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C2" w:rsidRDefault="00D108C2" w:rsidP="00D108C2">
      <w:pPr>
        <w:spacing w:after="120" w:line="240" w:lineRule="auto"/>
        <w:rPr>
          <w:rFonts w:ascii="Verdana" w:hAnsi="Verdana"/>
        </w:rPr>
      </w:pPr>
      <w:r>
        <w:rPr>
          <w:rFonts w:ascii="Verdana" w:hAnsi="Verdana"/>
          <w:noProof/>
          <w:lang w:eastAsia="en-ZA"/>
        </w:rPr>
        <w:drawing>
          <wp:inline distT="0" distB="0" distL="0" distR="0">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rsidR="00D108C2" w:rsidRPr="006D7553" w:rsidRDefault="00380411" w:rsidP="00D108C2">
      <w:pPr>
        <w:pStyle w:val="Heading1"/>
        <w:spacing w:before="0" w:after="40" w:line="320" w:lineRule="atLeast"/>
        <w:rPr>
          <w:rFonts w:ascii="Verdana" w:hAnsi="Verdana"/>
          <w:sz w:val="24"/>
          <w:szCs w:val="24"/>
        </w:rPr>
      </w:pPr>
      <w:r>
        <w:rPr>
          <w:rFonts w:ascii="Verdana" w:hAnsi="Verdana"/>
          <w:sz w:val="24"/>
          <w:szCs w:val="24"/>
        </w:rPr>
        <w:t>OCTOBER</w:t>
      </w:r>
      <w:r w:rsidR="00D108C2" w:rsidRPr="006D7553">
        <w:rPr>
          <w:rFonts w:ascii="Verdana" w:hAnsi="Verdana"/>
          <w:sz w:val="24"/>
          <w:szCs w:val="24"/>
        </w:rPr>
        <w:t xml:space="preserve"> 201</w:t>
      </w:r>
      <w:r w:rsidR="005374D0" w:rsidRPr="006D7553">
        <w:rPr>
          <w:rFonts w:ascii="Verdana" w:hAnsi="Verdana"/>
          <w:sz w:val="24"/>
          <w:szCs w:val="24"/>
        </w:rPr>
        <w:t>5</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rsidR="00D108C2" w:rsidRPr="006D7553" w:rsidRDefault="00D108C2" w:rsidP="00D108C2">
      <w:pPr>
        <w:pStyle w:val="Heading1"/>
        <w:spacing w:before="0" w:after="0"/>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rsidR="00D108C2" w:rsidRDefault="00D108C2" w:rsidP="00AE5D88">
      <w:pPr>
        <w:pStyle w:val="BodyText2"/>
        <w:spacing w:after="0" w:line="260" w:lineRule="atLeast"/>
        <w:rPr>
          <w:rFonts w:ascii="Verdana" w:hAnsi="Verdana"/>
          <w:sz w:val="16"/>
          <w:szCs w:val="16"/>
        </w:rPr>
      </w:pPr>
    </w:p>
    <w:p w:rsidR="00C16BF5" w:rsidRPr="009D59CD" w:rsidRDefault="00D16230" w:rsidP="009D59CD">
      <w:pPr>
        <w:pStyle w:val="BodyText2"/>
        <w:spacing w:after="0" w:line="280" w:lineRule="atLeast"/>
        <w:rPr>
          <w:rFonts w:ascii="Verdana" w:hAnsi="Verdana"/>
        </w:rPr>
      </w:pPr>
      <w:r w:rsidRPr="009D59CD">
        <w:rPr>
          <w:rFonts w:ascii="Verdana" w:hAnsi="Verdana"/>
        </w:rPr>
        <w:t>The Performance Survey for the period ended 3</w:t>
      </w:r>
      <w:r w:rsidR="00380411" w:rsidRPr="009D59CD">
        <w:rPr>
          <w:rFonts w:ascii="Verdana" w:hAnsi="Verdana"/>
        </w:rPr>
        <w:t>0</w:t>
      </w:r>
      <w:r w:rsidR="00380411" w:rsidRPr="009D59CD">
        <w:rPr>
          <w:rFonts w:ascii="Verdana" w:hAnsi="Verdana"/>
          <w:vertAlign w:val="superscript"/>
        </w:rPr>
        <w:t>th</w:t>
      </w:r>
      <w:r w:rsidR="00380411" w:rsidRPr="009D59CD">
        <w:rPr>
          <w:rFonts w:ascii="Verdana" w:hAnsi="Verdana"/>
        </w:rPr>
        <w:t xml:space="preserve"> October</w:t>
      </w:r>
      <w:r w:rsidRPr="009D59CD">
        <w:rPr>
          <w:rFonts w:ascii="Verdana" w:hAnsi="Verdana"/>
        </w:rPr>
        <w:t xml:space="preserve"> 2015, is attached.  The Survey measures total investment returns for all 70 JSE listed ETFs/ETNs, and 2</w:t>
      </w:r>
      <w:r w:rsidR="00F327B7">
        <w:rPr>
          <w:rFonts w:ascii="Verdana" w:hAnsi="Verdana"/>
        </w:rPr>
        <w:t>4</w:t>
      </w:r>
      <w:r w:rsidRPr="009D59CD">
        <w:rPr>
          <w:rFonts w:ascii="Verdana" w:hAnsi="Verdana"/>
        </w:rPr>
        <w:t xml:space="preserve"> index tracking unit trusts for periods of 3 months to 10 years. </w:t>
      </w:r>
    </w:p>
    <w:p w:rsidR="00D16230" w:rsidRPr="009D59CD" w:rsidRDefault="00D16230" w:rsidP="009D59CD">
      <w:pPr>
        <w:pStyle w:val="BodyText2"/>
        <w:spacing w:after="0" w:line="280" w:lineRule="atLeast"/>
        <w:rPr>
          <w:rFonts w:ascii="Verdana" w:hAnsi="Verdana"/>
        </w:rPr>
      </w:pPr>
    </w:p>
    <w:p w:rsidR="00B07B9D" w:rsidRPr="009D59CD" w:rsidRDefault="00941AFA" w:rsidP="009D59CD">
      <w:pPr>
        <w:pStyle w:val="BodyText2"/>
        <w:spacing w:after="0" w:line="280" w:lineRule="atLeast"/>
        <w:rPr>
          <w:rFonts w:ascii="Verdana" w:hAnsi="Verdana"/>
        </w:rPr>
      </w:pPr>
      <w:r w:rsidRPr="009D59CD">
        <w:rPr>
          <w:rFonts w:ascii="Verdana" w:hAnsi="Verdana"/>
        </w:rPr>
        <w:t>Foreign denominated index tracking products</w:t>
      </w:r>
      <w:r w:rsidR="00085AD4">
        <w:rPr>
          <w:rFonts w:ascii="Verdana" w:hAnsi="Verdana"/>
        </w:rPr>
        <w:t>,</w:t>
      </w:r>
      <w:r w:rsidRPr="009D59CD">
        <w:rPr>
          <w:rFonts w:ascii="Verdana" w:hAnsi="Verdana"/>
        </w:rPr>
        <w:t xml:space="preserve"> that are </w:t>
      </w:r>
      <w:r w:rsidR="00085AD4">
        <w:rPr>
          <w:rFonts w:ascii="Verdana" w:hAnsi="Verdana"/>
        </w:rPr>
        <w:t xml:space="preserve">readily </w:t>
      </w:r>
      <w:r w:rsidRPr="009D59CD">
        <w:rPr>
          <w:rFonts w:ascii="Verdana" w:hAnsi="Verdana"/>
        </w:rPr>
        <w:t xml:space="preserve">accessible to the SA public as JSE listed Exchange Traded Products, dominate the performance returns for periods of 6 months to 5 years.  The combination of global equity </w:t>
      </w:r>
      <w:r w:rsidR="00F327B7">
        <w:rPr>
          <w:rFonts w:ascii="Verdana" w:hAnsi="Verdana"/>
        </w:rPr>
        <w:t xml:space="preserve">market </w:t>
      </w:r>
      <w:r w:rsidRPr="009D59CD">
        <w:rPr>
          <w:rFonts w:ascii="Verdana" w:hAnsi="Verdana"/>
        </w:rPr>
        <w:t>recovery, coupled with the depreciation of the rand</w:t>
      </w:r>
      <w:r w:rsidR="00085AD4">
        <w:rPr>
          <w:rFonts w:ascii="Verdana" w:hAnsi="Verdana"/>
        </w:rPr>
        <w:t>,</w:t>
      </w:r>
      <w:r w:rsidRPr="009D59CD">
        <w:rPr>
          <w:rFonts w:ascii="Verdana" w:hAnsi="Verdana"/>
        </w:rPr>
        <w:t xml:space="preserve"> has made this </w:t>
      </w:r>
      <w:r w:rsidR="00085AD4">
        <w:rPr>
          <w:rFonts w:ascii="Verdana" w:hAnsi="Verdana"/>
        </w:rPr>
        <w:t xml:space="preserve">market sector the optimal </w:t>
      </w:r>
      <w:r w:rsidRPr="009D59CD">
        <w:rPr>
          <w:rFonts w:ascii="Verdana" w:hAnsi="Verdana"/>
        </w:rPr>
        <w:t xml:space="preserve">source of high investment returns for the entire period.  The </w:t>
      </w:r>
      <w:r w:rsidR="009D59CD" w:rsidRPr="009D59CD">
        <w:rPr>
          <w:rFonts w:ascii="Verdana" w:hAnsi="Verdana"/>
        </w:rPr>
        <w:t>investment public, particularly institutional and retireme</w:t>
      </w:r>
      <w:bookmarkStart w:id="3" w:name="_GoBack"/>
      <w:bookmarkEnd w:id="3"/>
      <w:r w:rsidR="009D59CD" w:rsidRPr="009D59CD">
        <w:rPr>
          <w:rFonts w:ascii="Verdana" w:hAnsi="Verdana"/>
        </w:rPr>
        <w:t>nt fund investors, have been slow to pick up on the alpha type returns fr</w:t>
      </w:r>
      <w:r w:rsidR="00085AD4">
        <w:rPr>
          <w:rFonts w:ascii="Verdana" w:hAnsi="Verdana"/>
        </w:rPr>
        <w:t>om</w:t>
      </w:r>
      <w:r w:rsidR="009D59CD" w:rsidRPr="009D59CD">
        <w:rPr>
          <w:rFonts w:ascii="Verdana" w:hAnsi="Verdana"/>
        </w:rPr>
        <w:t xml:space="preserve"> such investments and have often stuck rigorously to trying to s</w:t>
      </w:r>
      <w:r w:rsidR="00085AD4">
        <w:rPr>
          <w:rFonts w:ascii="Verdana" w:hAnsi="Verdana"/>
        </w:rPr>
        <w:t>ource</w:t>
      </w:r>
      <w:r w:rsidR="009D59CD" w:rsidRPr="009D59CD">
        <w:rPr>
          <w:rFonts w:ascii="Verdana" w:hAnsi="Verdana"/>
        </w:rPr>
        <w:t xml:space="preserve"> such returns in the </w:t>
      </w:r>
      <w:r w:rsidR="00085AD4">
        <w:rPr>
          <w:rFonts w:ascii="Verdana" w:hAnsi="Verdana"/>
        </w:rPr>
        <w:t xml:space="preserve">domestic </w:t>
      </w:r>
      <w:r w:rsidR="009D59CD" w:rsidRPr="009D59CD">
        <w:rPr>
          <w:rFonts w:ascii="Verdana" w:hAnsi="Verdana"/>
        </w:rPr>
        <w:t xml:space="preserve">investment market, </w:t>
      </w:r>
      <w:r w:rsidR="00085AD4">
        <w:rPr>
          <w:rFonts w:ascii="Verdana" w:hAnsi="Verdana"/>
        </w:rPr>
        <w:t xml:space="preserve">often </w:t>
      </w:r>
      <w:r w:rsidR="009D59CD" w:rsidRPr="009D59CD">
        <w:rPr>
          <w:rFonts w:ascii="Verdana" w:hAnsi="Verdana"/>
        </w:rPr>
        <w:t xml:space="preserve">with very limited success. </w:t>
      </w:r>
    </w:p>
    <w:p w:rsidR="009D59CD" w:rsidRPr="009D59CD" w:rsidRDefault="009D59CD" w:rsidP="009D59CD">
      <w:pPr>
        <w:pStyle w:val="BodyText2"/>
        <w:spacing w:after="0" w:line="280" w:lineRule="atLeast"/>
        <w:rPr>
          <w:rFonts w:ascii="Verdana" w:hAnsi="Verdana"/>
        </w:rPr>
      </w:pPr>
    </w:p>
    <w:p w:rsidR="009D59CD" w:rsidRPr="009D59CD" w:rsidRDefault="009D59CD" w:rsidP="009D59CD">
      <w:pPr>
        <w:pStyle w:val="BodyText2"/>
        <w:spacing w:after="0" w:line="280" w:lineRule="atLeast"/>
        <w:rPr>
          <w:rFonts w:ascii="Verdana" w:hAnsi="Verdana"/>
        </w:rPr>
      </w:pPr>
      <w:r w:rsidRPr="009D59CD">
        <w:rPr>
          <w:rFonts w:ascii="Verdana" w:hAnsi="Verdana"/>
        </w:rPr>
        <w:t>In the short-term (3 months), the best investment returns have come from commodity tracking ETFs and ETNs, notably palladium.  Although these are early days, this may be an indication of a commodity price re</w:t>
      </w:r>
      <w:r w:rsidR="00085AD4">
        <w:rPr>
          <w:rFonts w:ascii="Verdana" w:hAnsi="Verdana"/>
        </w:rPr>
        <w:t>vival</w:t>
      </w:r>
      <w:r w:rsidRPr="009D59CD">
        <w:rPr>
          <w:rFonts w:ascii="Verdana" w:hAnsi="Verdana"/>
        </w:rPr>
        <w:t xml:space="preserve">. </w:t>
      </w:r>
    </w:p>
    <w:p w:rsidR="00D108C2" w:rsidRPr="00D16230" w:rsidRDefault="00D108C2" w:rsidP="00C16BF5">
      <w:pPr>
        <w:pStyle w:val="BodyText2"/>
        <w:spacing w:after="0" w:line="320" w:lineRule="atLeast"/>
        <w:rPr>
          <w:rFonts w:ascii="Verdana" w:hAnsi="Verdana"/>
          <w:sz w:val="21"/>
          <w:szCs w:val="21"/>
        </w:rPr>
      </w:pPr>
    </w:p>
    <w:p w:rsidR="00D108C2" w:rsidRPr="00ED3E5B" w:rsidRDefault="00D108C2" w:rsidP="00D108C2">
      <w:pPr>
        <w:spacing w:after="0" w:line="260" w:lineRule="atLeast"/>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873"/>
        <w:gridCol w:w="1262"/>
        <w:gridCol w:w="282"/>
        <w:gridCol w:w="1268"/>
        <w:gridCol w:w="1843"/>
        <w:gridCol w:w="908"/>
        <w:gridCol w:w="1262"/>
      </w:tblGrid>
      <w:tr w:rsidR="00D108C2" w:rsidRPr="00804DEE" w:rsidTr="009D6F66">
        <w:tc>
          <w:tcPr>
            <w:tcW w:w="10704" w:type="dxa"/>
            <w:gridSpan w:val="8"/>
            <w:shd w:val="clear" w:color="auto" w:fill="CB2229"/>
            <w:vAlign w:val="center"/>
          </w:tcPr>
          <w:p w:rsidR="00D108C2" w:rsidRPr="005B7B53" w:rsidRDefault="00D108C2" w:rsidP="008F0228">
            <w:pPr>
              <w:pStyle w:val="BodyText2"/>
              <w:spacing w:before="20" w:after="20" w:line="260" w:lineRule="atLeast"/>
              <w:jc w:val="center"/>
              <w:rPr>
                <w:rFonts w:ascii="Verdana" w:hAnsi="Verdana"/>
                <w:b/>
                <w:color w:val="FFFFFF"/>
                <w:sz w:val="17"/>
                <w:szCs w:val="17"/>
              </w:rPr>
            </w:pPr>
            <w:bookmarkStart w:id="4" w:name="_Hlk355605138"/>
            <w:r w:rsidRPr="005B7B53">
              <w:rPr>
                <w:rFonts w:ascii="Verdana" w:hAnsi="Verdana"/>
                <w:b/>
                <w:color w:val="FFFFFF"/>
                <w:sz w:val="17"/>
                <w:szCs w:val="17"/>
              </w:rPr>
              <w:t>etfSA.co.za Monthly Performance Survey</w:t>
            </w:r>
          </w:p>
          <w:p w:rsidR="00D108C2" w:rsidRPr="005B7B53" w:rsidRDefault="00D108C2" w:rsidP="008F0228">
            <w:pPr>
              <w:pStyle w:val="BodyText2"/>
              <w:spacing w:before="20" w:after="20" w:line="26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sidR="003046FC">
              <w:rPr>
                <w:rFonts w:ascii="Verdana" w:hAnsi="Verdana"/>
                <w:b/>
                <w:color w:val="FFFFFF"/>
                <w:sz w:val="17"/>
                <w:szCs w:val="17"/>
              </w:rPr>
              <w:t>3</w:t>
            </w:r>
            <w:r w:rsidR="00380411">
              <w:rPr>
                <w:rFonts w:ascii="Verdana" w:hAnsi="Verdana"/>
                <w:b/>
                <w:color w:val="FFFFFF"/>
                <w:sz w:val="17"/>
                <w:szCs w:val="17"/>
              </w:rPr>
              <w:t>0</w:t>
            </w:r>
            <w:r>
              <w:rPr>
                <w:rFonts w:ascii="Verdana" w:hAnsi="Verdana"/>
                <w:b/>
                <w:color w:val="FFFFFF"/>
                <w:sz w:val="17"/>
                <w:szCs w:val="17"/>
              </w:rPr>
              <w:t xml:space="preserve"> </w:t>
            </w:r>
            <w:r w:rsidR="00380411">
              <w:rPr>
                <w:rFonts w:ascii="Verdana" w:hAnsi="Verdana"/>
                <w:b/>
                <w:color w:val="FFFFFF"/>
                <w:sz w:val="17"/>
                <w:szCs w:val="17"/>
              </w:rPr>
              <w:t>October</w:t>
            </w:r>
            <w:r w:rsidRPr="005B7B53">
              <w:rPr>
                <w:rFonts w:ascii="Verdana" w:hAnsi="Verdana"/>
                <w:b/>
                <w:color w:val="FFFFFF"/>
                <w:sz w:val="17"/>
                <w:szCs w:val="17"/>
              </w:rPr>
              <w:t xml:space="preserve"> 201</w:t>
            </w:r>
            <w:r w:rsidR="005374D0">
              <w:rPr>
                <w:rFonts w:ascii="Verdana" w:hAnsi="Verdana"/>
                <w:b/>
                <w:color w:val="FFFFFF"/>
                <w:sz w:val="17"/>
                <w:szCs w:val="17"/>
              </w:rPr>
              <w:t>5</w:t>
            </w:r>
          </w:p>
          <w:p w:rsidR="00D108C2" w:rsidRPr="00000A2B" w:rsidRDefault="00D108C2" w:rsidP="008F0228">
            <w:pPr>
              <w:pStyle w:val="BodyText2"/>
              <w:spacing w:before="20" w:after="20" w:line="26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Pr="005B7B53">
              <w:rPr>
                <w:rFonts w:ascii="Verdana" w:hAnsi="Verdana"/>
                <w:b/>
                <w:color w:val="FFFFFF"/>
                <w:sz w:val="17"/>
                <w:szCs w:val="17"/>
              </w:rPr>
              <w:t>)*</w:t>
            </w:r>
          </w:p>
        </w:tc>
      </w:tr>
      <w:tr w:rsidR="00D108C2" w:rsidRPr="00804DEE" w:rsidTr="009D6F66">
        <w:tc>
          <w:tcPr>
            <w:tcW w:w="3006" w:type="dxa"/>
            <w:shd w:val="clear" w:color="auto" w:fill="4C4C4C"/>
            <w:vAlign w:val="center"/>
          </w:tcPr>
          <w:p w:rsidR="00D108C2" w:rsidRPr="005B7B53" w:rsidRDefault="00D108C2" w:rsidP="008F0228">
            <w:pPr>
              <w:pStyle w:val="BodyText2"/>
              <w:spacing w:before="20" w:after="20" w:line="260" w:lineRule="atLeast"/>
              <w:rPr>
                <w:rFonts w:ascii="Verdana" w:hAnsi="Verdana"/>
                <w:b/>
                <w:color w:val="FFFFFF"/>
                <w:sz w:val="17"/>
                <w:szCs w:val="17"/>
              </w:rPr>
            </w:pPr>
            <w:r w:rsidRPr="005B7B53">
              <w:rPr>
                <w:rFonts w:ascii="Verdana" w:hAnsi="Verdana"/>
                <w:b/>
                <w:color w:val="FFFFFF"/>
                <w:sz w:val="17"/>
                <w:szCs w:val="17"/>
              </w:rPr>
              <w:t>Fund Name</w:t>
            </w:r>
          </w:p>
        </w:tc>
        <w:tc>
          <w:tcPr>
            <w:tcW w:w="873" w:type="dxa"/>
            <w:shd w:val="clear" w:color="auto" w:fill="4C4C4C"/>
            <w:vAlign w:val="center"/>
          </w:tcPr>
          <w:p w:rsidR="00D108C2" w:rsidRPr="005B7B53" w:rsidRDefault="00D108C2" w:rsidP="008F0228">
            <w:pPr>
              <w:pStyle w:val="BodyText2"/>
              <w:spacing w:before="20" w:after="20" w:line="260" w:lineRule="atLeast"/>
              <w:jc w:val="center"/>
              <w:rPr>
                <w:rFonts w:ascii="Verdana" w:hAnsi="Verdana"/>
                <w:b/>
                <w:color w:val="FFFFFF"/>
                <w:sz w:val="17"/>
                <w:szCs w:val="17"/>
              </w:rPr>
            </w:pPr>
            <w:r w:rsidRPr="005B7B53">
              <w:rPr>
                <w:rFonts w:ascii="Verdana" w:hAnsi="Verdana"/>
                <w:b/>
                <w:color w:val="FFFFFF"/>
                <w:sz w:val="17"/>
                <w:szCs w:val="17"/>
              </w:rPr>
              <w:t>Type</w:t>
            </w:r>
          </w:p>
        </w:tc>
        <w:tc>
          <w:tcPr>
            <w:tcW w:w="1262" w:type="dxa"/>
            <w:shd w:val="clear" w:color="auto" w:fill="4C4C4C"/>
            <w:vAlign w:val="center"/>
          </w:tcPr>
          <w:p w:rsidR="00D108C2" w:rsidRPr="005B7B53" w:rsidRDefault="00D108C2" w:rsidP="008F0228">
            <w:pPr>
              <w:pStyle w:val="BodyText2"/>
              <w:spacing w:before="20" w:after="20" w:line="26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282" w:type="dxa"/>
            <w:vMerge w:val="restart"/>
            <w:shd w:val="clear" w:color="auto" w:fill="auto"/>
          </w:tcPr>
          <w:p w:rsidR="00D108C2" w:rsidRPr="005B7B53" w:rsidRDefault="00D108C2" w:rsidP="008F0228">
            <w:pPr>
              <w:pStyle w:val="BodyText2"/>
              <w:spacing w:before="20" w:after="20" w:line="260" w:lineRule="atLeast"/>
              <w:jc w:val="center"/>
              <w:rPr>
                <w:rFonts w:ascii="Verdana" w:hAnsi="Verdana"/>
                <w:b/>
                <w:color w:val="FFFFFF"/>
                <w:sz w:val="17"/>
                <w:szCs w:val="17"/>
              </w:rPr>
            </w:pPr>
          </w:p>
        </w:tc>
        <w:tc>
          <w:tcPr>
            <w:tcW w:w="3111" w:type="dxa"/>
            <w:gridSpan w:val="2"/>
            <w:shd w:val="clear" w:color="auto" w:fill="4C4C4C"/>
            <w:vAlign w:val="center"/>
          </w:tcPr>
          <w:p w:rsidR="00D108C2" w:rsidRPr="005B7B53" w:rsidRDefault="00D108C2" w:rsidP="008F0228">
            <w:pPr>
              <w:pStyle w:val="BodyText2"/>
              <w:spacing w:before="20" w:after="20" w:line="260" w:lineRule="atLeast"/>
              <w:rPr>
                <w:rFonts w:ascii="Verdana" w:hAnsi="Verdana"/>
                <w:b/>
                <w:color w:val="FFFFFF"/>
                <w:sz w:val="17"/>
                <w:szCs w:val="17"/>
              </w:rPr>
            </w:pPr>
            <w:r w:rsidRPr="005B7B53">
              <w:rPr>
                <w:rFonts w:ascii="Verdana" w:hAnsi="Verdana"/>
                <w:b/>
                <w:color w:val="FFFFFF"/>
                <w:sz w:val="17"/>
                <w:szCs w:val="17"/>
              </w:rPr>
              <w:t>Fund Name</w:t>
            </w:r>
          </w:p>
        </w:tc>
        <w:tc>
          <w:tcPr>
            <w:tcW w:w="908" w:type="dxa"/>
            <w:shd w:val="clear" w:color="auto" w:fill="4C4C4C"/>
            <w:vAlign w:val="center"/>
          </w:tcPr>
          <w:p w:rsidR="00D108C2" w:rsidRPr="005B7B53" w:rsidRDefault="00D108C2" w:rsidP="008F0228">
            <w:pPr>
              <w:pStyle w:val="BodyText2"/>
              <w:spacing w:before="20" w:after="20" w:line="260" w:lineRule="atLeast"/>
              <w:jc w:val="center"/>
              <w:rPr>
                <w:rFonts w:ascii="Verdana" w:hAnsi="Verdana"/>
                <w:b/>
                <w:color w:val="FFFFFF"/>
                <w:sz w:val="17"/>
                <w:szCs w:val="17"/>
              </w:rPr>
            </w:pPr>
            <w:r w:rsidRPr="005B7B53">
              <w:rPr>
                <w:rFonts w:ascii="Verdana" w:hAnsi="Verdana"/>
                <w:b/>
                <w:color w:val="FFFFFF"/>
                <w:sz w:val="17"/>
                <w:szCs w:val="17"/>
              </w:rPr>
              <w:t>Type</w:t>
            </w:r>
          </w:p>
        </w:tc>
        <w:tc>
          <w:tcPr>
            <w:tcW w:w="1262" w:type="dxa"/>
            <w:shd w:val="clear" w:color="auto" w:fill="4C4C4C"/>
          </w:tcPr>
          <w:p w:rsidR="00D108C2" w:rsidRPr="005B7B53" w:rsidRDefault="00D108C2" w:rsidP="008F0228">
            <w:pPr>
              <w:pStyle w:val="BodyText2"/>
              <w:spacing w:before="20" w:after="20" w:line="26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8656D1" w:rsidRPr="00804DEE" w:rsidTr="009D6F66">
        <w:tc>
          <w:tcPr>
            <w:tcW w:w="3006" w:type="dxa"/>
            <w:shd w:val="clear" w:color="auto" w:fill="auto"/>
            <w:vAlign w:val="center"/>
          </w:tcPr>
          <w:p w:rsidR="008656D1" w:rsidRPr="005B7B53" w:rsidRDefault="008656D1" w:rsidP="008656D1">
            <w:pPr>
              <w:pStyle w:val="BodyText2"/>
              <w:spacing w:before="20" w:after="20" w:line="260" w:lineRule="atLeast"/>
              <w:rPr>
                <w:rFonts w:ascii="Verdana" w:hAnsi="Verdana"/>
                <w:sz w:val="17"/>
                <w:szCs w:val="17"/>
              </w:rPr>
            </w:pPr>
            <w:r w:rsidRPr="005B7B53">
              <w:rPr>
                <w:rFonts w:ascii="Verdana" w:hAnsi="Verdana"/>
                <w:sz w:val="17"/>
                <w:szCs w:val="17"/>
              </w:rPr>
              <w:t>Satrix INDI 25</w:t>
            </w:r>
          </w:p>
        </w:tc>
        <w:tc>
          <w:tcPr>
            <w:tcW w:w="873" w:type="dxa"/>
            <w:shd w:val="clear" w:color="auto" w:fill="auto"/>
            <w:vAlign w:val="center"/>
          </w:tcPr>
          <w:p w:rsidR="008656D1" w:rsidRPr="005B7B53" w:rsidRDefault="008656D1" w:rsidP="008656D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8656D1" w:rsidRPr="005B7B53" w:rsidRDefault="00C06E5E" w:rsidP="008656D1">
            <w:pPr>
              <w:pStyle w:val="BodyText2"/>
              <w:spacing w:before="20" w:after="20" w:line="260" w:lineRule="atLeast"/>
              <w:jc w:val="center"/>
              <w:rPr>
                <w:rFonts w:ascii="Verdana" w:hAnsi="Verdana"/>
                <w:sz w:val="17"/>
                <w:szCs w:val="17"/>
              </w:rPr>
            </w:pPr>
            <w:r>
              <w:rPr>
                <w:rFonts w:ascii="Verdana" w:hAnsi="Verdana"/>
                <w:sz w:val="17"/>
                <w:szCs w:val="17"/>
              </w:rPr>
              <w:t>22,29%</w:t>
            </w:r>
          </w:p>
        </w:tc>
        <w:tc>
          <w:tcPr>
            <w:tcW w:w="282" w:type="dxa"/>
            <w:vMerge/>
            <w:shd w:val="clear" w:color="auto" w:fill="auto"/>
          </w:tcPr>
          <w:p w:rsidR="008656D1" w:rsidRPr="005B7B53" w:rsidRDefault="008656D1" w:rsidP="008656D1">
            <w:pPr>
              <w:pStyle w:val="BodyText2"/>
              <w:spacing w:before="20" w:after="20" w:line="260" w:lineRule="atLeast"/>
              <w:jc w:val="center"/>
              <w:rPr>
                <w:rFonts w:ascii="Verdana" w:hAnsi="Verdana"/>
                <w:sz w:val="17"/>
                <w:szCs w:val="17"/>
              </w:rPr>
            </w:pPr>
          </w:p>
        </w:tc>
        <w:tc>
          <w:tcPr>
            <w:tcW w:w="3111" w:type="dxa"/>
            <w:gridSpan w:val="2"/>
            <w:vAlign w:val="center"/>
          </w:tcPr>
          <w:p w:rsidR="008656D1" w:rsidRPr="005B7B53" w:rsidRDefault="008656D1" w:rsidP="008656D1">
            <w:pPr>
              <w:pStyle w:val="BodyText2"/>
              <w:spacing w:before="20" w:after="20" w:line="260" w:lineRule="atLeast"/>
              <w:rPr>
                <w:rFonts w:ascii="Verdana" w:hAnsi="Verdana"/>
                <w:sz w:val="17"/>
                <w:szCs w:val="17"/>
              </w:rPr>
            </w:pPr>
            <w:r w:rsidRPr="005B7B53">
              <w:rPr>
                <w:rFonts w:ascii="Verdana" w:hAnsi="Verdana"/>
                <w:sz w:val="17"/>
                <w:szCs w:val="17"/>
              </w:rPr>
              <w:t>DBX Tracker MSCI USA</w:t>
            </w:r>
          </w:p>
        </w:tc>
        <w:tc>
          <w:tcPr>
            <w:tcW w:w="908" w:type="dxa"/>
            <w:vAlign w:val="center"/>
          </w:tcPr>
          <w:p w:rsidR="008656D1" w:rsidRPr="005B7B53" w:rsidRDefault="008656D1" w:rsidP="008656D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8656D1" w:rsidRPr="005B7B53" w:rsidRDefault="00C06E5E" w:rsidP="008656D1">
            <w:pPr>
              <w:pStyle w:val="BodyText2"/>
              <w:spacing w:before="20" w:after="20" w:line="260" w:lineRule="atLeast"/>
              <w:jc w:val="center"/>
              <w:rPr>
                <w:rFonts w:ascii="Verdana" w:hAnsi="Verdana"/>
                <w:sz w:val="17"/>
                <w:szCs w:val="17"/>
              </w:rPr>
            </w:pPr>
            <w:r>
              <w:rPr>
                <w:rFonts w:ascii="Verdana" w:hAnsi="Verdana"/>
                <w:sz w:val="17"/>
                <w:szCs w:val="17"/>
              </w:rPr>
              <w:t>29,38%</w:t>
            </w:r>
          </w:p>
        </w:tc>
      </w:tr>
      <w:tr w:rsidR="008656D1" w:rsidRPr="00804DEE" w:rsidTr="009D6F66">
        <w:tc>
          <w:tcPr>
            <w:tcW w:w="3006" w:type="dxa"/>
            <w:shd w:val="clear" w:color="auto" w:fill="auto"/>
            <w:vAlign w:val="center"/>
          </w:tcPr>
          <w:p w:rsidR="008656D1" w:rsidRPr="005B7B53" w:rsidRDefault="008656D1" w:rsidP="008656D1">
            <w:pPr>
              <w:pStyle w:val="BodyText2"/>
              <w:spacing w:before="20" w:after="20" w:line="260" w:lineRule="atLeast"/>
              <w:rPr>
                <w:rFonts w:ascii="Verdana" w:hAnsi="Verdana"/>
                <w:sz w:val="17"/>
                <w:szCs w:val="17"/>
              </w:rPr>
            </w:pPr>
            <w:r>
              <w:rPr>
                <w:rFonts w:ascii="Verdana" w:hAnsi="Verdana"/>
                <w:sz w:val="17"/>
                <w:szCs w:val="17"/>
              </w:rPr>
              <w:t>NewGold</w:t>
            </w:r>
          </w:p>
        </w:tc>
        <w:tc>
          <w:tcPr>
            <w:tcW w:w="873" w:type="dxa"/>
            <w:shd w:val="clear" w:color="auto" w:fill="auto"/>
            <w:vAlign w:val="center"/>
          </w:tcPr>
          <w:p w:rsidR="008656D1" w:rsidRPr="005B7B53" w:rsidRDefault="008656D1" w:rsidP="008656D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shd w:val="clear" w:color="auto" w:fill="auto"/>
            <w:vAlign w:val="center"/>
          </w:tcPr>
          <w:p w:rsidR="008656D1" w:rsidRPr="005B7B53" w:rsidRDefault="00C06E5E" w:rsidP="008656D1">
            <w:pPr>
              <w:pStyle w:val="BodyText2"/>
              <w:spacing w:before="20" w:after="20" w:line="260" w:lineRule="atLeast"/>
              <w:jc w:val="center"/>
              <w:rPr>
                <w:rFonts w:ascii="Verdana" w:hAnsi="Verdana"/>
                <w:sz w:val="17"/>
                <w:szCs w:val="17"/>
              </w:rPr>
            </w:pPr>
            <w:r>
              <w:rPr>
                <w:rFonts w:ascii="Verdana" w:hAnsi="Verdana"/>
                <w:sz w:val="17"/>
                <w:szCs w:val="17"/>
              </w:rPr>
              <w:t>16,95%</w:t>
            </w:r>
          </w:p>
        </w:tc>
        <w:tc>
          <w:tcPr>
            <w:tcW w:w="282" w:type="dxa"/>
            <w:vMerge/>
            <w:shd w:val="clear" w:color="auto" w:fill="auto"/>
          </w:tcPr>
          <w:p w:rsidR="008656D1" w:rsidRPr="005B7B53" w:rsidRDefault="008656D1" w:rsidP="008656D1">
            <w:pPr>
              <w:pStyle w:val="BodyText2"/>
              <w:spacing w:before="20" w:after="20" w:line="260" w:lineRule="atLeast"/>
              <w:jc w:val="center"/>
              <w:rPr>
                <w:rFonts w:ascii="Verdana" w:hAnsi="Verdana"/>
                <w:sz w:val="17"/>
                <w:szCs w:val="17"/>
              </w:rPr>
            </w:pPr>
          </w:p>
        </w:tc>
        <w:tc>
          <w:tcPr>
            <w:tcW w:w="3111" w:type="dxa"/>
            <w:gridSpan w:val="2"/>
            <w:vAlign w:val="center"/>
          </w:tcPr>
          <w:p w:rsidR="008656D1" w:rsidRPr="005B7B53" w:rsidRDefault="008656D1" w:rsidP="008656D1">
            <w:pPr>
              <w:pStyle w:val="BodyText2"/>
              <w:spacing w:before="20" w:after="20" w:line="260" w:lineRule="atLeast"/>
              <w:rPr>
                <w:rFonts w:ascii="Verdana" w:hAnsi="Verdana"/>
                <w:sz w:val="17"/>
                <w:szCs w:val="17"/>
              </w:rPr>
            </w:pPr>
            <w:r w:rsidRPr="005B7B53">
              <w:rPr>
                <w:rFonts w:ascii="Verdana" w:hAnsi="Verdana"/>
                <w:sz w:val="17"/>
                <w:szCs w:val="17"/>
              </w:rPr>
              <w:t>Satrix INDI 25</w:t>
            </w:r>
          </w:p>
        </w:tc>
        <w:tc>
          <w:tcPr>
            <w:tcW w:w="908" w:type="dxa"/>
            <w:vAlign w:val="center"/>
          </w:tcPr>
          <w:p w:rsidR="008656D1" w:rsidRPr="005B7B53" w:rsidRDefault="008656D1" w:rsidP="008656D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8656D1" w:rsidRPr="005B7B53" w:rsidRDefault="00C06E5E" w:rsidP="008656D1">
            <w:pPr>
              <w:pStyle w:val="BodyText2"/>
              <w:spacing w:before="20" w:after="20" w:line="260" w:lineRule="atLeast"/>
              <w:jc w:val="center"/>
              <w:rPr>
                <w:rFonts w:ascii="Verdana" w:hAnsi="Verdana"/>
                <w:sz w:val="17"/>
                <w:szCs w:val="17"/>
              </w:rPr>
            </w:pPr>
            <w:r>
              <w:rPr>
                <w:rFonts w:ascii="Verdana" w:hAnsi="Verdana"/>
                <w:sz w:val="17"/>
                <w:szCs w:val="17"/>
              </w:rPr>
              <w:t>25,97%</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r>
              <w:rPr>
                <w:rFonts w:ascii="Verdana" w:hAnsi="Verdana"/>
                <w:sz w:val="17"/>
                <w:szCs w:val="17"/>
              </w:rPr>
              <w:t>Stanlib Index Fund</w:t>
            </w:r>
          </w:p>
        </w:tc>
        <w:tc>
          <w:tcPr>
            <w:tcW w:w="873" w:type="dxa"/>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15,47%</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B58A1" w:rsidP="00CB58A1">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24,28%</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r>
              <w:rPr>
                <w:rFonts w:ascii="Verdana" w:hAnsi="Verdana"/>
                <w:sz w:val="17"/>
                <w:szCs w:val="17"/>
              </w:rPr>
              <w:t>Gryphon All Share Tracker Fund</w:t>
            </w:r>
          </w:p>
        </w:tc>
        <w:tc>
          <w:tcPr>
            <w:tcW w:w="873" w:type="dxa"/>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15,39%</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20,98%</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80" w:lineRule="atLeast"/>
              <w:rPr>
                <w:rFonts w:ascii="Verdana" w:hAnsi="Verdana"/>
                <w:sz w:val="17"/>
                <w:szCs w:val="17"/>
              </w:rPr>
            </w:pPr>
          </w:p>
        </w:tc>
        <w:tc>
          <w:tcPr>
            <w:tcW w:w="873" w:type="dxa"/>
            <w:shd w:val="clear" w:color="auto" w:fill="auto"/>
            <w:vAlign w:val="center"/>
          </w:tcPr>
          <w:p w:rsidR="00CB58A1" w:rsidRPr="005B7B53" w:rsidRDefault="00CB58A1" w:rsidP="00CB58A1">
            <w:pPr>
              <w:pStyle w:val="BodyText2"/>
              <w:spacing w:before="20" w:after="20" w:line="280" w:lineRule="atLeast"/>
              <w:jc w:val="center"/>
              <w:rPr>
                <w:rFonts w:ascii="Verdana" w:hAnsi="Verdana"/>
                <w:sz w:val="17"/>
                <w:szCs w:val="17"/>
              </w:rPr>
            </w:pPr>
          </w:p>
        </w:tc>
        <w:tc>
          <w:tcPr>
            <w:tcW w:w="1262" w:type="dxa"/>
            <w:shd w:val="clear" w:color="auto" w:fill="4C4C4C"/>
          </w:tcPr>
          <w:p w:rsidR="00CB58A1" w:rsidRPr="005B7B53" w:rsidRDefault="00CB58A1" w:rsidP="00CB58A1">
            <w:pPr>
              <w:pStyle w:val="BodyText2"/>
              <w:spacing w:before="20" w:after="20" w:line="260" w:lineRule="atLeast"/>
              <w:jc w:val="center"/>
              <w:rPr>
                <w:rFonts w:ascii="Verdana" w:hAnsi="Verdana"/>
                <w:b/>
                <w:color w:val="FFFFFF"/>
                <w:sz w:val="17"/>
                <w:szCs w:val="17"/>
              </w:rPr>
            </w:pPr>
            <w:r w:rsidRPr="005B7B53">
              <w:rPr>
                <w:rFonts w:ascii="Verdana" w:hAnsi="Verdana"/>
                <w:b/>
                <w:color w:val="FFFFFF"/>
                <w:sz w:val="17"/>
                <w:szCs w:val="17"/>
              </w:rPr>
              <w:t>3 Years (p</w:t>
            </w:r>
            <w:r>
              <w:rPr>
                <w:rFonts w:ascii="Verdana" w:hAnsi="Verdana"/>
                <w:b/>
                <w:color w:val="FFFFFF"/>
                <w:sz w:val="17"/>
                <w:szCs w:val="17"/>
              </w:rPr>
              <w:t>.a.</w:t>
            </w:r>
            <w:r w:rsidRPr="005B7B53">
              <w:rPr>
                <w:rFonts w:ascii="Verdana" w:hAnsi="Verdana"/>
                <w:b/>
                <w:color w:val="FFFFFF"/>
                <w:sz w:val="17"/>
                <w:szCs w:val="17"/>
              </w:rPr>
              <w:t>)</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b/>
                <w:color w:val="FFFFFF"/>
                <w:sz w:val="17"/>
                <w:szCs w:val="17"/>
              </w:rPr>
            </w:pPr>
          </w:p>
        </w:tc>
        <w:tc>
          <w:tcPr>
            <w:tcW w:w="3111" w:type="dxa"/>
            <w:gridSpan w:val="2"/>
            <w:shd w:val="clear" w:color="auto" w:fill="auto"/>
            <w:vAlign w:val="center"/>
          </w:tcPr>
          <w:p w:rsidR="00CB58A1" w:rsidRPr="005B7B53" w:rsidRDefault="00CB58A1" w:rsidP="00CB58A1">
            <w:pPr>
              <w:pStyle w:val="BodyText2"/>
              <w:spacing w:before="20" w:after="20" w:line="280" w:lineRule="atLeast"/>
              <w:rPr>
                <w:rFonts w:ascii="Verdana" w:hAnsi="Verdana"/>
                <w:sz w:val="17"/>
                <w:szCs w:val="17"/>
              </w:rPr>
            </w:pPr>
          </w:p>
        </w:tc>
        <w:tc>
          <w:tcPr>
            <w:tcW w:w="908" w:type="dxa"/>
            <w:shd w:val="clear" w:color="auto" w:fill="auto"/>
            <w:vAlign w:val="center"/>
          </w:tcPr>
          <w:p w:rsidR="00CB58A1" w:rsidRPr="005B7B53" w:rsidRDefault="00CB58A1" w:rsidP="00CB58A1">
            <w:pPr>
              <w:pStyle w:val="BodyText2"/>
              <w:spacing w:before="20" w:after="20" w:line="280" w:lineRule="atLeast"/>
              <w:jc w:val="center"/>
              <w:rPr>
                <w:rFonts w:ascii="Verdana" w:hAnsi="Verdana"/>
                <w:sz w:val="17"/>
                <w:szCs w:val="17"/>
              </w:rPr>
            </w:pPr>
          </w:p>
        </w:tc>
        <w:tc>
          <w:tcPr>
            <w:tcW w:w="1262" w:type="dxa"/>
            <w:shd w:val="clear" w:color="auto" w:fill="4C4C4C"/>
            <w:vAlign w:val="center"/>
          </w:tcPr>
          <w:p w:rsidR="00CB58A1" w:rsidRPr="005B7B53" w:rsidRDefault="00CB58A1" w:rsidP="00CB58A1">
            <w:pPr>
              <w:pStyle w:val="BodyText2"/>
              <w:spacing w:before="20" w:after="20" w:line="26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r w:rsidRPr="005B7B53">
              <w:rPr>
                <w:rFonts w:ascii="Verdana" w:hAnsi="Verdana"/>
                <w:sz w:val="17"/>
                <w:szCs w:val="17"/>
              </w:rPr>
              <w:t>DBX Tracker MSCI USA</w:t>
            </w:r>
          </w:p>
        </w:tc>
        <w:tc>
          <w:tcPr>
            <w:tcW w:w="873" w:type="dxa"/>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34,09%</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CB58A1" w:rsidRPr="005B7B53" w:rsidRDefault="00C06E5E" w:rsidP="00C06E5E">
            <w:pPr>
              <w:pStyle w:val="BodyText2"/>
              <w:spacing w:before="20" w:after="20" w:line="260" w:lineRule="atLeast"/>
              <w:jc w:val="center"/>
              <w:rPr>
                <w:rFonts w:ascii="Verdana" w:hAnsi="Verdana"/>
                <w:sz w:val="17"/>
                <w:szCs w:val="17"/>
              </w:rPr>
            </w:pPr>
            <w:r>
              <w:rPr>
                <w:rFonts w:ascii="Verdana" w:hAnsi="Verdana"/>
                <w:sz w:val="17"/>
                <w:szCs w:val="17"/>
              </w:rPr>
              <w:t>29,34%</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873" w:type="dxa"/>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31,22%</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CoreShares PropTrax Ten</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24,81%</w:t>
            </w:r>
          </w:p>
        </w:tc>
      </w:tr>
      <w:tr w:rsidR="00CB58A1" w:rsidRPr="00804DEE" w:rsidTr="009D6F66">
        <w:tc>
          <w:tcPr>
            <w:tcW w:w="3006" w:type="dxa"/>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873" w:type="dxa"/>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29,71%</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23,38%</w:t>
            </w:r>
          </w:p>
        </w:tc>
      </w:tr>
      <w:tr w:rsidR="00CB58A1" w:rsidRPr="00804DEE" w:rsidTr="009D6F66">
        <w:tc>
          <w:tcPr>
            <w:tcW w:w="3006" w:type="dxa"/>
            <w:shd w:val="clear" w:color="auto" w:fill="auto"/>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O</w:t>
            </w:r>
            <w:r w:rsidR="00085AD4">
              <w:rPr>
                <w:rFonts w:ascii="Verdana" w:hAnsi="Verdana"/>
                <w:sz w:val="17"/>
                <w:szCs w:val="17"/>
              </w:rPr>
              <w:t xml:space="preserve">ld Mutual Global RAFI Index </w:t>
            </w:r>
          </w:p>
        </w:tc>
        <w:tc>
          <w:tcPr>
            <w:tcW w:w="873"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27,10%</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vAlign w:val="center"/>
          </w:tcPr>
          <w:p w:rsidR="00CB58A1" w:rsidRPr="005B7B53" w:rsidRDefault="00C06E5E" w:rsidP="00CB58A1">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908" w:type="dxa"/>
            <w:vAlign w:val="center"/>
          </w:tcPr>
          <w:p w:rsidR="00CB58A1" w:rsidRPr="005B7B53" w:rsidRDefault="00CB58A1" w:rsidP="00CB58A1">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CB58A1" w:rsidRPr="005B7B53" w:rsidRDefault="00C06E5E" w:rsidP="00CB58A1">
            <w:pPr>
              <w:pStyle w:val="BodyText2"/>
              <w:spacing w:before="20" w:after="20" w:line="260" w:lineRule="atLeast"/>
              <w:jc w:val="center"/>
              <w:rPr>
                <w:rFonts w:ascii="Verdana" w:hAnsi="Verdana"/>
                <w:sz w:val="17"/>
                <w:szCs w:val="17"/>
              </w:rPr>
            </w:pPr>
            <w:r>
              <w:rPr>
                <w:rFonts w:ascii="Verdana" w:hAnsi="Verdana"/>
                <w:sz w:val="17"/>
                <w:szCs w:val="17"/>
              </w:rPr>
              <w:t>21,58%</w:t>
            </w:r>
          </w:p>
        </w:tc>
      </w:tr>
      <w:tr w:rsidR="00CB58A1" w:rsidRPr="006E3070" w:rsidTr="0023426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CB58A1" w:rsidP="00CB58A1">
            <w:pPr>
              <w:pStyle w:val="BodyText2"/>
              <w:spacing w:before="20" w:after="20" w:line="260" w:lineRule="atLeast"/>
              <w:rPr>
                <w:rFonts w:ascii="Verdana" w:hAnsi="Verdana"/>
                <w:sz w:val="17"/>
                <w:szCs w:val="17"/>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CB58A1" w:rsidP="00CB58A1">
            <w:pPr>
              <w:pStyle w:val="BodyText2"/>
              <w:spacing w:before="20" w:after="20" w:line="260" w:lineRule="atLeast"/>
              <w:jc w:val="center"/>
              <w:rPr>
                <w:rFonts w:ascii="Verdana" w:hAnsi="Verdana"/>
                <w:sz w:val="17"/>
                <w:szCs w:val="17"/>
              </w:rPr>
            </w:pPr>
          </w:p>
        </w:tc>
        <w:tc>
          <w:tcPr>
            <w:tcW w:w="1262" w:type="dxa"/>
            <w:tcBorders>
              <w:top w:val="single" w:sz="4" w:space="0" w:color="auto"/>
              <w:left w:val="single" w:sz="4" w:space="0" w:color="auto"/>
              <w:bottom w:val="single" w:sz="4" w:space="0" w:color="auto"/>
            </w:tcBorders>
            <w:shd w:val="clear" w:color="auto" w:fill="4C4C4C"/>
            <w:vAlign w:val="center"/>
          </w:tcPr>
          <w:p w:rsidR="00CB58A1" w:rsidRPr="005B7B53" w:rsidRDefault="00CB58A1" w:rsidP="00CB58A1">
            <w:pPr>
              <w:pStyle w:val="BodyText2"/>
              <w:spacing w:before="20" w:after="20" w:line="260" w:lineRule="atLeast"/>
              <w:jc w:val="center"/>
              <w:rPr>
                <w:rFonts w:ascii="Verdana" w:hAnsi="Verdana"/>
                <w:b/>
                <w:color w:val="FFFFFF"/>
                <w:sz w:val="17"/>
                <w:szCs w:val="17"/>
              </w:rPr>
            </w:pPr>
            <w:r>
              <w:rPr>
                <w:rFonts w:ascii="Verdana" w:hAnsi="Verdana"/>
                <w:b/>
                <w:color w:val="FFFFFF"/>
                <w:sz w:val="17"/>
                <w:szCs w:val="17"/>
              </w:rPr>
              <w:t>1 Year</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b/>
                <w:color w:val="FFFFFF"/>
                <w:sz w:val="17"/>
                <w:szCs w:val="17"/>
              </w:rPr>
            </w:pPr>
          </w:p>
        </w:tc>
        <w:tc>
          <w:tcPr>
            <w:tcW w:w="3111" w:type="dxa"/>
            <w:gridSpan w:val="2"/>
            <w:tcBorders>
              <w:top w:val="single" w:sz="4" w:space="0" w:color="auto"/>
              <w:bottom w:val="single" w:sz="4" w:space="0" w:color="auto"/>
              <w:right w:val="single" w:sz="4" w:space="0" w:color="auto"/>
            </w:tcBorders>
            <w:shd w:val="clear" w:color="auto" w:fill="auto"/>
            <w:vAlign w:val="center"/>
          </w:tcPr>
          <w:p w:rsidR="00CB58A1" w:rsidRPr="005B7B53" w:rsidRDefault="00CB58A1" w:rsidP="00CB58A1">
            <w:pPr>
              <w:pStyle w:val="BodyText2"/>
              <w:spacing w:before="20" w:after="20" w:line="280" w:lineRule="atLeast"/>
              <w:rPr>
                <w:rFonts w:ascii="Verdana" w:hAnsi="Verdana"/>
                <w:sz w:val="17"/>
                <w:szCs w:val="17"/>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CB58A1" w:rsidP="00CB58A1">
            <w:pPr>
              <w:pStyle w:val="BodyText2"/>
              <w:spacing w:before="20" w:after="20" w:line="280" w:lineRule="atLeast"/>
              <w:jc w:val="center"/>
              <w:rPr>
                <w:rFonts w:ascii="Verdana" w:hAnsi="Verdana"/>
                <w:sz w:val="17"/>
                <w:szCs w:val="17"/>
              </w:rPr>
            </w:pPr>
          </w:p>
        </w:tc>
        <w:tc>
          <w:tcPr>
            <w:tcW w:w="1262" w:type="dxa"/>
            <w:tcBorders>
              <w:top w:val="single" w:sz="4" w:space="0" w:color="auto"/>
              <w:left w:val="single" w:sz="4" w:space="0" w:color="auto"/>
              <w:bottom w:val="single" w:sz="4" w:space="0" w:color="auto"/>
              <w:right w:val="single" w:sz="4" w:space="0" w:color="auto"/>
            </w:tcBorders>
            <w:shd w:val="clear" w:color="auto" w:fill="4C4C4C"/>
          </w:tcPr>
          <w:p w:rsidR="00CB58A1" w:rsidRPr="005B7B53" w:rsidRDefault="00CB58A1" w:rsidP="00CB58A1">
            <w:pPr>
              <w:pStyle w:val="BodyText2"/>
              <w:spacing w:before="20" w:after="20" w:line="26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tr w:rsidR="00CB58A1"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ED2B60" w:rsidP="00CB58A1">
            <w:pPr>
              <w:pStyle w:val="BodyText2"/>
              <w:spacing w:before="20" w:after="20" w:line="260" w:lineRule="atLeast"/>
              <w:rPr>
                <w:rFonts w:ascii="Verdana" w:hAnsi="Verdana"/>
                <w:sz w:val="17"/>
                <w:szCs w:val="17"/>
              </w:rPr>
            </w:pPr>
            <w:r>
              <w:rPr>
                <w:rFonts w:ascii="Verdana" w:hAnsi="Verdana"/>
                <w:sz w:val="17"/>
                <w:szCs w:val="17"/>
              </w:rPr>
              <w:t>BNP GURU Equity World</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ED2B60" w:rsidP="00CB58A1">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tcBorders>
            <w:shd w:val="clear" w:color="auto" w:fill="auto"/>
            <w:vAlign w:val="center"/>
          </w:tcPr>
          <w:p w:rsidR="00CB58A1" w:rsidRPr="005B7B53" w:rsidRDefault="00ED2B60" w:rsidP="00CB58A1">
            <w:pPr>
              <w:pStyle w:val="BodyText2"/>
              <w:spacing w:before="20" w:after="20" w:line="260" w:lineRule="atLeast"/>
              <w:jc w:val="center"/>
              <w:rPr>
                <w:rFonts w:ascii="Verdana" w:hAnsi="Verdana"/>
                <w:sz w:val="17"/>
                <w:szCs w:val="17"/>
              </w:rPr>
            </w:pPr>
            <w:r>
              <w:rPr>
                <w:rFonts w:ascii="Verdana" w:hAnsi="Verdana"/>
                <w:sz w:val="17"/>
                <w:szCs w:val="17"/>
              </w:rPr>
              <w:t>38,71%</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tcBorders>
              <w:top w:val="single" w:sz="4" w:space="0" w:color="auto"/>
              <w:bottom w:val="single" w:sz="4" w:space="0" w:color="auto"/>
              <w:right w:val="single" w:sz="4" w:space="0" w:color="auto"/>
            </w:tcBorders>
            <w:vAlign w:val="center"/>
          </w:tcPr>
          <w:p w:rsidR="00CB58A1" w:rsidRPr="005B7B53" w:rsidRDefault="008761C0" w:rsidP="00CB58A1">
            <w:pPr>
              <w:pStyle w:val="BodyText2"/>
              <w:spacing w:before="20" w:after="20" w:line="260" w:lineRule="atLeast"/>
              <w:rPr>
                <w:rFonts w:ascii="Verdana" w:hAnsi="Verdana"/>
                <w:sz w:val="17"/>
                <w:szCs w:val="17"/>
              </w:rPr>
            </w:pPr>
            <w:r>
              <w:rPr>
                <w:rFonts w:ascii="Verdana" w:hAnsi="Verdana"/>
                <w:sz w:val="17"/>
                <w:szCs w:val="17"/>
              </w:rPr>
              <w:t>BNP GURU USA</w:t>
            </w:r>
          </w:p>
        </w:tc>
        <w:tc>
          <w:tcPr>
            <w:tcW w:w="908" w:type="dxa"/>
            <w:tcBorders>
              <w:top w:val="single" w:sz="4" w:space="0" w:color="auto"/>
              <w:left w:val="single" w:sz="4" w:space="0" w:color="auto"/>
              <w:bottom w:val="single" w:sz="4" w:space="0" w:color="auto"/>
              <w:right w:val="single" w:sz="4" w:space="0" w:color="auto"/>
            </w:tcBorders>
            <w:vAlign w:val="center"/>
          </w:tcPr>
          <w:p w:rsidR="00CB58A1" w:rsidRPr="005B7B53" w:rsidRDefault="008761C0" w:rsidP="00CB58A1">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right w:val="single" w:sz="4" w:space="0" w:color="auto"/>
            </w:tcBorders>
            <w:vAlign w:val="center"/>
          </w:tcPr>
          <w:p w:rsidR="00CB58A1" w:rsidRPr="005B7B53" w:rsidRDefault="00ED2B60" w:rsidP="00CB58A1">
            <w:pPr>
              <w:pStyle w:val="BodyText2"/>
              <w:spacing w:before="20" w:after="20" w:line="260" w:lineRule="atLeast"/>
              <w:jc w:val="center"/>
              <w:rPr>
                <w:rFonts w:ascii="Verdana" w:hAnsi="Verdana"/>
                <w:sz w:val="17"/>
                <w:szCs w:val="17"/>
              </w:rPr>
            </w:pPr>
            <w:r>
              <w:rPr>
                <w:rFonts w:ascii="Verdana" w:hAnsi="Verdana"/>
                <w:sz w:val="17"/>
                <w:szCs w:val="17"/>
              </w:rPr>
              <w:t>18,80%</w:t>
            </w:r>
          </w:p>
        </w:tc>
      </w:tr>
      <w:tr w:rsidR="005F48B2" w:rsidRPr="00804DEE"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F48B2" w:rsidRPr="005B7B53" w:rsidRDefault="005F48B2" w:rsidP="005F48B2">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F48B2" w:rsidRPr="005B7B53" w:rsidRDefault="005F48B2" w:rsidP="005F48B2">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F48B2" w:rsidRPr="005B7B53" w:rsidRDefault="00ED2B60" w:rsidP="005F48B2">
            <w:pPr>
              <w:pStyle w:val="BodyText2"/>
              <w:spacing w:before="20" w:after="20" w:line="260" w:lineRule="atLeast"/>
              <w:jc w:val="center"/>
              <w:rPr>
                <w:rFonts w:ascii="Verdana" w:hAnsi="Verdana"/>
                <w:sz w:val="17"/>
                <w:szCs w:val="17"/>
              </w:rPr>
            </w:pPr>
            <w:r>
              <w:rPr>
                <w:rFonts w:ascii="Verdana" w:hAnsi="Verdana"/>
                <w:sz w:val="17"/>
                <w:szCs w:val="17"/>
              </w:rPr>
              <w:t>38,23%</w:t>
            </w:r>
          </w:p>
        </w:tc>
        <w:tc>
          <w:tcPr>
            <w:tcW w:w="282" w:type="dxa"/>
            <w:vMerge/>
            <w:shd w:val="clear" w:color="auto" w:fill="auto"/>
          </w:tcPr>
          <w:p w:rsidR="005F48B2" w:rsidRPr="005B7B53" w:rsidRDefault="005F48B2" w:rsidP="005F48B2">
            <w:pPr>
              <w:pStyle w:val="BodyText2"/>
              <w:spacing w:before="20" w:after="20" w:line="260" w:lineRule="atLeast"/>
              <w:jc w:val="center"/>
              <w:rPr>
                <w:rFonts w:ascii="Verdana" w:hAnsi="Verdana"/>
                <w:sz w:val="17"/>
                <w:szCs w:val="17"/>
              </w:rPr>
            </w:pPr>
          </w:p>
        </w:tc>
        <w:tc>
          <w:tcPr>
            <w:tcW w:w="3111" w:type="dxa"/>
            <w:gridSpan w:val="2"/>
            <w:tcBorders>
              <w:top w:val="single" w:sz="4" w:space="0" w:color="auto"/>
              <w:right w:val="single" w:sz="4" w:space="0" w:color="auto"/>
            </w:tcBorders>
            <w:vAlign w:val="center"/>
          </w:tcPr>
          <w:p w:rsidR="005F48B2" w:rsidRPr="005B7B53" w:rsidRDefault="00ED2B60" w:rsidP="005F48B2">
            <w:pPr>
              <w:pStyle w:val="BodyText2"/>
              <w:spacing w:before="20" w:after="20" w:line="260" w:lineRule="atLeast"/>
              <w:rPr>
                <w:rFonts w:ascii="Verdana" w:hAnsi="Verdana"/>
                <w:sz w:val="17"/>
                <w:szCs w:val="17"/>
              </w:rPr>
            </w:pPr>
            <w:r>
              <w:rPr>
                <w:rFonts w:ascii="Verdana" w:hAnsi="Verdana"/>
                <w:sz w:val="17"/>
                <w:szCs w:val="17"/>
              </w:rPr>
              <w:t>NewWave UK Pound</w:t>
            </w:r>
          </w:p>
        </w:tc>
        <w:tc>
          <w:tcPr>
            <w:tcW w:w="908" w:type="dxa"/>
            <w:tcBorders>
              <w:top w:val="single" w:sz="4" w:space="0" w:color="auto"/>
              <w:left w:val="single" w:sz="4" w:space="0" w:color="auto"/>
              <w:right w:val="single" w:sz="4" w:space="0" w:color="auto"/>
            </w:tcBorders>
            <w:vAlign w:val="center"/>
          </w:tcPr>
          <w:p w:rsidR="005F48B2" w:rsidRPr="005B7B53" w:rsidRDefault="008761C0" w:rsidP="005F48B2">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right w:val="single" w:sz="4" w:space="0" w:color="auto"/>
            </w:tcBorders>
            <w:vAlign w:val="center"/>
          </w:tcPr>
          <w:p w:rsidR="005F48B2" w:rsidRPr="005B7B53" w:rsidRDefault="00ED2B60" w:rsidP="005F48B2">
            <w:pPr>
              <w:pStyle w:val="BodyText2"/>
              <w:spacing w:before="20" w:after="20" w:line="260" w:lineRule="atLeast"/>
              <w:jc w:val="center"/>
              <w:rPr>
                <w:rFonts w:ascii="Verdana" w:hAnsi="Verdana"/>
                <w:sz w:val="17"/>
                <w:szCs w:val="17"/>
              </w:rPr>
            </w:pPr>
            <w:r>
              <w:rPr>
                <w:rFonts w:ascii="Verdana" w:hAnsi="Verdana"/>
                <w:sz w:val="17"/>
                <w:szCs w:val="17"/>
              </w:rPr>
              <w:t>16,38%</w:t>
            </w:r>
          </w:p>
        </w:tc>
      </w:tr>
      <w:tr w:rsidR="00CB58A1" w:rsidRPr="00804DEE"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085AD4" w:rsidP="00CB58A1">
            <w:pPr>
              <w:pStyle w:val="BodyText2"/>
              <w:spacing w:before="20" w:after="20" w:line="260" w:lineRule="atLeast"/>
              <w:rPr>
                <w:rFonts w:ascii="Verdana" w:hAnsi="Verdana"/>
                <w:sz w:val="17"/>
                <w:szCs w:val="17"/>
              </w:rPr>
            </w:pPr>
            <w:r>
              <w:rPr>
                <w:rFonts w:ascii="Verdana" w:hAnsi="Verdana"/>
                <w:sz w:val="17"/>
                <w:szCs w:val="17"/>
              </w:rPr>
              <w:t>BNP GURU U</w:t>
            </w:r>
            <w:r w:rsidR="00ED2B60">
              <w:rPr>
                <w:rFonts w:ascii="Verdana" w:hAnsi="Verdana"/>
                <w:sz w:val="17"/>
                <w:szCs w:val="17"/>
              </w:rPr>
              <w:t>SA</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CB58A1" w:rsidRPr="005B7B53" w:rsidRDefault="00ED2B60" w:rsidP="00ED2B60">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tcBorders>
            <w:shd w:val="clear" w:color="auto" w:fill="auto"/>
            <w:vAlign w:val="center"/>
          </w:tcPr>
          <w:p w:rsidR="00CB58A1" w:rsidRPr="005B7B53" w:rsidRDefault="00ED2B60" w:rsidP="00CB58A1">
            <w:pPr>
              <w:pStyle w:val="BodyText2"/>
              <w:spacing w:before="20" w:after="20" w:line="260" w:lineRule="atLeast"/>
              <w:jc w:val="center"/>
              <w:rPr>
                <w:rFonts w:ascii="Verdana" w:hAnsi="Verdana"/>
                <w:sz w:val="17"/>
                <w:szCs w:val="17"/>
              </w:rPr>
            </w:pPr>
            <w:r>
              <w:rPr>
                <w:rFonts w:ascii="Verdana" w:hAnsi="Verdana"/>
                <w:sz w:val="17"/>
                <w:szCs w:val="17"/>
              </w:rPr>
              <w:t>34,95%</w:t>
            </w:r>
          </w:p>
        </w:tc>
        <w:tc>
          <w:tcPr>
            <w:tcW w:w="282" w:type="dxa"/>
            <w:vMerge/>
            <w:shd w:val="clear" w:color="auto" w:fill="auto"/>
          </w:tcPr>
          <w:p w:rsidR="00CB58A1" w:rsidRPr="005B7B53" w:rsidRDefault="00CB58A1" w:rsidP="00CB58A1">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CB58A1" w:rsidRPr="005B7B53" w:rsidRDefault="00ED2B60" w:rsidP="008761C0">
            <w:pPr>
              <w:pStyle w:val="BodyText2"/>
              <w:spacing w:before="20" w:after="20" w:line="260" w:lineRule="atLeast"/>
              <w:rPr>
                <w:rFonts w:ascii="Verdana" w:hAnsi="Verdana"/>
                <w:sz w:val="17"/>
                <w:szCs w:val="17"/>
              </w:rPr>
            </w:pPr>
            <w:r>
              <w:rPr>
                <w:rFonts w:ascii="Verdana" w:hAnsi="Verdana"/>
                <w:sz w:val="17"/>
                <w:szCs w:val="17"/>
              </w:rPr>
              <w:t>NewWave US Dollar</w:t>
            </w:r>
          </w:p>
        </w:tc>
        <w:tc>
          <w:tcPr>
            <w:tcW w:w="908" w:type="dxa"/>
            <w:tcBorders>
              <w:left w:val="single" w:sz="4" w:space="0" w:color="auto"/>
              <w:bottom w:val="single" w:sz="4" w:space="0" w:color="auto"/>
              <w:right w:val="single" w:sz="4" w:space="0" w:color="auto"/>
            </w:tcBorders>
            <w:vAlign w:val="center"/>
          </w:tcPr>
          <w:p w:rsidR="00CB58A1" w:rsidRPr="005B7B53" w:rsidRDefault="00CB58A1" w:rsidP="008761C0">
            <w:pPr>
              <w:pStyle w:val="BodyText2"/>
              <w:spacing w:before="20" w:after="20" w:line="260" w:lineRule="atLeast"/>
              <w:jc w:val="center"/>
              <w:rPr>
                <w:rFonts w:ascii="Verdana" w:hAnsi="Verdana"/>
                <w:sz w:val="17"/>
                <w:szCs w:val="17"/>
              </w:rPr>
            </w:pPr>
            <w:r w:rsidRPr="005B7B53">
              <w:rPr>
                <w:rFonts w:ascii="Verdana" w:hAnsi="Verdana"/>
                <w:sz w:val="17"/>
                <w:szCs w:val="17"/>
              </w:rPr>
              <w:t>ET</w:t>
            </w:r>
            <w:r w:rsidR="008761C0">
              <w:rPr>
                <w:rFonts w:ascii="Verdana" w:hAnsi="Verdana"/>
                <w:sz w:val="17"/>
                <w:szCs w:val="17"/>
              </w:rPr>
              <w:t>N</w:t>
            </w:r>
          </w:p>
        </w:tc>
        <w:tc>
          <w:tcPr>
            <w:tcW w:w="1262" w:type="dxa"/>
            <w:tcBorders>
              <w:left w:val="single" w:sz="4" w:space="0" w:color="auto"/>
              <w:bottom w:val="single" w:sz="4" w:space="0" w:color="auto"/>
              <w:right w:val="single" w:sz="4" w:space="0" w:color="auto"/>
            </w:tcBorders>
            <w:vAlign w:val="center"/>
          </w:tcPr>
          <w:p w:rsidR="00CB58A1" w:rsidRPr="005B7B53" w:rsidRDefault="00ED2B60" w:rsidP="00CB58A1">
            <w:pPr>
              <w:pStyle w:val="BodyText2"/>
              <w:spacing w:before="20" w:after="20" w:line="260" w:lineRule="atLeast"/>
              <w:jc w:val="center"/>
              <w:rPr>
                <w:rFonts w:ascii="Verdana" w:hAnsi="Verdana"/>
                <w:sz w:val="17"/>
                <w:szCs w:val="17"/>
              </w:rPr>
            </w:pPr>
            <w:r>
              <w:rPr>
                <w:rFonts w:ascii="Verdana" w:hAnsi="Verdana"/>
                <w:sz w:val="17"/>
                <w:szCs w:val="17"/>
              </w:rPr>
              <w:t>15,80%</w:t>
            </w:r>
          </w:p>
        </w:tc>
      </w:tr>
      <w:tr w:rsidR="005F48B2" w:rsidRPr="00804DEE"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F48B2" w:rsidRPr="005B7B53" w:rsidRDefault="00ED2B60" w:rsidP="005F48B2">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F48B2" w:rsidRPr="005B7B53" w:rsidRDefault="005F48B2" w:rsidP="005F48B2">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F48B2" w:rsidRPr="005B7B53" w:rsidRDefault="00ED2B60" w:rsidP="005F48B2">
            <w:pPr>
              <w:pStyle w:val="BodyText2"/>
              <w:spacing w:before="20" w:after="20" w:line="260" w:lineRule="atLeast"/>
              <w:jc w:val="center"/>
              <w:rPr>
                <w:rFonts w:ascii="Verdana" w:hAnsi="Verdana"/>
                <w:sz w:val="17"/>
                <w:szCs w:val="17"/>
              </w:rPr>
            </w:pPr>
            <w:r>
              <w:rPr>
                <w:rFonts w:ascii="Verdana" w:hAnsi="Verdana"/>
                <w:sz w:val="17"/>
                <w:szCs w:val="17"/>
              </w:rPr>
              <w:t>33,38%</w:t>
            </w:r>
          </w:p>
        </w:tc>
        <w:tc>
          <w:tcPr>
            <w:tcW w:w="282" w:type="dxa"/>
            <w:shd w:val="clear" w:color="auto" w:fill="auto"/>
          </w:tcPr>
          <w:p w:rsidR="005F48B2" w:rsidRPr="005B7B53" w:rsidRDefault="005F48B2" w:rsidP="005F48B2">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5F48B2" w:rsidRPr="005B7B53" w:rsidRDefault="00ED2B60" w:rsidP="005F48B2">
            <w:pPr>
              <w:pStyle w:val="BodyText2"/>
              <w:spacing w:before="20" w:after="20" w:line="260" w:lineRule="atLeast"/>
              <w:rPr>
                <w:rFonts w:ascii="Verdana" w:hAnsi="Verdana"/>
                <w:sz w:val="17"/>
                <w:szCs w:val="17"/>
              </w:rPr>
            </w:pPr>
            <w:r>
              <w:rPr>
                <w:rFonts w:ascii="Verdana" w:hAnsi="Verdana"/>
                <w:sz w:val="17"/>
                <w:szCs w:val="17"/>
              </w:rPr>
              <w:t>NewWave Euro</w:t>
            </w:r>
          </w:p>
        </w:tc>
        <w:tc>
          <w:tcPr>
            <w:tcW w:w="908" w:type="dxa"/>
            <w:tcBorders>
              <w:left w:val="single" w:sz="4" w:space="0" w:color="auto"/>
              <w:bottom w:val="single" w:sz="4" w:space="0" w:color="auto"/>
              <w:right w:val="single" w:sz="4" w:space="0" w:color="auto"/>
            </w:tcBorders>
            <w:vAlign w:val="center"/>
          </w:tcPr>
          <w:p w:rsidR="005F48B2" w:rsidRPr="005B7B53" w:rsidRDefault="005F48B2" w:rsidP="005F48B2">
            <w:pPr>
              <w:pStyle w:val="BodyText2"/>
              <w:spacing w:before="20" w:after="20" w:line="260" w:lineRule="atLeast"/>
              <w:jc w:val="center"/>
              <w:rPr>
                <w:rFonts w:ascii="Verdana" w:hAnsi="Verdana"/>
                <w:sz w:val="17"/>
                <w:szCs w:val="17"/>
              </w:rPr>
            </w:pPr>
            <w:r w:rsidRPr="005B7B53">
              <w:rPr>
                <w:rFonts w:ascii="Verdana" w:hAnsi="Verdana"/>
                <w:sz w:val="17"/>
                <w:szCs w:val="17"/>
              </w:rPr>
              <w:t>ET</w:t>
            </w:r>
            <w:r>
              <w:rPr>
                <w:rFonts w:ascii="Verdana" w:hAnsi="Verdana"/>
                <w:sz w:val="17"/>
                <w:szCs w:val="17"/>
              </w:rPr>
              <w:t>N</w:t>
            </w:r>
          </w:p>
        </w:tc>
        <w:tc>
          <w:tcPr>
            <w:tcW w:w="1262" w:type="dxa"/>
            <w:tcBorders>
              <w:left w:val="single" w:sz="4" w:space="0" w:color="auto"/>
              <w:bottom w:val="single" w:sz="4" w:space="0" w:color="auto"/>
              <w:right w:val="single" w:sz="4" w:space="0" w:color="auto"/>
            </w:tcBorders>
            <w:vAlign w:val="center"/>
          </w:tcPr>
          <w:p w:rsidR="005F48B2" w:rsidRPr="005B7B53" w:rsidRDefault="00ED2B60" w:rsidP="005F48B2">
            <w:pPr>
              <w:pStyle w:val="BodyText2"/>
              <w:spacing w:before="20" w:after="20" w:line="260" w:lineRule="atLeast"/>
              <w:jc w:val="center"/>
              <w:rPr>
                <w:rFonts w:ascii="Verdana" w:hAnsi="Verdana"/>
                <w:sz w:val="17"/>
                <w:szCs w:val="17"/>
              </w:rPr>
            </w:pPr>
            <w:r>
              <w:rPr>
                <w:rFonts w:ascii="Verdana" w:hAnsi="Verdana"/>
                <w:sz w:val="17"/>
                <w:szCs w:val="17"/>
              </w:rPr>
              <w:t>14,92%</w:t>
            </w:r>
          </w:p>
        </w:tc>
      </w:tr>
      <w:tr w:rsidR="00CB58A1" w:rsidRPr="00804DEE" w:rsidTr="009D6F66">
        <w:tc>
          <w:tcPr>
            <w:tcW w:w="3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8A1" w:rsidRDefault="00CB58A1" w:rsidP="00CB58A1">
            <w:pPr>
              <w:pStyle w:val="BodyText2"/>
              <w:spacing w:before="20" w:after="20" w:line="260" w:lineRule="atLeast"/>
              <w:jc w:val="center"/>
              <w:rPr>
                <w:rFonts w:ascii="Verdana" w:hAnsi="Verdana"/>
                <w:sz w:val="17"/>
                <w:szCs w:val="17"/>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CB58A1" w:rsidRPr="00307781" w:rsidRDefault="00CB58A1" w:rsidP="00CB58A1">
            <w:pPr>
              <w:pStyle w:val="BodyText2"/>
              <w:spacing w:before="20" w:after="20" w:line="26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4013" w:type="dxa"/>
            <w:gridSpan w:val="3"/>
            <w:tcBorders>
              <w:left w:val="single" w:sz="4" w:space="0" w:color="auto"/>
              <w:bottom w:val="single" w:sz="4" w:space="0" w:color="auto"/>
              <w:right w:val="single" w:sz="4" w:space="0" w:color="auto"/>
            </w:tcBorders>
            <w:vAlign w:val="center"/>
          </w:tcPr>
          <w:p w:rsidR="00CB58A1" w:rsidRPr="005B7B53" w:rsidRDefault="00CB58A1" w:rsidP="00CB58A1">
            <w:pPr>
              <w:pStyle w:val="BodyText2"/>
              <w:spacing w:before="20" w:after="20" w:line="260" w:lineRule="atLeast"/>
              <w:jc w:val="center"/>
              <w:rPr>
                <w:rFonts w:ascii="Verdana" w:hAnsi="Verdana"/>
                <w:sz w:val="17"/>
                <w:szCs w:val="17"/>
              </w:rPr>
            </w:pPr>
          </w:p>
        </w:tc>
      </w:tr>
      <w:tr w:rsidR="00E03AEB" w:rsidRPr="00804DEE"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E03AEB" w:rsidRPr="005B7B53" w:rsidRDefault="00667AD0" w:rsidP="00E03AEB">
            <w:pPr>
              <w:pStyle w:val="BodyText2"/>
              <w:spacing w:before="20" w:after="20" w:line="260" w:lineRule="atLeast"/>
              <w:rPr>
                <w:rFonts w:ascii="Verdana" w:hAnsi="Verdana"/>
                <w:sz w:val="17"/>
                <w:szCs w:val="17"/>
              </w:rPr>
            </w:pPr>
            <w:r>
              <w:rPr>
                <w:rFonts w:ascii="Verdana" w:hAnsi="Verdana"/>
                <w:sz w:val="17"/>
                <w:szCs w:val="17"/>
              </w:rPr>
              <w:t>Standard Bank Palladium-Linker</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E03AEB" w:rsidRPr="005B7B53" w:rsidRDefault="00E03AEB" w:rsidP="00E03AEB">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tcBorders>
            <w:shd w:val="clear" w:color="auto" w:fill="auto"/>
            <w:vAlign w:val="center"/>
          </w:tcPr>
          <w:p w:rsidR="00E03AEB" w:rsidRPr="005B7B53" w:rsidRDefault="00667AD0" w:rsidP="00E03AEB">
            <w:pPr>
              <w:pStyle w:val="BodyText2"/>
              <w:spacing w:before="20" w:after="20" w:line="260" w:lineRule="atLeast"/>
              <w:jc w:val="center"/>
              <w:rPr>
                <w:rFonts w:ascii="Verdana" w:hAnsi="Verdana"/>
                <w:sz w:val="17"/>
                <w:szCs w:val="17"/>
              </w:rPr>
            </w:pPr>
            <w:r>
              <w:rPr>
                <w:rFonts w:ascii="Verdana" w:hAnsi="Verdana"/>
                <w:sz w:val="17"/>
                <w:szCs w:val="17"/>
              </w:rPr>
              <w:t>19,47%</w:t>
            </w:r>
          </w:p>
        </w:tc>
        <w:tc>
          <w:tcPr>
            <w:tcW w:w="282" w:type="dxa"/>
            <w:shd w:val="clear" w:color="auto" w:fill="auto"/>
          </w:tcPr>
          <w:p w:rsidR="00E03AEB" w:rsidRPr="005B7B53" w:rsidRDefault="00E03AEB" w:rsidP="00E03AEB">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E03AEB" w:rsidRPr="005B7B53" w:rsidRDefault="00667AD0" w:rsidP="00E03AEB">
            <w:pPr>
              <w:pStyle w:val="BodyText2"/>
              <w:spacing w:before="20" w:after="20" w:line="260" w:lineRule="atLeast"/>
              <w:rPr>
                <w:rFonts w:ascii="Verdana" w:hAnsi="Verdana"/>
                <w:sz w:val="17"/>
                <w:szCs w:val="17"/>
              </w:rPr>
            </w:pPr>
            <w:r>
              <w:rPr>
                <w:rFonts w:ascii="Verdana" w:hAnsi="Verdana"/>
                <w:sz w:val="17"/>
                <w:szCs w:val="17"/>
              </w:rPr>
              <w:t>Absa New Palladium</w:t>
            </w:r>
          </w:p>
        </w:tc>
        <w:tc>
          <w:tcPr>
            <w:tcW w:w="908" w:type="dxa"/>
            <w:tcBorders>
              <w:left w:val="single" w:sz="4" w:space="0" w:color="auto"/>
              <w:bottom w:val="single" w:sz="4" w:space="0" w:color="auto"/>
              <w:right w:val="single" w:sz="4" w:space="0" w:color="auto"/>
            </w:tcBorders>
            <w:vAlign w:val="center"/>
          </w:tcPr>
          <w:p w:rsidR="00E03AEB" w:rsidRPr="005B7B53" w:rsidRDefault="00E03AEB" w:rsidP="00E03AEB">
            <w:pPr>
              <w:pStyle w:val="BodyText2"/>
              <w:spacing w:before="20" w:after="20" w:line="260" w:lineRule="atLeast"/>
              <w:jc w:val="center"/>
              <w:rPr>
                <w:rFonts w:ascii="Verdana" w:hAnsi="Verdana"/>
                <w:sz w:val="17"/>
                <w:szCs w:val="17"/>
              </w:rPr>
            </w:pPr>
            <w:r w:rsidRPr="005B7B53">
              <w:rPr>
                <w:rFonts w:ascii="Verdana" w:hAnsi="Verdana"/>
                <w:sz w:val="17"/>
                <w:szCs w:val="17"/>
              </w:rPr>
              <w:t>ET</w:t>
            </w:r>
            <w:r w:rsidR="00667AD0">
              <w:rPr>
                <w:rFonts w:ascii="Verdana" w:hAnsi="Verdana"/>
                <w:sz w:val="17"/>
                <w:szCs w:val="17"/>
              </w:rPr>
              <w:t>F</w:t>
            </w:r>
          </w:p>
        </w:tc>
        <w:tc>
          <w:tcPr>
            <w:tcW w:w="1262" w:type="dxa"/>
            <w:tcBorders>
              <w:left w:val="single" w:sz="4" w:space="0" w:color="auto"/>
              <w:bottom w:val="single" w:sz="4" w:space="0" w:color="auto"/>
              <w:right w:val="single" w:sz="4" w:space="0" w:color="auto"/>
            </w:tcBorders>
            <w:vAlign w:val="center"/>
          </w:tcPr>
          <w:p w:rsidR="00E03AEB" w:rsidRPr="005B7B53" w:rsidRDefault="00667AD0" w:rsidP="00E03AEB">
            <w:pPr>
              <w:pStyle w:val="BodyText2"/>
              <w:spacing w:before="20" w:after="20" w:line="260" w:lineRule="atLeast"/>
              <w:jc w:val="center"/>
              <w:rPr>
                <w:rFonts w:ascii="Verdana" w:hAnsi="Verdana"/>
                <w:sz w:val="17"/>
                <w:szCs w:val="17"/>
              </w:rPr>
            </w:pPr>
            <w:r>
              <w:rPr>
                <w:rFonts w:ascii="Verdana" w:hAnsi="Verdana"/>
                <w:sz w:val="17"/>
                <w:szCs w:val="17"/>
              </w:rPr>
              <w:t>17,97%</w:t>
            </w:r>
          </w:p>
        </w:tc>
      </w:tr>
      <w:tr w:rsidR="00E03AEB" w:rsidRPr="00804DEE" w:rsidTr="009D6F66">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E03AEB" w:rsidRPr="005B7B53" w:rsidRDefault="00667AD0" w:rsidP="00E03AEB">
            <w:pPr>
              <w:pStyle w:val="BodyText2"/>
              <w:spacing w:before="20" w:after="20" w:line="260" w:lineRule="atLeast"/>
              <w:rPr>
                <w:rFonts w:ascii="Verdana" w:hAnsi="Verdana"/>
                <w:sz w:val="17"/>
                <w:szCs w:val="17"/>
              </w:rPr>
            </w:pPr>
            <w:r>
              <w:rPr>
                <w:rFonts w:ascii="Verdana" w:hAnsi="Verdana"/>
                <w:sz w:val="17"/>
                <w:szCs w:val="17"/>
              </w:rPr>
              <w:t>Standard Bank Africa Palladium</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E03AEB" w:rsidRPr="005B7B53" w:rsidRDefault="00E03AEB" w:rsidP="00667AD0">
            <w:pPr>
              <w:pStyle w:val="BodyText2"/>
              <w:spacing w:before="20" w:after="20" w:line="260" w:lineRule="atLeast"/>
              <w:jc w:val="center"/>
              <w:rPr>
                <w:rFonts w:ascii="Verdana" w:hAnsi="Verdana"/>
                <w:sz w:val="17"/>
                <w:szCs w:val="17"/>
              </w:rPr>
            </w:pPr>
            <w:r w:rsidRPr="005B7B53">
              <w:rPr>
                <w:rFonts w:ascii="Verdana" w:hAnsi="Verdana"/>
                <w:sz w:val="17"/>
                <w:szCs w:val="17"/>
              </w:rPr>
              <w:t>ET</w:t>
            </w:r>
            <w:r w:rsidR="00667AD0">
              <w:rPr>
                <w:rFonts w:ascii="Verdana" w:hAnsi="Verdana"/>
                <w:sz w:val="17"/>
                <w:szCs w:val="17"/>
              </w:rPr>
              <w:t>F</w:t>
            </w:r>
          </w:p>
        </w:tc>
        <w:tc>
          <w:tcPr>
            <w:tcW w:w="1262" w:type="dxa"/>
            <w:tcBorders>
              <w:top w:val="single" w:sz="4" w:space="0" w:color="auto"/>
              <w:left w:val="single" w:sz="4" w:space="0" w:color="auto"/>
              <w:bottom w:val="single" w:sz="4" w:space="0" w:color="auto"/>
            </w:tcBorders>
            <w:shd w:val="clear" w:color="auto" w:fill="auto"/>
            <w:vAlign w:val="center"/>
          </w:tcPr>
          <w:p w:rsidR="00E03AEB" w:rsidRPr="005B7B53" w:rsidRDefault="00667AD0" w:rsidP="00E03AEB">
            <w:pPr>
              <w:pStyle w:val="BodyText2"/>
              <w:spacing w:before="20" w:after="20" w:line="260" w:lineRule="atLeast"/>
              <w:jc w:val="center"/>
              <w:rPr>
                <w:rFonts w:ascii="Verdana" w:hAnsi="Verdana"/>
                <w:sz w:val="17"/>
                <w:szCs w:val="17"/>
              </w:rPr>
            </w:pPr>
            <w:r>
              <w:rPr>
                <w:rFonts w:ascii="Verdana" w:hAnsi="Verdana"/>
                <w:sz w:val="17"/>
                <w:szCs w:val="17"/>
              </w:rPr>
              <w:t>19,45%</w:t>
            </w:r>
          </w:p>
        </w:tc>
        <w:tc>
          <w:tcPr>
            <w:tcW w:w="282" w:type="dxa"/>
            <w:shd w:val="clear" w:color="auto" w:fill="auto"/>
          </w:tcPr>
          <w:p w:rsidR="00E03AEB" w:rsidRPr="005B7B53" w:rsidRDefault="00E03AEB" w:rsidP="00E03AEB">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E03AEB" w:rsidRPr="005B7B53" w:rsidRDefault="00667AD0" w:rsidP="00E03AEB">
            <w:pPr>
              <w:pStyle w:val="BodyText2"/>
              <w:spacing w:before="20" w:after="20" w:line="260" w:lineRule="atLeast"/>
              <w:rPr>
                <w:rFonts w:ascii="Verdana" w:hAnsi="Verdana"/>
                <w:sz w:val="17"/>
                <w:szCs w:val="17"/>
              </w:rPr>
            </w:pPr>
            <w:r>
              <w:rPr>
                <w:rFonts w:ascii="Verdana" w:hAnsi="Verdana"/>
                <w:sz w:val="17"/>
                <w:szCs w:val="17"/>
              </w:rPr>
              <w:t>Standard Bank Silver-Linker</w:t>
            </w:r>
          </w:p>
        </w:tc>
        <w:tc>
          <w:tcPr>
            <w:tcW w:w="908" w:type="dxa"/>
            <w:tcBorders>
              <w:left w:val="single" w:sz="4" w:space="0" w:color="auto"/>
              <w:bottom w:val="single" w:sz="4" w:space="0" w:color="auto"/>
              <w:right w:val="single" w:sz="4" w:space="0" w:color="auto"/>
            </w:tcBorders>
            <w:vAlign w:val="center"/>
          </w:tcPr>
          <w:p w:rsidR="00E03AEB" w:rsidRPr="005B7B53" w:rsidRDefault="00E03AEB" w:rsidP="00E03AEB">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left w:val="single" w:sz="4" w:space="0" w:color="auto"/>
              <w:bottom w:val="single" w:sz="4" w:space="0" w:color="auto"/>
              <w:right w:val="single" w:sz="4" w:space="0" w:color="auto"/>
            </w:tcBorders>
            <w:vAlign w:val="center"/>
          </w:tcPr>
          <w:p w:rsidR="00E03AEB" w:rsidRPr="005B7B53" w:rsidRDefault="00667AD0" w:rsidP="00E03AEB">
            <w:pPr>
              <w:pStyle w:val="BodyText2"/>
              <w:spacing w:before="20" w:after="20" w:line="260" w:lineRule="atLeast"/>
              <w:jc w:val="center"/>
              <w:rPr>
                <w:rFonts w:ascii="Verdana" w:hAnsi="Verdana"/>
                <w:sz w:val="17"/>
                <w:szCs w:val="17"/>
              </w:rPr>
            </w:pPr>
            <w:r>
              <w:rPr>
                <w:rFonts w:ascii="Verdana" w:hAnsi="Verdana"/>
                <w:sz w:val="17"/>
                <w:szCs w:val="17"/>
              </w:rPr>
              <w:t>14,32%</w:t>
            </w:r>
          </w:p>
        </w:tc>
      </w:tr>
      <w:tr w:rsidR="00E03AEB" w:rsidRPr="00804DEE" w:rsidTr="009D6F66">
        <w:tc>
          <w:tcPr>
            <w:tcW w:w="107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03AEB" w:rsidRPr="005B7B53" w:rsidRDefault="00E03AEB" w:rsidP="00380411">
            <w:pPr>
              <w:pStyle w:val="BodyText2"/>
              <w:spacing w:after="0" w:line="24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w:t>
            </w:r>
            <w:r w:rsidR="00380411">
              <w:rPr>
                <w:rFonts w:ascii="Verdana" w:hAnsi="Verdana"/>
                <w:i/>
                <w:sz w:val="14"/>
                <w:szCs w:val="14"/>
              </w:rPr>
              <w:t>0</w:t>
            </w:r>
            <w:r w:rsidRPr="005B7B53">
              <w:rPr>
                <w:rFonts w:ascii="Verdana" w:hAnsi="Verdana"/>
                <w:i/>
                <w:sz w:val="14"/>
                <w:szCs w:val="14"/>
              </w:rPr>
              <w:t>/</w:t>
            </w:r>
            <w:r w:rsidR="00380411">
              <w:rPr>
                <w:rFonts w:ascii="Verdana" w:hAnsi="Verdana"/>
                <w:i/>
                <w:sz w:val="14"/>
                <w:szCs w:val="14"/>
              </w:rPr>
              <w:t>10</w:t>
            </w:r>
            <w:r w:rsidRPr="005B7B53">
              <w:rPr>
                <w:rFonts w:ascii="Verdana" w:hAnsi="Verdana"/>
                <w:i/>
                <w:sz w:val="14"/>
                <w:szCs w:val="14"/>
              </w:rPr>
              <w:t>/201</w:t>
            </w:r>
            <w:r>
              <w:rPr>
                <w:rFonts w:ascii="Verdana" w:hAnsi="Verdana"/>
                <w:i/>
                <w:sz w:val="14"/>
                <w:szCs w:val="14"/>
              </w:rPr>
              <w:t>5</w:t>
            </w:r>
            <w:r w:rsidRPr="005B7B53">
              <w:rPr>
                <w:rFonts w:ascii="Verdana" w:hAnsi="Verdana"/>
                <w:i/>
                <w:sz w:val="14"/>
                <w:szCs w:val="14"/>
              </w:rPr>
              <w:t xml:space="preserve">)                   * Includes reinvestment of dividends. </w:t>
            </w:r>
          </w:p>
        </w:tc>
      </w:tr>
      <w:bookmarkEnd w:id="4"/>
    </w:tbl>
    <w:p w:rsidR="00D108C2" w:rsidRPr="00212D6A" w:rsidRDefault="00D108C2" w:rsidP="00212D6A">
      <w:pPr>
        <w:pStyle w:val="BodyText2"/>
        <w:spacing w:after="0" w:line="240" w:lineRule="auto"/>
        <w:jc w:val="center"/>
        <w:rPr>
          <w:rFonts w:ascii="Verdana" w:hAnsi="Verdana"/>
          <w:b/>
          <w:caps/>
          <w:sz w:val="8"/>
          <w:szCs w:val="8"/>
        </w:rPr>
      </w:pPr>
    </w:p>
    <w:p w:rsidR="00D108C2" w:rsidRPr="00000A2B" w:rsidRDefault="00D108C2" w:rsidP="00D108C2">
      <w:pPr>
        <w:spacing w:after="120" w:line="280" w:lineRule="atLeast"/>
        <w:jc w:val="both"/>
        <w:rPr>
          <w:rFonts w:ascii="Verdana" w:hAnsi="Verdana"/>
          <w:sz w:val="18"/>
          <w:szCs w:val="18"/>
        </w:rPr>
        <w:sectPr w:rsidR="00D108C2" w:rsidRPr="00000A2B" w:rsidSect="009D6F66">
          <w:footerReference w:type="default" r:id="rId8"/>
          <w:pgSz w:w="12240" w:h="15840" w:code="1"/>
          <w:pgMar w:top="624" w:right="567" w:bottom="567" w:left="851" w:header="567" w:footer="227" w:gutter="0"/>
          <w:cols w:space="708"/>
          <w:docGrid w:linePitch="360"/>
        </w:sectPr>
      </w:pPr>
    </w:p>
    <w:p w:rsidR="00D0228A" w:rsidRPr="00833185" w:rsidRDefault="00D0228A" w:rsidP="00D0228A">
      <w:pPr>
        <w:spacing w:after="0" w:line="240" w:lineRule="auto"/>
        <w:rPr>
          <w:rFonts w:ascii="Verdana" w:hAnsi="Verdana"/>
          <w:sz w:val="16"/>
          <w:szCs w:val="16"/>
        </w:rPr>
      </w:pPr>
      <w:bookmarkStart w:id="5" w:name="OLE_LINK2"/>
      <w:bookmarkEnd w:id="5"/>
      <w:r>
        <w:rPr>
          <w:rFonts w:ascii="Verdana" w:hAnsi="Verdana"/>
          <w:noProof/>
          <w:lang w:eastAsia="en-ZA"/>
        </w:rPr>
        <w:lastRenderedPageBreak/>
        <w:drawing>
          <wp:inline distT="0" distB="0" distL="0" distR="0">
            <wp:extent cx="3735070" cy="784860"/>
            <wp:effectExtent l="0" t="0" r="0" b="0"/>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1134"/>
        <w:gridCol w:w="1134"/>
        <w:gridCol w:w="1134"/>
        <w:gridCol w:w="1134"/>
      </w:tblGrid>
      <w:tr w:rsidR="00D0228A" w:rsidRPr="00A404F6" w:rsidTr="007F2782">
        <w:tc>
          <w:tcPr>
            <w:tcW w:w="14771" w:type="dxa"/>
            <w:gridSpan w:val="10"/>
            <w:shd w:val="clear" w:color="auto" w:fill="CB2229"/>
            <w:vAlign w:val="center"/>
          </w:tcPr>
          <w:p w:rsidR="00D0228A" w:rsidRPr="00E90284" w:rsidRDefault="00D0228A" w:rsidP="007F2782">
            <w:pPr>
              <w:spacing w:before="40" w:after="40" w:line="360" w:lineRule="atLeast"/>
              <w:jc w:val="center"/>
              <w:rPr>
                <w:rFonts w:ascii="Verdana" w:hAnsi="Verdana"/>
                <w:b/>
                <w:color w:val="FFFFFF"/>
                <w:sz w:val="20"/>
                <w:szCs w:val="20"/>
              </w:rPr>
            </w:pPr>
            <w:bookmarkStart w:id="6" w:name="OLE_LINK3"/>
            <w:r w:rsidRPr="00E90284">
              <w:rPr>
                <w:rFonts w:ascii="Verdana" w:hAnsi="Verdana"/>
                <w:b/>
                <w:color w:val="FFFFFF"/>
                <w:sz w:val="20"/>
                <w:szCs w:val="20"/>
              </w:rPr>
              <w:t>MONTHLY PERFORMANCE SURVEY OF INDEX TRACKING ETFS, ETNs AND UNIT TRUSTS</w:t>
            </w:r>
          </w:p>
          <w:p w:rsidR="00D0228A" w:rsidRPr="00E90284" w:rsidRDefault="00D0228A" w:rsidP="007F2782">
            <w:pPr>
              <w:spacing w:before="40" w:after="40" w:line="36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30 October 2015</w:t>
            </w:r>
          </w:p>
          <w:p w:rsidR="00D0228A" w:rsidRPr="00E90284" w:rsidRDefault="00D0228A" w:rsidP="007F2782">
            <w:pPr>
              <w:spacing w:before="40" w:after="40" w:line="360" w:lineRule="atLeast"/>
              <w:jc w:val="center"/>
              <w:rPr>
                <w:rFonts w:ascii="Verdana" w:hAnsi="Verdana"/>
                <w:b/>
                <w:color w:val="FFFFFF"/>
                <w:sz w:val="20"/>
                <w:szCs w:val="20"/>
              </w:rPr>
            </w:pPr>
            <w:r w:rsidRPr="00E90284">
              <w:rPr>
                <w:rFonts w:ascii="Verdana" w:hAnsi="Verdana"/>
                <w:b/>
                <w:color w:val="FFFFFF"/>
                <w:sz w:val="20"/>
                <w:szCs w:val="20"/>
              </w:rPr>
              <w:t>(Total Returns – dividends reinvested)</w:t>
            </w:r>
          </w:p>
        </w:tc>
      </w:tr>
      <w:tr w:rsidR="00D0228A" w:rsidRPr="00A404F6" w:rsidTr="007F2782">
        <w:tc>
          <w:tcPr>
            <w:tcW w:w="4423" w:type="dxa"/>
            <w:shd w:val="clear" w:color="auto" w:fill="4C4C4C"/>
          </w:tcPr>
          <w:p w:rsidR="00D0228A" w:rsidRPr="00A73DC6" w:rsidRDefault="00D0228A" w:rsidP="007F2782">
            <w:pPr>
              <w:spacing w:before="40" w:after="40" w:line="360" w:lineRule="atLeast"/>
              <w:rPr>
                <w:rFonts w:ascii="Verdana" w:hAnsi="Verdana"/>
                <w:b/>
                <w:color w:val="FFFFFF"/>
                <w:sz w:val="16"/>
                <w:szCs w:val="16"/>
              </w:rPr>
            </w:pPr>
            <w:r w:rsidRPr="00A73DC6">
              <w:rPr>
                <w:rFonts w:ascii="Verdana" w:hAnsi="Verdana"/>
                <w:b/>
                <w:color w:val="FFFFFF"/>
                <w:sz w:val="16"/>
                <w:szCs w:val="16"/>
              </w:rPr>
              <w:t>A)  EXCHANGE TRADED FUNDS</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1 Month</w:t>
            </w:r>
          </w:p>
        </w:tc>
        <w:tc>
          <w:tcPr>
            <w:tcW w:w="1276"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3 Months</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6 Months</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1 Year</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2 years p.a.</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3 years p.a.</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5 years p.a.</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Pr>
                <w:rFonts w:ascii="Verdana" w:hAnsi="Verdana"/>
                <w:b/>
                <w:color w:val="FFFFFF"/>
                <w:sz w:val="16"/>
                <w:szCs w:val="16"/>
              </w:rPr>
              <w:t>7</w:t>
            </w:r>
            <w:r w:rsidRPr="00A73DC6">
              <w:rPr>
                <w:rFonts w:ascii="Verdana" w:hAnsi="Verdana"/>
                <w:b/>
                <w:color w:val="FFFFFF"/>
                <w:sz w:val="16"/>
                <w:szCs w:val="16"/>
              </w:rPr>
              <w:t xml:space="preserve"> Years p.a.</w:t>
            </w:r>
          </w:p>
        </w:tc>
        <w:tc>
          <w:tcPr>
            <w:tcW w:w="1134" w:type="dxa"/>
            <w:shd w:val="clear" w:color="auto" w:fill="4C4C4C"/>
          </w:tcPr>
          <w:p w:rsidR="00D0228A" w:rsidRPr="00A73DC6" w:rsidRDefault="00D0228A" w:rsidP="007F2782">
            <w:pPr>
              <w:spacing w:before="40" w:after="40" w:line="300" w:lineRule="atLeast"/>
              <w:jc w:val="center"/>
              <w:rPr>
                <w:rFonts w:ascii="Verdana" w:hAnsi="Verdana"/>
                <w:b/>
                <w:color w:val="FFFFFF"/>
                <w:sz w:val="16"/>
                <w:szCs w:val="16"/>
              </w:rPr>
            </w:pPr>
            <w:r>
              <w:rPr>
                <w:rFonts w:ascii="Verdana" w:hAnsi="Verdana"/>
                <w:b/>
                <w:color w:val="FFFFFF"/>
                <w:sz w:val="16"/>
                <w:szCs w:val="16"/>
              </w:rPr>
              <w:t>10 Years p.a.</w:t>
            </w:r>
          </w:p>
        </w:tc>
      </w:tr>
      <w:tr w:rsidR="00D0228A" w:rsidRPr="00A404F6" w:rsidTr="007F2782">
        <w:tc>
          <w:tcPr>
            <w:tcW w:w="4423" w:type="dxa"/>
            <w:shd w:val="clear" w:color="auto" w:fill="EBEBEB"/>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1. TOP 40 ETF PRODUCTS</w:t>
            </w:r>
          </w:p>
        </w:tc>
        <w:tc>
          <w:tcPr>
            <w:tcW w:w="1134" w:type="dxa"/>
            <w:shd w:val="clear" w:color="auto" w:fill="EBEBEB"/>
            <w:vAlign w:val="center"/>
          </w:tcPr>
          <w:p w:rsidR="00D0228A" w:rsidRPr="00A73DC6" w:rsidRDefault="00D0228A" w:rsidP="007F2782">
            <w:pPr>
              <w:spacing w:before="20" w:after="0" w:line="360" w:lineRule="atLeast"/>
              <w:jc w:val="center"/>
              <w:rPr>
                <w:rFonts w:ascii="Verdana" w:hAnsi="Verdana"/>
                <w:b/>
                <w:sz w:val="16"/>
                <w:szCs w:val="16"/>
              </w:rPr>
            </w:pPr>
          </w:p>
        </w:tc>
        <w:tc>
          <w:tcPr>
            <w:tcW w:w="1276" w:type="dxa"/>
            <w:shd w:val="clear" w:color="auto" w:fill="EBEBEB"/>
            <w:vAlign w:val="center"/>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vAlign w:val="center"/>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vAlign w:val="center"/>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vAlign w:val="center"/>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r>
      <w:tr w:rsidR="00D0228A" w:rsidRPr="00A404F6" w:rsidTr="007F2782">
        <w:tc>
          <w:tcPr>
            <w:tcW w:w="4423" w:type="dxa"/>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 xml:space="preserve">  FTSE/JSE Top 40 Index (total return)</w:t>
            </w:r>
          </w:p>
        </w:tc>
        <w:tc>
          <w:tcPr>
            <w:tcW w:w="1134" w:type="dxa"/>
            <w:vAlign w:val="center"/>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7,89%</w:t>
            </w:r>
          </w:p>
        </w:tc>
        <w:tc>
          <w:tcPr>
            <w:tcW w:w="1276" w:type="dxa"/>
            <w:vAlign w:val="center"/>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5,90%</w:t>
            </w:r>
          </w:p>
        </w:tc>
        <w:tc>
          <w:tcPr>
            <w:tcW w:w="1134" w:type="dxa"/>
            <w:vAlign w:val="center"/>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1,85%</w:t>
            </w:r>
          </w:p>
        </w:tc>
        <w:tc>
          <w:tcPr>
            <w:tcW w:w="1134" w:type="dxa"/>
            <w:vAlign w:val="center"/>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15,05%</w:t>
            </w:r>
          </w:p>
        </w:tc>
        <w:tc>
          <w:tcPr>
            <w:tcW w:w="1134" w:type="dxa"/>
            <w:vAlign w:val="center"/>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12,24%</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16,99%</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15,68%</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17,54%</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15,75%</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Nedbank BettaBeta Equally Weighted Top 40</w:t>
            </w:r>
          </w:p>
        </w:tc>
        <w:tc>
          <w:tcPr>
            <w:tcW w:w="1134" w:type="dxa"/>
          </w:tcPr>
          <w:p w:rsidR="00D0228A" w:rsidRPr="00A73DC6" w:rsidRDefault="00D0228A" w:rsidP="007F2782">
            <w:pPr>
              <w:tabs>
                <w:tab w:val="left" w:pos="1050"/>
              </w:tabs>
              <w:spacing w:before="20" w:after="0" w:line="360" w:lineRule="atLeast"/>
              <w:jc w:val="center"/>
              <w:rPr>
                <w:rFonts w:ascii="Verdana" w:hAnsi="Verdana"/>
                <w:sz w:val="16"/>
                <w:szCs w:val="16"/>
              </w:rPr>
            </w:pPr>
            <w:r>
              <w:rPr>
                <w:rFonts w:ascii="Verdana" w:hAnsi="Verdana"/>
                <w:sz w:val="16"/>
                <w:szCs w:val="16"/>
              </w:rPr>
              <w:t>7,17%</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3,20%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(0,69%)</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11,4%%</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7,70%</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11,82%</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13,75%</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NewFunds SWIX Top 40 (Total Return)</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7,34%</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3,57%</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(0,93%)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11,93%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12,96%</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17,07%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EC1C20"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RMB Top 40 Portfolio</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7,84%</w:t>
            </w:r>
          </w:p>
        </w:tc>
        <w:tc>
          <w:tcPr>
            <w:tcW w:w="1276"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5,84%</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1,78%</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14,82%</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11,99%</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16,71%</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15,41%</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17,23%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Satrix 40 Portfolio</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7,84%</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5,73%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1,61%</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14,52%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11,67%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16,67%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15,11%</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16,94%</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15,27%</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Satrix SWIX Top 40 Portfolio </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7,53%</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3,76%</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(0,66%)</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13,39%</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13,47%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17,58%</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16,55%</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18,03%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STANLIB Top 40</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77,2%</w:t>
            </w:r>
          </w:p>
        </w:tc>
        <w:tc>
          <w:tcPr>
            <w:tcW w:w="1276"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5,29%</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1,51%</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14,30%</w:t>
            </w:r>
          </w:p>
        </w:tc>
        <w:tc>
          <w:tcPr>
            <w:tcW w:w="1134" w:type="dxa"/>
            <w:vAlign w:val="center"/>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11,83%</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16,73%</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15,49%</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STANLIB Swix Top 40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7,63%</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3,58%</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(0,72%)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13,40%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13,79%</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17,96%</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16,94%</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shd w:val="clear" w:color="auto" w:fill="EBEBEB"/>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 xml:space="preserve">2. JSE Sector Exposure ETFs </w:t>
            </w: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276"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c>
          <w:tcPr>
            <w:tcW w:w="1134" w:type="dxa"/>
            <w:shd w:val="clear" w:color="auto" w:fill="EBEBEB"/>
          </w:tcPr>
          <w:p w:rsidR="00D0228A" w:rsidRPr="00A73DC6" w:rsidRDefault="00D0228A" w:rsidP="007F2782">
            <w:pPr>
              <w:spacing w:before="20" w:after="0" w:line="360" w:lineRule="atLeast"/>
              <w:jc w:val="center"/>
              <w:rPr>
                <w:rFonts w:ascii="Verdana" w:hAnsi="Verdana"/>
                <w:b/>
                <w:sz w:val="16"/>
                <w:szCs w:val="16"/>
              </w:rPr>
            </w:pPr>
          </w:p>
        </w:tc>
      </w:tr>
      <w:tr w:rsidR="00D0228A" w:rsidRPr="00A404F6" w:rsidTr="007F2782">
        <w:tc>
          <w:tcPr>
            <w:tcW w:w="4423" w:type="dxa"/>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 xml:space="preserve">  FTSE/JSE Industrial 25 Index (total return)</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8,47%</w:t>
            </w:r>
          </w:p>
        </w:tc>
        <w:tc>
          <w:tcPr>
            <w:tcW w:w="1276"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9,50%</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7,78%</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26,33%</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20,74%</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27,80%</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26,64%</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26,37%</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22,85%</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NewFunds </w:t>
            </w:r>
            <w:r>
              <w:rPr>
                <w:rFonts w:ascii="Verdana" w:hAnsi="Verdana"/>
                <w:sz w:val="16"/>
                <w:szCs w:val="16"/>
              </w:rPr>
              <w:t>S&amp;P GIVI INDI</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5,38%</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10,03%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5,08%</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17,02%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18,38%</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22,07%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20,46%</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Satrix INDI 25</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8,41%</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9,32%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7,52%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25,70%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20,08%</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27,06%</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25,97%</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25,67%</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22,29%</w:t>
            </w:r>
          </w:p>
        </w:tc>
      </w:tr>
      <w:tr w:rsidR="00D0228A" w:rsidRPr="00A404F6" w:rsidTr="007F2782">
        <w:tc>
          <w:tcPr>
            <w:tcW w:w="4423" w:type="dxa"/>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 xml:space="preserve">  FTSE/JSE Financial 15 Index (total return)</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6,93%</w:t>
            </w:r>
          </w:p>
        </w:tc>
        <w:tc>
          <w:tcPr>
            <w:tcW w:w="1276"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2,23%</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(0,78%)</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22,41%</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21,03%</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23,44%</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21,42%</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21,74%</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16,37%</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Pr>
                <w:rFonts w:ascii="Verdana" w:hAnsi="Verdana"/>
                <w:sz w:val="16"/>
                <w:szCs w:val="16"/>
              </w:rPr>
              <w:t xml:space="preserve">  NewFunds S&amp;P GIVI FINI </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7,04%</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1,71%</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(3,74%)</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18,64%</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18,00%</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22,37%</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21,72%</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Satrix FINI 15</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7,24%</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0,92%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(3,42%)</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18,50%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19,14%</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22,52%</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20,25%</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20,24%</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15,26%</w:t>
            </w:r>
          </w:p>
        </w:tc>
      </w:tr>
      <w:tr w:rsidR="00D0228A" w:rsidRPr="00A404F6" w:rsidTr="007F2782">
        <w:tc>
          <w:tcPr>
            <w:tcW w:w="4423" w:type="dxa"/>
          </w:tcPr>
          <w:p w:rsidR="00D0228A" w:rsidRPr="00A73DC6" w:rsidRDefault="00D0228A" w:rsidP="007F2782">
            <w:pPr>
              <w:spacing w:before="20" w:after="0" w:line="360" w:lineRule="atLeast"/>
              <w:rPr>
                <w:rFonts w:ascii="Verdana" w:hAnsi="Verdana"/>
                <w:b/>
                <w:sz w:val="16"/>
                <w:szCs w:val="16"/>
              </w:rPr>
            </w:pPr>
            <w:r w:rsidRPr="00A73DC6">
              <w:rPr>
                <w:rFonts w:ascii="Verdana" w:hAnsi="Verdana"/>
                <w:b/>
                <w:sz w:val="16"/>
                <w:szCs w:val="16"/>
              </w:rPr>
              <w:t xml:space="preserve">  FTSE/JSE Resources 10 Index (total return)</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5,60%</w:t>
            </w:r>
          </w:p>
        </w:tc>
        <w:tc>
          <w:tcPr>
            <w:tcW w:w="1276"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(4,69%)</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(22,20%)</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(25,01%)</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(16,16%)</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(9,65%)</w:t>
            </w:r>
          </w:p>
        </w:tc>
        <w:tc>
          <w:tcPr>
            <w:tcW w:w="1134" w:type="dxa"/>
            <w:shd w:val="clear" w:color="auto" w:fill="auto"/>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(5,47%)</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1,65%</w:t>
            </w:r>
          </w:p>
        </w:tc>
        <w:tc>
          <w:tcPr>
            <w:tcW w:w="1134" w:type="dxa"/>
          </w:tcPr>
          <w:p w:rsidR="00D0228A" w:rsidRPr="00A73DC6" w:rsidRDefault="00D0228A" w:rsidP="007F2782">
            <w:pPr>
              <w:spacing w:before="20" w:after="0" w:line="360" w:lineRule="atLeast"/>
              <w:jc w:val="center"/>
              <w:rPr>
                <w:rFonts w:ascii="Verdana" w:hAnsi="Verdana"/>
                <w:b/>
                <w:sz w:val="16"/>
                <w:szCs w:val="16"/>
              </w:rPr>
            </w:pPr>
            <w:r>
              <w:rPr>
                <w:rFonts w:ascii="Verdana" w:hAnsi="Verdana"/>
                <w:b/>
                <w:sz w:val="16"/>
                <w:szCs w:val="16"/>
              </w:rPr>
              <w:t>4,75%</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Pr>
                <w:rFonts w:ascii="Verdana" w:hAnsi="Verdana"/>
                <w:sz w:val="16"/>
                <w:szCs w:val="16"/>
              </w:rPr>
              <w:t xml:space="preserve">  NewFunds S&amp;P GIVI RESI </w:t>
            </w:r>
          </w:p>
        </w:tc>
        <w:tc>
          <w:tcPr>
            <w:tcW w:w="1134" w:type="dxa"/>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11,96%</w:t>
            </w:r>
          </w:p>
        </w:tc>
        <w:tc>
          <w:tcPr>
            <w:tcW w:w="1276" w:type="dxa"/>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10,70%</w:t>
            </w:r>
          </w:p>
        </w:tc>
        <w:tc>
          <w:tcPr>
            <w:tcW w:w="1134" w:type="dxa"/>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(9,81%)</w:t>
            </w:r>
          </w:p>
        </w:tc>
        <w:tc>
          <w:tcPr>
            <w:tcW w:w="1134" w:type="dxa"/>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(17,94%)</w:t>
            </w:r>
          </w:p>
        </w:tc>
        <w:tc>
          <w:tcPr>
            <w:tcW w:w="1134" w:type="dxa"/>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(9,80%)</w:t>
            </w:r>
          </w:p>
        </w:tc>
        <w:tc>
          <w:tcPr>
            <w:tcW w:w="1134" w:type="dxa"/>
            <w:shd w:val="clear" w:color="auto" w:fill="auto"/>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(3,45%)</w:t>
            </w:r>
          </w:p>
        </w:tc>
        <w:tc>
          <w:tcPr>
            <w:tcW w:w="1134" w:type="dxa"/>
            <w:shd w:val="clear" w:color="auto" w:fill="auto"/>
          </w:tcPr>
          <w:p w:rsidR="00D0228A" w:rsidRPr="00A73DC6" w:rsidRDefault="003F6ED8" w:rsidP="007F2782">
            <w:pPr>
              <w:spacing w:before="20" w:after="0" w:line="360" w:lineRule="atLeast"/>
              <w:jc w:val="center"/>
              <w:rPr>
                <w:rFonts w:ascii="Verdana" w:hAnsi="Verdana"/>
                <w:sz w:val="16"/>
                <w:szCs w:val="16"/>
              </w:rPr>
            </w:pPr>
            <w:r>
              <w:rPr>
                <w:rFonts w:ascii="Verdana" w:hAnsi="Verdana"/>
                <w:sz w:val="16"/>
                <w:szCs w:val="16"/>
              </w:rPr>
              <w:t>0,52%</w:t>
            </w:r>
          </w:p>
        </w:tc>
        <w:tc>
          <w:tcPr>
            <w:tcW w:w="1134" w:type="dxa"/>
          </w:tcPr>
          <w:p w:rsidR="00D0228A" w:rsidRPr="00A73DC6" w:rsidRDefault="00D0228A" w:rsidP="007F2782">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A73DC6" w:rsidRDefault="00D0228A" w:rsidP="007F2782">
            <w:pPr>
              <w:spacing w:before="20" w:after="0" w:line="360" w:lineRule="atLeast"/>
              <w:rPr>
                <w:rFonts w:ascii="Verdana" w:hAnsi="Verdana"/>
                <w:sz w:val="16"/>
                <w:szCs w:val="16"/>
              </w:rPr>
            </w:pPr>
            <w:r w:rsidRPr="00A73DC6">
              <w:rPr>
                <w:rFonts w:ascii="Verdana" w:hAnsi="Verdana"/>
                <w:sz w:val="16"/>
                <w:szCs w:val="16"/>
              </w:rPr>
              <w:t xml:space="preserve">  Satrix RESI 10</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5,76%</w:t>
            </w:r>
          </w:p>
        </w:tc>
        <w:tc>
          <w:tcPr>
            <w:tcW w:w="1276"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(4,39%)</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(24,63%)</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(27,55%)</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(15,62%)</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(9,39%)</w:t>
            </w:r>
          </w:p>
        </w:tc>
        <w:tc>
          <w:tcPr>
            <w:tcW w:w="1134" w:type="dxa"/>
            <w:shd w:val="clear" w:color="auto" w:fill="auto"/>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(5,48%)</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1,48%</w:t>
            </w:r>
          </w:p>
        </w:tc>
        <w:tc>
          <w:tcPr>
            <w:tcW w:w="1134" w:type="dxa"/>
          </w:tcPr>
          <w:p w:rsidR="00D0228A" w:rsidRPr="00A73DC6" w:rsidRDefault="00D0228A" w:rsidP="007F2782">
            <w:pPr>
              <w:spacing w:before="20" w:after="0" w:line="360" w:lineRule="atLeast"/>
              <w:jc w:val="center"/>
              <w:rPr>
                <w:rFonts w:ascii="Verdana" w:hAnsi="Verdana"/>
                <w:sz w:val="16"/>
                <w:szCs w:val="16"/>
              </w:rPr>
            </w:pPr>
            <w:r>
              <w:rPr>
                <w:rFonts w:ascii="Verdana" w:hAnsi="Verdana"/>
                <w:sz w:val="16"/>
                <w:szCs w:val="16"/>
              </w:rPr>
              <w:t>-</w:t>
            </w:r>
          </w:p>
        </w:tc>
      </w:tr>
      <w:bookmarkEnd w:id="6"/>
    </w:tbl>
    <w:p w:rsidR="00D0228A" w:rsidRDefault="00D0228A" w:rsidP="00D0228A">
      <w:pPr>
        <w:spacing w:after="0" w:line="240" w:lineRule="auto"/>
        <w:rPr>
          <w:sz w:val="15"/>
          <w:szCs w:val="15"/>
        </w:rPr>
      </w:pPr>
      <w:r>
        <w:rPr>
          <w:sz w:val="15"/>
          <w:szCs w:val="15"/>
        </w:rPr>
        <w:br w:type="page"/>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1134"/>
        <w:gridCol w:w="1134"/>
        <w:gridCol w:w="1134"/>
        <w:gridCol w:w="1134"/>
      </w:tblGrid>
      <w:tr w:rsidR="00D0228A" w:rsidTr="007F2782">
        <w:tc>
          <w:tcPr>
            <w:tcW w:w="14771" w:type="dxa"/>
            <w:gridSpan w:val="10"/>
            <w:shd w:val="clear" w:color="auto" w:fill="CB2229"/>
            <w:vAlign w:val="center"/>
          </w:tcPr>
          <w:p w:rsidR="00D0228A" w:rsidRPr="00E90284" w:rsidRDefault="00D0228A" w:rsidP="00143C95">
            <w:pPr>
              <w:spacing w:before="20" w:after="40" w:line="300" w:lineRule="atLeast"/>
              <w:jc w:val="center"/>
              <w:rPr>
                <w:rFonts w:ascii="Verdana" w:hAnsi="Verdana"/>
                <w:b/>
                <w:color w:val="FFFFFF"/>
                <w:sz w:val="20"/>
                <w:szCs w:val="20"/>
              </w:rPr>
            </w:pPr>
            <w:r w:rsidRPr="00E90284">
              <w:rPr>
                <w:rFonts w:ascii="Verdana" w:hAnsi="Verdana"/>
                <w:noProof/>
                <w:sz w:val="20"/>
                <w:szCs w:val="20"/>
                <w:lang w:eastAsia="en-ZA"/>
              </w:rPr>
              <w:lastRenderedPageBreak/>
              <w:drawing>
                <wp:inline distT="0" distB="0" distL="0" distR="0">
                  <wp:extent cx="2066925" cy="434328"/>
                  <wp:effectExtent l="0" t="0" r="0" b="4445"/>
                  <wp:docPr id="4" name="Picture 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D0228A" w:rsidRPr="00E90284" w:rsidRDefault="00D0228A" w:rsidP="00143C95">
            <w:pPr>
              <w:spacing w:before="20" w:after="40" w:line="30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30 October 2015</w:t>
            </w:r>
          </w:p>
          <w:p w:rsidR="00D0228A" w:rsidRPr="00E90284" w:rsidRDefault="00D0228A" w:rsidP="00143C95">
            <w:pPr>
              <w:spacing w:before="20" w:after="40" w:line="300" w:lineRule="atLeast"/>
              <w:jc w:val="center"/>
              <w:rPr>
                <w:rFonts w:ascii="Verdana" w:hAnsi="Verdana"/>
                <w:noProof/>
                <w:sz w:val="20"/>
                <w:szCs w:val="20"/>
                <w:lang w:eastAsia="en-ZA"/>
              </w:rPr>
            </w:pPr>
            <w:r w:rsidRPr="00E90284">
              <w:rPr>
                <w:rFonts w:ascii="Verdana" w:hAnsi="Verdana"/>
                <w:b/>
                <w:color w:val="FFFFFF"/>
                <w:sz w:val="20"/>
                <w:szCs w:val="20"/>
              </w:rPr>
              <w:t>(Total Returns – dividends reinvested)</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rPr>
                <w:rFonts w:ascii="Verdana" w:hAnsi="Verdana"/>
                <w:b/>
                <w:color w:val="FFFFFF"/>
                <w:sz w:val="16"/>
                <w:szCs w:val="16"/>
              </w:rPr>
            </w:pPr>
            <w:r w:rsidRPr="00F640B4">
              <w:rPr>
                <w:rFonts w:ascii="Verdana" w:hAnsi="Verdana"/>
                <w:b/>
                <w:color w:val="FFFFFF"/>
                <w:sz w:val="16"/>
                <w:szCs w:val="16"/>
              </w:rPr>
              <w:t>A)  EXCHANGE TRADED FUNDS(continued)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D0228A" w:rsidRPr="00270181" w:rsidTr="007F2782">
        <w:tc>
          <w:tcPr>
            <w:tcW w:w="4423" w:type="dxa"/>
            <w:shd w:val="clear" w:color="auto" w:fill="EBEBEB"/>
          </w:tcPr>
          <w:p w:rsidR="00D0228A" w:rsidRPr="00F640B4" w:rsidRDefault="00D0228A" w:rsidP="00143C95">
            <w:pPr>
              <w:spacing w:before="40" w:after="0" w:line="300" w:lineRule="atLeast"/>
              <w:rPr>
                <w:rFonts w:ascii="Verdana" w:hAnsi="Verdana"/>
                <w:b/>
                <w:sz w:val="16"/>
                <w:szCs w:val="16"/>
              </w:rPr>
            </w:pPr>
            <w:r w:rsidRPr="00F640B4">
              <w:rPr>
                <w:rFonts w:ascii="Verdana" w:hAnsi="Verdana"/>
                <w:b/>
                <w:sz w:val="16"/>
                <w:szCs w:val="16"/>
              </w:rPr>
              <w:t>3. Bond (Fixed Interest) ETFs</w:t>
            </w: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276"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shd w:val="clear" w:color="auto" w:fill="EBEBEB"/>
          </w:tcPr>
          <w:p w:rsidR="00D0228A" w:rsidRPr="00F640B4" w:rsidRDefault="00D0228A" w:rsidP="00143C95">
            <w:pPr>
              <w:spacing w:before="40" w:after="0" w:line="300" w:lineRule="atLeast"/>
              <w:jc w:val="center"/>
              <w:rPr>
                <w:rFonts w:ascii="Verdana" w:hAnsi="Verdana"/>
                <w:b/>
                <w:sz w:val="16"/>
                <w:szCs w:val="16"/>
              </w:rPr>
            </w:pPr>
          </w:p>
        </w:tc>
      </w:tr>
      <w:tr w:rsidR="00D0228A" w:rsidRPr="001E4AD2" w:rsidTr="007F2782">
        <w:tc>
          <w:tcPr>
            <w:tcW w:w="4423" w:type="dxa"/>
          </w:tcPr>
          <w:p w:rsidR="00D0228A" w:rsidRPr="00F640B4" w:rsidRDefault="00D0228A" w:rsidP="00143C95">
            <w:pPr>
              <w:spacing w:before="40" w:after="0" w:line="300" w:lineRule="atLeast"/>
              <w:rPr>
                <w:rFonts w:ascii="Verdana" w:hAnsi="Verdana"/>
                <w:b/>
                <w:sz w:val="16"/>
                <w:szCs w:val="16"/>
              </w:rPr>
            </w:pPr>
            <w:r w:rsidRPr="00F640B4">
              <w:rPr>
                <w:rFonts w:ascii="Verdana" w:hAnsi="Verdana"/>
                <w:sz w:val="16"/>
                <w:szCs w:val="16"/>
              </w:rPr>
              <w:t xml:space="preserve"> </w:t>
            </w:r>
            <w:r w:rsidRPr="00F640B4">
              <w:rPr>
                <w:rFonts w:ascii="Verdana" w:hAnsi="Verdana"/>
                <w:b/>
                <w:sz w:val="16"/>
                <w:szCs w:val="16"/>
              </w:rPr>
              <w:t>All Bond Total Return Index (total return)</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1,30%</w:t>
            </w:r>
          </w:p>
        </w:tc>
        <w:tc>
          <w:tcPr>
            <w:tcW w:w="1276"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1,25%</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1,48%</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4,96%</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6,59%</w:t>
            </w:r>
          </w:p>
        </w:tc>
        <w:tc>
          <w:tcPr>
            <w:tcW w:w="1134" w:type="dxa"/>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6,01%</w:t>
            </w:r>
          </w:p>
        </w:tc>
        <w:tc>
          <w:tcPr>
            <w:tcW w:w="1134" w:type="dxa"/>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7,74%</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9,18%</w:t>
            </w:r>
          </w:p>
        </w:tc>
        <w:tc>
          <w:tcPr>
            <w:tcW w:w="1134" w:type="dxa"/>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8,32%</w:t>
            </w: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GOVI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1,32%</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1,42%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4,32%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6,17%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ILBI (Inflation-Linked)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1,97%</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1,15%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5,65%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RMB Inflation Linked (Inflation-X)</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1,94%</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1,04%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1,22%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5,25%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8,16%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6,41%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9,54%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rPr>
                <w:rFonts w:ascii="Verdana" w:hAnsi="Verdana"/>
                <w:b/>
                <w:sz w:val="16"/>
                <w:szCs w:val="16"/>
              </w:rPr>
            </w:pPr>
            <w:r w:rsidRPr="00F640B4">
              <w:rPr>
                <w:rFonts w:ascii="Verdana" w:hAnsi="Verdana"/>
                <w:b/>
                <w:sz w:val="16"/>
                <w:szCs w:val="16"/>
              </w:rPr>
              <w:t>4. Property ETFs</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5"/>
                <w:szCs w:val="15"/>
              </w:rPr>
            </w:pPr>
            <w:r w:rsidRPr="00F640B4">
              <w:rPr>
                <w:rFonts w:ascii="Verdana" w:hAnsi="Verdana"/>
                <w:b/>
                <w:sz w:val="15"/>
                <w:szCs w:val="15"/>
              </w:rPr>
              <w:t>FTSE/JSE Property (SAPY) Index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2,08%</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2,73%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1,65%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21,48%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19,98%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19,03%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19,04%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22,14%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19,33%</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w:t>
            </w:r>
            <w:r>
              <w:rPr>
                <w:rFonts w:ascii="Verdana" w:hAnsi="Verdana"/>
                <w:sz w:val="16"/>
                <w:szCs w:val="16"/>
              </w:rPr>
              <w:t xml:space="preserve">CoreShares </w:t>
            </w:r>
            <w:r w:rsidRPr="00F640B4">
              <w:rPr>
                <w:rFonts w:ascii="Verdana" w:hAnsi="Verdana"/>
                <w:sz w:val="16"/>
                <w:szCs w:val="16"/>
              </w:rPr>
              <w:t>Proptrax SAPY</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2,09%</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2,55%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1,42%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21,65%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18,19%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17,94%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21,03%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w:t>
            </w:r>
            <w:r>
              <w:rPr>
                <w:rFonts w:ascii="Verdana" w:hAnsi="Verdana"/>
                <w:sz w:val="16"/>
                <w:szCs w:val="16"/>
              </w:rPr>
              <w:t xml:space="preserve">CoreShares </w:t>
            </w:r>
            <w:r w:rsidRPr="00F640B4">
              <w:rPr>
                <w:rFonts w:ascii="Verdana" w:hAnsi="Verdana"/>
                <w:sz w:val="16"/>
                <w:szCs w:val="16"/>
              </w:rPr>
              <w:t>Proptrax TEN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2,61%</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5,25%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4,00%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23,61%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24,81%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20,35%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STANLIB Property </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1,87%</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2,44%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1,16%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21,19%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19,40%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1E4AD2" w:rsidTr="007F2782">
        <w:tc>
          <w:tcPr>
            <w:tcW w:w="4423"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rPr>
                <w:rFonts w:ascii="Verdana" w:hAnsi="Verdana"/>
                <w:b/>
                <w:sz w:val="16"/>
                <w:szCs w:val="16"/>
              </w:rPr>
            </w:pPr>
            <w:r w:rsidRPr="00F640B4">
              <w:rPr>
                <w:rFonts w:ascii="Verdana" w:hAnsi="Verdana"/>
                <w:b/>
                <w:sz w:val="16"/>
                <w:szCs w:val="16"/>
              </w:rPr>
              <w:t>5. “Style” ETFs</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D0228A" w:rsidRPr="00F640B4" w:rsidRDefault="00D0228A" w:rsidP="00143C95">
            <w:pPr>
              <w:spacing w:before="40" w:after="0" w:line="300" w:lineRule="atLeast"/>
              <w:jc w:val="center"/>
              <w:rPr>
                <w:rFonts w:ascii="Verdana" w:hAnsi="Verdana"/>
                <w:b/>
                <w:sz w:val="16"/>
                <w:szCs w:val="16"/>
              </w:rPr>
            </w:pPr>
          </w:p>
        </w:tc>
      </w:tr>
      <w:tr w:rsidR="00D0228A" w:rsidRPr="001E4AD2"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b/>
                <w:sz w:val="16"/>
                <w:szCs w:val="16"/>
              </w:rPr>
            </w:pPr>
            <w:r w:rsidRPr="00F640B4">
              <w:rPr>
                <w:rFonts w:ascii="Verdana" w:hAnsi="Verdana"/>
                <w:b/>
                <w:sz w:val="16"/>
                <w:szCs w:val="16"/>
              </w:rPr>
              <w:t xml:space="preserve"> FTSE/JSE All Share Index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7,61%</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5,34%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0,89%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14,08%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16,63%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15,52%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17,89%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b/>
                <w:sz w:val="16"/>
                <w:szCs w:val="16"/>
              </w:rPr>
            </w:pPr>
            <w:r>
              <w:rPr>
                <w:rFonts w:ascii="Verdana" w:hAnsi="Verdana"/>
                <w:b/>
                <w:sz w:val="16"/>
                <w:szCs w:val="16"/>
              </w:rPr>
              <w:t>16,01%</w:t>
            </w: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Pr>
                <w:rFonts w:ascii="Verdana" w:hAnsi="Verdana"/>
                <w:sz w:val="16"/>
                <w:szCs w:val="16"/>
              </w:rPr>
              <w:t xml:space="preserve"> CoreShares</w:t>
            </w:r>
            <w:r w:rsidRPr="00F640B4">
              <w:rPr>
                <w:rFonts w:ascii="Verdana" w:hAnsi="Verdana"/>
                <w:sz w:val="16"/>
                <w:szCs w:val="16"/>
              </w:rPr>
              <w:t xml:space="preserve"> Dividends Aristocrat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6,83%</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2,36%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(4,43%)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21,94%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Pr>
                <w:rFonts w:ascii="Verdana" w:hAnsi="Verdana"/>
                <w:sz w:val="16"/>
                <w:szCs w:val="16"/>
              </w:rPr>
              <w:t xml:space="preserve"> CoreShares L</w:t>
            </w:r>
            <w:r w:rsidRPr="00F640B4">
              <w:rPr>
                <w:rFonts w:ascii="Verdana" w:hAnsi="Verdana"/>
                <w:sz w:val="16"/>
                <w:szCs w:val="16"/>
              </w:rPr>
              <w:t>ow Volatility</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4,84%</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2,71%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1,07%</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21,88%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143C95" w:rsidTr="007F2782">
        <w:tc>
          <w:tcPr>
            <w:tcW w:w="4423"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rPr>
                <w:rFonts w:ascii="Verdana" w:hAnsi="Verdana"/>
                <w:sz w:val="16"/>
                <w:szCs w:val="16"/>
              </w:rPr>
            </w:pPr>
            <w:r>
              <w:rPr>
                <w:rFonts w:ascii="Verdana" w:hAnsi="Verdana"/>
                <w:sz w:val="16"/>
                <w:szCs w:val="16"/>
              </w:rPr>
              <w:t xml:space="preserve"> CoreShares S&amp;P Top 50</w:t>
            </w:r>
          </w:p>
        </w:tc>
        <w:tc>
          <w:tcPr>
            <w:tcW w:w="1134"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jc w:val="center"/>
              <w:rPr>
                <w:rFonts w:ascii="Verdana" w:hAnsi="Verdana"/>
                <w:sz w:val="16"/>
                <w:szCs w:val="16"/>
              </w:rPr>
            </w:pPr>
            <w:r>
              <w:rPr>
                <w:rFonts w:ascii="Verdana" w:hAnsi="Verdana"/>
                <w:sz w:val="16"/>
                <w:szCs w:val="16"/>
              </w:rPr>
              <w:t>7,59%</w:t>
            </w:r>
          </w:p>
        </w:tc>
        <w:tc>
          <w:tcPr>
            <w:tcW w:w="1276"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jc w:val="center"/>
              <w:rPr>
                <w:rFonts w:ascii="Verdana" w:hAnsi="Verdana"/>
                <w:sz w:val="16"/>
                <w:szCs w:val="16"/>
              </w:rPr>
            </w:pPr>
            <w:r>
              <w:rPr>
                <w:rFonts w:ascii="Verdana" w:hAnsi="Verdana"/>
                <w:sz w:val="16"/>
                <w:szCs w:val="16"/>
              </w:rPr>
              <w:t>5,30%</w:t>
            </w:r>
          </w:p>
        </w:tc>
        <w:tc>
          <w:tcPr>
            <w:tcW w:w="1134"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143C95" w:rsidRPr="00F640B4"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3C95" w:rsidRPr="00F640B4"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3C95" w:rsidRPr="00F640B4"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143C95" w:rsidRPr="00F640B4" w:rsidRDefault="00143C95" w:rsidP="00143C95">
            <w:pPr>
              <w:spacing w:before="40" w:after="0" w:line="300" w:lineRule="atLeast"/>
              <w:jc w:val="center"/>
              <w:rPr>
                <w:rFonts w:ascii="Verdana" w:hAnsi="Verdana"/>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143C95" w:rsidRDefault="00143C95" w:rsidP="00143C95">
            <w:pPr>
              <w:spacing w:before="40" w:after="0" w:line="300" w:lineRule="atLeast"/>
              <w:jc w:val="center"/>
              <w:rPr>
                <w:rFonts w:ascii="Verdana" w:hAnsi="Verdana"/>
                <w:sz w:val="16"/>
                <w:szCs w:val="16"/>
              </w:rPr>
            </w:pP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Nedbank BGreen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7,10%</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(0,43%)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(11,59%)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(2,59%)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(0,54%)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5,35%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Equity Momentum Fund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8,63%</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9,55%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(0,23%)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19,94%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Shari’ah Top 40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2,87%</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(4,86%)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(13,57%)</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(12,93%)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4,39%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NewSA</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5,30%</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2,00%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(2,77%)</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6,58%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10,52%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15,58%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NewFunds </w:t>
            </w:r>
            <w:r>
              <w:rPr>
                <w:rFonts w:ascii="Verdana" w:hAnsi="Verdana"/>
                <w:sz w:val="16"/>
                <w:szCs w:val="16"/>
              </w:rPr>
              <w:t>S&amp;P GIVI Top 50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5,72%</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5,82%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(0,87%)</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6,65%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9,10%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13,05%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16,38%</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MAPPS – Protect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3,87%</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2,15%</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0,54%</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7,81%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9,38%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10,34%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MAPPS – Growth</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5,92%</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3,01%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(0,36%)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9,99%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3F6ED8" w:rsidP="00143C95">
            <w:pPr>
              <w:spacing w:before="40" w:after="0" w:line="300" w:lineRule="atLeast"/>
              <w:jc w:val="center"/>
              <w:rPr>
                <w:rFonts w:ascii="Verdana" w:hAnsi="Verdana"/>
                <w:sz w:val="16"/>
                <w:szCs w:val="16"/>
              </w:rPr>
            </w:pPr>
            <w:r>
              <w:rPr>
                <w:rFonts w:ascii="Verdana" w:hAnsi="Verdana"/>
                <w:sz w:val="16"/>
                <w:szCs w:val="16"/>
              </w:rPr>
              <w:t>14,13%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DB656E"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RMB MidCap</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6,23%</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2,26%</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(8,53%)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7,63%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Satrix DIVI Plus</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5,95%</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(2,82%)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(13,73%)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(4,11%)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7,70%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15,12%</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rPr>
                <w:rFonts w:ascii="Verdana" w:hAnsi="Verdana"/>
                <w:sz w:val="16"/>
                <w:szCs w:val="16"/>
              </w:rPr>
            </w:pPr>
            <w:r w:rsidRPr="00F640B4">
              <w:rPr>
                <w:rFonts w:ascii="Verdana" w:hAnsi="Verdana"/>
                <w:sz w:val="16"/>
                <w:szCs w:val="16"/>
              </w:rPr>
              <w:t xml:space="preserve"> Satrix RAFI Total Return</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6,31%</w:t>
            </w:r>
          </w:p>
        </w:tc>
        <w:tc>
          <w:tcPr>
            <w:tcW w:w="1276"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0,91%</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(8,50%)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2,23%</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4,38%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9,81%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10,70%</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14,79%</w:t>
            </w:r>
          </w:p>
        </w:tc>
        <w:tc>
          <w:tcPr>
            <w:tcW w:w="1134" w:type="dxa"/>
            <w:tcBorders>
              <w:top w:val="single" w:sz="4" w:space="0" w:color="000000"/>
              <w:left w:val="single" w:sz="4" w:space="0" w:color="000000"/>
              <w:bottom w:val="single" w:sz="4" w:space="0" w:color="000000"/>
              <w:right w:val="single" w:sz="4" w:space="0" w:color="000000"/>
            </w:tcBorders>
          </w:tcPr>
          <w:p w:rsidR="00D0228A" w:rsidRPr="00F640B4" w:rsidRDefault="00D0228A" w:rsidP="00143C95">
            <w:pPr>
              <w:spacing w:before="40" w:after="0" w:line="300" w:lineRule="atLeast"/>
              <w:jc w:val="center"/>
              <w:rPr>
                <w:rFonts w:ascii="Verdana" w:hAnsi="Verdana"/>
                <w:sz w:val="16"/>
                <w:szCs w:val="16"/>
              </w:rPr>
            </w:pPr>
            <w:r>
              <w:rPr>
                <w:rFonts w:ascii="Verdana" w:hAnsi="Verdana"/>
                <w:sz w:val="16"/>
                <w:szCs w:val="16"/>
              </w:rPr>
              <w:t>-</w:t>
            </w:r>
          </w:p>
        </w:tc>
      </w:tr>
    </w:tbl>
    <w:p w:rsidR="00D0228A" w:rsidRPr="00E7211D" w:rsidRDefault="00D0228A" w:rsidP="00D0228A">
      <w:pPr>
        <w:spacing w:after="0" w:line="240" w:lineRule="auto"/>
        <w:rPr>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992"/>
        <w:gridCol w:w="1134"/>
        <w:gridCol w:w="1276"/>
        <w:gridCol w:w="1276"/>
      </w:tblGrid>
      <w:tr w:rsidR="00D0228A" w:rsidTr="007F2782">
        <w:tc>
          <w:tcPr>
            <w:tcW w:w="14913" w:type="dxa"/>
            <w:gridSpan w:val="10"/>
            <w:shd w:val="clear" w:color="auto" w:fill="CB2229"/>
            <w:vAlign w:val="center"/>
          </w:tcPr>
          <w:p w:rsidR="00D0228A" w:rsidRPr="00E90284" w:rsidRDefault="00D0228A" w:rsidP="007F2782">
            <w:pPr>
              <w:spacing w:before="20" w:after="0" w:line="260" w:lineRule="atLeast"/>
              <w:jc w:val="center"/>
              <w:rPr>
                <w:rFonts w:ascii="Verdana" w:hAnsi="Verdana"/>
                <w:b/>
                <w:color w:val="FFFFFF"/>
                <w:sz w:val="20"/>
                <w:szCs w:val="20"/>
              </w:rPr>
            </w:pPr>
            <w:r w:rsidRPr="00E90284">
              <w:rPr>
                <w:rFonts w:ascii="Verdana" w:hAnsi="Verdana"/>
                <w:noProof/>
                <w:sz w:val="20"/>
                <w:szCs w:val="20"/>
                <w:lang w:eastAsia="en-ZA"/>
              </w:rPr>
              <w:lastRenderedPageBreak/>
              <w:drawing>
                <wp:inline distT="0" distB="0" distL="0" distR="0">
                  <wp:extent cx="2066925" cy="434328"/>
                  <wp:effectExtent l="0" t="0" r="0" b="4445"/>
                  <wp:docPr id="5" name="Picture 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D0228A" w:rsidRPr="00E90284" w:rsidRDefault="00D0228A" w:rsidP="007F2782">
            <w:pPr>
              <w:spacing w:before="20" w:after="0" w:line="26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30 October 2015</w:t>
            </w:r>
          </w:p>
          <w:p w:rsidR="00D0228A" w:rsidRPr="00E90284" w:rsidRDefault="00D0228A" w:rsidP="007F2782">
            <w:pPr>
              <w:spacing w:before="20" w:after="0" w:line="260" w:lineRule="atLeast"/>
              <w:jc w:val="center"/>
              <w:rPr>
                <w:rFonts w:ascii="Verdana" w:hAnsi="Verdana"/>
                <w:noProof/>
                <w:sz w:val="20"/>
                <w:szCs w:val="20"/>
                <w:lang w:eastAsia="en-ZA"/>
              </w:rPr>
            </w:pPr>
            <w:r w:rsidRPr="00E90284">
              <w:rPr>
                <w:rFonts w:ascii="Verdana" w:hAnsi="Verdana"/>
                <w:b/>
                <w:color w:val="FFFFFF"/>
                <w:sz w:val="20"/>
                <w:szCs w:val="20"/>
              </w:rPr>
              <w:t>(Total Returns – dividends reinvested)</w:t>
            </w:r>
          </w:p>
        </w:tc>
      </w:tr>
      <w:tr w:rsidR="00D0228A" w:rsidRPr="000E07F5" w:rsidTr="007F2782">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rPr>
                <w:rFonts w:ascii="Verdana" w:hAnsi="Verdana"/>
                <w:b/>
                <w:color w:val="FFFFFF"/>
                <w:sz w:val="16"/>
                <w:szCs w:val="16"/>
              </w:rPr>
            </w:pPr>
            <w:r w:rsidRPr="00F640B4">
              <w:rPr>
                <w:rFonts w:ascii="Verdana" w:hAnsi="Verdana"/>
                <w:b/>
                <w:color w:val="FFFFFF"/>
                <w:sz w:val="16"/>
                <w:szCs w:val="16"/>
              </w:rPr>
              <w:t>A)  EXCHANGE TRADED FUNDS(continued)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992"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D0228A" w:rsidRPr="00A404F6" w:rsidTr="007F2782">
        <w:tc>
          <w:tcPr>
            <w:tcW w:w="4423" w:type="dxa"/>
            <w:shd w:val="clear" w:color="auto" w:fill="EBEBEB"/>
          </w:tcPr>
          <w:p w:rsidR="00D0228A" w:rsidRPr="00F640B4" w:rsidRDefault="00D0228A" w:rsidP="007F2782">
            <w:pPr>
              <w:spacing w:before="40" w:after="0" w:line="280" w:lineRule="atLeast"/>
              <w:rPr>
                <w:rFonts w:ascii="Verdana" w:hAnsi="Verdana"/>
                <w:b/>
                <w:sz w:val="16"/>
                <w:szCs w:val="16"/>
              </w:rPr>
            </w:pPr>
            <w:r w:rsidRPr="00F640B4">
              <w:rPr>
                <w:rFonts w:ascii="Verdana" w:hAnsi="Verdana"/>
                <w:b/>
                <w:sz w:val="16"/>
                <w:szCs w:val="16"/>
              </w:rPr>
              <w:t>6. Foreign ETFs</w:t>
            </w: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992"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r>
      <w:tr w:rsidR="00D0228A" w:rsidRPr="00A404F6" w:rsidTr="007F2782">
        <w:tc>
          <w:tcPr>
            <w:tcW w:w="4423" w:type="dxa"/>
          </w:tcPr>
          <w:p w:rsidR="00D0228A" w:rsidRPr="00F640B4" w:rsidRDefault="00D0228A" w:rsidP="007F2782">
            <w:pPr>
              <w:spacing w:before="40" w:after="0" w:line="300" w:lineRule="atLeast"/>
              <w:rPr>
                <w:rFonts w:ascii="Verdana" w:hAnsi="Verdana"/>
                <w:b/>
                <w:sz w:val="16"/>
                <w:szCs w:val="16"/>
              </w:rPr>
            </w:pPr>
            <w:r w:rsidRPr="00F640B4">
              <w:rPr>
                <w:rFonts w:ascii="Verdana" w:hAnsi="Verdana"/>
                <w:b/>
                <w:sz w:val="16"/>
                <w:szCs w:val="16"/>
              </w:rPr>
              <w:t xml:space="preserve">    MSCI World Index (in Rands)</w:t>
            </w:r>
          </w:p>
        </w:tc>
        <w:tc>
          <w:tcPr>
            <w:tcW w:w="1134"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10,55%</w:t>
            </w:r>
          </w:p>
        </w:tc>
        <w:tc>
          <w:tcPr>
            <w:tcW w:w="1276"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7,40%</w:t>
            </w:r>
          </w:p>
        </w:tc>
        <w:tc>
          <w:tcPr>
            <w:tcW w:w="1134"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11,98%</w:t>
            </w:r>
          </w:p>
        </w:tc>
        <w:tc>
          <w:tcPr>
            <w:tcW w:w="1134"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28,46%</w:t>
            </w:r>
          </w:p>
        </w:tc>
        <w:tc>
          <w:tcPr>
            <w:tcW w:w="1134"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21,95%</w:t>
            </w:r>
          </w:p>
        </w:tc>
        <w:tc>
          <w:tcPr>
            <w:tcW w:w="992" w:type="dxa"/>
            <w:shd w:val="clear" w:color="auto" w:fill="auto"/>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28,01%</w:t>
            </w:r>
          </w:p>
        </w:tc>
        <w:tc>
          <w:tcPr>
            <w:tcW w:w="1134" w:type="dxa"/>
            <w:shd w:val="clear" w:color="auto" w:fill="auto"/>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22,63%</w:t>
            </w:r>
          </w:p>
        </w:tc>
        <w:tc>
          <w:tcPr>
            <w:tcW w:w="1276"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13,88%</w:t>
            </w:r>
          </w:p>
        </w:tc>
        <w:tc>
          <w:tcPr>
            <w:tcW w:w="1276" w:type="dxa"/>
          </w:tcPr>
          <w:p w:rsidR="00D0228A" w:rsidRPr="00F640B4" w:rsidRDefault="00D0228A" w:rsidP="007F2782">
            <w:pPr>
              <w:spacing w:before="40" w:after="0" w:line="300" w:lineRule="atLeast"/>
              <w:jc w:val="center"/>
              <w:rPr>
                <w:rFonts w:ascii="Verdana" w:hAnsi="Verdana"/>
                <w:b/>
                <w:sz w:val="16"/>
                <w:szCs w:val="16"/>
              </w:rPr>
            </w:pPr>
            <w:r>
              <w:rPr>
                <w:rFonts w:ascii="Verdana" w:hAnsi="Verdana"/>
                <w:b/>
                <w:sz w:val="16"/>
                <w:szCs w:val="16"/>
              </w:rPr>
              <w:t>11,54%</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DBX Tracker MSCI Eurostoxx 50</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8,92%</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4,51%</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4,05%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22,45%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12,11%</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23,36%</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15,18%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8,86%</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8,92%</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DBX Tracker MSCI FTSE 100</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6,93%</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3,25%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7,86%</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23,92%</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15,43%</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21,83%</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19,48%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12,67%</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10,86%</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DBX Tracker MSCI USA</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7,97%</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6,75%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13,28%</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33,38%</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29,34%</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34,09%</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29,38%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18,02%</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DBX Tracker MSCI Japan</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10,47%</w:t>
            </w:r>
          </w:p>
        </w:tc>
        <w:tc>
          <w:tcPr>
            <w:tcW w:w="1276"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6,46%</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12,50%</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38,23%</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21,58%</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31,22%</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20,98%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10,47%</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DBX Tracker MSCI World</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7,67%</w:t>
            </w:r>
          </w:p>
        </w:tc>
        <w:tc>
          <w:tcPr>
            <w:tcW w:w="1276"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5,50%</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10,23%</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29,92%</w:t>
            </w:r>
          </w:p>
        </w:tc>
        <w:tc>
          <w:tcPr>
            <w:tcW w:w="1134" w:type="dxa"/>
            <w:vAlign w:val="center"/>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23,38%</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29,71%</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24,28%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15,22%</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D87043" w:rsidTr="007F2782">
        <w:tc>
          <w:tcPr>
            <w:tcW w:w="4423" w:type="dxa"/>
            <w:shd w:val="clear" w:color="auto" w:fill="EBEBEB"/>
          </w:tcPr>
          <w:p w:rsidR="00D0228A" w:rsidRPr="00F640B4" w:rsidRDefault="00D0228A" w:rsidP="007F2782">
            <w:pPr>
              <w:spacing w:before="40" w:after="0" w:line="280" w:lineRule="atLeast"/>
              <w:rPr>
                <w:rFonts w:ascii="Verdana" w:hAnsi="Verdana"/>
                <w:b/>
                <w:sz w:val="16"/>
                <w:szCs w:val="16"/>
              </w:rPr>
            </w:pPr>
            <w:r w:rsidRPr="00F640B4">
              <w:rPr>
                <w:rFonts w:ascii="Verdana" w:hAnsi="Verdana"/>
                <w:b/>
                <w:sz w:val="16"/>
                <w:szCs w:val="16"/>
              </w:rPr>
              <w:t>7. Money Market ETFs</w:t>
            </w: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992"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Pr>
                <w:rFonts w:ascii="Verdana" w:hAnsi="Verdana"/>
                <w:sz w:val="16"/>
                <w:szCs w:val="16"/>
              </w:rPr>
              <w:t xml:space="preserve">    CoreShares </w:t>
            </w:r>
            <w:r w:rsidRPr="00F640B4">
              <w:rPr>
                <w:rFonts w:ascii="Verdana" w:hAnsi="Verdana"/>
                <w:sz w:val="16"/>
                <w:szCs w:val="16"/>
              </w:rPr>
              <w:t>PrefTrax</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(1,58%)</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(1,19%)</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1,00%</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1,43%</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1,87%</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(0,05%)</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NewFunds TRACI (Total Return)</w:t>
            </w:r>
          </w:p>
        </w:tc>
        <w:tc>
          <w:tcPr>
            <w:tcW w:w="1134" w:type="dxa"/>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0,51%</w:t>
            </w:r>
          </w:p>
        </w:tc>
        <w:tc>
          <w:tcPr>
            <w:tcW w:w="1276" w:type="dxa"/>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1,48%</w:t>
            </w:r>
          </w:p>
        </w:tc>
        <w:tc>
          <w:tcPr>
            <w:tcW w:w="1134" w:type="dxa"/>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2,96%</w:t>
            </w:r>
          </w:p>
        </w:tc>
        <w:tc>
          <w:tcPr>
            <w:tcW w:w="1134" w:type="dxa"/>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6,04%</w:t>
            </w:r>
          </w:p>
        </w:tc>
        <w:tc>
          <w:tcPr>
            <w:tcW w:w="1134" w:type="dxa"/>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5,70%</w:t>
            </w:r>
          </w:p>
        </w:tc>
        <w:tc>
          <w:tcPr>
            <w:tcW w:w="992" w:type="dxa"/>
            <w:shd w:val="clear" w:color="auto" w:fill="auto"/>
          </w:tcPr>
          <w:p w:rsidR="00D0228A" w:rsidRPr="00F640B4" w:rsidRDefault="000053FE" w:rsidP="007F2782">
            <w:pPr>
              <w:spacing w:before="40" w:after="0" w:line="300" w:lineRule="atLeast"/>
              <w:jc w:val="center"/>
              <w:rPr>
                <w:rFonts w:ascii="Verdana" w:hAnsi="Verdana"/>
                <w:sz w:val="16"/>
                <w:szCs w:val="16"/>
              </w:rPr>
            </w:pPr>
            <w:r>
              <w:rPr>
                <w:rFonts w:ascii="Verdana" w:hAnsi="Verdana"/>
                <w:sz w:val="16"/>
                <w:szCs w:val="16"/>
              </w:rPr>
              <w:t>5,58%</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shd w:val="clear" w:color="auto" w:fill="EBEBEB"/>
          </w:tcPr>
          <w:p w:rsidR="00D0228A" w:rsidRPr="00F640B4" w:rsidRDefault="00D0228A" w:rsidP="007F2782">
            <w:pPr>
              <w:spacing w:before="40" w:after="0" w:line="280" w:lineRule="atLeast"/>
              <w:rPr>
                <w:rFonts w:ascii="Verdana" w:hAnsi="Verdana"/>
                <w:b/>
                <w:sz w:val="16"/>
                <w:szCs w:val="16"/>
              </w:rPr>
            </w:pPr>
            <w:r w:rsidRPr="00F640B4">
              <w:rPr>
                <w:rFonts w:ascii="Verdana" w:hAnsi="Verdana"/>
                <w:b/>
                <w:sz w:val="16"/>
                <w:szCs w:val="16"/>
              </w:rPr>
              <w:t>8. Commodity ETFs</w:t>
            </w: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992"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134"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c>
          <w:tcPr>
            <w:tcW w:w="1276" w:type="dxa"/>
            <w:shd w:val="clear" w:color="auto" w:fill="EBEBEB"/>
          </w:tcPr>
          <w:p w:rsidR="00D0228A" w:rsidRPr="00F640B4" w:rsidRDefault="00D0228A" w:rsidP="007F2782">
            <w:pPr>
              <w:spacing w:before="40" w:after="0" w:line="280" w:lineRule="atLeast"/>
              <w:jc w:val="center"/>
              <w:rPr>
                <w:rFonts w:ascii="Verdana" w:hAnsi="Verdana"/>
                <w:b/>
                <w:sz w:val="16"/>
                <w:szCs w:val="16"/>
              </w:rPr>
            </w:pP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Absa NewGold</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2,45%</w:t>
            </w:r>
          </w:p>
        </w:tc>
        <w:tc>
          <w:tcPr>
            <w:tcW w:w="1276"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13,55%</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12,05%</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20,37%</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8,34%</w:t>
            </w:r>
          </w:p>
        </w:tc>
        <w:tc>
          <w:tcPr>
            <w:tcW w:w="992" w:type="dxa"/>
            <w:shd w:val="clear" w:color="auto" w:fill="auto"/>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1,66%</w:t>
            </w:r>
          </w:p>
        </w:tc>
        <w:tc>
          <w:tcPr>
            <w:tcW w:w="1134" w:type="dxa"/>
            <w:shd w:val="clear" w:color="auto" w:fill="auto"/>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10,58%</w:t>
            </w:r>
          </w:p>
        </w:tc>
        <w:tc>
          <w:tcPr>
            <w:tcW w:w="1276"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10,84%</w:t>
            </w:r>
          </w:p>
        </w:tc>
        <w:tc>
          <w:tcPr>
            <w:tcW w:w="1276"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16,95%</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Absa NewPlat</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9,07%</w:t>
            </w:r>
          </w:p>
        </w:tc>
        <w:tc>
          <w:tcPr>
            <w:tcW w:w="1276"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9,86%</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1,30%</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1,11%</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(3,32%)</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Absa New Palladium</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1,55%</w:t>
            </w:r>
          </w:p>
        </w:tc>
        <w:tc>
          <w:tcPr>
            <w:tcW w:w="1276"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17,97%</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0,12%</w:t>
            </w:r>
          </w:p>
        </w:tc>
        <w:tc>
          <w:tcPr>
            <w:tcW w:w="1134" w:type="dxa"/>
          </w:tcPr>
          <w:p w:rsidR="00D0228A" w:rsidRPr="00F640B4" w:rsidRDefault="003C0523" w:rsidP="007F2782">
            <w:pPr>
              <w:spacing w:before="40" w:after="0" w:line="300" w:lineRule="atLeast"/>
              <w:jc w:val="center"/>
              <w:rPr>
                <w:rFonts w:ascii="Verdana" w:hAnsi="Verdana"/>
                <w:sz w:val="16"/>
                <w:szCs w:val="16"/>
              </w:rPr>
            </w:pPr>
            <w:r>
              <w:rPr>
                <w:rFonts w:ascii="Verdana" w:hAnsi="Verdana"/>
                <w:sz w:val="16"/>
                <w:szCs w:val="16"/>
              </w:rPr>
              <w:t>7,10%</w:t>
            </w:r>
          </w:p>
        </w:tc>
        <w:tc>
          <w:tcPr>
            <w:tcW w:w="1134"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Standard Bank Africa Palladium ETF</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3,01%</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19,45%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1,32%</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8,94%</w:t>
            </w:r>
          </w:p>
        </w:tc>
        <w:tc>
          <w:tcPr>
            <w:tcW w:w="1134"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sidRPr="00F640B4">
              <w:rPr>
                <w:rFonts w:ascii="Verdana" w:hAnsi="Verdana"/>
                <w:sz w:val="16"/>
                <w:szCs w:val="16"/>
              </w:rPr>
              <w:t xml:space="preserve">    Standard Bank Africa </w:t>
            </w:r>
            <w:r>
              <w:rPr>
                <w:rFonts w:ascii="Verdana" w:hAnsi="Verdana"/>
                <w:sz w:val="16"/>
                <w:szCs w:val="16"/>
              </w:rPr>
              <w:t>Gold</w:t>
            </w:r>
            <w:r w:rsidRPr="00F640B4">
              <w:rPr>
                <w:rFonts w:ascii="Verdana" w:hAnsi="Verdana"/>
                <w:sz w:val="16"/>
                <w:szCs w:val="16"/>
              </w:rPr>
              <w:t xml:space="preserve"> ETF</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2,56%</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13,45%</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11,97%</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20,36%</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276" w:type="dxa"/>
          </w:tcPr>
          <w:p w:rsidR="00D0228A"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tcPr>
          <w:p w:rsidR="00D0228A" w:rsidRPr="00F640B4" w:rsidRDefault="00D0228A" w:rsidP="007F2782">
            <w:pPr>
              <w:spacing w:before="40" w:after="0" w:line="300" w:lineRule="atLeast"/>
              <w:rPr>
                <w:rFonts w:ascii="Verdana" w:hAnsi="Verdana"/>
                <w:sz w:val="16"/>
                <w:szCs w:val="16"/>
              </w:rPr>
            </w:pPr>
            <w:r>
              <w:rPr>
                <w:rFonts w:ascii="Verdana" w:hAnsi="Verdana"/>
                <w:sz w:val="16"/>
                <w:szCs w:val="16"/>
              </w:rPr>
              <w:t xml:space="preserve">    Standard Bank Africa Platinum</w:t>
            </w:r>
            <w:r w:rsidRPr="00F640B4">
              <w:rPr>
                <w:rFonts w:ascii="Verdana" w:hAnsi="Verdana"/>
                <w:sz w:val="16"/>
                <w:szCs w:val="16"/>
              </w:rPr>
              <w:t xml:space="preserve"> ETF</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7,90%</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8,82%</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0,31%</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0,18%</w:t>
            </w:r>
          </w:p>
        </w:tc>
        <w:tc>
          <w:tcPr>
            <w:tcW w:w="1134"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992"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276" w:type="dxa"/>
          </w:tcPr>
          <w:p w:rsidR="00D0228A" w:rsidRPr="00F640B4" w:rsidRDefault="00D0228A" w:rsidP="007F2782">
            <w:pPr>
              <w:spacing w:before="40" w:after="0" w:line="300" w:lineRule="atLeast"/>
              <w:jc w:val="center"/>
              <w:rPr>
                <w:rFonts w:ascii="Verdana" w:hAnsi="Verdana"/>
                <w:sz w:val="16"/>
                <w:szCs w:val="16"/>
              </w:rPr>
            </w:pPr>
            <w:r>
              <w:rPr>
                <w:rFonts w:ascii="Verdana" w:hAnsi="Verdana"/>
                <w:sz w:val="16"/>
                <w:szCs w:val="16"/>
              </w:rPr>
              <w:t>-</w:t>
            </w:r>
          </w:p>
        </w:tc>
        <w:tc>
          <w:tcPr>
            <w:tcW w:w="1276" w:type="dxa"/>
          </w:tcPr>
          <w:p w:rsidR="00D0228A" w:rsidRDefault="00D0228A" w:rsidP="007F2782">
            <w:pPr>
              <w:spacing w:before="40" w:after="0" w:line="300" w:lineRule="atLeast"/>
              <w:jc w:val="center"/>
              <w:rPr>
                <w:rFonts w:ascii="Verdana" w:hAnsi="Verdana"/>
                <w:sz w:val="16"/>
                <w:szCs w:val="16"/>
              </w:rPr>
            </w:pPr>
            <w:r>
              <w:rPr>
                <w:rFonts w:ascii="Verdana" w:hAnsi="Verdana"/>
                <w:sz w:val="16"/>
                <w:szCs w:val="16"/>
              </w:rPr>
              <w:t>-</w:t>
            </w:r>
          </w:p>
        </w:tc>
      </w:tr>
    </w:tbl>
    <w:p w:rsidR="00D0228A" w:rsidRPr="00825F0A" w:rsidRDefault="00D0228A" w:rsidP="00D0228A">
      <w:pPr>
        <w:spacing w:after="0" w:line="240" w:lineRule="auto"/>
        <w:jc w:val="both"/>
        <w:rPr>
          <w:rFonts w:ascii="Verdana" w:hAnsi="Verdana"/>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3"/>
        <w:gridCol w:w="1134"/>
        <w:gridCol w:w="1276"/>
        <w:gridCol w:w="1134"/>
        <w:gridCol w:w="1134"/>
        <w:gridCol w:w="1134"/>
        <w:gridCol w:w="992"/>
        <w:gridCol w:w="1134"/>
        <w:gridCol w:w="1276"/>
        <w:gridCol w:w="1276"/>
      </w:tblGrid>
      <w:tr w:rsidR="00D0228A" w:rsidRPr="000E07F5" w:rsidTr="007F2782">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rPr>
                <w:rFonts w:ascii="Verdana" w:hAnsi="Verdana"/>
                <w:b/>
                <w:color w:val="FFFFFF"/>
                <w:sz w:val="16"/>
                <w:szCs w:val="16"/>
              </w:rPr>
            </w:pPr>
            <w:r w:rsidRPr="00F640B4">
              <w:rPr>
                <w:rFonts w:ascii="Verdana" w:hAnsi="Verdana"/>
                <w:b/>
                <w:color w:val="FFFFFF"/>
                <w:sz w:val="16"/>
                <w:szCs w:val="16"/>
              </w:rPr>
              <w:t>B)  EXCHANGE TRADED NOTES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992"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F640B4" w:rsidRDefault="00D0228A" w:rsidP="007F2782">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D0228A" w:rsidRPr="000E07F5" w:rsidTr="007F2782">
        <w:tc>
          <w:tcPr>
            <w:tcW w:w="4423" w:type="dxa"/>
          </w:tcPr>
          <w:p w:rsidR="00D0228A" w:rsidRPr="00F640B4" w:rsidRDefault="00D0228A" w:rsidP="007F2782">
            <w:pPr>
              <w:spacing w:before="20" w:after="0" w:line="280" w:lineRule="atLeast"/>
              <w:rPr>
                <w:rFonts w:ascii="Verdana" w:hAnsi="Verdana"/>
                <w:b/>
                <w:sz w:val="16"/>
                <w:szCs w:val="16"/>
              </w:rPr>
            </w:pPr>
            <w:r w:rsidRPr="00F640B4">
              <w:rPr>
                <w:rFonts w:ascii="Verdana" w:hAnsi="Verdana"/>
                <w:b/>
                <w:sz w:val="16"/>
                <w:szCs w:val="16"/>
              </w:rPr>
              <w:t>Absa Capital</w:t>
            </w:r>
          </w:p>
        </w:tc>
        <w:tc>
          <w:tcPr>
            <w:tcW w:w="1134" w:type="dxa"/>
          </w:tcPr>
          <w:p w:rsidR="00D0228A" w:rsidRPr="00F640B4" w:rsidRDefault="00D0228A" w:rsidP="007F2782">
            <w:pPr>
              <w:spacing w:before="20" w:after="0" w:line="280" w:lineRule="atLeast"/>
              <w:jc w:val="center"/>
              <w:rPr>
                <w:rFonts w:ascii="Verdana" w:hAnsi="Verdana"/>
                <w:sz w:val="16"/>
                <w:szCs w:val="16"/>
              </w:rPr>
            </w:pPr>
          </w:p>
        </w:tc>
        <w:tc>
          <w:tcPr>
            <w:tcW w:w="1276" w:type="dxa"/>
          </w:tcPr>
          <w:p w:rsidR="00D0228A" w:rsidRPr="00F640B4" w:rsidRDefault="00D0228A" w:rsidP="007F2782">
            <w:pPr>
              <w:spacing w:before="20" w:after="0" w:line="280" w:lineRule="atLeast"/>
              <w:jc w:val="center"/>
              <w:rPr>
                <w:rFonts w:ascii="Verdana" w:hAnsi="Verdana"/>
                <w:sz w:val="16"/>
                <w:szCs w:val="16"/>
              </w:rPr>
            </w:pPr>
          </w:p>
        </w:tc>
        <w:tc>
          <w:tcPr>
            <w:tcW w:w="1134" w:type="dxa"/>
          </w:tcPr>
          <w:p w:rsidR="00D0228A" w:rsidRPr="00F640B4" w:rsidRDefault="00D0228A" w:rsidP="007F2782">
            <w:pPr>
              <w:spacing w:before="20" w:after="0" w:line="280" w:lineRule="atLeast"/>
              <w:jc w:val="center"/>
              <w:rPr>
                <w:rFonts w:ascii="Verdana" w:hAnsi="Verdana"/>
                <w:sz w:val="16"/>
                <w:szCs w:val="16"/>
              </w:rPr>
            </w:pPr>
          </w:p>
        </w:tc>
        <w:tc>
          <w:tcPr>
            <w:tcW w:w="1134" w:type="dxa"/>
          </w:tcPr>
          <w:p w:rsidR="00D0228A" w:rsidRPr="00F640B4" w:rsidRDefault="00D0228A" w:rsidP="007F2782">
            <w:pPr>
              <w:spacing w:before="20" w:after="0" w:line="280" w:lineRule="atLeast"/>
              <w:jc w:val="center"/>
              <w:rPr>
                <w:rFonts w:ascii="Verdana" w:hAnsi="Verdana"/>
                <w:sz w:val="16"/>
                <w:szCs w:val="16"/>
              </w:rPr>
            </w:pPr>
          </w:p>
        </w:tc>
        <w:tc>
          <w:tcPr>
            <w:tcW w:w="1134" w:type="dxa"/>
          </w:tcPr>
          <w:p w:rsidR="00D0228A" w:rsidRPr="00F640B4" w:rsidRDefault="00D0228A" w:rsidP="007F2782">
            <w:pPr>
              <w:spacing w:before="20" w:after="0" w:line="280" w:lineRule="atLeast"/>
              <w:jc w:val="center"/>
              <w:rPr>
                <w:rFonts w:ascii="Verdana" w:hAnsi="Verdana"/>
                <w:sz w:val="16"/>
                <w:szCs w:val="16"/>
              </w:rPr>
            </w:pPr>
          </w:p>
        </w:tc>
        <w:tc>
          <w:tcPr>
            <w:tcW w:w="992" w:type="dxa"/>
            <w:shd w:val="clear" w:color="auto" w:fill="auto"/>
          </w:tcPr>
          <w:p w:rsidR="00D0228A" w:rsidRPr="00F640B4" w:rsidRDefault="00D0228A" w:rsidP="007F2782">
            <w:pPr>
              <w:spacing w:before="20" w:after="0" w:line="280" w:lineRule="atLeast"/>
              <w:jc w:val="center"/>
              <w:rPr>
                <w:rFonts w:ascii="Verdana" w:hAnsi="Verdana"/>
                <w:sz w:val="16"/>
                <w:szCs w:val="16"/>
              </w:rPr>
            </w:pP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p>
        </w:tc>
        <w:tc>
          <w:tcPr>
            <w:tcW w:w="1276" w:type="dxa"/>
          </w:tcPr>
          <w:p w:rsidR="00D0228A" w:rsidRPr="00F640B4" w:rsidRDefault="00D0228A" w:rsidP="007F2782">
            <w:pPr>
              <w:spacing w:before="20" w:after="0" w:line="280" w:lineRule="atLeast"/>
              <w:jc w:val="center"/>
              <w:rPr>
                <w:rFonts w:ascii="Verdana" w:hAnsi="Verdana"/>
                <w:sz w:val="16"/>
                <w:szCs w:val="16"/>
              </w:rPr>
            </w:pPr>
          </w:p>
        </w:tc>
        <w:tc>
          <w:tcPr>
            <w:tcW w:w="1276" w:type="dxa"/>
          </w:tcPr>
          <w:p w:rsidR="00D0228A" w:rsidRPr="00F640B4" w:rsidRDefault="00D0228A" w:rsidP="007F2782">
            <w:pPr>
              <w:spacing w:before="20" w:after="0" w:line="280" w:lineRule="atLeast"/>
              <w:jc w:val="center"/>
              <w:rPr>
                <w:rFonts w:ascii="Verdana" w:hAnsi="Verdana"/>
                <w:sz w:val="16"/>
                <w:szCs w:val="16"/>
              </w:rPr>
            </w:pPr>
          </w:p>
        </w:tc>
      </w:tr>
      <w:tr w:rsidR="00D0228A" w:rsidRPr="000E07F5" w:rsidTr="007F2782">
        <w:tc>
          <w:tcPr>
            <w:tcW w:w="4423" w:type="dxa"/>
          </w:tcPr>
          <w:p w:rsidR="00D0228A" w:rsidRPr="00F640B4" w:rsidRDefault="00D0228A" w:rsidP="007F2782">
            <w:pPr>
              <w:spacing w:before="20" w:after="0" w:line="280" w:lineRule="atLeast"/>
              <w:rPr>
                <w:rFonts w:ascii="Verdana" w:hAnsi="Verdana"/>
                <w:sz w:val="16"/>
                <w:szCs w:val="16"/>
              </w:rPr>
            </w:pPr>
            <w:r w:rsidRPr="00F640B4">
              <w:rPr>
                <w:rFonts w:ascii="Verdana" w:hAnsi="Verdana"/>
                <w:sz w:val="16"/>
                <w:szCs w:val="16"/>
              </w:rPr>
              <w:t xml:space="preserve">    NewWave EURO</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(1,35%)</w:t>
            </w:r>
          </w:p>
        </w:tc>
        <w:tc>
          <w:tcPr>
            <w:tcW w:w="1276"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10,05%</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14,92%</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11,17%</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6,25%</w:t>
            </w:r>
          </w:p>
        </w:tc>
        <w:tc>
          <w:tcPr>
            <w:tcW w:w="992" w:type="dxa"/>
            <w:shd w:val="clear" w:color="auto" w:fill="auto"/>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8,39%</w:t>
            </w: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tcPr>
          <w:p w:rsidR="00D0228A" w:rsidRPr="00F640B4" w:rsidRDefault="00D0228A" w:rsidP="007F2782">
            <w:pPr>
              <w:spacing w:before="20" w:after="0" w:line="280" w:lineRule="atLeast"/>
              <w:rPr>
                <w:rFonts w:ascii="Verdana" w:hAnsi="Verdana"/>
                <w:sz w:val="16"/>
                <w:szCs w:val="16"/>
              </w:rPr>
            </w:pPr>
            <w:r w:rsidRPr="00F640B4">
              <w:rPr>
                <w:rFonts w:ascii="Verdana" w:hAnsi="Verdana"/>
                <w:sz w:val="16"/>
                <w:szCs w:val="16"/>
              </w:rPr>
              <w:t xml:space="preserve">    NewWave Pound</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1,05%</w:t>
            </w:r>
          </w:p>
        </w:tc>
        <w:tc>
          <w:tcPr>
            <w:tcW w:w="1276"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6,79%</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16,38%</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21,43%</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15,77%</w:t>
            </w:r>
          </w:p>
        </w:tc>
        <w:tc>
          <w:tcPr>
            <w:tcW w:w="992" w:type="dxa"/>
            <w:shd w:val="clear" w:color="auto" w:fill="auto"/>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17,57%</w:t>
            </w: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tcPr>
          <w:p w:rsidR="00D0228A" w:rsidRPr="00F640B4" w:rsidRDefault="00D0228A" w:rsidP="007F2782">
            <w:pPr>
              <w:spacing w:before="20" w:after="0" w:line="280" w:lineRule="atLeast"/>
              <w:rPr>
                <w:rFonts w:ascii="Verdana" w:hAnsi="Verdana"/>
                <w:sz w:val="16"/>
                <w:szCs w:val="16"/>
              </w:rPr>
            </w:pPr>
            <w:r w:rsidRPr="00F640B4">
              <w:rPr>
                <w:rFonts w:ascii="Verdana" w:hAnsi="Verdana"/>
                <w:sz w:val="16"/>
                <w:szCs w:val="16"/>
              </w:rPr>
              <w:t xml:space="preserve">    NewWave US Dollar</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0,07%</w:t>
            </w:r>
          </w:p>
        </w:tc>
        <w:tc>
          <w:tcPr>
            <w:tcW w:w="1276"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8,71%</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15,80%</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27,06%</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18,40%</w:t>
            </w:r>
          </w:p>
        </w:tc>
        <w:tc>
          <w:tcPr>
            <w:tcW w:w="992" w:type="dxa"/>
            <w:shd w:val="clear" w:color="auto" w:fill="auto"/>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17,44%</w:t>
            </w: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tcPr>
          <w:p w:rsidR="00D0228A" w:rsidRPr="00F640B4" w:rsidRDefault="00D0228A" w:rsidP="007F2782">
            <w:pPr>
              <w:spacing w:before="20" w:after="0" w:line="280" w:lineRule="atLeast"/>
              <w:rPr>
                <w:rFonts w:ascii="Verdana" w:hAnsi="Verdana"/>
                <w:sz w:val="16"/>
                <w:szCs w:val="16"/>
              </w:rPr>
            </w:pPr>
            <w:r w:rsidRPr="00F640B4">
              <w:rPr>
                <w:rFonts w:ascii="Verdana" w:hAnsi="Verdana"/>
                <w:sz w:val="16"/>
                <w:szCs w:val="16"/>
              </w:rPr>
              <w:t xml:space="preserve">    NewWave Platinum</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7,95%</w:t>
            </w:r>
          </w:p>
        </w:tc>
        <w:tc>
          <w:tcPr>
            <w:tcW w:w="1276"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8,91%</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0,40%</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0,52%</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(3,57%)</w:t>
            </w:r>
          </w:p>
        </w:tc>
        <w:tc>
          <w:tcPr>
            <w:tcW w:w="992" w:type="dxa"/>
            <w:shd w:val="clear" w:color="auto" w:fill="auto"/>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(0,72%)</w:t>
            </w: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tcPr>
          <w:p w:rsidR="00D0228A" w:rsidRPr="00F640B4" w:rsidRDefault="00D0228A" w:rsidP="007F2782">
            <w:pPr>
              <w:spacing w:before="20" w:after="0" w:line="280" w:lineRule="atLeast"/>
              <w:rPr>
                <w:rFonts w:ascii="Verdana" w:hAnsi="Verdana"/>
                <w:sz w:val="16"/>
                <w:szCs w:val="16"/>
              </w:rPr>
            </w:pPr>
            <w:r w:rsidRPr="00F640B4">
              <w:rPr>
                <w:rFonts w:ascii="Verdana" w:hAnsi="Verdana"/>
                <w:sz w:val="16"/>
                <w:szCs w:val="16"/>
              </w:rPr>
              <w:t xml:space="preserve">    NewWave Silver</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5,47%</w:t>
            </w:r>
          </w:p>
        </w:tc>
        <w:tc>
          <w:tcPr>
            <w:tcW w:w="1276"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13,37%</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11,58%</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17,13%</w:t>
            </w:r>
          </w:p>
        </w:tc>
        <w:tc>
          <w:tcPr>
            <w:tcW w:w="1134" w:type="dxa"/>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(2,93%)</w:t>
            </w:r>
          </w:p>
        </w:tc>
        <w:tc>
          <w:tcPr>
            <w:tcW w:w="992" w:type="dxa"/>
            <w:shd w:val="clear" w:color="auto" w:fill="auto"/>
          </w:tcPr>
          <w:p w:rsidR="00D0228A" w:rsidRPr="00F640B4" w:rsidRDefault="003C0523" w:rsidP="007F2782">
            <w:pPr>
              <w:spacing w:before="20" w:after="0" w:line="280" w:lineRule="atLeast"/>
              <w:jc w:val="center"/>
              <w:rPr>
                <w:rFonts w:ascii="Verdana" w:hAnsi="Verdana"/>
                <w:sz w:val="16"/>
                <w:szCs w:val="16"/>
              </w:rPr>
            </w:pPr>
            <w:r>
              <w:rPr>
                <w:rFonts w:ascii="Verdana" w:hAnsi="Verdana"/>
                <w:sz w:val="16"/>
                <w:szCs w:val="16"/>
              </w:rPr>
              <w:t>(8,75%)</w:t>
            </w:r>
          </w:p>
        </w:tc>
        <w:tc>
          <w:tcPr>
            <w:tcW w:w="1134" w:type="dxa"/>
            <w:shd w:val="clear" w:color="auto" w:fill="auto"/>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D0228A" w:rsidRPr="00F640B4" w:rsidRDefault="00D0228A" w:rsidP="007F2782">
            <w:pPr>
              <w:spacing w:before="20" w:after="0" w:line="280" w:lineRule="atLeast"/>
              <w:jc w:val="center"/>
              <w:rPr>
                <w:rFonts w:ascii="Verdana" w:hAnsi="Verdana"/>
                <w:sz w:val="16"/>
                <w:szCs w:val="16"/>
              </w:rPr>
            </w:pPr>
            <w:r>
              <w:rPr>
                <w:rFonts w:ascii="Verdana" w:hAnsi="Verdana"/>
                <w:sz w:val="16"/>
                <w:szCs w:val="16"/>
              </w:rPr>
              <w:t>-</w:t>
            </w:r>
          </w:p>
        </w:tc>
      </w:tr>
    </w:tbl>
    <w:p w:rsidR="00D0228A" w:rsidRDefault="00D0228A" w:rsidP="00D0228A">
      <w:pPr>
        <w:spacing w:after="0" w:line="240" w:lineRule="auto"/>
        <w:rPr>
          <w:sz w:val="16"/>
          <w:szCs w:val="16"/>
        </w:rPr>
      </w:pPr>
      <w:r>
        <w:rPr>
          <w:sz w:val="16"/>
          <w:szCs w:val="16"/>
        </w:rPr>
        <w:br w:type="page"/>
      </w:r>
    </w:p>
    <w:p w:rsidR="00D0228A" w:rsidRPr="00C33DFD" w:rsidRDefault="00D0228A" w:rsidP="00D0228A">
      <w:pPr>
        <w:spacing w:after="0" w:line="240" w:lineRule="auto"/>
        <w:jc w:val="both"/>
        <w:rPr>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572"/>
        <w:gridCol w:w="1134"/>
        <w:gridCol w:w="1276"/>
        <w:gridCol w:w="1134"/>
        <w:gridCol w:w="1134"/>
        <w:gridCol w:w="1134"/>
        <w:gridCol w:w="1134"/>
        <w:gridCol w:w="1134"/>
        <w:gridCol w:w="1134"/>
        <w:gridCol w:w="1276"/>
      </w:tblGrid>
      <w:tr w:rsidR="00D0228A" w:rsidTr="007F2782">
        <w:tc>
          <w:tcPr>
            <w:tcW w:w="14913" w:type="dxa"/>
            <w:gridSpan w:val="11"/>
            <w:shd w:val="clear" w:color="auto" w:fill="CB2229"/>
            <w:vAlign w:val="center"/>
          </w:tcPr>
          <w:p w:rsidR="00D0228A" w:rsidRPr="00696F43" w:rsidRDefault="00D0228A" w:rsidP="007F2782">
            <w:pPr>
              <w:spacing w:before="40" w:after="0" w:line="240" w:lineRule="atLeast"/>
              <w:rPr>
                <w:rFonts w:ascii="Verdana" w:hAnsi="Verdana"/>
                <w:b/>
                <w:color w:val="FFFFFF"/>
                <w:sz w:val="20"/>
                <w:szCs w:val="20"/>
              </w:rPr>
            </w:pPr>
            <w:r>
              <w:rPr>
                <w:rFonts w:ascii="Verdana" w:hAnsi="Verdana"/>
                <w:noProof/>
                <w:lang w:eastAsia="en-ZA"/>
              </w:rPr>
              <w:drawing>
                <wp:inline distT="0" distB="0" distL="0" distR="0">
                  <wp:extent cx="2066925" cy="434328"/>
                  <wp:effectExtent l="0" t="0" r="0" b="4445"/>
                  <wp:docPr id="6" name="Picture 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696F43">
              <w:rPr>
                <w:rFonts w:ascii="Verdana" w:hAnsi="Verdana"/>
                <w:b/>
                <w:color w:val="FFFFFF"/>
                <w:sz w:val="20"/>
                <w:szCs w:val="20"/>
              </w:rPr>
              <w:t>MONTHLY PERFORMANCE SURVEY OF INDEX TRACKING ETFS, ETNs AND UNIT TRUSTS</w:t>
            </w:r>
          </w:p>
          <w:p w:rsidR="00D0228A" w:rsidRPr="00696F43" w:rsidRDefault="00D0228A" w:rsidP="007F2782">
            <w:pPr>
              <w:spacing w:before="40" w:after="0" w:line="240" w:lineRule="atLeast"/>
              <w:jc w:val="center"/>
              <w:rPr>
                <w:rFonts w:ascii="Verdana" w:hAnsi="Verdana"/>
                <w:b/>
                <w:color w:val="FFFFFF"/>
                <w:sz w:val="20"/>
                <w:szCs w:val="20"/>
              </w:rPr>
            </w:pPr>
            <w:r w:rsidRPr="00696F43">
              <w:rPr>
                <w:rFonts w:ascii="Verdana" w:hAnsi="Verdana"/>
                <w:b/>
                <w:color w:val="FFFFFF"/>
                <w:sz w:val="20"/>
                <w:szCs w:val="20"/>
              </w:rPr>
              <w:t xml:space="preserve">For Period Ended </w:t>
            </w:r>
            <w:r>
              <w:rPr>
                <w:rFonts w:ascii="Verdana" w:hAnsi="Verdana"/>
                <w:b/>
                <w:color w:val="FFFFFF"/>
                <w:sz w:val="20"/>
                <w:szCs w:val="20"/>
              </w:rPr>
              <w:t>30 October 2015</w:t>
            </w:r>
          </w:p>
          <w:p w:rsidR="00D0228A" w:rsidRDefault="00D0228A" w:rsidP="007F2782">
            <w:pPr>
              <w:spacing w:before="40" w:after="0" w:line="240" w:lineRule="atLeast"/>
              <w:jc w:val="center"/>
              <w:rPr>
                <w:rFonts w:ascii="Verdana" w:hAnsi="Verdana"/>
                <w:noProof/>
                <w:lang w:eastAsia="en-ZA"/>
              </w:rPr>
            </w:pPr>
            <w:r w:rsidRPr="00696F43">
              <w:rPr>
                <w:rFonts w:ascii="Verdana" w:hAnsi="Verdana"/>
                <w:b/>
                <w:color w:val="FFFFFF"/>
                <w:sz w:val="20"/>
                <w:szCs w:val="20"/>
              </w:rPr>
              <w:t>(Total Returns – dividends reinvested)</w:t>
            </w:r>
          </w:p>
        </w:tc>
      </w:tr>
      <w:tr w:rsidR="00D0228A" w:rsidRPr="00A404F6" w:rsidTr="007F2782">
        <w:tc>
          <w:tcPr>
            <w:tcW w:w="4423" w:type="dxa"/>
            <w:gridSpan w:val="2"/>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rPr>
                <w:rFonts w:ascii="Verdana" w:hAnsi="Verdana"/>
                <w:b/>
                <w:color w:val="FFFFFF"/>
                <w:sz w:val="16"/>
                <w:szCs w:val="16"/>
              </w:rPr>
            </w:pPr>
            <w:r w:rsidRPr="00C12A38">
              <w:rPr>
                <w:rFonts w:ascii="Verdana" w:hAnsi="Verdana"/>
                <w:b/>
                <w:color w:val="FFFFFF"/>
                <w:sz w:val="16"/>
                <w:szCs w:val="16"/>
              </w:rPr>
              <w:t>B)  EXCHANGE TRADED NOTES (continued)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2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40" w:line="240" w:lineRule="atLeast"/>
              <w:jc w:val="center"/>
              <w:rPr>
                <w:rFonts w:ascii="Verdana" w:hAnsi="Verdana"/>
                <w:b/>
                <w:color w:val="FFFFFF"/>
                <w:sz w:val="16"/>
                <w:szCs w:val="16"/>
              </w:rPr>
            </w:pPr>
            <w:r>
              <w:rPr>
                <w:rFonts w:ascii="Verdana" w:hAnsi="Verdana"/>
                <w:b/>
                <w:color w:val="FFFFFF"/>
                <w:sz w:val="16"/>
                <w:szCs w:val="16"/>
              </w:rPr>
              <w:t>7</w:t>
            </w:r>
            <w:r w:rsidRPr="00C12A38">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D0228A" w:rsidRPr="00C12A38" w:rsidRDefault="00D0228A" w:rsidP="007F2782">
            <w:pPr>
              <w:spacing w:before="40" w:after="40" w:line="240" w:lineRule="atLeast"/>
              <w:jc w:val="center"/>
              <w:rPr>
                <w:rFonts w:ascii="Verdana" w:hAnsi="Verdana"/>
                <w:b/>
                <w:color w:val="FFFFFF"/>
                <w:sz w:val="16"/>
                <w:szCs w:val="16"/>
              </w:rPr>
            </w:pPr>
            <w:r>
              <w:rPr>
                <w:rFonts w:ascii="Verdana" w:hAnsi="Verdana"/>
                <w:b/>
                <w:color w:val="FFFFFF"/>
                <w:sz w:val="16"/>
                <w:szCs w:val="16"/>
              </w:rPr>
              <w:t>10 Years p.a.</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b/>
                <w:sz w:val="16"/>
                <w:szCs w:val="16"/>
              </w:rPr>
            </w:pPr>
            <w:r w:rsidRPr="00C12A38">
              <w:rPr>
                <w:rFonts w:ascii="Verdana" w:hAnsi="Verdana"/>
                <w:b/>
                <w:sz w:val="16"/>
                <w:szCs w:val="16"/>
              </w:rPr>
              <w:t>BNP Paribas</w:t>
            </w: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r>
      <w:tr w:rsidR="00D0228A" w:rsidRPr="00592DB0"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GURU Asia Fund</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4,58%</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4,58%</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(7,43%)</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28,04%</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592DB0"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GURU Equity World Fund</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3,15%</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6,50%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9,17%</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29,70%</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592DB0"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GURU Europe Fund</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4,88%</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9,32%</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13,16%</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38,71%</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592DB0"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GURU USA Fund</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(0,71%)</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11,20%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18,80%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34,95%</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b/>
                <w:sz w:val="16"/>
                <w:szCs w:val="16"/>
              </w:rPr>
            </w:pPr>
            <w:r w:rsidRPr="00C12A38">
              <w:rPr>
                <w:rFonts w:ascii="Verdana" w:hAnsi="Verdana"/>
                <w:b/>
                <w:sz w:val="16"/>
                <w:szCs w:val="16"/>
              </w:rPr>
              <w:t>Deutsche Bank</w:t>
            </w: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DB MSCI China Total Return</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9,17%</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3,40%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(11,41%)</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28,34%</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21,45%</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22,26%</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DB MSCI Emerging Markets Total Return</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7,34%</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3,86%</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(5,23%)</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8,90%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8,63%</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12,71%</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DB Africa Top 50 Capped Total Return</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3,55%</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4,64%</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(4,53%)</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3,83%</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9,53%</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13,55%</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b/>
                <w:sz w:val="16"/>
                <w:szCs w:val="16"/>
              </w:rPr>
            </w:pPr>
            <w:r w:rsidRPr="00C12A38">
              <w:rPr>
                <w:rFonts w:ascii="Verdana" w:hAnsi="Verdana"/>
                <w:b/>
                <w:sz w:val="16"/>
                <w:szCs w:val="16"/>
              </w:rPr>
              <w:t>Investec</w:t>
            </w: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SWIX Top 40 ETN</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7,77%</w:t>
            </w:r>
          </w:p>
        </w:tc>
        <w:tc>
          <w:tcPr>
            <w:tcW w:w="1276"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3,99%</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5,50%</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14,80%</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14,30%</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20,50%</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A404F6"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Top 40 ETN</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8,07%</w:t>
            </w:r>
          </w:p>
        </w:tc>
        <w:tc>
          <w:tcPr>
            <w:tcW w:w="1276"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6,13%</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1,01%</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15,67%</w:t>
            </w:r>
          </w:p>
        </w:tc>
        <w:tc>
          <w:tcPr>
            <w:tcW w:w="1134" w:type="dxa"/>
            <w:vAlign w:val="center"/>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12,47%</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16,56%</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b/>
                <w:sz w:val="16"/>
                <w:szCs w:val="16"/>
              </w:rPr>
            </w:pPr>
            <w:r w:rsidRPr="00C12A38">
              <w:rPr>
                <w:rFonts w:ascii="Verdana" w:hAnsi="Verdana"/>
                <w:b/>
                <w:sz w:val="16"/>
                <w:szCs w:val="16"/>
              </w:rPr>
              <w:t xml:space="preserve">Standard Bank </w:t>
            </w: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p>
        </w:tc>
        <w:tc>
          <w:tcPr>
            <w:tcW w:w="1134" w:type="dxa"/>
          </w:tcPr>
          <w:p w:rsidR="00D0228A" w:rsidRPr="00C12A38" w:rsidRDefault="00D0228A" w:rsidP="007F2782">
            <w:pPr>
              <w:spacing w:before="40" w:after="0" w:line="280" w:lineRule="atLeast"/>
              <w:jc w:val="center"/>
              <w:rPr>
                <w:rFonts w:ascii="Verdana" w:hAnsi="Verdana"/>
                <w:sz w:val="16"/>
                <w:szCs w:val="16"/>
              </w:rPr>
            </w:pPr>
          </w:p>
        </w:tc>
        <w:tc>
          <w:tcPr>
            <w:tcW w:w="1276" w:type="dxa"/>
          </w:tcPr>
          <w:p w:rsidR="00D0228A" w:rsidRPr="00C12A38" w:rsidRDefault="00D0228A" w:rsidP="007F2782">
            <w:pPr>
              <w:spacing w:before="40" w:after="0" w:line="280" w:lineRule="atLeast"/>
              <w:jc w:val="center"/>
              <w:rPr>
                <w:rFonts w:ascii="Verdana" w:hAnsi="Verdana"/>
                <w:sz w:val="16"/>
                <w:szCs w:val="16"/>
              </w:rPr>
            </w:pP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Africa Equity Index Total Return</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2,72%</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(1,25%)</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(11,85%)</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(15,63%)</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(6,55%)</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(2,06%)</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Africa Commodity Basket Index</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2,32%</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6,79%</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0,78%</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(5,82%)</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(4,74%)</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(0,46%)</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Gold-Linker</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2,63%</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13,68%</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12,25%</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20,79%</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8,59%</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1,85%</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10,26%</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Silver-Linker</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7,07%</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14,32%</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12,35%</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17,26%</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(4,50%)</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(9,62%)</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3,39%</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Palladium-Linker</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3,21%</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19,47%</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1,14%</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8,68%</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11,63%</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21,17%</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14,85%</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RPr="000E07F5" w:rsidTr="007F2782">
        <w:tc>
          <w:tcPr>
            <w:tcW w:w="4423" w:type="dxa"/>
            <w:gridSpan w:val="2"/>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Platinum-Linker</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8,26%</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9,40%</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0,42%</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(0,08%)</w:t>
            </w:r>
          </w:p>
        </w:tc>
        <w:tc>
          <w:tcPr>
            <w:tcW w:w="1134"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(4,08%)</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(0,34%)</w:t>
            </w:r>
          </w:p>
        </w:tc>
        <w:tc>
          <w:tcPr>
            <w:tcW w:w="1134" w:type="dxa"/>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1,74%</w:t>
            </w:r>
          </w:p>
        </w:tc>
        <w:tc>
          <w:tcPr>
            <w:tcW w:w="1134" w:type="dxa"/>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Tr="007F2782">
        <w:tc>
          <w:tcPr>
            <w:tcW w:w="4423" w:type="dxa"/>
            <w:gridSpan w:val="2"/>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Copper ETN</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(1,20%)</w:t>
            </w: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5,91%</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(6,22%)</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(3,51%)</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Tr="007F2782">
        <w:tc>
          <w:tcPr>
            <w:tcW w:w="4423" w:type="dxa"/>
            <w:gridSpan w:val="2"/>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Corn ETN</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(2,97%)</w:t>
            </w: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9,89%</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15,61%</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14,85%</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Tr="007F2782">
        <w:tc>
          <w:tcPr>
            <w:tcW w:w="4423" w:type="dxa"/>
            <w:gridSpan w:val="2"/>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Oil ETN</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0,59%</w:t>
            </w: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(1,00%)</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(14,81%)</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(36,22%)</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(20,63%)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Tr="007F2782">
        <w:tc>
          <w:tcPr>
            <w:tcW w:w="4423" w:type="dxa"/>
            <w:gridSpan w:val="2"/>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rPr>
                <w:rFonts w:ascii="Verdana" w:hAnsi="Verdana"/>
                <w:sz w:val="16"/>
                <w:szCs w:val="16"/>
              </w:rPr>
            </w:pPr>
            <w:r w:rsidRPr="00C12A38">
              <w:rPr>
                <w:rFonts w:ascii="Verdana" w:hAnsi="Verdana"/>
                <w:sz w:val="16"/>
                <w:szCs w:val="16"/>
              </w:rPr>
              <w:t xml:space="preserve">    Wheat ETN</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3,50%</w:t>
            </w: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13,16%</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23,89%</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15,90%</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(3,26%)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(7,38%)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228A" w:rsidRPr="00C12A38" w:rsidRDefault="00D0228A" w:rsidP="007F2782">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D0228A" w:rsidRPr="00C12A38" w:rsidRDefault="00D0228A" w:rsidP="007F2782">
            <w:pPr>
              <w:spacing w:before="40" w:after="0" w:line="280" w:lineRule="atLeast"/>
              <w:jc w:val="center"/>
              <w:rPr>
                <w:rFonts w:ascii="Verdana" w:hAnsi="Verdana"/>
                <w:sz w:val="16"/>
                <w:szCs w:val="16"/>
              </w:rPr>
            </w:pPr>
            <w:r>
              <w:rPr>
                <w:rFonts w:ascii="Verdana" w:hAnsi="Verdana"/>
                <w:sz w:val="16"/>
                <w:szCs w:val="16"/>
              </w:rPr>
              <w:t>-</w:t>
            </w:r>
          </w:p>
        </w:tc>
      </w:tr>
      <w:tr w:rsidR="00D0228A" w:rsidTr="007F2782">
        <w:tc>
          <w:tcPr>
            <w:tcW w:w="851" w:type="dxa"/>
            <w:tcBorders>
              <w:right w:val="nil"/>
            </w:tcBorders>
            <w:vAlign w:val="center"/>
          </w:tcPr>
          <w:p w:rsidR="00D0228A" w:rsidRPr="00C12A38" w:rsidRDefault="00D0228A" w:rsidP="007F2782">
            <w:pPr>
              <w:spacing w:after="0" w:line="240" w:lineRule="atLeast"/>
              <w:rPr>
                <w:rFonts w:ascii="Verdana" w:hAnsi="Verdana"/>
                <w:i/>
                <w:sz w:val="15"/>
                <w:szCs w:val="15"/>
              </w:rPr>
            </w:pPr>
            <w:r w:rsidRPr="00C12A38">
              <w:rPr>
                <w:rFonts w:ascii="Verdana" w:hAnsi="Verdana"/>
                <w:i/>
                <w:sz w:val="15"/>
                <w:szCs w:val="15"/>
              </w:rPr>
              <w:t>Source:</w:t>
            </w:r>
          </w:p>
        </w:tc>
        <w:tc>
          <w:tcPr>
            <w:tcW w:w="12786" w:type="dxa"/>
            <w:gridSpan w:val="9"/>
            <w:tcBorders>
              <w:left w:val="nil"/>
            </w:tcBorders>
            <w:vAlign w:val="center"/>
          </w:tcPr>
          <w:p w:rsidR="00D0228A" w:rsidRDefault="00D0228A" w:rsidP="007F2782">
            <w:pPr>
              <w:spacing w:after="0" w:line="240" w:lineRule="atLeast"/>
              <w:rPr>
                <w:rFonts w:ascii="Verdana" w:hAnsi="Verdana"/>
                <w:i/>
                <w:sz w:val="16"/>
                <w:szCs w:val="16"/>
              </w:rPr>
            </w:pPr>
            <w:r w:rsidRPr="00C12A38">
              <w:rPr>
                <w:rFonts w:ascii="Verdana" w:hAnsi="Verdana"/>
                <w:i/>
                <w:sz w:val="15"/>
                <w:szCs w:val="15"/>
              </w:rPr>
              <w:t>etfSA.co.za / Profile Media – FundsData (</w:t>
            </w:r>
            <w:r>
              <w:rPr>
                <w:rFonts w:ascii="Verdana" w:hAnsi="Verdana"/>
                <w:i/>
                <w:sz w:val="15"/>
                <w:szCs w:val="15"/>
              </w:rPr>
              <w:t>30</w:t>
            </w:r>
            <w:r w:rsidRPr="00C12A38">
              <w:rPr>
                <w:rFonts w:ascii="Verdana" w:hAnsi="Verdana"/>
                <w:i/>
                <w:sz w:val="15"/>
                <w:szCs w:val="15"/>
              </w:rPr>
              <w:t>/</w:t>
            </w:r>
            <w:r>
              <w:rPr>
                <w:rFonts w:ascii="Verdana" w:hAnsi="Verdana"/>
                <w:i/>
                <w:sz w:val="15"/>
                <w:szCs w:val="15"/>
              </w:rPr>
              <w:t>10</w:t>
            </w:r>
            <w:r w:rsidRPr="00C12A38">
              <w:rPr>
                <w:rFonts w:ascii="Verdana" w:hAnsi="Verdana"/>
                <w:i/>
                <w:sz w:val="15"/>
                <w:szCs w:val="15"/>
              </w:rPr>
              <w:t>/201</w:t>
            </w:r>
            <w:r>
              <w:rPr>
                <w:rFonts w:ascii="Verdana" w:hAnsi="Verdana"/>
                <w:i/>
                <w:sz w:val="15"/>
                <w:szCs w:val="15"/>
              </w:rPr>
              <w:t>5</w:t>
            </w:r>
            <w:r w:rsidRPr="00C12A38">
              <w:rPr>
                <w:rFonts w:ascii="Verdana" w:hAnsi="Verdana"/>
                <w:i/>
                <w:sz w:val="15"/>
                <w:szCs w:val="15"/>
              </w:rPr>
              <w:t>)</w:t>
            </w:r>
          </w:p>
        </w:tc>
        <w:tc>
          <w:tcPr>
            <w:tcW w:w="1276" w:type="dxa"/>
            <w:tcBorders>
              <w:left w:val="nil"/>
            </w:tcBorders>
          </w:tcPr>
          <w:p w:rsidR="00D0228A" w:rsidRPr="00C12A38" w:rsidRDefault="00D0228A" w:rsidP="007F2782">
            <w:pPr>
              <w:spacing w:after="0" w:line="240" w:lineRule="atLeast"/>
              <w:rPr>
                <w:rFonts w:ascii="Verdana" w:hAnsi="Verdana"/>
                <w:i/>
                <w:sz w:val="15"/>
                <w:szCs w:val="15"/>
              </w:rPr>
            </w:pPr>
          </w:p>
        </w:tc>
      </w:tr>
    </w:tbl>
    <w:p w:rsidR="00D0228A" w:rsidRPr="00C12A38" w:rsidRDefault="00D0228A" w:rsidP="00D0228A">
      <w:pPr>
        <w:spacing w:after="0" w:line="240" w:lineRule="auto"/>
        <w:jc w:val="center"/>
        <w:rPr>
          <w:rFonts w:ascii="Verdana" w:hAnsi="Verdana"/>
          <w:sz w:val="15"/>
          <w:szCs w:val="15"/>
        </w:rPr>
      </w:pPr>
      <w:r w:rsidRPr="00C12A38">
        <w:rPr>
          <w:rFonts w:ascii="Arial" w:hAnsi="Arial" w:cs="Arial"/>
          <w:b/>
          <w:i/>
          <w:color w:val="0F0D35"/>
          <w:sz w:val="15"/>
          <w:szCs w:val="15"/>
        </w:rPr>
        <w:t xml:space="preserve">Terms and conditions: </w:t>
      </w:r>
      <w:r w:rsidRPr="00C12A38">
        <w:rPr>
          <w:rFonts w:ascii="Arial" w:hAnsi="Arial" w:cs="Arial"/>
          <w:i/>
          <w:color w:val="0F0D35"/>
          <w:sz w:val="15"/>
          <w:szCs w:val="15"/>
        </w:rPr>
        <w:t>Redistribution, reproduction, the resale or transmission to any third party of the contents of this article and this website, whether by email, newsletter, internet or website, is only possible with the written permission of etfSA.co.za.  etfSA.co.za, its sponsors, administrators, contributors and product providers disclaim any liability for any loss, damage, or expense that might occur from the use of or reliance on the data and services provided through this website.  etfSA.co.za is the registered trading name of M F Brown, an authorised Financial Services Provider (FSP No 39217)</w:t>
      </w:r>
      <w:r w:rsidRPr="00C12A38">
        <w:rPr>
          <w:rFonts w:ascii="Arial" w:hAnsi="Arial" w:cs="Arial"/>
          <w:i/>
          <w:color w:val="0F0D35"/>
          <w:sz w:val="15"/>
          <w:szCs w:val="15"/>
          <w:lang w:val="en-GB"/>
        </w:rPr>
        <w:t xml:space="preserve">. etfSA.co.za is licensed to provide financial services in the following categories: Collective Investment Schemes; Shares and Securities; Retail Pension Fund Benefits; Short-Term deposits; and Friendly Society Benefits. </w:t>
      </w:r>
      <w:r w:rsidRPr="00C12A38">
        <w:rPr>
          <w:rFonts w:ascii="Arial" w:hAnsi="Arial" w:cs="Arial"/>
          <w:i/>
          <w:color w:val="0F0D35"/>
          <w:sz w:val="15"/>
          <w:szCs w:val="15"/>
          <w:lang w:val="en-US"/>
        </w:rPr>
        <w:t>Professional Indemnity Insurance is maintained. etfSA.co.za</w:t>
      </w:r>
      <w:r w:rsidRPr="00C12A38">
        <w:rPr>
          <w:rFonts w:ascii="Arial" w:hAnsi="Arial" w:cs="Arial"/>
          <w:i/>
          <w:color w:val="0F0D35"/>
          <w:sz w:val="15"/>
          <w:szCs w:val="15"/>
          <w:vertAlign w:val="superscript"/>
          <w:lang w:val="en-US"/>
        </w:rPr>
        <w:t>®</w:t>
      </w:r>
      <w:r w:rsidRPr="00C12A38">
        <w:rPr>
          <w:rFonts w:ascii="Arial" w:hAnsi="Arial" w:cs="Arial"/>
          <w:i/>
          <w:color w:val="0F0D35"/>
          <w:sz w:val="15"/>
          <w:szCs w:val="15"/>
          <w:lang w:val="en-US"/>
        </w:rPr>
        <w:t>, and etfSA The Home of Exchange Traded Funds</w:t>
      </w:r>
      <w:r w:rsidRPr="00C12A38">
        <w:rPr>
          <w:rFonts w:ascii="Arial" w:hAnsi="Arial" w:cs="Arial"/>
          <w:i/>
          <w:color w:val="0F0D35"/>
          <w:sz w:val="15"/>
          <w:szCs w:val="15"/>
          <w:vertAlign w:val="superscript"/>
          <w:lang w:val="en-US"/>
        </w:rPr>
        <w:t>®</w:t>
      </w:r>
      <w:r w:rsidRPr="00C12A38">
        <w:rPr>
          <w:rFonts w:ascii="Arial" w:hAnsi="Arial" w:cs="Arial"/>
          <w:i/>
          <w:color w:val="0F0D35"/>
          <w:sz w:val="15"/>
          <w:szCs w:val="15"/>
          <w:lang w:val="en-US"/>
        </w:rPr>
        <w:t xml:space="preserve"> are registered trademarks in the Republic of South Africa</w:t>
      </w:r>
      <w:r w:rsidRPr="00C12A38">
        <w:rPr>
          <w:sz w:val="15"/>
          <w:szCs w:val="15"/>
        </w:rPr>
        <w:t xml:space="preserve"> </w:t>
      </w:r>
      <w:r w:rsidRPr="00C12A38">
        <w:rPr>
          <w:sz w:val="15"/>
          <w:szCs w:val="15"/>
        </w:rPr>
        <w:br w:type="page"/>
      </w:r>
    </w:p>
    <w:p w:rsidR="00D0228A" w:rsidRPr="00C12A38" w:rsidRDefault="00D0228A" w:rsidP="00D0228A">
      <w:pPr>
        <w:spacing w:after="0" w:line="240" w:lineRule="auto"/>
        <w:jc w:val="center"/>
        <w:rPr>
          <w:rFonts w:ascii="Verdana" w:hAnsi="Verdana"/>
          <w:sz w:val="15"/>
          <w:szCs w:val="15"/>
        </w:rPr>
      </w:pPr>
    </w:p>
    <w:p w:rsidR="00D0228A" w:rsidRPr="000D0ACE" w:rsidRDefault="00D0228A" w:rsidP="00D0228A">
      <w:pPr>
        <w:spacing w:after="0" w:line="240" w:lineRule="auto"/>
        <w:jc w:val="right"/>
        <w:rPr>
          <w:rFonts w:ascii="Verdana" w:hAnsi="Verdana"/>
          <w:sz w:val="8"/>
          <w:szCs w:val="8"/>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32"/>
        <w:gridCol w:w="1326"/>
        <w:gridCol w:w="1418"/>
        <w:gridCol w:w="1276"/>
        <w:gridCol w:w="1417"/>
        <w:gridCol w:w="1418"/>
        <w:gridCol w:w="1701"/>
      </w:tblGrid>
      <w:tr w:rsidR="00D0228A" w:rsidRPr="00A404F6" w:rsidTr="007F2782">
        <w:tc>
          <w:tcPr>
            <w:tcW w:w="14488" w:type="dxa"/>
            <w:gridSpan w:val="7"/>
            <w:shd w:val="clear" w:color="auto" w:fill="CB2229"/>
            <w:vAlign w:val="center"/>
          </w:tcPr>
          <w:p w:rsidR="00D0228A" w:rsidRPr="00E90284" w:rsidRDefault="00D0228A" w:rsidP="007F2782">
            <w:pPr>
              <w:spacing w:after="40" w:line="280" w:lineRule="atLeast"/>
              <w:rPr>
                <w:rFonts w:ascii="Verdana" w:hAnsi="Verdana"/>
                <w:b/>
                <w:color w:val="FFFFFF"/>
                <w:sz w:val="20"/>
                <w:szCs w:val="20"/>
              </w:rPr>
            </w:pPr>
            <w:r w:rsidRPr="00E90284">
              <w:rPr>
                <w:rFonts w:ascii="Verdana" w:hAnsi="Verdana"/>
                <w:noProof/>
                <w:sz w:val="20"/>
                <w:szCs w:val="20"/>
                <w:lang w:eastAsia="en-ZA"/>
              </w:rPr>
              <w:drawing>
                <wp:inline distT="0" distB="0" distL="0" distR="0">
                  <wp:extent cx="2066925" cy="434328"/>
                  <wp:effectExtent l="0" t="0" r="0" b="4445"/>
                  <wp:docPr id="7" name="Picture 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D0228A" w:rsidRPr="00E90284" w:rsidRDefault="00D0228A" w:rsidP="007F2782">
            <w:pPr>
              <w:spacing w:after="40" w:line="280" w:lineRule="atLeast"/>
              <w:jc w:val="center"/>
              <w:rPr>
                <w:rFonts w:ascii="Verdana" w:hAnsi="Verdana"/>
                <w:noProof/>
                <w:sz w:val="20"/>
                <w:szCs w:val="20"/>
                <w:lang w:eastAsia="en-ZA"/>
              </w:rPr>
            </w:pPr>
            <w:r w:rsidRPr="00E90284">
              <w:rPr>
                <w:rFonts w:ascii="Verdana" w:hAnsi="Verdana"/>
                <w:b/>
                <w:color w:val="FFFFFF"/>
                <w:sz w:val="20"/>
                <w:szCs w:val="20"/>
              </w:rPr>
              <w:t xml:space="preserve">For Period Ended </w:t>
            </w:r>
            <w:r>
              <w:rPr>
                <w:rFonts w:ascii="Verdana" w:hAnsi="Verdana"/>
                <w:b/>
                <w:color w:val="FFFFFF"/>
                <w:sz w:val="20"/>
                <w:szCs w:val="20"/>
              </w:rPr>
              <w:t>30 October 2015</w:t>
            </w:r>
            <w:r w:rsidRPr="00E90284">
              <w:rPr>
                <w:rFonts w:ascii="Verdana" w:hAnsi="Verdana"/>
                <w:b/>
                <w:color w:val="FFFFFF"/>
                <w:sz w:val="20"/>
                <w:szCs w:val="20"/>
              </w:rPr>
              <w:t xml:space="preserve">          (Total Returns – dividends reinvested)</w:t>
            </w:r>
          </w:p>
        </w:tc>
      </w:tr>
      <w:tr w:rsidR="00D0228A" w:rsidRPr="00A404F6" w:rsidTr="007F2782">
        <w:tc>
          <w:tcPr>
            <w:tcW w:w="5932" w:type="dxa"/>
            <w:shd w:val="clear" w:color="auto" w:fill="4C4C4C"/>
          </w:tcPr>
          <w:p w:rsidR="00D0228A" w:rsidRPr="00C12A38" w:rsidRDefault="00D0228A" w:rsidP="007F2782">
            <w:pPr>
              <w:spacing w:before="40" w:after="40" w:line="280" w:lineRule="atLeast"/>
              <w:rPr>
                <w:rFonts w:ascii="Verdana" w:hAnsi="Verdana"/>
                <w:b/>
                <w:color w:val="FFFFFF"/>
                <w:sz w:val="16"/>
                <w:szCs w:val="16"/>
              </w:rPr>
            </w:pPr>
            <w:r w:rsidRPr="00C12A38">
              <w:rPr>
                <w:rFonts w:ascii="Verdana" w:hAnsi="Verdana"/>
                <w:b/>
                <w:color w:val="FFFFFF"/>
                <w:sz w:val="16"/>
                <w:szCs w:val="16"/>
              </w:rPr>
              <w:t>C)  INDEX TRACKING UNIT TRUSTS</w:t>
            </w:r>
          </w:p>
        </w:tc>
        <w:tc>
          <w:tcPr>
            <w:tcW w:w="1326"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418"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276"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417"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418"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701"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10 Years p.a.</w:t>
            </w:r>
          </w:p>
        </w:tc>
      </w:tr>
      <w:tr w:rsidR="00D0228A" w:rsidRPr="00A404F6" w:rsidTr="007F2782">
        <w:tc>
          <w:tcPr>
            <w:tcW w:w="5932" w:type="dxa"/>
            <w:shd w:val="clear" w:color="auto" w:fill="EBEBEB"/>
          </w:tcPr>
          <w:p w:rsidR="00D0228A" w:rsidRPr="00C12A38" w:rsidRDefault="00D0228A" w:rsidP="007F2782">
            <w:pPr>
              <w:spacing w:before="40" w:after="40" w:line="280" w:lineRule="atLeast"/>
              <w:rPr>
                <w:rFonts w:ascii="Verdana" w:hAnsi="Verdana"/>
                <w:b/>
                <w:sz w:val="16"/>
                <w:szCs w:val="16"/>
              </w:rPr>
            </w:pPr>
            <w:r w:rsidRPr="00C12A38">
              <w:rPr>
                <w:rFonts w:ascii="Verdana" w:hAnsi="Verdana"/>
                <w:b/>
                <w:sz w:val="16"/>
                <w:szCs w:val="16"/>
              </w:rPr>
              <w:t>1. TOP 40 PRODUCTS</w:t>
            </w:r>
          </w:p>
        </w:tc>
        <w:tc>
          <w:tcPr>
            <w:tcW w:w="1326" w:type="dxa"/>
            <w:shd w:val="clear" w:color="auto" w:fill="EBEBEB"/>
            <w:vAlign w:val="center"/>
          </w:tcPr>
          <w:p w:rsidR="00D0228A" w:rsidRPr="00C12A38" w:rsidRDefault="00D0228A" w:rsidP="007F2782">
            <w:pPr>
              <w:spacing w:before="40" w:after="40" w:line="280" w:lineRule="atLeast"/>
              <w:jc w:val="center"/>
              <w:rPr>
                <w:rFonts w:ascii="Verdana" w:hAnsi="Verdana"/>
                <w:b/>
                <w:sz w:val="16"/>
                <w:szCs w:val="16"/>
              </w:rPr>
            </w:pPr>
          </w:p>
        </w:tc>
        <w:tc>
          <w:tcPr>
            <w:tcW w:w="1418" w:type="dxa"/>
            <w:shd w:val="clear" w:color="auto" w:fill="EBEBEB"/>
            <w:vAlign w:val="center"/>
          </w:tcPr>
          <w:p w:rsidR="00D0228A" w:rsidRPr="00C12A38" w:rsidRDefault="00D0228A" w:rsidP="007F2782">
            <w:pPr>
              <w:spacing w:before="40" w:after="40" w:line="280" w:lineRule="atLeast"/>
              <w:jc w:val="center"/>
              <w:rPr>
                <w:rFonts w:ascii="Verdana" w:hAnsi="Verdana"/>
                <w:b/>
                <w:sz w:val="16"/>
                <w:szCs w:val="16"/>
              </w:rPr>
            </w:pPr>
          </w:p>
        </w:tc>
        <w:tc>
          <w:tcPr>
            <w:tcW w:w="1276" w:type="dxa"/>
            <w:shd w:val="clear" w:color="auto" w:fill="EBEBEB"/>
            <w:vAlign w:val="center"/>
          </w:tcPr>
          <w:p w:rsidR="00D0228A" w:rsidRPr="00C12A38" w:rsidRDefault="00D0228A" w:rsidP="007F2782">
            <w:pPr>
              <w:spacing w:before="40" w:after="40" w:line="280" w:lineRule="atLeast"/>
              <w:jc w:val="center"/>
              <w:rPr>
                <w:rFonts w:ascii="Verdana" w:hAnsi="Verdana"/>
                <w:b/>
                <w:sz w:val="16"/>
                <w:szCs w:val="16"/>
              </w:rPr>
            </w:pPr>
          </w:p>
        </w:tc>
        <w:tc>
          <w:tcPr>
            <w:tcW w:w="1417"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701"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r>
      <w:tr w:rsidR="00D0228A" w:rsidRPr="00A404F6" w:rsidTr="007F2782">
        <w:tc>
          <w:tcPr>
            <w:tcW w:w="5932" w:type="dxa"/>
          </w:tcPr>
          <w:p w:rsidR="00D0228A" w:rsidRPr="00C12A38" w:rsidRDefault="00D0228A" w:rsidP="007F2782">
            <w:pPr>
              <w:spacing w:before="40" w:after="40" w:line="280" w:lineRule="atLeast"/>
              <w:rPr>
                <w:rFonts w:ascii="Verdana" w:hAnsi="Verdana"/>
                <w:b/>
                <w:sz w:val="16"/>
                <w:szCs w:val="16"/>
              </w:rPr>
            </w:pPr>
            <w:r w:rsidRPr="00C12A38">
              <w:rPr>
                <w:rFonts w:ascii="Verdana" w:hAnsi="Verdana"/>
                <w:b/>
                <w:sz w:val="16"/>
                <w:szCs w:val="16"/>
              </w:rPr>
              <w:t xml:space="preserve">    FTSE/JSE Top 40 Index (total return)</w:t>
            </w:r>
          </w:p>
        </w:tc>
        <w:tc>
          <w:tcPr>
            <w:tcW w:w="1326" w:type="dxa"/>
            <w:vAlign w:val="center"/>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7,89%</w:t>
            </w:r>
          </w:p>
        </w:tc>
        <w:tc>
          <w:tcPr>
            <w:tcW w:w="1418" w:type="dxa"/>
            <w:vAlign w:val="center"/>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5,90%</w:t>
            </w:r>
          </w:p>
        </w:tc>
        <w:tc>
          <w:tcPr>
            <w:tcW w:w="1276" w:type="dxa"/>
            <w:vAlign w:val="center"/>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15,05%</w:t>
            </w:r>
          </w:p>
        </w:tc>
        <w:tc>
          <w:tcPr>
            <w:tcW w:w="1417" w:type="dxa"/>
            <w:shd w:val="clear" w:color="auto" w:fill="auto"/>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16,99%</w:t>
            </w:r>
          </w:p>
        </w:tc>
        <w:tc>
          <w:tcPr>
            <w:tcW w:w="1418" w:type="dxa"/>
            <w:shd w:val="clear" w:color="auto" w:fill="auto"/>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15,68%</w:t>
            </w:r>
          </w:p>
        </w:tc>
        <w:tc>
          <w:tcPr>
            <w:tcW w:w="1701" w:type="dxa"/>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15,75%</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Kagiso Top 40 Tracker Fund </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7,81%</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5,33%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14,11%</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16,07%</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14,75%</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14,92%</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Momentum Top 40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7,78%</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5,15%</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14,04%</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16,10%</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14,84%</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14,56%</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Equally Weighted Top 40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6,75%</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3,12%</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11,44%</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11,70%</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12,59%</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Pr>
                <w:rFonts w:ascii="Verdana" w:hAnsi="Verdana"/>
                <w:sz w:val="16"/>
                <w:szCs w:val="16"/>
              </w:rPr>
              <w:t xml:space="preserve">    Satrix </w:t>
            </w:r>
            <w:r w:rsidRPr="00C12A38">
              <w:rPr>
                <w:rFonts w:ascii="Verdana" w:hAnsi="Verdana"/>
                <w:sz w:val="16"/>
                <w:szCs w:val="16"/>
              </w:rPr>
              <w:t>Top 40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7,83%</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5,65%</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13,81%</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Sygnia </w:t>
            </w:r>
            <w:r>
              <w:rPr>
                <w:rFonts w:ascii="Verdana" w:hAnsi="Verdana"/>
                <w:sz w:val="16"/>
                <w:szCs w:val="16"/>
              </w:rPr>
              <w:t>Top 40 Index</w:t>
            </w:r>
            <w:r w:rsidRPr="00C12A38">
              <w:rPr>
                <w:rFonts w:ascii="Verdana" w:hAnsi="Verdana"/>
                <w:sz w:val="16"/>
                <w:szCs w:val="16"/>
              </w:rPr>
              <w:t xml:space="preserve">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7,85%</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5,50%</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14,50%</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p>
        </w:tc>
        <w:tc>
          <w:tcPr>
            <w:tcW w:w="1701" w:type="dxa"/>
          </w:tcPr>
          <w:p w:rsidR="00D0228A" w:rsidRPr="00C12A38" w:rsidRDefault="00D0228A" w:rsidP="007F2782">
            <w:pPr>
              <w:spacing w:before="40" w:after="40" w:line="280" w:lineRule="atLeast"/>
              <w:jc w:val="center"/>
              <w:rPr>
                <w:rFonts w:ascii="Verdana" w:hAnsi="Verdana"/>
                <w:sz w:val="16"/>
                <w:szCs w:val="16"/>
              </w:rPr>
            </w:pP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Sygnia </w:t>
            </w:r>
            <w:r>
              <w:rPr>
                <w:rFonts w:ascii="Verdana" w:hAnsi="Verdana"/>
                <w:sz w:val="16"/>
                <w:szCs w:val="16"/>
              </w:rPr>
              <w:t>SWIX Index</w:t>
            </w:r>
            <w:r w:rsidRPr="00C12A38">
              <w:rPr>
                <w:rFonts w:ascii="Verdana" w:hAnsi="Verdana"/>
                <w:sz w:val="16"/>
                <w:szCs w:val="16"/>
              </w:rPr>
              <w:t xml:space="preserve">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7,17%</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3,48%</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12,97%</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shd w:val="clear" w:color="auto" w:fill="EBEBEB"/>
          </w:tcPr>
          <w:p w:rsidR="00D0228A" w:rsidRPr="00C12A38" w:rsidRDefault="00D0228A" w:rsidP="007F2782">
            <w:pPr>
              <w:spacing w:before="40" w:after="40" w:line="280" w:lineRule="atLeast"/>
              <w:rPr>
                <w:rFonts w:ascii="Verdana" w:hAnsi="Verdana"/>
                <w:b/>
                <w:sz w:val="16"/>
                <w:szCs w:val="16"/>
              </w:rPr>
            </w:pPr>
            <w:r>
              <w:rPr>
                <w:rFonts w:ascii="Verdana" w:hAnsi="Verdana"/>
                <w:b/>
                <w:sz w:val="16"/>
                <w:szCs w:val="16"/>
              </w:rPr>
              <w:t xml:space="preserve">2. </w:t>
            </w:r>
            <w:r w:rsidRPr="00C12A38">
              <w:rPr>
                <w:rFonts w:ascii="Verdana" w:hAnsi="Verdana"/>
                <w:b/>
                <w:sz w:val="16"/>
                <w:szCs w:val="16"/>
              </w:rPr>
              <w:t xml:space="preserve">Other </w:t>
            </w:r>
            <w:r>
              <w:rPr>
                <w:rFonts w:ascii="Verdana" w:hAnsi="Verdana"/>
                <w:b/>
                <w:sz w:val="16"/>
                <w:szCs w:val="16"/>
              </w:rPr>
              <w:t xml:space="preserve">Equity </w:t>
            </w:r>
            <w:r w:rsidRPr="00C12A38">
              <w:rPr>
                <w:rFonts w:ascii="Verdana" w:hAnsi="Verdana"/>
                <w:b/>
                <w:sz w:val="16"/>
                <w:szCs w:val="16"/>
              </w:rPr>
              <w:t>Index Tracking Products</w:t>
            </w:r>
          </w:p>
        </w:tc>
        <w:tc>
          <w:tcPr>
            <w:tcW w:w="1326"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276"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417"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c>
          <w:tcPr>
            <w:tcW w:w="1701" w:type="dxa"/>
            <w:shd w:val="clear" w:color="auto" w:fill="EBEBEB"/>
          </w:tcPr>
          <w:p w:rsidR="00D0228A" w:rsidRPr="00C12A38" w:rsidRDefault="00D0228A" w:rsidP="007F2782">
            <w:pPr>
              <w:spacing w:before="40" w:after="40" w:line="280" w:lineRule="atLeast"/>
              <w:jc w:val="center"/>
              <w:rPr>
                <w:rFonts w:ascii="Verdana" w:hAnsi="Verdana"/>
                <w:b/>
                <w:sz w:val="16"/>
                <w:szCs w:val="16"/>
              </w:rPr>
            </w:pPr>
          </w:p>
        </w:tc>
      </w:tr>
      <w:tr w:rsidR="00D0228A" w:rsidRPr="00A404F6" w:rsidTr="007F2782">
        <w:tc>
          <w:tcPr>
            <w:tcW w:w="5932" w:type="dxa"/>
          </w:tcPr>
          <w:p w:rsidR="00D0228A" w:rsidRPr="00C12A38" w:rsidRDefault="00D0228A" w:rsidP="007F2782">
            <w:pPr>
              <w:spacing w:before="40" w:after="40" w:line="280" w:lineRule="atLeast"/>
              <w:rPr>
                <w:rFonts w:ascii="Verdana" w:hAnsi="Verdana"/>
                <w:b/>
                <w:sz w:val="16"/>
                <w:szCs w:val="16"/>
              </w:rPr>
            </w:pPr>
            <w:r w:rsidRPr="00C12A38">
              <w:rPr>
                <w:rFonts w:ascii="Verdana" w:hAnsi="Verdana"/>
                <w:sz w:val="16"/>
                <w:szCs w:val="16"/>
              </w:rPr>
              <w:t xml:space="preserve">    </w:t>
            </w:r>
            <w:r w:rsidRPr="00C12A38">
              <w:rPr>
                <w:rFonts w:ascii="Verdana" w:hAnsi="Verdana"/>
                <w:b/>
                <w:sz w:val="16"/>
                <w:szCs w:val="16"/>
              </w:rPr>
              <w:t>FTSE/JSE All Share Index (total return)</w:t>
            </w:r>
          </w:p>
        </w:tc>
        <w:tc>
          <w:tcPr>
            <w:tcW w:w="1326" w:type="dxa"/>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7,61%</w:t>
            </w:r>
          </w:p>
        </w:tc>
        <w:tc>
          <w:tcPr>
            <w:tcW w:w="1418" w:type="dxa"/>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5,34%</w:t>
            </w:r>
          </w:p>
        </w:tc>
        <w:tc>
          <w:tcPr>
            <w:tcW w:w="1276" w:type="dxa"/>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14,08%</w:t>
            </w:r>
          </w:p>
        </w:tc>
        <w:tc>
          <w:tcPr>
            <w:tcW w:w="1417" w:type="dxa"/>
            <w:shd w:val="clear" w:color="auto" w:fill="auto"/>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16,63%</w:t>
            </w:r>
          </w:p>
        </w:tc>
        <w:tc>
          <w:tcPr>
            <w:tcW w:w="1418" w:type="dxa"/>
            <w:shd w:val="clear" w:color="auto" w:fill="auto"/>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15,52%</w:t>
            </w:r>
          </w:p>
        </w:tc>
        <w:tc>
          <w:tcPr>
            <w:tcW w:w="1701" w:type="dxa"/>
          </w:tcPr>
          <w:p w:rsidR="00D0228A" w:rsidRPr="00C12A38" w:rsidRDefault="00D0228A" w:rsidP="007F2782">
            <w:pPr>
              <w:spacing w:before="40" w:after="40" w:line="280" w:lineRule="atLeast"/>
              <w:jc w:val="center"/>
              <w:rPr>
                <w:rFonts w:ascii="Verdana" w:hAnsi="Verdana"/>
                <w:b/>
                <w:sz w:val="16"/>
                <w:szCs w:val="16"/>
              </w:rPr>
            </w:pPr>
            <w:r>
              <w:rPr>
                <w:rFonts w:ascii="Verdana" w:hAnsi="Verdana"/>
                <w:b/>
                <w:sz w:val="16"/>
                <w:szCs w:val="16"/>
              </w:rPr>
              <w:t>16,01%</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Gryphon All Share Tracker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7,11%</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4,48%</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14,39%</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16,63%</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15,55%</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15,39%</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Stanlib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7,47%</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4,83%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13,17%</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16,12%</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14,93%</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15,47%</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ALSI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7,55%</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5,22%</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12,89%</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15,59%</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14,78%</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RAFI 40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6,62%</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1,31%</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1,25%</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9,17%</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Momentum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9,16%</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6,08%</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20,56%</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Old Mutual RAFI 40 Tracker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6,42%</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0,91%</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2,33%</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9,88%</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10,64%</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Balanced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5,92%</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2,83%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11,56%</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Pr>
                <w:rFonts w:ascii="Verdana" w:hAnsi="Verdana"/>
                <w:sz w:val="16"/>
                <w:szCs w:val="16"/>
              </w:rPr>
              <w:t xml:space="preserve">    Satrix Low Equity Balanced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3,43%</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3,01%</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10,73%</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Dividend Plus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5,87%</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(2,93%)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(4,52%)</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4,10%</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Sygnia Div</w:t>
            </w:r>
            <w:r>
              <w:rPr>
                <w:rFonts w:ascii="Verdana" w:hAnsi="Verdana"/>
                <w:sz w:val="16"/>
                <w:szCs w:val="16"/>
              </w:rPr>
              <w:t>idend</w:t>
            </w:r>
            <w:r w:rsidRPr="00C12A38">
              <w:rPr>
                <w:rFonts w:ascii="Verdana" w:hAnsi="Verdana"/>
                <w:sz w:val="16"/>
                <w:szCs w:val="16"/>
              </w:rPr>
              <w:t xml:space="preserve">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6,15%</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(3,02%)</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(4,02%)</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bl>
    <w:p w:rsidR="00D0228A" w:rsidRPr="00EC3EA9" w:rsidRDefault="00D0228A" w:rsidP="00D0228A">
      <w:pPr>
        <w:rPr>
          <w:rFonts w:ascii="Verdana" w:hAnsi="Verdana"/>
          <w:sz w:val="20"/>
          <w:szCs w:val="20"/>
        </w:rPr>
      </w:pPr>
      <w:r w:rsidRPr="00EC3EA9">
        <w:rPr>
          <w:rFonts w:ascii="Verdana" w:hAnsi="Verdana"/>
          <w:sz w:val="20"/>
          <w:szCs w:val="20"/>
        </w:rPr>
        <w:t>Continued/…</w:t>
      </w:r>
    </w:p>
    <w:p w:rsidR="00D0228A" w:rsidRDefault="00D0228A" w:rsidP="00D0228A">
      <w:pPr>
        <w:spacing w:after="160" w:line="259" w:lineRule="auto"/>
      </w:pPr>
      <w:r>
        <w:br w:type="page"/>
      </w:r>
    </w:p>
    <w:p w:rsidR="00D0228A" w:rsidRDefault="00D0228A" w:rsidP="00D0228A"/>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081"/>
        <w:gridCol w:w="1326"/>
        <w:gridCol w:w="1418"/>
        <w:gridCol w:w="1276"/>
        <w:gridCol w:w="1417"/>
        <w:gridCol w:w="1418"/>
        <w:gridCol w:w="1701"/>
      </w:tblGrid>
      <w:tr w:rsidR="00D0228A" w:rsidRPr="00E90284" w:rsidTr="007F2782">
        <w:tc>
          <w:tcPr>
            <w:tcW w:w="14488" w:type="dxa"/>
            <w:gridSpan w:val="8"/>
            <w:shd w:val="clear" w:color="auto" w:fill="CB2229"/>
            <w:vAlign w:val="center"/>
          </w:tcPr>
          <w:p w:rsidR="00D0228A" w:rsidRPr="00E90284" w:rsidRDefault="00D0228A" w:rsidP="007F2782">
            <w:pPr>
              <w:spacing w:after="40" w:line="280" w:lineRule="atLeast"/>
              <w:rPr>
                <w:rFonts w:ascii="Verdana" w:hAnsi="Verdana"/>
                <w:b/>
                <w:color w:val="FFFFFF"/>
                <w:sz w:val="20"/>
                <w:szCs w:val="20"/>
              </w:rPr>
            </w:pPr>
            <w:r w:rsidRPr="00E90284">
              <w:rPr>
                <w:rFonts w:ascii="Verdana" w:hAnsi="Verdana"/>
                <w:noProof/>
                <w:sz w:val="20"/>
                <w:szCs w:val="20"/>
                <w:lang w:eastAsia="en-ZA"/>
              </w:rPr>
              <w:drawing>
                <wp:inline distT="0" distB="0" distL="0" distR="0">
                  <wp:extent cx="2066925" cy="434328"/>
                  <wp:effectExtent l="0" t="0" r="0" b="4445"/>
                  <wp:docPr id="9" name="Picture 9"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D0228A" w:rsidRPr="00E90284" w:rsidRDefault="00D0228A" w:rsidP="007F2782">
            <w:pPr>
              <w:spacing w:after="40" w:line="280" w:lineRule="atLeast"/>
              <w:jc w:val="center"/>
              <w:rPr>
                <w:rFonts w:ascii="Verdana" w:hAnsi="Verdana"/>
                <w:noProof/>
                <w:sz w:val="20"/>
                <w:szCs w:val="20"/>
                <w:lang w:eastAsia="en-ZA"/>
              </w:rPr>
            </w:pPr>
            <w:r w:rsidRPr="00E90284">
              <w:rPr>
                <w:rFonts w:ascii="Verdana" w:hAnsi="Verdana"/>
                <w:b/>
                <w:color w:val="FFFFFF"/>
                <w:sz w:val="20"/>
                <w:szCs w:val="20"/>
              </w:rPr>
              <w:t xml:space="preserve">For Period Ended </w:t>
            </w:r>
            <w:r>
              <w:rPr>
                <w:rFonts w:ascii="Verdana" w:hAnsi="Verdana"/>
                <w:b/>
                <w:color w:val="FFFFFF"/>
                <w:sz w:val="20"/>
                <w:szCs w:val="20"/>
              </w:rPr>
              <w:t>30 October 2015</w:t>
            </w:r>
            <w:r w:rsidRPr="00E90284">
              <w:rPr>
                <w:rFonts w:ascii="Verdana" w:hAnsi="Verdana"/>
                <w:b/>
                <w:color w:val="FFFFFF"/>
                <w:sz w:val="20"/>
                <w:szCs w:val="20"/>
              </w:rPr>
              <w:t xml:space="preserve">          (Total Returns – dividends reinvested)</w:t>
            </w:r>
          </w:p>
        </w:tc>
      </w:tr>
      <w:tr w:rsidR="00D0228A" w:rsidRPr="00C12A38" w:rsidTr="007F2782">
        <w:tc>
          <w:tcPr>
            <w:tcW w:w="5932" w:type="dxa"/>
            <w:gridSpan w:val="2"/>
            <w:shd w:val="clear" w:color="auto" w:fill="4C4C4C"/>
          </w:tcPr>
          <w:p w:rsidR="00D0228A" w:rsidRPr="00C12A38" w:rsidRDefault="00D0228A" w:rsidP="007F2782">
            <w:pPr>
              <w:spacing w:before="40" w:after="40" w:line="280" w:lineRule="atLeast"/>
              <w:rPr>
                <w:rFonts w:ascii="Verdana" w:hAnsi="Verdana"/>
                <w:b/>
                <w:color w:val="FFFFFF"/>
                <w:sz w:val="16"/>
                <w:szCs w:val="16"/>
              </w:rPr>
            </w:pPr>
            <w:r w:rsidRPr="00C12A38">
              <w:rPr>
                <w:rFonts w:ascii="Verdana" w:hAnsi="Verdana"/>
                <w:b/>
                <w:color w:val="FFFFFF"/>
                <w:sz w:val="16"/>
                <w:szCs w:val="16"/>
              </w:rPr>
              <w:t>C)  INDEX TRACKING UNIT TRUSTS</w:t>
            </w:r>
          </w:p>
        </w:tc>
        <w:tc>
          <w:tcPr>
            <w:tcW w:w="1326"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418"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276"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417"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418"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701" w:type="dxa"/>
            <w:shd w:val="clear" w:color="auto" w:fill="4C4C4C"/>
          </w:tcPr>
          <w:p w:rsidR="00D0228A" w:rsidRPr="00C12A38" w:rsidRDefault="00D0228A" w:rsidP="007F2782">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10 Years p.a.</w:t>
            </w:r>
          </w:p>
        </w:tc>
      </w:tr>
      <w:tr w:rsidR="00D0228A" w:rsidRPr="00470A17" w:rsidTr="007F2782">
        <w:tc>
          <w:tcPr>
            <w:tcW w:w="5932" w:type="dxa"/>
            <w:gridSpan w:val="2"/>
            <w:shd w:val="clear" w:color="auto" w:fill="EBEBEB"/>
          </w:tcPr>
          <w:p w:rsidR="00D0228A" w:rsidRPr="00470A17" w:rsidRDefault="00D0228A" w:rsidP="007F2782">
            <w:pPr>
              <w:spacing w:before="40" w:after="40" w:line="280" w:lineRule="atLeast"/>
              <w:rPr>
                <w:rFonts w:ascii="Verdana" w:hAnsi="Verdana"/>
                <w:b/>
                <w:color w:val="000000" w:themeColor="text1"/>
                <w:sz w:val="16"/>
                <w:szCs w:val="16"/>
              </w:rPr>
            </w:pPr>
            <w:r>
              <w:rPr>
                <w:rFonts w:ascii="Verdana" w:hAnsi="Verdana"/>
                <w:b/>
                <w:color w:val="000000" w:themeColor="text1"/>
                <w:sz w:val="16"/>
                <w:szCs w:val="16"/>
              </w:rPr>
              <w:t>3. Bond Tracking Unit Trusts</w:t>
            </w:r>
          </w:p>
        </w:tc>
        <w:tc>
          <w:tcPr>
            <w:tcW w:w="1326"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c>
          <w:tcPr>
            <w:tcW w:w="1418"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c>
          <w:tcPr>
            <w:tcW w:w="1276"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c>
          <w:tcPr>
            <w:tcW w:w="1417"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c>
          <w:tcPr>
            <w:tcW w:w="1418"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c>
          <w:tcPr>
            <w:tcW w:w="1701" w:type="dxa"/>
            <w:shd w:val="clear" w:color="auto" w:fill="EBEBEB"/>
          </w:tcPr>
          <w:p w:rsidR="00D0228A" w:rsidRPr="00470A17" w:rsidRDefault="00D0228A" w:rsidP="007F2782">
            <w:pPr>
              <w:spacing w:before="40" w:after="40" w:line="280" w:lineRule="atLeast"/>
              <w:jc w:val="center"/>
              <w:rPr>
                <w:rFonts w:ascii="Verdana" w:hAnsi="Verdana"/>
                <w:b/>
                <w:color w:val="000000" w:themeColor="text1"/>
                <w:sz w:val="16"/>
                <w:szCs w:val="16"/>
              </w:rPr>
            </w:pPr>
          </w:p>
        </w:tc>
      </w:tr>
      <w:tr w:rsidR="00D0228A" w:rsidRPr="00A404F6" w:rsidTr="007F2782">
        <w:tc>
          <w:tcPr>
            <w:tcW w:w="5932" w:type="dxa"/>
            <w:gridSpan w:val="2"/>
          </w:tcPr>
          <w:p w:rsidR="00D0228A" w:rsidRPr="008510E5" w:rsidRDefault="00D0228A" w:rsidP="007F2782">
            <w:pPr>
              <w:spacing w:before="40" w:after="40" w:line="280" w:lineRule="atLeast"/>
              <w:rPr>
                <w:rFonts w:ascii="Verdana" w:hAnsi="Verdana"/>
                <w:b/>
                <w:sz w:val="16"/>
                <w:szCs w:val="16"/>
              </w:rPr>
            </w:pPr>
            <w:r>
              <w:rPr>
                <w:rFonts w:ascii="Verdana" w:hAnsi="Verdana"/>
                <w:b/>
                <w:sz w:val="16"/>
                <w:szCs w:val="16"/>
              </w:rPr>
              <w:t xml:space="preserve">    All Bond Index (total return)</w:t>
            </w:r>
          </w:p>
        </w:tc>
        <w:tc>
          <w:tcPr>
            <w:tcW w:w="132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1,30%</w:t>
            </w:r>
          </w:p>
        </w:tc>
        <w:tc>
          <w:tcPr>
            <w:tcW w:w="1418"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1,25%</w:t>
            </w:r>
          </w:p>
        </w:tc>
        <w:tc>
          <w:tcPr>
            <w:tcW w:w="127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4,96%</w:t>
            </w:r>
          </w:p>
        </w:tc>
        <w:tc>
          <w:tcPr>
            <w:tcW w:w="1417"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6,01%</w:t>
            </w:r>
          </w:p>
        </w:tc>
        <w:tc>
          <w:tcPr>
            <w:tcW w:w="1418"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7,74%</w:t>
            </w:r>
          </w:p>
        </w:tc>
        <w:tc>
          <w:tcPr>
            <w:tcW w:w="1701"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8,32%</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Pr>
                <w:rFonts w:ascii="Verdana" w:hAnsi="Verdana"/>
                <w:sz w:val="16"/>
                <w:szCs w:val="16"/>
              </w:rPr>
              <w:t xml:space="preserve">    Satrix Bond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1,26%</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1,10%</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4,27%</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Pr>
                <w:rFonts w:ascii="Verdana" w:hAnsi="Verdana"/>
                <w:sz w:val="16"/>
                <w:szCs w:val="16"/>
              </w:rPr>
              <w:t xml:space="preserve">    Stanlib ALBI Tracker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1,42%</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0,91%</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gridSpan w:val="2"/>
          </w:tcPr>
          <w:p w:rsidR="00D0228A" w:rsidRDefault="00D0228A" w:rsidP="007F2782">
            <w:pPr>
              <w:spacing w:before="40" w:after="40" w:line="280" w:lineRule="atLeast"/>
              <w:rPr>
                <w:rFonts w:ascii="Verdana" w:hAnsi="Verdana"/>
                <w:sz w:val="16"/>
                <w:szCs w:val="16"/>
              </w:rPr>
            </w:pPr>
            <w:r>
              <w:rPr>
                <w:rFonts w:ascii="Verdana" w:hAnsi="Verdana"/>
                <w:sz w:val="16"/>
                <w:szCs w:val="16"/>
              </w:rPr>
              <w:t xml:space="preserve">    Sygnia All Bond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1,44%</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0,93%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7" w:type="dxa"/>
            <w:shd w:val="clear" w:color="auto" w:fill="auto"/>
          </w:tcPr>
          <w:p w:rsidR="00D0228A"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D0228A"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gridSpan w:val="2"/>
            <w:shd w:val="clear" w:color="auto" w:fill="EBEBEB"/>
          </w:tcPr>
          <w:p w:rsidR="00D0228A" w:rsidRDefault="00D0228A" w:rsidP="007F2782">
            <w:pPr>
              <w:spacing w:before="40" w:after="40" w:line="280" w:lineRule="atLeast"/>
              <w:rPr>
                <w:rFonts w:ascii="Verdana" w:hAnsi="Verdana"/>
                <w:b/>
                <w:sz w:val="16"/>
                <w:szCs w:val="16"/>
              </w:rPr>
            </w:pPr>
            <w:r>
              <w:rPr>
                <w:rFonts w:ascii="Verdana" w:hAnsi="Verdana"/>
                <w:b/>
                <w:sz w:val="16"/>
                <w:szCs w:val="16"/>
              </w:rPr>
              <w:t>4. Property Index Tracking Unit Trusts</w:t>
            </w:r>
          </w:p>
        </w:tc>
        <w:tc>
          <w:tcPr>
            <w:tcW w:w="1326"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276"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7"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701"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r>
      <w:tr w:rsidR="00D0228A" w:rsidRPr="00A404F6" w:rsidTr="007F2782">
        <w:tc>
          <w:tcPr>
            <w:tcW w:w="5932" w:type="dxa"/>
            <w:gridSpan w:val="2"/>
          </w:tcPr>
          <w:p w:rsidR="00D0228A" w:rsidRPr="008510E5" w:rsidRDefault="00D0228A" w:rsidP="007F2782">
            <w:pPr>
              <w:spacing w:before="40" w:after="40" w:line="280" w:lineRule="atLeast"/>
              <w:rPr>
                <w:rFonts w:ascii="Verdana" w:hAnsi="Verdana"/>
                <w:b/>
                <w:sz w:val="16"/>
                <w:szCs w:val="16"/>
              </w:rPr>
            </w:pPr>
            <w:r>
              <w:rPr>
                <w:rFonts w:ascii="Verdana" w:hAnsi="Verdana"/>
                <w:b/>
                <w:sz w:val="16"/>
                <w:szCs w:val="16"/>
              </w:rPr>
              <w:t xml:space="preserve">    FTSE/JSE Property SAPY Index (total return)</w:t>
            </w:r>
          </w:p>
        </w:tc>
        <w:tc>
          <w:tcPr>
            <w:tcW w:w="132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2,08%</w:t>
            </w:r>
          </w:p>
        </w:tc>
        <w:tc>
          <w:tcPr>
            <w:tcW w:w="1418"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2,73%</w:t>
            </w:r>
          </w:p>
        </w:tc>
        <w:tc>
          <w:tcPr>
            <w:tcW w:w="127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21,48%</w:t>
            </w:r>
          </w:p>
        </w:tc>
        <w:tc>
          <w:tcPr>
            <w:tcW w:w="1417"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19,03%</w:t>
            </w:r>
          </w:p>
        </w:tc>
        <w:tc>
          <w:tcPr>
            <w:tcW w:w="1418"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19,04%</w:t>
            </w:r>
          </w:p>
        </w:tc>
        <w:tc>
          <w:tcPr>
            <w:tcW w:w="1701"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19,33%</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Property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1,96%</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2,53%</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20,56%</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18,03%</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Prudential Enhanced SA Property Tracker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2,41%</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3,45%</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22,55%</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19,18%</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18,79%</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Sygnia Listed Property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2,08%</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2,40%</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20,95%</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8510E5" w:rsidTr="007F2782">
        <w:tc>
          <w:tcPr>
            <w:tcW w:w="5932" w:type="dxa"/>
            <w:gridSpan w:val="2"/>
            <w:shd w:val="clear" w:color="auto" w:fill="EBEBEB"/>
          </w:tcPr>
          <w:p w:rsidR="00D0228A" w:rsidRDefault="00D0228A" w:rsidP="007F2782">
            <w:pPr>
              <w:spacing w:before="40" w:after="40" w:line="280" w:lineRule="atLeast"/>
              <w:rPr>
                <w:rFonts w:ascii="Verdana" w:hAnsi="Verdana"/>
                <w:b/>
                <w:sz w:val="16"/>
                <w:szCs w:val="16"/>
              </w:rPr>
            </w:pPr>
            <w:r>
              <w:rPr>
                <w:rFonts w:ascii="Verdana" w:hAnsi="Verdana"/>
                <w:b/>
                <w:sz w:val="16"/>
                <w:szCs w:val="16"/>
              </w:rPr>
              <w:t>5. Global Index Tracking Unit Trusts</w:t>
            </w:r>
          </w:p>
        </w:tc>
        <w:tc>
          <w:tcPr>
            <w:tcW w:w="1326"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276"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7"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418"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c>
          <w:tcPr>
            <w:tcW w:w="1701" w:type="dxa"/>
            <w:shd w:val="clear" w:color="auto" w:fill="EBEBEB"/>
          </w:tcPr>
          <w:p w:rsidR="00D0228A" w:rsidRPr="008510E5" w:rsidRDefault="00D0228A" w:rsidP="007F2782">
            <w:pPr>
              <w:spacing w:before="40" w:after="40" w:line="280" w:lineRule="atLeast"/>
              <w:jc w:val="center"/>
              <w:rPr>
                <w:rFonts w:ascii="Verdana" w:hAnsi="Verdana"/>
                <w:b/>
                <w:sz w:val="16"/>
                <w:szCs w:val="16"/>
              </w:rPr>
            </w:pPr>
          </w:p>
        </w:tc>
      </w:tr>
      <w:tr w:rsidR="00D0228A" w:rsidRPr="008510E5" w:rsidTr="007F2782">
        <w:tc>
          <w:tcPr>
            <w:tcW w:w="5932" w:type="dxa"/>
            <w:gridSpan w:val="2"/>
          </w:tcPr>
          <w:p w:rsidR="00D0228A" w:rsidRPr="008510E5" w:rsidRDefault="00D0228A" w:rsidP="007F2782">
            <w:pPr>
              <w:spacing w:before="40" w:after="40" w:line="280" w:lineRule="atLeast"/>
              <w:rPr>
                <w:rFonts w:ascii="Verdana" w:hAnsi="Verdana"/>
                <w:b/>
                <w:sz w:val="16"/>
                <w:szCs w:val="16"/>
              </w:rPr>
            </w:pPr>
            <w:r>
              <w:rPr>
                <w:rFonts w:ascii="Verdana" w:hAnsi="Verdana"/>
                <w:b/>
                <w:sz w:val="16"/>
                <w:szCs w:val="16"/>
              </w:rPr>
              <w:t xml:space="preserve">    MSCI World Index (Rands)</w:t>
            </w:r>
          </w:p>
        </w:tc>
        <w:tc>
          <w:tcPr>
            <w:tcW w:w="132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10,55%</w:t>
            </w:r>
          </w:p>
        </w:tc>
        <w:tc>
          <w:tcPr>
            <w:tcW w:w="1418"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7,40%</w:t>
            </w:r>
          </w:p>
        </w:tc>
        <w:tc>
          <w:tcPr>
            <w:tcW w:w="1276"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28,46%</w:t>
            </w:r>
          </w:p>
        </w:tc>
        <w:tc>
          <w:tcPr>
            <w:tcW w:w="1417"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28,01%</w:t>
            </w:r>
          </w:p>
        </w:tc>
        <w:tc>
          <w:tcPr>
            <w:tcW w:w="1418" w:type="dxa"/>
            <w:shd w:val="clear" w:color="auto" w:fill="auto"/>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22,63%</w:t>
            </w:r>
          </w:p>
        </w:tc>
        <w:tc>
          <w:tcPr>
            <w:tcW w:w="1701" w:type="dxa"/>
          </w:tcPr>
          <w:p w:rsidR="00D0228A" w:rsidRPr="008510E5" w:rsidRDefault="00D0228A" w:rsidP="007F2782">
            <w:pPr>
              <w:spacing w:before="40" w:after="40" w:line="280" w:lineRule="atLeast"/>
              <w:jc w:val="center"/>
              <w:rPr>
                <w:rFonts w:ascii="Verdana" w:hAnsi="Verdana"/>
                <w:b/>
                <w:sz w:val="16"/>
                <w:szCs w:val="16"/>
              </w:rPr>
            </w:pPr>
            <w:r>
              <w:rPr>
                <w:rFonts w:ascii="Verdana" w:hAnsi="Verdana"/>
                <w:b/>
                <w:sz w:val="16"/>
                <w:szCs w:val="16"/>
              </w:rPr>
              <w:t>11,54%</w:t>
            </w:r>
          </w:p>
        </w:tc>
      </w:tr>
      <w:tr w:rsidR="00D0228A" w:rsidRPr="00A404F6" w:rsidTr="007F2782">
        <w:tc>
          <w:tcPr>
            <w:tcW w:w="5932" w:type="dxa"/>
            <w:gridSpan w:val="2"/>
          </w:tcPr>
          <w:p w:rsidR="00D0228A" w:rsidRDefault="00D0228A" w:rsidP="007F2782">
            <w:pPr>
              <w:spacing w:before="40" w:after="40" w:line="280" w:lineRule="atLeast"/>
              <w:rPr>
                <w:rFonts w:ascii="Verdana" w:hAnsi="Verdana"/>
                <w:sz w:val="16"/>
                <w:szCs w:val="16"/>
              </w:rPr>
            </w:pPr>
            <w:r>
              <w:rPr>
                <w:rFonts w:ascii="Verdana" w:hAnsi="Verdana"/>
                <w:sz w:val="16"/>
                <w:szCs w:val="16"/>
              </w:rPr>
              <w:t xml:space="preserve">    Old Mutual Global RAFI Index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9,17%</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4,25%</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22,90%</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27,10%</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w:t>
            </w:r>
          </w:p>
        </w:tc>
      </w:tr>
      <w:tr w:rsidR="00D0228A" w:rsidRPr="00A404F6" w:rsidTr="007F2782">
        <w:tc>
          <w:tcPr>
            <w:tcW w:w="5932" w:type="dxa"/>
            <w:gridSpan w:val="2"/>
          </w:tcPr>
          <w:p w:rsidR="00D0228A" w:rsidRPr="00C12A38" w:rsidRDefault="00D0228A" w:rsidP="007F2782">
            <w:pPr>
              <w:spacing w:before="40" w:after="40" w:line="280" w:lineRule="atLeast"/>
              <w:rPr>
                <w:rFonts w:ascii="Verdana" w:hAnsi="Verdana"/>
                <w:sz w:val="16"/>
                <w:szCs w:val="16"/>
              </w:rPr>
            </w:pPr>
            <w:r w:rsidRPr="00C12A38">
              <w:rPr>
                <w:rFonts w:ascii="Verdana" w:hAnsi="Verdana"/>
                <w:sz w:val="16"/>
                <w:szCs w:val="16"/>
              </w:rPr>
              <w:t xml:space="preserve">    Satrix MSCI World Equity </w:t>
            </w:r>
            <w:r>
              <w:rPr>
                <w:rFonts w:ascii="Verdana" w:hAnsi="Verdana"/>
                <w:sz w:val="16"/>
                <w:szCs w:val="16"/>
              </w:rPr>
              <w:t xml:space="preserve">Index </w:t>
            </w:r>
            <w:r w:rsidRPr="00C12A38">
              <w:rPr>
                <w:rFonts w:ascii="Verdana" w:hAnsi="Verdana"/>
                <w:sz w:val="16"/>
                <w:szCs w:val="16"/>
              </w:rPr>
              <w:t>Feeder Fund</w:t>
            </w:r>
          </w:p>
        </w:tc>
        <w:tc>
          <w:tcPr>
            <w:tcW w:w="132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9,83%</w:t>
            </w:r>
          </w:p>
        </w:tc>
        <w:tc>
          <w:tcPr>
            <w:tcW w:w="1418"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5,51%</w:t>
            </w:r>
          </w:p>
        </w:tc>
        <w:tc>
          <w:tcPr>
            <w:tcW w:w="1276" w:type="dxa"/>
          </w:tcPr>
          <w:p w:rsidR="00D0228A" w:rsidRPr="00C12A38" w:rsidRDefault="00D0228A" w:rsidP="007F2782">
            <w:pPr>
              <w:spacing w:before="40" w:after="40" w:line="280" w:lineRule="atLeast"/>
              <w:jc w:val="center"/>
              <w:rPr>
                <w:rFonts w:ascii="Verdana" w:hAnsi="Verdana"/>
                <w:sz w:val="16"/>
                <w:szCs w:val="16"/>
              </w:rPr>
            </w:pPr>
            <w:r>
              <w:rPr>
                <w:rFonts w:ascii="Verdana" w:hAnsi="Verdana"/>
                <w:sz w:val="16"/>
                <w:szCs w:val="16"/>
              </w:rPr>
              <w:t>29,66%</w:t>
            </w:r>
          </w:p>
        </w:tc>
        <w:tc>
          <w:tcPr>
            <w:tcW w:w="1417"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D0228A" w:rsidRPr="00C12A38" w:rsidRDefault="00D0228A" w:rsidP="007F2782">
            <w:pPr>
              <w:spacing w:before="40" w:after="40" w:line="280" w:lineRule="atLeast"/>
              <w:jc w:val="center"/>
              <w:rPr>
                <w:rFonts w:ascii="Verdana" w:hAnsi="Verdana"/>
                <w:sz w:val="16"/>
                <w:szCs w:val="16"/>
              </w:rPr>
            </w:pPr>
            <w:r w:rsidRPr="00C12A38">
              <w:rPr>
                <w:rFonts w:ascii="Verdana" w:hAnsi="Verdana"/>
                <w:sz w:val="16"/>
                <w:szCs w:val="16"/>
              </w:rPr>
              <w:t>-</w:t>
            </w:r>
          </w:p>
        </w:tc>
      </w:tr>
      <w:tr w:rsidR="00D0228A" w:rsidRPr="00A404F6" w:rsidTr="007F2782">
        <w:tc>
          <w:tcPr>
            <w:tcW w:w="851" w:type="dxa"/>
            <w:tcBorders>
              <w:right w:val="nil"/>
            </w:tcBorders>
            <w:vAlign w:val="center"/>
          </w:tcPr>
          <w:p w:rsidR="00D0228A" w:rsidRPr="00A404F6" w:rsidRDefault="00D0228A" w:rsidP="007F2782">
            <w:pPr>
              <w:spacing w:after="0" w:line="240" w:lineRule="atLeast"/>
              <w:rPr>
                <w:rFonts w:ascii="Verdana" w:hAnsi="Verdana"/>
                <w:i/>
                <w:sz w:val="16"/>
                <w:szCs w:val="16"/>
              </w:rPr>
            </w:pPr>
            <w:r w:rsidRPr="00A404F6">
              <w:rPr>
                <w:rFonts w:ascii="Verdana" w:hAnsi="Verdana"/>
                <w:i/>
                <w:sz w:val="16"/>
                <w:szCs w:val="16"/>
              </w:rPr>
              <w:t>Source:</w:t>
            </w:r>
          </w:p>
        </w:tc>
        <w:tc>
          <w:tcPr>
            <w:tcW w:w="13637" w:type="dxa"/>
            <w:gridSpan w:val="7"/>
            <w:tcBorders>
              <w:left w:val="nil"/>
            </w:tcBorders>
            <w:vAlign w:val="center"/>
          </w:tcPr>
          <w:p w:rsidR="00D0228A" w:rsidRDefault="00D0228A" w:rsidP="007F2782">
            <w:pPr>
              <w:spacing w:after="0" w:line="240" w:lineRule="atLeast"/>
              <w:rPr>
                <w:rFonts w:ascii="Verdana" w:hAnsi="Verdana"/>
                <w:i/>
                <w:sz w:val="16"/>
                <w:szCs w:val="16"/>
              </w:rPr>
            </w:pPr>
            <w:r>
              <w:rPr>
                <w:rFonts w:ascii="Verdana" w:hAnsi="Verdana"/>
                <w:i/>
                <w:sz w:val="16"/>
                <w:szCs w:val="16"/>
              </w:rPr>
              <w:t xml:space="preserve">etfSA.co.za / </w:t>
            </w:r>
            <w:r w:rsidRPr="00A404F6">
              <w:rPr>
                <w:rFonts w:ascii="Verdana" w:hAnsi="Verdana"/>
                <w:i/>
                <w:sz w:val="16"/>
                <w:szCs w:val="16"/>
              </w:rPr>
              <w:t>Profile Media – FundsData</w:t>
            </w:r>
            <w:r>
              <w:rPr>
                <w:rFonts w:ascii="Verdana" w:hAnsi="Verdana"/>
                <w:i/>
                <w:sz w:val="16"/>
                <w:szCs w:val="16"/>
              </w:rPr>
              <w:t xml:space="preserve"> (30/10/2015)</w:t>
            </w:r>
          </w:p>
        </w:tc>
      </w:tr>
    </w:tbl>
    <w:p w:rsidR="00D0228A" w:rsidRPr="005E2AB2" w:rsidRDefault="00D0228A" w:rsidP="00D0228A">
      <w:pPr>
        <w:spacing w:after="0"/>
        <w:jc w:val="both"/>
        <w:rPr>
          <w:rFonts w:ascii="Verdana" w:hAnsi="Verdana"/>
          <w:sz w:val="8"/>
          <w:szCs w:val="8"/>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Default="00D0228A" w:rsidP="00D0228A">
      <w:pPr>
        <w:pStyle w:val="BodyText2"/>
        <w:spacing w:after="0" w:line="240" w:lineRule="auto"/>
        <w:rPr>
          <w:rFonts w:ascii="Verdana" w:hAnsi="Verdana"/>
          <w:sz w:val="15"/>
          <w:szCs w:val="15"/>
        </w:rPr>
      </w:pPr>
    </w:p>
    <w:p w:rsidR="00D0228A" w:rsidRPr="005E2AB2" w:rsidRDefault="00D0228A" w:rsidP="00D0228A">
      <w:pPr>
        <w:spacing w:after="0"/>
        <w:jc w:val="both"/>
        <w:rPr>
          <w:rFonts w:ascii="Verdana" w:hAnsi="Verdana"/>
          <w:sz w:val="8"/>
          <w:szCs w:val="8"/>
        </w:rPr>
      </w:pPr>
    </w:p>
    <w:p w:rsidR="00D0228A" w:rsidRPr="005E2AB2" w:rsidRDefault="00D0228A" w:rsidP="00D0228A">
      <w:pPr>
        <w:pStyle w:val="BodyText2"/>
        <w:pBdr>
          <w:top w:val="single" w:sz="4" w:space="1" w:color="auto"/>
        </w:pBdr>
        <w:spacing w:after="0" w:line="240" w:lineRule="auto"/>
        <w:jc w:val="center"/>
        <w:rPr>
          <w:rFonts w:ascii="Verdana" w:hAnsi="Verdana"/>
          <w:sz w:val="15"/>
          <w:szCs w:val="15"/>
        </w:rPr>
      </w:pPr>
      <w:r w:rsidRPr="005E2AB2">
        <w:rPr>
          <w:rFonts w:ascii="Verdana" w:hAnsi="Verdana"/>
          <w:sz w:val="15"/>
          <w:szCs w:val="15"/>
        </w:rPr>
        <w:t xml:space="preserve">The etfSA Performance Survey measures the total return (Net Asset Value (NAV to NAV)) changes including reinvestment of dividends) for index tracking unit trusts and Exchange Traded Funds (ETFs) available to the retail public in South Africa.  The performance tables measure the 1 month to </w:t>
      </w:r>
      <w:r>
        <w:rPr>
          <w:rFonts w:ascii="Verdana" w:hAnsi="Verdana"/>
          <w:sz w:val="15"/>
          <w:szCs w:val="15"/>
        </w:rPr>
        <w:t>10</w:t>
      </w:r>
      <w:r w:rsidRPr="005E2AB2">
        <w:rPr>
          <w:rFonts w:ascii="Verdana" w:hAnsi="Verdana"/>
          <w:sz w:val="15"/>
          <w:szCs w:val="15"/>
        </w:rPr>
        <w:t xml:space="preserve"> years total return for a lump sum investment compared with the benchmark index returns (including reinvestment of dividends).  All indices are shown in total return format.  Note, as the FTSE/JSE calculates the index without taking into account any brokerage or other transaction costs, index tracking products will typically </w:t>
      </w:r>
      <w:r>
        <w:rPr>
          <w:rFonts w:ascii="Verdana" w:hAnsi="Verdana"/>
          <w:sz w:val="15"/>
          <w:szCs w:val="15"/>
        </w:rPr>
        <w:t xml:space="preserve">slightly </w:t>
      </w:r>
      <w:r w:rsidRPr="005E2AB2">
        <w:rPr>
          <w:rFonts w:ascii="Verdana" w:hAnsi="Verdana"/>
          <w:sz w:val="15"/>
          <w:szCs w:val="15"/>
        </w:rPr>
        <w:t>underperform the index because of their transaction and other running costs.</w:t>
      </w:r>
    </w:p>
    <w:p w:rsidR="003E24C0" w:rsidRPr="00833185" w:rsidRDefault="00D0228A" w:rsidP="00D0228A">
      <w:pPr>
        <w:pStyle w:val="BodyText2"/>
        <w:spacing w:after="0" w:line="240" w:lineRule="auto"/>
        <w:jc w:val="center"/>
        <w:rPr>
          <w:rFonts w:ascii="Verdana" w:hAnsi="Verdana"/>
          <w:sz w:val="16"/>
          <w:szCs w:val="16"/>
        </w:rPr>
      </w:pPr>
      <w:r w:rsidRPr="005E2AB2">
        <w:rPr>
          <w:rFonts w:ascii="Verdana" w:hAnsi="Verdana"/>
          <w:b/>
          <w:sz w:val="15"/>
          <w:szCs w:val="15"/>
        </w:rPr>
        <w:t>Please Note</w:t>
      </w:r>
      <w:r w:rsidRPr="005E2AB2">
        <w:rPr>
          <w:rFonts w:ascii="Verdana" w:hAnsi="Verdana"/>
          <w:sz w:val="15"/>
          <w:szCs w:val="15"/>
        </w:rPr>
        <w:t xml:space="preserve">: future </w:t>
      </w:r>
      <w:r>
        <w:rPr>
          <w:rFonts w:ascii="Verdana" w:hAnsi="Verdana"/>
          <w:sz w:val="15"/>
          <w:szCs w:val="15"/>
        </w:rPr>
        <w:t xml:space="preserve">investment </w:t>
      </w:r>
      <w:r w:rsidRPr="005E2AB2">
        <w:rPr>
          <w:rFonts w:ascii="Verdana" w:hAnsi="Verdana"/>
          <w:sz w:val="15"/>
          <w:szCs w:val="15"/>
        </w:rPr>
        <w:t>performance will not necessarily rep</w:t>
      </w:r>
      <w:r>
        <w:rPr>
          <w:rFonts w:ascii="Verdana" w:hAnsi="Verdana"/>
          <w:sz w:val="15"/>
          <w:szCs w:val="15"/>
        </w:rPr>
        <w:t xml:space="preserve">licate </w:t>
      </w:r>
      <w:r w:rsidRPr="005E2AB2">
        <w:rPr>
          <w:rFonts w:ascii="Verdana" w:hAnsi="Verdana"/>
          <w:sz w:val="15"/>
          <w:szCs w:val="15"/>
        </w:rPr>
        <w:t>historic performance data.</w:t>
      </w:r>
      <w:r>
        <w:rPr>
          <w:rFonts w:ascii="Verdana" w:hAnsi="Verdana"/>
          <w:sz w:val="15"/>
          <w:szCs w:val="15"/>
        </w:rPr>
        <w:t xml:space="preserve"> All data used in the Survey is sourced from Profile Media, who obtain daily data from all index tracker product issuers. </w:t>
      </w:r>
    </w:p>
    <w:sectPr w:rsidR="003E24C0" w:rsidRPr="00833185" w:rsidSect="007F2782">
      <w:footerReference w:type="default" r:id="rId9"/>
      <w:pgSz w:w="15840" w:h="12240" w:orient="landscape" w:code="1"/>
      <w:pgMar w:top="567" w:right="851" w:bottom="567" w:left="454" w:header="56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71" w:rsidRDefault="00786A71">
      <w:pPr>
        <w:spacing w:after="0" w:line="240" w:lineRule="auto"/>
      </w:pPr>
      <w:r>
        <w:separator/>
      </w:r>
    </w:p>
  </w:endnote>
  <w:endnote w:type="continuationSeparator" w:id="0">
    <w:p w:rsidR="00786A71" w:rsidRDefault="0078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82" w:rsidRPr="000E643A" w:rsidRDefault="00EB2F28" w:rsidP="009D6F66">
    <w:pPr>
      <w:pStyle w:val="Footer"/>
      <w:jc w:val="center"/>
      <w:rPr>
        <w:rFonts w:ascii="Verdana" w:hAnsi="Verdana"/>
        <w:sz w:val="20"/>
        <w:szCs w:val="20"/>
      </w:rPr>
    </w:pPr>
    <w:r w:rsidRPr="000E643A">
      <w:rPr>
        <w:rFonts w:ascii="Verdana" w:hAnsi="Verdana"/>
        <w:sz w:val="20"/>
        <w:szCs w:val="20"/>
      </w:rPr>
      <w:fldChar w:fldCharType="begin"/>
    </w:r>
    <w:r w:rsidR="007F2782" w:rsidRPr="000E643A">
      <w:rPr>
        <w:rFonts w:ascii="Verdana" w:hAnsi="Verdana"/>
        <w:sz w:val="20"/>
        <w:szCs w:val="20"/>
      </w:rPr>
      <w:instrText xml:space="preserve"> PAGE   \* MERGEFORMAT </w:instrText>
    </w:r>
    <w:r w:rsidRPr="000E643A">
      <w:rPr>
        <w:rFonts w:ascii="Verdana" w:hAnsi="Verdana"/>
        <w:sz w:val="20"/>
        <w:szCs w:val="20"/>
      </w:rPr>
      <w:fldChar w:fldCharType="separate"/>
    </w:r>
    <w:r w:rsidR="00D77428">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82" w:rsidRDefault="00EB2F28" w:rsidP="007F2782">
    <w:pPr>
      <w:pStyle w:val="Footer"/>
      <w:jc w:val="center"/>
    </w:pPr>
    <w:r>
      <w:fldChar w:fldCharType="begin"/>
    </w:r>
    <w:r w:rsidR="007F2782">
      <w:instrText xml:space="preserve"> PAGE   \* MERGEFORMAT </w:instrText>
    </w:r>
    <w:r>
      <w:fldChar w:fldCharType="separate"/>
    </w:r>
    <w:r w:rsidR="00D77428">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71" w:rsidRDefault="00786A71">
      <w:pPr>
        <w:spacing w:after="0" w:line="240" w:lineRule="auto"/>
      </w:pPr>
      <w:r>
        <w:separator/>
      </w:r>
    </w:p>
  </w:footnote>
  <w:footnote w:type="continuationSeparator" w:id="0">
    <w:p w:rsidR="00786A71" w:rsidRDefault="00786A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108C2"/>
    <w:rsid w:val="000053FE"/>
    <w:rsid w:val="0001213B"/>
    <w:rsid w:val="00077EE5"/>
    <w:rsid w:val="00085AD4"/>
    <w:rsid w:val="00093136"/>
    <w:rsid w:val="000A3C3A"/>
    <w:rsid w:val="000F0EEC"/>
    <w:rsid w:val="000F7847"/>
    <w:rsid w:val="00110A0C"/>
    <w:rsid w:val="00116CFD"/>
    <w:rsid w:val="00143C95"/>
    <w:rsid w:val="001647F8"/>
    <w:rsid w:val="00170B38"/>
    <w:rsid w:val="00171D05"/>
    <w:rsid w:val="00184532"/>
    <w:rsid w:val="0019623B"/>
    <w:rsid w:val="00196518"/>
    <w:rsid w:val="001B5538"/>
    <w:rsid w:val="001C21C3"/>
    <w:rsid w:val="00212D6A"/>
    <w:rsid w:val="00232E52"/>
    <w:rsid w:val="0023426C"/>
    <w:rsid w:val="00243D59"/>
    <w:rsid w:val="002508FA"/>
    <w:rsid w:val="002616C8"/>
    <w:rsid w:val="002639CF"/>
    <w:rsid w:val="00272F22"/>
    <w:rsid w:val="00283BE8"/>
    <w:rsid w:val="002A05AB"/>
    <w:rsid w:val="002A1A42"/>
    <w:rsid w:val="002C726B"/>
    <w:rsid w:val="002D256E"/>
    <w:rsid w:val="002E4309"/>
    <w:rsid w:val="003046FC"/>
    <w:rsid w:val="00310563"/>
    <w:rsid w:val="00321839"/>
    <w:rsid w:val="00380411"/>
    <w:rsid w:val="0038172D"/>
    <w:rsid w:val="003A75F0"/>
    <w:rsid w:val="003B4418"/>
    <w:rsid w:val="003C04A0"/>
    <w:rsid w:val="003C0523"/>
    <w:rsid w:val="003D66ED"/>
    <w:rsid w:val="003E24C0"/>
    <w:rsid w:val="003E4028"/>
    <w:rsid w:val="003F6ED8"/>
    <w:rsid w:val="00410D81"/>
    <w:rsid w:val="00425E65"/>
    <w:rsid w:val="00444919"/>
    <w:rsid w:val="004528D3"/>
    <w:rsid w:val="004532B4"/>
    <w:rsid w:val="004F6E23"/>
    <w:rsid w:val="005374D0"/>
    <w:rsid w:val="00554058"/>
    <w:rsid w:val="005578EE"/>
    <w:rsid w:val="00564A95"/>
    <w:rsid w:val="005765B6"/>
    <w:rsid w:val="00592851"/>
    <w:rsid w:val="005A7E70"/>
    <w:rsid w:val="005B07E2"/>
    <w:rsid w:val="005E1064"/>
    <w:rsid w:val="005F1467"/>
    <w:rsid w:val="005F48B2"/>
    <w:rsid w:val="006041EE"/>
    <w:rsid w:val="00610DEA"/>
    <w:rsid w:val="00611BC1"/>
    <w:rsid w:val="00612B7A"/>
    <w:rsid w:val="00623323"/>
    <w:rsid w:val="006357DA"/>
    <w:rsid w:val="0064733D"/>
    <w:rsid w:val="00663840"/>
    <w:rsid w:val="00667AD0"/>
    <w:rsid w:val="00682A36"/>
    <w:rsid w:val="00693E61"/>
    <w:rsid w:val="006A6116"/>
    <w:rsid w:val="006C4A35"/>
    <w:rsid w:val="006D7553"/>
    <w:rsid w:val="006E1893"/>
    <w:rsid w:val="007231BE"/>
    <w:rsid w:val="00740DB9"/>
    <w:rsid w:val="00741FC3"/>
    <w:rsid w:val="007433F5"/>
    <w:rsid w:val="00786A71"/>
    <w:rsid w:val="007F1C22"/>
    <w:rsid w:val="007F2782"/>
    <w:rsid w:val="007F3010"/>
    <w:rsid w:val="00820885"/>
    <w:rsid w:val="0082694E"/>
    <w:rsid w:val="00834D8B"/>
    <w:rsid w:val="008510E5"/>
    <w:rsid w:val="00856757"/>
    <w:rsid w:val="008656D1"/>
    <w:rsid w:val="008761C0"/>
    <w:rsid w:val="0089210D"/>
    <w:rsid w:val="00893552"/>
    <w:rsid w:val="008B2433"/>
    <w:rsid w:val="008D0691"/>
    <w:rsid w:val="008F0228"/>
    <w:rsid w:val="00935D6C"/>
    <w:rsid w:val="00937ECC"/>
    <w:rsid w:val="00941AFA"/>
    <w:rsid w:val="00983269"/>
    <w:rsid w:val="00992C7A"/>
    <w:rsid w:val="009B3ED9"/>
    <w:rsid w:val="009C0DA0"/>
    <w:rsid w:val="009D59CD"/>
    <w:rsid w:val="009D6F66"/>
    <w:rsid w:val="009F5B63"/>
    <w:rsid w:val="00A07BDA"/>
    <w:rsid w:val="00A20F51"/>
    <w:rsid w:val="00A77C2C"/>
    <w:rsid w:val="00AB56E7"/>
    <w:rsid w:val="00AE5D88"/>
    <w:rsid w:val="00B07B9D"/>
    <w:rsid w:val="00B1359D"/>
    <w:rsid w:val="00B15F5F"/>
    <w:rsid w:val="00B60B59"/>
    <w:rsid w:val="00B6778A"/>
    <w:rsid w:val="00BB3845"/>
    <w:rsid w:val="00BE4E4A"/>
    <w:rsid w:val="00C06E5E"/>
    <w:rsid w:val="00C16BF5"/>
    <w:rsid w:val="00C37D4D"/>
    <w:rsid w:val="00C40634"/>
    <w:rsid w:val="00C6356A"/>
    <w:rsid w:val="00C87A24"/>
    <w:rsid w:val="00C96442"/>
    <w:rsid w:val="00C97724"/>
    <w:rsid w:val="00CA79D2"/>
    <w:rsid w:val="00CB23F8"/>
    <w:rsid w:val="00CB58A1"/>
    <w:rsid w:val="00CC5E95"/>
    <w:rsid w:val="00CE6895"/>
    <w:rsid w:val="00D0228A"/>
    <w:rsid w:val="00D108C2"/>
    <w:rsid w:val="00D16230"/>
    <w:rsid w:val="00D22048"/>
    <w:rsid w:val="00D27CD2"/>
    <w:rsid w:val="00D3034D"/>
    <w:rsid w:val="00D71AB0"/>
    <w:rsid w:val="00D77428"/>
    <w:rsid w:val="00DA74EF"/>
    <w:rsid w:val="00DE0D14"/>
    <w:rsid w:val="00E03AEB"/>
    <w:rsid w:val="00E448BE"/>
    <w:rsid w:val="00E52A5A"/>
    <w:rsid w:val="00E7305B"/>
    <w:rsid w:val="00EB2F28"/>
    <w:rsid w:val="00ED2B60"/>
    <w:rsid w:val="00EE221E"/>
    <w:rsid w:val="00EF5214"/>
    <w:rsid w:val="00F327B7"/>
    <w:rsid w:val="00F458FD"/>
    <w:rsid w:val="00FA6A83"/>
    <w:rsid w:val="00FB3F09"/>
    <w:rsid w:val="00FC2D6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59"/>
    <w:rsid w:val="00D108C2"/>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Sherryl Fortuin</dc:creator>
  <cp:lastModifiedBy>Admin</cp:lastModifiedBy>
  <cp:revision>2</cp:revision>
  <cp:lastPrinted>2015-11-03T09:42:00Z</cp:lastPrinted>
  <dcterms:created xsi:type="dcterms:W3CDTF">2015-11-04T06:06:00Z</dcterms:created>
  <dcterms:modified xsi:type="dcterms:W3CDTF">2015-11-04T06:06:00Z</dcterms:modified>
</cp:coreProperties>
</file>