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820D6" w14:textId="3BA2B875" w:rsidR="00FA186E" w:rsidRPr="00FA186E" w:rsidRDefault="00FA186E" w:rsidP="00FA186E">
      <w:pPr>
        <w:rPr>
          <w:rFonts w:ascii="Verdana" w:hAnsi="Verdana"/>
          <w:b/>
          <w:bCs/>
          <w:sz w:val="20"/>
          <w:szCs w:val="20"/>
        </w:rPr>
      </w:pPr>
      <w:r w:rsidRPr="00FA186E">
        <w:rPr>
          <w:rFonts w:ascii="Verdana" w:hAnsi="Verdana"/>
          <w:b/>
          <w:bCs/>
          <w:sz w:val="20"/>
          <w:szCs w:val="20"/>
        </w:rPr>
        <w:t>Markets on Sale</w:t>
      </w:r>
    </w:p>
    <w:p w14:paraId="2CB8A839" w14:textId="6C8B467B" w:rsidR="00FE49AD" w:rsidRPr="00FA186E" w:rsidRDefault="00FA186E" w:rsidP="00FA186E">
      <w:pPr>
        <w:rPr>
          <w:rFonts w:ascii="Verdana" w:hAnsi="Verdana"/>
          <w:i/>
          <w:iCs/>
          <w:sz w:val="20"/>
          <w:szCs w:val="20"/>
        </w:rPr>
      </w:pPr>
      <w:r w:rsidRPr="00FA186E">
        <w:rPr>
          <w:rFonts w:ascii="Verdana" w:hAnsi="Verdana"/>
          <w:i/>
          <w:iCs/>
          <w:sz w:val="20"/>
          <w:szCs w:val="20"/>
        </w:rPr>
        <w:t>Old Mutual Wealth Investment Strategist Izak Odendaal</w:t>
      </w:r>
    </w:p>
    <w:p w14:paraId="1929EBC9" w14:textId="0282151B" w:rsidR="00FA186E" w:rsidRPr="00FA186E" w:rsidRDefault="00FA186E" w:rsidP="00FA186E">
      <w:pPr>
        <w:rPr>
          <w:rFonts w:ascii="Verdana" w:hAnsi="Verdana"/>
          <w:sz w:val="20"/>
          <w:szCs w:val="20"/>
        </w:rPr>
      </w:pPr>
      <w:r w:rsidRPr="00FA186E">
        <w:rPr>
          <w:rFonts w:ascii="Verdana" w:hAnsi="Verdana"/>
          <w:sz w:val="20"/>
          <w:szCs w:val="20"/>
        </w:rPr>
        <w:t xml:space="preserve">Black Friday, the day after Thanksgiving, has traditionally signalled the start of the American Christmas shopping season. Retailers would offer massive discounts to lure customers, but the size of turnover would be enough to put them in the black financially for the year, hence the name (or at least that’s one version of its origin). In recent years Black Friday has spread out across multiple days including online sales (such as Cyber Monday) and to other countries such as South Africa.  </w:t>
      </w:r>
    </w:p>
    <w:p w14:paraId="60FD2761" w14:textId="17539C7B" w:rsidR="00FA186E" w:rsidRPr="00FA186E" w:rsidRDefault="00FA186E" w:rsidP="00FA186E">
      <w:pPr>
        <w:rPr>
          <w:rFonts w:ascii="Verdana" w:hAnsi="Verdana"/>
          <w:sz w:val="20"/>
          <w:szCs w:val="20"/>
        </w:rPr>
      </w:pPr>
      <w:r w:rsidRPr="00FA186E">
        <w:rPr>
          <w:rFonts w:ascii="Verdana" w:hAnsi="Verdana"/>
          <w:sz w:val="20"/>
          <w:szCs w:val="20"/>
        </w:rPr>
        <w:t xml:space="preserve">Global markets have been on sale for most of the year as bonds and equity prices tumbled. The past few weeks have seen a bit of a reprieve. In honour of Black Friday and Cyber Monday, we ask whether markets still offer investors attractive discounts. Ironically, of course, when there is a sale at the shops, people are often in to buy, sometimes purchasing items they didn’t really need or want. When markets go on sale, people often run away, selling in fear instead of looking for bargains. </w:t>
      </w:r>
    </w:p>
    <w:p w14:paraId="2F5C6C3A" w14:textId="5DB085E4" w:rsidR="00FA186E" w:rsidRPr="00FA186E" w:rsidRDefault="00FA186E" w:rsidP="00FA186E">
      <w:pPr>
        <w:rPr>
          <w:rFonts w:ascii="Verdana" w:hAnsi="Verdana"/>
          <w:sz w:val="20"/>
          <w:szCs w:val="20"/>
        </w:rPr>
      </w:pPr>
      <w:r w:rsidRPr="00FA186E">
        <w:rPr>
          <w:rFonts w:ascii="Verdana" w:hAnsi="Verdana"/>
          <w:sz w:val="20"/>
          <w:szCs w:val="20"/>
        </w:rPr>
        <w:t xml:space="preserve">While there is no doubt that markets are cheaper across a broad front compared to the start of the year, whether current valuations are exciting or not depends largely on one variable: inflation. </w:t>
      </w:r>
    </w:p>
    <w:p w14:paraId="07B0A8F1" w14:textId="77777777" w:rsidR="00FA186E" w:rsidRPr="00FA186E" w:rsidRDefault="00FA186E" w:rsidP="00FA186E">
      <w:pPr>
        <w:rPr>
          <w:rFonts w:ascii="Verdana" w:hAnsi="Verdana"/>
          <w:sz w:val="20"/>
          <w:szCs w:val="20"/>
        </w:rPr>
      </w:pPr>
      <w:r w:rsidRPr="00FA186E">
        <w:rPr>
          <w:rFonts w:ascii="Verdana" w:hAnsi="Verdana"/>
          <w:i/>
          <w:iCs/>
          <w:sz w:val="20"/>
          <w:szCs w:val="20"/>
        </w:rPr>
        <w:t>Inflation questions</w:t>
      </w:r>
    </w:p>
    <w:p w14:paraId="094C4A8E" w14:textId="2E8B1F76" w:rsidR="00FA186E" w:rsidRPr="00FA186E" w:rsidRDefault="00FA186E" w:rsidP="00FA186E">
      <w:pPr>
        <w:rPr>
          <w:rFonts w:ascii="Verdana" w:hAnsi="Verdana"/>
          <w:sz w:val="20"/>
          <w:szCs w:val="20"/>
        </w:rPr>
      </w:pPr>
      <w:r w:rsidRPr="00FA186E">
        <w:rPr>
          <w:rFonts w:ascii="Verdana" w:hAnsi="Verdana"/>
          <w:sz w:val="20"/>
          <w:szCs w:val="20"/>
        </w:rPr>
        <w:t xml:space="preserve">If inflation, particularly US inflation, recedes quietly in 2023, all’s probably well. If not, we’re in for a scenario where interest rates will have to be higher for longer. This not only risks tipping economies into recession – always bad news for equities – but higher cash yields also create competition for equities. </w:t>
      </w:r>
    </w:p>
    <w:p w14:paraId="55FDEE52" w14:textId="15FEEF5C" w:rsidR="00FA186E" w:rsidRPr="00FA186E" w:rsidRDefault="00FA186E" w:rsidP="00FA186E">
      <w:pPr>
        <w:rPr>
          <w:rFonts w:ascii="Verdana" w:hAnsi="Verdana"/>
          <w:sz w:val="20"/>
          <w:szCs w:val="20"/>
        </w:rPr>
      </w:pPr>
      <w:r w:rsidRPr="00FA186E">
        <w:rPr>
          <w:rFonts w:ascii="Verdana" w:hAnsi="Verdana"/>
          <w:sz w:val="20"/>
          <w:szCs w:val="20"/>
        </w:rPr>
        <w:t xml:space="preserve">On the inflation front, there is good news and bad news. The good news is that commodity prices have eased, and that supply chains are gradually becoming unclogged. What this means </w:t>
      </w:r>
      <w:proofErr w:type="gramStart"/>
      <w:r w:rsidRPr="00FA186E">
        <w:rPr>
          <w:rFonts w:ascii="Verdana" w:hAnsi="Verdana"/>
          <w:sz w:val="20"/>
          <w:szCs w:val="20"/>
        </w:rPr>
        <w:t>generally speaking is</w:t>
      </w:r>
      <w:proofErr w:type="gramEnd"/>
      <w:r w:rsidRPr="00FA186E">
        <w:rPr>
          <w:rFonts w:ascii="Verdana" w:hAnsi="Verdana"/>
          <w:sz w:val="20"/>
          <w:szCs w:val="20"/>
        </w:rPr>
        <w:t xml:space="preserve"> that goods inflation has peaked and is declining. In some instances, we might even see goods prices decline. </w:t>
      </w:r>
    </w:p>
    <w:p w14:paraId="40548738" w14:textId="4273DB99" w:rsidR="00FA186E" w:rsidRPr="00FA186E" w:rsidRDefault="00FA186E" w:rsidP="00FA186E">
      <w:pPr>
        <w:rPr>
          <w:rFonts w:ascii="Verdana" w:hAnsi="Verdana"/>
          <w:sz w:val="20"/>
          <w:szCs w:val="20"/>
        </w:rPr>
      </w:pPr>
      <w:r w:rsidRPr="00FA186E">
        <w:rPr>
          <w:rFonts w:ascii="Verdana" w:hAnsi="Verdana"/>
          <w:sz w:val="20"/>
          <w:szCs w:val="20"/>
        </w:rPr>
        <w:t xml:space="preserve">For instance, many retailers stocked up on goods over the past year, worried about a repeat of the shortages experienced in 2020 and early 2021. However, in many instances they’ve gone too far. Therefore, some big Black Friday discounts this year are not just about luring shoppers, but also getting rid of unwanted inventory. The chart below shows how US retail sales progressed relative to inventories. When the lockdowns hit, sales collapsed, but soon outpaced stock levels as demand for goods surged. The ratio declined and prices shot up. Now inventories are rising much faster than sales, so supply is outstripping demand, leading to downward pressure on prices. </w:t>
      </w:r>
    </w:p>
    <w:p w14:paraId="05D43448" w14:textId="77777777" w:rsidR="00FA186E" w:rsidRPr="00FA186E" w:rsidRDefault="00FA186E" w:rsidP="00FA186E">
      <w:pPr>
        <w:rPr>
          <w:rFonts w:ascii="Verdana" w:hAnsi="Verdana"/>
          <w:sz w:val="20"/>
          <w:szCs w:val="20"/>
        </w:rPr>
      </w:pPr>
      <w:r w:rsidRPr="00FA186E">
        <w:rPr>
          <w:rFonts w:ascii="Verdana" w:hAnsi="Verdana"/>
          <w:b/>
          <w:bCs/>
          <w:sz w:val="20"/>
          <w:szCs w:val="20"/>
        </w:rPr>
        <w:t>Chart 1: US retail inventories to sales ratio</w:t>
      </w:r>
    </w:p>
    <w:p w14:paraId="79DD4E47" w14:textId="66DDC62D" w:rsidR="00FA186E" w:rsidRPr="00FA186E" w:rsidRDefault="00FA186E" w:rsidP="00FA186E">
      <w:pPr>
        <w:rPr>
          <w:rFonts w:ascii="Verdana" w:hAnsi="Verdana"/>
          <w:sz w:val="20"/>
          <w:szCs w:val="20"/>
        </w:rPr>
      </w:pPr>
      <w:r w:rsidRPr="00FA186E">
        <w:rPr>
          <w:rFonts w:ascii="Verdana" w:hAnsi="Verdana"/>
          <w:noProof/>
          <w:sz w:val="20"/>
          <w:szCs w:val="20"/>
        </w:rPr>
        <w:lastRenderedPageBreak/>
        <w:drawing>
          <wp:inline distT="0" distB="0" distL="0" distR="0" wp14:anchorId="43BB7CC5" wp14:editId="12F5D05B">
            <wp:extent cx="4572000" cy="28003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4572000" cy="2800350"/>
                    </a:xfrm>
                    <a:prstGeom prst="rect">
                      <a:avLst/>
                    </a:prstGeom>
                    <a:noFill/>
                    <a:ln>
                      <a:noFill/>
                    </a:ln>
                  </pic:spPr>
                </pic:pic>
              </a:graphicData>
            </a:graphic>
          </wp:inline>
        </w:drawing>
      </w:r>
    </w:p>
    <w:p w14:paraId="382B3F32" w14:textId="5CC6F187" w:rsidR="00FA186E" w:rsidRPr="00FA186E" w:rsidRDefault="00FA186E" w:rsidP="00FA186E">
      <w:pPr>
        <w:rPr>
          <w:rFonts w:ascii="Verdana" w:hAnsi="Verdana"/>
          <w:sz w:val="20"/>
          <w:szCs w:val="20"/>
        </w:rPr>
      </w:pPr>
      <w:r w:rsidRPr="00FA186E">
        <w:rPr>
          <w:rFonts w:ascii="Verdana" w:hAnsi="Verdana"/>
          <w:sz w:val="20"/>
          <w:szCs w:val="20"/>
        </w:rPr>
        <w:t xml:space="preserve">Source: Refinitiv </w:t>
      </w:r>
      <w:proofErr w:type="spellStart"/>
      <w:r w:rsidRPr="00FA186E">
        <w:rPr>
          <w:rFonts w:ascii="Verdana" w:hAnsi="Verdana"/>
          <w:sz w:val="20"/>
          <w:szCs w:val="20"/>
        </w:rPr>
        <w:t>Datastream</w:t>
      </w:r>
      <w:proofErr w:type="spellEnd"/>
    </w:p>
    <w:p w14:paraId="7D185CA1" w14:textId="676D5C13" w:rsidR="00FA186E" w:rsidRPr="00FA186E" w:rsidRDefault="00FA186E" w:rsidP="00FA186E">
      <w:pPr>
        <w:rPr>
          <w:rFonts w:ascii="Verdana" w:hAnsi="Verdana"/>
          <w:sz w:val="20"/>
          <w:szCs w:val="20"/>
        </w:rPr>
      </w:pPr>
      <w:r w:rsidRPr="00FA186E">
        <w:rPr>
          <w:rFonts w:ascii="Verdana" w:hAnsi="Verdana"/>
          <w:sz w:val="20"/>
          <w:szCs w:val="20"/>
        </w:rPr>
        <w:t xml:space="preserve">As for commodity prices, oil remains volatile but is well below the June peak of $130 per barrel. In fact, it has been below $100 since late August. If the price stays around $90 per barrel, the year-on-year rate of change will hit 0% by February and then fall sharply. Oil will still be expensive, but its inflation rate will be negative. The story for natural gas prices in Europe is less forgiving, but still better than earlier this year. German gas prices spiked to the unimaginable level of €320 per </w:t>
      </w:r>
      <w:proofErr w:type="spellStart"/>
      <w:r w:rsidRPr="00FA186E">
        <w:rPr>
          <w:rFonts w:ascii="Verdana" w:hAnsi="Verdana"/>
          <w:sz w:val="20"/>
          <w:szCs w:val="20"/>
        </w:rPr>
        <w:t>mWh</w:t>
      </w:r>
      <w:proofErr w:type="spellEnd"/>
      <w:r w:rsidRPr="00FA186E">
        <w:rPr>
          <w:rFonts w:ascii="Verdana" w:hAnsi="Verdana"/>
          <w:sz w:val="20"/>
          <w:szCs w:val="20"/>
        </w:rPr>
        <w:t xml:space="preserve"> in August, according to the European Energy Exchange. In the 10 years prior to the Russian invasion of Ukraine, the price averaged €20. The price today is €110. If it stays at this level, it will also be very expensive, but the inflation rate will decline to zero soon. It is hard to know what lies ahead, however. Europe’s gas storage is currently full but will have to be restocked without Russian gas after winter. On the other hand, a de-escalation of the Russian war in Ukraine will see prices fall. </w:t>
      </w:r>
    </w:p>
    <w:p w14:paraId="5208B8B4" w14:textId="1A69C601" w:rsidR="00FA186E" w:rsidRPr="00FA186E" w:rsidRDefault="00FA186E" w:rsidP="00FA186E">
      <w:pPr>
        <w:rPr>
          <w:rFonts w:ascii="Verdana" w:hAnsi="Verdana"/>
          <w:sz w:val="20"/>
          <w:szCs w:val="20"/>
        </w:rPr>
      </w:pPr>
      <w:r w:rsidRPr="00FA186E">
        <w:rPr>
          <w:rFonts w:ascii="Verdana" w:hAnsi="Verdana"/>
          <w:sz w:val="20"/>
          <w:szCs w:val="20"/>
        </w:rPr>
        <w:t>Food prices are also off their peaks. The United Nations Food and Agriculture Organisation’s global food price index was 135 at the start of the year. It spiked to 159 in March (40% year-on-year) but is now back at 135. Food inflation should also ease in coming months.  </w:t>
      </w:r>
    </w:p>
    <w:p w14:paraId="33A2ACA8" w14:textId="77777777" w:rsidR="00FA186E" w:rsidRPr="00FA186E" w:rsidRDefault="00FA186E" w:rsidP="00FA186E">
      <w:pPr>
        <w:rPr>
          <w:rFonts w:ascii="Verdana" w:hAnsi="Verdana"/>
          <w:sz w:val="20"/>
          <w:szCs w:val="20"/>
        </w:rPr>
      </w:pPr>
      <w:r w:rsidRPr="00FA186E">
        <w:rPr>
          <w:rFonts w:ascii="Verdana" w:hAnsi="Verdana"/>
          <w:i/>
          <w:iCs/>
          <w:sz w:val="20"/>
          <w:szCs w:val="20"/>
        </w:rPr>
        <w:t>At your service</w:t>
      </w:r>
    </w:p>
    <w:p w14:paraId="10366920" w14:textId="1EFEB1EE" w:rsidR="00FA186E" w:rsidRPr="00FA186E" w:rsidRDefault="00FA186E" w:rsidP="00FA186E">
      <w:pPr>
        <w:rPr>
          <w:rFonts w:ascii="Verdana" w:hAnsi="Verdana"/>
          <w:sz w:val="20"/>
          <w:szCs w:val="20"/>
        </w:rPr>
      </w:pPr>
      <w:r w:rsidRPr="00FA186E">
        <w:rPr>
          <w:rFonts w:ascii="Verdana" w:hAnsi="Verdana"/>
          <w:sz w:val="20"/>
          <w:szCs w:val="20"/>
        </w:rPr>
        <w:t xml:space="preserve">The inflation problem is therefore in services. In rich countries, people spend more on services (including housing, healthcare, financial services, </w:t>
      </w:r>
      <w:proofErr w:type="gramStart"/>
      <w:r w:rsidRPr="00FA186E">
        <w:rPr>
          <w:rFonts w:ascii="Verdana" w:hAnsi="Verdana"/>
          <w:sz w:val="20"/>
          <w:szCs w:val="20"/>
        </w:rPr>
        <w:t>communication</w:t>
      </w:r>
      <w:proofErr w:type="gramEnd"/>
      <w:r w:rsidRPr="00FA186E">
        <w:rPr>
          <w:rFonts w:ascii="Verdana" w:hAnsi="Verdana"/>
          <w:sz w:val="20"/>
          <w:szCs w:val="20"/>
        </w:rPr>
        <w:t xml:space="preserve"> and leisure activities) than they do on goods (such as food, fuel, toys, furniture and cars) and services form a bigger portion of inflation baskets. </w:t>
      </w:r>
    </w:p>
    <w:p w14:paraId="45D6E9E1" w14:textId="3880A25D" w:rsidR="00FA186E" w:rsidRPr="00FA186E" w:rsidRDefault="00FA186E" w:rsidP="00FA186E">
      <w:pPr>
        <w:rPr>
          <w:rFonts w:ascii="Verdana" w:hAnsi="Verdana"/>
          <w:sz w:val="20"/>
          <w:szCs w:val="20"/>
        </w:rPr>
      </w:pPr>
      <w:r w:rsidRPr="00FA186E">
        <w:rPr>
          <w:rFonts w:ascii="Verdana" w:hAnsi="Verdana"/>
          <w:sz w:val="20"/>
          <w:szCs w:val="20"/>
        </w:rPr>
        <w:t xml:space="preserve">Goods, especially commodities, are often traded across borders and therefore prices are largely set in global markets. Services tend to be more local in nature. Your doctor, hairdresser and favourite coffee shop are probably not providing services in other countries. Housing is </w:t>
      </w:r>
      <w:proofErr w:type="gramStart"/>
      <w:r w:rsidRPr="00FA186E">
        <w:rPr>
          <w:rFonts w:ascii="Verdana" w:hAnsi="Verdana"/>
          <w:sz w:val="20"/>
          <w:szCs w:val="20"/>
        </w:rPr>
        <w:t>by definition very</w:t>
      </w:r>
      <w:proofErr w:type="gramEnd"/>
      <w:r w:rsidRPr="00FA186E">
        <w:rPr>
          <w:rFonts w:ascii="Verdana" w:hAnsi="Verdana"/>
          <w:sz w:val="20"/>
          <w:szCs w:val="20"/>
        </w:rPr>
        <w:t xml:space="preserve"> local. Service inflation is typically less volatile and stickier than goods inflation because there is limited cross-border trade to equalize prices. Local conditions and domestic demand matter more. This includes wage growth since wages tend to be a bigger input cost in services compared to goods-producing sectors. Higher wages thus force services companies to charge more. It also means households are earning enough to afford higher prices and keep spending. While wage growth has lagged inflation in most advanced economies, it has been relatively robust </w:t>
      </w:r>
      <w:r w:rsidRPr="00FA186E">
        <w:rPr>
          <w:rFonts w:ascii="Verdana" w:hAnsi="Verdana"/>
          <w:sz w:val="20"/>
          <w:szCs w:val="20"/>
        </w:rPr>
        <w:lastRenderedPageBreak/>
        <w:t xml:space="preserve">and with unemployment low and workers generally in short supply, is likely to remain solid. Together with high levels of savings, households can keep spending. This will potentially slow the decline in service inflation. </w:t>
      </w:r>
    </w:p>
    <w:p w14:paraId="60D73E25" w14:textId="77777777" w:rsidR="00FA186E" w:rsidRPr="00FA186E" w:rsidRDefault="00FA186E" w:rsidP="00FA186E">
      <w:pPr>
        <w:rPr>
          <w:rFonts w:ascii="Verdana" w:hAnsi="Verdana"/>
          <w:sz w:val="20"/>
          <w:szCs w:val="20"/>
        </w:rPr>
      </w:pPr>
      <w:r w:rsidRPr="00FA186E">
        <w:rPr>
          <w:rFonts w:ascii="Verdana" w:hAnsi="Verdana"/>
          <w:b/>
          <w:bCs/>
          <w:sz w:val="20"/>
          <w:szCs w:val="20"/>
        </w:rPr>
        <w:t>Chart 2: US core goods (excluding food and fuel) and core services prices</w:t>
      </w:r>
    </w:p>
    <w:p w14:paraId="604D7208" w14:textId="5E30105D" w:rsidR="00FA186E" w:rsidRPr="00FA186E" w:rsidRDefault="00FA186E" w:rsidP="00FA186E">
      <w:pPr>
        <w:rPr>
          <w:rFonts w:ascii="Verdana" w:hAnsi="Verdana"/>
          <w:sz w:val="20"/>
          <w:szCs w:val="20"/>
        </w:rPr>
      </w:pPr>
      <w:r w:rsidRPr="00FA186E">
        <w:rPr>
          <w:rFonts w:ascii="Verdana" w:hAnsi="Verdana"/>
          <w:noProof/>
          <w:sz w:val="20"/>
          <w:szCs w:val="20"/>
        </w:rPr>
        <w:drawing>
          <wp:inline distT="0" distB="0" distL="0" distR="0" wp14:anchorId="0AAE7BE5" wp14:editId="799D63CC">
            <wp:extent cx="4572000" cy="2800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4572000" cy="2800350"/>
                    </a:xfrm>
                    <a:prstGeom prst="rect">
                      <a:avLst/>
                    </a:prstGeom>
                    <a:noFill/>
                    <a:ln>
                      <a:noFill/>
                    </a:ln>
                  </pic:spPr>
                </pic:pic>
              </a:graphicData>
            </a:graphic>
          </wp:inline>
        </w:drawing>
      </w:r>
    </w:p>
    <w:p w14:paraId="60F261CB" w14:textId="1E153E53" w:rsidR="00FA186E" w:rsidRPr="00FA186E" w:rsidRDefault="00FA186E" w:rsidP="00FA186E">
      <w:pPr>
        <w:rPr>
          <w:rFonts w:ascii="Verdana" w:hAnsi="Verdana"/>
          <w:sz w:val="20"/>
          <w:szCs w:val="20"/>
        </w:rPr>
      </w:pPr>
      <w:r w:rsidRPr="00FA186E">
        <w:rPr>
          <w:rFonts w:ascii="Verdana" w:hAnsi="Verdana"/>
          <w:b/>
          <w:bCs/>
          <w:sz w:val="20"/>
          <w:szCs w:val="20"/>
        </w:rPr>
        <w:t xml:space="preserve">Source: Refinitiv </w:t>
      </w:r>
      <w:proofErr w:type="spellStart"/>
      <w:r w:rsidRPr="00FA186E">
        <w:rPr>
          <w:rFonts w:ascii="Verdana" w:hAnsi="Verdana"/>
          <w:b/>
          <w:bCs/>
          <w:sz w:val="20"/>
          <w:szCs w:val="20"/>
        </w:rPr>
        <w:t>Datastream</w:t>
      </w:r>
      <w:proofErr w:type="spellEnd"/>
      <w:r w:rsidRPr="00FA186E">
        <w:rPr>
          <w:rFonts w:ascii="Verdana" w:hAnsi="Verdana"/>
          <w:b/>
          <w:bCs/>
          <w:sz w:val="20"/>
          <w:szCs w:val="20"/>
        </w:rPr>
        <w:t xml:space="preserve"> </w:t>
      </w:r>
    </w:p>
    <w:p w14:paraId="57436C4C" w14:textId="3F9E63A2" w:rsidR="00FA186E" w:rsidRPr="00FA186E" w:rsidRDefault="00FA186E" w:rsidP="00FA186E">
      <w:pPr>
        <w:rPr>
          <w:rFonts w:ascii="Verdana" w:hAnsi="Verdana"/>
          <w:sz w:val="20"/>
          <w:szCs w:val="20"/>
        </w:rPr>
      </w:pPr>
      <w:r w:rsidRPr="00FA186E">
        <w:rPr>
          <w:rFonts w:ascii="Verdana" w:hAnsi="Verdana"/>
          <w:sz w:val="20"/>
          <w:szCs w:val="20"/>
        </w:rPr>
        <w:t xml:space="preserve">There is one silver lining in the inflation story. Survey data shows that households still believe inflation eventually will return to longer-term averages and that the current inflationary spike will not last. This is important since such expectations can inform behaviour and therefore become self-fulfilling. </w:t>
      </w:r>
    </w:p>
    <w:p w14:paraId="509E8CC7" w14:textId="77777777" w:rsidR="00FA186E" w:rsidRPr="00FA186E" w:rsidRDefault="00FA186E" w:rsidP="00FA186E">
      <w:pPr>
        <w:rPr>
          <w:rFonts w:ascii="Verdana" w:hAnsi="Verdana"/>
          <w:sz w:val="20"/>
          <w:szCs w:val="20"/>
        </w:rPr>
      </w:pPr>
      <w:r w:rsidRPr="00FA186E">
        <w:rPr>
          <w:rFonts w:ascii="Verdana" w:hAnsi="Verdana"/>
          <w:i/>
          <w:iCs/>
          <w:sz w:val="20"/>
          <w:szCs w:val="20"/>
        </w:rPr>
        <w:t>Living with lags</w:t>
      </w:r>
    </w:p>
    <w:p w14:paraId="20AF86F6" w14:textId="71921D46" w:rsidR="00FA186E" w:rsidRPr="00FA186E" w:rsidRDefault="00FA186E" w:rsidP="00FA186E">
      <w:pPr>
        <w:rPr>
          <w:rFonts w:ascii="Verdana" w:hAnsi="Verdana"/>
          <w:sz w:val="20"/>
          <w:szCs w:val="20"/>
        </w:rPr>
      </w:pPr>
      <w:r w:rsidRPr="00FA186E">
        <w:rPr>
          <w:rFonts w:ascii="Verdana" w:hAnsi="Verdana"/>
          <w:sz w:val="20"/>
          <w:szCs w:val="20"/>
        </w:rPr>
        <w:t xml:space="preserve">All in all, then, the US Federal Reserve and other central banks are not done with raising interest rates, but the end is probably in sight. In the case of the Fed, it is likely to raise interest rates to somewhat above 5% by early next year. Once they are there, they are likely to pause for some time and assess the situation. Cutting rates seems very unlikely until there is clear evidence that inflation has gone down and will stay down. </w:t>
      </w:r>
    </w:p>
    <w:p w14:paraId="128EA7A9" w14:textId="45911DE8" w:rsidR="00FA186E" w:rsidRPr="00FA186E" w:rsidRDefault="00FA186E" w:rsidP="00FA186E">
      <w:pPr>
        <w:rPr>
          <w:rFonts w:ascii="Verdana" w:hAnsi="Verdana"/>
          <w:sz w:val="20"/>
          <w:szCs w:val="20"/>
        </w:rPr>
      </w:pPr>
      <w:r w:rsidRPr="00FA186E">
        <w:rPr>
          <w:rFonts w:ascii="Verdana" w:hAnsi="Verdana"/>
          <w:sz w:val="20"/>
          <w:szCs w:val="20"/>
        </w:rPr>
        <w:t xml:space="preserve">The challenge is the lags. By the time inflation is well on the way to the 2% target and expected to stay there, the economy might well buckle under the weight of the cumulative rate increases and sustained high level of rates. The jury is still out on how this scenario will unfold. </w:t>
      </w:r>
    </w:p>
    <w:p w14:paraId="18EF4C88" w14:textId="00405F53" w:rsidR="00FA186E" w:rsidRPr="00FA186E" w:rsidRDefault="00FA186E" w:rsidP="00FA186E">
      <w:pPr>
        <w:rPr>
          <w:rFonts w:ascii="Verdana" w:hAnsi="Verdana"/>
          <w:sz w:val="20"/>
          <w:szCs w:val="20"/>
        </w:rPr>
      </w:pPr>
      <w:r w:rsidRPr="00FA186E">
        <w:rPr>
          <w:rFonts w:ascii="Verdana" w:hAnsi="Verdana"/>
          <w:sz w:val="20"/>
          <w:szCs w:val="20"/>
        </w:rPr>
        <w:t>South African inflation has been much better behaved than the US since there was never the excess demand and the energy price shock has been smaller. The pattern is similar, however, in the sense that goods inflation has peaked in double digit territory and is rolling over, while service inflation is still rising gradually. Nonetheless, October’s inflation report was worse than expected. Headline inflation rose to 7.6% year-on-year from 7.5% in September. Food and fuel prices remain the largest contributors. Excluding these items, core inflation was 5%, up from 4.7% the previous month.</w:t>
      </w:r>
    </w:p>
    <w:p w14:paraId="542F087E" w14:textId="4B611E3E" w:rsidR="00FA186E" w:rsidRPr="00FA186E" w:rsidRDefault="00FA186E" w:rsidP="00FA186E">
      <w:pPr>
        <w:rPr>
          <w:rFonts w:ascii="Verdana" w:hAnsi="Verdana"/>
          <w:sz w:val="20"/>
          <w:szCs w:val="20"/>
        </w:rPr>
      </w:pPr>
      <w:r w:rsidRPr="00FA186E">
        <w:rPr>
          <w:rFonts w:ascii="Verdana" w:hAnsi="Verdana"/>
          <w:sz w:val="20"/>
          <w:szCs w:val="20"/>
        </w:rPr>
        <w:t xml:space="preserve">Against this backdrop, the Reserve Bank’s Monetary Policy Committee raised the repo rate by 75 basis points to 7%. As is the case with other central banks, the MPC has front-loaded rate increases, looking to move to positive territory in real terms as soon as </w:t>
      </w:r>
      <w:r w:rsidRPr="00FA186E">
        <w:rPr>
          <w:rFonts w:ascii="Verdana" w:hAnsi="Verdana"/>
          <w:sz w:val="20"/>
          <w:szCs w:val="20"/>
        </w:rPr>
        <w:lastRenderedPageBreak/>
        <w:t>possible, rather than gradually increasing and assessing the situation as the go along. Here too, the full impact of the rate hikes is yet to be felt.</w:t>
      </w:r>
    </w:p>
    <w:p w14:paraId="2B65BCA4" w14:textId="77777777" w:rsidR="00FA186E" w:rsidRPr="00FA186E" w:rsidRDefault="00FA186E" w:rsidP="00FA186E">
      <w:pPr>
        <w:rPr>
          <w:rFonts w:ascii="Verdana" w:hAnsi="Verdana"/>
          <w:sz w:val="20"/>
          <w:szCs w:val="20"/>
        </w:rPr>
      </w:pPr>
      <w:r w:rsidRPr="00FA186E">
        <w:rPr>
          <w:rFonts w:ascii="Verdana" w:hAnsi="Verdana"/>
          <w:i/>
          <w:iCs/>
          <w:sz w:val="20"/>
          <w:szCs w:val="20"/>
        </w:rPr>
        <w:t>Price is what you pay, value is what you get.</w:t>
      </w:r>
    </w:p>
    <w:p w14:paraId="756E139F" w14:textId="4BB7B2CC" w:rsidR="00FA186E" w:rsidRPr="00FA186E" w:rsidRDefault="00FA186E" w:rsidP="00FA186E">
      <w:pPr>
        <w:rPr>
          <w:rFonts w:ascii="Verdana" w:hAnsi="Verdana"/>
          <w:sz w:val="20"/>
          <w:szCs w:val="20"/>
        </w:rPr>
      </w:pPr>
      <w:r w:rsidRPr="00FA186E">
        <w:rPr>
          <w:rFonts w:ascii="Verdana" w:hAnsi="Verdana"/>
          <w:sz w:val="20"/>
          <w:szCs w:val="20"/>
        </w:rPr>
        <w:t>Getting back to the question of whether there is value on offer on global markets, a good starting point is to assess what is being priced in. By and large, it is a relatively soft-landing scenario where inflation declines without economic growth and company earnings completely collapsing.</w:t>
      </w:r>
    </w:p>
    <w:p w14:paraId="1AF3B978" w14:textId="77777777" w:rsidR="00FA186E" w:rsidRPr="00FA186E" w:rsidRDefault="00FA186E" w:rsidP="00FA186E">
      <w:pPr>
        <w:rPr>
          <w:rFonts w:ascii="Verdana" w:hAnsi="Verdana"/>
          <w:sz w:val="20"/>
          <w:szCs w:val="20"/>
        </w:rPr>
      </w:pPr>
      <w:r w:rsidRPr="00FA186E">
        <w:rPr>
          <w:rFonts w:ascii="Verdana" w:hAnsi="Verdana"/>
          <w:sz w:val="20"/>
          <w:szCs w:val="20"/>
        </w:rPr>
        <w:t xml:space="preserve">Take US bonds for instance. The difference between inflation-protected and nominal bond yields gives an indication of what future inflation rate is discounted. This is known as the breakeven inflation rate. As chart three shows, it jumped last year and peaked in March but has declined substantially. The rapid increase in nominal bond yields since March therefore been driven by expectations of higher interest rates, not fear so runaway inflation. The subdued gold price also suggests that a more stubborn inflation outlook is probably not priced into markets. </w:t>
      </w:r>
    </w:p>
    <w:p w14:paraId="131EEA11" w14:textId="77777777" w:rsidR="00FA186E" w:rsidRPr="00FA186E" w:rsidRDefault="00FA186E" w:rsidP="00FA186E">
      <w:pPr>
        <w:rPr>
          <w:rFonts w:ascii="Verdana" w:hAnsi="Verdana"/>
          <w:sz w:val="20"/>
          <w:szCs w:val="20"/>
        </w:rPr>
      </w:pPr>
      <w:r w:rsidRPr="00FA186E">
        <w:rPr>
          <w:rFonts w:ascii="Verdana" w:hAnsi="Verdana"/>
          <w:sz w:val="20"/>
          <w:szCs w:val="20"/>
        </w:rPr>
        <w:t> </w:t>
      </w:r>
    </w:p>
    <w:p w14:paraId="24064DDE" w14:textId="77777777" w:rsidR="00FA186E" w:rsidRPr="00FA186E" w:rsidRDefault="00FA186E" w:rsidP="00FA186E">
      <w:pPr>
        <w:rPr>
          <w:rFonts w:ascii="Verdana" w:hAnsi="Verdana"/>
          <w:sz w:val="20"/>
          <w:szCs w:val="20"/>
        </w:rPr>
      </w:pPr>
      <w:r w:rsidRPr="00FA186E">
        <w:rPr>
          <w:rFonts w:ascii="Verdana" w:hAnsi="Verdana"/>
          <w:b/>
          <w:bCs/>
          <w:sz w:val="20"/>
          <w:szCs w:val="20"/>
        </w:rPr>
        <w:t>Chart 3: Five-year breakeven inflation rates</w:t>
      </w:r>
    </w:p>
    <w:p w14:paraId="32A4D02D" w14:textId="3DAD9C84" w:rsidR="00FA186E" w:rsidRPr="00FA186E" w:rsidRDefault="00FA186E" w:rsidP="00FA186E">
      <w:pPr>
        <w:rPr>
          <w:rFonts w:ascii="Verdana" w:hAnsi="Verdana"/>
          <w:sz w:val="20"/>
          <w:szCs w:val="20"/>
        </w:rPr>
      </w:pPr>
      <w:r w:rsidRPr="00FA186E">
        <w:rPr>
          <w:rFonts w:ascii="Verdana" w:hAnsi="Verdana"/>
          <w:noProof/>
          <w:sz w:val="20"/>
          <w:szCs w:val="20"/>
        </w:rPr>
        <w:drawing>
          <wp:inline distT="0" distB="0" distL="0" distR="0" wp14:anchorId="62D3AA00" wp14:editId="32FC0AC5">
            <wp:extent cx="5353050" cy="3095625"/>
            <wp:effectExtent l="0" t="0" r="0" b="9525"/>
            <wp:docPr id="2" name="Picture 2"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line chart&#10;&#10;Description automatically generated"/>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353050" cy="3095625"/>
                    </a:xfrm>
                    <a:prstGeom prst="rect">
                      <a:avLst/>
                    </a:prstGeom>
                    <a:noFill/>
                    <a:ln>
                      <a:noFill/>
                    </a:ln>
                  </pic:spPr>
                </pic:pic>
              </a:graphicData>
            </a:graphic>
          </wp:inline>
        </w:drawing>
      </w:r>
    </w:p>
    <w:p w14:paraId="76A33A2E" w14:textId="31D5B409" w:rsidR="00FA186E" w:rsidRPr="00FA186E" w:rsidRDefault="00FA186E" w:rsidP="00FA186E">
      <w:pPr>
        <w:rPr>
          <w:rFonts w:ascii="Verdana" w:hAnsi="Verdana"/>
          <w:sz w:val="20"/>
          <w:szCs w:val="20"/>
        </w:rPr>
      </w:pPr>
      <w:r w:rsidRPr="00FA186E">
        <w:rPr>
          <w:rFonts w:ascii="Verdana" w:hAnsi="Verdana"/>
          <w:b/>
          <w:bCs/>
          <w:sz w:val="20"/>
          <w:szCs w:val="20"/>
        </w:rPr>
        <w:t>Source</w:t>
      </w:r>
    </w:p>
    <w:p w14:paraId="53C63A8C" w14:textId="48B259D1" w:rsidR="00FA186E" w:rsidRPr="00FA186E" w:rsidRDefault="00FA186E" w:rsidP="00FA186E">
      <w:pPr>
        <w:rPr>
          <w:rFonts w:ascii="Verdana" w:hAnsi="Verdana"/>
          <w:sz w:val="20"/>
          <w:szCs w:val="20"/>
        </w:rPr>
      </w:pPr>
      <w:r w:rsidRPr="00FA186E">
        <w:rPr>
          <w:rFonts w:ascii="Verdana" w:hAnsi="Verdana"/>
          <w:sz w:val="20"/>
          <w:szCs w:val="20"/>
        </w:rPr>
        <w:t xml:space="preserve">Clearly then, sticky inflation poses a risk to bonds. Nonetheless, government bond yields across the developed world have increased to levels last seen more than a decade ago and warrant serious attention from investors. </w:t>
      </w:r>
      <w:proofErr w:type="gramStart"/>
      <w:r w:rsidRPr="00FA186E">
        <w:rPr>
          <w:rFonts w:ascii="Verdana" w:hAnsi="Verdana"/>
          <w:sz w:val="20"/>
          <w:szCs w:val="20"/>
        </w:rPr>
        <w:t>In particular, they</w:t>
      </w:r>
      <w:proofErr w:type="gramEnd"/>
      <w:r w:rsidRPr="00FA186E">
        <w:rPr>
          <w:rFonts w:ascii="Verdana" w:hAnsi="Verdana"/>
          <w:sz w:val="20"/>
          <w:szCs w:val="20"/>
        </w:rPr>
        <w:t xml:space="preserve"> offer a useful hedge against a recession scenario, since bond yields tend to fall in a recession. </w:t>
      </w:r>
    </w:p>
    <w:p w14:paraId="617631AA" w14:textId="6E3CEA7D" w:rsidR="00FA186E" w:rsidRPr="00FA186E" w:rsidRDefault="00FA186E" w:rsidP="00FA186E">
      <w:pPr>
        <w:rPr>
          <w:rFonts w:ascii="Verdana" w:hAnsi="Verdana"/>
          <w:sz w:val="20"/>
          <w:szCs w:val="20"/>
        </w:rPr>
      </w:pPr>
      <w:r w:rsidRPr="00FA186E">
        <w:rPr>
          <w:rFonts w:ascii="Verdana" w:hAnsi="Verdana"/>
          <w:sz w:val="20"/>
          <w:szCs w:val="20"/>
        </w:rPr>
        <w:t xml:space="preserve">Corporate bonds usually trade at higher yields than government bonds to account for increased risk. At times of uncertainty, such as now, this spread widens. Yields of between 5% and 8% in dollars are now available on a broad range of corporate bonds, depending on the duration and credit risk. And of course, cash yields are also at decade-plus highs. Broadly speaking then, global fixed income presents the best entry point in many years and offer a reasonable alternative to equities for the first time in a long time provided inflation does not prove to be a longer-term problem. </w:t>
      </w:r>
    </w:p>
    <w:p w14:paraId="001ED677" w14:textId="27AD4371" w:rsidR="00FA186E" w:rsidRPr="00FA186E" w:rsidRDefault="00FA186E" w:rsidP="00FA186E">
      <w:pPr>
        <w:rPr>
          <w:rFonts w:ascii="Verdana" w:hAnsi="Verdana"/>
          <w:sz w:val="20"/>
          <w:szCs w:val="20"/>
        </w:rPr>
      </w:pPr>
      <w:r w:rsidRPr="00FA186E">
        <w:rPr>
          <w:rFonts w:ascii="Verdana" w:hAnsi="Verdana"/>
          <w:sz w:val="20"/>
          <w:szCs w:val="20"/>
        </w:rPr>
        <w:lastRenderedPageBreak/>
        <w:t xml:space="preserve">As for the stock market, the big risk is the earnings outlook. The standard way of valuing equities (but by no means the only way) is the price to forward earnings (PE) ratio. The lower the PE ratio for the broad market, typically, the better future returns are likely to be. It captures two things. Firstly, how much investors are prepared to pay for each dollar’s worth of profit delivered over the next year. This is a function of sentiment. As rates shot up this year, PE ratios declined sharply across all major markets. The US remains more expensive than the rest of the world, but has also declined considerably, particularly for small and medium-sized companies. So far so good. </w:t>
      </w:r>
    </w:p>
    <w:p w14:paraId="3A163A92" w14:textId="77777777" w:rsidR="00FA186E" w:rsidRPr="00FA186E" w:rsidRDefault="00FA186E" w:rsidP="00FA186E">
      <w:pPr>
        <w:rPr>
          <w:rFonts w:ascii="Verdana" w:hAnsi="Verdana"/>
          <w:sz w:val="20"/>
          <w:szCs w:val="20"/>
        </w:rPr>
      </w:pPr>
      <w:r w:rsidRPr="00FA186E">
        <w:rPr>
          <w:rFonts w:ascii="Verdana" w:hAnsi="Verdana"/>
          <w:b/>
          <w:bCs/>
          <w:sz w:val="20"/>
          <w:szCs w:val="20"/>
        </w:rPr>
        <w:t>Chart 4: Forward price earnings ratios</w:t>
      </w:r>
    </w:p>
    <w:p w14:paraId="01D1B462" w14:textId="6796EDBB" w:rsidR="00FA186E" w:rsidRPr="00FA186E" w:rsidRDefault="00FA186E" w:rsidP="00FA186E">
      <w:pPr>
        <w:rPr>
          <w:rFonts w:ascii="Verdana" w:hAnsi="Verdana"/>
          <w:sz w:val="20"/>
          <w:szCs w:val="20"/>
        </w:rPr>
      </w:pPr>
      <w:r w:rsidRPr="00FA186E">
        <w:rPr>
          <w:rFonts w:ascii="Verdana" w:hAnsi="Verdana"/>
          <w:noProof/>
          <w:sz w:val="20"/>
          <w:szCs w:val="20"/>
        </w:rPr>
        <w:drawing>
          <wp:inline distT="0" distB="0" distL="0" distR="0" wp14:anchorId="6D2DA979" wp14:editId="14038F23">
            <wp:extent cx="5400675" cy="3067050"/>
            <wp:effectExtent l="0" t="0" r="9525" b="0"/>
            <wp:docPr id="1" name="Picture 1"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line chart&#10;&#10;Description automatically generated"/>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400675" cy="3067050"/>
                    </a:xfrm>
                    <a:prstGeom prst="rect">
                      <a:avLst/>
                    </a:prstGeom>
                    <a:noFill/>
                    <a:ln>
                      <a:noFill/>
                    </a:ln>
                  </pic:spPr>
                </pic:pic>
              </a:graphicData>
            </a:graphic>
          </wp:inline>
        </w:drawing>
      </w:r>
    </w:p>
    <w:p w14:paraId="6501BE15" w14:textId="77777777" w:rsidR="00FA186E" w:rsidRPr="00FA186E" w:rsidRDefault="00FA186E" w:rsidP="00FA186E">
      <w:pPr>
        <w:rPr>
          <w:rFonts w:ascii="Verdana" w:hAnsi="Verdana"/>
          <w:sz w:val="20"/>
          <w:szCs w:val="20"/>
        </w:rPr>
      </w:pPr>
      <w:r w:rsidRPr="00FA186E">
        <w:rPr>
          <w:rFonts w:ascii="Verdana" w:hAnsi="Verdana"/>
          <w:b/>
          <w:bCs/>
          <w:sz w:val="20"/>
          <w:szCs w:val="20"/>
        </w:rPr>
        <w:t> </w:t>
      </w:r>
    </w:p>
    <w:p w14:paraId="2F1E13B4" w14:textId="64AEA4DD" w:rsidR="00FA186E" w:rsidRPr="00FA186E" w:rsidRDefault="00FA186E" w:rsidP="00FA186E">
      <w:pPr>
        <w:rPr>
          <w:rFonts w:ascii="Verdana" w:hAnsi="Verdana"/>
          <w:sz w:val="20"/>
          <w:szCs w:val="20"/>
        </w:rPr>
      </w:pPr>
      <w:r w:rsidRPr="00FA186E">
        <w:rPr>
          <w:rFonts w:ascii="Verdana" w:hAnsi="Verdana"/>
          <w:b/>
          <w:bCs/>
          <w:sz w:val="20"/>
          <w:szCs w:val="20"/>
        </w:rPr>
        <w:t xml:space="preserve">Source: Refinitiv </w:t>
      </w:r>
      <w:proofErr w:type="spellStart"/>
      <w:r w:rsidRPr="00FA186E">
        <w:rPr>
          <w:rFonts w:ascii="Verdana" w:hAnsi="Verdana"/>
          <w:b/>
          <w:bCs/>
          <w:sz w:val="20"/>
          <w:szCs w:val="20"/>
        </w:rPr>
        <w:t>Datastream</w:t>
      </w:r>
      <w:proofErr w:type="spellEnd"/>
    </w:p>
    <w:p w14:paraId="3D6CEA2E" w14:textId="2EAD4022" w:rsidR="00FA186E" w:rsidRPr="00FA186E" w:rsidRDefault="00FA186E" w:rsidP="00FA186E">
      <w:pPr>
        <w:rPr>
          <w:rFonts w:ascii="Verdana" w:hAnsi="Verdana"/>
          <w:sz w:val="20"/>
          <w:szCs w:val="20"/>
        </w:rPr>
      </w:pPr>
      <w:r w:rsidRPr="00FA186E">
        <w:rPr>
          <w:rFonts w:ascii="Verdana" w:hAnsi="Verdana"/>
          <w:sz w:val="20"/>
          <w:szCs w:val="20"/>
        </w:rPr>
        <w:t xml:space="preserve">It is the second component that is tricky: expectations of future earnings. Strong earnings growth will lower the PE ratio. But conversely, a decline in expected earnings growth without a corresponding decline in price will lead to a higher PE ratio. Expectations of earnings growth have been revised lower as the economic outlook has softened. But it is an open question if those expectations have been reduced enough given that the global economy is experiencing an interest rate shock of which the effects will play out over time as discussed above. If earnings growth turns out weaker than expected, equities will not be as much of a bargain as it appears at first glance. </w:t>
      </w:r>
    </w:p>
    <w:p w14:paraId="1660C400" w14:textId="77777777" w:rsidR="00FA186E" w:rsidRPr="00FA186E" w:rsidRDefault="00FA186E" w:rsidP="00FA186E">
      <w:pPr>
        <w:rPr>
          <w:rFonts w:ascii="Verdana" w:hAnsi="Verdana"/>
          <w:sz w:val="20"/>
          <w:szCs w:val="20"/>
        </w:rPr>
      </w:pPr>
      <w:r w:rsidRPr="00FA186E">
        <w:rPr>
          <w:rFonts w:ascii="Verdana" w:hAnsi="Verdana"/>
          <w:i/>
          <w:iCs/>
          <w:sz w:val="20"/>
          <w:szCs w:val="20"/>
        </w:rPr>
        <w:t>Good news, bad news</w:t>
      </w:r>
    </w:p>
    <w:p w14:paraId="10CDDB8E" w14:textId="0070E09F" w:rsidR="00FA186E" w:rsidRPr="00FA186E" w:rsidRDefault="00FA186E" w:rsidP="00FA186E">
      <w:pPr>
        <w:rPr>
          <w:rFonts w:ascii="Verdana" w:hAnsi="Verdana"/>
          <w:sz w:val="20"/>
          <w:szCs w:val="20"/>
        </w:rPr>
      </w:pPr>
      <w:r w:rsidRPr="00FA186E">
        <w:rPr>
          <w:rFonts w:ascii="Verdana" w:hAnsi="Verdana"/>
          <w:sz w:val="20"/>
          <w:szCs w:val="20"/>
        </w:rPr>
        <w:t>Put slightly differently, you want to increase your exposure to equities when too much bad news is priced in and reduce exposure when too much good news is discounted. A lot of bad news is now clearly in the price, but not necessarily all of it. For anyone with a longer-term horizon, say 10 years or more, it should not really matter much what happens in the next year or so provided you stay invested. Indeed, the current entry point for equities looks like the most favourable in almost a decade, provided you are a patient investor.  Over the shorter-term, however, anything can still happen.</w:t>
      </w:r>
    </w:p>
    <w:p w14:paraId="13D0EFCA" w14:textId="122A1C2A" w:rsidR="00FA186E" w:rsidRPr="00FA186E" w:rsidRDefault="00FA186E" w:rsidP="00FA186E">
      <w:pPr>
        <w:rPr>
          <w:rFonts w:ascii="Verdana" w:hAnsi="Verdana"/>
          <w:sz w:val="20"/>
          <w:szCs w:val="20"/>
        </w:rPr>
      </w:pPr>
      <w:r w:rsidRPr="00FA186E">
        <w:rPr>
          <w:rFonts w:ascii="Verdana" w:hAnsi="Verdana"/>
          <w:sz w:val="20"/>
          <w:szCs w:val="20"/>
        </w:rPr>
        <w:t xml:space="preserve">Clearly South African equities are not only trading at a big discount to global markets, but also at low levels compared to recent history. In fact, the JSE already trades at </w:t>
      </w:r>
      <w:r w:rsidRPr="00FA186E">
        <w:rPr>
          <w:rFonts w:ascii="Verdana" w:hAnsi="Verdana"/>
          <w:sz w:val="20"/>
          <w:szCs w:val="20"/>
        </w:rPr>
        <w:lastRenderedPageBreak/>
        <w:t xml:space="preserve">levels usually seen during recessions. South African bonds continue to discount a lot of bad news too, </w:t>
      </w:r>
      <w:proofErr w:type="gramStart"/>
      <w:r w:rsidRPr="00FA186E">
        <w:rPr>
          <w:rFonts w:ascii="Verdana" w:hAnsi="Verdana"/>
          <w:sz w:val="20"/>
          <w:szCs w:val="20"/>
        </w:rPr>
        <w:t>despite the fact that</w:t>
      </w:r>
      <w:proofErr w:type="gramEnd"/>
      <w:r w:rsidRPr="00FA186E">
        <w:rPr>
          <w:rFonts w:ascii="Verdana" w:hAnsi="Verdana"/>
          <w:sz w:val="20"/>
          <w:szCs w:val="20"/>
        </w:rPr>
        <w:t xml:space="preserve"> the country’s fiscal condition is gradually improving as confirmed by S&amp;P </w:t>
      </w:r>
      <w:proofErr w:type="spellStart"/>
      <w:r w:rsidRPr="00FA186E">
        <w:rPr>
          <w:rFonts w:ascii="Verdana" w:hAnsi="Verdana"/>
          <w:sz w:val="20"/>
          <w:szCs w:val="20"/>
        </w:rPr>
        <w:t>Global’s</w:t>
      </w:r>
      <w:proofErr w:type="spellEnd"/>
      <w:r w:rsidRPr="00FA186E">
        <w:rPr>
          <w:rFonts w:ascii="Verdana" w:hAnsi="Verdana"/>
          <w:sz w:val="20"/>
          <w:szCs w:val="20"/>
        </w:rPr>
        <w:t xml:space="preserve"> recent ratings decision. Meanwhile, the Reserve Bank’s determination to keep inflation under control is an important anchor to longer-term bond valuations.</w:t>
      </w:r>
    </w:p>
    <w:p w14:paraId="518BC93C" w14:textId="77777777" w:rsidR="00FA186E" w:rsidRPr="00FA186E" w:rsidRDefault="00FA186E" w:rsidP="00FA186E">
      <w:pPr>
        <w:rPr>
          <w:rFonts w:ascii="Verdana" w:hAnsi="Verdana"/>
          <w:sz w:val="20"/>
          <w:szCs w:val="20"/>
        </w:rPr>
      </w:pPr>
      <w:r w:rsidRPr="00FA186E">
        <w:rPr>
          <w:rFonts w:ascii="Verdana" w:hAnsi="Verdana"/>
          <w:sz w:val="20"/>
          <w:szCs w:val="20"/>
        </w:rPr>
        <w:t>Putting this all together, a balanced portfolio of assets does indeed offer much better value than at the start of the year, much like a Black Friday sale. This doesn’t mean that it is smooth sailing from here on out. On the contrary, markets are likely to remain choppy for some time as the inflation uncertainty plays out. And like a Black Friday sale, it makes sense to be selective and not buy anything with a big shiny sticker. However, for the patient investor prospects for future returns have certainly improved.</w:t>
      </w:r>
    </w:p>
    <w:p w14:paraId="361BBEB1" w14:textId="77777777" w:rsidR="00FA186E" w:rsidRPr="00FA186E" w:rsidRDefault="00FA186E" w:rsidP="00FA186E">
      <w:pPr>
        <w:rPr>
          <w:rFonts w:ascii="Verdana" w:hAnsi="Verdana"/>
          <w:sz w:val="20"/>
          <w:szCs w:val="20"/>
        </w:rPr>
      </w:pPr>
    </w:p>
    <w:sectPr w:rsidR="00FA186E" w:rsidRPr="00FA18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86E"/>
    <w:rsid w:val="00FA186E"/>
    <w:rsid w:val="00FE49A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6C634"/>
  <w15:chartTrackingRefBased/>
  <w15:docId w15:val="{7CBDEB05-7494-4AC7-A8FF-E3FAA3BBC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583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cid:image002.png@01D9033C.881F160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cid:image004.png@01D9033C.881F1600" TargetMode="External"/><Relationship Id="rId5" Type="http://schemas.openxmlformats.org/officeDocument/2006/relationships/image" Target="cid:image001.png@01D9033C.881F1600" TargetMode="External"/><Relationship Id="rId10" Type="http://schemas.openxmlformats.org/officeDocument/2006/relationships/image" Target="media/image4.png"/><Relationship Id="rId4" Type="http://schemas.openxmlformats.org/officeDocument/2006/relationships/image" Target="media/image1.gif"/><Relationship Id="rId9" Type="http://schemas.openxmlformats.org/officeDocument/2006/relationships/image" Target="cid:image003.png@01D9033C.881F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1869</Words>
  <Characters>10656</Characters>
  <Application>Microsoft Office Word</Application>
  <DocSecurity>0</DocSecurity>
  <Lines>88</Lines>
  <Paragraphs>24</Paragraphs>
  <ScaleCrop>false</ScaleCrop>
  <Company/>
  <LinksUpToDate>false</LinksUpToDate>
  <CharactersWithSpaces>12501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Dullmaier</dc:creator>
  <cp:keywords/>
  <dc:description/>
  <cp:lastModifiedBy>Marilyn Dullmaier</cp:lastModifiedBy>
  <cp:revision>1</cp:revision>
  <dcterms:created xsi:type="dcterms:W3CDTF">2022-11-28T13:29:00Z</dcterms:created>
  <dcterms:modified xsi:type="dcterms:W3CDTF">2022-11-28T13:32:00Z</dcterms:modified>
</cp:coreProperties>
</file>