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DFFAE" w14:textId="77777777" w:rsidR="002047F2" w:rsidRPr="00332110" w:rsidRDefault="002047F2" w:rsidP="002047F2">
      <w:pPr>
        <w:rPr>
          <w:rFonts w:ascii="Arial" w:hAnsi="Arial" w:cs="Arial"/>
        </w:rPr>
      </w:pPr>
    </w:p>
    <w:p w14:paraId="05E0085D" w14:textId="3C89086A" w:rsidR="0065765F" w:rsidRDefault="002047F2" w:rsidP="000A2645">
      <w:pPr>
        <w:jc w:val="right"/>
        <w:rPr>
          <w:b/>
          <w:bCs/>
        </w:rPr>
      </w:pPr>
      <w:r>
        <w:rPr>
          <w:noProof/>
        </w:rPr>
        <w:drawing>
          <wp:inline distT="0" distB="0" distL="0" distR="0" wp14:anchorId="7014A22C" wp14:editId="629E5FC1">
            <wp:extent cx="1771650" cy="657225"/>
            <wp:effectExtent l="0" t="0" r="0" b="0"/>
            <wp:docPr id="1788000665" name="Picture 178800066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8000665"/>
                    <pic:cNvPicPr/>
                  </pic:nvPicPr>
                  <pic:blipFill>
                    <a:blip r:embed="rId5">
                      <a:extLst>
                        <a:ext uri="{28A0092B-C50C-407E-A947-70E740481C1C}">
                          <a14:useLocalDpi xmlns:a14="http://schemas.microsoft.com/office/drawing/2010/main" val="0"/>
                        </a:ext>
                      </a:extLst>
                    </a:blip>
                    <a:stretch>
                      <a:fillRect/>
                    </a:stretch>
                  </pic:blipFill>
                  <pic:spPr>
                    <a:xfrm>
                      <a:off x="0" y="0"/>
                      <a:ext cx="1771650" cy="657225"/>
                    </a:xfrm>
                    <a:prstGeom prst="rect">
                      <a:avLst/>
                    </a:prstGeom>
                  </pic:spPr>
                </pic:pic>
              </a:graphicData>
            </a:graphic>
          </wp:inline>
        </w:drawing>
      </w:r>
    </w:p>
    <w:p w14:paraId="4C8CD56F" w14:textId="77777777" w:rsidR="000723B3" w:rsidRDefault="000723B3" w:rsidP="000723B3">
      <w:pPr>
        <w:pStyle w:val="Heading1"/>
        <w:ind w:left="284"/>
        <w:jc w:val="center"/>
      </w:pPr>
    </w:p>
    <w:p w14:paraId="4893ADC4" w14:textId="3E38280E" w:rsidR="00605EF5" w:rsidRDefault="00A92048" w:rsidP="000723B3">
      <w:pPr>
        <w:pStyle w:val="Heading1"/>
        <w:ind w:left="284"/>
        <w:jc w:val="center"/>
      </w:pPr>
      <w:r>
        <w:t xml:space="preserve">FICO </w:t>
      </w:r>
      <w:r w:rsidR="00746F34">
        <w:t>S</w:t>
      </w:r>
      <w:r>
        <w:t>urvey</w:t>
      </w:r>
      <w:r w:rsidR="00746F34">
        <w:t>:</w:t>
      </w:r>
      <w:r>
        <w:t xml:space="preserve"> </w:t>
      </w:r>
      <w:r w:rsidR="002B50FC">
        <w:t>42</w:t>
      </w:r>
      <w:r w:rsidR="00746F34">
        <w:t xml:space="preserve"> Percent</w:t>
      </w:r>
      <w:r>
        <w:t xml:space="preserve"> of South Africans </w:t>
      </w:r>
      <w:r w:rsidR="00746F34">
        <w:t xml:space="preserve">Believe </w:t>
      </w:r>
      <w:r w:rsidR="000723B3">
        <w:t>I</w:t>
      </w:r>
      <w:r>
        <w:t xml:space="preserve">t </w:t>
      </w:r>
      <w:r w:rsidR="00746F34">
        <w:t>I</w:t>
      </w:r>
      <w:r>
        <w:t xml:space="preserve">s </w:t>
      </w:r>
      <w:r w:rsidR="00746F34">
        <w:t xml:space="preserve">OK </w:t>
      </w:r>
      <w:r>
        <w:t xml:space="preserve">to </w:t>
      </w:r>
      <w:r w:rsidR="00746F34">
        <w:t>E</w:t>
      </w:r>
      <w:r>
        <w:t xml:space="preserve">xaggerate </w:t>
      </w:r>
      <w:r w:rsidR="00746F34">
        <w:t>I</w:t>
      </w:r>
      <w:r>
        <w:t xml:space="preserve">nsurance </w:t>
      </w:r>
      <w:r w:rsidR="00746F34">
        <w:t>C</w:t>
      </w:r>
      <w:r>
        <w:t>laims</w:t>
      </w:r>
    </w:p>
    <w:p w14:paraId="45C094D3" w14:textId="21A196CE" w:rsidR="002B1AE4" w:rsidRPr="000A2645" w:rsidRDefault="002B1AE4" w:rsidP="000723B3">
      <w:pPr>
        <w:ind w:left="284"/>
        <w:jc w:val="center"/>
        <w:rPr>
          <w:i/>
          <w:iCs/>
          <w:lang w:val="en-US"/>
        </w:rPr>
      </w:pPr>
      <w:r w:rsidRPr="000A2645">
        <w:rPr>
          <w:i/>
          <w:iCs/>
          <w:lang w:val="en-US"/>
        </w:rPr>
        <w:t>Consumers see need for stronger fraud and security protection, but too many checks will turn them off</w:t>
      </w:r>
    </w:p>
    <w:p w14:paraId="1BC2FD1B" w14:textId="6910D2E7" w:rsidR="002608DB" w:rsidRDefault="002047F2" w:rsidP="000723B3">
      <w:pPr>
        <w:ind w:left="284"/>
      </w:pPr>
      <w:r w:rsidRPr="000A2645">
        <w:rPr>
          <w:rFonts w:cstheme="minorHAnsi"/>
          <w:b/>
        </w:rPr>
        <w:t xml:space="preserve">Johannesburg, </w:t>
      </w:r>
      <w:r w:rsidR="000F1DBD">
        <w:rPr>
          <w:rFonts w:cstheme="minorHAnsi"/>
          <w:b/>
        </w:rPr>
        <w:t>15</w:t>
      </w:r>
      <w:r w:rsidRPr="000A2645">
        <w:rPr>
          <w:rFonts w:cstheme="minorHAnsi"/>
          <w:b/>
        </w:rPr>
        <w:t xml:space="preserve"> </w:t>
      </w:r>
      <w:r w:rsidR="000723B3">
        <w:rPr>
          <w:rFonts w:cstheme="minorHAnsi"/>
          <w:b/>
        </w:rPr>
        <w:t>November</w:t>
      </w:r>
      <w:r w:rsidR="000723B3" w:rsidRPr="000A2645">
        <w:rPr>
          <w:rFonts w:cstheme="minorHAnsi"/>
          <w:b/>
        </w:rPr>
        <w:t xml:space="preserve"> </w:t>
      </w:r>
      <w:r w:rsidRPr="000A2645">
        <w:rPr>
          <w:rFonts w:cstheme="minorHAnsi"/>
          <w:b/>
        </w:rPr>
        <w:t xml:space="preserve">2022 </w:t>
      </w:r>
      <w:r w:rsidRPr="00943D0E">
        <w:rPr>
          <w:rFonts w:cstheme="minorHAnsi"/>
          <w:bCs/>
        </w:rPr>
        <w:t>-</w:t>
      </w:r>
      <w:r w:rsidRPr="00943D0E">
        <w:rPr>
          <w:rFonts w:cstheme="minorHAnsi"/>
        </w:rPr>
        <w:t xml:space="preserve"> </w:t>
      </w:r>
      <w:r w:rsidR="002608DB">
        <w:t xml:space="preserve">Many financial institutions consider </w:t>
      </w:r>
      <w:r w:rsidR="00606451">
        <w:t xml:space="preserve">their fraud teams to be </w:t>
      </w:r>
      <w:r w:rsidR="00A92048">
        <w:t xml:space="preserve">a </w:t>
      </w:r>
      <w:r w:rsidR="00606451">
        <w:t>necess</w:t>
      </w:r>
      <w:r w:rsidR="00A92048">
        <w:t xml:space="preserve">ary overhead </w:t>
      </w:r>
      <w:r w:rsidR="00606451">
        <w:t>to cut fraud losses, but</w:t>
      </w:r>
      <w:r w:rsidR="002B1AE4">
        <w:t xml:space="preserve"> the</w:t>
      </w:r>
      <w:r w:rsidR="00606451">
        <w:t xml:space="preserve"> latest consumer survey </w:t>
      </w:r>
      <w:r>
        <w:t>from global analytics leader FIC</w:t>
      </w:r>
      <w:r w:rsidR="00C81971">
        <w:t>O</w:t>
      </w:r>
      <w:r>
        <w:t xml:space="preserve"> </w:t>
      </w:r>
      <w:r w:rsidR="00606451">
        <w:t xml:space="preserve">shows that a successful fraud protection function </w:t>
      </w:r>
      <w:r w:rsidR="008B1456">
        <w:t>can drive</w:t>
      </w:r>
      <w:r w:rsidR="00606451">
        <w:t xml:space="preserve"> sales and increas</w:t>
      </w:r>
      <w:r w:rsidR="007E1EF1">
        <w:t xml:space="preserve">e </w:t>
      </w:r>
      <w:r w:rsidR="00606451">
        <w:t>revenue.</w:t>
      </w:r>
      <w:r w:rsidR="002B1AE4">
        <w:t xml:space="preserve"> The survey also reveals consumer attitudes and preferences regarding fraud checks – and </w:t>
      </w:r>
      <w:r w:rsidR="00755F70">
        <w:t>indicate</w:t>
      </w:r>
      <w:r w:rsidR="002B1AE4">
        <w:t>s that many will commit fraud themselves to get a loan or file an insurance claim.</w:t>
      </w:r>
    </w:p>
    <w:p w14:paraId="5AEF5506" w14:textId="16351573" w:rsidR="006443B0" w:rsidRDefault="006443B0" w:rsidP="000723B3">
      <w:pPr>
        <w:ind w:left="284"/>
      </w:pPr>
      <w:r>
        <w:rPr>
          <w:rFonts w:cstheme="minorHAnsi"/>
          <w:b/>
        </w:rPr>
        <w:t>More information:</w:t>
      </w:r>
      <w:r>
        <w:t xml:space="preserve"> </w:t>
      </w:r>
      <w:hyperlink r:id="rId6" w:history="1">
        <w:r w:rsidRPr="003C694E">
          <w:rPr>
            <w:rStyle w:val="Hyperlink"/>
          </w:rPr>
          <w:t>https://www.fico.com/en/latest-thinking/ebook/consumer-survey-2022-fraud-identity-and-digital-banking-south-africa</w:t>
        </w:r>
      </w:hyperlink>
      <w:r>
        <w:t xml:space="preserve"> </w:t>
      </w:r>
    </w:p>
    <w:p w14:paraId="3C620DBF" w14:textId="4577E5B9" w:rsidR="00606451" w:rsidRPr="00C73B32" w:rsidRDefault="00606451" w:rsidP="000723B3">
      <w:pPr>
        <w:ind w:left="284"/>
      </w:pPr>
      <w:r w:rsidRPr="00C73B32">
        <w:t xml:space="preserve">When asked to rank their considerations </w:t>
      </w:r>
      <w:r w:rsidR="007F26BB" w:rsidRPr="00C73B32">
        <w:t>i</w:t>
      </w:r>
      <w:r w:rsidRPr="00C73B32">
        <w:t xml:space="preserve">n selecting a financial account </w:t>
      </w:r>
      <w:r w:rsidR="00C97CBA" w:rsidRPr="00C73B32">
        <w:t xml:space="preserve">provider, </w:t>
      </w:r>
      <w:r w:rsidR="00DF5C2A">
        <w:t>36</w:t>
      </w:r>
      <w:r w:rsidR="000723B3">
        <w:t xml:space="preserve"> percent</w:t>
      </w:r>
      <w:r w:rsidRPr="00C73B32">
        <w:t xml:space="preserve"> ranked good fraud prevention as their number one concern and </w:t>
      </w:r>
      <w:r w:rsidR="00DF5C2A">
        <w:t>43</w:t>
      </w:r>
      <w:r w:rsidR="000723B3">
        <w:t xml:space="preserve"> percent</w:t>
      </w:r>
      <w:r w:rsidRPr="00C73B32">
        <w:t xml:space="preserve"> ranked it as the second most important consideration</w:t>
      </w:r>
      <w:r w:rsidR="002F5725">
        <w:t>,</w:t>
      </w:r>
      <w:r w:rsidR="00755F70">
        <w:t xml:space="preserve"> making it by far the most important</w:t>
      </w:r>
      <w:r w:rsidR="00F63640">
        <w:t xml:space="preserve"> </w:t>
      </w:r>
      <w:r w:rsidR="00755F70">
        <w:t xml:space="preserve">measure of the </w:t>
      </w:r>
      <w:r w:rsidR="00F63640">
        <w:t>eight in the survey</w:t>
      </w:r>
      <w:r w:rsidR="00755F70">
        <w:t>.</w:t>
      </w:r>
      <w:r w:rsidR="00F63640">
        <w:t xml:space="preserve">  </w:t>
      </w:r>
      <w:r w:rsidR="000B6F34">
        <w:t xml:space="preserve">This suggests that financial institutions that can effectively communicate </w:t>
      </w:r>
      <w:r w:rsidR="00755F70">
        <w:t xml:space="preserve">a focus on </w:t>
      </w:r>
      <w:r w:rsidR="000B6F34">
        <w:t>fraud protection will have a competitive advantage.</w:t>
      </w:r>
      <w:r w:rsidRPr="00C73B32">
        <w:t xml:space="preserve"> </w:t>
      </w:r>
      <w:r w:rsidR="000B6F34">
        <w:t xml:space="preserve">Ease </w:t>
      </w:r>
      <w:r w:rsidR="009C122F">
        <w:t>of use</w:t>
      </w:r>
      <w:r w:rsidR="007F26BB" w:rsidRPr="00C73B32">
        <w:t xml:space="preserve"> </w:t>
      </w:r>
      <w:r w:rsidR="00755F70">
        <w:t xml:space="preserve">in accessing their banking services </w:t>
      </w:r>
      <w:r w:rsidR="007F26BB" w:rsidRPr="00C73B32">
        <w:t xml:space="preserve">was selected as </w:t>
      </w:r>
      <w:r w:rsidR="00755F70">
        <w:t xml:space="preserve">the </w:t>
      </w:r>
      <w:r w:rsidR="007F26BB" w:rsidRPr="00C73B32">
        <w:t xml:space="preserve">number one </w:t>
      </w:r>
      <w:r w:rsidR="00755F70">
        <w:t xml:space="preserve">criterion </w:t>
      </w:r>
      <w:r w:rsidR="007F26BB" w:rsidRPr="00C73B32">
        <w:t xml:space="preserve">for </w:t>
      </w:r>
      <w:r w:rsidR="009C122F">
        <w:t>3</w:t>
      </w:r>
      <w:r w:rsidR="00DF5C2A">
        <w:t>1</w:t>
      </w:r>
      <w:r w:rsidR="000723B3">
        <w:t xml:space="preserve"> percent</w:t>
      </w:r>
      <w:r w:rsidR="002F5725">
        <w:t xml:space="preserve"> of respondents</w:t>
      </w:r>
      <w:r w:rsidR="007F26BB" w:rsidRPr="00C73B32">
        <w:t xml:space="preserve">. </w:t>
      </w:r>
      <w:r w:rsidR="009C122F">
        <w:t>S</w:t>
      </w:r>
      <w:r w:rsidR="007F26BB" w:rsidRPr="00C73B32">
        <w:t xml:space="preserve">ound environmental and green policies </w:t>
      </w:r>
      <w:r w:rsidR="00A92048">
        <w:t>were</w:t>
      </w:r>
      <w:r w:rsidR="009C122F">
        <w:t xml:space="preserve"> only considered a top consideration for 1</w:t>
      </w:r>
      <w:r w:rsidR="000723B3">
        <w:t xml:space="preserve"> percent</w:t>
      </w:r>
      <w:r w:rsidR="00755F70">
        <w:t>,</w:t>
      </w:r>
      <w:r w:rsidR="009C122F">
        <w:t xml:space="preserve"> while 3</w:t>
      </w:r>
      <w:r w:rsidR="00DF5C2A">
        <w:t>5</w:t>
      </w:r>
      <w:r w:rsidR="000723B3">
        <w:t xml:space="preserve"> percent</w:t>
      </w:r>
      <w:r w:rsidR="009C122F">
        <w:t xml:space="preserve"> had ranked it last of 8 in the list of considerations</w:t>
      </w:r>
      <w:r w:rsidR="007F26BB" w:rsidRPr="00C73B32">
        <w:t>.</w:t>
      </w:r>
      <w:r w:rsidR="00F63640">
        <w:t xml:space="preserve">  </w:t>
      </w:r>
    </w:p>
    <w:p w14:paraId="17A57346" w14:textId="4DC846B8" w:rsidR="00DA08E8" w:rsidRDefault="001C4CA8" w:rsidP="000723B3">
      <w:pPr>
        <w:ind w:left="284"/>
      </w:pPr>
      <w:r w:rsidRPr="001C4CA8">
        <w:rPr>
          <w:noProof/>
        </w:rPr>
        <w:drawing>
          <wp:inline distT="0" distB="0" distL="0" distR="0" wp14:anchorId="174DE1A7" wp14:editId="77AE7DE2">
            <wp:extent cx="6858000" cy="3295015"/>
            <wp:effectExtent l="0" t="0" r="0" b="635"/>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7"/>
                    <a:stretch>
                      <a:fillRect/>
                    </a:stretch>
                  </pic:blipFill>
                  <pic:spPr>
                    <a:xfrm>
                      <a:off x="0" y="0"/>
                      <a:ext cx="6858000" cy="3295015"/>
                    </a:xfrm>
                    <a:prstGeom prst="rect">
                      <a:avLst/>
                    </a:prstGeom>
                  </pic:spPr>
                </pic:pic>
              </a:graphicData>
            </a:graphic>
          </wp:inline>
        </w:drawing>
      </w:r>
    </w:p>
    <w:p w14:paraId="03DAA5FC" w14:textId="74B31152" w:rsidR="00A92048" w:rsidRDefault="00A92048" w:rsidP="000723B3">
      <w:pPr>
        <w:pStyle w:val="Heading2"/>
        <w:ind w:left="284"/>
      </w:pPr>
      <w:r w:rsidRPr="006A24A1">
        <w:lastRenderedPageBreak/>
        <w:t>First-</w:t>
      </w:r>
      <w:r w:rsidR="000723B3">
        <w:t>p</w:t>
      </w:r>
      <w:r w:rsidRPr="006A24A1">
        <w:t xml:space="preserve">arty </w:t>
      </w:r>
      <w:r w:rsidR="000723B3">
        <w:t>f</w:t>
      </w:r>
      <w:r w:rsidRPr="006A24A1">
        <w:t>raud is considered acceptable by many</w:t>
      </w:r>
    </w:p>
    <w:p w14:paraId="28A5943C" w14:textId="537E41ED" w:rsidR="000723B3" w:rsidRDefault="00A92048" w:rsidP="000723B3">
      <w:pPr>
        <w:ind w:left="284"/>
      </w:pPr>
      <w:r w:rsidRPr="006A24A1">
        <w:t>When asked about their attitudes to actions that financial institutions</w:t>
      </w:r>
      <w:r>
        <w:t xml:space="preserve"> </w:t>
      </w:r>
      <w:r w:rsidRPr="006A24A1">
        <w:t>consider</w:t>
      </w:r>
      <w:r>
        <w:t xml:space="preserve"> </w:t>
      </w:r>
      <w:r w:rsidRPr="006A24A1">
        <w:t>fraud</w:t>
      </w:r>
      <w:r w:rsidR="0065765F">
        <w:t>,</w:t>
      </w:r>
      <w:r w:rsidRPr="006A24A1">
        <w:t xml:space="preserve"> many people think that </w:t>
      </w:r>
      <w:r>
        <w:t xml:space="preserve">behaviours such as exaggerating income on applications or inflating insurance claims are either </w:t>
      </w:r>
      <w:r w:rsidR="0065765F">
        <w:t xml:space="preserve">OK </w:t>
      </w:r>
      <w:r>
        <w:t>in some circumstances, or normal behaviour. While most think that people should never take these fraudulent actions</w:t>
      </w:r>
      <w:r w:rsidR="0065765F">
        <w:t>,</w:t>
      </w:r>
      <w:r>
        <w:t xml:space="preserve"> it is worrying that as many as 42</w:t>
      </w:r>
      <w:r w:rsidR="000723B3">
        <w:t xml:space="preserve"> percent</w:t>
      </w:r>
      <w:r>
        <w:t xml:space="preserve"> find it acceptable in at least some circumstances</w:t>
      </w:r>
    </w:p>
    <w:p w14:paraId="4AB0493B" w14:textId="7C203B50" w:rsidR="000723B3" w:rsidRDefault="006E3F44" w:rsidP="00755F70">
      <w:pPr>
        <w:ind w:left="284"/>
      </w:pPr>
      <w:r>
        <w:t>“</w:t>
      </w:r>
      <w:r w:rsidR="000723B3">
        <w:t>M</w:t>
      </w:r>
      <w:r>
        <w:t>any South Africans are experiencing a rise in the cost of living and might consider that they can ease their circumstances by falsifying information in applications for credit</w:t>
      </w:r>
      <w:r w:rsidR="000723B3">
        <w:t xml:space="preserve">,” said Michelle </w:t>
      </w:r>
      <w:proofErr w:type="spellStart"/>
      <w:r w:rsidR="000723B3">
        <w:t>Beetar</w:t>
      </w:r>
      <w:proofErr w:type="spellEnd"/>
      <w:r w:rsidR="000723B3">
        <w:t>, who heads FICO’s operations in Africa</w:t>
      </w:r>
      <w:r>
        <w:t xml:space="preserve">. </w:t>
      </w:r>
      <w:r w:rsidR="000723B3">
        <w:t>“However</w:t>
      </w:r>
      <w:r>
        <w:t>, this</w:t>
      </w:r>
      <w:r w:rsidR="00755F70">
        <w:t xml:space="preserve"> misrepresentation </w:t>
      </w:r>
      <w:r>
        <w:t xml:space="preserve">is fraud. Financial institutions that can spot anomalies suggesting that information is being exaggerated or </w:t>
      </w:r>
      <w:r w:rsidR="00755F70">
        <w:t>misstated</w:t>
      </w:r>
      <w:r>
        <w:t xml:space="preserve"> can take positive action to protect themselves from losses wh</w:t>
      </w:r>
      <w:r w:rsidR="00755F70">
        <w:t xml:space="preserve">ich would occur when </w:t>
      </w:r>
      <w:r>
        <w:t>the customer</w:t>
      </w:r>
      <w:r w:rsidR="002F5725">
        <w:t xml:space="preserve"> cannot</w:t>
      </w:r>
      <w:r w:rsidR="00F63640">
        <w:t xml:space="preserve"> </w:t>
      </w:r>
      <w:r w:rsidR="00755F70">
        <w:t>afford</w:t>
      </w:r>
      <w:r w:rsidR="00F63640">
        <w:t xml:space="preserve"> </w:t>
      </w:r>
      <w:r>
        <w:t>the repayment</w:t>
      </w:r>
      <w:r w:rsidR="00755F70">
        <w:t>s</w:t>
      </w:r>
      <w:r w:rsidR="000723B3">
        <w:t>,</w:t>
      </w:r>
      <w:r>
        <w:t xml:space="preserve"> and the customer can be prevented from going down a path they will end up regretting.”</w:t>
      </w:r>
    </w:p>
    <w:p w14:paraId="7B9061C6" w14:textId="07716267" w:rsidR="001C4CA8" w:rsidRDefault="001C4CA8" w:rsidP="00755F70">
      <w:pPr>
        <w:ind w:left="284"/>
      </w:pPr>
      <w:r w:rsidRPr="001C4CA8">
        <w:rPr>
          <w:noProof/>
        </w:rPr>
        <w:drawing>
          <wp:inline distT="0" distB="0" distL="0" distR="0" wp14:anchorId="23D8C86F" wp14:editId="4E8E1AF2">
            <wp:extent cx="6843353" cy="4877223"/>
            <wp:effectExtent l="0" t="0" r="0" b="0"/>
            <wp:docPr id="2" name="Picture 2"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imeline&#10;&#10;Description automatically generated"/>
                    <pic:cNvPicPr/>
                  </pic:nvPicPr>
                  <pic:blipFill>
                    <a:blip r:embed="rId8"/>
                    <a:stretch>
                      <a:fillRect/>
                    </a:stretch>
                  </pic:blipFill>
                  <pic:spPr>
                    <a:xfrm>
                      <a:off x="0" y="0"/>
                      <a:ext cx="6843353" cy="4877223"/>
                    </a:xfrm>
                    <a:prstGeom prst="rect">
                      <a:avLst/>
                    </a:prstGeom>
                  </pic:spPr>
                </pic:pic>
              </a:graphicData>
            </a:graphic>
          </wp:inline>
        </w:drawing>
      </w:r>
    </w:p>
    <w:p w14:paraId="6F80D219" w14:textId="77777777" w:rsidR="00A92048" w:rsidRPr="00EB0A75" w:rsidRDefault="00A92048" w:rsidP="000723B3">
      <w:pPr>
        <w:pStyle w:val="Heading2"/>
        <w:ind w:left="284"/>
      </w:pPr>
      <w:r w:rsidRPr="00EB0A75">
        <w:t>When fraud protection methods don’t work well, they drive customers away</w:t>
      </w:r>
    </w:p>
    <w:p w14:paraId="3C08EC83" w14:textId="099CEB2D" w:rsidR="00A92048" w:rsidRDefault="00A92048" w:rsidP="000723B3">
      <w:pPr>
        <w:ind w:left="284"/>
      </w:pPr>
      <w:r w:rsidRPr="00EB0A75">
        <w:t xml:space="preserve">Customers must engage with fraud protection and security when they open a new account or when they use an existing account. An increased need to </w:t>
      </w:r>
      <w:r w:rsidR="00127505">
        <w:t>stop</w:t>
      </w:r>
      <w:r w:rsidRPr="00EB0A75">
        <w:t xml:space="preserve"> fraud and an industry drive to provide more security through the rollout of initiatives such as 3D Secure 2</w:t>
      </w:r>
      <w:r w:rsidR="00755F70">
        <w:t>,</w:t>
      </w:r>
      <w:r w:rsidRPr="00EB0A75">
        <w:t xml:space="preserve"> means that </w:t>
      </w:r>
      <w:r w:rsidR="0065765F">
        <w:t>people</w:t>
      </w:r>
      <w:r w:rsidR="0065765F" w:rsidRPr="00EB0A75">
        <w:t xml:space="preserve"> </w:t>
      </w:r>
      <w:r w:rsidRPr="00EB0A75">
        <w:t xml:space="preserve">are seeing fraud checks more frequently and it is impacting </w:t>
      </w:r>
      <w:r>
        <w:t>their willingness to open and use some accounts.</w:t>
      </w:r>
    </w:p>
    <w:p w14:paraId="3D6638EE" w14:textId="6BFEF4FA" w:rsidR="00A92048" w:rsidRPr="000723B3" w:rsidRDefault="00A92048" w:rsidP="000723B3">
      <w:pPr>
        <w:pStyle w:val="ListParagraph"/>
        <w:numPr>
          <w:ilvl w:val="0"/>
          <w:numId w:val="4"/>
        </w:numPr>
      </w:pPr>
      <w:r w:rsidRPr="000723B3">
        <w:t>66</w:t>
      </w:r>
      <w:r w:rsidR="000723B3" w:rsidRPr="000723B3">
        <w:t xml:space="preserve"> percent</w:t>
      </w:r>
      <w:r w:rsidRPr="000723B3">
        <w:t xml:space="preserve"> </w:t>
      </w:r>
      <w:r w:rsidR="002047F2" w:rsidRPr="000723B3">
        <w:t>said</w:t>
      </w:r>
      <w:r w:rsidRPr="000723B3">
        <w:t xml:space="preserve"> that identity checks when they make an online purchase using their cards have increased over the past year.</w:t>
      </w:r>
    </w:p>
    <w:p w14:paraId="15A2C60D" w14:textId="2F090273" w:rsidR="00A92048" w:rsidRPr="000723B3" w:rsidRDefault="00A92048" w:rsidP="000723B3">
      <w:pPr>
        <w:pStyle w:val="ListParagraph"/>
        <w:numPr>
          <w:ilvl w:val="0"/>
          <w:numId w:val="4"/>
        </w:numPr>
      </w:pPr>
      <w:r w:rsidRPr="000723B3">
        <w:t>65</w:t>
      </w:r>
      <w:r w:rsidR="000723B3" w:rsidRPr="000723B3">
        <w:t xml:space="preserve"> percent</w:t>
      </w:r>
      <w:r w:rsidRPr="000723B3">
        <w:t xml:space="preserve"> </w:t>
      </w:r>
      <w:r w:rsidR="002047F2" w:rsidRPr="000723B3">
        <w:t>said</w:t>
      </w:r>
      <w:r w:rsidRPr="000723B3">
        <w:t xml:space="preserve"> that identity checks have increased when they log</w:t>
      </w:r>
      <w:r w:rsidR="0065765F" w:rsidRPr="000723B3">
        <w:t xml:space="preserve"> </w:t>
      </w:r>
      <w:r w:rsidRPr="000723B3">
        <w:t>in to their bank accounts.</w:t>
      </w:r>
    </w:p>
    <w:p w14:paraId="20948E0E" w14:textId="7228CF34" w:rsidR="00A92048" w:rsidRDefault="00A92048" w:rsidP="000723B3">
      <w:pPr>
        <w:ind w:left="284"/>
      </w:pPr>
      <w:r>
        <w:lastRenderedPageBreak/>
        <w:t xml:space="preserve">People </w:t>
      </w:r>
      <w:r w:rsidR="0065765F">
        <w:t xml:space="preserve">also </w:t>
      </w:r>
      <w:r w:rsidR="002047F2">
        <w:t>said</w:t>
      </w:r>
      <w:r>
        <w:t xml:space="preserve"> that Identity checks that were too difficult or time-consuming have stopped them from opening a range of different accounts.</w:t>
      </w:r>
    </w:p>
    <w:p w14:paraId="7E1A84CD" w14:textId="35323C6A" w:rsidR="00A92048" w:rsidRDefault="001C4CA8" w:rsidP="000723B3">
      <w:pPr>
        <w:ind w:left="284"/>
      </w:pPr>
      <w:r w:rsidRPr="001C4CA8">
        <w:rPr>
          <w:noProof/>
        </w:rPr>
        <w:drawing>
          <wp:inline distT="0" distB="0" distL="0" distR="0" wp14:anchorId="57BFB856" wp14:editId="1EA23C9C">
            <wp:extent cx="6858000" cy="2877185"/>
            <wp:effectExtent l="0" t="0" r="0" b="0"/>
            <wp:docPr id="4" name="Picture 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10;&#10;Description automatically generated"/>
                    <pic:cNvPicPr/>
                  </pic:nvPicPr>
                  <pic:blipFill>
                    <a:blip r:embed="rId9"/>
                    <a:stretch>
                      <a:fillRect/>
                    </a:stretch>
                  </pic:blipFill>
                  <pic:spPr>
                    <a:xfrm>
                      <a:off x="0" y="0"/>
                      <a:ext cx="6858000" cy="2877185"/>
                    </a:xfrm>
                    <a:prstGeom prst="rect">
                      <a:avLst/>
                    </a:prstGeom>
                  </pic:spPr>
                </pic:pic>
              </a:graphicData>
            </a:graphic>
          </wp:inline>
        </w:drawing>
      </w:r>
    </w:p>
    <w:p w14:paraId="0D2E5BA3" w14:textId="299B27D8" w:rsidR="000723B3" w:rsidRDefault="00A92048" w:rsidP="000723B3">
      <w:pPr>
        <w:ind w:left="284"/>
      </w:pPr>
      <w:r>
        <w:t>Once accounts are open</w:t>
      </w:r>
      <w:r w:rsidR="00963A40">
        <w:t>,</w:t>
      </w:r>
      <w:r>
        <w:t xml:space="preserve"> identity checks can still have an impact</w:t>
      </w:r>
      <w:r w:rsidR="00963A40">
        <w:t>. Nearly one in four people surveyed</w:t>
      </w:r>
      <w:r>
        <w:t xml:space="preserve"> </w:t>
      </w:r>
      <w:r w:rsidR="00963A40">
        <w:t>(</w:t>
      </w:r>
      <w:r>
        <w:t>23</w:t>
      </w:r>
      <w:r w:rsidR="000723B3">
        <w:t xml:space="preserve"> percent</w:t>
      </w:r>
      <w:r w:rsidR="00963A40">
        <w:t>)</w:t>
      </w:r>
      <w:r>
        <w:t xml:space="preserve"> </w:t>
      </w:r>
      <w:r w:rsidR="00963A40">
        <w:t xml:space="preserve">said </w:t>
      </w:r>
      <w:r>
        <w:t xml:space="preserve">they have reduced or stopped use of their personal bank account because of </w:t>
      </w:r>
      <w:r w:rsidR="00963A40">
        <w:t xml:space="preserve">identity checks, </w:t>
      </w:r>
      <w:r>
        <w:t>and 25</w:t>
      </w:r>
      <w:r w:rsidR="000723B3">
        <w:t xml:space="preserve"> percent</w:t>
      </w:r>
      <w:r>
        <w:t xml:space="preserve"> </w:t>
      </w:r>
      <w:r w:rsidR="00963A40">
        <w:t xml:space="preserve">said the same about </w:t>
      </w:r>
      <w:r>
        <w:t>a credit card.</w:t>
      </w:r>
      <w:r w:rsidR="006E3F44">
        <w:t xml:space="preserve"> </w:t>
      </w:r>
    </w:p>
    <w:p w14:paraId="137905C8" w14:textId="69CA4C33" w:rsidR="0020286D" w:rsidRPr="000723B3" w:rsidRDefault="00C55EA9" w:rsidP="000723B3">
      <w:pPr>
        <w:ind w:left="284"/>
      </w:pPr>
      <w:r>
        <w:t xml:space="preserve">“Each customer interaction has a different risk profile which is influenced by </w:t>
      </w:r>
      <w:proofErr w:type="spellStart"/>
      <w:r>
        <w:t>behavioral</w:t>
      </w:r>
      <w:proofErr w:type="spellEnd"/>
      <w:r>
        <w:t xml:space="preserve"> signals, the ability and willingness of customers to use various authentication methods, the value of the transaction and the financial institution</w:t>
      </w:r>
      <w:r w:rsidR="00755F70">
        <w:t>’</w:t>
      </w:r>
      <w:r>
        <w:t>s own risk appetite</w:t>
      </w:r>
      <w:r w:rsidR="000723B3">
        <w:t xml:space="preserve">,” said </w:t>
      </w:r>
      <w:proofErr w:type="spellStart"/>
      <w:r w:rsidR="000723B3">
        <w:t>Beetar</w:t>
      </w:r>
      <w:proofErr w:type="spellEnd"/>
      <w:r>
        <w:t xml:space="preserve">. </w:t>
      </w:r>
      <w:r w:rsidR="000723B3">
        <w:t>“</w:t>
      </w:r>
      <w:r>
        <w:t>Financial services providers need to be able to take a flexible approach that doesn’t put too many barriers in the way of legitimate customers</w:t>
      </w:r>
      <w:r w:rsidR="00407820">
        <w:t>,</w:t>
      </w:r>
      <w:r>
        <w:t xml:space="preserve"> but equally doesn’t lower fraud defences.</w:t>
      </w:r>
      <w:r w:rsidR="00257BB9">
        <w:t>”</w:t>
      </w:r>
    </w:p>
    <w:p w14:paraId="299F0E42" w14:textId="77777777" w:rsidR="00F63640" w:rsidRPr="00F907F4" w:rsidRDefault="00F63640" w:rsidP="00F63640">
      <w:pPr>
        <w:pStyle w:val="Heading2"/>
        <w:ind w:left="284"/>
      </w:pPr>
      <w:r>
        <w:t>More South Africans think they have been victims of identity theft than in 2020</w:t>
      </w:r>
    </w:p>
    <w:p w14:paraId="55F2B3D2" w14:textId="77777777" w:rsidR="00F63640" w:rsidRDefault="00F63640" w:rsidP="00F63640">
      <w:pPr>
        <w:pStyle w:val="ListParagraph"/>
        <w:rPr>
          <w:lang w:val="en-GB"/>
        </w:rPr>
      </w:pPr>
    </w:p>
    <w:p w14:paraId="5AE961D2" w14:textId="77777777" w:rsidR="00F63640" w:rsidRDefault="00F63640" w:rsidP="00F63640">
      <w:pPr>
        <w:pStyle w:val="ListParagraph"/>
        <w:ind w:left="284"/>
        <w:rPr>
          <w:lang w:val="en-GB"/>
        </w:rPr>
      </w:pPr>
      <w:r>
        <w:rPr>
          <w:lang w:val="en-GB"/>
        </w:rPr>
        <w:t>7.2 percent of South African survey respondents said that they know that their stolen identity has been used by a criminal to open a financial account. This is a significant increase from 4.6 percent in our 2020 survey. In percentage terms these figures may seem low, but when you equate it to number of victims, the scale of the problem becomes more alarming; 7.2 percent of the South African adult population is over 2.7 million people. An additional 6.9 percent think it is likely that their identity has been used to open an account fraudulently. Men (9.2 percent) are more likely than women (5.3 percent) to say their stolen identity has been used to open an account and those aged 65 and above (22.6 percent) are the most likely to say so.</w:t>
      </w:r>
    </w:p>
    <w:p w14:paraId="465A89A9" w14:textId="77777777" w:rsidR="00F63640" w:rsidRDefault="00F63640" w:rsidP="00F63640">
      <w:pPr>
        <w:pStyle w:val="ListParagraph"/>
        <w:ind w:left="284"/>
        <w:rPr>
          <w:lang w:val="en-GB"/>
        </w:rPr>
      </w:pPr>
    </w:p>
    <w:p w14:paraId="1A5FE01B" w14:textId="77777777" w:rsidR="00F63640" w:rsidRDefault="00F63640" w:rsidP="00F63640">
      <w:pPr>
        <w:pStyle w:val="ListParagraph"/>
        <w:ind w:left="284"/>
        <w:rPr>
          <w:lang w:val="en-GB"/>
        </w:rPr>
      </w:pPr>
      <w:r>
        <w:rPr>
          <w:lang w:val="en-GB"/>
        </w:rPr>
        <w:t xml:space="preserve">“With almost a quarter of South African respondents feeling that it’s possible or likely that they been the victims of identity theft, financial institutions have an important role to play in establishing trust,” </w:t>
      </w:r>
      <w:proofErr w:type="spellStart"/>
      <w:r>
        <w:rPr>
          <w:lang w:val="en-GB"/>
        </w:rPr>
        <w:t>Beetar</w:t>
      </w:r>
      <w:proofErr w:type="spellEnd"/>
      <w:r>
        <w:rPr>
          <w:lang w:val="en-GB"/>
        </w:rPr>
        <w:t xml:space="preserve"> said. “Those who can demonstrate good practices that prevent fraudsters and money-launderers from opening accounts could enhance their reputation.”</w:t>
      </w:r>
    </w:p>
    <w:p w14:paraId="6B2518C3" w14:textId="77777777" w:rsidR="00F63640" w:rsidRDefault="00F63640" w:rsidP="00F63640">
      <w:pPr>
        <w:pStyle w:val="ListParagraph"/>
        <w:rPr>
          <w:lang w:val="en-GB"/>
        </w:rPr>
      </w:pPr>
    </w:p>
    <w:p w14:paraId="0933F072" w14:textId="0DB72593" w:rsidR="00F63640" w:rsidRPr="001C4CA8" w:rsidRDefault="001C4CA8" w:rsidP="001C4CA8">
      <w:pPr>
        <w:ind w:left="284"/>
      </w:pPr>
      <w:r w:rsidRPr="001C4CA8">
        <w:rPr>
          <w:noProof/>
        </w:rPr>
        <w:lastRenderedPageBreak/>
        <w:drawing>
          <wp:inline distT="0" distB="0" distL="0" distR="0" wp14:anchorId="4629346B" wp14:editId="35CCD9AB">
            <wp:extent cx="5639289" cy="4122777"/>
            <wp:effectExtent l="0" t="0" r="0" b="0"/>
            <wp:docPr id="7" name="Picture 7"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bar chart&#10;&#10;Description automatically generated"/>
                    <pic:cNvPicPr/>
                  </pic:nvPicPr>
                  <pic:blipFill>
                    <a:blip r:embed="rId10"/>
                    <a:stretch>
                      <a:fillRect/>
                    </a:stretch>
                  </pic:blipFill>
                  <pic:spPr>
                    <a:xfrm>
                      <a:off x="0" y="0"/>
                      <a:ext cx="5639289" cy="4122777"/>
                    </a:xfrm>
                    <a:prstGeom prst="rect">
                      <a:avLst/>
                    </a:prstGeom>
                  </pic:spPr>
                </pic:pic>
              </a:graphicData>
            </a:graphic>
          </wp:inline>
        </w:drawing>
      </w:r>
    </w:p>
    <w:p w14:paraId="08143D7B" w14:textId="1D1A90C9" w:rsidR="009C4D5F" w:rsidRPr="00964E47" w:rsidRDefault="00964E47" w:rsidP="000723B3">
      <w:pPr>
        <w:pStyle w:val="Heading2"/>
        <w:ind w:left="284"/>
      </w:pPr>
      <w:r w:rsidRPr="00964E47">
        <w:t>Biometrics take the lead in account security – but people still want choice</w:t>
      </w:r>
    </w:p>
    <w:p w14:paraId="7D0C0263" w14:textId="5051C07A" w:rsidR="00963A40" w:rsidRDefault="003F7175" w:rsidP="00127505">
      <w:pPr>
        <w:ind w:left="284"/>
      </w:pPr>
      <w:r w:rsidRPr="003F7175">
        <w:t>People expressed a strong preference to use a wide variety of account security methods.</w:t>
      </w:r>
      <w:r>
        <w:t xml:space="preserve"> </w:t>
      </w:r>
      <w:r w:rsidRPr="003F7175">
        <w:t xml:space="preserve">Biometric methods </w:t>
      </w:r>
      <w:r>
        <w:t>are</w:t>
      </w:r>
      <w:r w:rsidRPr="003F7175">
        <w:t xml:space="preserve"> popular security choices</w:t>
      </w:r>
      <w:r w:rsidR="00B92E73">
        <w:t>.</w:t>
      </w:r>
      <w:r w:rsidRPr="003F7175">
        <w:t xml:space="preserve"> </w:t>
      </w:r>
      <w:r w:rsidR="00F313F1">
        <w:t>62</w:t>
      </w:r>
      <w:r w:rsidR="000723B3">
        <w:t xml:space="preserve"> percent</w:t>
      </w:r>
      <w:r w:rsidRPr="003F7175">
        <w:t xml:space="preserve"> have a strong preference for using a fingerprint scan, </w:t>
      </w:r>
      <w:r w:rsidR="00F313F1">
        <w:t>52</w:t>
      </w:r>
      <w:r w:rsidR="000723B3">
        <w:t xml:space="preserve"> percent</w:t>
      </w:r>
      <w:r w:rsidRPr="003F7175">
        <w:t xml:space="preserve"> a face scan and </w:t>
      </w:r>
      <w:r>
        <w:t>3</w:t>
      </w:r>
      <w:r w:rsidR="00F313F1">
        <w:t>8</w:t>
      </w:r>
      <w:r w:rsidR="000723B3">
        <w:t xml:space="preserve"> percent</w:t>
      </w:r>
      <w:r w:rsidRPr="003F7175">
        <w:t xml:space="preserve"> an iris scan. </w:t>
      </w:r>
    </w:p>
    <w:p w14:paraId="39EB16CF" w14:textId="3CE25D33" w:rsidR="003F7175" w:rsidRPr="003F7175" w:rsidRDefault="00B92E73" w:rsidP="00127505">
      <w:pPr>
        <w:ind w:left="284"/>
      </w:pPr>
      <w:r>
        <w:t xml:space="preserve">Despite biometrics becoming a popular choice in all countries surveyed, </w:t>
      </w:r>
      <w:r w:rsidR="00F313F1">
        <w:t>South Africa</w:t>
      </w:r>
      <w:r>
        <w:t xml:space="preserve"> is among the leading proponents </w:t>
      </w:r>
      <w:r w:rsidR="00963A40">
        <w:t xml:space="preserve">— </w:t>
      </w:r>
      <w:r>
        <w:t xml:space="preserve">for example, across all 14 countries </w:t>
      </w:r>
      <w:r w:rsidR="00963A40">
        <w:t>surveyed in total 36</w:t>
      </w:r>
      <w:r w:rsidR="000723B3">
        <w:t xml:space="preserve"> percent</w:t>
      </w:r>
      <w:r w:rsidR="00963A40">
        <w:t xml:space="preserve"> of people had a</w:t>
      </w:r>
      <w:r>
        <w:t xml:space="preserve"> strong preference for a fingerprint scan</w:t>
      </w:r>
      <w:r w:rsidR="00963A40">
        <w:t>, compared to 62</w:t>
      </w:r>
      <w:r w:rsidR="000723B3">
        <w:t xml:space="preserve"> percent</w:t>
      </w:r>
      <w:r w:rsidR="00963A40">
        <w:t xml:space="preserve"> for South Africa</w:t>
      </w:r>
      <w:r w:rsidR="00F313F1">
        <w:t xml:space="preserve">. </w:t>
      </w:r>
      <w:r w:rsidR="00963A40">
        <w:t xml:space="preserve">However, </w:t>
      </w:r>
      <w:r w:rsidR="00F313F1">
        <w:t>40</w:t>
      </w:r>
      <w:r w:rsidR="000723B3">
        <w:t xml:space="preserve"> percent</w:t>
      </w:r>
      <w:r w:rsidR="00F313F1">
        <w:t xml:space="preserve"> of South Africans also had a strong preference for </w:t>
      </w:r>
      <w:r w:rsidR="00C81971">
        <w:t>usernames</w:t>
      </w:r>
      <w:r w:rsidR="00F313F1">
        <w:t xml:space="preserve"> and passwords</w:t>
      </w:r>
      <w:r w:rsidR="009B5B2F">
        <w:t xml:space="preserve">, </w:t>
      </w:r>
      <w:r w:rsidR="00963A40">
        <w:t>compared to just 23 percent for the rest of the world.</w:t>
      </w:r>
    </w:p>
    <w:p w14:paraId="06829E1D" w14:textId="1ACD92D7" w:rsidR="00D22F4D" w:rsidRDefault="003F7175" w:rsidP="00127505">
      <w:pPr>
        <w:ind w:left="284"/>
      </w:pPr>
      <w:r w:rsidRPr="003F7175">
        <w:t>When it comes to receiving one-time passcodes</w:t>
      </w:r>
      <w:r w:rsidR="00963A40">
        <w:t>,</w:t>
      </w:r>
      <w:r w:rsidRPr="003F7175">
        <w:t xml:space="preserve"> </w:t>
      </w:r>
      <w:r w:rsidR="00F313F1">
        <w:t>38</w:t>
      </w:r>
      <w:r w:rsidR="000723B3">
        <w:t xml:space="preserve"> percent</w:t>
      </w:r>
      <w:r w:rsidRPr="003F7175">
        <w:t xml:space="preserve"> rate receiving it by SMS as excellent for security, compare</w:t>
      </w:r>
      <w:r w:rsidR="00963A40">
        <w:t>d</w:t>
      </w:r>
      <w:r w:rsidRPr="003F7175">
        <w:t xml:space="preserve"> to </w:t>
      </w:r>
      <w:r w:rsidR="00F313F1">
        <w:t>45</w:t>
      </w:r>
      <w:r w:rsidR="000723B3">
        <w:t xml:space="preserve"> percent</w:t>
      </w:r>
      <w:r w:rsidRPr="003F7175">
        <w:t xml:space="preserve"> who believe receiving an OTP through their bank</w:t>
      </w:r>
      <w:r w:rsidR="007037F5">
        <w:t xml:space="preserve">ing </w:t>
      </w:r>
      <w:r w:rsidR="00F63640">
        <w:t>a</w:t>
      </w:r>
      <w:r w:rsidR="009366DF">
        <w:t>pp</w:t>
      </w:r>
      <w:r w:rsidRPr="003F7175">
        <w:t xml:space="preserve"> provides excellent security and </w:t>
      </w:r>
      <w:r w:rsidR="00B92E73">
        <w:t>1</w:t>
      </w:r>
      <w:r w:rsidR="00F313F1">
        <w:t>6</w:t>
      </w:r>
      <w:r w:rsidR="000723B3">
        <w:t xml:space="preserve"> percent</w:t>
      </w:r>
      <w:r w:rsidRPr="003F7175">
        <w:t xml:space="preserve"> who rate WhatsApp as excellent for security. </w:t>
      </w:r>
    </w:p>
    <w:p w14:paraId="6D22EF43" w14:textId="36C61830" w:rsidR="00964E47" w:rsidRPr="001C4CA8" w:rsidRDefault="001C4CA8" w:rsidP="001C4CA8">
      <w:r w:rsidRPr="001C4CA8">
        <w:rPr>
          <w:noProof/>
        </w:rPr>
        <w:lastRenderedPageBreak/>
        <w:drawing>
          <wp:inline distT="0" distB="0" distL="0" distR="0" wp14:anchorId="689AB231" wp14:editId="185F7C89">
            <wp:extent cx="6858000" cy="3581400"/>
            <wp:effectExtent l="0" t="0" r="0" b="0"/>
            <wp:docPr id="8" name="Picture 8"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bar chart&#10;&#10;Description automatically generated"/>
                    <pic:cNvPicPr/>
                  </pic:nvPicPr>
                  <pic:blipFill>
                    <a:blip r:embed="rId11"/>
                    <a:stretch>
                      <a:fillRect/>
                    </a:stretch>
                  </pic:blipFill>
                  <pic:spPr>
                    <a:xfrm>
                      <a:off x="0" y="0"/>
                      <a:ext cx="6858000" cy="3581400"/>
                    </a:xfrm>
                    <a:prstGeom prst="rect">
                      <a:avLst/>
                    </a:prstGeom>
                  </pic:spPr>
                </pic:pic>
              </a:graphicData>
            </a:graphic>
          </wp:inline>
        </w:drawing>
      </w:r>
    </w:p>
    <w:p w14:paraId="545B3EFC" w14:textId="48A2576D" w:rsidR="00195C33" w:rsidRDefault="00195C33" w:rsidP="00964E47">
      <w:pPr>
        <w:pStyle w:val="ListParagraph"/>
        <w:rPr>
          <w:lang w:val="en-GB"/>
        </w:rPr>
      </w:pPr>
    </w:p>
    <w:p w14:paraId="1700CD10" w14:textId="14C797D6" w:rsidR="00F70A86" w:rsidRDefault="00F70A86" w:rsidP="00964E47">
      <w:pPr>
        <w:pStyle w:val="ListParagraph"/>
        <w:rPr>
          <w:lang w:val="en-GB"/>
        </w:rPr>
      </w:pPr>
    </w:p>
    <w:p w14:paraId="1837942C" w14:textId="273C1D2D" w:rsidR="007242F9" w:rsidRDefault="007242F9" w:rsidP="00F907F4">
      <w:pPr>
        <w:pStyle w:val="ListParagraph"/>
        <w:rPr>
          <w:lang w:val="en-GB"/>
        </w:rPr>
      </w:pPr>
    </w:p>
    <w:p w14:paraId="5567DD36" w14:textId="1C2A171F" w:rsidR="002B1AE4" w:rsidRDefault="002B1AE4" w:rsidP="000723B3">
      <w:pPr>
        <w:ind w:left="284"/>
      </w:pPr>
      <w:r>
        <w:t xml:space="preserve">FICO surveyed 1,000 people each in 14 countries: South Africa, the USA, Canada, Brazil, Mexico, Colombia, Peru, Philippines, Malaysia, Thailand, Indonesia, South Africa, Germany, the </w:t>
      </w:r>
      <w:proofErr w:type="gramStart"/>
      <w:r>
        <w:t>UK</w:t>
      </w:r>
      <w:proofErr w:type="gramEnd"/>
      <w:r>
        <w:t xml:space="preserve"> and Sweden.</w:t>
      </w:r>
    </w:p>
    <w:p w14:paraId="3F6DA2A4" w14:textId="0C9E5296" w:rsidR="002B1AE4" w:rsidRDefault="002B1AE4" w:rsidP="000723B3">
      <w:pPr>
        <w:pStyle w:val="ListParagraph"/>
        <w:ind w:left="284"/>
        <w:rPr>
          <w:lang w:val="en-GB"/>
        </w:rPr>
      </w:pPr>
    </w:p>
    <w:p w14:paraId="0A937DC8" w14:textId="77777777" w:rsidR="0065765F" w:rsidRPr="004A1D2C" w:rsidRDefault="0065765F" w:rsidP="000723B3">
      <w:pPr>
        <w:spacing w:after="240"/>
        <w:ind w:left="284"/>
        <w:rPr>
          <w:rFonts w:cstheme="minorHAnsi"/>
          <w:b/>
          <w:bCs/>
        </w:rPr>
      </w:pPr>
      <w:r w:rsidRPr="004A1D2C">
        <w:rPr>
          <w:rFonts w:cstheme="minorHAnsi"/>
          <w:b/>
          <w:bCs/>
        </w:rPr>
        <w:t>About FICO</w:t>
      </w:r>
    </w:p>
    <w:p w14:paraId="574D0758" w14:textId="77777777" w:rsidR="0065765F" w:rsidRPr="004A1D2C" w:rsidRDefault="0065765F" w:rsidP="000723B3">
      <w:pPr>
        <w:spacing w:after="240"/>
        <w:ind w:left="284"/>
        <w:rPr>
          <w:rFonts w:cstheme="minorHAnsi"/>
        </w:rPr>
      </w:pPr>
      <w:r w:rsidRPr="004A1D2C">
        <w:rPr>
          <w:rFonts w:eastAsia="Times New Roman" w:cstheme="minorHAnsi"/>
          <w:color w:val="111111"/>
          <w:lang w:val="en"/>
        </w:rPr>
        <w:t xml:space="preserve">FICO (NYSE: FICO) powers decisions that help people and businesses around the world prosper. Founded in 1956, the company is a pioneer in the use of predictive analytics and data science to improve operational decisions. FICO holds more than 200 US and foreign patents on technologies that increase profitability, customer satisfaction and growth for businesses in financial services, telecommunications, health care, </w:t>
      </w:r>
      <w:proofErr w:type="gramStart"/>
      <w:r w:rsidRPr="004A1D2C">
        <w:rPr>
          <w:rFonts w:eastAsia="Times New Roman" w:cstheme="minorHAnsi"/>
          <w:color w:val="111111"/>
          <w:lang w:val="en"/>
        </w:rPr>
        <w:t>retail</w:t>
      </w:r>
      <w:proofErr w:type="gramEnd"/>
      <w:r w:rsidRPr="004A1D2C">
        <w:rPr>
          <w:rFonts w:eastAsia="Times New Roman" w:cstheme="minorHAnsi"/>
          <w:color w:val="111111"/>
          <w:lang w:val="en"/>
        </w:rPr>
        <w:t xml:space="preserve"> and many other industries. Using FICO solutions, businesses in more than 120 countries do everything from protecting 2.6 billion payment cards from fraud, to helping people get credit, to ensuring that millions of airplanes and rental cars are in the right place at the right time. </w:t>
      </w:r>
      <w:r w:rsidRPr="004A1D2C">
        <w:rPr>
          <w:rFonts w:cstheme="minorHAnsi"/>
        </w:rPr>
        <w:t xml:space="preserve">Learn more at </w:t>
      </w:r>
      <w:hyperlink r:id="rId12" w:history="1">
        <w:r w:rsidRPr="004A1D2C">
          <w:rPr>
            <w:rStyle w:val="Hyperlink"/>
            <w:rFonts w:cstheme="minorHAnsi"/>
          </w:rPr>
          <w:t>http://www.fico.com</w:t>
        </w:r>
      </w:hyperlink>
      <w:r w:rsidRPr="004A1D2C">
        <w:rPr>
          <w:rFonts w:cstheme="minorHAnsi"/>
        </w:rPr>
        <w:t>.</w:t>
      </w:r>
    </w:p>
    <w:p w14:paraId="411FA2D2" w14:textId="77777777" w:rsidR="0065765F" w:rsidRPr="004A1D2C" w:rsidRDefault="0065765F" w:rsidP="000723B3">
      <w:pPr>
        <w:spacing w:after="240"/>
        <w:ind w:left="284"/>
        <w:rPr>
          <w:rFonts w:cstheme="minorHAnsi"/>
        </w:rPr>
      </w:pPr>
      <w:r w:rsidRPr="004A1D2C">
        <w:rPr>
          <w:rFonts w:cstheme="minorHAnsi"/>
        </w:rPr>
        <w:t>Join the conversation at https://twitter.com/fico &amp; http://www.fico.com/en/blogs/.</w:t>
      </w:r>
    </w:p>
    <w:p w14:paraId="75B622AF" w14:textId="77777777" w:rsidR="0065765F" w:rsidRPr="004A1D2C" w:rsidRDefault="0065765F" w:rsidP="000723B3">
      <w:pPr>
        <w:spacing w:after="240"/>
        <w:ind w:left="284"/>
        <w:rPr>
          <w:rFonts w:cstheme="minorHAnsi"/>
        </w:rPr>
      </w:pPr>
      <w:r w:rsidRPr="004A1D2C">
        <w:rPr>
          <w:rFonts w:cstheme="minorHAnsi"/>
        </w:rPr>
        <w:t>For FICO news and media resources, visit www.fico.com/news.</w:t>
      </w:r>
    </w:p>
    <w:p w14:paraId="675D8FF4" w14:textId="77777777" w:rsidR="0065765F" w:rsidRDefault="0065765F" w:rsidP="000723B3">
      <w:pPr>
        <w:spacing w:after="240"/>
        <w:ind w:left="284"/>
        <w:rPr>
          <w:rFonts w:cstheme="minorHAnsi"/>
        </w:rPr>
      </w:pPr>
      <w:r w:rsidRPr="004A1D2C">
        <w:rPr>
          <w:rFonts w:cstheme="minorHAnsi"/>
        </w:rPr>
        <w:t>FICO is a registered trademark of Fair Isaac Corporation in the United States and in other countries.</w:t>
      </w:r>
    </w:p>
    <w:p w14:paraId="0B687190" w14:textId="77777777" w:rsidR="0065765F" w:rsidRPr="002923FF" w:rsidRDefault="0065765F" w:rsidP="000723B3">
      <w:pPr>
        <w:spacing w:after="240"/>
        <w:ind w:left="284"/>
        <w:rPr>
          <w:rFonts w:eastAsia="Times New Roman" w:cstheme="minorHAnsi"/>
          <w:b/>
          <w:bCs/>
          <w:color w:val="111111"/>
        </w:rPr>
      </w:pPr>
      <w:r w:rsidRPr="002923FF">
        <w:rPr>
          <w:rFonts w:eastAsia="Times New Roman" w:cstheme="minorHAnsi"/>
          <w:b/>
          <w:bCs/>
          <w:color w:val="111111"/>
        </w:rPr>
        <w:t>Media Contact:</w:t>
      </w:r>
    </w:p>
    <w:p w14:paraId="40D966B2" w14:textId="77777777" w:rsidR="0065765F" w:rsidRDefault="0065765F" w:rsidP="000723B3">
      <w:pPr>
        <w:pStyle w:val="paragraph"/>
        <w:spacing w:before="0" w:beforeAutospacing="0" w:after="0" w:afterAutospacing="0"/>
        <w:ind w:left="284"/>
        <w:textAlignment w:val="baseline"/>
        <w:rPr>
          <w:rFonts w:ascii="Segoe UI" w:hAnsi="Segoe UI" w:cs="Segoe UI"/>
          <w:sz w:val="18"/>
          <w:szCs w:val="18"/>
        </w:rPr>
      </w:pPr>
      <w:r>
        <w:rPr>
          <w:rStyle w:val="normaltextrun"/>
          <w:rFonts w:cs="Arial"/>
          <w:b/>
          <w:bCs/>
          <w:color w:val="111111"/>
          <w:lang w:val="en"/>
        </w:rPr>
        <w:t>FICO SA PR Team</w:t>
      </w:r>
      <w:r>
        <w:rPr>
          <w:rStyle w:val="eop"/>
          <w:rFonts w:ascii="Arial" w:hAnsi="Arial" w:cs="Arial"/>
          <w:color w:val="111111"/>
        </w:rPr>
        <w:t> </w:t>
      </w:r>
    </w:p>
    <w:p w14:paraId="6F459C25" w14:textId="65A48B10" w:rsidR="0065765F" w:rsidRDefault="00D412E9" w:rsidP="000723B3">
      <w:pPr>
        <w:pStyle w:val="paragraph"/>
        <w:spacing w:before="0" w:beforeAutospacing="0" w:after="0" w:afterAutospacing="0"/>
        <w:ind w:left="284"/>
        <w:textAlignment w:val="baseline"/>
        <w:rPr>
          <w:rFonts w:ascii="Segoe UI" w:hAnsi="Segoe UI" w:cs="Segoe UI"/>
          <w:sz w:val="18"/>
          <w:szCs w:val="18"/>
        </w:rPr>
      </w:pPr>
      <w:r>
        <w:rPr>
          <w:rStyle w:val="normaltextrun"/>
          <w:rFonts w:cs="Arial"/>
          <w:color w:val="111111"/>
          <w:lang w:val="en"/>
        </w:rPr>
        <w:t xml:space="preserve">Nichollars </w:t>
      </w:r>
      <w:r w:rsidR="0065765F">
        <w:rPr>
          <w:rStyle w:val="normaltextrun"/>
          <w:rFonts w:cs="Arial"/>
          <w:color w:val="111111"/>
          <w:lang w:val="en"/>
        </w:rPr>
        <w:t xml:space="preserve">or Angela </w:t>
      </w:r>
      <w:proofErr w:type="spellStart"/>
      <w:r w:rsidR="0065765F">
        <w:rPr>
          <w:rStyle w:val="normaltextrun"/>
          <w:rFonts w:cs="Arial"/>
          <w:color w:val="111111"/>
          <w:lang w:val="en"/>
        </w:rPr>
        <w:t>Moabelo</w:t>
      </w:r>
      <w:proofErr w:type="spellEnd"/>
      <w:r w:rsidR="0065765F">
        <w:rPr>
          <w:rStyle w:val="normaltextrun"/>
          <w:rFonts w:cs="Arial"/>
          <w:color w:val="111111"/>
          <w:lang w:val="en"/>
        </w:rPr>
        <w:t xml:space="preserve"> </w:t>
      </w:r>
    </w:p>
    <w:p w14:paraId="5C841D58" w14:textId="77777777" w:rsidR="0065765F" w:rsidRDefault="00000000" w:rsidP="000723B3">
      <w:pPr>
        <w:pStyle w:val="paragraph"/>
        <w:spacing w:before="0" w:beforeAutospacing="0" w:after="0" w:afterAutospacing="0"/>
        <w:ind w:left="284"/>
        <w:textAlignment w:val="baseline"/>
      </w:pPr>
      <w:hyperlink r:id="rId13" w:history="1">
        <w:r w:rsidR="0065765F" w:rsidRPr="00D279DE">
          <w:rPr>
            <w:rStyle w:val="Hyperlink"/>
          </w:rPr>
          <w:t>fico@britespark.co.za</w:t>
        </w:r>
      </w:hyperlink>
      <w:r w:rsidR="0065765F">
        <w:t xml:space="preserve"> </w:t>
      </w:r>
    </w:p>
    <w:p w14:paraId="53669401" w14:textId="77777777" w:rsidR="0065765F" w:rsidRDefault="00000000" w:rsidP="000723B3">
      <w:pPr>
        <w:pStyle w:val="paragraph"/>
        <w:spacing w:before="0" w:beforeAutospacing="0" w:after="0" w:afterAutospacing="0"/>
        <w:ind w:left="284"/>
        <w:textAlignment w:val="baseline"/>
      </w:pPr>
      <w:hyperlink r:id="rId14" w:history="1">
        <w:r w:rsidR="0065765F" w:rsidRPr="00D279DE">
          <w:rPr>
            <w:rStyle w:val="Hyperlink"/>
          </w:rPr>
          <w:t>amakholwa@britespark.co.za</w:t>
        </w:r>
      </w:hyperlink>
      <w:r w:rsidR="0065765F">
        <w:t xml:space="preserve"> </w:t>
      </w:r>
    </w:p>
    <w:p w14:paraId="00ABAAC7" w14:textId="77777777" w:rsidR="0020286D" w:rsidRPr="00B779A8" w:rsidRDefault="0020286D" w:rsidP="000723B3">
      <w:pPr>
        <w:pStyle w:val="ListParagraph"/>
        <w:ind w:left="284"/>
        <w:rPr>
          <w:lang w:val="en-GB"/>
        </w:rPr>
      </w:pPr>
    </w:p>
    <w:sectPr w:rsidR="0020286D" w:rsidRPr="00B779A8" w:rsidSect="00921871">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59CB1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EB642F"/>
    <w:multiLevelType w:val="hybridMultilevel"/>
    <w:tmpl w:val="34609E8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1EF73215"/>
    <w:multiLevelType w:val="hybridMultilevel"/>
    <w:tmpl w:val="262C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DD355F"/>
    <w:multiLevelType w:val="hybridMultilevel"/>
    <w:tmpl w:val="B756133C"/>
    <w:lvl w:ilvl="0" w:tplc="2264D0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05093528">
    <w:abstractNumId w:val="2"/>
  </w:num>
  <w:num w:numId="2" w16cid:durableId="2009017450">
    <w:abstractNumId w:val="3"/>
  </w:num>
  <w:num w:numId="3" w16cid:durableId="957761016">
    <w:abstractNumId w:val="0"/>
  </w:num>
  <w:num w:numId="4" w16cid:durableId="2094084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8DB"/>
    <w:rsid w:val="00057A6E"/>
    <w:rsid w:val="00062FFD"/>
    <w:rsid w:val="0007028E"/>
    <w:rsid w:val="000723B3"/>
    <w:rsid w:val="00082B8D"/>
    <w:rsid w:val="000A2645"/>
    <w:rsid w:val="000B3EA8"/>
    <w:rsid w:val="000B6F34"/>
    <w:rsid w:val="000B72C5"/>
    <w:rsid w:val="000C14CA"/>
    <w:rsid w:val="000F1DBD"/>
    <w:rsid w:val="000F324E"/>
    <w:rsid w:val="00127505"/>
    <w:rsid w:val="00156623"/>
    <w:rsid w:val="00160D64"/>
    <w:rsid w:val="00165E18"/>
    <w:rsid w:val="00174E68"/>
    <w:rsid w:val="00195C33"/>
    <w:rsid w:val="001C4CA8"/>
    <w:rsid w:val="0020286D"/>
    <w:rsid w:val="002047F2"/>
    <w:rsid w:val="00207E49"/>
    <w:rsid w:val="002175FE"/>
    <w:rsid w:val="00236B9C"/>
    <w:rsid w:val="00257BB9"/>
    <w:rsid w:val="002608DB"/>
    <w:rsid w:val="0028207C"/>
    <w:rsid w:val="0029267E"/>
    <w:rsid w:val="00296DBA"/>
    <w:rsid w:val="002A7D55"/>
    <w:rsid w:val="002B1AE4"/>
    <w:rsid w:val="002B50FC"/>
    <w:rsid w:val="002F5725"/>
    <w:rsid w:val="00361152"/>
    <w:rsid w:val="003B50DB"/>
    <w:rsid w:val="003C4686"/>
    <w:rsid w:val="003C76F4"/>
    <w:rsid w:val="003F7175"/>
    <w:rsid w:val="00407820"/>
    <w:rsid w:val="00410146"/>
    <w:rsid w:val="00411C31"/>
    <w:rsid w:val="00456B8A"/>
    <w:rsid w:val="0047234B"/>
    <w:rsid w:val="00492A50"/>
    <w:rsid w:val="004971FD"/>
    <w:rsid w:val="004A0C8E"/>
    <w:rsid w:val="004B7B28"/>
    <w:rsid w:val="004C0A7A"/>
    <w:rsid w:val="004C74AD"/>
    <w:rsid w:val="004D5C21"/>
    <w:rsid w:val="004F76C2"/>
    <w:rsid w:val="005218CE"/>
    <w:rsid w:val="0056786C"/>
    <w:rsid w:val="005A345E"/>
    <w:rsid w:val="005D1515"/>
    <w:rsid w:val="00606451"/>
    <w:rsid w:val="006443B0"/>
    <w:rsid w:val="0065765F"/>
    <w:rsid w:val="006A24A1"/>
    <w:rsid w:val="006B0C55"/>
    <w:rsid w:val="006E3F44"/>
    <w:rsid w:val="007037F5"/>
    <w:rsid w:val="007222A4"/>
    <w:rsid w:val="007242F9"/>
    <w:rsid w:val="007403A9"/>
    <w:rsid w:val="00746F34"/>
    <w:rsid w:val="00755F70"/>
    <w:rsid w:val="007576D0"/>
    <w:rsid w:val="0076337C"/>
    <w:rsid w:val="00776FAD"/>
    <w:rsid w:val="007B0764"/>
    <w:rsid w:val="007E08A0"/>
    <w:rsid w:val="007E1EF1"/>
    <w:rsid w:val="007E6F2C"/>
    <w:rsid w:val="007F26BB"/>
    <w:rsid w:val="0082274F"/>
    <w:rsid w:val="008511A7"/>
    <w:rsid w:val="00892231"/>
    <w:rsid w:val="008B1456"/>
    <w:rsid w:val="008B3C97"/>
    <w:rsid w:val="008F623E"/>
    <w:rsid w:val="00921871"/>
    <w:rsid w:val="009366DF"/>
    <w:rsid w:val="00963A40"/>
    <w:rsid w:val="00964E47"/>
    <w:rsid w:val="00974942"/>
    <w:rsid w:val="00994845"/>
    <w:rsid w:val="009B5B2F"/>
    <w:rsid w:val="009C122F"/>
    <w:rsid w:val="009C4D5F"/>
    <w:rsid w:val="009D5C81"/>
    <w:rsid w:val="00A2613B"/>
    <w:rsid w:val="00A8180B"/>
    <w:rsid w:val="00A92048"/>
    <w:rsid w:val="00A95CB2"/>
    <w:rsid w:val="00A9790D"/>
    <w:rsid w:val="00AF05BB"/>
    <w:rsid w:val="00B62B58"/>
    <w:rsid w:val="00B779A8"/>
    <w:rsid w:val="00B92E73"/>
    <w:rsid w:val="00BD274C"/>
    <w:rsid w:val="00C55EA9"/>
    <w:rsid w:val="00C73B32"/>
    <w:rsid w:val="00C81971"/>
    <w:rsid w:val="00C86029"/>
    <w:rsid w:val="00C96C14"/>
    <w:rsid w:val="00C97CBA"/>
    <w:rsid w:val="00CB16C6"/>
    <w:rsid w:val="00CD7A22"/>
    <w:rsid w:val="00D22F4D"/>
    <w:rsid w:val="00D27381"/>
    <w:rsid w:val="00D314A7"/>
    <w:rsid w:val="00D412E9"/>
    <w:rsid w:val="00D479A0"/>
    <w:rsid w:val="00D911E9"/>
    <w:rsid w:val="00DA08E8"/>
    <w:rsid w:val="00DF1E03"/>
    <w:rsid w:val="00DF5C2A"/>
    <w:rsid w:val="00E06681"/>
    <w:rsid w:val="00E15B5F"/>
    <w:rsid w:val="00E16F9C"/>
    <w:rsid w:val="00E524BD"/>
    <w:rsid w:val="00EB0A75"/>
    <w:rsid w:val="00EC3C6C"/>
    <w:rsid w:val="00EE6793"/>
    <w:rsid w:val="00F313F1"/>
    <w:rsid w:val="00F63640"/>
    <w:rsid w:val="00F70A86"/>
    <w:rsid w:val="00F72923"/>
    <w:rsid w:val="00F907F4"/>
    <w:rsid w:val="00FB0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38A76"/>
  <w15:chartTrackingRefBased/>
  <w15:docId w15:val="{8D60FCD9-F925-4C0D-B81A-43828E28E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B8A"/>
    <w:rPr>
      <w:lang w:val="en-ZA"/>
    </w:rPr>
  </w:style>
  <w:style w:type="paragraph" w:styleId="Heading1">
    <w:name w:val="heading 1"/>
    <w:basedOn w:val="Normal"/>
    <w:next w:val="Normal"/>
    <w:link w:val="Heading1Char"/>
    <w:qFormat/>
    <w:rsid w:val="001C4CA8"/>
    <w:pPr>
      <w:keepNext/>
      <w:spacing w:line="360" w:lineRule="atLeast"/>
      <w:outlineLvl w:val="0"/>
    </w:pPr>
    <w:rPr>
      <w:rFonts w:ascii="Arial" w:eastAsia="Times New Roman" w:hAnsi="Arial" w:cs="Arial"/>
      <w:b/>
      <w:bCs/>
      <w:kern w:val="32"/>
      <w:sz w:val="28"/>
      <w:szCs w:val="32"/>
      <w:lang w:val="en-US"/>
    </w:rPr>
  </w:style>
  <w:style w:type="paragraph" w:styleId="Heading2">
    <w:name w:val="heading 2"/>
    <w:basedOn w:val="Heading1"/>
    <w:next w:val="Normal"/>
    <w:link w:val="Heading2Char"/>
    <w:qFormat/>
    <w:rsid w:val="001C4CA8"/>
    <w:pPr>
      <w:spacing w:before="240" w:after="80" w:line="260" w:lineRule="atLeast"/>
      <w:outlineLvl w:val="1"/>
    </w:pPr>
    <w:rPr>
      <w:bCs w:val="0"/>
      <w:iCs/>
      <w:sz w:val="24"/>
      <w:szCs w:val="28"/>
    </w:rPr>
  </w:style>
  <w:style w:type="paragraph" w:styleId="Heading3">
    <w:name w:val="heading 3"/>
    <w:basedOn w:val="Heading1"/>
    <w:next w:val="Normal"/>
    <w:link w:val="Heading3Char"/>
    <w:qFormat/>
    <w:rsid w:val="001C4CA8"/>
    <w:pPr>
      <w:spacing w:before="240" w:after="80" w:line="260" w:lineRule="atLeast"/>
      <w:outlineLvl w:val="2"/>
    </w:pPr>
    <w:rPr>
      <w:bCs w:val="0"/>
      <w:sz w:val="20"/>
      <w:szCs w:val="26"/>
    </w:rPr>
  </w:style>
  <w:style w:type="character" w:default="1" w:styleId="DefaultParagraphFont">
    <w:name w:val="Default Paragraph Font"/>
    <w:uiPriority w:val="1"/>
    <w:semiHidden/>
    <w:unhideWhenUsed/>
    <w:rsid w:val="00456B8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56B8A"/>
  </w:style>
  <w:style w:type="paragraph" w:styleId="ListParagraph">
    <w:name w:val="List Paragraph"/>
    <w:basedOn w:val="Normal"/>
    <w:uiPriority w:val="34"/>
    <w:qFormat/>
    <w:rsid w:val="001C4CA8"/>
    <w:pPr>
      <w:spacing w:line="240" w:lineRule="atLeast"/>
      <w:ind w:left="720"/>
      <w:contextualSpacing/>
    </w:pPr>
    <w:rPr>
      <w:rFonts w:ascii="Arial" w:eastAsia="Times New Roman" w:hAnsi="Arial" w:cs="Times New Roman"/>
      <w:sz w:val="20"/>
      <w:szCs w:val="24"/>
      <w:lang w:val="en-US"/>
    </w:rPr>
  </w:style>
  <w:style w:type="paragraph" w:styleId="Revision">
    <w:name w:val="Revision"/>
    <w:hidden/>
    <w:uiPriority w:val="99"/>
    <w:semiHidden/>
    <w:rsid w:val="0065765F"/>
    <w:pPr>
      <w:spacing w:after="0" w:line="240" w:lineRule="auto"/>
    </w:pPr>
  </w:style>
  <w:style w:type="character" w:styleId="Hyperlink">
    <w:name w:val="Hyperlink"/>
    <w:basedOn w:val="DefaultParagraphFont"/>
    <w:uiPriority w:val="99"/>
    <w:unhideWhenUsed/>
    <w:rsid w:val="0065765F"/>
    <w:rPr>
      <w:color w:val="0563C1" w:themeColor="hyperlink"/>
      <w:u w:val="single"/>
    </w:rPr>
  </w:style>
  <w:style w:type="paragraph" w:customStyle="1" w:styleId="paragraph">
    <w:name w:val="paragraph"/>
    <w:basedOn w:val="Normal"/>
    <w:rsid w:val="0065765F"/>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65765F"/>
  </w:style>
  <w:style w:type="character" w:customStyle="1" w:styleId="eop">
    <w:name w:val="eop"/>
    <w:basedOn w:val="DefaultParagraphFont"/>
    <w:rsid w:val="0065765F"/>
  </w:style>
  <w:style w:type="character" w:styleId="CommentReference">
    <w:name w:val="annotation reference"/>
    <w:basedOn w:val="DefaultParagraphFont"/>
    <w:uiPriority w:val="99"/>
    <w:semiHidden/>
    <w:unhideWhenUsed/>
    <w:rsid w:val="002047F2"/>
    <w:rPr>
      <w:sz w:val="16"/>
      <w:szCs w:val="16"/>
    </w:rPr>
  </w:style>
  <w:style w:type="paragraph" w:styleId="CommentText">
    <w:name w:val="annotation text"/>
    <w:basedOn w:val="Normal"/>
    <w:link w:val="CommentTextChar"/>
    <w:uiPriority w:val="99"/>
    <w:unhideWhenUsed/>
    <w:rsid w:val="002047F2"/>
    <w:rPr>
      <w:sz w:val="20"/>
      <w:szCs w:val="20"/>
    </w:rPr>
  </w:style>
  <w:style w:type="character" w:customStyle="1" w:styleId="CommentTextChar">
    <w:name w:val="Comment Text Char"/>
    <w:basedOn w:val="DefaultParagraphFont"/>
    <w:link w:val="CommentText"/>
    <w:uiPriority w:val="99"/>
    <w:rsid w:val="002047F2"/>
    <w:rPr>
      <w:sz w:val="20"/>
      <w:szCs w:val="20"/>
    </w:rPr>
  </w:style>
  <w:style w:type="paragraph" w:styleId="CommentSubject">
    <w:name w:val="annotation subject"/>
    <w:basedOn w:val="CommentText"/>
    <w:next w:val="CommentText"/>
    <w:link w:val="CommentSubjectChar"/>
    <w:uiPriority w:val="99"/>
    <w:semiHidden/>
    <w:unhideWhenUsed/>
    <w:rsid w:val="002047F2"/>
    <w:rPr>
      <w:b/>
      <w:bCs/>
    </w:rPr>
  </w:style>
  <w:style w:type="character" w:customStyle="1" w:styleId="CommentSubjectChar">
    <w:name w:val="Comment Subject Char"/>
    <w:basedOn w:val="CommentTextChar"/>
    <w:link w:val="CommentSubject"/>
    <w:uiPriority w:val="99"/>
    <w:semiHidden/>
    <w:rsid w:val="002047F2"/>
    <w:rPr>
      <w:b/>
      <w:bCs/>
      <w:sz w:val="20"/>
      <w:szCs w:val="20"/>
    </w:rPr>
  </w:style>
  <w:style w:type="table" w:styleId="TableGrid">
    <w:name w:val="Table Grid"/>
    <w:basedOn w:val="TableNormal"/>
    <w:rsid w:val="00204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C4CA8"/>
    <w:rPr>
      <w:rFonts w:ascii="Arial" w:eastAsia="Times New Roman" w:hAnsi="Arial" w:cs="Arial"/>
      <w:b/>
      <w:bCs/>
      <w:kern w:val="32"/>
      <w:sz w:val="28"/>
      <w:szCs w:val="32"/>
      <w:lang w:eastAsia="en-GB"/>
    </w:rPr>
  </w:style>
  <w:style w:type="character" w:customStyle="1" w:styleId="Heading2Char">
    <w:name w:val="Heading 2 Char"/>
    <w:basedOn w:val="DefaultParagraphFont"/>
    <w:link w:val="Heading2"/>
    <w:rsid w:val="001C4CA8"/>
    <w:rPr>
      <w:rFonts w:ascii="Arial" w:eastAsia="Times New Roman" w:hAnsi="Arial" w:cs="Arial"/>
      <w:b/>
      <w:iCs/>
      <w:kern w:val="32"/>
      <w:sz w:val="24"/>
      <w:szCs w:val="28"/>
      <w:lang w:eastAsia="en-GB"/>
    </w:rPr>
  </w:style>
  <w:style w:type="character" w:customStyle="1" w:styleId="Heading3Char">
    <w:name w:val="Heading 3 Char"/>
    <w:basedOn w:val="DefaultParagraphFont"/>
    <w:link w:val="Heading3"/>
    <w:rsid w:val="001C4CA8"/>
    <w:rPr>
      <w:rFonts w:ascii="Arial" w:eastAsia="Times New Roman" w:hAnsi="Arial" w:cs="Arial"/>
      <w:b/>
      <w:kern w:val="32"/>
      <w:sz w:val="20"/>
      <w:szCs w:val="26"/>
      <w:lang w:eastAsia="en-GB"/>
    </w:rPr>
  </w:style>
  <w:style w:type="paragraph" w:styleId="BodyText">
    <w:name w:val="Body Text"/>
    <w:basedOn w:val="Normal"/>
    <w:link w:val="BodyTextChar"/>
    <w:rsid w:val="001C4CA8"/>
    <w:pPr>
      <w:spacing w:line="240" w:lineRule="atLeast"/>
    </w:pPr>
    <w:rPr>
      <w:rFonts w:ascii="Arial" w:eastAsia="Times New Roman" w:hAnsi="Arial" w:cs="Times New Roman"/>
      <w:sz w:val="20"/>
      <w:szCs w:val="24"/>
      <w:lang w:val="en-US"/>
    </w:rPr>
  </w:style>
  <w:style w:type="character" w:customStyle="1" w:styleId="BodyTextChar">
    <w:name w:val="Body Text Char"/>
    <w:basedOn w:val="DefaultParagraphFont"/>
    <w:link w:val="BodyText"/>
    <w:rsid w:val="001C4CA8"/>
    <w:rPr>
      <w:rFonts w:ascii="Arial" w:eastAsia="Times New Roman" w:hAnsi="Arial" w:cs="Times New Roman"/>
      <w:sz w:val="20"/>
      <w:szCs w:val="24"/>
      <w:lang w:eastAsia="en-GB"/>
    </w:rPr>
  </w:style>
  <w:style w:type="paragraph" w:styleId="Footer">
    <w:name w:val="footer"/>
    <w:basedOn w:val="Normal"/>
    <w:link w:val="FooterChar"/>
    <w:rsid w:val="001C4CA8"/>
    <w:pPr>
      <w:tabs>
        <w:tab w:val="center" w:pos="4320"/>
        <w:tab w:val="right" w:pos="8640"/>
      </w:tabs>
      <w:spacing w:after="0" w:line="180" w:lineRule="atLeast"/>
    </w:pPr>
    <w:rPr>
      <w:rFonts w:ascii="Arial" w:eastAsia="Times New Roman" w:hAnsi="Arial" w:cs="Times New Roman"/>
      <w:sz w:val="16"/>
      <w:szCs w:val="24"/>
      <w:lang w:val="en-US"/>
    </w:rPr>
  </w:style>
  <w:style w:type="character" w:customStyle="1" w:styleId="FooterChar">
    <w:name w:val="Footer Char"/>
    <w:basedOn w:val="DefaultParagraphFont"/>
    <w:link w:val="Footer"/>
    <w:rsid w:val="001C4CA8"/>
    <w:rPr>
      <w:rFonts w:ascii="Arial" w:eastAsia="Times New Roman" w:hAnsi="Arial" w:cs="Times New Roman"/>
      <w:sz w:val="16"/>
      <w:szCs w:val="24"/>
      <w:lang w:eastAsia="en-GB"/>
    </w:rPr>
  </w:style>
  <w:style w:type="paragraph" w:styleId="Header">
    <w:name w:val="header"/>
    <w:basedOn w:val="Normal"/>
    <w:link w:val="HeaderChar"/>
    <w:rsid w:val="001C4CA8"/>
    <w:pPr>
      <w:tabs>
        <w:tab w:val="center" w:pos="4320"/>
        <w:tab w:val="right" w:pos="8640"/>
      </w:tabs>
      <w:spacing w:after="0" w:line="360" w:lineRule="atLeast"/>
    </w:pPr>
    <w:rPr>
      <w:rFonts w:ascii="Arial" w:eastAsia="Times New Roman" w:hAnsi="Arial" w:cs="Times New Roman"/>
      <w:sz w:val="16"/>
      <w:szCs w:val="24"/>
      <w:lang w:val="en-US"/>
    </w:rPr>
  </w:style>
  <w:style w:type="character" w:customStyle="1" w:styleId="HeaderChar">
    <w:name w:val="Header Char"/>
    <w:basedOn w:val="DefaultParagraphFont"/>
    <w:link w:val="Header"/>
    <w:rsid w:val="001C4CA8"/>
    <w:rPr>
      <w:rFonts w:ascii="Arial" w:eastAsia="Times New Roman" w:hAnsi="Arial" w:cs="Times New Roman"/>
      <w:sz w:val="16"/>
      <w:szCs w:val="24"/>
      <w:lang w:eastAsia="en-GB"/>
    </w:rPr>
  </w:style>
  <w:style w:type="paragraph" w:styleId="ListBullet">
    <w:name w:val="List Bullet"/>
    <w:basedOn w:val="Normal"/>
    <w:rsid w:val="001C4CA8"/>
    <w:pPr>
      <w:numPr>
        <w:numId w:val="3"/>
      </w:numPr>
      <w:spacing w:line="240" w:lineRule="atLeast"/>
    </w:pPr>
    <w:rPr>
      <w:rFonts w:ascii="Arial" w:eastAsia="Times New Roman" w:hAnsi="Arial" w:cs="Times New Roman"/>
      <w:sz w:val="20"/>
      <w:szCs w:val="24"/>
      <w:lang w:val="en-US"/>
    </w:rPr>
  </w:style>
  <w:style w:type="character" w:styleId="UnresolvedMention">
    <w:name w:val="Unresolved Mention"/>
    <w:basedOn w:val="DefaultParagraphFont"/>
    <w:uiPriority w:val="99"/>
    <w:semiHidden/>
    <w:unhideWhenUsed/>
    <w:rsid w:val="006443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fico@britespark.co.za"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fico.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fico.com/en/latest-thinking/ebook/consumer-survey-2022-fraud-identity-and-digital-banking-south-africa" TargetMode="External"/><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mailto:amakholwa@britespark.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1187</Words>
  <Characters>6769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Rutherford</dc:creator>
  <cp:keywords/>
  <dc:description/>
  <cp:lastModifiedBy>Nichollars Khoza</cp:lastModifiedBy>
  <cp:revision>2</cp:revision>
  <dcterms:created xsi:type="dcterms:W3CDTF">2022-11-15T10:48:00Z</dcterms:created>
  <dcterms:modified xsi:type="dcterms:W3CDTF">2022-11-15T10:48:00Z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02e552-5bac-4e77-a8f2-1e8fdcadcedf_Enabled">
    <vt:lpwstr>true</vt:lpwstr>
  </property>
  <property fmtid="{D5CDD505-2E9C-101B-9397-08002B2CF9AE}" pid="3" name="MSIP_Label_b002e552-5bac-4e77-a8f2-1e8fdcadcedf_SetDate">
    <vt:lpwstr>2022-07-26T13:31:55Z</vt:lpwstr>
  </property>
  <property fmtid="{D5CDD505-2E9C-101B-9397-08002B2CF9AE}" pid="4" name="MSIP_Label_b002e552-5bac-4e77-a8f2-1e8fdcadcedf_Method">
    <vt:lpwstr>Standard</vt:lpwstr>
  </property>
  <property fmtid="{D5CDD505-2E9C-101B-9397-08002B2CF9AE}" pid="5" name="MSIP_Label_b002e552-5bac-4e77-a8f2-1e8fdcadcedf_Name">
    <vt:lpwstr>defa4170-0d19-0005-0004-bc88714345d2</vt:lpwstr>
  </property>
  <property fmtid="{D5CDD505-2E9C-101B-9397-08002B2CF9AE}" pid="6" name="MSIP_Label_b002e552-5bac-4e77-a8f2-1e8fdcadcedf_SiteId">
    <vt:lpwstr>f9465cb1-7889-4d9a-b552-fdd0addf0eb1</vt:lpwstr>
  </property>
  <property fmtid="{D5CDD505-2E9C-101B-9397-08002B2CF9AE}" pid="7" name="MSIP_Label_b002e552-5bac-4e77-a8f2-1e8fdcadcedf_ActionId">
    <vt:lpwstr>d57baa88-4abc-4e00-b6f6-aac5b8e32202</vt:lpwstr>
  </property>
  <property fmtid="{D5CDD505-2E9C-101B-9397-08002B2CF9AE}" pid="8" name="MSIP_Label_b002e552-5bac-4e77-a8f2-1e8fdcadcedf_ContentBits">
    <vt:lpwstr>0</vt:lpwstr>
  </property>
</Properties>
</file>