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341E" w14:textId="7928ABB0" w:rsidR="00720E93" w:rsidRPr="00C27C51" w:rsidRDefault="00C27C51" w:rsidP="00C27C51">
      <w:pPr>
        <w:jc w:val="center"/>
        <w:rPr>
          <w:rFonts w:ascii="Verdana" w:hAnsi="Verdana"/>
          <w:b/>
          <w:bCs/>
          <w:sz w:val="20"/>
          <w:szCs w:val="20"/>
        </w:rPr>
      </w:pPr>
      <w:r w:rsidRPr="00C27C51">
        <w:rPr>
          <w:rFonts w:ascii="Verdana" w:hAnsi="Verdana"/>
          <w:b/>
          <w:bCs/>
          <w:sz w:val="20"/>
          <w:szCs w:val="20"/>
        </w:rPr>
        <w:t>South African Economic Outlook:</w:t>
      </w:r>
    </w:p>
    <w:p w14:paraId="284F6943" w14:textId="33E0E5C6" w:rsidR="00C27C51" w:rsidRPr="00C27C51" w:rsidRDefault="00C27C51" w:rsidP="00C27C51">
      <w:pPr>
        <w:jc w:val="center"/>
        <w:rPr>
          <w:rFonts w:ascii="Verdana" w:hAnsi="Verdana"/>
          <w:i/>
          <w:iCs/>
          <w:sz w:val="20"/>
          <w:szCs w:val="20"/>
        </w:rPr>
      </w:pPr>
      <w:r w:rsidRPr="00C27C51">
        <w:rPr>
          <w:rFonts w:ascii="Verdana" w:hAnsi="Verdana"/>
          <w:i/>
          <w:iCs/>
          <w:sz w:val="20"/>
          <w:szCs w:val="20"/>
        </w:rPr>
        <w:t>Frank Blackmore, Lead economist at KPMG</w:t>
      </w:r>
    </w:p>
    <w:p w14:paraId="55DBA203" w14:textId="77777777" w:rsidR="00C27C51" w:rsidRPr="00C27C51" w:rsidRDefault="00C27C51" w:rsidP="00C27C51">
      <w:pPr>
        <w:jc w:val="both"/>
        <w:rPr>
          <w:rFonts w:ascii="Verdana" w:hAnsi="Verdana"/>
          <w:b/>
          <w:bCs/>
          <w:sz w:val="20"/>
          <w:szCs w:val="20"/>
        </w:rPr>
      </w:pPr>
    </w:p>
    <w:p w14:paraId="3BB0789B" w14:textId="5910EAD6" w:rsidR="006F18EE" w:rsidRPr="00C27C51" w:rsidRDefault="001034DC" w:rsidP="00C27C51">
      <w:pPr>
        <w:jc w:val="both"/>
        <w:rPr>
          <w:rFonts w:ascii="Verdana" w:hAnsi="Verdana"/>
          <w:b/>
          <w:bCs/>
          <w:sz w:val="20"/>
          <w:szCs w:val="20"/>
        </w:rPr>
      </w:pPr>
      <w:r w:rsidRPr="00C27C51">
        <w:rPr>
          <w:rFonts w:ascii="Verdana" w:hAnsi="Verdana"/>
          <w:b/>
          <w:bCs/>
          <w:sz w:val="20"/>
          <w:szCs w:val="20"/>
        </w:rPr>
        <w:t>C</w:t>
      </w:r>
      <w:r w:rsidR="00D174E1" w:rsidRPr="00C27C51">
        <w:rPr>
          <w:rFonts w:ascii="Verdana" w:hAnsi="Verdana"/>
          <w:b/>
          <w:bCs/>
          <w:sz w:val="20"/>
          <w:szCs w:val="20"/>
        </w:rPr>
        <w:t>ommodities</w:t>
      </w:r>
      <w:r w:rsidR="00C04AF1" w:rsidRPr="00C27C51">
        <w:rPr>
          <w:rFonts w:ascii="Verdana" w:hAnsi="Verdana"/>
          <w:b/>
          <w:bCs/>
          <w:sz w:val="20"/>
          <w:szCs w:val="20"/>
        </w:rPr>
        <w:t xml:space="preserve"> help</w:t>
      </w:r>
      <w:r w:rsidR="00F17D8C" w:rsidRPr="00C27C51">
        <w:rPr>
          <w:rFonts w:ascii="Verdana" w:hAnsi="Verdana"/>
          <w:b/>
          <w:bCs/>
          <w:sz w:val="20"/>
          <w:szCs w:val="20"/>
        </w:rPr>
        <w:t xml:space="preserve"> </w:t>
      </w:r>
      <w:r w:rsidRPr="00C27C51">
        <w:rPr>
          <w:rFonts w:ascii="Verdana" w:hAnsi="Verdana"/>
          <w:b/>
          <w:bCs/>
          <w:sz w:val="20"/>
          <w:szCs w:val="20"/>
        </w:rPr>
        <w:t xml:space="preserve">South Africa </w:t>
      </w:r>
      <w:r w:rsidR="00F17D8C" w:rsidRPr="00C27C51">
        <w:rPr>
          <w:rFonts w:ascii="Verdana" w:hAnsi="Verdana"/>
          <w:b/>
          <w:bCs/>
          <w:sz w:val="20"/>
          <w:szCs w:val="20"/>
        </w:rPr>
        <w:t>deal with global headwinds</w:t>
      </w:r>
      <w:r w:rsidR="00C27C51" w:rsidRPr="00C27C51">
        <w:rPr>
          <w:rFonts w:ascii="Verdana" w:hAnsi="Verdana"/>
          <w:b/>
          <w:bCs/>
          <w:sz w:val="20"/>
          <w:szCs w:val="20"/>
        </w:rPr>
        <w:t>:</w:t>
      </w:r>
    </w:p>
    <w:p w14:paraId="310E6357" w14:textId="4B7774A9" w:rsidR="0095466B" w:rsidRPr="00C27C51" w:rsidRDefault="0095466B" w:rsidP="00C27C51">
      <w:pPr>
        <w:jc w:val="both"/>
        <w:rPr>
          <w:rFonts w:ascii="Verdana" w:hAnsi="Verdana"/>
          <w:b/>
          <w:bCs/>
          <w:sz w:val="20"/>
          <w:szCs w:val="20"/>
        </w:rPr>
      </w:pPr>
      <w:r w:rsidRPr="00C27C51">
        <w:rPr>
          <w:rFonts w:ascii="Verdana" w:hAnsi="Verdana"/>
          <w:b/>
          <w:bCs/>
          <w:sz w:val="20"/>
          <w:szCs w:val="20"/>
        </w:rPr>
        <w:t>Summary paragraphs</w:t>
      </w:r>
      <w:r w:rsidR="00F67165" w:rsidRPr="00C27C51">
        <w:rPr>
          <w:rFonts w:ascii="Verdana" w:hAnsi="Verdana"/>
          <w:b/>
          <w:bCs/>
          <w:sz w:val="20"/>
          <w:szCs w:val="20"/>
        </w:rPr>
        <w:t>:</w:t>
      </w:r>
    </w:p>
    <w:p w14:paraId="72CBD512" w14:textId="0F33E328" w:rsidR="0095466B" w:rsidRPr="00C27C51" w:rsidRDefault="0095466B" w:rsidP="00C27C51">
      <w:pPr>
        <w:jc w:val="both"/>
        <w:rPr>
          <w:rFonts w:ascii="Verdana" w:hAnsi="Verdana"/>
          <w:sz w:val="20"/>
          <w:szCs w:val="20"/>
        </w:rPr>
      </w:pPr>
      <w:r w:rsidRPr="00C27C51">
        <w:rPr>
          <w:rFonts w:ascii="Verdana" w:hAnsi="Verdana"/>
          <w:sz w:val="20"/>
          <w:szCs w:val="20"/>
        </w:rPr>
        <w:t xml:space="preserve">- </w:t>
      </w:r>
      <w:r w:rsidR="00C04AF1" w:rsidRPr="00C27C51">
        <w:rPr>
          <w:rFonts w:ascii="Verdana" w:hAnsi="Verdana"/>
          <w:sz w:val="20"/>
          <w:szCs w:val="20"/>
        </w:rPr>
        <w:t>Economic growth back to pre-pandemic levels</w:t>
      </w:r>
    </w:p>
    <w:p w14:paraId="1BBFCB3C" w14:textId="41F28061" w:rsidR="00C04AF1" w:rsidRPr="00C27C51" w:rsidRDefault="00C04AF1" w:rsidP="00C27C51">
      <w:pPr>
        <w:jc w:val="both"/>
        <w:rPr>
          <w:rFonts w:ascii="Verdana" w:hAnsi="Verdana"/>
          <w:sz w:val="20"/>
          <w:szCs w:val="20"/>
        </w:rPr>
      </w:pPr>
      <w:r w:rsidRPr="00C27C51">
        <w:rPr>
          <w:rFonts w:ascii="Verdana" w:hAnsi="Verdana"/>
          <w:sz w:val="20"/>
          <w:szCs w:val="20"/>
        </w:rPr>
        <w:t xml:space="preserve">- Inflation to </w:t>
      </w:r>
      <w:r w:rsidR="00A9652F" w:rsidRPr="00C27C51">
        <w:rPr>
          <w:rFonts w:ascii="Verdana" w:hAnsi="Verdana"/>
          <w:sz w:val="20"/>
          <w:szCs w:val="20"/>
        </w:rPr>
        <w:t>peak in 2022 and then return to midpoint</w:t>
      </w:r>
      <w:r w:rsidRPr="00C27C51">
        <w:rPr>
          <w:rFonts w:ascii="Verdana" w:hAnsi="Verdana"/>
          <w:sz w:val="20"/>
          <w:szCs w:val="20"/>
        </w:rPr>
        <w:t xml:space="preserve"> of South Africa’s inflation target range</w:t>
      </w:r>
    </w:p>
    <w:p w14:paraId="529BBB80" w14:textId="5E30D112" w:rsidR="0095466B" w:rsidRPr="00C27C51" w:rsidRDefault="0095466B" w:rsidP="00C27C51">
      <w:pPr>
        <w:jc w:val="both"/>
        <w:rPr>
          <w:rFonts w:ascii="Verdana" w:hAnsi="Verdana"/>
          <w:sz w:val="20"/>
          <w:szCs w:val="20"/>
        </w:rPr>
      </w:pPr>
      <w:r w:rsidRPr="00C27C51">
        <w:rPr>
          <w:rFonts w:ascii="Verdana" w:hAnsi="Verdana"/>
          <w:sz w:val="20"/>
          <w:szCs w:val="20"/>
        </w:rPr>
        <w:t xml:space="preserve">- </w:t>
      </w:r>
      <w:r w:rsidR="00A9652F" w:rsidRPr="00C27C51">
        <w:rPr>
          <w:rFonts w:ascii="Verdana" w:hAnsi="Verdana"/>
          <w:sz w:val="20"/>
          <w:szCs w:val="20"/>
        </w:rPr>
        <w:t>Current account surplus continues as global growth expectations moderate</w:t>
      </w:r>
    </w:p>
    <w:p w14:paraId="0E070ED1" w14:textId="77777777" w:rsidR="0095466B" w:rsidRPr="00C27C51" w:rsidRDefault="0095466B" w:rsidP="00C27C51">
      <w:pPr>
        <w:jc w:val="both"/>
        <w:rPr>
          <w:rFonts w:ascii="Verdana" w:hAnsi="Verdana"/>
          <w:sz w:val="20"/>
          <w:szCs w:val="20"/>
        </w:rPr>
      </w:pPr>
    </w:p>
    <w:p w14:paraId="0424C683" w14:textId="259828C6" w:rsidR="00F67165" w:rsidRPr="00C27C51" w:rsidRDefault="0095466B" w:rsidP="00C27C51">
      <w:pPr>
        <w:jc w:val="both"/>
        <w:rPr>
          <w:rFonts w:ascii="Verdana" w:hAnsi="Verdana"/>
          <w:b/>
          <w:bCs/>
          <w:sz w:val="20"/>
          <w:szCs w:val="20"/>
        </w:rPr>
      </w:pPr>
      <w:r w:rsidRPr="00C27C51">
        <w:rPr>
          <w:rFonts w:ascii="Verdana" w:hAnsi="Verdana"/>
          <w:b/>
          <w:bCs/>
          <w:sz w:val="20"/>
          <w:szCs w:val="20"/>
        </w:rPr>
        <w:t xml:space="preserve">Table 1: </w:t>
      </w:r>
      <w:r w:rsidR="003D5EC3" w:rsidRPr="00C27C51">
        <w:rPr>
          <w:rFonts w:ascii="Verdana" w:hAnsi="Verdana"/>
          <w:b/>
          <w:bCs/>
          <w:sz w:val="20"/>
          <w:szCs w:val="20"/>
        </w:rPr>
        <w:t xml:space="preserve">KPMG forecasts for </w:t>
      </w:r>
      <w:r w:rsidR="006F5AAD" w:rsidRPr="00C27C51">
        <w:rPr>
          <w:rFonts w:ascii="Verdana" w:hAnsi="Verdana"/>
          <w:b/>
          <w:bCs/>
          <w:sz w:val="20"/>
          <w:szCs w:val="20"/>
        </w:rPr>
        <w:t>South Africa</w:t>
      </w:r>
    </w:p>
    <w:p w14:paraId="5789CD09" w14:textId="0478A831" w:rsidR="0095466B" w:rsidRPr="00C27C51" w:rsidRDefault="00F67165" w:rsidP="00C27C51">
      <w:pPr>
        <w:jc w:val="both"/>
        <w:rPr>
          <w:rFonts w:ascii="Verdana" w:hAnsi="Verdana"/>
          <w:b/>
          <w:bCs/>
          <w:sz w:val="20"/>
          <w:szCs w:val="20"/>
        </w:rPr>
      </w:pPr>
      <w:r w:rsidRPr="00C27C51">
        <w:rPr>
          <w:rFonts w:ascii="Verdana" w:hAnsi="Verdana"/>
          <w:b/>
          <w:bCs/>
          <w:sz w:val="20"/>
          <w:szCs w:val="20"/>
        </w:rPr>
        <w:t>Y</w:t>
      </w:r>
      <w:r w:rsidR="0095466B" w:rsidRPr="00C27C51">
        <w:rPr>
          <w:rFonts w:ascii="Verdana" w:hAnsi="Verdana"/>
          <w:b/>
          <w:bCs/>
          <w:sz w:val="20"/>
          <w:szCs w:val="20"/>
        </w:rPr>
        <w:t>ears 202</w:t>
      </w:r>
      <w:r w:rsidR="00F17D8C" w:rsidRPr="00C27C51">
        <w:rPr>
          <w:rFonts w:ascii="Verdana" w:hAnsi="Verdana"/>
          <w:b/>
          <w:bCs/>
          <w:sz w:val="20"/>
          <w:szCs w:val="20"/>
        </w:rPr>
        <w:t>1</w:t>
      </w:r>
      <w:r w:rsidR="0095466B" w:rsidRPr="00C27C51">
        <w:rPr>
          <w:rFonts w:ascii="Verdana" w:hAnsi="Verdana"/>
          <w:b/>
          <w:bCs/>
          <w:sz w:val="20"/>
          <w:szCs w:val="20"/>
        </w:rPr>
        <w:t xml:space="preserve"> – 202</w:t>
      </w:r>
      <w:r w:rsidR="00F17D8C" w:rsidRPr="00C27C51">
        <w:rPr>
          <w:rFonts w:ascii="Verdana" w:hAnsi="Verdana"/>
          <w:b/>
          <w:bCs/>
          <w:sz w:val="20"/>
          <w:szCs w:val="20"/>
        </w:rPr>
        <w:t>3</w:t>
      </w:r>
      <w:r w:rsidR="0095466B" w:rsidRPr="00C27C51">
        <w:rPr>
          <w:rFonts w:ascii="Verdana" w:hAnsi="Verdana"/>
          <w:b/>
          <w:bCs/>
          <w:sz w:val="20"/>
          <w:szCs w:val="20"/>
        </w:rPr>
        <w:t xml:space="preserve"> (</w:t>
      </w:r>
      <w:r w:rsidRPr="00C27C51">
        <w:rPr>
          <w:rFonts w:ascii="Verdana" w:hAnsi="Verdana"/>
          <w:b/>
          <w:bCs/>
          <w:sz w:val="20"/>
          <w:szCs w:val="20"/>
        </w:rPr>
        <w:t xml:space="preserve">please </w:t>
      </w:r>
      <w:r w:rsidR="0095466B" w:rsidRPr="00C27C51">
        <w:rPr>
          <w:rFonts w:ascii="Verdana" w:hAnsi="Verdana"/>
          <w:b/>
          <w:bCs/>
          <w:sz w:val="20"/>
          <w:szCs w:val="20"/>
        </w:rPr>
        <w:t xml:space="preserve">provide </w:t>
      </w:r>
      <w:r w:rsidRPr="00C27C51">
        <w:rPr>
          <w:rFonts w:ascii="Verdana" w:hAnsi="Verdana"/>
          <w:b/>
          <w:bCs/>
          <w:sz w:val="20"/>
          <w:szCs w:val="20"/>
        </w:rPr>
        <w:t xml:space="preserve">chart/ data </w:t>
      </w:r>
      <w:r w:rsidR="0095466B" w:rsidRPr="00C27C51">
        <w:rPr>
          <w:rFonts w:ascii="Verdana" w:hAnsi="Verdana"/>
          <w:b/>
          <w:bCs/>
          <w:sz w:val="20"/>
          <w:szCs w:val="20"/>
        </w:rPr>
        <w:t>in excel)</w:t>
      </w:r>
    </w:p>
    <w:p w14:paraId="2D37C5E0" w14:textId="673463DB" w:rsidR="001C54B3" w:rsidRPr="00C27C51" w:rsidRDefault="00AB0233" w:rsidP="00C27C51">
      <w:pPr>
        <w:spacing w:after="0" w:line="240" w:lineRule="auto"/>
        <w:jc w:val="both"/>
        <w:rPr>
          <w:rFonts w:ascii="Verdana" w:hAnsi="Verdana" w:cs="Calibri"/>
          <w:sz w:val="20"/>
          <w:szCs w:val="20"/>
        </w:rPr>
      </w:pPr>
      <w:r w:rsidRPr="00C27C51">
        <w:rPr>
          <w:rFonts w:ascii="Verdana" w:hAnsi="Verdana" w:cs="Calibri"/>
          <w:noProof/>
          <w:sz w:val="20"/>
          <w:szCs w:val="20"/>
        </w:rPr>
        <w:drawing>
          <wp:inline distT="0" distB="0" distL="0" distR="0" wp14:anchorId="5FE7B0EF" wp14:editId="567B9BA3">
            <wp:extent cx="492760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27600" cy="825500"/>
                    </a:xfrm>
                    <a:prstGeom prst="rect">
                      <a:avLst/>
                    </a:prstGeom>
                  </pic:spPr>
                </pic:pic>
              </a:graphicData>
            </a:graphic>
          </wp:inline>
        </w:drawing>
      </w:r>
    </w:p>
    <w:p w14:paraId="13A60E80" w14:textId="17C39DAB" w:rsidR="0095466B" w:rsidRPr="00C27C51" w:rsidRDefault="0095466B" w:rsidP="00C27C51">
      <w:pPr>
        <w:jc w:val="both"/>
        <w:rPr>
          <w:rFonts w:ascii="Verdana" w:hAnsi="Verdana"/>
          <w:sz w:val="20"/>
          <w:szCs w:val="20"/>
        </w:rPr>
      </w:pPr>
      <w:r w:rsidRPr="00C27C51">
        <w:rPr>
          <w:rFonts w:ascii="Verdana" w:hAnsi="Verdana"/>
          <w:sz w:val="20"/>
          <w:szCs w:val="20"/>
        </w:rPr>
        <w:t>Source</w:t>
      </w:r>
      <w:r w:rsidR="00F67165" w:rsidRPr="00C27C51">
        <w:rPr>
          <w:rFonts w:ascii="Verdana" w:hAnsi="Verdana"/>
          <w:sz w:val="20"/>
          <w:szCs w:val="20"/>
        </w:rPr>
        <w:t>(s)</w:t>
      </w:r>
      <w:r w:rsidRPr="00C27C51">
        <w:rPr>
          <w:rFonts w:ascii="Verdana" w:hAnsi="Verdana"/>
          <w:sz w:val="20"/>
          <w:szCs w:val="20"/>
        </w:rPr>
        <w:t xml:space="preserve">: </w:t>
      </w:r>
      <w:r w:rsidR="001C54B3" w:rsidRPr="00C27C51">
        <w:rPr>
          <w:rFonts w:ascii="Verdana" w:hAnsi="Verdana"/>
          <w:sz w:val="20"/>
          <w:szCs w:val="20"/>
        </w:rPr>
        <w:t>Statistics South Africa, KPMG analysis</w:t>
      </w:r>
    </w:p>
    <w:p w14:paraId="7AFCCA70" w14:textId="4EEF1ED3" w:rsidR="0095466B" w:rsidRPr="00C27C51" w:rsidRDefault="0095466B" w:rsidP="00C27C51">
      <w:pPr>
        <w:jc w:val="both"/>
        <w:rPr>
          <w:rFonts w:ascii="Verdana" w:hAnsi="Verdana"/>
          <w:sz w:val="20"/>
          <w:szCs w:val="20"/>
        </w:rPr>
      </w:pPr>
    </w:p>
    <w:p w14:paraId="467E7379" w14:textId="0C677ADB" w:rsidR="0095466B" w:rsidRPr="00C27C51" w:rsidRDefault="0095466B" w:rsidP="00C27C51">
      <w:pPr>
        <w:jc w:val="both"/>
        <w:rPr>
          <w:rFonts w:ascii="Verdana" w:hAnsi="Verdana"/>
          <w:b/>
          <w:bCs/>
          <w:sz w:val="20"/>
          <w:szCs w:val="20"/>
        </w:rPr>
      </w:pPr>
      <w:r w:rsidRPr="00C27C51">
        <w:rPr>
          <w:rFonts w:ascii="Verdana" w:hAnsi="Verdana"/>
          <w:b/>
          <w:bCs/>
          <w:sz w:val="20"/>
          <w:szCs w:val="20"/>
        </w:rPr>
        <w:t>Main text (500 to 6</w:t>
      </w:r>
      <w:r w:rsidR="00F67165" w:rsidRPr="00C27C51">
        <w:rPr>
          <w:rFonts w:ascii="Verdana" w:hAnsi="Verdana"/>
          <w:b/>
          <w:bCs/>
          <w:sz w:val="20"/>
          <w:szCs w:val="20"/>
        </w:rPr>
        <w:t>5</w:t>
      </w:r>
      <w:r w:rsidRPr="00C27C51">
        <w:rPr>
          <w:rFonts w:ascii="Verdana" w:hAnsi="Verdana"/>
          <w:b/>
          <w:bCs/>
          <w:sz w:val="20"/>
          <w:szCs w:val="20"/>
        </w:rPr>
        <w:t>0 words</w:t>
      </w:r>
      <w:r w:rsidR="00F67165" w:rsidRPr="00C27C51">
        <w:rPr>
          <w:rFonts w:ascii="Verdana" w:hAnsi="Verdana"/>
          <w:b/>
          <w:bCs/>
          <w:sz w:val="20"/>
          <w:szCs w:val="20"/>
        </w:rPr>
        <w:t xml:space="preserve"> overall</w:t>
      </w:r>
      <w:r w:rsidRPr="00C27C51">
        <w:rPr>
          <w:rFonts w:ascii="Verdana" w:hAnsi="Verdana"/>
          <w:b/>
          <w:bCs/>
          <w:sz w:val="20"/>
          <w:szCs w:val="20"/>
        </w:rPr>
        <w:t>):</w:t>
      </w:r>
    </w:p>
    <w:p w14:paraId="73B7B845" w14:textId="49A233A2" w:rsidR="0095466B" w:rsidRPr="00C27C51" w:rsidRDefault="0095466B" w:rsidP="00C27C51">
      <w:pPr>
        <w:jc w:val="both"/>
        <w:rPr>
          <w:rFonts w:ascii="Verdana" w:hAnsi="Verdana"/>
          <w:sz w:val="20"/>
          <w:szCs w:val="20"/>
        </w:rPr>
      </w:pPr>
      <w:r w:rsidRPr="00C27C51">
        <w:rPr>
          <w:rFonts w:ascii="Verdana" w:hAnsi="Verdana"/>
          <w:sz w:val="20"/>
          <w:szCs w:val="20"/>
        </w:rPr>
        <w:t>Callout</w:t>
      </w:r>
      <w:bookmarkStart w:id="0" w:name="OLE_LINK1"/>
      <w:r w:rsidRPr="00C27C51">
        <w:rPr>
          <w:rFonts w:ascii="Verdana" w:hAnsi="Verdana"/>
          <w:sz w:val="20"/>
          <w:szCs w:val="20"/>
        </w:rPr>
        <w:t xml:space="preserve"> </w:t>
      </w:r>
      <w:r w:rsidR="006F5AAD" w:rsidRPr="00C27C51">
        <w:rPr>
          <w:rFonts w:ascii="Verdana" w:hAnsi="Verdana"/>
          <w:sz w:val="20"/>
          <w:szCs w:val="20"/>
        </w:rPr>
        <w:t>–</w:t>
      </w:r>
      <w:r w:rsidRPr="00C27C51">
        <w:rPr>
          <w:rFonts w:ascii="Verdana" w:hAnsi="Verdana"/>
          <w:sz w:val="20"/>
          <w:szCs w:val="20"/>
        </w:rPr>
        <w:t xml:space="preserve"> </w:t>
      </w:r>
      <w:bookmarkEnd w:id="0"/>
      <w:r w:rsidR="006F5AAD" w:rsidRPr="00C27C51">
        <w:rPr>
          <w:rFonts w:ascii="Verdana" w:hAnsi="Verdana"/>
          <w:sz w:val="20"/>
          <w:szCs w:val="20"/>
        </w:rPr>
        <w:t xml:space="preserve">Context, </w:t>
      </w:r>
      <w:r w:rsidR="006F5AAD" w:rsidRPr="00C27C51">
        <w:rPr>
          <w:rFonts w:ascii="Verdana" w:hAnsi="Verdana"/>
          <w:color w:val="000000" w:themeColor="text1"/>
          <w:sz w:val="20"/>
          <w:szCs w:val="20"/>
        </w:rPr>
        <w:t>r</w:t>
      </w:r>
      <w:r w:rsidRPr="00C27C51">
        <w:rPr>
          <w:rFonts w:ascii="Verdana" w:hAnsi="Verdana"/>
          <w:color w:val="000000" w:themeColor="text1"/>
          <w:sz w:val="20"/>
          <w:szCs w:val="20"/>
        </w:rPr>
        <w:t xml:space="preserve">eal GDP growth and </w:t>
      </w:r>
      <w:r w:rsidR="006F5AAD" w:rsidRPr="00C27C51">
        <w:rPr>
          <w:rFonts w:ascii="Verdana" w:hAnsi="Verdana"/>
          <w:color w:val="000000" w:themeColor="text1"/>
          <w:sz w:val="20"/>
          <w:szCs w:val="20"/>
        </w:rPr>
        <w:t>u</w:t>
      </w:r>
      <w:r w:rsidRPr="00C27C51">
        <w:rPr>
          <w:rFonts w:ascii="Verdana" w:hAnsi="Verdana"/>
          <w:color w:val="000000" w:themeColor="text1"/>
          <w:sz w:val="20"/>
          <w:szCs w:val="20"/>
        </w:rPr>
        <w:t>nemployment</w:t>
      </w:r>
    </w:p>
    <w:p w14:paraId="048C973B" w14:textId="77777777" w:rsidR="00C27C51" w:rsidRDefault="001D1B58"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South Africa </w:t>
      </w:r>
      <w:r w:rsidR="005169E2" w:rsidRPr="00C27C51">
        <w:rPr>
          <w:rFonts w:ascii="Verdana" w:hAnsi="Verdana"/>
          <w:sz w:val="20"/>
          <w:szCs w:val="20"/>
        </w:rPr>
        <w:t>is returning to pre-Covid-19 levels of economic growth and is currently facing</w:t>
      </w:r>
      <w:r w:rsidR="000B57B0" w:rsidRPr="00C27C51">
        <w:rPr>
          <w:rFonts w:ascii="Verdana" w:hAnsi="Verdana"/>
          <w:sz w:val="20"/>
          <w:szCs w:val="20"/>
        </w:rPr>
        <w:t xml:space="preserve"> the </w:t>
      </w:r>
      <w:r w:rsidR="005169E2" w:rsidRPr="00C27C51">
        <w:rPr>
          <w:rFonts w:ascii="Verdana" w:hAnsi="Verdana"/>
          <w:sz w:val="20"/>
          <w:szCs w:val="20"/>
        </w:rPr>
        <w:t>inflationary implications that arose as a direct consequence of</w:t>
      </w:r>
      <w:r w:rsidR="00A870B4" w:rsidRPr="00C27C51">
        <w:rPr>
          <w:rFonts w:ascii="Verdana" w:hAnsi="Verdana"/>
          <w:sz w:val="20"/>
          <w:szCs w:val="20"/>
        </w:rPr>
        <w:t xml:space="preserve"> the Covid-19 pandemic</w:t>
      </w:r>
      <w:r w:rsidR="00E477CB" w:rsidRPr="00C27C51">
        <w:rPr>
          <w:rFonts w:ascii="Verdana" w:hAnsi="Verdana"/>
          <w:sz w:val="20"/>
          <w:szCs w:val="20"/>
        </w:rPr>
        <w:t xml:space="preserve"> </w:t>
      </w:r>
      <w:r w:rsidR="005169E2" w:rsidRPr="00C27C51">
        <w:rPr>
          <w:rFonts w:ascii="Verdana" w:hAnsi="Verdana"/>
          <w:sz w:val="20"/>
          <w:szCs w:val="20"/>
        </w:rPr>
        <w:t>and the Russian invasion of the Ukraine</w:t>
      </w:r>
      <w:r w:rsidR="00E477CB" w:rsidRPr="00C27C51">
        <w:rPr>
          <w:rFonts w:ascii="Verdana" w:hAnsi="Verdana"/>
          <w:sz w:val="20"/>
          <w:szCs w:val="20"/>
        </w:rPr>
        <w:t xml:space="preserve">.   </w:t>
      </w:r>
      <w:r w:rsidR="005169E2" w:rsidRPr="00C27C51">
        <w:rPr>
          <w:rFonts w:ascii="Verdana" w:hAnsi="Verdana"/>
          <w:sz w:val="20"/>
          <w:szCs w:val="20"/>
        </w:rPr>
        <w:t xml:space="preserve">Interest rates are rising and, </w:t>
      </w:r>
      <w:r w:rsidR="000B2059" w:rsidRPr="00C27C51">
        <w:rPr>
          <w:rFonts w:ascii="Verdana" w:hAnsi="Verdana"/>
          <w:sz w:val="20"/>
          <w:szCs w:val="20"/>
        </w:rPr>
        <w:t xml:space="preserve">and </w:t>
      </w:r>
      <w:r w:rsidR="005169E2" w:rsidRPr="00C27C51">
        <w:rPr>
          <w:rFonts w:ascii="Verdana" w:hAnsi="Verdana"/>
          <w:sz w:val="20"/>
          <w:szCs w:val="20"/>
        </w:rPr>
        <w:t xml:space="preserve">as with the rest of the world, growth prospects are being reduced accordingly.  </w:t>
      </w:r>
    </w:p>
    <w:p w14:paraId="381466A4" w14:textId="236F6BF0" w:rsidR="00A279BA" w:rsidRPr="00C27C51" w:rsidRDefault="005169E2"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 </w:t>
      </w:r>
      <w:r w:rsidR="00814A4C" w:rsidRPr="00C27C51">
        <w:rPr>
          <w:rFonts w:ascii="Verdana" w:hAnsi="Verdana"/>
          <w:sz w:val="20"/>
          <w:szCs w:val="20"/>
        </w:rPr>
        <w:t xml:space="preserve"> </w:t>
      </w:r>
    </w:p>
    <w:p w14:paraId="230F77B0" w14:textId="77777777" w:rsidR="00C27C51" w:rsidRDefault="00F0389D"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The South African policy rate has increased from a low of 3.5% in Q3 2021 to a current level of 5.5% and the consensus forecast is for a further increase of around 1 percentage point by the end of 2022.  These increases would leave the policy rate at the level </w:t>
      </w:r>
      <w:r w:rsidR="000B2059" w:rsidRPr="00C27C51">
        <w:rPr>
          <w:rFonts w:ascii="Verdana" w:hAnsi="Verdana"/>
          <w:sz w:val="20"/>
          <w:szCs w:val="20"/>
        </w:rPr>
        <w:t>recorded</w:t>
      </w:r>
      <w:r w:rsidRPr="00C27C51">
        <w:rPr>
          <w:rFonts w:ascii="Verdana" w:hAnsi="Verdana"/>
          <w:sz w:val="20"/>
          <w:szCs w:val="20"/>
        </w:rPr>
        <w:t xml:space="preserve"> prior to the onset of the Covid-19 pandemic and have led to a reduction in potential growth level attainable over the near term.</w:t>
      </w:r>
    </w:p>
    <w:p w14:paraId="753B2620" w14:textId="4704ED46" w:rsidR="00EB5DE1" w:rsidRPr="00C27C51" w:rsidRDefault="00F0389D"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  </w:t>
      </w:r>
    </w:p>
    <w:p w14:paraId="1D200323" w14:textId="216D4EA6" w:rsidR="00EB5DE1" w:rsidRPr="00C27C51" w:rsidRDefault="00EB5DE1" w:rsidP="00C27C51">
      <w:pPr>
        <w:pStyle w:val="ListParagraph"/>
        <w:numPr>
          <w:ilvl w:val="0"/>
          <w:numId w:val="4"/>
        </w:numPr>
        <w:jc w:val="both"/>
        <w:rPr>
          <w:rFonts w:ascii="Verdana" w:hAnsi="Verdana"/>
          <w:sz w:val="20"/>
          <w:szCs w:val="20"/>
        </w:rPr>
      </w:pPr>
      <w:r w:rsidRPr="00C27C51">
        <w:rPr>
          <w:rFonts w:ascii="Verdana" w:hAnsi="Verdana"/>
          <w:sz w:val="20"/>
          <w:szCs w:val="20"/>
        </w:rPr>
        <w:t>Even though increasing interest rates have resulted in slowing growth prospects, the main contributor in this regard remains the insufficient and inconsistent supply of electricity by South Africa’s energy supplier Eskom</w:t>
      </w:r>
      <w:r w:rsidR="00126DD9" w:rsidRPr="00C27C51">
        <w:rPr>
          <w:rFonts w:ascii="Verdana" w:hAnsi="Verdana"/>
          <w:sz w:val="20"/>
          <w:szCs w:val="20"/>
        </w:rPr>
        <w:t xml:space="preserve">, with over half of all business days in the second quarter of 2022 experiencing some </w:t>
      </w:r>
      <w:r w:rsidR="00CA60A7" w:rsidRPr="00C27C51">
        <w:rPr>
          <w:rFonts w:ascii="Verdana" w:hAnsi="Verdana"/>
          <w:sz w:val="20"/>
          <w:szCs w:val="20"/>
        </w:rPr>
        <w:t xml:space="preserve">degree of load shedding or </w:t>
      </w:r>
      <w:r w:rsidR="000B2059" w:rsidRPr="00C27C51">
        <w:rPr>
          <w:rFonts w:ascii="Verdana" w:hAnsi="Verdana"/>
          <w:sz w:val="20"/>
          <w:szCs w:val="20"/>
        </w:rPr>
        <w:t xml:space="preserve">electricity </w:t>
      </w:r>
      <w:r w:rsidR="00CA60A7" w:rsidRPr="00C27C51">
        <w:rPr>
          <w:rFonts w:ascii="Verdana" w:hAnsi="Verdana"/>
          <w:sz w:val="20"/>
          <w:szCs w:val="20"/>
        </w:rPr>
        <w:t>supply restriction. This barrier to grow</w:t>
      </w:r>
      <w:r w:rsidR="000B2059" w:rsidRPr="00C27C51">
        <w:rPr>
          <w:rFonts w:ascii="Verdana" w:hAnsi="Verdana"/>
          <w:sz w:val="20"/>
          <w:szCs w:val="20"/>
        </w:rPr>
        <w:t>th</w:t>
      </w:r>
      <w:r w:rsidR="00CA60A7" w:rsidRPr="00C27C51">
        <w:rPr>
          <w:rFonts w:ascii="Verdana" w:hAnsi="Verdana"/>
          <w:sz w:val="20"/>
          <w:szCs w:val="20"/>
        </w:rPr>
        <w:t xml:space="preserve"> has been recognized by government who, in July, announced the scrapping of license </w:t>
      </w:r>
      <w:r w:rsidR="000B2059" w:rsidRPr="00C27C51">
        <w:rPr>
          <w:rFonts w:ascii="Verdana" w:hAnsi="Verdana"/>
          <w:sz w:val="20"/>
          <w:szCs w:val="20"/>
        </w:rPr>
        <w:t>requirements</w:t>
      </w:r>
      <w:r w:rsidR="00CA60A7" w:rsidRPr="00C27C51">
        <w:rPr>
          <w:rFonts w:ascii="Verdana" w:hAnsi="Verdana"/>
          <w:sz w:val="20"/>
          <w:szCs w:val="20"/>
        </w:rPr>
        <w:t xml:space="preserve"> for private power generators in a sweeping overhaul of the </w:t>
      </w:r>
      <w:r w:rsidR="000B2059" w:rsidRPr="00C27C51">
        <w:rPr>
          <w:rFonts w:ascii="Verdana" w:hAnsi="Verdana"/>
          <w:sz w:val="20"/>
          <w:szCs w:val="20"/>
        </w:rPr>
        <w:t xml:space="preserve">South African </w:t>
      </w:r>
      <w:r w:rsidR="00CA60A7" w:rsidRPr="00C27C51">
        <w:rPr>
          <w:rFonts w:ascii="Verdana" w:hAnsi="Verdana"/>
          <w:sz w:val="20"/>
          <w:szCs w:val="20"/>
        </w:rPr>
        <w:t xml:space="preserve">energy industry.  However, given the lags associated with implementing </w:t>
      </w:r>
      <w:r w:rsidR="000B2059" w:rsidRPr="00C27C51">
        <w:rPr>
          <w:rFonts w:ascii="Verdana" w:hAnsi="Verdana"/>
          <w:sz w:val="20"/>
          <w:szCs w:val="20"/>
        </w:rPr>
        <w:t xml:space="preserve">large scale </w:t>
      </w:r>
      <w:r w:rsidR="00CA60A7" w:rsidRPr="00C27C51">
        <w:rPr>
          <w:rFonts w:ascii="Verdana" w:hAnsi="Verdana"/>
          <w:sz w:val="20"/>
          <w:szCs w:val="20"/>
        </w:rPr>
        <w:t>energy projects, it w</w:t>
      </w:r>
      <w:r w:rsidR="000B2059" w:rsidRPr="00C27C51">
        <w:rPr>
          <w:rFonts w:ascii="Verdana" w:hAnsi="Verdana"/>
          <w:sz w:val="20"/>
          <w:szCs w:val="20"/>
        </w:rPr>
        <w:t>ill</w:t>
      </w:r>
      <w:r w:rsidR="00CA60A7" w:rsidRPr="00C27C51">
        <w:rPr>
          <w:rFonts w:ascii="Verdana" w:hAnsi="Verdana"/>
          <w:sz w:val="20"/>
          <w:szCs w:val="20"/>
        </w:rPr>
        <w:t xml:space="preserve"> take some time before the effects of these policy changes are </w:t>
      </w:r>
      <w:proofErr w:type="spellStart"/>
      <w:r w:rsidR="00CA60A7" w:rsidRPr="00C27C51">
        <w:rPr>
          <w:rFonts w:ascii="Verdana" w:hAnsi="Verdana"/>
          <w:sz w:val="20"/>
          <w:szCs w:val="20"/>
        </w:rPr>
        <w:t>realised</w:t>
      </w:r>
      <w:proofErr w:type="spellEnd"/>
      <w:r w:rsidR="00CA60A7" w:rsidRPr="00C27C51">
        <w:rPr>
          <w:rFonts w:ascii="Verdana" w:hAnsi="Verdana"/>
          <w:sz w:val="20"/>
          <w:szCs w:val="20"/>
        </w:rPr>
        <w:t xml:space="preserve">. </w:t>
      </w:r>
    </w:p>
    <w:p w14:paraId="67832A46" w14:textId="66B6FB59" w:rsidR="0031378A" w:rsidRPr="00C27C51" w:rsidRDefault="00995CA4" w:rsidP="00C27C51">
      <w:pPr>
        <w:pStyle w:val="ListParagraph"/>
        <w:numPr>
          <w:ilvl w:val="0"/>
          <w:numId w:val="4"/>
        </w:numPr>
        <w:jc w:val="both"/>
        <w:rPr>
          <w:rFonts w:ascii="Verdana" w:hAnsi="Verdana"/>
          <w:sz w:val="20"/>
          <w:szCs w:val="20"/>
        </w:rPr>
      </w:pPr>
      <w:r w:rsidRPr="00C27C51">
        <w:rPr>
          <w:rFonts w:ascii="Verdana" w:hAnsi="Verdana"/>
          <w:sz w:val="20"/>
          <w:szCs w:val="20"/>
        </w:rPr>
        <w:lastRenderedPageBreak/>
        <w:t xml:space="preserve">South Africa </w:t>
      </w:r>
      <w:r w:rsidR="00EB5DE1" w:rsidRPr="00C27C51">
        <w:rPr>
          <w:rFonts w:ascii="Verdana" w:hAnsi="Verdana"/>
          <w:sz w:val="20"/>
          <w:szCs w:val="20"/>
        </w:rPr>
        <w:t xml:space="preserve">remains </w:t>
      </w:r>
      <w:r w:rsidRPr="00C27C51">
        <w:rPr>
          <w:rFonts w:ascii="Verdana" w:hAnsi="Verdana"/>
          <w:sz w:val="20"/>
          <w:szCs w:val="20"/>
        </w:rPr>
        <w:t>in a unique position where many of its natural resource exports</w:t>
      </w:r>
      <w:r w:rsidR="001A5B0D" w:rsidRPr="00C27C51">
        <w:rPr>
          <w:rFonts w:ascii="Verdana" w:hAnsi="Verdana"/>
          <w:sz w:val="20"/>
          <w:szCs w:val="20"/>
        </w:rPr>
        <w:t xml:space="preserve"> </w:t>
      </w:r>
      <w:r w:rsidRPr="00C27C51">
        <w:rPr>
          <w:rFonts w:ascii="Verdana" w:hAnsi="Verdana"/>
          <w:sz w:val="20"/>
          <w:szCs w:val="20"/>
        </w:rPr>
        <w:t>mirror those of Russia</w:t>
      </w:r>
      <w:r w:rsidR="0081754D" w:rsidRPr="00C27C51">
        <w:rPr>
          <w:rStyle w:val="FootnoteReference"/>
          <w:rFonts w:ascii="Verdana" w:hAnsi="Verdana"/>
          <w:sz w:val="20"/>
          <w:szCs w:val="20"/>
        </w:rPr>
        <w:footnoteReference w:id="1"/>
      </w:r>
      <w:r w:rsidRPr="00C27C51">
        <w:rPr>
          <w:rFonts w:ascii="Verdana" w:hAnsi="Verdana"/>
          <w:sz w:val="20"/>
          <w:szCs w:val="20"/>
        </w:rPr>
        <w:t xml:space="preserve"> and consequently has profited from the rise in commodity prices </w:t>
      </w:r>
      <w:r w:rsidR="0031378A" w:rsidRPr="00C27C51">
        <w:rPr>
          <w:rFonts w:ascii="Verdana" w:hAnsi="Verdana"/>
          <w:sz w:val="20"/>
          <w:szCs w:val="20"/>
        </w:rPr>
        <w:t xml:space="preserve">caused </w:t>
      </w:r>
      <w:r w:rsidR="00740640" w:rsidRPr="00C27C51">
        <w:rPr>
          <w:rFonts w:ascii="Verdana" w:hAnsi="Verdana"/>
          <w:sz w:val="20"/>
          <w:szCs w:val="20"/>
        </w:rPr>
        <w:t xml:space="preserve">initially </w:t>
      </w:r>
      <w:r w:rsidR="0031378A" w:rsidRPr="00C27C51">
        <w:rPr>
          <w:rFonts w:ascii="Verdana" w:hAnsi="Verdana"/>
          <w:sz w:val="20"/>
          <w:szCs w:val="20"/>
        </w:rPr>
        <w:t xml:space="preserve">by </w:t>
      </w:r>
      <w:r w:rsidR="00CA60A7" w:rsidRPr="00C27C51">
        <w:rPr>
          <w:rFonts w:ascii="Verdana" w:hAnsi="Verdana"/>
          <w:sz w:val="20"/>
          <w:szCs w:val="20"/>
        </w:rPr>
        <w:t xml:space="preserve">both </w:t>
      </w:r>
      <w:r w:rsidR="0031378A" w:rsidRPr="00C27C51">
        <w:rPr>
          <w:rFonts w:ascii="Verdana" w:hAnsi="Verdana"/>
          <w:sz w:val="20"/>
          <w:szCs w:val="20"/>
        </w:rPr>
        <w:t xml:space="preserve">Covid-19 </w:t>
      </w:r>
      <w:r w:rsidR="00CA60A7" w:rsidRPr="00C27C51">
        <w:rPr>
          <w:rFonts w:ascii="Verdana" w:hAnsi="Verdana"/>
          <w:sz w:val="20"/>
          <w:szCs w:val="20"/>
        </w:rPr>
        <w:t>as well as</w:t>
      </w:r>
      <w:r w:rsidRPr="00C27C51">
        <w:rPr>
          <w:rFonts w:ascii="Verdana" w:hAnsi="Verdana"/>
          <w:sz w:val="20"/>
          <w:szCs w:val="20"/>
        </w:rPr>
        <w:t xml:space="preserve"> the conflict in Ukraine.  The result of the increase in commodity prices has been an improvement in South Africa’s terms of trade </w:t>
      </w:r>
      <w:r w:rsidR="001A5B0D" w:rsidRPr="00C27C51">
        <w:rPr>
          <w:rFonts w:ascii="Verdana" w:hAnsi="Verdana"/>
          <w:sz w:val="20"/>
          <w:szCs w:val="20"/>
        </w:rPr>
        <w:t>which</w:t>
      </w:r>
      <w:r w:rsidRPr="00C27C51">
        <w:rPr>
          <w:rFonts w:ascii="Verdana" w:hAnsi="Verdana"/>
          <w:sz w:val="20"/>
          <w:szCs w:val="20"/>
        </w:rPr>
        <w:t xml:space="preserve"> has </w:t>
      </w:r>
      <w:r w:rsidR="00740640" w:rsidRPr="00C27C51">
        <w:rPr>
          <w:rFonts w:ascii="Verdana" w:hAnsi="Verdana"/>
          <w:sz w:val="20"/>
          <w:szCs w:val="20"/>
        </w:rPr>
        <w:t>led</w:t>
      </w:r>
      <w:r w:rsidRPr="00C27C51">
        <w:rPr>
          <w:rFonts w:ascii="Verdana" w:hAnsi="Verdana"/>
          <w:sz w:val="20"/>
          <w:szCs w:val="20"/>
        </w:rPr>
        <w:t xml:space="preserve"> </w:t>
      </w:r>
      <w:r w:rsidR="00740640" w:rsidRPr="00C27C51">
        <w:rPr>
          <w:rFonts w:ascii="Verdana" w:hAnsi="Verdana"/>
          <w:sz w:val="20"/>
          <w:szCs w:val="20"/>
        </w:rPr>
        <w:t xml:space="preserve">to </w:t>
      </w:r>
      <w:r w:rsidRPr="00C27C51">
        <w:rPr>
          <w:rFonts w:ascii="Verdana" w:hAnsi="Verdana"/>
          <w:sz w:val="20"/>
          <w:szCs w:val="20"/>
        </w:rPr>
        <w:t>surplus</w:t>
      </w:r>
      <w:r w:rsidR="00740640" w:rsidRPr="00C27C51">
        <w:rPr>
          <w:rFonts w:ascii="Verdana" w:hAnsi="Verdana"/>
          <w:sz w:val="20"/>
          <w:szCs w:val="20"/>
        </w:rPr>
        <w:t>es</w:t>
      </w:r>
      <w:r w:rsidRPr="00C27C51">
        <w:rPr>
          <w:rFonts w:ascii="Verdana" w:hAnsi="Verdana"/>
          <w:sz w:val="20"/>
          <w:szCs w:val="20"/>
        </w:rPr>
        <w:t xml:space="preserve"> on its current account</w:t>
      </w:r>
      <w:r w:rsidR="00740640" w:rsidRPr="00C27C51">
        <w:rPr>
          <w:rFonts w:ascii="Verdana" w:hAnsi="Verdana"/>
          <w:sz w:val="20"/>
          <w:szCs w:val="20"/>
        </w:rPr>
        <w:t xml:space="preserve"> </w:t>
      </w:r>
      <w:r w:rsidR="00CA60A7" w:rsidRPr="00C27C51">
        <w:rPr>
          <w:rFonts w:ascii="Verdana" w:hAnsi="Verdana"/>
          <w:sz w:val="20"/>
          <w:szCs w:val="20"/>
        </w:rPr>
        <w:t>since 2020</w:t>
      </w:r>
      <w:r w:rsidRPr="00C27C51">
        <w:rPr>
          <w:rFonts w:ascii="Verdana" w:hAnsi="Verdana"/>
          <w:sz w:val="20"/>
          <w:szCs w:val="20"/>
        </w:rPr>
        <w:t xml:space="preserve">.  </w:t>
      </w:r>
    </w:p>
    <w:p w14:paraId="1DA4F609" w14:textId="79FBF3B9" w:rsidR="00D3549D" w:rsidRDefault="00EF6558"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GDP is set to grow by </w:t>
      </w:r>
      <w:r w:rsidR="00AE2952" w:rsidRPr="00C27C51">
        <w:rPr>
          <w:rFonts w:ascii="Verdana" w:hAnsi="Verdana"/>
          <w:sz w:val="20"/>
          <w:szCs w:val="20"/>
        </w:rPr>
        <w:t>around 1.8</w:t>
      </w:r>
      <w:r w:rsidRPr="00C27C51">
        <w:rPr>
          <w:rFonts w:ascii="Verdana" w:hAnsi="Verdana"/>
          <w:sz w:val="20"/>
          <w:szCs w:val="20"/>
        </w:rPr>
        <w:t>% in 202</w:t>
      </w:r>
      <w:r w:rsidR="008220CD" w:rsidRPr="00C27C51">
        <w:rPr>
          <w:rFonts w:ascii="Verdana" w:hAnsi="Verdana"/>
          <w:sz w:val="20"/>
          <w:szCs w:val="20"/>
        </w:rPr>
        <w:t>2</w:t>
      </w:r>
      <w:r w:rsidRPr="00C27C51">
        <w:rPr>
          <w:rFonts w:ascii="Verdana" w:hAnsi="Verdana"/>
          <w:sz w:val="20"/>
          <w:szCs w:val="20"/>
        </w:rPr>
        <w:t xml:space="preserve"> led by contributions from the </w:t>
      </w:r>
      <w:r w:rsidR="008220CD" w:rsidRPr="00C27C51">
        <w:rPr>
          <w:rFonts w:ascii="Verdana" w:hAnsi="Verdana"/>
          <w:sz w:val="20"/>
          <w:szCs w:val="20"/>
        </w:rPr>
        <w:t>finance, real estate and business services</w:t>
      </w:r>
      <w:r w:rsidRPr="00C27C51">
        <w:rPr>
          <w:rFonts w:ascii="Verdana" w:hAnsi="Verdana"/>
          <w:sz w:val="20"/>
          <w:szCs w:val="20"/>
        </w:rPr>
        <w:t xml:space="preserve"> sector, growth in personal services as well as mining</w:t>
      </w:r>
      <w:r w:rsidR="008615AD" w:rsidRPr="00C27C51">
        <w:rPr>
          <w:rFonts w:ascii="Verdana" w:hAnsi="Verdana"/>
          <w:sz w:val="20"/>
          <w:szCs w:val="20"/>
        </w:rPr>
        <w:t>,</w:t>
      </w:r>
      <w:r w:rsidRPr="00C27C51">
        <w:rPr>
          <w:rFonts w:ascii="Verdana" w:hAnsi="Verdana"/>
          <w:sz w:val="20"/>
          <w:szCs w:val="20"/>
        </w:rPr>
        <w:t xml:space="preserve"> </w:t>
      </w:r>
      <w:r w:rsidR="00D97413" w:rsidRPr="00C27C51">
        <w:rPr>
          <w:rFonts w:ascii="Verdana" w:hAnsi="Verdana"/>
          <w:sz w:val="20"/>
          <w:szCs w:val="20"/>
        </w:rPr>
        <w:t xml:space="preserve">agriculture </w:t>
      </w:r>
      <w:r w:rsidRPr="00C27C51">
        <w:rPr>
          <w:rFonts w:ascii="Verdana" w:hAnsi="Verdana"/>
          <w:sz w:val="20"/>
          <w:szCs w:val="20"/>
        </w:rPr>
        <w:t>and trade</w:t>
      </w:r>
      <w:r w:rsidR="008615AD" w:rsidRPr="00C27C51">
        <w:rPr>
          <w:rFonts w:ascii="Verdana" w:hAnsi="Verdana"/>
          <w:sz w:val="20"/>
          <w:szCs w:val="20"/>
        </w:rPr>
        <w:t>,</w:t>
      </w:r>
      <w:r w:rsidRPr="00C27C51">
        <w:rPr>
          <w:rFonts w:ascii="Verdana" w:hAnsi="Verdana"/>
          <w:sz w:val="20"/>
          <w:szCs w:val="20"/>
        </w:rPr>
        <w:t xml:space="preserve"> </w:t>
      </w:r>
      <w:proofErr w:type="gramStart"/>
      <w:r w:rsidRPr="00C27C51">
        <w:rPr>
          <w:rFonts w:ascii="Verdana" w:hAnsi="Verdana"/>
          <w:sz w:val="20"/>
          <w:szCs w:val="20"/>
        </w:rPr>
        <w:t>catering</w:t>
      </w:r>
      <w:proofErr w:type="gramEnd"/>
      <w:r w:rsidRPr="00C27C51">
        <w:rPr>
          <w:rFonts w:ascii="Verdana" w:hAnsi="Verdana"/>
          <w:sz w:val="20"/>
          <w:szCs w:val="20"/>
        </w:rPr>
        <w:t xml:space="preserve"> and accommodation. </w:t>
      </w:r>
    </w:p>
    <w:p w14:paraId="51C1EA3B" w14:textId="77777777" w:rsidR="00C27C51" w:rsidRPr="00C27C51" w:rsidRDefault="00C27C51" w:rsidP="00C27C51">
      <w:pPr>
        <w:pStyle w:val="ListParagraph"/>
        <w:numPr>
          <w:ilvl w:val="0"/>
          <w:numId w:val="4"/>
        </w:numPr>
        <w:jc w:val="both"/>
        <w:rPr>
          <w:rFonts w:ascii="Verdana" w:hAnsi="Verdana"/>
          <w:sz w:val="20"/>
          <w:szCs w:val="20"/>
        </w:rPr>
      </w:pPr>
    </w:p>
    <w:p w14:paraId="495CF59E" w14:textId="1B560BFA" w:rsidR="00033526" w:rsidRPr="00C27C51" w:rsidRDefault="00D97413"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The </w:t>
      </w:r>
      <w:r w:rsidR="00B5481B" w:rsidRPr="00C27C51">
        <w:rPr>
          <w:rFonts w:ascii="Verdana" w:hAnsi="Verdana"/>
          <w:sz w:val="20"/>
          <w:szCs w:val="20"/>
        </w:rPr>
        <w:t>projected</w:t>
      </w:r>
      <w:r w:rsidRPr="00C27C51">
        <w:rPr>
          <w:rFonts w:ascii="Verdana" w:hAnsi="Verdana"/>
          <w:sz w:val="20"/>
          <w:szCs w:val="20"/>
        </w:rPr>
        <w:t xml:space="preserve"> growth in 2022 is </w:t>
      </w:r>
      <w:r w:rsidR="000A6073" w:rsidRPr="00C27C51">
        <w:rPr>
          <w:rFonts w:ascii="Verdana" w:hAnsi="Verdana"/>
          <w:sz w:val="20"/>
          <w:szCs w:val="20"/>
        </w:rPr>
        <w:t xml:space="preserve">noticeably </w:t>
      </w:r>
      <w:r w:rsidRPr="00C27C51">
        <w:rPr>
          <w:rFonts w:ascii="Verdana" w:hAnsi="Verdana"/>
          <w:sz w:val="20"/>
          <w:szCs w:val="20"/>
        </w:rPr>
        <w:t>lower tha</w:t>
      </w:r>
      <w:r w:rsidR="00BD1B46" w:rsidRPr="00C27C51">
        <w:rPr>
          <w:rFonts w:ascii="Verdana" w:hAnsi="Verdana"/>
          <w:sz w:val="20"/>
          <w:szCs w:val="20"/>
        </w:rPr>
        <w:t>n</w:t>
      </w:r>
      <w:r w:rsidRPr="00C27C51">
        <w:rPr>
          <w:rFonts w:ascii="Verdana" w:hAnsi="Verdana"/>
          <w:sz w:val="20"/>
          <w:szCs w:val="20"/>
        </w:rPr>
        <w:t xml:space="preserve"> that achieved in 2021</w:t>
      </w:r>
      <w:r w:rsidR="00B5481B" w:rsidRPr="00C27C51">
        <w:rPr>
          <w:rFonts w:ascii="Verdana" w:hAnsi="Verdana"/>
          <w:sz w:val="20"/>
          <w:szCs w:val="20"/>
        </w:rPr>
        <w:t>.</w:t>
      </w:r>
      <w:r w:rsidRPr="00C27C51">
        <w:rPr>
          <w:rFonts w:ascii="Verdana" w:hAnsi="Verdana"/>
          <w:sz w:val="20"/>
          <w:szCs w:val="20"/>
        </w:rPr>
        <w:t xml:space="preserve"> </w:t>
      </w:r>
      <w:r w:rsidR="00B5481B" w:rsidRPr="00C27C51">
        <w:rPr>
          <w:rFonts w:ascii="Verdana" w:hAnsi="Verdana"/>
          <w:sz w:val="20"/>
          <w:szCs w:val="20"/>
        </w:rPr>
        <w:t>I</w:t>
      </w:r>
      <w:r w:rsidRPr="00C27C51">
        <w:rPr>
          <w:rFonts w:ascii="Verdana" w:hAnsi="Verdana"/>
          <w:sz w:val="20"/>
          <w:szCs w:val="20"/>
        </w:rPr>
        <w:t xml:space="preserve">t should </w:t>
      </w:r>
      <w:r w:rsidR="00B5481B" w:rsidRPr="00C27C51">
        <w:rPr>
          <w:rFonts w:ascii="Verdana" w:hAnsi="Verdana"/>
          <w:sz w:val="20"/>
          <w:szCs w:val="20"/>
        </w:rPr>
        <w:t xml:space="preserve">however </w:t>
      </w:r>
      <w:r w:rsidRPr="00C27C51">
        <w:rPr>
          <w:rFonts w:ascii="Verdana" w:hAnsi="Verdana"/>
          <w:sz w:val="20"/>
          <w:szCs w:val="20"/>
        </w:rPr>
        <w:t xml:space="preserve">be understood that </w:t>
      </w:r>
      <w:r w:rsidR="00F94B03" w:rsidRPr="00C27C51">
        <w:rPr>
          <w:rFonts w:ascii="Verdana" w:hAnsi="Verdana"/>
          <w:sz w:val="20"/>
          <w:szCs w:val="20"/>
        </w:rPr>
        <w:t xml:space="preserve">much of </w:t>
      </w:r>
      <w:r w:rsidR="00AE2952" w:rsidRPr="00C27C51">
        <w:rPr>
          <w:rFonts w:ascii="Verdana" w:hAnsi="Verdana"/>
          <w:sz w:val="20"/>
          <w:szCs w:val="20"/>
        </w:rPr>
        <w:t xml:space="preserve">that </w:t>
      </w:r>
      <w:r w:rsidR="00F94B03" w:rsidRPr="00C27C51">
        <w:rPr>
          <w:rFonts w:ascii="Verdana" w:hAnsi="Verdana"/>
          <w:sz w:val="20"/>
          <w:szCs w:val="20"/>
        </w:rPr>
        <w:t>growth</w:t>
      </w:r>
      <w:r w:rsidRPr="00C27C51">
        <w:rPr>
          <w:rFonts w:ascii="Verdana" w:hAnsi="Verdana"/>
          <w:sz w:val="20"/>
          <w:szCs w:val="20"/>
        </w:rPr>
        <w:t xml:space="preserve"> was</w:t>
      </w:r>
      <w:r w:rsidR="00F94B03" w:rsidRPr="00C27C51">
        <w:rPr>
          <w:rFonts w:ascii="Verdana" w:hAnsi="Verdana"/>
          <w:sz w:val="20"/>
          <w:szCs w:val="20"/>
        </w:rPr>
        <w:t xml:space="preserve"> due to technical base effects </w:t>
      </w:r>
      <w:r w:rsidR="00DA519C" w:rsidRPr="00C27C51">
        <w:rPr>
          <w:rFonts w:ascii="Verdana" w:hAnsi="Verdana"/>
          <w:sz w:val="20"/>
          <w:szCs w:val="20"/>
        </w:rPr>
        <w:t xml:space="preserve">following the </w:t>
      </w:r>
      <w:r w:rsidRPr="00C27C51">
        <w:rPr>
          <w:rFonts w:ascii="Verdana" w:hAnsi="Verdana"/>
          <w:sz w:val="20"/>
          <w:szCs w:val="20"/>
        </w:rPr>
        <w:t xml:space="preserve">sharp Covid-19 induced </w:t>
      </w:r>
      <w:r w:rsidR="00DA519C" w:rsidRPr="00C27C51">
        <w:rPr>
          <w:rFonts w:ascii="Verdana" w:hAnsi="Verdana"/>
          <w:sz w:val="20"/>
          <w:szCs w:val="20"/>
        </w:rPr>
        <w:t>contraction experienced in</w:t>
      </w:r>
      <w:r w:rsidRPr="00C27C51">
        <w:rPr>
          <w:rFonts w:ascii="Verdana" w:hAnsi="Verdana"/>
          <w:sz w:val="20"/>
          <w:szCs w:val="20"/>
        </w:rPr>
        <w:t xml:space="preserve"> 2020</w:t>
      </w:r>
      <w:r w:rsidR="00F94B03" w:rsidRPr="00C27C51">
        <w:rPr>
          <w:rFonts w:ascii="Verdana" w:hAnsi="Verdana"/>
          <w:sz w:val="20"/>
          <w:szCs w:val="20"/>
        </w:rPr>
        <w:t xml:space="preserve">. </w:t>
      </w:r>
    </w:p>
    <w:p w14:paraId="0D4653C5" w14:textId="1743B42D" w:rsidR="00F63B39" w:rsidRDefault="00EB39FC" w:rsidP="00C27C51">
      <w:pPr>
        <w:pStyle w:val="ListParagraph"/>
        <w:numPr>
          <w:ilvl w:val="0"/>
          <w:numId w:val="4"/>
        </w:numPr>
        <w:jc w:val="both"/>
        <w:rPr>
          <w:rFonts w:ascii="Verdana" w:hAnsi="Verdana"/>
          <w:sz w:val="20"/>
          <w:szCs w:val="20"/>
        </w:rPr>
      </w:pPr>
      <w:r w:rsidRPr="00C27C51">
        <w:rPr>
          <w:rFonts w:ascii="Verdana" w:hAnsi="Verdana"/>
          <w:sz w:val="20"/>
          <w:szCs w:val="20"/>
        </w:rPr>
        <w:t>Growth i</w:t>
      </w:r>
      <w:r w:rsidR="005A5E0C" w:rsidRPr="00C27C51">
        <w:rPr>
          <w:rFonts w:ascii="Verdana" w:hAnsi="Verdana"/>
          <w:sz w:val="20"/>
          <w:szCs w:val="20"/>
        </w:rPr>
        <w:t>n</w:t>
      </w:r>
      <w:r w:rsidRPr="00C27C51">
        <w:rPr>
          <w:rFonts w:ascii="Verdana" w:hAnsi="Verdana"/>
          <w:sz w:val="20"/>
          <w:szCs w:val="20"/>
        </w:rPr>
        <w:t xml:space="preserve"> 2023 is estimated to decline </w:t>
      </w:r>
      <w:r w:rsidR="005A5E0C" w:rsidRPr="00C27C51">
        <w:rPr>
          <w:rFonts w:ascii="Verdana" w:hAnsi="Verdana"/>
          <w:sz w:val="20"/>
          <w:szCs w:val="20"/>
        </w:rPr>
        <w:t xml:space="preserve">further </w:t>
      </w:r>
      <w:r w:rsidRPr="00C27C51">
        <w:rPr>
          <w:rFonts w:ascii="Verdana" w:hAnsi="Verdana"/>
          <w:sz w:val="20"/>
          <w:szCs w:val="20"/>
        </w:rPr>
        <w:t>to 1.</w:t>
      </w:r>
      <w:r w:rsidR="005E129E" w:rsidRPr="00C27C51">
        <w:rPr>
          <w:rFonts w:ascii="Verdana" w:hAnsi="Verdana"/>
          <w:sz w:val="20"/>
          <w:szCs w:val="20"/>
        </w:rPr>
        <w:t>5</w:t>
      </w:r>
      <w:r w:rsidRPr="00C27C51">
        <w:rPr>
          <w:rFonts w:ascii="Verdana" w:hAnsi="Verdana"/>
          <w:sz w:val="20"/>
          <w:szCs w:val="20"/>
        </w:rPr>
        <w:t xml:space="preserve">% </w:t>
      </w:r>
      <w:r w:rsidR="005E129E" w:rsidRPr="00C27C51">
        <w:rPr>
          <w:rFonts w:ascii="Verdana" w:hAnsi="Verdana"/>
          <w:sz w:val="20"/>
          <w:szCs w:val="20"/>
        </w:rPr>
        <w:t>with higher interest rates and lower global growth reducing aggregate demand</w:t>
      </w:r>
      <w:r w:rsidR="00AE2952" w:rsidRPr="00C27C51">
        <w:rPr>
          <w:rFonts w:ascii="Verdana" w:hAnsi="Verdana"/>
          <w:sz w:val="20"/>
          <w:szCs w:val="20"/>
        </w:rPr>
        <w:t xml:space="preserve"> locally</w:t>
      </w:r>
      <w:r w:rsidR="005E129E" w:rsidRPr="00C27C51">
        <w:rPr>
          <w:rFonts w:ascii="Verdana" w:hAnsi="Verdana"/>
          <w:sz w:val="20"/>
          <w:szCs w:val="20"/>
        </w:rPr>
        <w:t>. In 2024 economic growth should</w:t>
      </w:r>
      <w:r w:rsidR="003E3E4E" w:rsidRPr="00C27C51">
        <w:rPr>
          <w:rFonts w:ascii="Verdana" w:hAnsi="Verdana"/>
          <w:sz w:val="20"/>
          <w:szCs w:val="20"/>
        </w:rPr>
        <w:t xml:space="preserve"> converge back to the average pre-Covid-19 level of </w:t>
      </w:r>
      <w:r w:rsidR="005E129E" w:rsidRPr="00C27C51">
        <w:rPr>
          <w:rFonts w:ascii="Verdana" w:hAnsi="Verdana"/>
          <w:sz w:val="20"/>
          <w:szCs w:val="20"/>
        </w:rPr>
        <w:t xml:space="preserve">around </w:t>
      </w:r>
      <w:r w:rsidR="003E3E4E" w:rsidRPr="00C27C51">
        <w:rPr>
          <w:rFonts w:ascii="Verdana" w:hAnsi="Verdana"/>
          <w:sz w:val="20"/>
          <w:szCs w:val="20"/>
        </w:rPr>
        <w:t>1.</w:t>
      </w:r>
      <w:r w:rsidR="00AE2952" w:rsidRPr="00C27C51">
        <w:rPr>
          <w:rFonts w:ascii="Verdana" w:hAnsi="Verdana"/>
          <w:sz w:val="20"/>
          <w:szCs w:val="20"/>
        </w:rPr>
        <w:t>7</w:t>
      </w:r>
      <w:r w:rsidR="003E3E4E" w:rsidRPr="00C27C51">
        <w:rPr>
          <w:rFonts w:ascii="Verdana" w:hAnsi="Verdana"/>
          <w:sz w:val="20"/>
          <w:szCs w:val="20"/>
        </w:rPr>
        <w:t>%</w:t>
      </w:r>
      <w:r w:rsidR="005E129E" w:rsidRPr="00C27C51">
        <w:rPr>
          <w:rFonts w:ascii="Verdana" w:hAnsi="Verdana"/>
          <w:sz w:val="20"/>
          <w:szCs w:val="20"/>
        </w:rPr>
        <w:t xml:space="preserve"> as inflationary pressures abate and global grow rates improve</w:t>
      </w:r>
      <w:r w:rsidR="003E3E4E" w:rsidRPr="00C27C51">
        <w:rPr>
          <w:rFonts w:ascii="Verdana" w:hAnsi="Verdana"/>
          <w:sz w:val="20"/>
          <w:szCs w:val="20"/>
        </w:rPr>
        <w:t xml:space="preserve">.  </w:t>
      </w:r>
    </w:p>
    <w:p w14:paraId="1B63D48D" w14:textId="77777777" w:rsidR="00C27C51" w:rsidRPr="00C27C51" w:rsidRDefault="00C27C51" w:rsidP="00C27C51">
      <w:pPr>
        <w:pStyle w:val="ListParagraph"/>
        <w:numPr>
          <w:ilvl w:val="0"/>
          <w:numId w:val="4"/>
        </w:numPr>
        <w:jc w:val="both"/>
        <w:rPr>
          <w:rFonts w:ascii="Verdana" w:hAnsi="Verdana"/>
          <w:sz w:val="20"/>
          <w:szCs w:val="20"/>
        </w:rPr>
      </w:pPr>
    </w:p>
    <w:p w14:paraId="3FEC5707" w14:textId="5FDDF385" w:rsidR="002360AD" w:rsidRDefault="00F63B39" w:rsidP="00C27C51">
      <w:pPr>
        <w:pStyle w:val="ListParagraph"/>
        <w:numPr>
          <w:ilvl w:val="0"/>
          <w:numId w:val="4"/>
        </w:numPr>
        <w:jc w:val="both"/>
        <w:rPr>
          <w:rFonts w:ascii="Verdana" w:hAnsi="Verdana"/>
          <w:sz w:val="20"/>
          <w:szCs w:val="20"/>
        </w:rPr>
      </w:pPr>
      <w:r w:rsidRPr="00C27C51">
        <w:rPr>
          <w:rFonts w:ascii="Verdana" w:hAnsi="Verdana"/>
          <w:sz w:val="20"/>
          <w:szCs w:val="20"/>
        </w:rPr>
        <w:t>L</w:t>
      </w:r>
      <w:r w:rsidR="003E3E4E" w:rsidRPr="00C27C51">
        <w:rPr>
          <w:rFonts w:ascii="Verdana" w:hAnsi="Verdana"/>
          <w:sz w:val="20"/>
          <w:szCs w:val="20"/>
        </w:rPr>
        <w:t>ittle tangible policy action has been take</w:t>
      </w:r>
      <w:r w:rsidR="00033526" w:rsidRPr="00C27C51">
        <w:rPr>
          <w:rFonts w:ascii="Verdana" w:hAnsi="Verdana"/>
          <w:sz w:val="20"/>
          <w:szCs w:val="20"/>
        </w:rPr>
        <w:t>n</w:t>
      </w:r>
      <w:r w:rsidR="003E3E4E" w:rsidRPr="00C27C51">
        <w:rPr>
          <w:rFonts w:ascii="Verdana" w:hAnsi="Verdana"/>
          <w:sz w:val="20"/>
          <w:szCs w:val="20"/>
        </w:rPr>
        <w:t xml:space="preserve"> to increase the</w:t>
      </w:r>
      <w:r w:rsidR="002360AD" w:rsidRPr="00C27C51">
        <w:rPr>
          <w:rFonts w:ascii="Verdana" w:hAnsi="Verdana"/>
          <w:sz w:val="20"/>
          <w:szCs w:val="20"/>
        </w:rPr>
        <w:t xml:space="preserve"> lower investment and consumption spending </w:t>
      </w:r>
      <w:r w:rsidR="00691036" w:rsidRPr="00C27C51">
        <w:rPr>
          <w:rFonts w:ascii="Verdana" w:hAnsi="Verdana"/>
          <w:sz w:val="20"/>
          <w:szCs w:val="20"/>
        </w:rPr>
        <w:t xml:space="preserve">caused by a reaction to </w:t>
      </w:r>
      <w:proofErr w:type="gramStart"/>
      <w:r w:rsidR="00691036" w:rsidRPr="00C27C51">
        <w:rPr>
          <w:rFonts w:ascii="Verdana" w:hAnsi="Verdana"/>
          <w:sz w:val="20"/>
          <w:szCs w:val="20"/>
        </w:rPr>
        <w:t>a number of</w:t>
      </w:r>
      <w:proofErr w:type="gramEnd"/>
      <w:r w:rsidR="00691036" w:rsidRPr="00C27C51">
        <w:rPr>
          <w:rFonts w:ascii="Verdana" w:hAnsi="Verdana"/>
          <w:sz w:val="20"/>
          <w:szCs w:val="20"/>
        </w:rPr>
        <w:t xml:space="preserve"> governance failures including </w:t>
      </w:r>
      <w:r w:rsidR="00033526" w:rsidRPr="00C27C51">
        <w:rPr>
          <w:rFonts w:ascii="Verdana" w:hAnsi="Verdana"/>
          <w:sz w:val="20"/>
          <w:szCs w:val="20"/>
        </w:rPr>
        <w:t xml:space="preserve">ongoing </w:t>
      </w:r>
      <w:r w:rsidR="00691036" w:rsidRPr="00C27C51">
        <w:rPr>
          <w:rFonts w:ascii="Verdana" w:hAnsi="Verdana"/>
          <w:sz w:val="20"/>
          <w:szCs w:val="20"/>
        </w:rPr>
        <w:t>policy uncertainty, corruption</w:t>
      </w:r>
      <w:r w:rsidR="00DA519C" w:rsidRPr="00C27C51">
        <w:rPr>
          <w:rFonts w:ascii="Verdana" w:hAnsi="Verdana"/>
          <w:sz w:val="20"/>
          <w:szCs w:val="20"/>
        </w:rPr>
        <w:t>, aging infrastructure</w:t>
      </w:r>
      <w:r w:rsidR="003E3E4E" w:rsidRPr="00C27C51">
        <w:rPr>
          <w:rFonts w:ascii="Verdana" w:hAnsi="Verdana"/>
          <w:sz w:val="20"/>
          <w:szCs w:val="20"/>
        </w:rPr>
        <w:t xml:space="preserve"> and</w:t>
      </w:r>
      <w:r w:rsidR="005A5E0C" w:rsidRPr="00C27C51">
        <w:rPr>
          <w:rFonts w:ascii="Verdana" w:hAnsi="Verdana"/>
          <w:sz w:val="20"/>
          <w:szCs w:val="20"/>
        </w:rPr>
        <w:t xml:space="preserve"> continued</w:t>
      </w:r>
      <w:r w:rsidR="003E3E4E" w:rsidRPr="00C27C51">
        <w:rPr>
          <w:rFonts w:ascii="Verdana" w:hAnsi="Verdana"/>
          <w:sz w:val="20"/>
          <w:szCs w:val="20"/>
        </w:rPr>
        <w:t xml:space="preserve"> power </w:t>
      </w:r>
      <w:r w:rsidR="005A5E0C" w:rsidRPr="00C27C51">
        <w:rPr>
          <w:rFonts w:ascii="Verdana" w:hAnsi="Verdana"/>
          <w:sz w:val="20"/>
          <w:szCs w:val="20"/>
        </w:rPr>
        <w:t>shortages</w:t>
      </w:r>
      <w:r w:rsidR="00DA519C" w:rsidRPr="00C27C51">
        <w:rPr>
          <w:rFonts w:ascii="Verdana" w:hAnsi="Verdana"/>
          <w:sz w:val="20"/>
          <w:szCs w:val="20"/>
        </w:rPr>
        <w:t>, the absence of growth</w:t>
      </w:r>
      <w:r w:rsidR="00AE2952" w:rsidRPr="00C27C51">
        <w:rPr>
          <w:rFonts w:ascii="Verdana" w:hAnsi="Verdana"/>
          <w:sz w:val="20"/>
          <w:szCs w:val="20"/>
        </w:rPr>
        <w:t>-</w:t>
      </w:r>
      <w:r w:rsidR="00DA519C" w:rsidRPr="00C27C51">
        <w:rPr>
          <w:rFonts w:ascii="Verdana" w:hAnsi="Verdana"/>
          <w:sz w:val="20"/>
          <w:szCs w:val="20"/>
        </w:rPr>
        <w:t>stimulating policy interventions</w:t>
      </w:r>
      <w:r w:rsidR="00691036" w:rsidRPr="00C27C51">
        <w:rPr>
          <w:rFonts w:ascii="Verdana" w:hAnsi="Verdana"/>
          <w:sz w:val="20"/>
          <w:szCs w:val="20"/>
        </w:rPr>
        <w:t xml:space="preserve"> and </w:t>
      </w:r>
      <w:r w:rsidR="003E3E4E" w:rsidRPr="00C27C51">
        <w:rPr>
          <w:rFonts w:ascii="Verdana" w:hAnsi="Verdana"/>
          <w:sz w:val="20"/>
          <w:szCs w:val="20"/>
        </w:rPr>
        <w:t>inadequate</w:t>
      </w:r>
      <w:r w:rsidR="00691036" w:rsidRPr="00C27C51">
        <w:rPr>
          <w:rFonts w:ascii="Verdana" w:hAnsi="Verdana"/>
          <w:sz w:val="20"/>
          <w:szCs w:val="20"/>
        </w:rPr>
        <w:t xml:space="preserve"> </w:t>
      </w:r>
      <w:r w:rsidR="00033526" w:rsidRPr="00C27C51">
        <w:rPr>
          <w:rFonts w:ascii="Verdana" w:hAnsi="Verdana"/>
          <w:sz w:val="20"/>
          <w:szCs w:val="20"/>
        </w:rPr>
        <w:t xml:space="preserve">levels of </w:t>
      </w:r>
      <w:r w:rsidR="00691036" w:rsidRPr="00C27C51">
        <w:rPr>
          <w:rFonts w:ascii="Verdana" w:hAnsi="Verdana"/>
          <w:sz w:val="20"/>
          <w:szCs w:val="20"/>
        </w:rPr>
        <w:t>service delivery.</w:t>
      </w:r>
      <w:r w:rsidRPr="00C27C51">
        <w:rPr>
          <w:rFonts w:ascii="Verdana" w:hAnsi="Verdana"/>
          <w:sz w:val="20"/>
          <w:szCs w:val="20"/>
        </w:rPr>
        <w:t xml:space="preserve">  More will need to be done to lift the South African growth trajectory above its current long-term level.</w:t>
      </w:r>
    </w:p>
    <w:p w14:paraId="60D42E66" w14:textId="77777777" w:rsidR="00C27C51" w:rsidRPr="00C27C51" w:rsidRDefault="00C27C51" w:rsidP="00C27C51">
      <w:pPr>
        <w:pStyle w:val="ListParagraph"/>
        <w:numPr>
          <w:ilvl w:val="0"/>
          <w:numId w:val="4"/>
        </w:numPr>
        <w:jc w:val="both"/>
        <w:rPr>
          <w:rFonts w:ascii="Verdana" w:hAnsi="Verdana"/>
          <w:sz w:val="20"/>
          <w:szCs w:val="20"/>
        </w:rPr>
      </w:pPr>
    </w:p>
    <w:p w14:paraId="2BFC03C0" w14:textId="4DC422E0" w:rsidR="00EC25D6" w:rsidRPr="00C27C51" w:rsidRDefault="00F94B03" w:rsidP="00C27C51">
      <w:pPr>
        <w:pStyle w:val="ListParagraph"/>
        <w:numPr>
          <w:ilvl w:val="0"/>
          <w:numId w:val="4"/>
        </w:numPr>
        <w:jc w:val="both"/>
        <w:rPr>
          <w:rFonts w:ascii="Verdana" w:hAnsi="Verdana"/>
          <w:sz w:val="20"/>
          <w:szCs w:val="20"/>
        </w:rPr>
      </w:pPr>
      <w:r w:rsidRPr="00C27C51">
        <w:rPr>
          <w:rFonts w:ascii="Verdana" w:hAnsi="Verdana"/>
          <w:sz w:val="20"/>
          <w:szCs w:val="20"/>
        </w:rPr>
        <w:t>Th</w:t>
      </w:r>
      <w:r w:rsidR="003C0E99" w:rsidRPr="00C27C51">
        <w:rPr>
          <w:rFonts w:ascii="Verdana" w:hAnsi="Verdana"/>
          <w:sz w:val="20"/>
          <w:szCs w:val="20"/>
        </w:rPr>
        <w:t>e</w:t>
      </w:r>
      <w:r w:rsidRPr="00C27C51">
        <w:rPr>
          <w:rFonts w:ascii="Verdana" w:hAnsi="Verdana"/>
          <w:sz w:val="20"/>
          <w:szCs w:val="20"/>
        </w:rPr>
        <w:t xml:space="preserve"> </w:t>
      </w:r>
      <w:r w:rsidR="00AE2952" w:rsidRPr="00C27C51">
        <w:rPr>
          <w:rFonts w:ascii="Verdana" w:hAnsi="Verdana"/>
          <w:sz w:val="20"/>
          <w:szCs w:val="20"/>
        </w:rPr>
        <w:t>predicted</w:t>
      </w:r>
      <w:r w:rsidR="003C0E99" w:rsidRPr="00C27C51">
        <w:rPr>
          <w:rFonts w:ascii="Verdana" w:hAnsi="Verdana"/>
          <w:sz w:val="20"/>
          <w:szCs w:val="20"/>
        </w:rPr>
        <w:t xml:space="preserve"> </w:t>
      </w:r>
      <w:r w:rsidRPr="00C27C51">
        <w:rPr>
          <w:rFonts w:ascii="Verdana" w:hAnsi="Verdana"/>
          <w:sz w:val="20"/>
          <w:szCs w:val="20"/>
        </w:rPr>
        <w:t>rate of economic growth</w:t>
      </w:r>
      <w:r w:rsidR="005A5E0C" w:rsidRPr="00C27C51">
        <w:rPr>
          <w:rFonts w:ascii="Verdana" w:hAnsi="Verdana"/>
          <w:sz w:val="20"/>
          <w:szCs w:val="20"/>
        </w:rPr>
        <w:t xml:space="preserve"> </w:t>
      </w:r>
      <w:r w:rsidR="00F63B39" w:rsidRPr="00C27C51">
        <w:rPr>
          <w:rFonts w:ascii="Verdana" w:hAnsi="Verdana"/>
          <w:sz w:val="20"/>
          <w:szCs w:val="20"/>
        </w:rPr>
        <w:t xml:space="preserve">over the 2022 to 2024 period </w:t>
      </w:r>
      <w:r w:rsidRPr="00C27C51">
        <w:rPr>
          <w:rFonts w:ascii="Verdana" w:hAnsi="Verdana"/>
          <w:sz w:val="20"/>
          <w:szCs w:val="20"/>
        </w:rPr>
        <w:t xml:space="preserve">would not be sufficient </w:t>
      </w:r>
      <w:r w:rsidR="003C0E99" w:rsidRPr="00C27C51">
        <w:rPr>
          <w:rFonts w:ascii="Verdana" w:hAnsi="Verdana"/>
          <w:sz w:val="20"/>
          <w:szCs w:val="20"/>
        </w:rPr>
        <w:t xml:space="preserve">to reduce the high unemployment rate </w:t>
      </w:r>
      <w:r w:rsidR="00F63B39" w:rsidRPr="00C27C51">
        <w:rPr>
          <w:rFonts w:ascii="Verdana" w:hAnsi="Verdana"/>
          <w:sz w:val="20"/>
          <w:szCs w:val="20"/>
        </w:rPr>
        <w:t xml:space="preserve">forecast at </w:t>
      </w:r>
      <w:r w:rsidR="003C0E99" w:rsidRPr="00C27C51">
        <w:rPr>
          <w:rFonts w:ascii="Verdana" w:hAnsi="Verdana"/>
          <w:sz w:val="20"/>
          <w:szCs w:val="20"/>
        </w:rPr>
        <w:t>34.</w:t>
      </w:r>
      <w:r w:rsidR="00653618" w:rsidRPr="00C27C51">
        <w:rPr>
          <w:rFonts w:ascii="Verdana" w:hAnsi="Verdana"/>
          <w:sz w:val="20"/>
          <w:szCs w:val="20"/>
        </w:rPr>
        <w:t>3</w:t>
      </w:r>
      <w:r w:rsidR="003C0E99" w:rsidRPr="00C27C51">
        <w:rPr>
          <w:rFonts w:ascii="Verdana" w:hAnsi="Verdana"/>
          <w:sz w:val="20"/>
          <w:szCs w:val="20"/>
        </w:rPr>
        <w:t xml:space="preserve">% </w:t>
      </w:r>
      <w:r w:rsidR="00F63B39" w:rsidRPr="00C27C51">
        <w:rPr>
          <w:rFonts w:ascii="Verdana" w:hAnsi="Verdana"/>
          <w:sz w:val="20"/>
          <w:szCs w:val="20"/>
        </w:rPr>
        <w:t>for 2022. South Africa is to remain in a paradoxical state of a growth recession, where slow growth is accompanied by rising unemployment unless some of the barriers to growth listed above are explicitly addressed</w:t>
      </w:r>
      <w:r w:rsidR="003C0E99" w:rsidRPr="00C27C51">
        <w:rPr>
          <w:rFonts w:ascii="Verdana" w:hAnsi="Verdana"/>
          <w:sz w:val="20"/>
          <w:szCs w:val="20"/>
        </w:rPr>
        <w:t>.</w:t>
      </w:r>
      <w:r w:rsidRPr="00C27C51">
        <w:rPr>
          <w:rFonts w:ascii="Verdana" w:hAnsi="Verdana"/>
          <w:sz w:val="20"/>
          <w:szCs w:val="20"/>
        </w:rPr>
        <w:t xml:space="preserve">  </w:t>
      </w:r>
    </w:p>
    <w:p w14:paraId="25B40CB7" w14:textId="77777777" w:rsidR="00653618" w:rsidRPr="00C27C51" w:rsidRDefault="00653618" w:rsidP="00C27C51">
      <w:pPr>
        <w:pStyle w:val="ListParagraph"/>
        <w:jc w:val="both"/>
        <w:rPr>
          <w:rFonts w:ascii="Verdana" w:hAnsi="Verdana"/>
          <w:sz w:val="20"/>
          <w:szCs w:val="20"/>
        </w:rPr>
      </w:pPr>
    </w:p>
    <w:p w14:paraId="1A0D1174" w14:textId="47B36A66" w:rsidR="0095466B" w:rsidRPr="00C27C51" w:rsidRDefault="0095466B" w:rsidP="00C27C51">
      <w:pPr>
        <w:jc w:val="both"/>
        <w:rPr>
          <w:rFonts w:ascii="Verdana" w:hAnsi="Verdana"/>
          <w:sz w:val="20"/>
          <w:szCs w:val="20"/>
        </w:rPr>
      </w:pPr>
      <w:r w:rsidRPr="00C27C51">
        <w:rPr>
          <w:rFonts w:ascii="Verdana" w:hAnsi="Verdana"/>
          <w:sz w:val="20"/>
          <w:szCs w:val="20"/>
        </w:rPr>
        <w:t>Callout</w:t>
      </w:r>
      <w:r w:rsidR="001D1B58" w:rsidRPr="00C27C51">
        <w:rPr>
          <w:rFonts w:ascii="Verdana" w:hAnsi="Verdana"/>
          <w:sz w:val="20"/>
          <w:szCs w:val="20"/>
        </w:rPr>
        <w:t xml:space="preserve"> - </w:t>
      </w:r>
      <w:r w:rsidRPr="00C27C51">
        <w:rPr>
          <w:rFonts w:ascii="Verdana" w:hAnsi="Verdana"/>
          <w:sz w:val="20"/>
          <w:szCs w:val="20"/>
        </w:rPr>
        <w:t>Inflation</w:t>
      </w:r>
    </w:p>
    <w:p w14:paraId="122803E3" w14:textId="17609B58" w:rsidR="000519DF" w:rsidRPr="00C27C51" w:rsidRDefault="001450D7" w:rsidP="00C27C51">
      <w:pPr>
        <w:pStyle w:val="ListParagraph"/>
        <w:numPr>
          <w:ilvl w:val="0"/>
          <w:numId w:val="4"/>
        </w:numPr>
        <w:jc w:val="both"/>
        <w:rPr>
          <w:rFonts w:ascii="Verdana" w:hAnsi="Verdana"/>
          <w:sz w:val="20"/>
          <w:szCs w:val="20"/>
        </w:rPr>
      </w:pPr>
      <w:r w:rsidRPr="00C27C51">
        <w:rPr>
          <w:rFonts w:ascii="Verdana" w:hAnsi="Verdana"/>
          <w:sz w:val="20"/>
          <w:szCs w:val="20"/>
        </w:rPr>
        <w:t>Global i</w:t>
      </w:r>
      <w:r w:rsidR="00B10C68" w:rsidRPr="00C27C51">
        <w:rPr>
          <w:rFonts w:ascii="Verdana" w:hAnsi="Verdana"/>
          <w:sz w:val="20"/>
          <w:szCs w:val="20"/>
        </w:rPr>
        <w:t xml:space="preserve">nflationary pressure </w:t>
      </w:r>
      <w:r w:rsidRPr="00C27C51">
        <w:rPr>
          <w:rFonts w:ascii="Verdana" w:hAnsi="Verdana"/>
          <w:sz w:val="20"/>
          <w:szCs w:val="20"/>
        </w:rPr>
        <w:t xml:space="preserve">continues </w:t>
      </w:r>
      <w:r w:rsidR="002D0C6D" w:rsidRPr="00C27C51">
        <w:rPr>
          <w:rFonts w:ascii="Verdana" w:hAnsi="Verdana"/>
          <w:sz w:val="20"/>
          <w:szCs w:val="20"/>
        </w:rPr>
        <w:t xml:space="preserve">to weigh on the economy </w:t>
      </w:r>
      <w:r w:rsidR="00F44C0D" w:rsidRPr="00C27C51">
        <w:rPr>
          <w:rFonts w:ascii="Verdana" w:hAnsi="Verdana"/>
          <w:sz w:val="20"/>
          <w:szCs w:val="20"/>
        </w:rPr>
        <w:t xml:space="preserve">and </w:t>
      </w:r>
      <w:r w:rsidR="00B10C68" w:rsidRPr="00C27C51">
        <w:rPr>
          <w:rFonts w:ascii="Verdana" w:hAnsi="Verdana"/>
          <w:sz w:val="20"/>
          <w:szCs w:val="20"/>
        </w:rPr>
        <w:t>remain</w:t>
      </w:r>
      <w:r w:rsidRPr="00C27C51">
        <w:rPr>
          <w:rFonts w:ascii="Verdana" w:hAnsi="Verdana"/>
          <w:sz w:val="20"/>
          <w:szCs w:val="20"/>
        </w:rPr>
        <w:t>s</w:t>
      </w:r>
      <w:r w:rsidR="00B10C68" w:rsidRPr="00C27C51">
        <w:rPr>
          <w:rFonts w:ascii="Verdana" w:hAnsi="Verdana"/>
          <w:sz w:val="20"/>
          <w:szCs w:val="20"/>
        </w:rPr>
        <w:t xml:space="preserve"> </w:t>
      </w:r>
      <w:r w:rsidRPr="00C27C51">
        <w:rPr>
          <w:rFonts w:ascii="Verdana" w:hAnsi="Verdana"/>
          <w:sz w:val="20"/>
          <w:szCs w:val="20"/>
        </w:rPr>
        <w:t xml:space="preserve">largely </w:t>
      </w:r>
      <w:r w:rsidR="00B10C68" w:rsidRPr="00C27C51">
        <w:rPr>
          <w:rFonts w:ascii="Verdana" w:hAnsi="Verdana"/>
          <w:sz w:val="20"/>
          <w:szCs w:val="20"/>
        </w:rPr>
        <w:t>cost push in nature as aggregate demand still lags below its potential level</w:t>
      </w:r>
      <w:r w:rsidR="00924C4C" w:rsidRPr="00C27C51">
        <w:rPr>
          <w:rFonts w:ascii="Verdana" w:hAnsi="Verdana"/>
          <w:sz w:val="20"/>
          <w:szCs w:val="20"/>
        </w:rPr>
        <w:t xml:space="preserve">. </w:t>
      </w:r>
      <w:r w:rsidR="00B10C68" w:rsidRPr="00C27C51">
        <w:rPr>
          <w:rFonts w:ascii="Verdana" w:hAnsi="Verdana"/>
          <w:sz w:val="20"/>
          <w:szCs w:val="20"/>
        </w:rPr>
        <w:t xml:space="preserve"> The main drivers of </w:t>
      </w:r>
      <w:r w:rsidR="00906CD4" w:rsidRPr="00C27C51">
        <w:rPr>
          <w:rFonts w:ascii="Verdana" w:hAnsi="Verdana"/>
          <w:sz w:val="20"/>
          <w:szCs w:val="20"/>
        </w:rPr>
        <w:t xml:space="preserve">forecast </w:t>
      </w:r>
      <w:r w:rsidR="00B10C68" w:rsidRPr="00C27C51">
        <w:rPr>
          <w:rFonts w:ascii="Verdana" w:hAnsi="Verdana"/>
          <w:sz w:val="20"/>
          <w:szCs w:val="20"/>
        </w:rPr>
        <w:t xml:space="preserve">consumer inflation </w:t>
      </w:r>
      <w:r w:rsidRPr="00C27C51">
        <w:rPr>
          <w:rFonts w:ascii="Verdana" w:hAnsi="Verdana"/>
          <w:sz w:val="20"/>
          <w:szCs w:val="20"/>
        </w:rPr>
        <w:t>remain</w:t>
      </w:r>
      <w:r w:rsidR="00906CD4" w:rsidRPr="00C27C51">
        <w:rPr>
          <w:rFonts w:ascii="Verdana" w:hAnsi="Verdana"/>
          <w:sz w:val="20"/>
          <w:szCs w:val="20"/>
        </w:rPr>
        <w:t xml:space="preserve"> </w:t>
      </w:r>
      <w:r w:rsidR="00B10C68" w:rsidRPr="00C27C51">
        <w:rPr>
          <w:rFonts w:ascii="Verdana" w:hAnsi="Verdana"/>
          <w:sz w:val="20"/>
          <w:szCs w:val="20"/>
        </w:rPr>
        <w:t>energy prices, including both fuel and electricity prices, as well as food</w:t>
      </w:r>
      <w:r w:rsidR="000519DF" w:rsidRPr="00C27C51">
        <w:rPr>
          <w:rFonts w:ascii="Verdana" w:hAnsi="Verdana"/>
          <w:sz w:val="20"/>
          <w:szCs w:val="20"/>
        </w:rPr>
        <w:t xml:space="preserve"> prices caused by ongoing supply chain disruptions following the Covid-19 pandemic and exacerbated by the Russian conflict in the Ukraine</w:t>
      </w:r>
      <w:r w:rsidR="00B10C68" w:rsidRPr="00C27C51">
        <w:rPr>
          <w:rFonts w:ascii="Verdana" w:hAnsi="Verdana"/>
          <w:sz w:val="20"/>
          <w:szCs w:val="20"/>
        </w:rPr>
        <w:t xml:space="preserve">.  </w:t>
      </w:r>
    </w:p>
    <w:p w14:paraId="5FD687B7" w14:textId="1C2F7522" w:rsidR="00514565" w:rsidRPr="00C27C51" w:rsidRDefault="001450D7" w:rsidP="00C27C51">
      <w:pPr>
        <w:pStyle w:val="ListParagraph"/>
        <w:numPr>
          <w:ilvl w:val="0"/>
          <w:numId w:val="4"/>
        </w:numPr>
        <w:jc w:val="both"/>
        <w:rPr>
          <w:rFonts w:ascii="Verdana" w:hAnsi="Verdana"/>
          <w:sz w:val="20"/>
          <w:szCs w:val="20"/>
        </w:rPr>
      </w:pPr>
      <w:r w:rsidRPr="00C27C51">
        <w:rPr>
          <w:rFonts w:ascii="Verdana" w:hAnsi="Verdana"/>
          <w:sz w:val="20"/>
          <w:szCs w:val="20"/>
        </w:rPr>
        <w:t>Although</w:t>
      </w:r>
      <w:r w:rsidR="00836D72" w:rsidRPr="00C27C51">
        <w:rPr>
          <w:rFonts w:ascii="Verdana" w:hAnsi="Verdana"/>
          <w:sz w:val="20"/>
          <w:szCs w:val="20"/>
        </w:rPr>
        <w:t xml:space="preserve"> </w:t>
      </w:r>
      <w:r w:rsidRPr="00C27C51">
        <w:rPr>
          <w:rFonts w:ascii="Verdana" w:hAnsi="Verdana"/>
          <w:sz w:val="20"/>
          <w:szCs w:val="20"/>
        </w:rPr>
        <w:t xml:space="preserve">the </w:t>
      </w:r>
      <w:r w:rsidR="00924C4C" w:rsidRPr="00C27C51">
        <w:rPr>
          <w:rFonts w:ascii="Verdana" w:hAnsi="Verdana"/>
          <w:sz w:val="20"/>
          <w:szCs w:val="20"/>
        </w:rPr>
        <w:t xml:space="preserve">global increase in </w:t>
      </w:r>
      <w:r w:rsidR="00836D72" w:rsidRPr="00C27C51">
        <w:rPr>
          <w:rFonts w:ascii="Verdana" w:hAnsi="Verdana"/>
          <w:sz w:val="20"/>
          <w:szCs w:val="20"/>
        </w:rPr>
        <w:t>commodity prices</w:t>
      </w:r>
      <w:r w:rsidRPr="00C27C51">
        <w:rPr>
          <w:rFonts w:ascii="Verdana" w:hAnsi="Verdana"/>
          <w:sz w:val="20"/>
          <w:szCs w:val="20"/>
        </w:rPr>
        <w:t xml:space="preserve"> has slowed somewhat on lower growth expectations</w:t>
      </w:r>
      <w:r w:rsidR="00B5481B" w:rsidRPr="00C27C51">
        <w:rPr>
          <w:rFonts w:ascii="Verdana" w:hAnsi="Verdana"/>
          <w:sz w:val="20"/>
          <w:szCs w:val="20"/>
        </w:rPr>
        <w:t>,</w:t>
      </w:r>
      <w:r w:rsidR="00836D72" w:rsidRPr="00C27C51">
        <w:rPr>
          <w:rFonts w:ascii="Verdana" w:hAnsi="Verdana"/>
          <w:sz w:val="20"/>
          <w:szCs w:val="20"/>
        </w:rPr>
        <w:t xml:space="preserve"> </w:t>
      </w:r>
      <w:r w:rsidR="00C33391" w:rsidRPr="00C27C51">
        <w:rPr>
          <w:rFonts w:ascii="Verdana" w:hAnsi="Verdana"/>
          <w:sz w:val="20"/>
          <w:szCs w:val="20"/>
        </w:rPr>
        <w:t xml:space="preserve">South Africa </w:t>
      </w:r>
      <w:r w:rsidRPr="00C27C51">
        <w:rPr>
          <w:rFonts w:ascii="Verdana" w:hAnsi="Verdana"/>
          <w:sz w:val="20"/>
          <w:szCs w:val="20"/>
        </w:rPr>
        <w:t>still faces elevated</w:t>
      </w:r>
      <w:r w:rsidR="00836D72" w:rsidRPr="00C27C51">
        <w:rPr>
          <w:rFonts w:ascii="Verdana" w:hAnsi="Verdana"/>
          <w:sz w:val="20"/>
          <w:szCs w:val="20"/>
        </w:rPr>
        <w:t xml:space="preserve"> fuel</w:t>
      </w:r>
      <w:r w:rsidR="00924C4C" w:rsidRPr="00C27C51">
        <w:rPr>
          <w:rFonts w:ascii="Verdana" w:hAnsi="Verdana"/>
          <w:sz w:val="20"/>
          <w:szCs w:val="20"/>
        </w:rPr>
        <w:t xml:space="preserve"> and food production costs</w:t>
      </w:r>
      <w:r w:rsidR="00906CD4" w:rsidRPr="00C27C51">
        <w:rPr>
          <w:rFonts w:ascii="Verdana" w:hAnsi="Verdana"/>
          <w:sz w:val="20"/>
          <w:szCs w:val="20"/>
        </w:rPr>
        <w:t xml:space="preserve">. </w:t>
      </w:r>
      <w:r w:rsidR="00B10C68" w:rsidRPr="00C27C51">
        <w:rPr>
          <w:rFonts w:ascii="Verdana" w:hAnsi="Verdana"/>
          <w:sz w:val="20"/>
          <w:szCs w:val="20"/>
        </w:rPr>
        <w:t xml:space="preserve">Energy supply and in particular </w:t>
      </w:r>
      <w:r w:rsidR="008842C5" w:rsidRPr="00C27C51">
        <w:rPr>
          <w:rFonts w:ascii="Verdana" w:hAnsi="Verdana"/>
          <w:sz w:val="20"/>
          <w:szCs w:val="20"/>
        </w:rPr>
        <w:t>electricity</w:t>
      </w:r>
      <w:r w:rsidR="00B10C68" w:rsidRPr="00C27C51">
        <w:rPr>
          <w:rFonts w:ascii="Verdana" w:hAnsi="Verdana"/>
          <w:sz w:val="20"/>
          <w:szCs w:val="20"/>
        </w:rPr>
        <w:t xml:space="preserve">, remain an ongoing concern for </w:t>
      </w:r>
      <w:r w:rsidR="008842C5" w:rsidRPr="00C27C51">
        <w:rPr>
          <w:rFonts w:ascii="Verdana" w:hAnsi="Verdana"/>
          <w:sz w:val="20"/>
          <w:szCs w:val="20"/>
        </w:rPr>
        <w:t xml:space="preserve">South Africa </w:t>
      </w:r>
      <w:r w:rsidR="00C33391" w:rsidRPr="00C27C51">
        <w:rPr>
          <w:rFonts w:ascii="Verdana" w:hAnsi="Verdana"/>
          <w:sz w:val="20"/>
          <w:szCs w:val="20"/>
        </w:rPr>
        <w:t xml:space="preserve">whose energy regulator awarded the state-owned utility an </w:t>
      </w:r>
      <w:r w:rsidRPr="00C27C51">
        <w:rPr>
          <w:rFonts w:ascii="Verdana" w:hAnsi="Verdana"/>
          <w:sz w:val="20"/>
          <w:szCs w:val="20"/>
        </w:rPr>
        <w:t xml:space="preserve">above inflation </w:t>
      </w:r>
      <w:r w:rsidR="00C33391" w:rsidRPr="00C27C51">
        <w:rPr>
          <w:rFonts w:ascii="Verdana" w:hAnsi="Verdana"/>
          <w:sz w:val="20"/>
          <w:szCs w:val="20"/>
        </w:rPr>
        <w:t>9.6% increase in energy prices from 1 April 2022</w:t>
      </w:r>
      <w:r w:rsidR="00F44C0D" w:rsidRPr="00C27C51">
        <w:rPr>
          <w:rFonts w:ascii="Verdana" w:hAnsi="Verdana"/>
          <w:sz w:val="20"/>
          <w:szCs w:val="20"/>
        </w:rPr>
        <w:t xml:space="preserve">.  </w:t>
      </w:r>
    </w:p>
    <w:p w14:paraId="29065FAA" w14:textId="38A48914" w:rsidR="000519DF" w:rsidRPr="00C27C51" w:rsidRDefault="00F44C0D" w:rsidP="00C27C51">
      <w:pPr>
        <w:pStyle w:val="ListParagraph"/>
        <w:numPr>
          <w:ilvl w:val="0"/>
          <w:numId w:val="4"/>
        </w:numPr>
        <w:jc w:val="both"/>
        <w:rPr>
          <w:rFonts w:ascii="Verdana" w:hAnsi="Verdana"/>
          <w:sz w:val="20"/>
          <w:szCs w:val="20"/>
        </w:rPr>
      </w:pPr>
      <w:r w:rsidRPr="00C27C51">
        <w:rPr>
          <w:rFonts w:ascii="Verdana" w:hAnsi="Verdana"/>
          <w:sz w:val="20"/>
          <w:szCs w:val="20"/>
        </w:rPr>
        <w:t xml:space="preserve">The positive balance on the current account resulting from </w:t>
      </w:r>
      <w:r w:rsidR="001450D7" w:rsidRPr="00C27C51">
        <w:rPr>
          <w:rFonts w:ascii="Verdana" w:hAnsi="Verdana"/>
          <w:sz w:val="20"/>
          <w:szCs w:val="20"/>
        </w:rPr>
        <w:t>elevated</w:t>
      </w:r>
      <w:r w:rsidRPr="00C27C51">
        <w:rPr>
          <w:rFonts w:ascii="Verdana" w:hAnsi="Verdana"/>
          <w:sz w:val="20"/>
          <w:szCs w:val="20"/>
        </w:rPr>
        <w:t xml:space="preserve"> commodity exports, although being supportive of the rand, </w:t>
      </w:r>
      <w:r w:rsidR="00B5481B" w:rsidRPr="00C27C51">
        <w:rPr>
          <w:rFonts w:ascii="Verdana" w:hAnsi="Verdana"/>
          <w:sz w:val="20"/>
          <w:szCs w:val="20"/>
        </w:rPr>
        <w:t>is</w:t>
      </w:r>
      <w:r w:rsidRPr="00C27C51">
        <w:rPr>
          <w:rFonts w:ascii="Verdana" w:hAnsi="Verdana"/>
          <w:sz w:val="20"/>
          <w:szCs w:val="20"/>
        </w:rPr>
        <w:t xml:space="preserve"> not large enough to </w:t>
      </w:r>
      <w:r w:rsidR="000519DF" w:rsidRPr="00C27C51">
        <w:rPr>
          <w:rFonts w:ascii="Verdana" w:hAnsi="Verdana"/>
          <w:sz w:val="20"/>
          <w:szCs w:val="20"/>
        </w:rPr>
        <w:t>shield</w:t>
      </w:r>
      <w:r w:rsidRPr="00C27C51">
        <w:rPr>
          <w:rFonts w:ascii="Verdana" w:hAnsi="Verdana"/>
          <w:sz w:val="20"/>
          <w:szCs w:val="20"/>
        </w:rPr>
        <w:t xml:space="preserve"> South Africa from </w:t>
      </w:r>
      <w:r w:rsidR="001450D7" w:rsidRPr="00C27C51">
        <w:rPr>
          <w:rFonts w:ascii="Verdana" w:hAnsi="Verdana"/>
          <w:sz w:val="20"/>
          <w:szCs w:val="20"/>
        </w:rPr>
        <w:t xml:space="preserve">the strengthening US dollar and </w:t>
      </w:r>
      <w:r w:rsidRPr="00C27C51">
        <w:rPr>
          <w:rFonts w:ascii="Verdana" w:hAnsi="Verdana"/>
          <w:sz w:val="20"/>
          <w:szCs w:val="20"/>
        </w:rPr>
        <w:t>these inflationary increases</w:t>
      </w:r>
      <w:r w:rsidR="00EB2F15" w:rsidRPr="00C27C51">
        <w:rPr>
          <w:rFonts w:ascii="Verdana" w:hAnsi="Verdana"/>
          <w:sz w:val="20"/>
          <w:szCs w:val="20"/>
        </w:rPr>
        <w:t>.</w:t>
      </w:r>
    </w:p>
    <w:p w14:paraId="69087633" w14:textId="69CB5608" w:rsidR="00653618" w:rsidRPr="00C27C51" w:rsidRDefault="001450D7" w:rsidP="00C27C51">
      <w:pPr>
        <w:pStyle w:val="ListParagraph"/>
        <w:numPr>
          <w:ilvl w:val="0"/>
          <w:numId w:val="4"/>
        </w:numPr>
        <w:jc w:val="both"/>
        <w:rPr>
          <w:rFonts w:ascii="Verdana" w:hAnsi="Verdana"/>
          <w:sz w:val="20"/>
          <w:szCs w:val="20"/>
        </w:rPr>
      </w:pPr>
      <w:r w:rsidRPr="00C27C51">
        <w:rPr>
          <w:rFonts w:ascii="Verdana" w:hAnsi="Verdana"/>
          <w:sz w:val="20"/>
          <w:szCs w:val="20"/>
        </w:rPr>
        <w:t>Headline</w:t>
      </w:r>
      <w:r w:rsidR="00F44C0D" w:rsidRPr="00C27C51">
        <w:rPr>
          <w:rFonts w:ascii="Verdana" w:hAnsi="Verdana"/>
          <w:sz w:val="20"/>
          <w:szCs w:val="20"/>
        </w:rPr>
        <w:t xml:space="preserve"> consumer </w:t>
      </w:r>
      <w:r w:rsidR="00906CD4" w:rsidRPr="00C27C51">
        <w:rPr>
          <w:rFonts w:ascii="Verdana" w:hAnsi="Verdana"/>
          <w:sz w:val="20"/>
          <w:szCs w:val="20"/>
        </w:rPr>
        <w:t xml:space="preserve">inflation rate is expected to </w:t>
      </w:r>
      <w:r w:rsidR="00C952C5" w:rsidRPr="00C27C51">
        <w:rPr>
          <w:rFonts w:ascii="Verdana" w:hAnsi="Verdana"/>
          <w:sz w:val="20"/>
          <w:szCs w:val="20"/>
        </w:rPr>
        <w:t>reach</w:t>
      </w:r>
      <w:r w:rsidR="00F44C0D" w:rsidRPr="00C27C51">
        <w:rPr>
          <w:rFonts w:ascii="Verdana" w:hAnsi="Verdana"/>
          <w:sz w:val="20"/>
          <w:szCs w:val="20"/>
        </w:rPr>
        <w:t xml:space="preserve"> </w:t>
      </w:r>
      <w:r w:rsidRPr="00C27C51">
        <w:rPr>
          <w:rFonts w:ascii="Verdana" w:hAnsi="Verdana"/>
          <w:sz w:val="20"/>
          <w:szCs w:val="20"/>
        </w:rPr>
        <w:t xml:space="preserve">well above </w:t>
      </w:r>
      <w:r w:rsidR="00F44C0D" w:rsidRPr="00C27C51">
        <w:rPr>
          <w:rFonts w:ascii="Verdana" w:hAnsi="Verdana"/>
          <w:sz w:val="20"/>
          <w:szCs w:val="20"/>
        </w:rPr>
        <w:t xml:space="preserve">the upper boundary of the </w:t>
      </w:r>
      <w:r w:rsidR="00906CD4" w:rsidRPr="00C27C51">
        <w:rPr>
          <w:rFonts w:ascii="Verdana" w:hAnsi="Verdana"/>
          <w:sz w:val="20"/>
          <w:szCs w:val="20"/>
        </w:rPr>
        <w:t>central bank’</w:t>
      </w:r>
      <w:r w:rsidR="00B5481B" w:rsidRPr="00C27C51">
        <w:rPr>
          <w:rFonts w:ascii="Verdana" w:hAnsi="Verdana"/>
          <w:sz w:val="20"/>
          <w:szCs w:val="20"/>
        </w:rPr>
        <w:t>s inflation</w:t>
      </w:r>
      <w:r w:rsidR="00906CD4" w:rsidRPr="00C27C51">
        <w:rPr>
          <w:rFonts w:ascii="Verdana" w:hAnsi="Verdana"/>
          <w:sz w:val="20"/>
          <w:szCs w:val="20"/>
        </w:rPr>
        <w:t xml:space="preserve"> target</w:t>
      </w:r>
      <w:r w:rsidR="00B5481B" w:rsidRPr="00C27C51">
        <w:rPr>
          <w:rFonts w:ascii="Verdana" w:hAnsi="Verdana"/>
          <w:sz w:val="20"/>
          <w:szCs w:val="20"/>
        </w:rPr>
        <w:t>ing</w:t>
      </w:r>
      <w:r w:rsidR="00906CD4" w:rsidRPr="00C27C51">
        <w:rPr>
          <w:rFonts w:ascii="Verdana" w:hAnsi="Verdana"/>
          <w:sz w:val="20"/>
          <w:szCs w:val="20"/>
        </w:rPr>
        <w:t xml:space="preserve"> range of 3% to 6% </w:t>
      </w:r>
      <w:r w:rsidR="00C952C5" w:rsidRPr="00C27C51">
        <w:rPr>
          <w:rFonts w:ascii="Verdana" w:hAnsi="Verdana"/>
          <w:sz w:val="20"/>
          <w:szCs w:val="20"/>
        </w:rPr>
        <w:t xml:space="preserve">at </w:t>
      </w:r>
      <w:r w:rsidR="002D0C6D" w:rsidRPr="00C27C51">
        <w:rPr>
          <w:rFonts w:ascii="Verdana" w:hAnsi="Verdana"/>
          <w:sz w:val="20"/>
          <w:szCs w:val="20"/>
        </w:rPr>
        <w:t xml:space="preserve">around </w:t>
      </w:r>
      <w:r w:rsidR="00C952C5" w:rsidRPr="00C27C51">
        <w:rPr>
          <w:rFonts w:ascii="Verdana" w:hAnsi="Verdana"/>
          <w:sz w:val="20"/>
          <w:szCs w:val="20"/>
        </w:rPr>
        <w:t xml:space="preserve">7.3% </w:t>
      </w:r>
      <w:r w:rsidR="00F44C0D" w:rsidRPr="00C27C51">
        <w:rPr>
          <w:rFonts w:ascii="Verdana" w:hAnsi="Verdana"/>
          <w:sz w:val="20"/>
          <w:szCs w:val="20"/>
        </w:rPr>
        <w:t>in</w:t>
      </w:r>
      <w:r w:rsidR="00906CD4" w:rsidRPr="00C27C51">
        <w:rPr>
          <w:rFonts w:ascii="Verdana" w:hAnsi="Verdana"/>
          <w:sz w:val="20"/>
          <w:szCs w:val="20"/>
        </w:rPr>
        <w:t xml:space="preserve"> 2022</w:t>
      </w:r>
      <w:r w:rsidR="000F069F" w:rsidRPr="00C27C51">
        <w:rPr>
          <w:rFonts w:ascii="Verdana" w:hAnsi="Verdana"/>
          <w:sz w:val="20"/>
          <w:szCs w:val="20"/>
        </w:rPr>
        <w:t xml:space="preserve"> </w:t>
      </w:r>
      <w:r w:rsidR="00F44C0D" w:rsidRPr="00C27C51">
        <w:rPr>
          <w:rFonts w:ascii="Verdana" w:hAnsi="Verdana"/>
          <w:sz w:val="20"/>
          <w:szCs w:val="20"/>
        </w:rPr>
        <w:lastRenderedPageBreak/>
        <w:t xml:space="preserve">before moving back towards the </w:t>
      </w:r>
      <w:r w:rsidR="00C952C5" w:rsidRPr="00C27C51">
        <w:rPr>
          <w:rFonts w:ascii="Verdana" w:hAnsi="Verdana"/>
          <w:sz w:val="20"/>
          <w:szCs w:val="20"/>
        </w:rPr>
        <w:t xml:space="preserve">upper bound of 6% in 2023 and further to the </w:t>
      </w:r>
      <w:r w:rsidR="00F44C0D" w:rsidRPr="00C27C51">
        <w:rPr>
          <w:rFonts w:ascii="Verdana" w:hAnsi="Verdana"/>
          <w:sz w:val="20"/>
          <w:szCs w:val="20"/>
        </w:rPr>
        <w:t>midpoint of th</w:t>
      </w:r>
      <w:r w:rsidR="00B5481B" w:rsidRPr="00C27C51">
        <w:rPr>
          <w:rFonts w:ascii="Verdana" w:hAnsi="Verdana"/>
          <w:sz w:val="20"/>
          <w:szCs w:val="20"/>
        </w:rPr>
        <w:t>e</w:t>
      </w:r>
      <w:r w:rsidR="00F44C0D" w:rsidRPr="00C27C51">
        <w:rPr>
          <w:rFonts w:ascii="Verdana" w:hAnsi="Verdana"/>
          <w:sz w:val="20"/>
          <w:szCs w:val="20"/>
        </w:rPr>
        <w:t xml:space="preserve"> targeting range in 202</w:t>
      </w:r>
      <w:r w:rsidR="00C952C5" w:rsidRPr="00C27C51">
        <w:rPr>
          <w:rFonts w:ascii="Verdana" w:hAnsi="Verdana"/>
          <w:sz w:val="20"/>
          <w:szCs w:val="20"/>
        </w:rPr>
        <w:t>4</w:t>
      </w:r>
      <w:r w:rsidR="00D91439" w:rsidRPr="00C27C51">
        <w:rPr>
          <w:rFonts w:ascii="Verdana" w:hAnsi="Verdana"/>
          <w:sz w:val="20"/>
          <w:szCs w:val="20"/>
        </w:rPr>
        <w:t>.</w:t>
      </w:r>
    </w:p>
    <w:p w14:paraId="0EB8A218" w14:textId="77777777" w:rsidR="006F5AAD" w:rsidRPr="00C27C51" w:rsidRDefault="006F5AAD" w:rsidP="00C27C51">
      <w:pPr>
        <w:ind w:left="360"/>
        <w:jc w:val="both"/>
        <w:rPr>
          <w:rFonts w:ascii="Verdana" w:hAnsi="Verdana"/>
          <w:b/>
          <w:bCs/>
          <w:sz w:val="20"/>
          <w:szCs w:val="20"/>
        </w:rPr>
      </w:pPr>
    </w:p>
    <w:p w14:paraId="72A642EC" w14:textId="2BED1A87" w:rsidR="006F5AAD" w:rsidRPr="00C27C51" w:rsidRDefault="006F5AAD" w:rsidP="00C27C51">
      <w:pPr>
        <w:ind w:left="360"/>
        <w:jc w:val="both"/>
        <w:rPr>
          <w:rFonts w:ascii="Verdana" w:hAnsi="Verdana"/>
          <w:b/>
          <w:bCs/>
          <w:sz w:val="20"/>
          <w:szCs w:val="20"/>
        </w:rPr>
      </w:pPr>
      <w:r w:rsidRPr="00C27C51">
        <w:rPr>
          <w:rFonts w:ascii="Verdana" w:hAnsi="Verdana"/>
          <w:b/>
          <w:bCs/>
          <w:sz w:val="20"/>
          <w:szCs w:val="20"/>
        </w:rPr>
        <w:t>Chart 1: Current Account Balance</w:t>
      </w:r>
    </w:p>
    <w:p w14:paraId="6F624414" w14:textId="633C4EB6" w:rsidR="006F5AAD" w:rsidRPr="00C27C51" w:rsidRDefault="00BA4CC0" w:rsidP="00C27C51">
      <w:pPr>
        <w:ind w:left="360"/>
        <w:jc w:val="both"/>
        <w:rPr>
          <w:rFonts w:ascii="Verdana" w:hAnsi="Verdana"/>
          <w:sz w:val="20"/>
          <w:szCs w:val="20"/>
        </w:rPr>
      </w:pPr>
      <w:r w:rsidRPr="00C27C51">
        <w:rPr>
          <w:rFonts w:ascii="Verdana" w:hAnsi="Verdana"/>
          <w:noProof/>
          <w:sz w:val="20"/>
          <w:szCs w:val="20"/>
        </w:rPr>
        <w:drawing>
          <wp:inline distT="0" distB="0" distL="0" distR="0" wp14:anchorId="1BA48671" wp14:editId="11C66D3A">
            <wp:extent cx="5384800" cy="317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84800" cy="3175000"/>
                    </a:xfrm>
                    <a:prstGeom prst="rect">
                      <a:avLst/>
                    </a:prstGeom>
                  </pic:spPr>
                </pic:pic>
              </a:graphicData>
            </a:graphic>
          </wp:inline>
        </w:drawing>
      </w:r>
    </w:p>
    <w:p w14:paraId="27DAA648" w14:textId="77777777" w:rsidR="006F5AAD" w:rsidRPr="00C27C51" w:rsidRDefault="006F5AAD" w:rsidP="00C27C51">
      <w:pPr>
        <w:ind w:left="360"/>
        <w:jc w:val="both"/>
        <w:rPr>
          <w:rFonts w:ascii="Verdana" w:hAnsi="Verdana"/>
          <w:sz w:val="20"/>
          <w:szCs w:val="20"/>
        </w:rPr>
      </w:pPr>
      <w:r w:rsidRPr="00C27C51">
        <w:rPr>
          <w:rFonts w:ascii="Verdana" w:hAnsi="Verdana"/>
          <w:sz w:val="20"/>
          <w:szCs w:val="20"/>
        </w:rPr>
        <w:t>Source(s): Statistics South Africa, South African Reserve Bank, KPMG analysis</w:t>
      </w:r>
    </w:p>
    <w:p w14:paraId="401CB020" w14:textId="77777777" w:rsidR="00653618" w:rsidRPr="00C27C51" w:rsidRDefault="00653618" w:rsidP="00C27C51">
      <w:pPr>
        <w:jc w:val="both"/>
        <w:rPr>
          <w:rFonts w:ascii="Verdana" w:hAnsi="Verdana"/>
          <w:sz w:val="20"/>
          <w:szCs w:val="20"/>
        </w:rPr>
      </w:pPr>
    </w:p>
    <w:p w14:paraId="1AEA2339" w14:textId="500673C7" w:rsidR="009D0839" w:rsidRPr="00C27C51" w:rsidRDefault="0095466B" w:rsidP="00C27C51">
      <w:pPr>
        <w:jc w:val="both"/>
        <w:rPr>
          <w:rFonts w:ascii="Verdana" w:hAnsi="Verdana"/>
          <w:b/>
          <w:bCs/>
          <w:sz w:val="20"/>
          <w:szCs w:val="20"/>
        </w:rPr>
      </w:pPr>
      <w:r w:rsidRPr="00C27C51">
        <w:rPr>
          <w:rFonts w:ascii="Verdana" w:hAnsi="Verdana"/>
          <w:b/>
          <w:bCs/>
          <w:sz w:val="20"/>
          <w:szCs w:val="20"/>
        </w:rPr>
        <w:t xml:space="preserve">Chart </w:t>
      </w:r>
      <w:r w:rsidR="006F5AAD" w:rsidRPr="00C27C51">
        <w:rPr>
          <w:rFonts w:ascii="Verdana" w:hAnsi="Verdana"/>
          <w:b/>
          <w:bCs/>
          <w:sz w:val="20"/>
          <w:szCs w:val="20"/>
        </w:rPr>
        <w:t>2</w:t>
      </w:r>
      <w:r w:rsidRPr="00C27C51">
        <w:rPr>
          <w:rFonts w:ascii="Verdana" w:hAnsi="Verdana"/>
          <w:b/>
          <w:bCs/>
          <w:sz w:val="20"/>
          <w:szCs w:val="20"/>
        </w:rPr>
        <w:t xml:space="preserve">: </w:t>
      </w:r>
      <w:r w:rsidR="00433000" w:rsidRPr="00C27C51">
        <w:rPr>
          <w:rFonts w:ascii="Verdana" w:hAnsi="Verdana"/>
          <w:b/>
          <w:bCs/>
          <w:sz w:val="20"/>
          <w:szCs w:val="20"/>
        </w:rPr>
        <w:t>Consumer Price Inflation</w:t>
      </w:r>
      <w:r w:rsidR="00187295" w:rsidRPr="00C27C51">
        <w:rPr>
          <w:rFonts w:ascii="Verdana" w:hAnsi="Verdana"/>
          <w:b/>
          <w:bCs/>
          <w:sz w:val="20"/>
          <w:szCs w:val="20"/>
        </w:rPr>
        <w:t xml:space="preserve"> </w:t>
      </w:r>
    </w:p>
    <w:p w14:paraId="2CDFCE26" w14:textId="04590B30" w:rsidR="000F2627" w:rsidRPr="00C27C51" w:rsidRDefault="000F2627" w:rsidP="00C27C51">
      <w:pPr>
        <w:jc w:val="both"/>
        <w:rPr>
          <w:rFonts w:ascii="Verdana" w:hAnsi="Verdana"/>
          <w:sz w:val="20"/>
          <w:szCs w:val="20"/>
        </w:rPr>
      </w:pPr>
      <w:r w:rsidRPr="00C27C51">
        <w:rPr>
          <w:rFonts w:ascii="Verdana" w:hAnsi="Verdana"/>
          <w:noProof/>
          <w:sz w:val="20"/>
          <w:szCs w:val="20"/>
        </w:rPr>
        <w:lastRenderedPageBreak/>
        <w:drawing>
          <wp:inline distT="0" distB="0" distL="0" distR="0" wp14:anchorId="6893B794" wp14:editId="05F68694">
            <wp:extent cx="5270500" cy="3454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0500" cy="3454400"/>
                    </a:xfrm>
                    <a:prstGeom prst="rect">
                      <a:avLst/>
                    </a:prstGeom>
                  </pic:spPr>
                </pic:pic>
              </a:graphicData>
            </a:graphic>
          </wp:inline>
        </w:drawing>
      </w:r>
    </w:p>
    <w:p w14:paraId="6B9F5ED3" w14:textId="5B0B81F7" w:rsidR="0095466B" w:rsidRPr="00C27C51" w:rsidRDefault="0095466B" w:rsidP="00C27C51">
      <w:pPr>
        <w:jc w:val="both"/>
        <w:rPr>
          <w:rFonts w:ascii="Verdana" w:hAnsi="Verdana"/>
          <w:sz w:val="20"/>
          <w:szCs w:val="20"/>
        </w:rPr>
      </w:pPr>
      <w:r w:rsidRPr="00C27C51">
        <w:rPr>
          <w:rFonts w:ascii="Verdana" w:hAnsi="Verdana"/>
          <w:sz w:val="20"/>
          <w:szCs w:val="20"/>
        </w:rPr>
        <w:t>Source</w:t>
      </w:r>
      <w:r w:rsidR="00F67165" w:rsidRPr="00C27C51">
        <w:rPr>
          <w:rFonts w:ascii="Verdana" w:hAnsi="Verdana"/>
          <w:sz w:val="20"/>
          <w:szCs w:val="20"/>
        </w:rPr>
        <w:t>(s)</w:t>
      </w:r>
      <w:r w:rsidRPr="00C27C51">
        <w:rPr>
          <w:rFonts w:ascii="Verdana" w:hAnsi="Verdana"/>
          <w:sz w:val="20"/>
          <w:szCs w:val="20"/>
        </w:rPr>
        <w:t xml:space="preserve">: </w:t>
      </w:r>
      <w:r w:rsidR="00187295" w:rsidRPr="00C27C51">
        <w:rPr>
          <w:rFonts w:ascii="Verdana" w:hAnsi="Verdana"/>
          <w:sz w:val="20"/>
          <w:szCs w:val="20"/>
        </w:rPr>
        <w:t>Statistics South Africa, KPMG analysis</w:t>
      </w:r>
    </w:p>
    <w:p w14:paraId="635F4602" w14:textId="77777777" w:rsidR="006F5AAD" w:rsidRDefault="006F5AAD"/>
    <w:sectPr w:rsidR="006F5AAD" w:rsidSect="00720E93">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340F8" w14:textId="77777777" w:rsidR="00FE03BA" w:rsidRDefault="00FE03BA" w:rsidP="0081754D">
      <w:pPr>
        <w:spacing w:after="0" w:line="240" w:lineRule="auto"/>
      </w:pPr>
      <w:r>
        <w:separator/>
      </w:r>
    </w:p>
  </w:endnote>
  <w:endnote w:type="continuationSeparator" w:id="0">
    <w:p w14:paraId="0D129C1A" w14:textId="77777777" w:rsidR="00FE03BA" w:rsidRDefault="00FE03BA" w:rsidP="00817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EFFE" w14:textId="77777777" w:rsidR="00FE03BA" w:rsidRDefault="00FE03BA" w:rsidP="0081754D">
      <w:pPr>
        <w:spacing w:after="0" w:line="240" w:lineRule="auto"/>
      </w:pPr>
      <w:r>
        <w:separator/>
      </w:r>
    </w:p>
  </w:footnote>
  <w:footnote w:type="continuationSeparator" w:id="0">
    <w:p w14:paraId="7EA06023" w14:textId="77777777" w:rsidR="00FE03BA" w:rsidRDefault="00FE03BA" w:rsidP="0081754D">
      <w:pPr>
        <w:spacing w:after="0" w:line="240" w:lineRule="auto"/>
      </w:pPr>
      <w:r>
        <w:continuationSeparator/>
      </w:r>
    </w:p>
  </w:footnote>
  <w:footnote w:id="1">
    <w:p w14:paraId="74833267" w14:textId="44B4047C" w:rsidR="0081754D" w:rsidRPr="0081754D" w:rsidRDefault="0081754D">
      <w:pPr>
        <w:pStyle w:val="FootnoteText"/>
        <w:rPr>
          <w:lang w:val="en-ZA"/>
        </w:rPr>
      </w:pPr>
      <w:r>
        <w:rPr>
          <w:rStyle w:val="FootnoteReference"/>
        </w:rPr>
        <w:footnoteRef/>
      </w:r>
      <w:r>
        <w:t xml:space="preserve"> </w:t>
      </w:r>
      <w:r>
        <w:rPr>
          <w:lang w:val="en-ZA"/>
        </w:rPr>
        <w:t>These include palladium and other platinum group metals, gold, iron ore, coal as well as many other industrial metals.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41050"/>
    <w:multiLevelType w:val="hybridMultilevel"/>
    <w:tmpl w:val="58B81C88"/>
    <w:lvl w:ilvl="0" w:tplc="A874F074">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DE7CCE"/>
    <w:multiLevelType w:val="hybridMultilevel"/>
    <w:tmpl w:val="91E801F2"/>
    <w:lvl w:ilvl="0" w:tplc="67C6857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94E3A"/>
    <w:multiLevelType w:val="hybridMultilevel"/>
    <w:tmpl w:val="633C5B12"/>
    <w:lvl w:ilvl="0" w:tplc="C22C8FF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86801"/>
    <w:multiLevelType w:val="hybridMultilevel"/>
    <w:tmpl w:val="31BC7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46461850">
    <w:abstractNumId w:val="0"/>
  </w:num>
  <w:num w:numId="2" w16cid:durableId="663438878">
    <w:abstractNumId w:val="1"/>
  </w:num>
  <w:num w:numId="3" w16cid:durableId="229074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5993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66B"/>
    <w:rsid w:val="00033526"/>
    <w:rsid w:val="000519DF"/>
    <w:rsid w:val="00087896"/>
    <w:rsid w:val="000A41D6"/>
    <w:rsid w:val="000A6073"/>
    <w:rsid w:val="000B2059"/>
    <w:rsid w:val="000B57B0"/>
    <w:rsid w:val="000D4C51"/>
    <w:rsid w:val="000F069F"/>
    <w:rsid w:val="000F2627"/>
    <w:rsid w:val="001034DC"/>
    <w:rsid w:val="00126DD9"/>
    <w:rsid w:val="001450D7"/>
    <w:rsid w:val="00187295"/>
    <w:rsid w:val="001A5B0D"/>
    <w:rsid w:val="001C54B3"/>
    <w:rsid w:val="001D1B58"/>
    <w:rsid w:val="002360AD"/>
    <w:rsid w:val="00257EC3"/>
    <w:rsid w:val="00276B29"/>
    <w:rsid w:val="002D0C6D"/>
    <w:rsid w:val="00302DCD"/>
    <w:rsid w:val="0031378A"/>
    <w:rsid w:val="0031505A"/>
    <w:rsid w:val="003C0E99"/>
    <w:rsid w:val="003D5EC3"/>
    <w:rsid w:val="003E3E4E"/>
    <w:rsid w:val="0040725E"/>
    <w:rsid w:val="004225E8"/>
    <w:rsid w:val="00433000"/>
    <w:rsid w:val="004C431D"/>
    <w:rsid w:val="00514565"/>
    <w:rsid w:val="005169E2"/>
    <w:rsid w:val="005A5E0C"/>
    <w:rsid w:val="005E129E"/>
    <w:rsid w:val="0061109E"/>
    <w:rsid w:val="00653618"/>
    <w:rsid w:val="00691036"/>
    <w:rsid w:val="006E49D5"/>
    <w:rsid w:val="006F18EE"/>
    <w:rsid w:val="006F5AAD"/>
    <w:rsid w:val="00720E93"/>
    <w:rsid w:val="0073484C"/>
    <w:rsid w:val="00735792"/>
    <w:rsid w:val="00740640"/>
    <w:rsid w:val="007748BB"/>
    <w:rsid w:val="007A08FE"/>
    <w:rsid w:val="007B517B"/>
    <w:rsid w:val="00814A4C"/>
    <w:rsid w:val="0081754D"/>
    <w:rsid w:val="008220CD"/>
    <w:rsid w:val="00831AE1"/>
    <w:rsid w:val="00836D72"/>
    <w:rsid w:val="008615AD"/>
    <w:rsid w:val="008842C5"/>
    <w:rsid w:val="008B6E09"/>
    <w:rsid w:val="00906CD4"/>
    <w:rsid w:val="00917F33"/>
    <w:rsid w:val="00924C4C"/>
    <w:rsid w:val="00937FDC"/>
    <w:rsid w:val="0095466B"/>
    <w:rsid w:val="00995CA4"/>
    <w:rsid w:val="009D0839"/>
    <w:rsid w:val="00A00CC9"/>
    <w:rsid w:val="00A279BA"/>
    <w:rsid w:val="00A51C42"/>
    <w:rsid w:val="00A6329F"/>
    <w:rsid w:val="00A870B4"/>
    <w:rsid w:val="00A9652F"/>
    <w:rsid w:val="00AB0233"/>
    <w:rsid w:val="00AE2952"/>
    <w:rsid w:val="00AF38FA"/>
    <w:rsid w:val="00B001A0"/>
    <w:rsid w:val="00B10C68"/>
    <w:rsid w:val="00B34360"/>
    <w:rsid w:val="00B3506D"/>
    <w:rsid w:val="00B5481B"/>
    <w:rsid w:val="00B63BB5"/>
    <w:rsid w:val="00BA4CC0"/>
    <w:rsid w:val="00BD1B46"/>
    <w:rsid w:val="00C04AF1"/>
    <w:rsid w:val="00C27C51"/>
    <w:rsid w:val="00C33391"/>
    <w:rsid w:val="00C524D0"/>
    <w:rsid w:val="00C952C5"/>
    <w:rsid w:val="00CA60A7"/>
    <w:rsid w:val="00CB7FA4"/>
    <w:rsid w:val="00D174E1"/>
    <w:rsid w:val="00D3549D"/>
    <w:rsid w:val="00D74ECF"/>
    <w:rsid w:val="00D76CCD"/>
    <w:rsid w:val="00D87A65"/>
    <w:rsid w:val="00D91439"/>
    <w:rsid w:val="00D97413"/>
    <w:rsid w:val="00DA519C"/>
    <w:rsid w:val="00DD1189"/>
    <w:rsid w:val="00E477CB"/>
    <w:rsid w:val="00E511FB"/>
    <w:rsid w:val="00E70DEF"/>
    <w:rsid w:val="00E77EF2"/>
    <w:rsid w:val="00E82911"/>
    <w:rsid w:val="00EB2F15"/>
    <w:rsid w:val="00EB39FC"/>
    <w:rsid w:val="00EB5DE1"/>
    <w:rsid w:val="00EC25D6"/>
    <w:rsid w:val="00EF6558"/>
    <w:rsid w:val="00F0389D"/>
    <w:rsid w:val="00F16FE7"/>
    <w:rsid w:val="00F17D8C"/>
    <w:rsid w:val="00F44C0D"/>
    <w:rsid w:val="00F45326"/>
    <w:rsid w:val="00F47072"/>
    <w:rsid w:val="00F63B39"/>
    <w:rsid w:val="00F67165"/>
    <w:rsid w:val="00F750FD"/>
    <w:rsid w:val="00F94B03"/>
    <w:rsid w:val="00FA5753"/>
    <w:rsid w:val="00FC131E"/>
    <w:rsid w:val="00FE03BA"/>
    <w:rsid w:val="00FF0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F8EDA"/>
  <w15:chartTrackingRefBased/>
  <w15:docId w15:val="{2C0F2783-DB55-4315-AEA1-60D4DD554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66B"/>
    <w:pPr>
      <w:ind w:left="720"/>
      <w:contextualSpacing/>
    </w:pPr>
  </w:style>
  <w:style w:type="paragraph" w:styleId="BalloonText">
    <w:name w:val="Balloon Text"/>
    <w:basedOn w:val="Normal"/>
    <w:link w:val="BalloonTextChar"/>
    <w:uiPriority w:val="99"/>
    <w:semiHidden/>
    <w:unhideWhenUsed/>
    <w:rsid w:val="00FF09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09B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7FDC"/>
    <w:rPr>
      <w:sz w:val="16"/>
      <w:szCs w:val="16"/>
    </w:rPr>
  </w:style>
  <w:style w:type="paragraph" w:styleId="CommentText">
    <w:name w:val="annotation text"/>
    <w:basedOn w:val="Normal"/>
    <w:link w:val="CommentTextChar"/>
    <w:uiPriority w:val="99"/>
    <w:semiHidden/>
    <w:unhideWhenUsed/>
    <w:rsid w:val="00937FDC"/>
    <w:pPr>
      <w:spacing w:line="240" w:lineRule="auto"/>
    </w:pPr>
    <w:rPr>
      <w:sz w:val="20"/>
      <w:szCs w:val="20"/>
    </w:rPr>
  </w:style>
  <w:style w:type="character" w:customStyle="1" w:styleId="CommentTextChar">
    <w:name w:val="Comment Text Char"/>
    <w:basedOn w:val="DefaultParagraphFont"/>
    <w:link w:val="CommentText"/>
    <w:uiPriority w:val="99"/>
    <w:semiHidden/>
    <w:rsid w:val="00937FDC"/>
    <w:rPr>
      <w:sz w:val="20"/>
      <w:szCs w:val="20"/>
    </w:rPr>
  </w:style>
  <w:style w:type="paragraph" w:styleId="CommentSubject">
    <w:name w:val="annotation subject"/>
    <w:basedOn w:val="CommentText"/>
    <w:next w:val="CommentText"/>
    <w:link w:val="CommentSubjectChar"/>
    <w:uiPriority w:val="99"/>
    <w:semiHidden/>
    <w:unhideWhenUsed/>
    <w:rsid w:val="00937FDC"/>
    <w:rPr>
      <w:b/>
      <w:bCs/>
    </w:rPr>
  </w:style>
  <w:style w:type="character" w:customStyle="1" w:styleId="CommentSubjectChar">
    <w:name w:val="Comment Subject Char"/>
    <w:basedOn w:val="CommentTextChar"/>
    <w:link w:val="CommentSubject"/>
    <w:uiPriority w:val="99"/>
    <w:semiHidden/>
    <w:rsid w:val="00937FDC"/>
    <w:rPr>
      <w:b/>
      <w:bCs/>
      <w:sz w:val="20"/>
      <w:szCs w:val="20"/>
    </w:rPr>
  </w:style>
  <w:style w:type="paragraph" w:styleId="Revision">
    <w:name w:val="Revision"/>
    <w:hidden/>
    <w:uiPriority w:val="99"/>
    <w:semiHidden/>
    <w:rsid w:val="00B5481B"/>
    <w:pPr>
      <w:spacing w:after="0" w:line="240" w:lineRule="auto"/>
    </w:pPr>
  </w:style>
  <w:style w:type="paragraph" w:styleId="FootnoteText">
    <w:name w:val="footnote text"/>
    <w:basedOn w:val="Normal"/>
    <w:link w:val="FootnoteTextChar"/>
    <w:uiPriority w:val="99"/>
    <w:semiHidden/>
    <w:unhideWhenUsed/>
    <w:rsid w:val="008175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54D"/>
    <w:rPr>
      <w:sz w:val="20"/>
      <w:szCs w:val="20"/>
    </w:rPr>
  </w:style>
  <w:style w:type="character" w:styleId="FootnoteReference">
    <w:name w:val="footnote reference"/>
    <w:basedOn w:val="DefaultParagraphFont"/>
    <w:uiPriority w:val="99"/>
    <w:semiHidden/>
    <w:unhideWhenUsed/>
    <w:rsid w:val="008175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A10FC-A0C0-0641-AC98-7CDC14BE9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843</Words>
  <Characters>4810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Dosanjh, Kilbinder</dc:creator>
  <cp:keywords/>
  <dc:description/>
  <cp:lastModifiedBy>Portia Mvubu</cp:lastModifiedBy>
  <cp:revision>2</cp:revision>
  <dcterms:created xsi:type="dcterms:W3CDTF">2022-09-29T06:33:00Z</dcterms:created>
  <dcterms:modified xsi:type="dcterms:W3CDTF">2022-09-29T06:33:00Z</dcterms:modified>
</cp:coreProperties>
</file>