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041762" w14:textId="08CF5B97" w:rsidR="00382ADA" w:rsidRDefault="00281835" w:rsidP="006666EF">
      <w:pPr>
        <w:spacing w:after="240"/>
      </w:pPr>
      <w:r w:rsidRPr="00281835">
        <w:rPr>
          <w:noProof/>
        </w:rPr>
        <mc:AlternateContent>
          <mc:Choice Requires="wps">
            <w:drawing>
              <wp:anchor distT="0" distB="0" distL="114300" distR="114300" simplePos="0" relativeHeight="251683840" behindDoc="0" locked="0" layoutInCell="1" allowOverlap="1" wp14:anchorId="0D5126C6" wp14:editId="01EA22E0">
                <wp:simplePos x="0" y="0"/>
                <wp:positionH relativeFrom="column">
                  <wp:posOffset>37465</wp:posOffset>
                </wp:positionH>
                <wp:positionV relativeFrom="paragraph">
                  <wp:posOffset>24765</wp:posOffset>
                </wp:positionV>
                <wp:extent cx="4034790" cy="895350"/>
                <wp:effectExtent l="0" t="0" r="0" b="0"/>
                <wp:wrapNone/>
                <wp:docPr id="9" name="Titl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34790" cy="895350"/>
                        </a:xfrm>
                        <a:prstGeom prst="rect">
                          <a:avLst/>
                        </a:prstGeom>
                        <a:noFill/>
                        <a:ln>
                          <a:noFill/>
                        </a:ln>
                      </wps:spPr>
                      <wps:txbx>
                        <w:txbxContent>
                          <w:p w14:paraId="4A219302" w14:textId="396074C0" w:rsidR="00281835" w:rsidRPr="00281835" w:rsidRDefault="00281835" w:rsidP="00281835">
                            <w:pPr>
                              <w:ind w:left="115"/>
                              <w:rPr>
                                <w:rFonts w:ascii="Arial" w:eastAsia="Verdana" w:hAnsi="Arial" w:cs="Arial"/>
                                <w:b/>
                                <w:bCs/>
                                <w:color w:val="FFFFFF" w:themeColor="background1"/>
                                <w:kern w:val="24"/>
                                <w:sz w:val="72"/>
                                <w:szCs w:val="72"/>
                                <w:lang w:val="en-US"/>
                              </w:rPr>
                            </w:pPr>
                            <w:r w:rsidRPr="00281835">
                              <w:rPr>
                                <w:rFonts w:ascii="Arial" w:eastAsia="Verdana" w:hAnsi="Arial" w:cs="Arial"/>
                                <w:b/>
                                <w:bCs/>
                                <w:color w:val="FFFFFF" w:themeColor="background1"/>
                                <w:kern w:val="24"/>
                                <w:sz w:val="72"/>
                                <w:szCs w:val="72"/>
                                <w:lang w:val="en-US"/>
                              </w:rPr>
                              <w:t>etfSA.co.za</w:t>
                            </w:r>
                            <w:r w:rsidRPr="00281835">
                              <w:rPr>
                                <w:rFonts w:ascii="Arial" w:eastAsia="Verdana" w:hAnsi="Arial" w:cs="Arial"/>
                                <w:b/>
                                <w:bCs/>
                                <w:color w:val="FFFFFF" w:themeColor="background1"/>
                                <w:kern w:val="24"/>
                                <w:sz w:val="72"/>
                                <w:szCs w:val="72"/>
                                <w:lang w:val="en-US"/>
                              </w:rPr>
                              <w:tab/>
                            </w:r>
                          </w:p>
                        </w:txbxContent>
                      </wps:txbx>
                      <wps:bodyPr wrap="square" anchor="ctr">
                        <a:noAutofit/>
                      </wps:bodyPr>
                    </wps:wsp>
                  </a:graphicData>
                </a:graphic>
                <wp14:sizeRelH relativeFrom="margin">
                  <wp14:pctWidth>0</wp14:pctWidth>
                </wp14:sizeRelH>
                <wp14:sizeRelV relativeFrom="margin">
                  <wp14:pctHeight>0</wp14:pctHeight>
                </wp14:sizeRelV>
              </wp:anchor>
            </w:drawing>
          </mc:Choice>
          <mc:Fallback>
            <w:pict>
              <v:shapetype w14:anchorId="0D5126C6" id="_x0000_t202" coordsize="21600,21600" o:spt="202" path="m,l,21600r21600,l21600,xe">
                <v:stroke joinstyle="miter"/>
                <v:path gradientshapeok="t" o:connecttype="rect"/>
              </v:shapetype>
              <v:shape id="Title 1" o:spid="_x0000_s1026" type="#_x0000_t202" style="position:absolute;margin-left:2.95pt;margin-top:1.95pt;width:317.7pt;height:70.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" filled="f" stroked="f">
                <v:textbox>
                  <w:txbxContent>
                    <w:p w14:paraId="4A219302" w14:textId="396074C0" w:rsidR="00281835" w:rsidRPr="00281835" w:rsidRDefault="00281835" w:rsidP="00281835">
                      <w:pPr>
                        <w:ind w:left="115"/>
                        <w:rPr>
                          <w:rFonts w:ascii="Arial" w:eastAsia="Verdana" w:hAnsi="Arial" w:cs="Arial"/>
                          <w:b/>
                          <w:bCs/>
                          <w:color w:val="FFFFFF" w:themeColor="background1"/>
                          <w:kern w:val="24"/>
                          <w:sz w:val="72"/>
                          <w:szCs w:val="72"/>
                          <w:lang w:val="en-US"/>
                        </w:rPr>
                      </w:pPr>
                      <w:r w:rsidRPr="00281835">
                        <w:rPr>
                          <w:rFonts w:ascii="Arial" w:eastAsia="Verdana" w:hAnsi="Arial" w:cs="Arial"/>
                          <w:b/>
                          <w:bCs/>
                          <w:color w:val="FFFFFF" w:themeColor="background1"/>
                          <w:kern w:val="24"/>
                          <w:sz w:val="72"/>
                          <w:szCs w:val="72"/>
                          <w:lang w:val="en-US"/>
                        </w:rPr>
                        <w:t>etfSA.co.za</w:t>
                      </w:r>
                      <w:r w:rsidRPr="00281835">
                        <w:rPr>
                          <w:rFonts w:ascii="Arial" w:eastAsia="Verdana" w:hAnsi="Arial" w:cs="Arial"/>
                          <w:b/>
                          <w:bCs/>
                          <w:color w:val="FFFFFF" w:themeColor="background1"/>
                          <w:kern w:val="24"/>
                          <w:sz w:val="72"/>
                          <w:szCs w:val="72"/>
                          <w:lang w:val="en-US"/>
                        </w:rPr>
                        <w:tab/>
                      </w:r>
                    </w:p>
                  </w:txbxContent>
                </v:textbox>
              </v:shape>
            </w:pict>
          </mc:Fallback>
        </mc:AlternateContent>
      </w:r>
      <w:r w:rsidRPr="00281835">
        <w:rPr>
          <w:noProof/>
        </w:rPr>
        <w:drawing>
          <wp:inline distT="0" distB="0" distL="0" distR="0" wp14:anchorId="2666B2A7" wp14:editId="453673B6">
            <wp:extent cx="6508750" cy="935355"/>
            <wp:effectExtent l="0" t="0" r="6350" b="0"/>
            <wp:docPr id="11" name="Picture 10" descr="Background pattern&#10;&#10;Description automatically generated">
              <a:extLst xmlns:a="http://schemas.openxmlformats.org/drawingml/2006/main">
                <a:ext uri="{FF2B5EF4-FFF2-40B4-BE49-F238E27FC236}">
                  <a16:creationId xmlns:a16="http://schemas.microsoft.com/office/drawing/2014/main" id="{9BB31A5B-233C-4D49-82FD-8217F3E497E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descr="Background pattern&#10;&#10;Description automatically generated">
                      <a:extLst>
                        <a:ext uri="{FF2B5EF4-FFF2-40B4-BE49-F238E27FC236}">
                          <a16:creationId xmlns:a16="http://schemas.microsoft.com/office/drawing/2014/main" id="{9BB31A5B-233C-4D49-82FD-8217F3E497E8}"/>
                        </a:ext>
                      </a:extLst>
                    </pic:cNvPr>
                    <pic:cNvPicPr>
                      <a:picLocks noChangeAspect="1"/>
                    </pic:cNvPicPr>
                  </pic:nvPicPr>
                  <pic:blipFill rotWithShape="1">
                    <a:blip r:embed="rId8"/>
                    <a:srcRect t="991" r="1495" b="57833"/>
                    <a:stretch/>
                  </pic:blipFill>
                  <pic:spPr>
                    <a:xfrm>
                      <a:off x="0" y="0"/>
                      <a:ext cx="6508750" cy="935355"/>
                    </a:xfrm>
                    <a:prstGeom prst="rect">
                      <a:avLst/>
                    </a:prstGeom>
                  </pic:spPr>
                </pic:pic>
              </a:graphicData>
            </a:graphic>
          </wp:inline>
        </w:drawing>
      </w:r>
    </w:p>
    <w:tbl>
      <w:tblPr>
        <w:tblStyle w:val="TableGrid"/>
        <w:tblW w:w="10201" w:type="dxa"/>
        <w:tblLook w:val="04A0" w:firstRow="1" w:lastRow="0" w:firstColumn="1" w:lastColumn="0" w:noHBand="0" w:noVBand="1"/>
      </w:tblPr>
      <w:tblGrid>
        <w:gridCol w:w="10201"/>
      </w:tblGrid>
      <w:tr w:rsidR="00281835" w14:paraId="5254EF6A" w14:textId="77777777" w:rsidTr="00EF5C86">
        <w:tc>
          <w:tcPr>
            <w:tcW w:w="10201" w:type="dxa"/>
            <w:tcBorders>
              <w:top w:val="nil"/>
              <w:left w:val="nil"/>
              <w:bottom w:val="nil"/>
              <w:right w:val="nil"/>
            </w:tcBorders>
            <w:shd w:val="clear" w:color="auto" w:fill="D9D9D9" w:themeFill="background1" w:themeFillShade="D9"/>
          </w:tcPr>
          <w:p w14:paraId="3BC82964" w14:textId="0F8DB890" w:rsidR="00281835" w:rsidRPr="004E60C8" w:rsidRDefault="00281835" w:rsidP="00281835">
            <w:pPr>
              <w:pStyle w:val="Heading1"/>
              <w:spacing w:before="0" w:after="0" w:line="360" w:lineRule="atLeast"/>
              <w:outlineLvl w:val="0"/>
              <w:rPr>
                <w:rFonts w:ascii="Verdana" w:hAnsi="Verdana"/>
                <w:color w:val="000000" w:themeColor="text1"/>
                <w:sz w:val="24"/>
                <w:szCs w:val="24"/>
              </w:rPr>
            </w:pPr>
            <w:r w:rsidRPr="004E60C8">
              <w:rPr>
                <w:rFonts w:ascii="Verdana" w:hAnsi="Verdana"/>
                <w:color w:val="000000" w:themeColor="text1"/>
                <w:sz w:val="24"/>
                <w:szCs w:val="24"/>
              </w:rPr>
              <w:t>State of the South African Exchange Traded Product (ETP) Industry – as at 3</w:t>
            </w:r>
            <w:r w:rsidR="00864914">
              <w:rPr>
                <w:rFonts w:ascii="Verdana" w:hAnsi="Verdana"/>
                <w:color w:val="000000" w:themeColor="text1"/>
                <w:sz w:val="24"/>
                <w:szCs w:val="24"/>
              </w:rPr>
              <w:t>0</w:t>
            </w:r>
            <w:r w:rsidRPr="004E60C8">
              <w:rPr>
                <w:rFonts w:ascii="Verdana" w:hAnsi="Verdana"/>
                <w:color w:val="000000" w:themeColor="text1"/>
                <w:sz w:val="24"/>
                <w:szCs w:val="24"/>
              </w:rPr>
              <w:t xml:space="preserve"> </w:t>
            </w:r>
            <w:r w:rsidR="00864914">
              <w:rPr>
                <w:rFonts w:ascii="Verdana" w:hAnsi="Verdana"/>
                <w:color w:val="000000" w:themeColor="text1"/>
                <w:sz w:val="24"/>
                <w:szCs w:val="24"/>
              </w:rPr>
              <w:t>June</w:t>
            </w:r>
            <w:r w:rsidRPr="004E60C8">
              <w:rPr>
                <w:rFonts w:ascii="Verdana" w:hAnsi="Verdana"/>
                <w:color w:val="000000" w:themeColor="text1"/>
                <w:sz w:val="24"/>
                <w:szCs w:val="24"/>
              </w:rPr>
              <w:t xml:space="preserve"> 202</w:t>
            </w:r>
            <w:r w:rsidR="000A2715" w:rsidRPr="004E60C8">
              <w:rPr>
                <w:rFonts w:ascii="Verdana" w:hAnsi="Verdana"/>
                <w:color w:val="000000" w:themeColor="text1"/>
                <w:sz w:val="24"/>
                <w:szCs w:val="24"/>
              </w:rPr>
              <w:t>2</w:t>
            </w:r>
          </w:p>
          <w:p w14:paraId="402E7BEC" w14:textId="2F6A4DD3" w:rsidR="00281835" w:rsidRDefault="00281835" w:rsidP="000A2715">
            <w:pPr>
              <w:pStyle w:val="Heading1"/>
              <w:spacing w:before="0" w:after="120" w:line="360" w:lineRule="atLeast"/>
              <w:outlineLvl w:val="0"/>
              <w:rPr>
                <w:rFonts w:ascii="Verdana" w:hAnsi="Verdana"/>
                <w:sz w:val="22"/>
                <w:szCs w:val="22"/>
              </w:rPr>
            </w:pPr>
            <w:r w:rsidRPr="004E60C8">
              <w:rPr>
                <w:rFonts w:ascii="Verdana" w:hAnsi="Verdana"/>
                <w:color w:val="000000" w:themeColor="text1"/>
                <w:sz w:val="22"/>
                <w:szCs w:val="22"/>
              </w:rPr>
              <w:t>Mike Brown, Managing Director, etfSA.co.za</w:t>
            </w:r>
          </w:p>
        </w:tc>
      </w:tr>
    </w:tbl>
    <w:p w14:paraId="70EF2D12" w14:textId="0A04FFF3" w:rsidR="00F70B89" w:rsidRDefault="00F70B89" w:rsidP="006666EF">
      <w:pPr>
        <w:spacing w:after="120" w:line="320" w:lineRule="atLeast"/>
        <w:jc w:val="center"/>
        <w:rPr>
          <w:rFonts w:ascii="Verdana" w:hAnsi="Verdana"/>
          <w:sz w:val="21"/>
          <w:szCs w:val="21"/>
        </w:rPr>
      </w:pPr>
    </w:p>
    <w:p w14:paraId="7CDBBA02" w14:textId="7CFC08F8" w:rsidR="00E159E7" w:rsidRPr="00E159E7" w:rsidRDefault="00E159E7" w:rsidP="001976A7">
      <w:pPr>
        <w:spacing w:after="0" w:line="320" w:lineRule="atLeast"/>
        <w:jc w:val="both"/>
        <w:rPr>
          <w:rFonts w:ascii="Verdana" w:hAnsi="Verdana"/>
          <w:b/>
          <w:bCs/>
          <w:color w:val="C00000"/>
          <w:sz w:val="21"/>
          <w:szCs w:val="21"/>
        </w:rPr>
      </w:pPr>
      <w:r w:rsidRPr="00E159E7">
        <w:rPr>
          <w:rFonts w:ascii="Verdana" w:hAnsi="Verdana"/>
          <w:b/>
          <w:bCs/>
          <w:color w:val="C00000"/>
          <w:sz w:val="21"/>
          <w:szCs w:val="21"/>
        </w:rPr>
        <w:t>INDUSTRY OVERVIEW</w:t>
      </w:r>
    </w:p>
    <w:tbl>
      <w:tblPr>
        <w:tblStyle w:val="TableGrid"/>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4"/>
        <w:gridCol w:w="4819"/>
        <w:gridCol w:w="284"/>
        <w:gridCol w:w="4394"/>
        <w:gridCol w:w="425"/>
      </w:tblGrid>
      <w:tr w:rsidR="00E159E7" w14:paraId="3415E687" w14:textId="77777777" w:rsidTr="005269C6">
        <w:tc>
          <w:tcPr>
            <w:tcW w:w="5103" w:type="dxa"/>
            <w:gridSpan w:val="2"/>
          </w:tcPr>
          <w:p w14:paraId="0E1FB4A4" w14:textId="75498B96" w:rsidR="00E00161" w:rsidRDefault="00864914" w:rsidP="00C33973">
            <w:pPr>
              <w:spacing w:before="80" w:after="240" w:line="340" w:lineRule="atLeast"/>
              <w:jc w:val="both"/>
              <w:rPr>
                <w:rFonts w:ascii="Verdana" w:hAnsi="Verdana"/>
                <w:sz w:val="21"/>
                <w:szCs w:val="21"/>
              </w:rPr>
            </w:pPr>
            <w:r>
              <w:rPr>
                <w:rFonts w:ascii="Verdana" w:hAnsi="Verdana"/>
                <w:sz w:val="21"/>
                <w:szCs w:val="21"/>
              </w:rPr>
              <w:t xml:space="preserve">The </w:t>
            </w:r>
            <w:r w:rsidR="00C33973">
              <w:rPr>
                <w:rFonts w:ascii="Verdana" w:hAnsi="Verdana"/>
                <w:sz w:val="21"/>
                <w:szCs w:val="21"/>
              </w:rPr>
              <w:t>total</w:t>
            </w:r>
            <w:r>
              <w:rPr>
                <w:rFonts w:ascii="Verdana" w:hAnsi="Verdana"/>
                <w:sz w:val="21"/>
                <w:szCs w:val="21"/>
              </w:rPr>
              <w:t xml:space="preserve"> market capitalisation of all ETFs and ETNs, listed on the JSE, at the end of June 2022, amounted to R122 567,7 million, a fall of R13 482 million, or 9,9%</w:t>
            </w:r>
            <w:r w:rsidR="00C33973">
              <w:rPr>
                <w:rFonts w:ascii="Verdana" w:hAnsi="Verdana"/>
                <w:sz w:val="21"/>
                <w:szCs w:val="21"/>
              </w:rPr>
              <w:t>,</w:t>
            </w:r>
            <w:r>
              <w:rPr>
                <w:rFonts w:ascii="Verdana" w:hAnsi="Verdana"/>
                <w:sz w:val="21"/>
                <w:szCs w:val="21"/>
              </w:rPr>
              <w:t xml:space="preserve"> on the market capitalisation of the ETP industry, at the end of 2021. </w:t>
            </w:r>
          </w:p>
          <w:p w14:paraId="083732EB" w14:textId="12FB54AD" w:rsidR="00864914" w:rsidRDefault="00864914" w:rsidP="00C33973">
            <w:pPr>
              <w:spacing w:before="80" w:after="240" w:line="340" w:lineRule="atLeast"/>
              <w:jc w:val="both"/>
              <w:rPr>
                <w:rFonts w:ascii="Verdana" w:hAnsi="Verdana"/>
                <w:sz w:val="21"/>
                <w:szCs w:val="21"/>
              </w:rPr>
            </w:pPr>
            <w:r>
              <w:rPr>
                <w:rFonts w:ascii="Verdana" w:hAnsi="Verdana"/>
                <w:sz w:val="21"/>
                <w:szCs w:val="21"/>
              </w:rPr>
              <w:t>This fall in the value of the industry largely reflects the decline in global and local equity markets over the first si</w:t>
            </w:r>
            <w:r w:rsidR="000542DC">
              <w:rPr>
                <w:rFonts w:ascii="Verdana" w:hAnsi="Verdana"/>
                <w:sz w:val="21"/>
                <w:szCs w:val="21"/>
              </w:rPr>
              <w:t>x</w:t>
            </w:r>
            <w:r>
              <w:rPr>
                <w:rFonts w:ascii="Verdana" w:hAnsi="Verdana"/>
                <w:sz w:val="21"/>
                <w:szCs w:val="21"/>
              </w:rPr>
              <w:t xml:space="preserve"> months of this year.  For instance, the US Standard &amp; Poors (S&amp;P) 500 index has fallen by 20% to date in 2022, with even greater declines (by 30,5%) in the MSCI World index, over the same period. </w:t>
            </w:r>
          </w:p>
          <w:p w14:paraId="45ED3D42" w14:textId="2D6148EB" w:rsidR="00D04BC6" w:rsidRPr="00E159E7" w:rsidRDefault="00D04BC6" w:rsidP="00C33973">
            <w:pPr>
              <w:spacing w:before="80" w:after="240" w:line="340" w:lineRule="atLeast"/>
              <w:jc w:val="both"/>
              <w:rPr>
                <w:rFonts w:ascii="Verdana" w:hAnsi="Verdana"/>
                <w:sz w:val="21"/>
                <w:szCs w:val="21"/>
              </w:rPr>
            </w:pPr>
          </w:p>
        </w:tc>
        <w:tc>
          <w:tcPr>
            <w:tcW w:w="284" w:type="dxa"/>
          </w:tcPr>
          <w:p w14:paraId="3953F9A0" w14:textId="265BA484" w:rsidR="00E159E7" w:rsidRDefault="005269C6" w:rsidP="00C33973">
            <w:pPr>
              <w:spacing w:before="80" w:line="340" w:lineRule="atLeast"/>
              <w:jc w:val="both"/>
              <w:rPr>
                <w:rFonts w:ascii="Verdana" w:hAnsi="Verdana"/>
                <w:sz w:val="21"/>
                <w:szCs w:val="21"/>
              </w:rPr>
            </w:pPr>
            <w:r w:rsidRPr="00C72345">
              <w:rPr>
                <w:rFonts w:ascii="Verdana" w:hAnsi="Verdana"/>
                <w:noProof/>
                <w:sz w:val="21"/>
                <w:szCs w:val="21"/>
              </w:rPr>
              <mc:AlternateContent>
                <mc:Choice Requires="wps">
                  <w:drawing>
                    <wp:anchor distT="0" distB="0" distL="114300" distR="114300" simplePos="0" relativeHeight="251687936" behindDoc="0" locked="0" layoutInCell="1" allowOverlap="1" wp14:anchorId="24C32DED" wp14:editId="79AAA2D6">
                      <wp:simplePos x="0" y="0"/>
                      <wp:positionH relativeFrom="column">
                        <wp:posOffset>11430</wp:posOffset>
                      </wp:positionH>
                      <wp:positionV relativeFrom="paragraph">
                        <wp:posOffset>123825</wp:posOffset>
                      </wp:positionV>
                      <wp:extent cx="6350" cy="2876550"/>
                      <wp:effectExtent l="0" t="0" r="31750" b="19050"/>
                      <wp:wrapNone/>
                      <wp:docPr id="2" name="Straight Connector 2"/>
                      <wp:cNvGraphicFramePr/>
                      <a:graphic xmlns:a="http://schemas.openxmlformats.org/drawingml/2006/main">
                        <a:graphicData uri="http://schemas.microsoft.com/office/word/2010/wordprocessingShape">
                          <wps:wsp>
                            <wps:cNvCnPr/>
                            <wps:spPr>
                              <a:xfrm flipH="1">
                                <a:off x="0" y="0"/>
                                <a:ext cx="6350" cy="2876550"/>
                              </a:xfrm>
                              <a:prstGeom prst="line">
                                <a:avLst/>
                              </a:prstGeom>
                              <a:ln>
                                <a:solidFill>
                                  <a:srgbClr val="C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9F5CDD" id="Straight Connector 2" o:spid="_x0000_s1026" style="position:absolute;flip:x;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pt,9.75pt" to="1.4pt,23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" strokecolor="#c00000" strokeweight=".5pt">
                      <v:stroke joinstyle="miter"/>
                    </v:line>
                  </w:pict>
                </mc:Fallback>
              </mc:AlternateContent>
            </w:r>
          </w:p>
        </w:tc>
        <w:tc>
          <w:tcPr>
            <w:tcW w:w="4819" w:type="dxa"/>
            <w:gridSpan w:val="2"/>
          </w:tcPr>
          <w:p w14:paraId="1A9A578A" w14:textId="3D2E00C2" w:rsidR="00C623CC" w:rsidRDefault="00864914" w:rsidP="00C33973">
            <w:pPr>
              <w:spacing w:before="80" w:line="340" w:lineRule="atLeast"/>
              <w:jc w:val="both"/>
              <w:rPr>
                <w:rFonts w:ascii="Verdana" w:hAnsi="Verdana"/>
                <w:sz w:val="21"/>
                <w:szCs w:val="21"/>
              </w:rPr>
            </w:pPr>
            <w:r>
              <w:rPr>
                <w:rFonts w:ascii="Verdana" w:hAnsi="Verdana"/>
                <w:sz w:val="21"/>
                <w:szCs w:val="21"/>
              </w:rPr>
              <w:t>The JSE has fared a little better, but has not bee</w:t>
            </w:r>
            <w:r w:rsidR="00C33973">
              <w:rPr>
                <w:rFonts w:ascii="Verdana" w:hAnsi="Verdana"/>
                <w:sz w:val="21"/>
                <w:szCs w:val="21"/>
              </w:rPr>
              <w:t>n</w:t>
            </w:r>
            <w:r>
              <w:rPr>
                <w:rFonts w:ascii="Verdana" w:hAnsi="Verdana"/>
                <w:sz w:val="21"/>
                <w:szCs w:val="21"/>
              </w:rPr>
              <w:t xml:space="preserve"> able to fully offset the global equity sell-offs, </w:t>
            </w:r>
            <w:r w:rsidR="00C33973">
              <w:rPr>
                <w:rFonts w:ascii="Verdana" w:hAnsi="Verdana"/>
                <w:sz w:val="21"/>
                <w:szCs w:val="21"/>
              </w:rPr>
              <w:t>dropping</w:t>
            </w:r>
            <w:r>
              <w:rPr>
                <w:rFonts w:ascii="Verdana" w:hAnsi="Verdana"/>
                <w:sz w:val="21"/>
                <w:szCs w:val="21"/>
              </w:rPr>
              <w:t xml:space="preserve"> by just over 10% to date in 2022. </w:t>
            </w:r>
          </w:p>
          <w:p w14:paraId="659C3123" w14:textId="39D9B189" w:rsidR="00864914" w:rsidRDefault="00864914" w:rsidP="00C33973">
            <w:pPr>
              <w:spacing w:before="80" w:line="340" w:lineRule="atLeast"/>
              <w:jc w:val="both"/>
              <w:rPr>
                <w:rFonts w:ascii="Verdana" w:hAnsi="Verdana"/>
                <w:sz w:val="21"/>
                <w:szCs w:val="21"/>
              </w:rPr>
            </w:pPr>
            <w:r>
              <w:rPr>
                <w:rFonts w:ascii="Verdana" w:hAnsi="Verdana"/>
                <w:sz w:val="21"/>
                <w:szCs w:val="21"/>
              </w:rPr>
              <w:t xml:space="preserve">Some 70% of the market </w:t>
            </w:r>
            <w:r w:rsidR="000542DC">
              <w:rPr>
                <w:rFonts w:ascii="Verdana" w:hAnsi="Verdana"/>
                <w:sz w:val="21"/>
                <w:szCs w:val="21"/>
              </w:rPr>
              <w:t>capitalisation</w:t>
            </w:r>
            <w:r>
              <w:rPr>
                <w:rFonts w:ascii="Verdana" w:hAnsi="Verdana"/>
                <w:sz w:val="21"/>
                <w:szCs w:val="21"/>
              </w:rPr>
              <w:t xml:space="preserve"> of ETFs/ETNs listed on the JSE</w:t>
            </w:r>
            <w:r w:rsidR="00C33973">
              <w:rPr>
                <w:rFonts w:ascii="Verdana" w:hAnsi="Verdana"/>
                <w:sz w:val="21"/>
                <w:szCs w:val="21"/>
              </w:rPr>
              <w:t>,</w:t>
            </w:r>
            <w:r>
              <w:rPr>
                <w:rFonts w:ascii="Verdana" w:hAnsi="Verdana"/>
                <w:sz w:val="21"/>
                <w:szCs w:val="21"/>
              </w:rPr>
              <w:t xml:space="preserve"> reference foreign e</w:t>
            </w:r>
            <w:r w:rsidR="00D04BC6">
              <w:rPr>
                <w:rFonts w:ascii="Verdana" w:hAnsi="Verdana"/>
                <w:sz w:val="21"/>
                <w:szCs w:val="21"/>
              </w:rPr>
              <w:t>q</w:t>
            </w:r>
            <w:r>
              <w:rPr>
                <w:rFonts w:ascii="Verdana" w:hAnsi="Verdana"/>
                <w:sz w:val="21"/>
                <w:szCs w:val="21"/>
              </w:rPr>
              <w:t xml:space="preserve">uity, bond, property or commodity assets.  Accordingly, the fall in the </w:t>
            </w:r>
            <w:r w:rsidR="00D04BC6">
              <w:rPr>
                <w:rFonts w:ascii="Verdana" w:hAnsi="Verdana"/>
                <w:sz w:val="21"/>
                <w:szCs w:val="21"/>
              </w:rPr>
              <w:t xml:space="preserve">value of all major global markets has taken its toll on the </w:t>
            </w:r>
            <w:r w:rsidR="00C33973">
              <w:rPr>
                <w:rFonts w:ascii="Verdana" w:hAnsi="Verdana"/>
                <w:sz w:val="21"/>
                <w:szCs w:val="21"/>
              </w:rPr>
              <w:t xml:space="preserve">local </w:t>
            </w:r>
            <w:r w:rsidR="00D04BC6">
              <w:rPr>
                <w:rFonts w:ascii="Verdana" w:hAnsi="Verdana"/>
                <w:sz w:val="21"/>
                <w:szCs w:val="21"/>
              </w:rPr>
              <w:t xml:space="preserve">ETP industry. </w:t>
            </w:r>
          </w:p>
        </w:tc>
      </w:tr>
      <w:tr w:rsidR="00E00161" w14:paraId="1F965989" w14:textId="77777777" w:rsidTr="00D04BC6">
        <w:trPr>
          <w:gridAfter w:val="1"/>
          <w:wAfter w:w="425" w:type="dxa"/>
        </w:trPr>
        <w:tc>
          <w:tcPr>
            <w:tcW w:w="284" w:type="dxa"/>
          </w:tcPr>
          <w:p w14:paraId="1F293369" w14:textId="6ED72F79" w:rsidR="00E00161" w:rsidRDefault="00E00161" w:rsidP="00467DA9">
            <w:pPr>
              <w:spacing w:line="360" w:lineRule="atLeast"/>
              <w:jc w:val="both"/>
              <w:rPr>
                <w:rFonts w:ascii="Verdana" w:hAnsi="Verdana"/>
                <w:sz w:val="21"/>
                <w:szCs w:val="21"/>
              </w:rPr>
            </w:pPr>
          </w:p>
        </w:tc>
        <w:tc>
          <w:tcPr>
            <w:tcW w:w="9497" w:type="dxa"/>
            <w:gridSpan w:val="3"/>
          </w:tcPr>
          <w:p w14:paraId="0AA60EE7" w14:textId="2EE14792" w:rsidR="00E00161" w:rsidRDefault="00D04BC6" w:rsidP="00DF3BA1">
            <w:pPr>
              <w:spacing w:line="360" w:lineRule="atLeast"/>
              <w:jc w:val="center"/>
              <w:rPr>
                <w:rFonts w:ascii="Verdana" w:hAnsi="Verdana"/>
                <w:sz w:val="21"/>
                <w:szCs w:val="21"/>
              </w:rPr>
            </w:pPr>
            <w:r>
              <w:rPr>
                <w:noProof/>
              </w:rPr>
              <w:drawing>
                <wp:inline distT="0" distB="0" distL="0" distR="0" wp14:anchorId="13838056" wp14:editId="36DF23FB">
                  <wp:extent cx="4924426" cy="3114675"/>
                  <wp:effectExtent l="0" t="0" r="9525" b="9525"/>
                  <wp:docPr id="1" name="Chart 1">
                    <a:extLst xmlns:a="http://schemas.openxmlformats.org/drawingml/2006/main">
                      <a:ext uri="{FF2B5EF4-FFF2-40B4-BE49-F238E27FC236}">
                        <a16:creationId xmlns:a16="http://schemas.microsoft.com/office/drawing/2014/main" id="{A6D53289-DBFE-40C9-AB8D-05167AAB536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tc>
      </w:tr>
    </w:tbl>
    <w:p w14:paraId="4D0853EC" w14:textId="03C56291" w:rsidR="00D04BC6" w:rsidRDefault="00D04BC6" w:rsidP="006726E7">
      <w:pPr>
        <w:spacing w:after="0" w:line="240" w:lineRule="auto"/>
        <w:jc w:val="both"/>
        <w:rPr>
          <w:rFonts w:ascii="Verdana" w:hAnsi="Verdana"/>
          <w:b/>
          <w:color w:val="C00000"/>
          <w:sz w:val="24"/>
          <w:szCs w:val="24"/>
        </w:rPr>
      </w:pPr>
    </w:p>
    <w:p w14:paraId="46630C92" w14:textId="77777777" w:rsidR="00D04BC6" w:rsidRDefault="00D04BC6">
      <w:pPr>
        <w:rPr>
          <w:rFonts w:ascii="Verdana" w:hAnsi="Verdana"/>
          <w:b/>
          <w:color w:val="C00000"/>
          <w:sz w:val="24"/>
          <w:szCs w:val="24"/>
        </w:rPr>
      </w:pPr>
      <w:r>
        <w:rPr>
          <w:rFonts w:ascii="Verdana" w:hAnsi="Verdana"/>
          <w:b/>
          <w:color w:val="C00000"/>
          <w:sz w:val="24"/>
          <w:szCs w:val="24"/>
        </w:rPr>
        <w:br w:type="page"/>
      </w:r>
    </w:p>
    <w:p w14:paraId="3FC1AAE1" w14:textId="77777777" w:rsidR="006666EF" w:rsidRDefault="006666EF" w:rsidP="006726E7">
      <w:pPr>
        <w:spacing w:after="0" w:line="240" w:lineRule="auto"/>
        <w:jc w:val="both"/>
        <w:rPr>
          <w:rFonts w:ascii="Verdana" w:hAnsi="Verdana"/>
          <w:b/>
          <w:color w:val="C00000"/>
          <w:sz w:val="24"/>
          <w:szCs w:val="24"/>
        </w:rPr>
      </w:pPr>
    </w:p>
    <w:p w14:paraId="0F2A783F" w14:textId="5388532F" w:rsidR="004F60D3" w:rsidRPr="003A3D19" w:rsidRDefault="004F60D3" w:rsidP="006726E7">
      <w:pPr>
        <w:spacing w:after="0" w:line="240" w:lineRule="auto"/>
        <w:jc w:val="both"/>
        <w:rPr>
          <w:rFonts w:ascii="Verdana" w:hAnsi="Verdana"/>
          <w:b/>
          <w:color w:val="C00000"/>
          <w:sz w:val="24"/>
          <w:szCs w:val="24"/>
        </w:rPr>
      </w:pPr>
      <w:r>
        <w:rPr>
          <w:rFonts w:ascii="Verdana" w:hAnsi="Verdana"/>
          <w:b/>
          <w:color w:val="C00000"/>
          <w:sz w:val="24"/>
          <w:szCs w:val="24"/>
        </w:rPr>
        <w:t>New Capital Raised</w:t>
      </w:r>
    </w:p>
    <w:tbl>
      <w:tblPr>
        <w:tblStyle w:val="TableGrid"/>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283"/>
        <w:gridCol w:w="4820"/>
      </w:tblGrid>
      <w:tr w:rsidR="00892847" w:rsidRPr="00C72345" w14:paraId="254E5817" w14:textId="77777777" w:rsidTr="005269C6">
        <w:tc>
          <w:tcPr>
            <w:tcW w:w="4962" w:type="dxa"/>
          </w:tcPr>
          <w:p w14:paraId="7532BB2D" w14:textId="6F50F53C" w:rsidR="00290F56" w:rsidRPr="00D04BC6" w:rsidRDefault="00D04BC6" w:rsidP="00C5148B">
            <w:pPr>
              <w:spacing w:before="80" w:line="360" w:lineRule="atLeast"/>
              <w:jc w:val="both"/>
              <w:rPr>
                <w:rFonts w:ascii="Verdana" w:hAnsi="Verdana"/>
                <w:sz w:val="21"/>
                <w:szCs w:val="21"/>
              </w:rPr>
            </w:pPr>
            <w:r w:rsidRPr="00D04BC6">
              <w:rPr>
                <w:rFonts w:ascii="Verdana" w:hAnsi="Verdana"/>
                <w:sz w:val="21"/>
                <w:szCs w:val="21"/>
              </w:rPr>
              <w:t>Despite the</w:t>
            </w:r>
            <w:r>
              <w:rPr>
                <w:rFonts w:ascii="Verdana" w:hAnsi="Verdana"/>
                <w:sz w:val="21"/>
                <w:szCs w:val="21"/>
              </w:rPr>
              <w:t xml:space="preserve"> fall in market values, there has been an increase in the net capital raised by ETP issuers through new listings or capital raised for </w:t>
            </w:r>
            <w:r w:rsidR="00290F56">
              <w:rPr>
                <w:rFonts w:ascii="Verdana" w:hAnsi="Verdana"/>
                <w:sz w:val="21"/>
                <w:szCs w:val="21"/>
              </w:rPr>
              <w:t xml:space="preserve">open-ended ETP products already listed on the JSE.  The total amount of new capital raised </w:t>
            </w:r>
            <w:r w:rsidR="00C5148B">
              <w:rPr>
                <w:rFonts w:ascii="Verdana" w:hAnsi="Verdana"/>
                <w:sz w:val="21"/>
                <w:szCs w:val="21"/>
              </w:rPr>
              <w:t>was</w:t>
            </w:r>
            <w:r w:rsidR="00290F56">
              <w:rPr>
                <w:rFonts w:ascii="Verdana" w:hAnsi="Verdana"/>
                <w:sz w:val="21"/>
                <w:szCs w:val="21"/>
              </w:rPr>
              <w:t xml:space="preserve"> R2 203,6 million, the great majority for Exchange Traded Funds (ETFs) (R2 134,2 million). </w:t>
            </w:r>
          </w:p>
        </w:tc>
        <w:tc>
          <w:tcPr>
            <w:tcW w:w="283" w:type="dxa"/>
          </w:tcPr>
          <w:p w14:paraId="3643B113" w14:textId="1FFF3838" w:rsidR="00892847" w:rsidRPr="00892847" w:rsidRDefault="00892847" w:rsidP="00C5148B">
            <w:pPr>
              <w:spacing w:before="80" w:line="360" w:lineRule="atLeast"/>
              <w:jc w:val="both"/>
              <w:rPr>
                <w:rFonts w:ascii="Verdana" w:hAnsi="Verdana"/>
                <w:sz w:val="21"/>
                <w:szCs w:val="21"/>
              </w:rPr>
            </w:pPr>
            <w:r w:rsidRPr="00C72345">
              <w:rPr>
                <w:rFonts w:ascii="Verdana" w:hAnsi="Verdana"/>
                <w:noProof/>
                <w:sz w:val="21"/>
                <w:szCs w:val="21"/>
              </w:rPr>
              <mc:AlternateContent>
                <mc:Choice Requires="wps">
                  <w:drawing>
                    <wp:anchor distT="0" distB="0" distL="114300" distR="114300" simplePos="0" relativeHeight="251685888" behindDoc="0" locked="0" layoutInCell="1" allowOverlap="1" wp14:anchorId="1D1C7704" wp14:editId="075B1103">
                      <wp:simplePos x="0" y="0"/>
                      <wp:positionH relativeFrom="column">
                        <wp:posOffset>37465</wp:posOffset>
                      </wp:positionH>
                      <wp:positionV relativeFrom="paragraph">
                        <wp:posOffset>118110</wp:posOffset>
                      </wp:positionV>
                      <wp:extent cx="19050" cy="2089150"/>
                      <wp:effectExtent l="0" t="0" r="19050" b="25400"/>
                      <wp:wrapNone/>
                      <wp:docPr id="10" name="Straight Connector 10"/>
                      <wp:cNvGraphicFramePr/>
                      <a:graphic xmlns:a="http://schemas.openxmlformats.org/drawingml/2006/main">
                        <a:graphicData uri="http://schemas.microsoft.com/office/word/2010/wordprocessingShape">
                          <wps:wsp>
                            <wps:cNvCnPr/>
                            <wps:spPr>
                              <a:xfrm>
                                <a:off x="0" y="0"/>
                                <a:ext cx="19050" cy="2089150"/>
                              </a:xfrm>
                              <a:prstGeom prst="line">
                                <a:avLst/>
                              </a:prstGeom>
                              <a:ln>
                                <a:solidFill>
                                  <a:srgbClr val="C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411A46F" id="Straight Connector 10" o:spid="_x0000_s1026" style="position:absolute;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5pt,9.3pt" to="4.45pt,17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" strokecolor="#c00000" strokeweight=".5pt">
                      <v:stroke joinstyle="miter"/>
                    </v:line>
                  </w:pict>
                </mc:Fallback>
              </mc:AlternateContent>
            </w:r>
          </w:p>
        </w:tc>
        <w:tc>
          <w:tcPr>
            <w:tcW w:w="4820" w:type="dxa"/>
          </w:tcPr>
          <w:p w14:paraId="0A74249F" w14:textId="24AD8D01" w:rsidR="00164CDA" w:rsidRDefault="00164CDA" w:rsidP="00C5148B">
            <w:pPr>
              <w:spacing w:before="80" w:line="360" w:lineRule="atLeast"/>
              <w:jc w:val="both"/>
              <w:rPr>
                <w:rFonts w:ascii="Verdana" w:hAnsi="Verdana"/>
                <w:sz w:val="21"/>
                <w:szCs w:val="21"/>
              </w:rPr>
            </w:pPr>
            <w:r>
              <w:rPr>
                <w:rFonts w:ascii="Verdana" w:hAnsi="Verdana"/>
                <w:sz w:val="21"/>
                <w:szCs w:val="21"/>
              </w:rPr>
              <w:t>Table A below shows the net new capital raised, or redeemed for delisting of ETFs, by each issuing house over the first six months of 2022</w:t>
            </w:r>
          </w:p>
          <w:p w14:paraId="685523E1" w14:textId="3A69B9EC" w:rsidR="001118CB" w:rsidRPr="00892847" w:rsidRDefault="00290F56" w:rsidP="00C5148B">
            <w:pPr>
              <w:spacing w:before="80" w:line="360" w:lineRule="atLeast"/>
              <w:jc w:val="both"/>
              <w:rPr>
                <w:rFonts w:ascii="Verdana" w:hAnsi="Verdana"/>
                <w:sz w:val="21"/>
                <w:szCs w:val="21"/>
              </w:rPr>
            </w:pPr>
            <w:r>
              <w:rPr>
                <w:rFonts w:ascii="Verdana" w:hAnsi="Verdana"/>
                <w:sz w:val="21"/>
                <w:szCs w:val="21"/>
              </w:rPr>
              <w:t xml:space="preserve">Satrix Managers and Sygnia Itrix have been by far the most successful companies in </w:t>
            </w:r>
            <w:r w:rsidR="00C5148B">
              <w:rPr>
                <w:rFonts w:ascii="Verdana" w:hAnsi="Verdana"/>
                <w:sz w:val="21"/>
                <w:szCs w:val="21"/>
              </w:rPr>
              <w:t>attracting</w:t>
            </w:r>
            <w:r>
              <w:rPr>
                <w:rFonts w:ascii="Verdana" w:hAnsi="Verdana"/>
                <w:sz w:val="21"/>
                <w:szCs w:val="21"/>
              </w:rPr>
              <w:t xml:space="preserve"> new capital during the past 6 months, raising R2</w:t>
            </w:r>
            <w:r w:rsidR="001118CB">
              <w:rPr>
                <w:rFonts w:ascii="Verdana" w:hAnsi="Verdana"/>
                <w:sz w:val="21"/>
                <w:szCs w:val="21"/>
              </w:rPr>
              <w:t> </w:t>
            </w:r>
            <w:r>
              <w:rPr>
                <w:rFonts w:ascii="Verdana" w:hAnsi="Verdana"/>
                <w:sz w:val="21"/>
                <w:szCs w:val="21"/>
              </w:rPr>
              <w:t>467</w:t>
            </w:r>
            <w:r w:rsidR="001118CB">
              <w:rPr>
                <w:rFonts w:ascii="Verdana" w:hAnsi="Verdana"/>
                <w:sz w:val="21"/>
                <w:szCs w:val="21"/>
              </w:rPr>
              <w:t xml:space="preserve">,3 million and </w:t>
            </w:r>
            <w:r w:rsidR="00574118">
              <w:rPr>
                <w:rFonts w:ascii="Verdana" w:hAnsi="Verdana"/>
                <w:sz w:val="21"/>
                <w:szCs w:val="21"/>
              </w:rPr>
              <w:t>R</w:t>
            </w:r>
            <w:r w:rsidR="001118CB">
              <w:rPr>
                <w:rFonts w:ascii="Verdana" w:hAnsi="Verdana"/>
                <w:sz w:val="21"/>
                <w:szCs w:val="21"/>
              </w:rPr>
              <w:t xml:space="preserve">2 385,2 million respectively. </w:t>
            </w:r>
          </w:p>
        </w:tc>
      </w:tr>
    </w:tbl>
    <w:p w14:paraId="0751233E" w14:textId="63BD44D4" w:rsidR="004F60D3" w:rsidRDefault="004F60D3" w:rsidP="00E923F2">
      <w:pPr>
        <w:spacing w:after="0" w:line="280" w:lineRule="atLeast"/>
        <w:rPr>
          <w:rFonts w:ascii="Verdana" w:hAnsi="Verdana"/>
          <w:color w:val="000000"/>
          <w:sz w:val="21"/>
          <w:szCs w:val="21"/>
        </w:rPr>
      </w:pPr>
    </w:p>
    <w:p w14:paraId="6F06752B" w14:textId="3391ED27" w:rsidR="00290F56" w:rsidRPr="00290F56" w:rsidRDefault="00290F56" w:rsidP="00E923F2">
      <w:pPr>
        <w:spacing w:after="0" w:line="280" w:lineRule="atLeast"/>
        <w:rPr>
          <w:rFonts w:ascii="Verdana" w:hAnsi="Verdana"/>
          <w:b/>
          <w:bCs/>
          <w:color w:val="000000"/>
          <w:sz w:val="21"/>
          <w:szCs w:val="21"/>
        </w:rPr>
      </w:pPr>
      <w:r>
        <w:rPr>
          <w:rFonts w:ascii="Verdana" w:hAnsi="Verdana"/>
          <w:b/>
          <w:bCs/>
          <w:color w:val="000000"/>
          <w:sz w:val="21"/>
          <w:szCs w:val="21"/>
        </w:rPr>
        <w:t>Table A</w:t>
      </w:r>
    </w:p>
    <w:tbl>
      <w:tblPr>
        <w:tblW w:w="7654"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4678"/>
        <w:gridCol w:w="2268"/>
      </w:tblGrid>
      <w:tr w:rsidR="004F60D3" w:rsidRPr="00AB6CBE" w14:paraId="374698FD" w14:textId="77777777" w:rsidTr="006666EF">
        <w:tc>
          <w:tcPr>
            <w:tcW w:w="7654" w:type="dxa"/>
            <w:gridSpan w:val="3"/>
            <w:shd w:val="clear" w:color="auto" w:fill="C00000"/>
          </w:tcPr>
          <w:p w14:paraId="78AE8BFD" w14:textId="151CF886" w:rsidR="004F60D3" w:rsidRDefault="004F60D3" w:rsidP="00C5148B">
            <w:pPr>
              <w:spacing w:before="40" w:after="80" w:line="320" w:lineRule="atLeast"/>
              <w:jc w:val="center"/>
              <w:rPr>
                <w:rFonts w:ascii="Verdana" w:hAnsi="Verdana"/>
                <w:b/>
                <w:color w:val="FFFFFF"/>
                <w:sz w:val="18"/>
                <w:szCs w:val="18"/>
              </w:rPr>
            </w:pPr>
            <w:r>
              <w:rPr>
                <w:rFonts w:ascii="Verdana" w:hAnsi="Verdana"/>
                <w:b/>
                <w:color w:val="FFFFFF"/>
                <w:sz w:val="18"/>
                <w:szCs w:val="18"/>
              </w:rPr>
              <w:t>New Capital Raised / Redeemed</w:t>
            </w:r>
            <w:r w:rsidR="001D53A8">
              <w:rPr>
                <w:rFonts w:ascii="Verdana" w:hAnsi="Verdana"/>
                <w:b/>
                <w:color w:val="FFFFFF"/>
                <w:sz w:val="18"/>
                <w:szCs w:val="18"/>
              </w:rPr>
              <w:t xml:space="preserve"> - South African ETP</w:t>
            </w:r>
            <w:r>
              <w:rPr>
                <w:rFonts w:ascii="Verdana" w:hAnsi="Verdana"/>
                <w:b/>
                <w:color w:val="FFFFFF"/>
                <w:sz w:val="18"/>
                <w:szCs w:val="18"/>
              </w:rPr>
              <w:t xml:space="preserve"> Issuing House</w:t>
            </w:r>
            <w:r w:rsidR="001D53A8">
              <w:rPr>
                <w:rFonts w:ascii="Verdana" w:hAnsi="Verdana"/>
                <w:b/>
                <w:color w:val="FFFFFF"/>
                <w:sz w:val="18"/>
                <w:szCs w:val="18"/>
              </w:rPr>
              <w:t>s</w:t>
            </w:r>
          </w:p>
          <w:p w14:paraId="5C8361AA" w14:textId="75096462" w:rsidR="001D53A8" w:rsidRPr="003B4F95" w:rsidRDefault="001D53A8" w:rsidP="00C5148B">
            <w:pPr>
              <w:spacing w:before="40" w:after="80" w:line="320" w:lineRule="atLeast"/>
              <w:jc w:val="center"/>
              <w:rPr>
                <w:rFonts w:ascii="Verdana" w:hAnsi="Verdana"/>
                <w:b/>
                <w:color w:val="FFFFFF"/>
                <w:sz w:val="18"/>
                <w:szCs w:val="18"/>
              </w:rPr>
            </w:pPr>
            <w:r>
              <w:rPr>
                <w:rFonts w:ascii="Verdana" w:hAnsi="Verdana"/>
                <w:b/>
                <w:color w:val="FFFFFF"/>
                <w:sz w:val="18"/>
                <w:szCs w:val="18"/>
              </w:rPr>
              <w:t xml:space="preserve">For First </w:t>
            </w:r>
            <w:r w:rsidR="001118CB">
              <w:rPr>
                <w:rFonts w:ascii="Verdana" w:hAnsi="Verdana"/>
                <w:b/>
                <w:color w:val="FFFFFF"/>
                <w:sz w:val="18"/>
                <w:szCs w:val="18"/>
              </w:rPr>
              <w:t>Half</w:t>
            </w:r>
            <w:r>
              <w:rPr>
                <w:rFonts w:ascii="Verdana" w:hAnsi="Verdana"/>
                <w:b/>
                <w:color w:val="FFFFFF"/>
                <w:sz w:val="18"/>
                <w:szCs w:val="18"/>
              </w:rPr>
              <w:t xml:space="preserve"> 2022</w:t>
            </w:r>
          </w:p>
        </w:tc>
      </w:tr>
      <w:tr w:rsidR="004F60D3" w:rsidRPr="00AB6CBE" w14:paraId="5703AD4C" w14:textId="77777777" w:rsidTr="006666EF">
        <w:trPr>
          <w:trHeight w:val="360"/>
        </w:trPr>
        <w:tc>
          <w:tcPr>
            <w:tcW w:w="5386" w:type="dxa"/>
            <w:gridSpan w:val="2"/>
            <w:shd w:val="clear" w:color="auto" w:fill="4C4C4C"/>
          </w:tcPr>
          <w:p w14:paraId="2A6800C5" w14:textId="127D1062" w:rsidR="004F60D3" w:rsidRPr="003B4F95" w:rsidRDefault="004F60D3" w:rsidP="00C5148B">
            <w:pPr>
              <w:spacing w:before="40" w:after="80" w:line="320" w:lineRule="atLeast"/>
              <w:rPr>
                <w:rFonts w:ascii="Verdana" w:hAnsi="Verdana"/>
                <w:b/>
                <w:color w:val="FFFFFF"/>
                <w:sz w:val="18"/>
                <w:szCs w:val="18"/>
              </w:rPr>
            </w:pPr>
            <w:r>
              <w:rPr>
                <w:rFonts w:ascii="Verdana" w:hAnsi="Verdana"/>
                <w:b/>
                <w:color w:val="FFFFFF"/>
                <w:sz w:val="18"/>
                <w:szCs w:val="18"/>
              </w:rPr>
              <w:t xml:space="preserve">Issuing </w:t>
            </w:r>
            <w:r w:rsidR="001D53A8">
              <w:rPr>
                <w:rFonts w:ascii="Verdana" w:hAnsi="Verdana"/>
                <w:b/>
                <w:color w:val="FFFFFF"/>
                <w:sz w:val="18"/>
                <w:szCs w:val="18"/>
              </w:rPr>
              <w:t>House</w:t>
            </w:r>
          </w:p>
        </w:tc>
        <w:tc>
          <w:tcPr>
            <w:tcW w:w="2268" w:type="dxa"/>
            <w:shd w:val="clear" w:color="auto" w:fill="4C4C4C"/>
            <w:vAlign w:val="center"/>
          </w:tcPr>
          <w:p w14:paraId="72F25DC1" w14:textId="211D93B5" w:rsidR="004F60D3" w:rsidRPr="003B4F95" w:rsidRDefault="001D53A8" w:rsidP="00C5148B">
            <w:pPr>
              <w:spacing w:before="40" w:after="80" w:line="320" w:lineRule="atLeast"/>
              <w:jc w:val="right"/>
              <w:rPr>
                <w:rFonts w:ascii="Verdana" w:hAnsi="Verdana"/>
                <w:b/>
                <w:color w:val="FFFFFF"/>
                <w:sz w:val="18"/>
                <w:szCs w:val="18"/>
              </w:rPr>
            </w:pPr>
            <w:r>
              <w:rPr>
                <w:rFonts w:ascii="Verdana" w:hAnsi="Verdana"/>
                <w:b/>
                <w:color w:val="FFFFFF"/>
                <w:sz w:val="18"/>
                <w:szCs w:val="18"/>
              </w:rPr>
              <w:t xml:space="preserve">Total Capital </w:t>
            </w:r>
            <w:r w:rsidR="004F60D3">
              <w:rPr>
                <w:rFonts w:ascii="Verdana" w:hAnsi="Verdana"/>
                <w:b/>
                <w:color w:val="FFFFFF"/>
                <w:sz w:val="18"/>
                <w:szCs w:val="18"/>
              </w:rPr>
              <w:t>(R million)</w:t>
            </w:r>
          </w:p>
        </w:tc>
      </w:tr>
      <w:tr w:rsidR="004F60D3" w:rsidRPr="00AB6CBE" w14:paraId="4DB4E858" w14:textId="77777777" w:rsidTr="006666EF">
        <w:tc>
          <w:tcPr>
            <w:tcW w:w="708" w:type="dxa"/>
            <w:shd w:val="clear" w:color="auto" w:fill="auto"/>
          </w:tcPr>
          <w:p w14:paraId="431C23F0" w14:textId="77777777" w:rsidR="004F60D3" w:rsidRPr="00DD1C15" w:rsidRDefault="004F60D3" w:rsidP="00C5148B">
            <w:pPr>
              <w:pStyle w:val="ListParagraph"/>
              <w:numPr>
                <w:ilvl w:val="0"/>
                <w:numId w:val="21"/>
              </w:numPr>
              <w:spacing w:before="40" w:after="80" w:line="320" w:lineRule="atLeast"/>
              <w:ind w:left="357" w:hanging="357"/>
              <w:rPr>
                <w:rFonts w:ascii="Verdana" w:hAnsi="Verdana"/>
                <w:color w:val="000000"/>
                <w:sz w:val="18"/>
                <w:szCs w:val="18"/>
              </w:rPr>
            </w:pPr>
          </w:p>
        </w:tc>
        <w:tc>
          <w:tcPr>
            <w:tcW w:w="4678" w:type="dxa"/>
            <w:shd w:val="clear" w:color="auto" w:fill="auto"/>
          </w:tcPr>
          <w:p w14:paraId="299B742C" w14:textId="1BAA86FA" w:rsidR="004F60D3" w:rsidRDefault="004F60D3" w:rsidP="00C5148B">
            <w:pPr>
              <w:spacing w:before="40" w:after="80" w:line="320" w:lineRule="atLeast"/>
              <w:rPr>
                <w:rFonts w:ascii="Verdana" w:hAnsi="Verdana"/>
                <w:color w:val="000000"/>
                <w:sz w:val="18"/>
                <w:szCs w:val="18"/>
              </w:rPr>
            </w:pPr>
            <w:r>
              <w:rPr>
                <w:rFonts w:ascii="Verdana" w:hAnsi="Verdana"/>
                <w:color w:val="000000"/>
                <w:sz w:val="18"/>
                <w:szCs w:val="18"/>
              </w:rPr>
              <w:t>Satrix Managers (ETFs)</w:t>
            </w:r>
          </w:p>
        </w:tc>
        <w:tc>
          <w:tcPr>
            <w:tcW w:w="2268" w:type="dxa"/>
            <w:vAlign w:val="center"/>
          </w:tcPr>
          <w:p w14:paraId="4BC4887C" w14:textId="300A8130" w:rsidR="004F60D3" w:rsidRDefault="001118CB" w:rsidP="00C5148B">
            <w:pPr>
              <w:spacing w:before="40" w:after="80" w:line="320" w:lineRule="atLeast"/>
              <w:jc w:val="right"/>
              <w:rPr>
                <w:rFonts w:ascii="Verdana" w:hAnsi="Verdana"/>
                <w:color w:val="000000"/>
                <w:sz w:val="18"/>
                <w:szCs w:val="18"/>
              </w:rPr>
            </w:pPr>
            <w:r>
              <w:rPr>
                <w:rFonts w:ascii="Verdana" w:hAnsi="Verdana"/>
                <w:color w:val="000000"/>
                <w:sz w:val="18"/>
                <w:szCs w:val="18"/>
              </w:rPr>
              <w:t>2 467,3</w:t>
            </w:r>
          </w:p>
        </w:tc>
      </w:tr>
      <w:tr w:rsidR="004F60D3" w:rsidRPr="00AB6CBE" w14:paraId="71B11812" w14:textId="77777777" w:rsidTr="006666EF">
        <w:tc>
          <w:tcPr>
            <w:tcW w:w="708" w:type="dxa"/>
            <w:shd w:val="clear" w:color="auto" w:fill="auto"/>
          </w:tcPr>
          <w:p w14:paraId="30425601" w14:textId="77777777" w:rsidR="004F60D3" w:rsidRPr="00DD1C15" w:rsidRDefault="004F60D3" w:rsidP="00C5148B">
            <w:pPr>
              <w:pStyle w:val="ListParagraph"/>
              <w:numPr>
                <w:ilvl w:val="0"/>
                <w:numId w:val="21"/>
              </w:numPr>
              <w:spacing w:before="40" w:after="80" w:line="320" w:lineRule="atLeast"/>
              <w:ind w:left="357" w:hanging="357"/>
              <w:rPr>
                <w:rFonts w:ascii="Verdana" w:hAnsi="Verdana"/>
                <w:color w:val="000000"/>
                <w:sz w:val="18"/>
                <w:szCs w:val="18"/>
              </w:rPr>
            </w:pPr>
          </w:p>
        </w:tc>
        <w:tc>
          <w:tcPr>
            <w:tcW w:w="4678" w:type="dxa"/>
            <w:shd w:val="clear" w:color="auto" w:fill="auto"/>
          </w:tcPr>
          <w:p w14:paraId="7BEA3CA0" w14:textId="77777777" w:rsidR="004F60D3" w:rsidRDefault="004F60D3" w:rsidP="00C5148B">
            <w:pPr>
              <w:spacing w:before="40" w:after="80" w:line="320" w:lineRule="atLeast"/>
              <w:rPr>
                <w:rFonts w:ascii="Verdana" w:hAnsi="Verdana"/>
                <w:color w:val="000000"/>
                <w:sz w:val="18"/>
                <w:szCs w:val="18"/>
              </w:rPr>
            </w:pPr>
            <w:r>
              <w:rPr>
                <w:rFonts w:ascii="Verdana" w:hAnsi="Verdana"/>
                <w:color w:val="000000"/>
                <w:sz w:val="18"/>
                <w:szCs w:val="18"/>
              </w:rPr>
              <w:t>Sygnia Itrix (ETFs)</w:t>
            </w:r>
          </w:p>
        </w:tc>
        <w:tc>
          <w:tcPr>
            <w:tcW w:w="2268" w:type="dxa"/>
            <w:vAlign w:val="center"/>
          </w:tcPr>
          <w:p w14:paraId="6424C547" w14:textId="7FC3575E" w:rsidR="004F60D3" w:rsidRDefault="001118CB" w:rsidP="00C5148B">
            <w:pPr>
              <w:spacing w:before="40" w:after="80" w:line="320" w:lineRule="atLeast"/>
              <w:jc w:val="right"/>
              <w:rPr>
                <w:rFonts w:ascii="Verdana" w:hAnsi="Verdana"/>
                <w:color w:val="000000"/>
                <w:sz w:val="18"/>
                <w:szCs w:val="18"/>
              </w:rPr>
            </w:pPr>
            <w:r>
              <w:rPr>
                <w:rFonts w:ascii="Verdana" w:hAnsi="Verdana"/>
                <w:color w:val="000000"/>
                <w:sz w:val="18"/>
                <w:szCs w:val="18"/>
              </w:rPr>
              <w:t>2 385,2</w:t>
            </w:r>
          </w:p>
        </w:tc>
      </w:tr>
      <w:tr w:rsidR="001118CB" w:rsidRPr="00AB6CBE" w14:paraId="01CC63DD" w14:textId="77777777" w:rsidTr="006666EF">
        <w:tc>
          <w:tcPr>
            <w:tcW w:w="708" w:type="dxa"/>
            <w:shd w:val="clear" w:color="auto" w:fill="auto"/>
          </w:tcPr>
          <w:p w14:paraId="23B0DFDA" w14:textId="77777777" w:rsidR="001118CB" w:rsidRPr="00DD1C15" w:rsidRDefault="001118CB" w:rsidP="00C5148B">
            <w:pPr>
              <w:pStyle w:val="ListParagraph"/>
              <w:numPr>
                <w:ilvl w:val="0"/>
                <w:numId w:val="21"/>
              </w:numPr>
              <w:spacing w:before="40" w:after="80" w:line="320" w:lineRule="atLeast"/>
              <w:ind w:left="357" w:hanging="357"/>
              <w:rPr>
                <w:rFonts w:ascii="Verdana" w:hAnsi="Verdana"/>
                <w:color w:val="000000"/>
                <w:sz w:val="18"/>
                <w:szCs w:val="18"/>
              </w:rPr>
            </w:pPr>
          </w:p>
        </w:tc>
        <w:tc>
          <w:tcPr>
            <w:tcW w:w="4678" w:type="dxa"/>
            <w:shd w:val="clear" w:color="auto" w:fill="auto"/>
          </w:tcPr>
          <w:p w14:paraId="538884A9" w14:textId="764901A4" w:rsidR="001118CB" w:rsidRDefault="001118CB" w:rsidP="00C5148B">
            <w:pPr>
              <w:spacing w:before="40" w:after="80" w:line="320" w:lineRule="atLeast"/>
              <w:rPr>
                <w:rFonts w:ascii="Verdana" w:hAnsi="Verdana"/>
                <w:color w:val="000000"/>
                <w:sz w:val="18"/>
                <w:szCs w:val="18"/>
              </w:rPr>
            </w:pPr>
            <w:r>
              <w:rPr>
                <w:rFonts w:ascii="Verdana" w:hAnsi="Verdana"/>
                <w:color w:val="000000"/>
                <w:sz w:val="18"/>
                <w:szCs w:val="18"/>
              </w:rPr>
              <w:t>CoreShares (ETFs)</w:t>
            </w:r>
          </w:p>
        </w:tc>
        <w:tc>
          <w:tcPr>
            <w:tcW w:w="2268" w:type="dxa"/>
            <w:vAlign w:val="center"/>
          </w:tcPr>
          <w:p w14:paraId="375638C3" w14:textId="69D0F5B9" w:rsidR="001118CB" w:rsidRDefault="001118CB" w:rsidP="00C5148B">
            <w:pPr>
              <w:spacing w:before="40" w:after="80" w:line="320" w:lineRule="atLeast"/>
              <w:jc w:val="right"/>
              <w:rPr>
                <w:rFonts w:ascii="Verdana" w:hAnsi="Verdana"/>
                <w:color w:val="000000"/>
                <w:sz w:val="18"/>
                <w:szCs w:val="18"/>
              </w:rPr>
            </w:pPr>
            <w:r>
              <w:rPr>
                <w:rFonts w:ascii="Verdana" w:hAnsi="Verdana"/>
                <w:color w:val="000000"/>
                <w:sz w:val="18"/>
                <w:szCs w:val="18"/>
              </w:rPr>
              <w:t>187,8</w:t>
            </w:r>
          </w:p>
        </w:tc>
      </w:tr>
      <w:tr w:rsidR="001118CB" w:rsidRPr="00AB6CBE" w14:paraId="6F58AECD" w14:textId="77777777" w:rsidTr="006666EF">
        <w:tc>
          <w:tcPr>
            <w:tcW w:w="708" w:type="dxa"/>
            <w:shd w:val="clear" w:color="auto" w:fill="auto"/>
          </w:tcPr>
          <w:p w14:paraId="39033FAD" w14:textId="77777777" w:rsidR="001118CB" w:rsidRPr="00DD1C15" w:rsidRDefault="001118CB" w:rsidP="00C5148B">
            <w:pPr>
              <w:pStyle w:val="ListParagraph"/>
              <w:numPr>
                <w:ilvl w:val="0"/>
                <w:numId w:val="21"/>
              </w:numPr>
              <w:spacing w:before="40" w:after="80" w:line="320" w:lineRule="atLeast"/>
              <w:ind w:left="357" w:hanging="357"/>
              <w:rPr>
                <w:rFonts w:ascii="Verdana" w:hAnsi="Verdana"/>
                <w:color w:val="000000"/>
                <w:sz w:val="18"/>
                <w:szCs w:val="18"/>
              </w:rPr>
            </w:pPr>
          </w:p>
        </w:tc>
        <w:tc>
          <w:tcPr>
            <w:tcW w:w="4678" w:type="dxa"/>
            <w:shd w:val="clear" w:color="auto" w:fill="auto"/>
          </w:tcPr>
          <w:p w14:paraId="4CAE9A1A" w14:textId="68684BAE" w:rsidR="001118CB" w:rsidRDefault="001118CB" w:rsidP="00C5148B">
            <w:pPr>
              <w:spacing w:before="40" w:after="80" w:line="320" w:lineRule="atLeast"/>
              <w:rPr>
                <w:rFonts w:ascii="Verdana" w:hAnsi="Verdana"/>
                <w:color w:val="000000"/>
                <w:sz w:val="18"/>
                <w:szCs w:val="18"/>
              </w:rPr>
            </w:pPr>
            <w:r>
              <w:rPr>
                <w:rFonts w:ascii="Verdana" w:hAnsi="Verdana"/>
                <w:color w:val="000000"/>
                <w:sz w:val="18"/>
                <w:szCs w:val="18"/>
              </w:rPr>
              <w:t>FNB (ETNs)</w:t>
            </w:r>
          </w:p>
        </w:tc>
        <w:tc>
          <w:tcPr>
            <w:tcW w:w="2268" w:type="dxa"/>
            <w:vAlign w:val="center"/>
          </w:tcPr>
          <w:p w14:paraId="615AB182" w14:textId="0C0C22E3" w:rsidR="001118CB" w:rsidRDefault="001118CB" w:rsidP="00C5148B">
            <w:pPr>
              <w:spacing w:before="40" w:after="80" w:line="320" w:lineRule="atLeast"/>
              <w:jc w:val="right"/>
              <w:rPr>
                <w:rFonts w:ascii="Verdana" w:hAnsi="Verdana"/>
                <w:color w:val="000000"/>
                <w:sz w:val="18"/>
                <w:szCs w:val="18"/>
              </w:rPr>
            </w:pPr>
            <w:r>
              <w:rPr>
                <w:rFonts w:ascii="Verdana" w:hAnsi="Verdana"/>
                <w:color w:val="000000"/>
                <w:sz w:val="18"/>
                <w:szCs w:val="18"/>
              </w:rPr>
              <w:t>175,0</w:t>
            </w:r>
          </w:p>
        </w:tc>
      </w:tr>
      <w:tr w:rsidR="001118CB" w:rsidRPr="00AB6CBE" w14:paraId="0331B35F" w14:textId="77777777" w:rsidTr="006666EF">
        <w:tc>
          <w:tcPr>
            <w:tcW w:w="708" w:type="dxa"/>
            <w:shd w:val="clear" w:color="auto" w:fill="auto"/>
          </w:tcPr>
          <w:p w14:paraId="52C7CDE6" w14:textId="77777777" w:rsidR="001118CB" w:rsidRPr="00DD1C15" w:rsidRDefault="001118CB" w:rsidP="00C5148B">
            <w:pPr>
              <w:pStyle w:val="ListParagraph"/>
              <w:numPr>
                <w:ilvl w:val="0"/>
                <w:numId w:val="21"/>
              </w:numPr>
              <w:spacing w:before="40" w:after="80" w:line="320" w:lineRule="atLeast"/>
              <w:ind w:left="357" w:hanging="357"/>
              <w:rPr>
                <w:rFonts w:ascii="Verdana" w:hAnsi="Verdana"/>
                <w:color w:val="000000"/>
                <w:sz w:val="18"/>
                <w:szCs w:val="18"/>
              </w:rPr>
            </w:pPr>
          </w:p>
        </w:tc>
        <w:tc>
          <w:tcPr>
            <w:tcW w:w="4678" w:type="dxa"/>
            <w:shd w:val="clear" w:color="auto" w:fill="auto"/>
          </w:tcPr>
          <w:p w14:paraId="5632D27C" w14:textId="321DACCB" w:rsidR="001118CB" w:rsidRDefault="001118CB" w:rsidP="00C5148B">
            <w:pPr>
              <w:spacing w:before="40" w:after="80" w:line="320" w:lineRule="atLeast"/>
              <w:rPr>
                <w:rFonts w:ascii="Verdana" w:hAnsi="Verdana"/>
                <w:color w:val="000000"/>
                <w:sz w:val="18"/>
                <w:szCs w:val="18"/>
              </w:rPr>
            </w:pPr>
            <w:r>
              <w:rPr>
                <w:rFonts w:ascii="Verdana" w:hAnsi="Verdana"/>
                <w:color w:val="000000"/>
                <w:sz w:val="18"/>
                <w:szCs w:val="18"/>
              </w:rPr>
              <w:t>FNB (ETFs)</w:t>
            </w:r>
          </w:p>
        </w:tc>
        <w:tc>
          <w:tcPr>
            <w:tcW w:w="2268" w:type="dxa"/>
            <w:vAlign w:val="center"/>
          </w:tcPr>
          <w:p w14:paraId="76C1C865" w14:textId="20EA5621" w:rsidR="001118CB" w:rsidRDefault="001118CB" w:rsidP="00C5148B">
            <w:pPr>
              <w:spacing w:before="40" w:after="80" w:line="320" w:lineRule="atLeast"/>
              <w:jc w:val="right"/>
              <w:rPr>
                <w:rFonts w:ascii="Verdana" w:hAnsi="Verdana"/>
                <w:color w:val="000000"/>
                <w:sz w:val="18"/>
                <w:szCs w:val="18"/>
              </w:rPr>
            </w:pPr>
            <w:r>
              <w:rPr>
                <w:rFonts w:ascii="Verdana" w:hAnsi="Verdana"/>
                <w:color w:val="000000"/>
                <w:sz w:val="18"/>
                <w:szCs w:val="18"/>
              </w:rPr>
              <w:t>135,6</w:t>
            </w:r>
          </w:p>
        </w:tc>
      </w:tr>
      <w:tr w:rsidR="001118CB" w:rsidRPr="00AB6CBE" w14:paraId="033417FA" w14:textId="77777777" w:rsidTr="006666EF">
        <w:tc>
          <w:tcPr>
            <w:tcW w:w="708" w:type="dxa"/>
            <w:shd w:val="clear" w:color="auto" w:fill="auto"/>
          </w:tcPr>
          <w:p w14:paraId="6986F1F2" w14:textId="77777777" w:rsidR="001118CB" w:rsidRPr="00DD1C15" w:rsidRDefault="001118CB" w:rsidP="00C5148B">
            <w:pPr>
              <w:pStyle w:val="ListParagraph"/>
              <w:numPr>
                <w:ilvl w:val="0"/>
                <w:numId w:val="21"/>
              </w:numPr>
              <w:spacing w:before="40" w:after="80" w:line="320" w:lineRule="atLeast"/>
              <w:ind w:left="357" w:hanging="357"/>
              <w:rPr>
                <w:rFonts w:ascii="Verdana" w:hAnsi="Verdana"/>
                <w:color w:val="000000"/>
                <w:sz w:val="18"/>
                <w:szCs w:val="18"/>
              </w:rPr>
            </w:pPr>
          </w:p>
        </w:tc>
        <w:tc>
          <w:tcPr>
            <w:tcW w:w="4678" w:type="dxa"/>
            <w:shd w:val="clear" w:color="auto" w:fill="auto"/>
          </w:tcPr>
          <w:p w14:paraId="78FCB145" w14:textId="70E2C833" w:rsidR="001118CB" w:rsidRDefault="001118CB" w:rsidP="00C5148B">
            <w:pPr>
              <w:spacing w:before="40" w:after="80" w:line="320" w:lineRule="atLeast"/>
              <w:rPr>
                <w:rFonts w:ascii="Verdana" w:hAnsi="Verdana"/>
                <w:color w:val="000000"/>
                <w:sz w:val="18"/>
                <w:szCs w:val="18"/>
              </w:rPr>
            </w:pPr>
            <w:r>
              <w:rPr>
                <w:rFonts w:ascii="Verdana" w:hAnsi="Verdana"/>
                <w:color w:val="000000"/>
                <w:sz w:val="18"/>
                <w:szCs w:val="18"/>
              </w:rPr>
              <w:t>Cloud Atlas (ETFs)</w:t>
            </w:r>
          </w:p>
        </w:tc>
        <w:tc>
          <w:tcPr>
            <w:tcW w:w="2268" w:type="dxa"/>
            <w:vAlign w:val="center"/>
          </w:tcPr>
          <w:p w14:paraId="11299489" w14:textId="4727495C" w:rsidR="001118CB" w:rsidRDefault="001118CB" w:rsidP="00C5148B">
            <w:pPr>
              <w:spacing w:before="40" w:after="80" w:line="320" w:lineRule="atLeast"/>
              <w:jc w:val="right"/>
              <w:rPr>
                <w:rFonts w:ascii="Verdana" w:hAnsi="Verdana"/>
                <w:color w:val="000000"/>
                <w:sz w:val="18"/>
                <w:szCs w:val="18"/>
              </w:rPr>
            </w:pPr>
            <w:r>
              <w:rPr>
                <w:rFonts w:ascii="Verdana" w:hAnsi="Verdana"/>
                <w:color w:val="000000"/>
                <w:sz w:val="18"/>
                <w:szCs w:val="18"/>
              </w:rPr>
              <w:t>(0,2)</w:t>
            </w:r>
          </w:p>
        </w:tc>
      </w:tr>
      <w:tr w:rsidR="001118CB" w:rsidRPr="00AB6CBE" w14:paraId="65ABC918" w14:textId="77777777" w:rsidTr="006666EF">
        <w:tc>
          <w:tcPr>
            <w:tcW w:w="708" w:type="dxa"/>
            <w:shd w:val="clear" w:color="auto" w:fill="auto"/>
          </w:tcPr>
          <w:p w14:paraId="51805001" w14:textId="77777777" w:rsidR="001118CB" w:rsidRPr="00DD1C15" w:rsidRDefault="001118CB" w:rsidP="00C5148B">
            <w:pPr>
              <w:pStyle w:val="ListParagraph"/>
              <w:numPr>
                <w:ilvl w:val="0"/>
                <w:numId w:val="21"/>
              </w:numPr>
              <w:spacing w:before="40" w:after="80" w:line="320" w:lineRule="atLeast"/>
              <w:ind w:left="357" w:hanging="357"/>
              <w:rPr>
                <w:rFonts w:ascii="Verdana" w:hAnsi="Verdana"/>
                <w:color w:val="000000"/>
                <w:sz w:val="18"/>
                <w:szCs w:val="18"/>
              </w:rPr>
            </w:pPr>
          </w:p>
        </w:tc>
        <w:tc>
          <w:tcPr>
            <w:tcW w:w="4678" w:type="dxa"/>
            <w:shd w:val="clear" w:color="auto" w:fill="auto"/>
          </w:tcPr>
          <w:p w14:paraId="428A1778" w14:textId="0E7373EA" w:rsidR="001118CB" w:rsidRDefault="001118CB" w:rsidP="00C5148B">
            <w:pPr>
              <w:spacing w:before="40" w:after="80" w:line="320" w:lineRule="atLeast"/>
              <w:rPr>
                <w:rFonts w:ascii="Verdana" w:hAnsi="Verdana"/>
                <w:color w:val="000000"/>
                <w:sz w:val="18"/>
                <w:szCs w:val="18"/>
              </w:rPr>
            </w:pPr>
            <w:r>
              <w:rPr>
                <w:rFonts w:ascii="Verdana" w:hAnsi="Verdana"/>
                <w:color w:val="000000"/>
                <w:sz w:val="18"/>
                <w:szCs w:val="18"/>
              </w:rPr>
              <w:t>Absa Capital (NewWave ETNs)</w:t>
            </w:r>
          </w:p>
        </w:tc>
        <w:tc>
          <w:tcPr>
            <w:tcW w:w="2268" w:type="dxa"/>
            <w:vAlign w:val="center"/>
          </w:tcPr>
          <w:p w14:paraId="46B34005" w14:textId="7D866915" w:rsidR="001118CB" w:rsidRDefault="001118CB" w:rsidP="00C5148B">
            <w:pPr>
              <w:spacing w:before="40" w:after="80" w:line="320" w:lineRule="atLeast"/>
              <w:jc w:val="right"/>
              <w:rPr>
                <w:rFonts w:ascii="Verdana" w:hAnsi="Verdana"/>
                <w:color w:val="000000"/>
                <w:sz w:val="18"/>
                <w:szCs w:val="18"/>
              </w:rPr>
            </w:pPr>
            <w:r>
              <w:rPr>
                <w:rFonts w:ascii="Verdana" w:hAnsi="Verdana"/>
                <w:color w:val="000000"/>
                <w:sz w:val="18"/>
                <w:szCs w:val="18"/>
              </w:rPr>
              <w:t>(105,6)</w:t>
            </w:r>
          </w:p>
        </w:tc>
      </w:tr>
      <w:tr w:rsidR="001118CB" w:rsidRPr="00AB6CBE" w14:paraId="16D91074" w14:textId="77777777" w:rsidTr="006666EF">
        <w:tc>
          <w:tcPr>
            <w:tcW w:w="708" w:type="dxa"/>
            <w:shd w:val="clear" w:color="auto" w:fill="auto"/>
          </w:tcPr>
          <w:p w14:paraId="045BDB9F" w14:textId="77777777" w:rsidR="001118CB" w:rsidRPr="00DD1C15" w:rsidRDefault="001118CB" w:rsidP="00C5148B">
            <w:pPr>
              <w:pStyle w:val="ListParagraph"/>
              <w:numPr>
                <w:ilvl w:val="0"/>
                <w:numId w:val="21"/>
              </w:numPr>
              <w:spacing w:before="40" w:after="80" w:line="320" w:lineRule="atLeast"/>
              <w:ind w:left="357" w:hanging="357"/>
              <w:rPr>
                <w:rFonts w:ascii="Verdana" w:hAnsi="Verdana"/>
                <w:color w:val="000000"/>
                <w:sz w:val="18"/>
                <w:szCs w:val="18"/>
              </w:rPr>
            </w:pPr>
          </w:p>
        </w:tc>
        <w:tc>
          <w:tcPr>
            <w:tcW w:w="4678" w:type="dxa"/>
            <w:shd w:val="clear" w:color="auto" w:fill="auto"/>
          </w:tcPr>
          <w:p w14:paraId="53050D8C" w14:textId="38278DE9" w:rsidR="001118CB" w:rsidRDefault="001118CB" w:rsidP="00C5148B">
            <w:pPr>
              <w:spacing w:before="40" w:after="80" w:line="320" w:lineRule="atLeast"/>
              <w:rPr>
                <w:rFonts w:ascii="Verdana" w:hAnsi="Verdana"/>
                <w:color w:val="000000"/>
                <w:sz w:val="18"/>
                <w:szCs w:val="18"/>
              </w:rPr>
            </w:pPr>
            <w:r>
              <w:rPr>
                <w:rFonts w:ascii="Verdana" w:hAnsi="Verdana"/>
                <w:color w:val="000000"/>
                <w:sz w:val="18"/>
                <w:szCs w:val="18"/>
              </w:rPr>
              <w:t>1nvest (ETFs)</w:t>
            </w:r>
          </w:p>
        </w:tc>
        <w:tc>
          <w:tcPr>
            <w:tcW w:w="2268" w:type="dxa"/>
            <w:vAlign w:val="center"/>
          </w:tcPr>
          <w:p w14:paraId="03E582D6" w14:textId="13209442" w:rsidR="001118CB" w:rsidRDefault="001118CB" w:rsidP="00C5148B">
            <w:pPr>
              <w:spacing w:before="40" w:after="80" w:line="320" w:lineRule="atLeast"/>
              <w:jc w:val="right"/>
              <w:rPr>
                <w:rFonts w:ascii="Verdana" w:hAnsi="Verdana"/>
                <w:color w:val="000000"/>
                <w:sz w:val="18"/>
                <w:szCs w:val="18"/>
              </w:rPr>
            </w:pPr>
            <w:r>
              <w:rPr>
                <w:rFonts w:ascii="Verdana" w:hAnsi="Verdana"/>
                <w:color w:val="000000"/>
                <w:sz w:val="18"/>
                <w:szCs w:val="18"/>
              </w:rPr>
              <w:t>(1 044,2)</w:t>
            </w:r>
          </w:p>
        </w:tc>
      </w:tr>
      <w:tr w:rsidR="001118CB" w:rsidRPr="00AB6CBE" w14:paraId="2F67B1D1" w14:textId="77777777" w:rsidTr="006666EF">
        <w:tc>
          <w:tcPr>
            <w:tcW w:w="708" w:type="dxa"/>
            <w:shd w:val="clear" w:color="auto" w:fill="auto"/>
          </w:tcPr>
          <w:p w14:paraId="6FF74B0D" w14:textId="77777777" w:rsidR="001118CB" w:rsidRPr="00DD1C15" w:rsidRDefault="001118CB" w:rsidP="00C5148B">
            <w:pPr>
              <w:pStyle w:val="ListParagraph"/>
              <w:numPr>
                <w:ilvl w:val="0"/>
                <w:numId w:val="21"/>
              </w:numPr>
              <w:spacing w:before="40" w:after="80" w:line="320" w:lineRule="atLeast"/>
              <w:ind w:left="357" w:hanging="357"/>
              <w:rPr>
                <w:rFonts w:ascii="Verdana" w:hAnsi="Verdana"/>
                <w:color w:val="000000"/>
                <w:sz w:val="18"/>
                <w:szCs w:val="18"/>
              </w:rPr>
            </w:pPr>
          </w:p>
        </w:tc>
        <w:tc>
          <w:tcPr>
            <w:tcW w:w="4678" w:type="dxa"/>
            <w:shd w:val="clear" w:color="auto" w:fill="auto"/>
          </w:tcPr>
          <w:p w14:paraId="7D072A5B" w14:textId="5B4639F0" w:rsidR="001118CB" w:rsidRDefault="001118CB" w:rsidP="00C5148B">
            <w:pPr>
              <w:spacing w:before="40" w:after="80" w:line="320" w:lineRule="atLeast"/>
              <w:rPr>
                <w:rFonts w:ascii="Verdana" w:hAnsi="Verdana"/>
                <w:color w:val="000000"/>
                <w:sz w:val="18"/>
                <w:szCs w:val="18"/>
              </w:rPr>
            </w:pPr>
            <w:r>
              <w:rPr>
                <w:rFonts w:ascii="Verdana" w:hAnsi="Verdana"/>
                <w:color w:val="000000"/>
                <w:sz w:val="18"/>
                <w:szCs w:val="18"/>
              </w:rPr>
              <w:t>Absa Capital (NewFunds, NewGold ETFs)</w:t>
            </w:r>
          </w:p>
        </w:tc>
        <w:tc>
          <w:tcPr>
            <w:tcW w:w="2268" w:type="dxa"/>
            <w:vAlign w:val="center"/>
          </w:tcPr>
          <w:p w14:paraId="16F0CFFC" w14:textId="541FAC99" w:rsidR="001118CB" w:rsidRDefault="001118CB" w:rsidP="00C5148B">
            <w:pPr>
              <w:spacing w:before="40" w:after="80" w:line="320" w:lineRule="atLeast"/>
              <w:jc w:val="right"/>
              <w:rPr>
                <w:rFonts w:ascii="Verdana" w:hAnsi="Verdana"/>
                <w:color w:val="000000"/>
                <w:sz w:val="18"/>
                <w:szCs w:val="18"/>
              </w:rPr>
            </w:pPr>
            <w:r>
              <w:rPr>
                <w:rFonts w:ascii="Verdana" w:hAnsi="Verdana"/>
                <w:color w:val="000000"/>
                <w:sz w:val="18"/>
                <w:szCs w:val="18"/>
              </w:rPr>
              <w:t>(1 997,3)</w:t>
            </w:r>
          </w:p>
        </w:tc>
      </w:tr>
      <w:tr w:rsidR="001118CB" w:rsidRPr="00DD1C15" w14:paraId="37C1C93E" w14:textId="77777777" w:rsidTr="006666EF">
        <w:tc>
          <w:tcPr>
            <w:tcW w:w="5386" w:type="dxa"/>
            <w:gridSpan w:val="2"/>
            <w:shd w:val="clear" w:color="auto" w:fill="auto"/>
          </w:tcPr>
          <w:p w14:paraId="0BD42997" w14:textId="77777777" w:rsidR="001118CB" w:rsidRPr="00DD1C15" w:rsidRDefault="001118CB" w:rsidP="00C5148B">
            <w:pPr>
              <w:spacing w:before="40" w:after="80" w:line="320" w:lineRule="atLeast"/>
              <w:rPr>
                <w:rFonts w:ascii="Verdana" w:hAnsi="Verdana"/>
                <w:b/>
                <w:bCs/>
                <w:color w:val="000000"/>
                <w:sz w:val="18"/>
                <w:szCs w:val="18"/>
              </w:rPr>
            </w:pPr>
            <w:r>
              <w:rPr>
                <w:rFonts w:ascii="Verdana" w:hAnsi="Verdana"/>
                <w:b/>
                <w:bCs/>
                <w:color w:val="000000"/>
                <w:sz w:val="18"/>
                <w:szCs w:val="18"/>
              </w:rPr>
              <w:t>Total</w:t>
            </w:r>
          </w:p>
        </w:tc>
        <w:tc>
          <w:tcPr>
            <w:tcW w:w="2268" w:type="dxa"/>
            <w:vAlign w:val="center"/>
          </w:tcPr>
          <w:p w14:paraId="654C3608" w14:textId="2534E3F2" w:rsidR="001118CB" w:rsidRPr="00DD1C15" w:rsidRDefault="001118CB" w:rsidP="00C5148B">
            <w:pPr>
              <w:spacing w:before="40" w:after="80" w:line="320" w:lineRule="atLeast"/>
              <w:jc w:val="right"/>
              <w:rPr>
                <w:rFonts w:ascii="Verdana" w:hAnsi="Verdana"/>
                <w:b/>
                <w:bCs/>
                <w:color w:val="000000"/>
                <w:sz w:val="18"/>
                <w:szCs w:val="18"/>
              </w:rPr>
            </w:pPr>
            <w:r>
              <w:rPr>
                <w:rFonts w:ascii="Verdana" w:hAnsi="Verdana"/>
                <w:b/>
                <w:bCs/>
                <w:color w:val="000000"/>
                <w:sz w:val="18"/>
                <w:szCs w:val="18"/>
              </w:rPr>
              <w:t>2 203,6</w:t>
            </w:r>
          </w:p>
        </w:tc>
      </w:tr>
      <w:tr w:rsidR="001118CB" w:rsidRPr="006015AB" w14:paraId="0965F958" w14:textId="77777777" w:rsidTr="006666EF">
        <w:trPr>
          <w:trHeight w:val="217"/>
        </w:trPr>
        <w:tc>
          <w:tcPr>
            <w:tcW w:w="7654" w:type="dxa"/>
            <w:gridSpan w:val="3"/>
            <w:shd w:val="clear" w:color="auto" w:fill="auto"/>
            <w:vAlign w:val="center"/>
          </w:tcPr>
          <w:p w14:paraId="20521E6D" w14:textId="3BCBC523" w:rsidR="001118CB" w:rsidRPr="006015AB" w:rsidRDefault="001118CB" w:rsidP="001118CB">
            <w:pPr>
              <w:spacing w:after="40" w:line="280" w:lineRule="atLeast"/>
              <w:rPr>
                <w:rFonts w:ascii="Verdana" w:hAnsi="Verdana"/>
                <w:i/>
                <w:color w:val="000000"/>
                <w:sz w:val="14"/>
                <w:szCs w:val="14"/>
              </w:rPr>
            </w:pPr>
            <w:r w:rsidRPr="006015AB">
              <w:rPr>
                <w:rFonts w:ascii="Verdana" w:hAnsi="Verdana"/>
                <w:i/>
                <w:color w:val="000000"/>
                <w:sz w:val="14"/>
                <w:szCs w:val="14"/>
              </w:rPr>
              <w:t>Source: etfSA.co.za Quarterly S</w:t>
            </w:r>
            <w:r>
              <w:rPr>
                <w:rFonts w:ascii="Verdana" w:hAnsi="Verdana"/>
                <w:i/>
                <w:color w:val="000000"/>
                <w:sz w:val="14"/>
                <w:szCs w:val="14"/>
              </w:rPr>
              <w:t>ecurities in Issue and New Capital Raised Survey June 2022).</w:t>
            </w:r>
          </w:p>
        </w:tc>
      </w:tr>
    </w:tbl>
    <w:p w14:paraId="5A45DB35" w14:textId="41DE4C2D" w:rsidR="00574118" w:rsidRDefault="00574118" w:rsidP="00C5148B">
      <w:pPr>
        <w:spacing w:after="0" w:line="360" w:lineRule="atLeast"/>
        <w:jc w:val="both"/>
        <w:rPr>
          <w:rFonts w:ascii="Verdana" w:hAnsi="Verdana"/>
          <w:sz w:val="21"/>
          <w:szCs w:val="21"/>
        </w:rPr>
      </w:pPr>
    </w:p>
    <w:p w14:paraId="25028F06" w14:textId="11B7C914" w:rsidR="0008356F" w:rsidRDefault="00C5148B" w:rsidP="00C5148B">
      <w:pPr>
        <w:spacing w:before="80" w:after="0" w:line="360" w:lineRule="atLeast"/>
        <w:rPr>
          <w:rFonts w:ascii="Verdana" w:hAnsi="Verdana"/>
          <w:sz w:val="21"/>
          <w:szCs w:val="21"/>
        </w:rPr>
      </w:pPr>
      <w:r>
        <w:rPr>
          <w:rFonts w:ascii="Verdana" w:hAnsi="Verdana"/>
          <w:sz w:val="21"/>
          <w:szCs w:val="21"/>
        </w:rPr>
        <w:t xml:space="preserve">At the other end of the scale, </w:t>
      </w:r>
      <w:r>
        <w:rPr>
          <w:rFonts w:ascii="Verdana" w:hAnsi="Verdana"/>
          <w:sz w:val="21"/>
          <w:szCs w:val="21"/>
        </w:rPr>
        <w:t xml:space="preserve">significant sales </w:t>
      </w:r>
      <w:r>
        <w:rPr>
          <w:rFonts w:ascii="Verdana" w:hAnsi="Verdana"/>
          <w:sz w:val="21"/>
          <w:szCs w:val="21"/>
        </w:rPr>
        <w:t>of commodity ETFs</w:t>
      </w:r>
      <w:r>
        <w:rPr>
          <w:rFonts w:ascii="Verdana" w:hAnsi="Verdana"/>
          <w:sz w:val="21"/>
          <w:szCs w:val="21"/>
        </w:rPr>
        <w:t>,</w:t>
      </w:r>
      <w:r>
        <w:rPr>
          <w:rFonts w:ascii="Verdana" w:hAnsi="Verdana"/>
          <w:sz w:val="21"/>
          <w:szCs w:val="21"/>
        </w:rPr>
        <w:t xml:space="preserve"> have seen Absa Capital redeem R1 997,3 million capital for delisting of their NewGold </w:t>
      </w:r>
      <w:r>
        <w:rPr>
          <w:rFonts w:ascii="Verdana" w:hAnsi="Verdana"/>
          <w:sz w:val="21"/>
          <w:szCs w:val="21"/>
        </w:rPr>
        <w:t xml:space="preserve">range of </w:t>
      </w:r>
      <w:r>
        <w:rPr>
          <w:rFonts w:ascii="Verdana" w:hAnsi="Verdana"/>
          <w:sz w:val="21"/>
          <w:szCs w:val="21"/>
        </w:rPr>
        <w:t>ETFs, covering gold, palladium and platinum.  A similar pattern of redemptions of commodity ETFs has been experienced by 1nvest, which delisted R1 044,</w:t>
      </w:r>
      <w:r w:rsidR="001470DA">
        <w:rPr>
          <w:rFonts w:ascii="Verdana" w:hAnsi="Verdana"/>
          <w:sz w:val="21"/>
          <w:szCs w:val="21"/>
        </w:rPr>
        <w:t>2</w:t>
      </w:r>
      <w:r>
        <w:rPr>
          <w:rFonts w:ascii="Verdana" w:hAnsi="Verdana"/>
          <w:sz w:val="21"/>
          <w:szCs w:val="21"/>
        </w:rPr>
        <w:t xml:space="preserve"> million capital over this period</w:t>
      </w:r>
      <w:r>
        <w:rPr>
          <w:rFonts w:ascii="Verdana" w:hAnsi="Verdana"/>
          <w:sz w:val="21"/>
          <w:szCs w:val="21"/>
        </w:rPr>
        <w:t xml:space="preserve">. </w:t>
      </w:r>
    </w:p>
    <w:p w14:paraId="5989EFE0" w14:textId="77777777" w:rsidR="00C5148B" w:rsidRDefault="00C5148B">
      <w:pPr>
        <w:rPr>
          <w:rFonts w:ascii="Verdana" w:hAnsi="Verdana"/>
          <w:sz w:val="21"/>
          <w:szCs w:val="21"/>
        </w:rPr>
      </w:pPr>
    </w:p>
    <w:p w14:paraId="285792D2" w14:textId="77858D48" w:rsidR="00C5148B" w:rsidRDefault="00C5148B">
      <w:pPr>
        <w:rPr>
          <w:rFonts w:ascii="Verdana" w:hAnsi="Verdana"/>
          <w:sz w:val="21"/>
          <w:szCs w:val="21"/>
        </w:rPr>
      </w:pPr>
      <w:r>
        <w:rPr>
          <w:rFonts w:ascii="Verdana" w:hAnsi="Verdana"/>
          <w:sz w:val="21"/>
          <w:szCs w:val="21"/>
        </w:rPr>
        <w:br w:type="page"/>
      </w:r>
    </w:p>
    <w:p w14:paraId="4F4516C6" w14:textId="28877FCD" w:rsidR="00C5148B" w:rsidRDefault="00C5148B" w:rsidP="0008356F">
      <w:pPr>
        <w:spacing w:before="80" w:after="0" w:line="320" w:lineRule="atLeast"/>
        <w:rPr>
          <w:rFonts w:ascii="Verdana" w:hAnsi="Verdana"/>
          <w:sz w:val="21"/>
          <w:szCs w:val="21"/>
        </w:rPr>
      </w:pPr>
    </w:p>
    <w:p w14:paraId="713E9517" w14:textId="2A6504A8" w:rsidR="00C5148B" w:rsidRDefault="00C5148B" w:rsidP="00C5148B">
      <w:pPr>
        <w:spacing w:before="80" w:after="0" w:line="360" w:lineRule="atLeast"/>
        <w:rPr>
          <w:rFonts w:ascii="Verdana" w:hAnsi="Verdana"/>
          <w:sz w:val="21"/>
          <w:szCs w:val="21"/>
        </w:rPr>
      </w:pPr>
      <w:r>
        <w:rPr>
          <w:rFonts w:ascii="Verdana" w:hAnsi="Verdana"/>
          <w:sz w:val="21"/>
          <w:szCs w:val="21"/>
        </w:rPr>
        <w:t xml:space="preserve">Table B shows the individual ETPs that raised the most new capital, or redeemed (paid out) the most capital for the first 6 months of 2022.  The most new listings of ETF securities took place in foreign referenced ETFs, issued by either Satrix or Sygnia Itrix.  Of </w:t>
      </w:r>
      <w:r>
        <w:rPr>
          <w:rFonts w:ascii="Verdana" w:hAnsi="Verdana"/>
          <w:sz w:val="21"/>
          <w:szCs w:val="21"/>
        </w:rPr>
        <w:t>interest</w:t>
      </w:r>
      <w:r>
        <w:rPr>
          <w:rFonts w:ascii="Verdana" w:hAnsi="Verdana"/>
          <w:sz w:val="21"/>
          <w:szCs w:val="21"/>
        </w:rPr>
        <w:t xml:space="preserve"> is that the Sygnia Itrix Emerging Markets 50 ETF attracted the most new capital, despite the relatively poor performance of emerging world equity markets.</w:t>
      </w:r>
    </w:p>
    <w:p w14:paraId="00706F1C" w14:textId="77777777" w:rsidR="00C5148B" w:rsidRDefault="00C5148B" w:rsidP="00C5148B">
      <w:pPr>
        <w:spacing w:before="80" w:after="0" w:line="360" w:lineRule="atLeast"/>
        <w:rPr>
          <w:rFonts w:ascii="Verdana" w:hAnsi="Verdana"/>
          <w:sz w:val="21"/>
          <w:szCs w:val="21"/>
        </w:rPr>
      </w:pPr>
    </w:p>
    <w:p w14:paraId="6BB4C538" w14:textId="77777777" w:rsidR="00C5148B" w:rsidRDefault="0008356F" w:rsidP="00C5148B">
      <w:pPr>
        <w:spacing w:before="80" w:after="0" w:line="360" w:lineRule="atLeast"/>
        <w:rPr>
          <w:rFonts w:ascii="Verdana" w:hAnsi="Verdana"/>
          <w:sz w:val="21"/>
          <w:szCs w:val="21"/>
        </w:rPr>
      </w:pPr>
      <w:r>
        <w:rPr>
          <w:rFonts w:ascii="Verdana" w:hAnsi="Verdana"/>
          <w:sz w:val="21"/>
          <w:szCs w:val="21"/>
        </w:rPr>
        <w:t xml:space="preserve">The most capital redeemed was for the gold, platinum and palladium ETFs issued by NewGold and 1nvest.  This appears to be profit-taking by investors who have been tracking the commodity cycle. </w:t>
      </w:r>
    </w:p>
    <w:p w14:paraId="0C165C64" w14:textId="10FEE5F7" w:rsidR="00574118" w:rsidRDefault="00574118" w:rsidP="00C5148B">
      <w:pPr>
        <w:spacing w:before="80" w:after="0" w:line="320" w:lineRule="atLeast"/>
        <w:rPr>
          <w:rFonts w:ascii="Verdana" w:hAnsi="Verdana"/>
          <w:sz w:val="21"/>
          <w:szCs w:val="21"/>
        </w:rPr>
      </w:pPr>
    </w:p>
    <w:p w14:paraId="352FAE2E" w14:textId="03D57104" w:rsidR="00574118" w:rsidRPr="00574118" w:rsidRDefault="00574118" w:rsidP="00164CDA">
      <w:pPr>
        <w:spacing w:before="240" w:line="320" w:lineRule="atLeast"/>
        <w:jc w:val="both"/>
        <w:rPr>
          <w:rFonts w:ascii="Verdana" w:hAnsi="Verdana"/>
          <w:b/>
          <w:bCs/>
          <w:sz w:val="21"/>
          <w:szCs w:val="21"/>
        </w:rPr>
      </w:pPr>
      <w:r>
        <w:rPr>
          <w:rFonts w:ascii="Verdana" w:hAnsi="Verdana"/>
          <w:b/>
          <w:bCs/>
          <w:sz w:val="21"/>
          <w:szCs w:val="21"/>
        </w:rPr>
        <w:t>Table B</w:t>
      </w:r>
    </w:p>
    <w:tbl>
      <w:tblPr>
        <w:tblW w:w="7512"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6"/>
        <w:gridCol w:w="2126"/>
      </w:tblGrid>
      <w:tr w:rsidR="00E923F2" w:rsidRPr="00AB6CBE" w14:paraId="78894AEC" w14:textId="77777777" w:rsidTr="006666EF">
        <w:tc>
          <w:tcPr>
            <w:tcW w:w="7512" w:type="dxa"/>
            <w:gridSpan w:val="2"/>
            <w:shd w:val="clear" w:color="auto" w:fill="C00000"/>
          </w:tcPr>
          <w:p w14:paraId="2D56D4BE" w14:textId="6D11C492" w:rsidR="00E923F2" w:rsidRDefault="00E923F2" w:rsidP="00FC7926">
            <w:pPr>
              <w:spacing w:before="40" w:after="40" w:line="320" w:lineRule="atLeast"/>
              <w:jc w:val="center"/>
              <w:rPr>
                <w:rFonts w:ascii="Verdana" w:hAnsi="Verdana"/>
                <w:b/>
                <w:color w:val="FFFFFF"/>
                <w:sz w:val="18"/>
                <w:szCs w:val="18"/>
              </w:rPr>
            </w:pPr>
            <w:r>
              <w:rPr>
                <w:rFonts w:ascii="Verdana" w:hAnsi="Verdana"/>
                <w:b/>
                <w:color w:val="FFFFFF"/>
                <w:sz w:val="18"/>
                <w:szCs w:val="18"/>
              </w:rPr>
              <w:t>Individual ETF/ETN Listings</w:t>
            </w:r>
          </w:p>
          <w:p w14:paraId="772C4613" w14:textId="27BC7225" w:rsidR="00E923F2" w:rsidRPr="003B4F95" w:rsidRDefault="00E923F2" w:rsidP="00FC7926">
            <w:pPr>
              <w:spacing w:before="40" w:after="40" w:line="320" w:lineRule="atLeast"/>
              <w:jc w:val="center"/>
              <w:rPr>
                <w:rFonts w:ascii="Verdana" w:hAnsi="Verdana"/>
                <w:b/>
                <w:color w:val="FFFFFF"/>
                <w:sz w:val="18"/>
                <w:szCs w:val="18"/>
              </w:rPr>
            </w:pPr>
            <w:r>
              <w:rPr>
                <w:rFonts w:ascii="Verdana" w:hAnsi="Verdana"/>
                <w:b/>
                <w:color w:val="FFFFFF"/>
                <w:sz w:val="18"/>
                <w:szCs w:val="18"/>
              </w:rPr>
              <w:t xml:space="preserve">For First </w:t>
            </w:r>
            <w:r w:rsidR="00574118">
              <w:rPr>
                <w:rFonts w:ascii="Verdana" w:hAnsi="Verdana"/>
                <w:b/>
                <w:color w:val="FFFFFF"/>
                <w:sz w:val="18"/>
                <w:szCs w:val="18"/>
              </w:rPr>
              <w:t>6</w:t>
            </w:r>
            <w:r>
              <w:rPr>
                <w:rFonts w:ascii="Verdana" w:hAnsi="Verdana"/>
                <w:b/>
                <w:color w:val="FFFFFF"/>
                <w:sz w:val="18"/>
                <w:szCs w:val="18"/>
              </w:rPr>
              <w:t xml:space="preserve"> Months of 2022</w:t>
            </w:r>
          </w:p>
        </w:tc>
      </w:tr>
      <w:tr w:rsidR="00E923F2" w:rsidRPr="00AB6CBE" w14:paraId="546D651F" w14:textId="77777777" w:rsidTr="006666EF">
        <w:trPr>
          <w:trHeight w:val="360"/>
        </w:trPr>
        <w:tc>
          <w:tcPr>
            <w:tcW w:w="5386" w:type="dxa"/>
            <w:shd w:val="clear" w:color="auto" w:fill="4C4C4C"/>
          </w:tcPr>
          <w:p w14:paraId="460C4209" w14:textId="37D8FDA8" w:rsidR="00E923F2" w:rsidRPr="003B4F95" w:rsidRDefault="00E923F2" w:rsidP="00FC7926">
            <w:pPr>
              <w:spacing w:before="40" w:after="40" w:line="320" w:lineRule="atLeast"/>
              <w:rPr>
                <w:rFonts w:ascii="Verdana" w:hAnsi="Verdana"/>
                <w:b/>
                <w:color w:val="FFFFFF"/>
                <w:sz w:val="18"/>
                <w:szCs w:val="18"/>
              </w:rPr>
            </w:pPr>
            <w:r>
              <w:rPr>
                <w:rFonts w:ascii="Verdana" w:hAnsi="Verdana"/>
                <w:b/>
                <w:color w:val="FFFFFF"/>
                <w:sz w:val="18"/>
                <w:szCs w:val="18"/>
              </w:rPr>
              <w:t>ETF/ETN</w:t>
            </w:r>
          </w:p>
        </w:tc>
        <w:tc>
          <w:tcPr>
            <w:tcW w:w="2126" w:type="dxa"/>
            <w:shd w:val="clear" w:color="auto" w:fill="4C4C4C"/>
            <w:vAlign w:val="center"/>
          </w:tcPr>
          <w:p w14:paraId="5F4E2850" w14:textId="6050FA15" w:rsidR="00E923F2" w:rsidRPr="003B4F95" w:rsidRDefault="00E923F2" w:rsidP="00FC7926">
            <w:pPr>
              <w:spacing w:before="40" w:after="40" w:line="320" w:lineRule="atLeast"/>
              <w:jc w:val="right"/>
              <w:rPr>
                <w:rFonts w:ascii="Verdana" w:hAnsi="Verdana"/>
                <w:b/>
                <w:color w:val="FFFFFF"/>
                <w:sz w:val="18"/>
                <w:szCs w:val="18"/>
              </w:rPr>
            </w:pPr>
            <w:r>
              <w:rPr>
                <w:rFonts w:ascii="Verdana" w:hAnsi="Verdana"/>
                <w:b/>
                <w:color w:val="FFFFFF"/>
                <w:sz w:val="18"/>
                <w:szCs w:val="18"/>
              </w:rPr>
              <w:t>Amount (R million)</w:t>
            </w:r>
          </w:p>
        </w:tc>
      </w:tr>
      <w:tr w:rsidR="00574118" w:rsidRPr="00AB6CBE" w14:paraId="1FBEF623" w14:textId="77777777" w:rsidTr="006666EF">
        <w:tc>
          <w:tcPr>
            <w:tcW w:w="5386" w:type="dxa"/>
            <w:shd w:val="clear" w:color="auto" w:fill="auto"/>
          </w:tcPr>
          <w:p w14:paraId="5B95038B" w14:textId="40ED34F9" w:rsidR="00574118" w:rsidRDefault="003615D4" w:rsidP="00FC7926">
            <w:pPr>
              <w:spacing w:before="40" w:after="40" w:line="320" w:lineRule="atLeast"/>
              <w:rPr>
                <w:rFonts w:ascii="Verdana" w:hAnsi="Verdana"/>
                <w:color w:val="000000"/>
                <w:sz w:val="18"/>
                <w:szCs w:val="18"/>
              </w:rPr>
            </w:pPr>
            <w:r w:rsidRPr="00E923F2">
              <w:rPr>
                <w:rFonts w:ascii="Verdana" w:hAnsi="Verdana"/>
                <w:color w:val="000000"/>
                <w:sz w:val="18"/>
                <w:szCs w:val="18"/>
              </w:rPr>
              <w:t>Sygnia Itrix Emerging Markets 50 ETF</w:t>
            </w:r>
          </w:p>
        </w:tc>
        <w:tc>
          <w:tcPr>
            <w:tcW w:w="2126" w:type="dxa"/>
            <w:vAlign w:val="center"/>
          </w:tcPr>
          <w:p w14:paraId="7EB5CE79" w14:textId="74FBC2D9" w:rsidR="00574118" w:rsidRDefault="003615D4" w:rsidP="00FC7926">
            <w:pPr>
              <w:spacing w:before="40" w:after="40" w:line="320" w:lineRule="atLeast"/>
              <w:jc w:val="right"/>
              <w:rPr>
                <w:rFonts w:ascii="Verdana" w:hAnsi="Verdana"/>
                <w:color w:val="000000"/>
                <w:sz w:val="18"/>
                <w:szCs w:val="18"/>
              </w:rPr>
            </w:pPr>
            <w:r>
              <w:rPr>
                <w:rFonts w:ascii="Verdana" w:hAnsi="Verdana"/>
                <w:color w:val="000000"/>
                <w:sz w:val="18"/>
                <w:szCs w:val="18"/>
              </w:rPr>
              <w:t>977,9</w:t>
            </w:r>
          </w:p>
        </w:tc>
      </w:tr>
      <w:tr w:rsidR="00E923F2" w:rsidRPr="00AB6CBE" w14:paraId="2D538DFE" w14:textId="77777777" w:rsidTr="006666EF">
        <w:tc>
          <w:tcPr>
            <w:tcW w:w="5386" w:type="dxa"/>
            <w:shd w:val="clear" w:color="auto" w:fill="auto"/>
          </w:tcPr>
          <w:p w14:paraId="70F1F02B" w14:textId="33039A60" w:rsidR="00E923F2" w:rsidRDefault="00E923F2" w:rsidP="00FC7926">
            <w:pPr>
              <w:spacing w:before="40" w:after="40" w:line="320" w:lineRule="atLeast"/>
              <w:rPr>
                <w:rFonts w:ascii="Verdana" w:hAnsi="Verdana"/>
                <w:color w:val="000000"/>
                <w:sz w:val="18"/>
                <w:szCs w:val="18"/>
              </w:rPr>
            </w:pPr>
            <w:r>
              <w:rPr>
                <w:rFonts w:ascii="Verdana" w:hAnsi="Verdana"/>
                <w:color w:val="000000"/>
                <w:sz w:val="18"/>
                <w:szCs w:val="18"/>
              </w:rPr>
              <w:t>Satrix MSCI World ETF</w:t>
            </w:r>
          </w:p>
        </w:tc>
        <w:tc>
          <w:tcPr>
            <w:tcW w:w="2126" w:type="dxa"/>
            <w:vAlign w:val="center"/>
          </w:tcPr>
          <w:p w14:paraId="0C978EF2" w14:textId="0D8882C2" w:rsidR="00E923F2" w:rsidRDefault="003615D4" w:rsidP="00FC7926">
            <w:pPr>
              <w:spacing w:before="40" w:after="40" w:line="320" w:lineRule="atLeast"/>
              <w:jc w:val="right"/>
              <w:rPr>
                <w:rFonts w:ascii="Verdana" w:hAnsi="Verdana"/>
                <w:color w:val="000000"/>
                <w:sz w:val="18"/>
                <w:szCs w:val="18"/>
              </w:rPr>
            </w:pPr>
            <w:r>
              <w:rPr>
                <w:rFonts w:ascii="Verdana" w:hAnsi="Verdana"/>
                <w:color w:val="000000"/>
                <w:sz w:val="18"/>
                <w:szCs w:val="18"/>
              </w:rPr>
              <w:t>875,7</w:t>
            </w:r>
          </w:p>
        </w:tc>
      </w:tr>
      <w:tr w:rsidR="00E923F2" w:rsidRPr="00AB6CBE" w14:paraId="09DF947B" w14:textId="77777777" w:rsidTr="006666EF">
        <w:tc>
          <w:tcPr>
            <w:tcW w:w="5386" w:type="dxa"/>
            <w:shd w:val="clear" w:color="auto" w:fill="auto"/>
          </w:tcPr>
          <w:p w14:paraId="670641D1" w14:textId="16F6B0A3" w:rsidR="00E923F2" w:rsidRDefault="00E923F2" w:rsidP="00FC7926">
            <w:pPr>
              <w:spacing w:before="40" w:after="40" w:line="320" w:lineRule="atLeast"/>
              <w:rPr>
                <w:rFonts w:ascii="Verdana" w:hAnsi="Verdana"/>
                <w:color w:val="000000"/>
                <w:sz w:val="18"/>
                <w:szCs w:val="18"/>
              </w:rPr>
            </w:pPr>
            <w:r>
              <w:rPr>
                <w:rFonts w:ascii="Verdana" w:hAnsi="Verdana"/>
                <w:color w:val="000000"/>
                <w:sz w:val="18"/>
                <w:szCs w:val="18"/>
              </w:rPr>
              <w:t>Satrix S&amp;P 500 ETF</w:t>
            </w:r>
          </w:p>
        </w:tc>
        <w:tc>
          <w:tcPr>
            <w:tcW w:w="2126" w:type="dxa"/>
            <w:vAlign w:val="center"/>
          </w:tcPr>
          <w:p w14:paraId="7617CB4F" w14:textId="6D12249D" w:rsidR="00E923F2" w:rsidRDefault="003615D4" w:rsidP="00FC7926">
            <w:pPr>
              <w:spacing w:before="40" w:after="40" w:line="320" w:lineRule="atLeast"/>
              <w:jc w:val="right"/>
              <w:rPr>
                <w:rFonts w:ascii="Verdana" w:hAnsi="Verdana"/>
                <w:color w:val="000000"/>
                <w:sz w:val="18"/>
                <w:szCs w:val="18"/>
              </w:rPr>
            </w:pPr>
            <w:r>
              <w:rPr>
                <w:rFonts w:ascii="Verdana" w:hAnsi="Verdana"/>
                <w:color w:val="000000"/>
                <w:sz w:val="18"/>
                <w:szCs w:val="18"/>
              </w:rPr>
              <w:t>551,8</w:t>
            </w:r>
          </w:p>
        </w:tc>
      </w:tr>
      <w:tr w:rsidR="00E923F2" w:rsidRPr="00E923F2" w14:paraId="649B47D5" w14:textId="77777777" w:rsidTr="006666EF">
        <w:tc>
          <w:tcPr>
            <w:tcW w:w="5386" w:type="dxa"/>
            <w:shd w:val="clear" w:color="auto" w:fill="auto"/>
          </w:tcPr>
          <w:p w14:paraId="7FD34E6E" w14:textId="7217E71E" w:rsidR="00E923F2" w:rsidRPr="00E923F2" w:rsidRDefault="00E923F2" w:rsidP="00FC7926">
            <w:pPr>
              <w:spacing w:before="40" w:after="40" w:line="320" w:lineRule="atLeast"/>
              <w:rPr>
                <w:rFonts w:ascii="Verdana" w:hAnsi="Verdana"/>
                <w:color w:val="000000"/>
                <w:sz w:val="18"/>
                <w:szCs w:val="18"/>
                <w:lang w:val="fr-FR"/>
              </w:rPr>
            </w:pPr>
            <w:r>
              <w:rPr>
                <w:rFonts w:ascii="Verdana" w:hAnsi="Verdana"/>
                <w:color w:val="000000"/>
                <w:sz w:val="18"/>
                <w:szCs w:val="18"/>
                <w:lang w:val="fr-FR"/>
              </w:rPr>
              <w:t xml:space="preserve">Sygnia Itrix </w:t>
            </w:r>
            <w:r w:rsidR="003615D4">
              <w:rPr>
                <w:rFonts w:ascii="Verdana" w:hAnsi="Verdana"/>
                <w:color w:val="000000"/>
                <w:sz w:val="18"/>
                <w:szCs w:val="18"/>
                <w:lang w:val="fr-FR"/>
              </w:rPr>
              <w:t>FTSE 100</w:t>
            </w:r>
            <w:r>
              <w:rPr>
                <w:rFonts w:ascii="Verdana" w:hAnsi="Verdana"/>
                <w:color w:val="000000"/>
                <w:sz w:val="18"/>
                <w:szCs w:val="18"/>
                <w:lang w:val="fr-FR"/>
              </w:rPr>
              <w:t xml:space="preserve"> ETF</w:t>
            </w:r>
          </w:p>
        </w:tc>
        <w:tc>
          <w:tcPr>
            <w:tcW w:w="2126" w:type="dxa"/>
            <w:vAlign w:val="center"/>
          </w:tcPr>
          <w:p w14:paraId="6874D1A3" w14:textId="15E9D899" w:rsidR="00E923F2" w:rsidRPr="00E923F2" w:rsidRDefault="003615D4" w:rsidP="00FC7926">
            <w:pPr>
              <w:spacing w:before="40" w:after="40" w:line="320" w:lineRule="atLeast"/>
              <w:jc w:val="right"/>
              <w:rPr>
                <w:rFonts w:ascii="Verdana" w:hAnsi="Verdana"/>
                <w:color w:val="000000"/>
                <w:sz w:val="18"/>
                <w:szCs w:val="18"/>
                <w:lang w:val="fr-FR"/>
              </w:rPr>
            </w:pPr>
            <w:r>
              <w:rPr>
                <w:rFonts w:ascii="Verdana" w:hAnsi="Verdana"/>
                <w:color w:val="000000"/>
                <w:sz w:val="18"/>
                <w:szCs w:val="18"/>
                <w:lang w:val="fr-FR"/>
              </w:rPr>
              <w:t>464,5</w:t>
            </w:r>
          </w:p>
        </w:tc>
      </w:tr>
      <w:tr w:rsidR="00E923F2" w:rsidRPr="00E923F2" w14:paraId="143E6D45" w14:textId="77777777" w:rsidTr="006666EF">
        <w:tc>
          <w:tcPr>
            <w:tcW w:w="5386" w:type="dxa"/>
            <w:shd w:val="clear" w:color="auto" w:fill="auto"/>
          </w:tcPr>
          <w:p w14:paraId="041CE568" w14:textId="22C8917B" w:rsidR="00E923F2" w:rsidRPr="00E923F2" w:rsidRDefault="00E923F2" w:rsidP="00FC7926">
            <w:pPr>
              <w:spacing w:before="40" w:after="40" w:line="320" w:lineRule="atLeast"/>
              <w:rPr>
                <w:rFonts w:ascii="Verdana" w:hAnsi="Verdana"/>
                <w:color w:val="000000"/>
                <w:sz w:val="18"/>
                <w:szCs w:val="18"/>
              </w:rPr>
            </w:pPr>
            <w:r w:rsidRPr="00E923F2">
              <w:rPr>
                <w:rFonts w:ascii="Verdana" w:hAnsi="Verdana"/>
                <w:color w:val="000000"/>
                <w:sz w:val="18"/>
                <w:szCs w:val="18"/>
              </w:rPr>
              <w:t xml:space="preserve">Satrix </w:t>
            </w:r>
            <w:r w:rsidR="003615D4">
              <w:rPr>
                <w:rFonts w:ascii="Verdana" w:hAnsi="Verdana"/>
                <w:color w:val="000000"/>
                <w:sz w:val="18"/>
                <w:szCs w:val="18"/>
              </w:rPr>
              <w:t>40</w:t>
            </w:r>
            <w:r w:rsidRPr="00E923F2">
              <w:rPr>
                <w:rFonts w:ascii="Verdana" w:hAnsi="Verdana"/>
                <w:color w:val="000000"/>
                <w:sz w:val="18"/>
                <w:szCs w:val="18"/>
              </w:rPr>
              <w:t xml:space="preserve"> ETF</w:t>
            </w:r>
          </w:p>
        </w:tc>
        <w:tc>
          <w:tcPr>
            <w:tcW w:w="2126" w:type="dxa"/>
            <w:vAlign w:val="center"/>
          </w:tcPr>
          <w:p w14:paraId="6399898A" w14:textId="7F8C9AA5" w:rsidR="00E923F2" w:rsidRPr="00E923F2" w:rsidRDefault="003615D4" w:rsidP="00FC7926">
            <w:pPr>
              <w:spacing w:before="40" w:after="40" w:line="320" w:lineRule="atLeast"/>
              <w:jc w:val="right"/>
              <w:rPr>
                <w:rFonts w:ascii="Verdana" w:hAnsi="Verdana"/>
                <w:color w:val="000000"/>
                <w:sz w:val="18"/>
                <w:szCs w:val="18"/>
              </w:rPr>
            </w:pPr>
            <w:r>
              <w:rPr>
                <w:rFonts w:ascii="Verdana" w:hAnsi="Verdana"/>
                <w:color w:val="000000"/>
                <w:sz w:val="18"/>
                <w:szCs w:val="18"/>
              </w:rPr>
              <w:t>293,4</w:t>
            </w:r>
          </w:p>
        </w:tc>
      </w:tr>
      <w:tr w:rsidR="00E923F2" w:rsidRPr="00E923F2" w14:paraId="49F8B833" w14:textId="77777777" w:rsidTr="006666EF">
        <w:tc>
          <w:tcPr>
            <w:tcW w:w="5386" w:type="dxa"/>
            <w:shd w:val="clear" w:color="auto" w:fill="auto"/>
          </w:tcPr>
          <w:p w14:paraId="123D4BDC" w14:textId="294BEAE5" w:rsidR="00E923F2" w:rsidRPr="00E923F2" w:rsidRDefault="00E923F2" w:rsidP="00FC7926">
            <w:pPr>
              <w:spacing w:before="40" w:after="40" w:line="320" w:lineRule="atLeast"/>
              <w:rPr>
                <w:rFonts w:ascii="Verdana" w:hAnsi="Verdana"/>
                <w:color w:val="000000"/>
                <w:sz w:val="18"/>
                <w:szCs w:val="18"/>
              </w:rPr>
            </w:pPr>
            <w:r w:rsidRPr="00E923F2">
              <w:rPr>
                <w:rFonts w:ascii="Verdana" w:hAnsi="Verdana"/>
                <w:color w:val="000000"/>
                <w:sz w:val="18"/>
                <w:szCs w:val="18"/>
              </w:rPr>
              <w:t>Sygnia Itrix S&amp;P 500 ETF</w:t>
            </w:r>
          </w:p>
        </w:tc>
        <w:tc>
          <w:tcPr>
            <w:tcW w:w="2126" w:type="dxa"/>
            <w:vAlign w:val="center"/>
          </w:tcPr>
          <w:p w14:paraId="5493ED05" w14:textId="5D58A86B" w:rsidR="00E923F2" w:rsidRPr="00E923F2" w:rsidRDefault="00A42787" w:rsidP="00FC7926">
            <w:pPr>
              <w:spacing w:before="40" w:after="40" w:line="320" w:lineRule="atLeast"/>
              <w:jc w:val="right"/>
              <w:rPr>
                <w:rFonts w:ascii="Verdana" w:hAnsi="Verdana"/>
                <w:color w:val="000000"/>
                <w:sz w:val="18"/>
                <w:szCs w:val="18"/>
              </w:rPr>
            </w:pPr>
            <w:r>
              <w:rPr>
                <w:rFonts w:ascii="Verdana" w:hAnsi="Verdana"/>
                <w:color w:val="000000"/>
                <w:sz w:val="18"/>
                <w:szCs w:val="18"/>
              </w:rPr>
              <w:t>271,0</w:t>
            </w:r>
          </w:p>
        </w:tc>
      </w:tr>
      <w:tr w:rsidR="00E923F2" w:rsidRPr="00E923F2" w14:paraId="7F91D15A" w14:textId="77777777" w:rsidTr="006666EF">
        <w:tc>
          <w:tcPr>
            <w:tcW w:w="5386" w:type="dxa"/>
            <w:shd w:val="clear" w:color="auto" w:fill="auto"/>
          </w:tcPr>
          <w:p w14:paraId="282327E3" w14:textId="6C450698" w:rsidR="00E923F2" w:rsidRPr="00E923F2" w:rsidRDefault="00A42787" w:rsidP="00FC7926">
            <w:pPr>
              <w:spacing w:before="40" w:after="40" w:line="320" w:lineRule="atLeast"/>
              <w:rPr>
                <w:rFonts w:ascii="Verdana" w:hAnsi="Verdana"/>
                <w:color w:val="000000"/>
                <w:sz w:val="18"/>
                <w:szCs w:val="18"/>
              </w:rPr>
            </w:pPr>
            <w:r>
              <w:rPr>
                <w:rFonts w:ascii="Verdana" w:hAnsi="Verdana"/>
                <w:color w:val="000000"/>
                <w:sz w:val="18"/>
                <w:szCs w:val="18"/>
              </w:rPr>
              <w:t>Satrix Capped INDI ETF</w:t>
            </w:r>
          </w:p>
        </w:tc>
        <w:tc>
          <w:tcPr>
            <w:tcW w:w="2126" w:type="dxa"/>
            <w:vAlign w:val="center"/>
          </w:tcPr>
          <w:p w14:paraId="67BE034F" w14:textId="71188081" w:rsidR="00E923F2" w:rsidRPr="00E923F2" w:rsidRDefault="00A42787" w:rsidP="00FC7926">
            <w:pPr>
              <w:spacing w:before="40" w:after="40" w:line="320" w:lineRule="atLeast"/>
              <w:jc w:val="right"/>
              <w:rPr>
                <w:rFonts w:ascii="Verdana" w:hAnsi="Verdana"/>
                <w:color w:val="000000"/>
                <w:sz w:val="18"/>
                <w:szCs w:val="18"/>
              </w:rPr>
            </w:pPr>
            <w:r>
              <w:rPr>
                <w:rFonts w:ascii="Verdana" w:hAnsi="Verdana"/>
                <w:color w:val="000000"/>
                <w:sz w:val="18"/>
                <w:szCs w:val="18"/>
              </w:rPr>
              <w:t>(329,8)</w:t>
            </w:r>
          </w:p>
        </w:tc>
      </w:tr>
      <w:tr w:rsidR="00E923F2" w:rsidRPr="00E923F2" w14:paraId="3F4794B6" w14:textId="77777777" w:rsidTr="006666EF">
        <w:tc>
          <w:tcPr>
            <w:tcW w:w="5386" w:type="dxa"/>
            <w:shd w:val="clear" w:color="auto" w:fill="auto"/>
          </w:tcPr>
          <w:p w14:paraId="56B7DBBA" w14:textId="28185FCE" w:rsidR="00E923F2" w:rsidRPr="00E923F2" w:rsidRDefault="00A42787" w:rsidP="00FC7926">
            <w:pPr>
              <w:spacing w:before="40" w:after="40" w:line="320" w:lineRule="atLeast"/>
              <w:rPr>
                <w:rFonts w:ascii="Verdana" w:hAnsi="Verdana"/>
                <w:color w:val="000000"/>
                <w:sz w:val="18"/>
                <w:szCs w:val="18"/>
              </w:rPr>
            </w:pPr>
            <w:r>
              <w:rPr>
                <w:rFonts w:ascii="Verdana" w:hAnsi="Verdana"/>
                <w:color w:val="000000"/>
                <w:sz w:val="18"/>
                <w:szCs w:val="18"/>
              </w:rPr>
              <w:t>1nvest Palladium ETF</w:t>
            </w:r>
          </w:p>
        </w:tc>
        <w:tc>
          <w:tcPr>
            <w:tcW w:w="2126" w:type="dxa"/>
            <w:vAlign w:val="center"/>
          </w:tcPr>
          <w:p w14:paraId="66755B97" w14:textId="57DB48EC" w:rsidR="00E923F2" w:rsidRPr="00E923F2" w:rsidRDefault="00A42787" w:rsidP="00FC7926">
            <w:pPr>
              <w:spacing w:before="40" w:after="40" w:line="320" w:lineRule="atLeast"/>
              <w:jc w:val="right"/>
              <w:rPr>
                <w:rFonts w:ascii="Verdana" w:hAnsi="Verdana"/>
                <w:color w:val="000000"/>
                <w:sz w:val="18"/>
                <w:szCs w:val="18"/>
              </w:rPr>
            </w:pPr>
            <w:r>
              <w:rPr>
                <w:rFonts w:ascii="Verdana" w:hAnsi="Verdana"/>
                <w:color w:val="000000"/>
                <w:sz w:val="18"/>
                <w:szCs w:val="18"/>
              </w:rPr>
              <w:t>(997,6)</w:t>
            </w:r>
          </w:p>
        </w:tc>
      </w:tr>
      <w:tr w:rsidR="00E923F2" w:rsidRPr="00E923F2" w14:paraId="5769920A" w14:textId="77777777" w:rsidTr="006666EF">
        <w:tc>
          <w:tcPr>
            <w:tcW w:w="5386" w:type="dxa"/>
            <w:shd w:val="clear" w:color="auto" w:fill="auto"/>
          </w:tcPr>
          <w:p w14:paraId="30AE09E2" w14:textId="4EB7A6BE" w:rsidR="00E923F2" w:rsidRPr="00E923F2" w:rsidRDefault="00A42787" w:rsidP="00FC7926">
            <w:pPr>
              <w:spacing w:before="40" w:after="40" w:line="320" w:lineRule="atLeast"/>
              <w:rPr>
                <w:rFonts w:ascii="Verdana" w:hAnsi="Verdana"/>
                <w:color w:val="000000"/>
                <w:sz w:val="18"/>
                <w:szCs w:val="18"/>
              </w:rPr>
            </w:pPr>
            <w:r>
              <w:rPr>
                <w:rFonts w:ascii="Verdana" w:hAnsi="Verdana"/>
                <w:color w:val="000000"/>
                <w:sz w:val="18"/>
                <w:szCs w:val="18"/>
              </w:rPr>
              <w:t xml:space="preserve">NewGold </w:t>
            </w:r>
            <w:r w:rsidR="00E923F2">
              <w:rPr>
                <w:rFonts w:ascii="Verdana" w:hAnsi="Verdana"/>
                <w:color w:val="000000"/>
                <w:sz w:val="18"/>
                <w:szCs w:val="18"/>
              </w:rPr>
              <w:t>ETF</w:t>
            </w:r>
          </w:p>
        </w:tc>
        <w:tc>
          <w:tcPr>
            <w:tcW w:w="2126" w:type="dxa"/>
            <w:vAlign w:val="center"/>
          </w:tcPr>
          <w:p w14:paraId="1FBE0243" w14:textId="709C5D1C" w:rsidR="00E923F2" w:rsidRPr="00E923F2" w:rsidRDefault="00A42787" w:rsidP="00FC7926">
            <w:pPr>
              <w:spacing w:before="40" w:after="40" w:line="320" w:lineRule="atLeast"/>
              <w:jc w:val="right"/>
              <w:rPr>
                <w:rFonts w:ascii="Verdana" w:hAnsi="Verdana"/>
                <w:color w:val="000000"/>
                <w:sz w:val="18"/>
                <w:szCs w:val="18"/>
              </w:rPr>
            </w:pPr>
            <w:r>
              <w:rPr>
                <w:rFonts w:ascii="Verdana" w:hAnsi="Verdana"/>
                <w:color w:val="000000"/>
                <w:sz w:val="18"/>
                <w:szCs w:val="18"/>
              </w:rPr>
              <w:t>(1 041,7)</w:t>
            </w:r>
          </w:p>
        </w:tc>
      </w:tr>
      <w:tr w:rsidR="00E923F2" w:rsidRPr="00E923F2" w14:paraId="3ADAD6C0" w14:textId="77777777" w:rsidTr="006666EF">
        <w:tc>
          <w:tcPr>
            <w:tcW w:w="5386" w:type="dxa"/>
            <w:shd w:val="clear" w:color="auto" w:fill="auto"/>
          </w:tcPr>
          <w:p w14:paraId="007081A8" w14:textId="304F3271" w:rsidR="00E923F2" w:rsidRPr="00E923F2" w:rsidRDefault="00E923F2" w:rsidP="00FC7926">
            <w:pPr>
              <w:spacing w:before="40" w:after="40" w:line="320" w:lineRule="atLeast"/>
              <w:rPr>
                <w:rFonts w:ascii="Verdana" w:hAnsi="Verdana"/>
                <w:color w:val="000000"/>
                <w:sz w:val="18"/>
                <w:szCs w:val="18"/>
              </w:rPr>
            </w:pPr>
            <w:r>
              <w:rPr>
                <w:rFonts w:ascii="Verdana" w:hAnsi="Verdana"/>
                <w:color w:val="000000"/>
                <w:sz w:val="18"/>
                <w:szCs w:val="18"/>
              </w:rPr>
              <w:t>NewGold Platinum ETF</w:t>
            </w:r>
          </w:p>
        </w:tc>
        <w:tc>
          <w:tcPr>
            <w:tcW w:w="2126" w:type="dxa"/>
            <w:vAlign w:val="center"/>
          </w:tcPr>
          <w:p w14:paraId="772AAA79" w14:textId="1BD9277A" w:rsidR="00E923F2" w:rsidRPr="00E923F2" w:rsidRDefault="00A42787" w:rsidP="00FC7926">
            <w:pPr>
              <w:spacing w:before="40" w:after="40" w:line="320" w:lineRule="atLeast"/>
              <w:jc w:val="right"/>
              <w:rPr>
                <w:rFonts w:ascii="Verdana" w:hAnsi="Verdana"/>
                <w:color w:val="000000"/>
                <w:sz w:val="18"/>
                <w:szCs w:val="18"/>
              </w:rPr>
            </w:pPr>
            <w:r>
              <w:rPr>
                <w:rFonts w:ascii="Verdana" w:hAnsi="Verdana"/>
                <w:color w:val="000000"/>
                <w:sz w:val="18"/>
                <w:szCs w:val="18"/>
              </w:rPr>
              <w:t>(1 149,7)</w:t>
            </w:r>
          </w:p>
        </w:tc>
      </w:tr>
      <w:tr w:rsidR="00E923F2" w:rsidRPr="006015AB" w14:paraId="48B0DE1C" w14:textId="77777777" w:rsidTr="006666EF">
        <w:trPr>
          <w:trHeight w:val="217"/>
        </w:trPr>
        <w:tc>
          <w:tcPr>
            <w:tcW w:w="7512" w:type="dxa"/>
            <w:gridSpan w:val="2"/>
            <w:shd w:val="clear" w:color="auto" w:fill="auto"/>
            <w:vAlign w:val="center"/>
          </w:tcPr>
          <w:p w14:paraId="71AE599D" w14:textId="670493D7" w:rsidR="00E923F2" w:rsidRPr="006015AB" w:rsidRDefault="00E923F2" w:rsidP="00812F0C">
            <w:pPr>
              <w:spacing w:after="40" w:line="280" w:lineRule="atLeast"/>
              <w:rPr>
                <w:rFonts w:ascii="Verdana" w:hAnsi="Verdana"/>
                <w:i/>
                <w:color w:val="000000"/>
                <w:sz w:val="14"/>
                <w:szCs w:val="14"/>
              </w:rPr>
            </w:pPr>
            <w:r w:rsidRPr="006015AB">
              <w:rPr>
                <w:rFonts w:ascii="Verdana" w:hAnsi="Verdana"/>
                <w:i/>
                <w:color w:val="000000"/>
                <w:sz w:val="14"/>
                <w:szCs w:val="14"/>
              </w:rPr>
              <w:t>Source: etfSA.co.za Quarterly S</w:t>
            </w:r>
            <w:r>
              <w:rPr>
                <w:rFonts w:ascii="Verdana" w:hAnsi="Verdana"/>
                <w:i/>
                <w:color w:val="000000"/>
                <w:sz w:val="14"/>
                <w:szCs w:val="14"/>
              </w:rPr>
              <w:t xml:space="preserve">ecurities in Issue and New Capital Raised Survey </w:t>
            </w:r>
            <w:r w:rsidR="00A42787">
              <w:rPr>
                <w:rFonts w:ascii="Verdana" w:hAnsi="Verdana"/>
                <w:i/>
                <w:color w:val="000000"/>
                <w:sz w:val="14"/>
                <w:szCs w:val="14"/>
              </w:rPr>
              <w:t>June</w:t>
            </w:r>
            <w:r>
              <w:rPr>
                <w:rFonts w:ascii="Verdana" w:hAnsi="Verdana"/>
                <w:i/>
                <w:color w:val="000000"/>
                <w:sz w:val="14"/>
                <w:szCs w:val="14"/>
              </w:rPr>
              <w:t xml:space="preserve"> 2022).</w:t>
            </w:r>
          </w:p>
        </w:tc>
      </w:tr>
    </w:tbl>
    <w:p w14:paraId="14C62321" w14:textId="4C295BF1" w:rsidR="00FC7926" w:rsidRDefault="00FC7926" w:rsidP="0075479F">
      <w:pPr>
        <w:spacing w:before="120" w:after="0" w:line="340" w:lineRule="atLeast"/>
        <w:jc w:val="both"/>
        <w:rPr>
          <w:rFonts w:ascii="Verdana" w:hAnsi="Verdana"/>
          <w:sz w:val="21"/>
          <w:szCs w:val="21"/>
        </w:rPr>
      </w:pPr>
    </w:p>
    <w:p w14:paraId="69B90E7B" w14:textId="77777777" w:rsidR="00FC7926" w:rsidRDefault="00FC7926">
      <w:pPr>
        <w:rPr>
          <w:rFonts w:ascii="Verdana" w:hAnsi="Verdana"/>
          <w:sz w:val="21"/>
          <w:szCs w:val="21"/>
        </w:rPr>
      </w:pPr>
      <w:r>
        <w:rPr>
          <w:rFonts w:ascii="Verdana" w:hAnsi="Verdana"/>
          <w:sz w:val="21"/>
          <w:szCs w:val="21"/>
        </w:rPr>
        <w:br w:type="page"/>
      </w:r>
    </w:p>
    <w:p w14:paraId="7AF34A1E" w14:textId="642DE0BF" w:rsidR="006015AB" w:rsidRPr="00617B74" w:rsidRDefault="003F5A9C" w:rsidP="00A143F4">
      <w:pPr>
        <w:spacing w:before="120" w:after="240" w:line="320" w:lineRule="atLeast"/>
        <w:rPr>
          <w:rFonts w:ascii="Verdana" w:hAnsi="Verdana"/>
          <w:b/>
          <w:bCs/>
          <w:color w:val="C00000"/>
        </w:rPr>
      </w:pPr>
      <w:r w:rsidRPr="007A7050">
        <w:rPr>
          <w:rFonts w:ascii="Verdana" w:hAnsi="Verdana"/>
          <w:b/>
          <w:bCs/>
          <w:color w:val="C00000"/>
        </w:rPr>
        <w:lastRenderedPageBreak/>
        <w:t>Snapshot of the SA ETP Industry as at 3</w:t>
      </w:r>
      <w:r w:rsidR="008214E0">
        <w:rPr>
          <w:rFonts w:ascii="Verdana" w:hAnsi="Verdana"/>
          <w:b/>
          <w:bCs/>
          <w:color w:val="C00000"/>
        </w:rPr>
        <w:t>0</w:t>
      </w:r>
      <w:r w:rsidRPr="007A7050">
        <w:rPr>
          <w:rFonts w:ascii="Verdana" w:hAnsi="Verdana"/>
          <w:b/>
          <w:bCs/>
          <w:color w:val="C00000"/>
        </w:rPr>
        <w:t xml:space="preserve"> </w:t>
      </w:r>
      <w:r w:rsidR="008214E0">
        <w:rPr>
          <w:rFonts w:ascii="Verdana" w:hAnsi="Verdana"/>
          <w:b/>
          <w:bCs/>
          <w:color w:val="C00000"/>
        </w:rPr>
        <w:t>June</w:t>
      </w:r>
      <w:r w:rsidRPr="007A7050">
        <w:rPr>
          <w:rFonts w:ascii="Verdana" w:hAnsi="Verdana"/>
          <w:b/>
          <w:bCs/>
          <w:color w:val="C00000"/>
        </w:rPr>
        <w:t xml:space="preserve"> 20</w:t>
      </w:r>
      <w:r>
        <w:rPr>
          <w:rFonts w:ascii="Verdana" w:hAnsi="Verdana"/>
          <w:b/>
          <w:bCs/>
          <w:color w:val="C00000"/>
        </w:rPr>
        <w:t>2</w:t>
      </w:r>
      <w:r w:rsidR="00A143F4">
        <w:rPr>
          <w:rFonts w:ascii="Verdana" w:hAnsi="Verdana"/>
          <w:b/>
          <w:bCs/>
          <w:color w:val="C00000"/>
        </w:rPr>
        <w:t>2</w:t>
      </w:r>
    </w:p>
    <w:tbl>
      <w:tblPr>
        <w:tblW w:w="9214"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83"/>
        <w:gridCol w:w="1701"/>
        <w:gridCol w:w="993"/>
        <w:gridCol w:w="992"/>
        <w:gridCol w:w="1417"/>
        <w:gridCol w:w="1418"/>
        <w:gridCol w:w="1843"/>
      </w:tblGrid>
      <w:tr w:rsidR="006015AB" w:rsidRPr="00AB6CBE" w14:paraId="1D20FF11" w14:textId="77777777" w:rsidTr="001C1A83">
        <w:tc>
          <w:tcPr>
            <w:tcW w:w="9214" w:type="dxa"/>
            <w:gridSpan w:val="8"/>
            <w:shd w:val="clear" w:color="auto" w:fill="C00000"/>
            <w:vAlign w:val="center"/>
          </w:tcPr>
          <w:p w14:paraId="626F61D9" w14:textId="77777777" w:rsidR="006015AB" w:rsidRPr="003B4F95" w:rsidRDefault="006015AB" w:rsidP="00D74A04">
            <w:pPr>
              <w:spacing w:before="40" w:after="60" w:line="320" w:lineRule="atLeast"/>
              <w:jc w:val="center"/>
              <w:rPr>
                <w:rFonts w:ascii="Verdana" w:hAnsi="Verdana"/>
                <w:b/>
                <w:color w:val="FFFFFF"/>
                <w:sz w:val="18"/>
                <w:szCs w:val="18"/>
              </w:rPr>
            </w:pPr>
            <w:r w:rsidRPr="003B4F95">
              <w:rPr>
                <w:rFonts w:ascii="Verdana" w:hAnsi="Verdana"/>
                <w:b/>
                <w:color w:val="FFFFFF"/>
                <w:sz w:val="18"/>
                <w:szCs w:val="18"/>
              </w:rPr>
              <w:t>The South African Exchange Traded Product Industry</w:t>
            </w:r>
          </w:p>
          <w:p w14:paraId="6609B2E6" w14:textId="6F3A6ED7" w:rsidR="006015AB" w:rsidRPr="003B4F95" w:rsidRDefault="006015AB" w:rsidP="00D74A04">
            <w:pPr>
              <w:spacing w:before="40" w:after="60" w:line="320" w:lineRule="atLeast"/>
              <w:jc w:val="center"/>
              <w:rPr>
                <w:rFonts w:ascii="Verdana" w:hAnsi="Verdana"/>
                <w:b/>
                <w:color w:val="FFFFFF"/>
                <w:sz w:val="18"/>
                <w:szCs w:val="18"/>
              </w:rPr>
            </w:pPr>
            <w:r w:rsidRPr="003B4F95">
              <w:rPr>
                <w:rFonts w:ascii="Verdana" w:hAnsi="Verdana"/>
                <w:b/>
                <w:color w:val="FFFFFF"/>
                <w:sz w:val="18"/>
                <w:szCs w:val="18"/>
              </w:rPr>
              <w:t xml:space="preserve">(as at </w:t>
            </w:r>
            <w:r>
              <w:rPr>
                <w:rFonts w:ascii="Verdana" w:hAnsi="Verdana"/>
                <w:b/>
                <w:color w:val="FFFFFF"/>
                <w:sz w:val="18"/>
                <w:szCs w:val="18"/>
              </w:rPr>
              <w:t>3</w:t>
            </w:r>
            <w:r w:rsidR="008214E0">
              <w:rPr>
                <w:rFonts w:ascii="Verdana" w:hAnsi="Verdana"/>
                <w:b/>
                <w:color w:val="FFFFFF"/>
                <w:sz w:val="18"/>
                <w:szCs w:val="18"/>
              </w:rPr>
              <w:t>0</w:t>
            </w:r>
            <w:r>
              <w:rPr>
                <w:rFonts w:ascii="Verdana" w:hAnsi="Verdana"/>
                <w:b/>
                <w:color w:val="FFFFFF"/>
                <w:sz w:val="18"/>
                <w:szCs w:val="18"/>
              </w:rPr>
              <w:t xml:space="preserve"> </w:t>
            </w:r>
            <w:r w:rsidR="008214E0">
              <w:rPr>
                <w:rFonts w:ascii="Verdana" w:hAnsi="Verdana"/>
                <w:b/>
                <w:color w:val="FFFFFF"/>
                <w:sz w:val="18"/>
                <w:szCs w:val="18"/>
              </w:rPr>
              <w:t>June</w:t>
            </w:r>
            <w:r w:rsidRPr="003B4F95">
              <w:rPr>
                <w:rFonts w:ascii="Verdana" w:hAnsi="Verdana"/>
                <w:b/>
                <w:color w:val="FFFFFF"/>
                <w:sz w:val="18"/>
                <w:szCs w:val="18"/>
              </w:rPr>
              <w:t xml:space="preserve"> 20</w:t>
            </w:r>
            <w:r>
              <w:rPr>
                <w:rFonts w:ascii="Verdana" w:hAnsi="Verdana"/>
                <w:b/>
                <w:color w:val="FFFFFF"/>
                <w:sz w:val="18"/>
                <w:szCs w:val="18"/>
              </w:rPr>
              <w:t>21</w:t>
            </w:r>
            <w:r w:rsidRPr="003B4F95">
              <w:rPr>
                <w:rFonts w:ascii="Verdana" w:hAnsi="Verdana"/>
                <w:b/>
                <w:color w:val="FFFFFF"/>
                <w:sz w:val="18"/>
                <w:szCs w:val="18"/>
              </w:rPr>
              <w:t>)</w:t>
            </w:r>
          </w:p>
        </w:tc>
      </w:tr>
      <w:tr w:rsidR="006015AB" w:rsidRPr="00AB6CBE" w14:paraId="76BF6CAD" w14:textId="77777777" w:rsidTr="001C1A83">
        <w:trPr>
          <w:trHeight w:val="311"/>
        </w:trPr>
        <w:tc>
          <w:tcPr>
            <w:tcW w:w="567" w:type="dxa"/>
            <w:vMerge w:val="restart"/>
            <w:shd w:val="clear" w:color="auto" w:fill="4C4C4C"/>
            <w:vAlign w:val="center"/>
          </w:tcPr>
          <w:p w14:paraId="15E5FD07" w14:textId="77777777" w:rsidR="006015AB" w:rsidRPr="003B4F95" w:rsidRDefault="006015AB" w:rsidP="00D74A04">
            <w:pPr>
              <w:spacing w:before="40" w:after="60" w:line="320" w:lineRule="atLeast"/>
              <w:rPr>
                <w:rFonts w:ascii="Verdana" w:hAnsi="Verdana"/>
                <w:b/>
                <w:color w:val="FFFFFF"/>
                <w:sz w:val="18"/>
                <w:szCs w:val="18"/>
              </w:rPr>
            </w:pPr>
          </w:p>
        </w:tc>
        <w:tc>
          <w:tcPr>
            <w:tcW w:w="1984" w:type="dxa"/>
            <w:gridSpan w:val="2"/>
            <w:vMerge w:val="restart"/>
            <w:shd w:val="clear" w:color="auto" w:fill="4C4C4C"/>
            <w:vAlign w:val="center"/>
          </w:tcPr>
          <w:p w14:paraId="3328C4D1" w14:textId="77777777" w:rsidR="006015AB" w:rsidRPr="003B4F95" w:rsidRDefault="006015AB" w:rsidP="00D74A04">
            <w:pPr>
              <w:spacing w:before="40" w:after="60" w:line="320" w:lineRule="atLeast"/>
              <w:rPr>
                <w:rFonts w:ascii="Verdana" w:hAnsi="Verdana"/>
                <w:b/>
                <w:color w:val="FFFFFF"/>
                <w:sz w:val="18"/>
                <w:szCs w:val="18"/>
              </w:rPr>
            </w:pPr>
            <w:r w:rsidRPr="003B4F95">
              <w:rPr>
                <w:rFonts w:ascii="Verdana" w:hAnsi="Verdana"/>
                <w:b/>
                <w:color w:val="FFFFFF"/>
                <w:sz w:val="18"/>
                <w:szCs w:val="18"/>
              </w:rPr>
              <w:t>Issuer</w:t>
            </w:r>
          </w:p>
        </w:tc>
        <w:tc>
          <w:tcPr>
            <w:tcW w:w="1985" w:type="dxa"/>
            <w:gridSpan w:val="2"/>
            <w:shd w:val="clear" w:color="auto" w:fill="4C4C4C"/>
            <w:vAlign w:val="center"/>
          </w:tcPr>
          <w:p w14:paraId="3E136682" w14:textId="77777777" w:rsidR="006015AB" w:rsidRPr="003B4F95" w:rsidRDefault="006015AB" w:rsidP="00D74A04">
            <w:pPr>
              <w:spacing w:before="40" w:after="60" w:line="320" w:lineRule="atLeast"/>
              <w:jc w:val="center"/>
              <w:rPr>
                <w:rFonts w:ascii="Verdana" w:hAnsi="Verdana"/>
                <w:b/>
                <w:color w:val="FFFFFF"/>
                <w:sz w:val="18"/>
                <w:szCs w:val="18"/>
              </w:rPr>
            </w:pPr>
            <w:r>
              <w:rPr>
                <w:rFonts w:ascii="Verdana" w:hAnsi="Verdana"/>
                <w:b/>
                <w:color w:val="FFFFFF"/>
                <w:sz w:val="18"/>
                <w:szCs w:val="18"/>
              </w:rPr>
              <w:t>Number of Products</w:t>
            </w:r>
          </w:p>
        </w:tc>
        <w:tc>
          <w:tcPr>
            <w:tcW w:w="2835" w:type="dxa"/>
            <w:gridSpan w:val="2"/>
            <w:shd w:val="clear" w:color="auto" w:fill="4C4C4C"/>
            <w:vAlign w:val="center"/>
          </w:tcPr>
          <w:p w14:paraId="0950683D" w14:textId="77777777" w:rsidR="006015AB" w:rsidRPr="003B4F95" w:rsidRDefault="006015AB" w:rsidP="00D74A04">
            <w:pPr>
              <w:spacing w:before="40" w:after="60" w:line="320" w:lineRule="atLeast"/>
              <w:jc w:val="center"/>
              <w:rPr>
                <w:rFonts w:ascii="Verdana" w:hAnsi="Verdana"/>
                <w:b/>
                <w:color w:val="FFFFFF"/>
                <w:sz w:val="18"/>
                <w:szCs w:val="18"/>
              </w:rPr>
            </w:pPr>
            <w:r w:rsidRPr="003B4F95">
              <w:rPr>
                <w:rFonts w:ascii="Verdana" w:hAnsi="Verdana"/>
                <w:b/>
                <w:color w:val="FFFFFF"/>
                <w:sz w:val="18"/>
                <w:szCs w:val="18"/>
              </w:rPr>
              <w:t>Value (Market Cap) of Shares in Issue (Rm)</w:t>
            </w:r>
          </w:p>
        </w:tc>
        <w:tc>
          <w:tcPr>
            <w:tcW w:w="1843" w:type="dxa"/>
            <w:vMerge w:val="restart"/>
            <w:shd w:val="clear" w:color="auto" w:fill="4C4C4C"/>
            <w:vAlign w:val="center"/>
          </w:tcPr>
          <w:p w14:paraId="6CBBABEC" w14:textId="77777777" w:rsidR="006015AB" w:rsidRPr="003B4F95" w:rsidRDefault="006015AB" w:rsidP="00D74A04">
            <w:pPr>
              <w:spacing w:before="40" w:after="60" w:line="320" w:lineRule="atLeast"/>
              <w:jc w:val="right"/>
              <w:rPr>
                <w:rFonts w:ascii="Verdana" w:hAnsi="Verdana"/>
                <w:b/>
                <w:color w:val="FFFFFF"/>
                <w:sz w:val="18"/>
                <w:szCs w:val="18"/>
              </w:rPr>
            </w:pPr>
            <w:r>
              <w:rPr>
                <w:rFonts w:ascii="Verdana" w:hAnsi="Verdana"/>
                <w:b/>
                <w:color w:val="FFFFFF"/>
                <w:sz w:val="18"/>
                <w:szCs w:val="18"/>
              </w:rPr>
              <w:t>Total Market Capitalisation</w:t>
            </w:r>
            <w:r w:rsidRPr="003B4F95">
              <w:rPr>
                <w:rFonts w:ascii="Verdana" w:hAnsi="Verdana"/>
                <w:b/>
                <w:color w:val="FFFFFF"/>
                <w:sz w:val="18"/>
                <w:szCs w:val="18"/>
              </w:rPr>
              <w:t xml:space="preserve"> (Rm)</w:t>
            </w:r>
          </w:p>
        </w:tc>
      </w:tr>
      <w:tr w:rsidR="006015AB" w:rsidRPr="00AB6CBE" w14:paraId="17CB071B" w14:textId="77777777" w:rsidTr="001C1A83">
        <w:trPr>
          <w:trHeight w:val="311"/>
        </w:trPr>
        <w:tc>
          <w:tcPr>
            <w:tcW w:w="567" w:type="dxa"/>
            <w:vMerge/>
            <w:shd w:val="clear" w:color="auto" w:fill="4C4C4C"/>
            <w:vAlign w:val="center"/>
          </w:tcPr>
          <w:p w14:paraId="28B91113" w14:textId="77777777" w:rsidR="006015AB" w:rsidRPr="003B4F95" w:rsidRDefault="006015AB" w:rsidP="00D74A04">
            <w:pPr>
              <w:spacing w:before="40" w:after="60" w:line="320" w:lineRule="atLeast"/>
              <w:rPr>
                <w:rFonts w:ascii="Verdana" w:hAnsi="Verdana"/>
                <w:b/>
                <w:color w:val="FFFFFF"/>
                <w:sz w:val="18"/>
                <w:szCs w:val="18"/>
              </w:rPr>
            </w:pPr>
          </w:p>
        </w:tc>
        <w:tc>
          <w:tcPr>
            <w:tcW w:w="1984" w:type="dxa"/>
            <w:gridSpan w:val="2"/>
            <w:vMerge/>
            <w:shd w:val="clear" w:color="auto" w:fill="4C4C4C"/>
          </w:tcPr>
          <w:p w14:paraId="5ED0D2DA" w14:textId="77777777" w:rsidR="006015AB" w:rsidRPr="003B4F95" w:rsidRDefault="006015AB" w:rsidP="00D74A04">
            <w:pPr>
              <w:spacing w:before="40" w:after="60" w:line="320" w:lineRule="atLeast"/>
              <w:rPr>
                <w:rFonts w:ascii="Verdana" w:hAnsi="Verdana"/>
                <w:b/>
                <w:color w:val="FFFFFF"/>
                <w:sz w:val="18"/>
                <w:szCs w:val="18"/>
              </w:rPr>
            </w:pPr>
          </w:p>
        </w:tc>
        <w:tc>
          <w:tcPr>
            <w:tcW w:w="993" w:type="dxa"/>
            <w:shd w:val="clear" w:color="auto" w:fill="4C4C4C"/>
            <w:vAlign w:val="center"/>
          </w:tcPr>
          <w:p w14:paraId="0C35E3F1" w14:textId="77777777" w:rsidR="006015AB" w:rsidRPr="003B4F95" w:rsidRDefault="006015AB" w:rsidP="00D74A04">
            <w:pPr>
              <w:spacing w:before="40" w:after="60" w:line="320" w:lineRule="atLeast"/>
              <w:jc w:val="center"/>
              <w:rPr>
                <w:rFonts w:ascii="Verdana" w:hAnsi="Verdana"/>
                <w:b/>
                <w:color w:val="FFFFFF"/>
                <w:sz w:val="18"/>
                <w:szCs w:val="18"/>
              </w:rPr>
            </w:pPr>
            <w:r w:rsidRPr="003B4F95">
              <w:rPr>
                <w:rFonts w:ascii="Verdana" w:hAnsi="Verdana"/>
                <w:b/>
                <w:color w:val="FFFFFF"/>
                <w:sz w:val="18"/>
                <w:szCs w:val="18"/>
              </w:rPr>
              <w:t>ETFs</w:t>
            </w:r>
          </w:p>
        </w:tc>
        <w:tc>
          <w:tcPr>
            <w:tcW w:w="992" w:type="dxa"/>
            <w:shd w:val="clear" w:color="auto" w:fill="4C4C4C"/>
            <w:vAlign w:val="center"/>
          </w:tcPr>
          <w:p w14:paraId="0A7659DD" w14:textId="77777777" w:rsidR="006015AB" w:rsidRPr="003B4F95" w:rsidRDefault="006015AB" w:rsidP="00D74A04">
            <w:pPr>
              <w:spacing w:before="40" w:after="60" w:line="320" w:lineRule="atLeast"/>
              <w:jc w:val="center"/>
              <w:rPr>
                <w:rFonts w:ascii="Verdana" w:hAnsi="Verdana"/>
                <w:b/>
                <w:color w:val="FFFFFF"/>
                <w:sz w:val="18"/>
                <w:szCs w:val="18"/>
              </w:rPr>
            </w:pPr>
            <w:r>
              <w:rPr>
                <w:rFonts w:ascii="Verdana" w:hAnsi="Verdana"/>
                <w:b/>
                <w:color w:val="FFFFFF"/>
                <w:sz w:val="18"/>
                <w:szCs w:val="18"/>
              </w:rPr>
              <w:t>ETN</w:t>
            </w:r>
            <w:r w:rsidRPr="003B4F95">
              <w:rPr>
                <w:rFonts w:ascii="Verdana" w:hAnsi="Verdana"/>
                <w:b/>
                <w:color w:val="FFFFFF"/>
                <w:sz w:val="18"/>
                <w:szCs w:val="18"/>
              </w:rPr>
              <w:t>s</w:t>
            </w:r>
          </w:p>
        </w:tc>
        <w:tc>
          <w:tcPr>
            <w:tcW w:w="1417" w:type="dxa"/>
            <w:shd w:val="clear" w:color="auto" w:fill="4C4C4C"/>
            <w:vAlign w:val="center"/>
          </w:tcPr>
          <w:p w14:paraId="7962276F" w14:textId="77777777" w:rsidR="006015AB" w:rsidRPr="003B4F95" w:rsidRDefault="006015AB" w:rsidP="00D74A04">
            <w:pPr>
              <w:spacing w:before="40" w:after="60" w:line="320" w:lineRule="atLeast"/>
              <w:jc w:val="right"/>
              <w:rPr>
                <w:rFonts w:ascii="Verdana" w:hAnsi="Verdana"/>
                <w:b/>
                <w:color w:val="FFFFFF"/>
                <w:sz w:val="18"/>
                <w:szCs w:val="18"/>
              </w:rPr>
            </w:pPr>
            <w:r w:rsidRPr="003B4F95">
              <w:rPr>
                <w:rFonts w:ascii="Verdana" w:hAnsi="Verdana"/>
                <w:b/>
                <w:color w:val="FFFFFF"/>
                <w:sz w:val="18"/>
                <w:szCs w:val="18"/>
              </w:rPr>
              <w:t>ETFs</w:t>
            </w:r>
          </w:p>
        </w:tc>
        <w:tc>
          <w:tcPr>
            <w:tcW w:w="1418" w:type="dxa"/>
            <w:shd w:val="clear" w:color="auto" w:fill="4C4C4C"/>
            <w:vAlign w:val="center"/>
          </w:tcPr>
          <w:p w14:paraId="458FB759" w14:textId="77777777" w:rsidR="006015AB" w:rsidRPr="003B4F95" w:rsidRDefault="006015AB" w:rsidP="00D74A04">
            <w:pPr>
              <w:spacing w:before="40" w:after="60" w:line="320" w:lineRule="atLeast"/>
              <w:jc w:val="right"/>
              <w:rPr>
                <w:rFonts w:ascii="Verdana" w:hAnsi="Verdana"/>
                <w:b/>
                <w:color w:val="FFFFFF"/>
                <w:sz w:val="18"/>
                <w:szCs w:val="18"/>
              </w:rPr>
            </w:pPr>
            <w:r w:rsidRPr="003B4F95">
              <w:rPr>
                <w:rFonts w:ascii="Verdana" w:hAnsi="Verdana"/>
                <w:b/>
                <w:color w:val="FFFFFF"/>
                <w:sz w:val="18"/>
                <w:szCs w:val="18"/>
              </w:rPr>
              <w:t>ETNs</w:t>
            </w:r>
          </w:p>
        </w:tc>
        <w:tc>
          <w:tcPr>
            <w:tcW w:w="1843" w:type="dxa"/>
            <w:vMerge/>
            <w:shd w:val="clear" w:color="auto" w:fill="4C4C4C"/>
            <w:vAlign w:val="center"/>
          </w:tcPr>
          <w:p w14:paraId="3579AC12" w14:textId="77777777" w:rsidR="006015AB" w:rsidRPr="003B4F95" w:rsidRDefault="006015AB" w:rsidP="00D74A04">
            <w:pPr>
              <w:spacing w:before="40" w:after="60" w:line="320" w:lineRule="atLeast"/>
              <w:jc w:val="right"/>
              <w:rPr>
                <w:rFonts w:ascii="Verdana" w:hAnsi="Verdana"/>
                <w:b/>
                <w:color w:val="FFFFFF"/>
                <w:sz w:val="18"/>
                <w:szCs w:val="18"/>
              </w:rPr>
            </w:pPr>
          </w:p>
        </w:tc>
      </w:tr>
      <w:tr w:rsidR="003C4C24" w:rsidRPr="00AB6CBE" w14:paraId="4B891F5E" w14:textId="77777777" w:rsidTr="001C1A83">
        <w:tc>
          <w:tcPr>
            <w:tcW w:w="567" w:type="dxa"/>
            <w:shd w:val="clear" w:color="auto" w:fill="auto"/>
          </w:tcPr>
          <w:p w14:paraId="4B77F61A" w14:textId="77777777" w:rsidR="003C4C24" w:rsidRPr="00771D6F" w:rsidRDefault="003C4C24" w:rsidP="00D74A04">
            <w:pPr>
              <w:pStyle w:val="ListParagraph"/>
              <w:numPr>
                <w:ilvl w:val="0"/>
                <w:numId w:val="20"/>
              </w:numPr>
              <w:spacing w:before="40" w:after="60" w:line="320" w:lineRule="atLeast"/>
              <w:ind w:left="357" w:hanging="357"/>
              <w:rPr>
                <w:rFonts w:ascii="Verdana" w:hAnsi="Verdana"/>
                <w:color w:val="000000"/>
                <w:sz w:val="18"/>
                <w:szCs w:val="18"/>
              </w:rPr>
            </w:pPr>
          </w:p>
        </w:tc>
        <w:tc>
          <w:tcPr>
            <w:tcW w:w="1984" w:type="dxa"/>
            <w:gridSpan w:val="2"/>
            <w:shd w:val="clear" w:color="auto" w:fill="auto"/>
          </w:tcPr>
          <w:p w14:paraId="54291318" w14:textId="2CB37C84" w:rsidR="003C4C24" w:rsidRPr="003B4F95" w:rsidRDefault="003C4C24" w:rsidP="00D74A04">
            <w:pPr>
              <w:spacing w:before="40" w:after="60" w:line="320" w:lineRule="atLeast"/>
              <w:rPr>
                <w:rFonts w:ascii="Verdana" w:hAnsi="Verdana"/>
                <w:color w:val="000000"/>
                <w:sz w:val="18"/>
                <w:szCs w:val="18"/>
              </w:rPr>
            </w:pPr>
            <w:r w:rsidRPr="003B4F95">
              <w:rPr>
                <w:rFonts w:ascii="Verdana" w:hAnsi="Verdana"/>
                <w:color w:val="000000"/>
                <w:sz w:val="18"/>
                <w:szCs w:val="18"/>
              </w:rPr>
              <w:t>Satrix Managers</w:t>
            </w:r>
          </w:p>
        </w:tc>
        <w:tc>
          <w:tcPr>
            <w:tcW w:w="993" w:type="dxa"/>
            <w:shd w:val="clear" w:color="auto" w:fill="auto"/>
            <w:vAlign w:val="center"/>
          </w:tcPr>
          <w:p w14:paraId="46CE5CC8" w14:textId="13270D74" w:rsidR="003C4C24" w:rsidRDefault="003C4C24" w:rsidP="00D74A04">
            <w:pPr>
              <w:spacing w:before="40" w:after="60" w:line="320" w:lineRule="atLeast"/>
              <w:jc w:val="center"/>
              <w:rPr>
                <w:rFonts w:ascii="Verdana" w:hAnsi="Verdana"/>
                <w:color w:val="000000"/>
                <w:sz w:val="18"/>
                <w:szCs w:val="18"/>
              </w:rPr>
            </w:pPr>
            <w:r>
              <w:rPr>
                <w:rFonts w:ascii="Verdana" w:hAnsi="Verdana"/>
                <w:color w:val="000000"/>
                <w:sz w:val="18"/>
                <w:szCs w:val="18"/>
              </w:rPr>
              <w:t>2</w:t>
            </w:r>
            <w:r w:rsidR="008214E0">
              <w:rPr>
                <w:rFonts w:ascii="Verdana" w:hAnsi="Verdana"/>
                <w:color w:val="000000"/>
                <w:sz w:val="18"/>
                <w:szCs w:val="18"/>
              </w:rPr>
              <w:t>5</w:t>
            </w:r>
          </w:p>
        </w:tc>
        <w:tc>
          <w:tcPr>
            <w:tcW w:w="992" w:type="dxa"/>
            <w:shd w:val="clear" w:color="auto" w:fill="auto"/>
            <w:vAlign w:val="center"/>
          </w:tcPr>
          <w:p w14:paraId="75CA2F0F" w14:textId="25DAB28B" w:rsidR="003C4C24" w:rsidRDefault="003C4C24" w:rsidP="00D74A04">
            <w:pPr>
              <w:spacing w:before="40" w:after="60" w:line="320" w:lineRule="atLeast"/>
              <w:jc w:val="center"/>
              <w:rPr>
                <w:rFonts w:ascii="Verdana" w:hAnsi="Verdana"/>
                <w:color w:val="000000"/>
                <w:sz w:val="18"/>
                <w:szCs w:val="18"/>
              </w:rPr>
            </w:pPr>
            <w:r>
              <w:rPr>
                <w:rFonts w:ascii="Verdana" w:hAnsi="Verdana"/>
                <w:color w:val="000000"/>
                <w:sz w:val="18"/>
                <w:szCs w:val="18"/>
              </w:rPr>
              <w:t>-</w:t>
            </w:r>
          </w:p>
        </w:tc>
        <w:tc>
          <w:tcPr>
            <w:tcW w:w="1417" w:type="dxa"/>
            <w:vAlign w:val="center"/>
          </w:tcPr>
          <w:p w14:paraId="687C3A73" w14:textId="30231195" w:rsidR="003C4C24" w:rsidRDefault="008214E0" w:rsidP="00D74A04">
            <w:pPr>
              <w:spacing w:before="40" w:after="60" w:line="320" w:lineRule="atLeast"/>
              <w:jc w:val="right"/>
              <w:rPr>
                <w:rFonts w:ascii="Verdana" w:hAnsi="Verdana"/>
                <w:color w:val="000000"/>
                <w:sz w:val="18"/>
                <w:szCs w:val="18"/>
              </w:rPr>
            </w:pPr>
            <w:r>
              <w:rPr>
                <w:rFonts w:ascii="Verdana" w:hAnsi="Verdana"/>
                <w:color w:val="000000"/>
                <w:sz w:val="18"/>
                <w:szCs w:val="18"/>
              </w:rPr>
              <w:t>34 67</w:t>
            </w:r>
            <w:r w:rsidR="00FC7926">
              <w:rPr>
                <w:rFonts w:ascii="Verdana" w:hAnsi="Verdana"/>
                <w:color w:val="000000"/>
                <w:sz w:val="18"/>
                <w:szCs w:val="18"/>
              </w:rPr>
              <w:t>1</w:t>
            </w:r>
            <w:r>
              <w:rPr>
                <w:rFonts w:ascii="Verdana" w:hAnsi="Verdana"/>
                <w:color w:val="000000"/>
                <w:sz w:val="18"/>
                <w:szCs w:val="18"/>
              </w:rPr>
              <w:t>,7</w:t>
            </w:r>
          </w:p>
        </w:tc>
        <w:tc>
          <w:tcPr>
            <w:tcW w:w="1418" w:type="dxa"/>
            <w:vAlign w:val="center"/>
          </w:tcPr>
          <w:p w14:paraId="00DB2C1E" w14:textId="46B70B36" w:rsidR="003C4C24" w:rsidRDefault="003C4C24" w:rsidP="00D74A04">
            <w:pPr>
              <w:spacing w:before="40" w:after="60" w:line="320" w:lineRule="atLeast"/>
              <w:jc w:val="right"/>
              <w:rPr>
                <w:rFonts w:ascii="Verdana" w:hAnsi="Verdana"/>
                <w:color w:val="000000"/>
                <w:sz w:val="18"/>
                <w:szCs w:val="18"/>
              </w:rPr>
            </w:pPr>
            <w:r>
              <w:rPr>
                <w:rFonts w:ascii="Verdana" w:hAnsi="Verdana"/>
                <w:color w:val="000000"/>
                <w:sz w:val="18"/>
                <w:szCs w:val="18"/>
              </w:rPr>
              <w:t>-</w:t>
            </w:r>
          </w:p>
        </w:tc>
        <w:tc>
          <w:tcPr>
            <w:tcW w:w="1843" w:type="dxa"/>
            <w:vAlign w:val="center"/>
          </w:tcPr>
          <w:p w14:paraId="7338224F" w14:textId="51BAA125" w:rsidR="003C4C24" w:rsidRDefault="008214E0" w:rsidP="00D74A04">
            <w:pPr>
              <w:spacing w:before="40" w:after="60" w:line="320" w:lineRule="atLeast"/>
              <w:jc w:val="right"/>
              <w:rPr>
                <w:rFonts w:ascii="Verdana" w:hAnsi="Verdana"/>
                <w:color w:val="000000"/>
                <w:sz w:val="18"/>
                <w:szCs w:val="18"/>
              </w:rPr>
            </w:pPr>
            <w:r>
              <w:rPr>
                <w:rFonts w:ascii="Verdana" w:hAnsi="Verdana"/>
                <w:color w:val="000000"/>
                <w:sz w:val="18"/>
                <w:szCs w:val="18"/>
              </w:rPr>
              <w:t>34 671,7</w:t>
            </w:r>
          </w:p>
        </w:tc>
      </w:tr>
      <w:tr w:rsidR="003C4C24" w:rsidRPr="00AB6CBE" w14:paraId="0FE5F3BE" w14:textId="77777777" w:rsidTr="001C1A83">
        <w:tc>
          <w:tcPr>
            <w:tcW w:w="567" w:type="dxa"/>
            <w:shd w:val="clear" w:color="auto" w:fill="auto"/>
          </w:tcPr>
          <w:p w14:paraId="3512065C" w14:textId="77777777" w:rsidR="003C4C24" w:rsidRPr="00771D6F" w:rsidRDefault="003C4C24" w:rsidP="00D74A04">
            <w:pPr>
              <w:pStyle w:val="ListParagraph"/>
              <w:numPr>
                <w:ilvl w:val="0"/>
                <w:numId w:val="20"/>
              </w:numPr>
              <w:spacing w:before="40" w:after="60" w:line="320" w:lineRule="atLeast"/>
              <w:ind w:left="357" w:hanging="357"/>
              <w:rPr>
                <w:rFonts w:ascii="Verdana" w:hAnsi="Verdana"/>
                <w:color w:val="000000"/>
                <w:sz w:val="18"/>
                <w:szCs w:val="18"/>
              </w:rPr>
            </w:pPr>
          </w:p>
        </w:tc>
        <w:tc>
          <w:tcPr>
            <w:tcW w:w="1984" w:type="dxa"/>
            <w:gridSpan w:val="2"/>
            <w:shd w:val="clear" w:color="auto" w:fill="auto"/>
          </w:tcPr>
          <w:p w14:paraId="0F8AB803" w14:textId="34697103" w:rsidR="003C4C24" w:rsidRPr="003B4F95" w:rsidRDefault="003C4C24" w:rsidP="00D74A04">
            <w:pPr>
              <w:spacing w:before="40" w:after="60" w:line="320" w:lineRule="atLeast"/>
              <w:rPr>
                <w:rFonts w:ascii="Verdana" w:hAnsi="Verdana"/>
                <w:color w:val="000000"/>
                <w:sz w:val="18"/>
                <w:szCs w:val="18"/>
              </w:rPr>
            </w:pPr>
            <w:r>
              <w:rPr>
                <w:rFonts w:ascii="Verdana" w:hAnsi="Verdana"/>
                <w:color w:val="000000"/>
                <w:sz w:val="18"/>
                <w:szCs w:val="18"/>
              </w:rPr>
              <w:t>Sygnia Itrix</w:t>
            </w:r>
          </w:p>
        </w:tc>
        <w:tc>
          <w:tcPr>
            <w:tcW w:w="993" w:type="dxa"/>
            <w:shd w:val="clear" w:color="auto" w:fill="auto"/>
            <w:vAlign w:val="center"/>
          </w:tcPr>
          <w:p w14:paraId="57C21498" w14:textId="7D94D384" w:rsidR="003C4C24" w:rsidRPr="003B4F95" w:rsidRDefault="003C4C24" w:rsidP="00D74A04">
            <w:pPr>
              <w:spacing w:before="40" w:after="60" w:line="320" w:lineRule="atLeast"/>
              <w:jc w:val="center"/>
              <w:rPr>
                <w:rFonts w:ascii="Verdana" w:hAnsi="Verdana"/>
                <w:color w:val="000000"/>
                <w:sz w:val="18"/>
                <w:szCs w:val="18"/>
              </w:rPr>
            </w:pPr>
            <w:r>
              <w:rPr>
                <w:rFonts w:ascii="Verdana" w:hAnsi="Verdana"/>
                <w:color w:val="000000"/>
                <w:sz w:val="18"/>
                <w:szCs w:val="18"/>
              </w:rPr>
              <w:t>1</w:t>
            </w:r>
            <w:r w:rsidR="008214E0">
              <w:rPr>
                <w:rFonts w:ascii="Verdana" w:hAnsi="Verdana"/>
                <w:color w:val="000000"/>
                <w:sz w:val="18"/>
                <w:szCs w:val="18"/>
              </w:rPr>
              <w:t>4</w:t>
            </w:r>
          </w:p>
        </w:tc>
        <w:tc>
          <w:tcPr>
            <w:tcW w:w="992" w:type="dxa"/>
            <w:shd w:val="clear" w:color="auto" w:fill="auto"/>
            <w:vAlign w:val="center"/>
          </w:tcPr>
          <w:p w14:paraId="4B9CEC53" w14:textId="52004DEB" w:rsidR="003C4C24" w:rsidRPr="003B4F95" w:rsidRDefault="003C4C24" w:rsidP="00D74A04">
            <w:pPr>
              <w:spacing w:before="40" w:after="60" w:line="320" w:lineRule="atLeast"/>
              <w:jc w:val="center"/>
              <w:rPr>
                <w:rFonts w:ascii="Verdana" w:hAnsi="Verdana"/>
                <w:color w:val="000000"/>
                <w:sz w:val="18"/>
                <w:szCs w:val="18"/>
              </w:rPr>
            </w:pPr>
            <w:r>
              <w:rPr>
                <w:rFonts w:ascii="Verdana" w:hAnsi="Verdana"/>
                <w:color w:val="000000"/>
                <w:sz w:val="18"/>
                <w:szCs w:val="18"/>
              </w:rPr>
              <w:t>-</w:t>
            </w:r>
          </w:p>
        </w:tc>
        <w:tc>
          <w:tcPr>
            <w:tcW w:w="1417" w:type="dxa"/>
            <w:vAlign w:val="center"/>
          </w:tcPr>
          <w:p w14:paraId="5E231593" w14:textId="00093145" w:rsidR="003C4C24" w:rsidRPr="003B4F95" w:rsidRDefault="008214E0" w:rsidP="00D74A04">
            <w:pPr>
              <w:spacing w:before="40" w:after="60" w:line="320" w:lineRule="atLeast"/>
              <w:jc w:val="right"/>
              <w:rPr>
                <w:rFonts w:ascii="Verdana" w:hAnsi="Verdana"/>
                <w:color w:val="000000"/>
                <w:sz w:val="18"/>
                <w:szCs w:val="18"/>
              </w:rPr>
            </w:pPr>
            <w:r>
              <w:rPr>
                <w:rFonts w:ascii="Verdana" w:hAnsi="Verdana"/>
                <w:color w:val="000000"/>
                <w:sz w:val="18"/>
                <w:szCs w:val="18"/>
              </w:rPr>
              <w:t>30 302,9</w:t>
            </w:r>
          </w:p>
        </w:tc>
        <w:tc>
          <w:tcPr>
            <w:tcW w:w="1418" w:type="dxa"/>
            <w:vAlign w:val="center"/>
          </w:tcPr>
          <w:p w14:paraId="02FF980D" w14:textId="7735FC4B" w:rsidR="003C4C24" w:rsidRPr="003B4F95" w:rsidRDefault="003C4C24" w:rsidP="00D74A04">
            <w:pPr>
              <w:spacing w:before="40" w:after="60" w:line="320" w:lineRule="atLeast"/>
              <w:jc w:val="right"/>
              <w:rPr>
                <w:rFonts w:ascii="Verdana" w:hAnsi="Verdana"/>
                <w:color w:val="000000"/>
                <w:sz w:val="18"/>
                <w:szCs w:val="18"/>
              </w:rPr>
            </w:pPr>
            <w:r>
              <w:rPr>
                <w:rFonts w:ascii="Verdana" w:hAnsi="Verdana"/>
                <w:color w:val="000000"/>
                <w:sz w:val="18"/>
                <w:szCs w:val="18"/>
              </w:rPr>
              <w:t>-</w:t>
            </w:r>
          </w:p>
        </w:tc>
        <w:tc>
          <w:tcPr>
            <w:tcW w:w="1843" w:type="dxa"/>
            <w:vAlign w:val="center"/>
          </w:tcPr>
          <w:p w14:paraId="2278D090" w14:textId="77284C8A" w:rsidR="003C4C24" w:rsidRPr="003B4F95" w:rsidRDefault="008214E0" w:rsidP="00D74A04">
            <w:pPr>
              <w:spacing w:before="40" w:after="60" w:line="320" w:lineRule="atLeast"/>
              <w:jc w:val="right"/>
              <w:rPr>
                <w:rFonts w:ascii="Verdana" w:hAnsi="Verdana"/>
                <w:color w:val="000000"/>
                <w:sz w:val="18"/>
                <w:szCs w:val="18"/>
              </w:rPr>
            </w:pPr>
            <w:r>
              <w:rPr>
                <w:rFonts w:ascii="Verdana" w:hAnsi="Verdana"/>
                <w:color w:val="000000"/>
                <w:sz w:val="18"/>
                <w:szCs w:val="18"/>
              </w:rPr>
              <w:t>30 302,9</w:t>
            </w:r>
          </w:p>
        </w:tc>
      </w:tr>
      <w:tr w:rsidR="003C4C24" w:rsidRPr="00AB6CBE" w14:paraId="3E5AB5DE" w14:textId="77777777" w:rsidTr="001C1A83">
        <w:tc>
          <w:tcPr>
            <w:tcW w:w="567" w:type="dxa"/>
            <w:shd w:val="clear" w:color="auto" w:fill="auto"/>
          </w:tcPr>
          <w:p w14:paraId="62DC651B" w14:textId="77777777" w:rsidR="003C4C24" w:rsidRPr="00771D6F" w:rsidRDefault="003C4C24" w:rsidP="00D74A04">
            <w:pPr>
              <w:pStyle w:val="ListParagraph"/>
              <w:numPr>
                <w:ilvl w:val="0"/>
                <w:numId w:val="20"/>
              </w:numPr>
              <w:spacing w:before="40" w:after="60" w:line="320" w:lineRule="atLeast"/>
              <w:ind w:left="357" w:hanging="357"/>
              <w:rPr>
                <w:rFonts w:ascii="Verdana" w:hAnsi="Verdana"/>
                <w:color w:val="000000"/>
                <w:sz w:val="18"/>
                <w:szCs w:val="18"/>
              </w:rPr>
            </w:pPr>
          </w:p>
        </w:tc>
        <w:tc>
          <w:tcPr>
            <w:tcW w:w="1984" w:type="dxa"/>
            <w:gridSpan w:val="2"/>
            <w:shd w:val="clear" w:color="auto" w:fill="auto"/>
          </w:tcPr>
          <w:p w14:paraId="3C1FB5E5" w14:textId="77777777" w:rsidR="003C4C24" w:rsidRPr="003B4F95" w:rsidRDefault="003C4C24" w:rsidP="00D74A04">
            <w:pPr>
              <w:spacing w:before="40" w:after="60" w:line="320" w:lineRule="atLeast"/>
              <w:rPr>
                <w:rFonts w:ascii="Verdana" w:hAnsi="Verdana"/>
                <w:color w:val="000000"/>
                <w:sz w:val="18"/>
                <w:szCs w:val="18"/>
              </w:rPr>
            </w:pPr>
            <w:r w:rsidRPr="003B4F95">
              <w:rPr>
                <w:rFonts w:ascii="Verdana" w:hAnsi="Verdana"/>
                <w:color w:val="000000"/>
                <w:sz w:val="18"/>
                <w:szCs w:val="18"/>
              </w:rPr>
              <w:t xml:space="preserve">Absa </w:t>
            </w:r>
            <w:r>
              <w:rPr>
                <w:rFonts w:ascii="Verdana" w:hAnsi="Verdana"/>
                <w:color w:val="000000"/>
                <w:sz w:val="18"/>
                <w:szCs w:val="18"/>
              </w:rPr>
              <w:t>Capital</w:t>
            </w:r>
          </w:p>
        </w:tc>
        <w:tc>
          <w:tcPr>
            <w:tcW w:w="993" w:type="dxa"/>
            <w:shd w:val="clear" w:color="auto" w:fill="auto"/>
            <w:vAlign w:val="center"/>
          </w:tcPr>
          <w:p w14:paraId="2791DA0D" w14:textId="078F5CAF" w:rsidR="003C4C24" w:rsidRPr="003B4F95" w:rsidRDefault="003C4C24" w:rsidP="00D74A04">
            <w:pPr>
              <w:spacing w:before="40" w:after="60" w:line="320" w:lineRule="atLeast"/>
              <w:jc w:val="center"/>
              <w:rPr>
                <w:rFonts w:ascii="Verdana" w:hAnsi="Verdana"/>
                <w:color w:val="000000"/>
                <w:sz w:val="18"/>
                <w:szCs w:val="18"/>
              </w:rPr>
            </w:pPr>
            <w:r>
              <w:rPr>
                <w:rFonts w:ascii="Verdana" w:hAnsi="Verdana"/>
                <w:color w:val="000000"/>
                <w:sz w:val="18"/>
                <w:szCs w:val="18"/>
              </w:rPr>
              <w:t>18</w:t>
            </w:r>
          </w:p>
        </w:tc>
        <w:tc>
          <w:tcPr>
            <w:tcW w:w="992" w:type="dxa"/>
            <w:shd w:val="clear" w:color="auto" w:fill="auto"/>
            <w:vAlign w:val="center"/>
          </w:tcPr>
          <w:p w14:paraId="2166DF9E" w14:textId="70BA1EE3" w:rsidR="003C4C24" w:rsidRPr="003B4F95" w:rsidRDefault="003C4C24" w:rsidP="00D74A04">
            <w:pPr>
              <w:spacing w:before="40" w:after="60" w:line="320" w:lineRule="atLeast"/>
              <w:jc w:val="center"/>
              <w:rPr>
                <w:rFonts w:ascii="Verdana" w:hAnsi="Verdana"/>
                <w:color w:val="000000"/>
                <w:sz w:val="18"/>
                <w:szCs w:val="18"/>
              </w:rPr>
            </w:pPr>
            <w:r>
              <w:rPr>
                <w:rFonts w:ascii="Verdana" w:hAnsi="Verdana"/>
                <w:color w:val="000000"/>
                <w:sz w:val="18"/>
                <w:szCs w:val="18"/>
              </w:rPr>
              <w:t>5</w:t>
            </w:r>
          </w:p>
        </w:tc>
        <w:tc>
          <w:tcPr>
            <w:tcW w:w="1417" w:type="dxa"/>
            <w:vAlign w:val="center"/>
          </w:tcPr>
          <w:p w14:paraId="029D8166" w14:textId="0230BF22" w:rsidR="003C4C24" w:rsidRPr="003B4F95" w:rsidRDefault="008214E0" w:rsidP="00D74A04">
            <w:pPr>
              <w:spacing w:before="40" w:after="60" w:line="320" w:lineRule="atLeast"/>
              <w:jc w:val="right"/>
              <w:rPr>
                <w:rFonts w:ascii="Verdana" w:hAnsi="Verdana"/>
                <w:color w:val="000000"/>
                <w:sz w:val="18"/>
                <w:szCs w:val="18"/>
              </w:rPr>
            </w:pPr>
            <w:r>
              <w:rPr>
                <w:rFonts w:ascii="Verdana" w:hAnsi="Verdana"/>
                <w:color w:val="000000"/>
                <w:sz w:val="18"/>
                <w:szCs w:val="18"/>
              </w:rPr>
              <w:t>26 938,0</w:t>
            </w:r>
          </w:p>
        </w:tc>
        <w:tc>
          <w:tcPr>
            <w:tcW w:w="1418" w:type="dxa"/>
            <w:vAlign w:val="center"/>
          </w:tcPr>
          <w:p w14:paraId="6F79E717" w14:textId="3C50896B" w:rsidR="003C4C24" w:rsidRPr="003B4F95" w:rsidRDefault="003C4C24" w:rsidP="00D74A04">
            <w:pPr>
              <w:spacing w:before="40" w:after="60" w:line="320" w:lineRule="atLeast"/>
              <w:jc w:val="right"/>
              <w:rPr>
                <w:rFonts w:ascii="Verdana" w:hAnsi="Verdana"/>
                <w:color w:val="000000"/>
                <w:sz w:val="18"/>
                <w:szCs w:val="18"/>
              </w:rPr>
            </w:pPr>
            <w:r>
              <w:rPr>
                <w:rFonts w:ascii="Verdana" w:hAnsi="Verdana"/>
                <w:color w:val="000000"/>
                <w:sz w:val="18"/>
                <w:szCs w:val="18"/>
              </w:rPr>
              <w:t>1 5</w:t>
            </w:r>
            <w:r w:rsidR="008214E0">
              <w:rPr>
                <w:rFonts w:ascii="Verdana" w:hAnsi="Verdana"/>
                <w:color w:val="000000"/>
                <w:sz w:val="18"/>
                <w:szCs w:val="18"/>
              </w:rPr>
              <w:t>50</w:t>
            </w:r>
            <w:r>
              <w:rPr>
                <w:rFonts w:ascii="Verdana" w:hAnsi="Verdana"/>
                <w:color w:val="000000"/>
                <w:sz w:val="18"/>
                <w:szCs w:val="18"/>
              </w:rPr>
              <w:t>,</w:t>
            </w:r>
            <w:r w:rsidR="008214E0">
              <w:rPr>
                <w:rFonts w:ascii="Verdana" w:hAnsi="Verdana"/>
                <w:color w:val="000000"/>
                <w:sz w:val="18"/>
                <w:szCs w:val="18"/>
              </w:rPr>
              <w:t>3</w:t>
            </w:r>
          </w:p>
        </w:tc>
        <w:tc>
          <w:tcPr>
            <w:tcW w:w="1843" w:type="dxa"/>
            <w:vAlign w:val="center"/>
          </w:tcPr>
          <w:p w14:paraId="32A350AC" w14:textId="1D9B3763" w:rsidR="003C4C24" w:rsidRPr="003B4F95" w:rsidRDefault="008214E0" w:rsidP="00D74A04">
            <w:pPr>
              <w:spacing w:before="40" w:after="60" w:line="320" w:lineRule="atLeast"/>
              <w:jc w:val="right"/>
              <w:rPr>
                <w:rFonts w:ascii="Verdana" w:hAnsi="Verdana"/>
                <w:color w:val="000000"/>
                <w:sz w:val="18"/>
                <w:szCs w:val="18"/>
              </w:rPr>
            </w:pPr>
            <w:r>
              <w:rPr>
                <w:rFonts w:ascii="Verdana" w:hAnsi="Verdana"/>
                <w:color w:val="000000"/>
                <w:sz w:val="18"/>
                <w:szCs w:val="18"/>
              </w:rPr>
              <w:t>28 488,3</w:t>
            </w:r>
          </w:p>
        </w:tc>
      </w:tr>
      <w:tr w:rsidR="003C4C24" w:rsidRPr="00AB6CBE" w14:paraId="2E0F4F01" w14:textId="77777777" w:rsidTr="001C1A83">
        <w:tc>
          <w:tcPr>
            <w:tcW w:w="567" w:type="dxa"/>
            <w:shd w:val="clear" w:color="auto" w:fill="auto"/>
          </w:tcPr>
          <w:p w14:paraId="10150557" w14:textId="77777777" w:rsidR="003C4C24" w:rsidRPr="00771D6F" w:rsidRDefault="003C4C24" w:rsidP="00D74A04">
            <w:pPr>
              <w:pStyle w:val="ListParagraph"/>
              <w:numPr>
                <w:ilvl w:val="0"/>
                <w:numId w:val="20"/>
              </w:numPr>
              <w:spacing w:before="40" w:after="60" w:line="320" w:lineRule="atLeast"/>
              <w:ind w:left="357" w:hanging="357"/>
              <w:rPr>
                <w:rFonts w:ascii="Verdana" w:hAnsi="Verdana"/>
                <w:color w:val="000000"/>
                <w:sz w:val="18"/>
                <w:szCs w:val="18"/>
              </w:rPr>
            </w:pPr>
          </w:p>
        </w:tc>
        <w:tc>
          <w:tcPr>
            <w:tcW w:w="1984" w:type="dxa"/>
            <w:gridSpan w:val="2"/>
            <w:shd w:val="clear" w:color="auto" w:fill="auto"/>
          </w:tcPr>
          <w:p w14:paraId="117A9919" w14:textId="24AF28B0" w:rsidR="003C4C24" w:rsidRPr="003B4F95" w:rsidRDefault="003C4C24" w:rsidP="00D74A04">
            <w:pPr>
              <w:spacing w:before="40" w:after="60" w:line="320" w:lineRule="atLeast"/>
              <w:rPr>
                <w:rFonts w:ascii="Verdana" w:hAnsi="Verdana"/>
                <w:color w:val="000000"/>
                <w:sz w:val="18"/>
                <w:szCs w:val="18"/>
              </w:rPr>
            </w:pPr>
            <w:r>
              <w:rPr>
                <w:rFonts w:ascii="Verdana" w:hAnsi="Verdana"/>
                <w:color w:val="000000"/>
                <w:sz w:val="18"/>
                <w:szCs w:val="18"/>
              </w:rPr>
              <w:t>FNB/FirstRand</w:t>
            </w:r>
          </w:p>
        </w:tc>
        <w:tc>
          <w:tcPr>
            <w:tcW w:w="993" w:type="dxa"/>
            <w:shd w:val="clear" w:color="auto" w:fill="auto"/>
            <w:vAlign w:val="center"/>
          </w:tcPr>
          <w:p w14:paraId="27501A4B" w14:textId="4C1DCAE1" w:rsidR="003C4C24" w:rsidRDefault="003C4C24" w:rsidP="00D74A04">
            <w:pPr>
              <w:spacing w:before="40" w:after="60" w:line="320" w:lineRule="atLeast"/>
              <w:jc w:val="center"/>
              <w:rPr>
                <w:rFonts w:ascii="Verdana" w:hAnsi="Verdana"/>
                <w:color w:val="000000"/>
                <w:sz w:val="18"/>
                <w:szCs w:val="18"/>
              </w:rPr>
            </w:pPr>
            <w:r>
              <w:rPr>
                <w:rFonts w:ascii="Verdana" w:hAnsi="Verdana"/>
                <w:color w:val="000000"/>
                <w:sz w:val="18"/>
                <w:szCs w:val="18"/>
              </w:rPr>
              <w:t>8</w:t>
            </w:r>
          </w:p>
        </w:tc>
        <w:tc>
          <w:tcPr>
            <w:tcW w:w="992" w:type="dxa"/>
            <w:shd w:val="clear" w:color="auto" w:fill="auto"/>
            <w:vAlign w:val="center"/>
          </w:tcPr>
          <w:p w14:paraId="470D6A4A" w14:textId="7E246CFE" w:rsidR="003C4C24" w:rsidRDefault="003C4C24" w:rsidP="00D74A04">
            <w:pPr>
              <w:spacing w:before="40" w:after="60" w:line="320" w:lineRule="atLeast"/>
              <w:jc w:val="center"/>
              <w:rPr>
                <w:rFonts w:ascii="Verdana" w:hAnsi="Verdana"/>
                <w:color w:val="000000"/>
                <w:sz w:val="18"/>
                <w:szCs w:val="18"/>
              </w:rPr>
            </w:pPr>
            <w:r>
              <w:rPr>
                <w:rFonts w:ascii="Verdana" w:hAnsi="Verdana"/>
                <w:color w:val="000000"/>
                <w:sz w:val="18"/>
                <w:szCs w:val="18"/>
              </w:rPr>
              <w:t>42</w:t>
            </w:r>
          </w:p>
        </w:tc>
        <w:tc>
          <w:tcPr>
            <w:tcW w:w="1417" w:type="dxa"/>
            <w:vAlign w:val="center"/>
          </w:tcPr>
          <w:p w14:paraId="68B377D1" w14:textId="648FA10C" w:rsidR="003C4C24" w:rsidRDefault="008214E0" w:rsidP="00D74A04">
            <w:pPr>
              <w:spacing w:before="40" w:after="60" w:line="320" w:lineRule="atLeast"/>
              <w:jc w:val="right"/>
              <w:rPr>
                <w:rFonts w:ascii="Verdana" w:hAnsi="Verdana"/>
                <w:color w:val="000000"/>
                <w:sz w:val="18"/>
                <w:szCs w:val="18"/>
              </w:rPr>
            </w:pPr>
            <w:r>
              <w:rPr>
                <w:rFonts w:ascii="Verdana" w:hAnsi="Verdana"/>
                <w:color w:val="000000"/>
                <w:sz w:val="18"/>
                <w:szCs w:val="18"/>
              </w:rPr>
              <w:t>5 945,5</w:t>
            </w:r>
          </w:p>
        </w:tc>
        <w:tc>
          <w:tcPr>
            <w:tcW w:w="1418" w:type="dxa"/>
            <w:vAlign w:val="center"/>
          </w:tcPr>
          <w:p w14:paraId="48086C16" w14:textId="5F4A1D1D" w:rsidR="003C4C24" w:rsidRDefault="003C4C24" w:rsidP="00D74A04">
            <w:pPr>
              <w:spacing w:before="40" w:after="60" w:line="320" w:lineRule="atLeast"/>
              <w:jc w:val="right"/>
              <w:rPr>
                <w:rFonts w:ascii="Verdana" w:hAnsi="Verdana"/>
                <w:color w:val="000000"/>
                <w:sz w:val="18"/>
                <w:szCs w:val="18"/>
              </w:rPr>
            </w:pPr>
            <w:r>
              <w:rPr>
                <w:rFonts w:ascii="Verdana" w:hAnsi="Verdana"/>
                <w:color w:val="000000"/>
                <w:sz w:val="18"/>
                <w:szCs w:val="18"/>
              </w:rPr>
              <w:t>2</w:t>
            </w:r>
            <w:r w:rsidR="008214E0">
              <w:rPr>
                <w:rFonts w:ascii="Verdana" w:hAnsi="Verdana"/>
                <w:color w:val="000000"/>
                <w:sz w:val="18"/>
                <w:szCs w:val="18"/>
              </w:rPr>
              <w:t> 628,7</w:t>
            </w:r>
          </w:p>
        </w:tc>
        <w:tc>
          <w:tcPr>
            <w:tcW w:w="1843" w:type="dxa"/>
            <w:vAlign w:val="center"/>
          </w:tcPr>
          <w:p w14:paraId="062755B2" w14:textId="7287AE48" w:rsidR="003C4C24" w:rsidRDefault="008214E0" w:rsidP="00D74A04">
            <w:pPr>
              <w:spacing w:before="40" w:after="60" w:line="320" w:lineRule="atLeast"/>
              <w:jc w:val="right"/>
              <w:rPr>
                <w:rFonts w:ascii="Verdana" w:hAnsi="Verdana"/>
                <w:color w:val="000000"/>
                <w:sz w:val="18"/>
                <w:szCs w:val="18"/>
              </w:rPr>
            </w:pPr>
            <w:r>
              <w:rPr>
                <w:rFonts w:ascii="Verdana" w:hAnsi="Verdana"/>
                <w:color w:val="000000"/>
                <w:sz w:val="18"/>
                <w:szCs w:val="18"/>
              </w:rPr>
              <w:t>8 574,2</w:t>
            </w:r>
          </w:p>
        </w:tc>
      </w:tr>
      <w:tr w:rsidR="003C4C24" w:rsidRPr="000435BE" w14:paraId="56CF23E8" w14:textId="77777777" w:rsidTr="001C1A83">
        <w:tc>
          <w:tcPr>
            <w:tcW w:w="567" w:type="dxa"/>
            <w:shd w:val="clear" w:color="auto" w:fill="auto"/>
          </w:tcPr>
          <w:p w14:paraId="7FD80757" w14:textId="77777777" w:rsidR="003C4C24" w:rsidRPr="00771D6F" w:rsidRDefault="003C4C24" w:rsidP="00D74A04">
            <w:pPr>
              <w:pStyle w:val="ListParagraph"/>
              <w:numPr>
                <w:ilvl w:val="0"/>
                <w:numId w:val="20"/>
              </w:numPr>
              <w:spacing w:before="40" w:after="60" w:line="320" w:lineRule="atLeast"/>
              <w:ind w:left="357" w:hanging="357"/>
              <w:rPr>
                <w:rFonts w:ascii="Verdana" w:hAnsi="Verdana"/>
                <w:color w:val="000000"/>
                <w:sz w:val="18"/>
                <w:szCs w:val="18"/>
              </w:rPr>
            </w:pPr>
          </w:p>
        </w:tc>
        <w:tc>
          <w:tcPr>
            <w:tcW w:w="1984" w:type="dxa"/>
            <w:gridSpan w:val="2"/>
            <w:shd w:val="clear" w:color="auto" w:fill="auto"/>
          </w:tcPr>
          <w:p w14:paraId="1D9E85AD" w14:textId="77777777" w:rsidR="003C4C24" w:rsidRPr="003B4F95" w:rsidRDefault="003C4C24" w:rsidP="00D74A04">
            <w:pPr>
              <w:spacing w:before="40" w:after="60" w:line="320" w:lineRule="atLeast"/>
              <w:rPr>
                <w:rFonts w:ascii="Verdana" w:hAnsi="Verdana"/>
                <w:color w:val="000000"/>
                <w:sz w:val="18"/>
                <w:szCs w:val="18"/>
              </w:rPr>
            </w:pPr>
            <w:r>
              <w:rPr>
                <w:rFonts w:ascii="Verdana" w:hAnsi="Verdana"/>
                <w:color w:val="000000"/>
                <w:sz w:val="18"/>
                <w:szCs w:val="18"/>
              </w:rPr>
              <w:t>1nvest</w:t>
            </w:r>
          </w:p>
        </w:tc>
        <w:tc>
          <w:tcPr>
            <w:tcW w:w="993" w:type="dxa"/>
            <w:shd w:val="clear" w:color="auto" w:fill="auto"/>
            <w:vAlign w:val="center"/>
          </w:tcPr>
          <w:p w14:paraId="657AF511" w14:textId="2A4394BE" w:rsidR="003C4C24" w:rsidRPr="003B4F95" w:rsidRDefault="003C4C24" w:rsidP="00D74A04">
            <w:pPr>
              <w:spacing w:before="40" w:after="60" w:line="320" w:lineRule="atLeast"/>
              <w:jc w:val="center"/>
              <w:rPr>
                <w:rFonts w:ascii="Verdana" w:hAnsi="Verdana"/>
                <w:color w:val="000000"/>
                <w:sz w:val="18"/>
                <w:szCs w:val="18"/>
              </w:rPr>
            </w:pPr>
            <w:r>
              <w:rPr>
                <w:rFonts w:ascii="Verdana" w:hAnsi="Verdana"/>
                <w:color w:val="000000"/>
                <w:sz w:val="18"/>
                <w:szCs w:val="18"/>
              </w:rPr>
              <w:t>13</w:t>
            </w:r>
          </w:p>
        </w:tc>
        <w:tc>
          <w:tcPr>
            <w:tcW w:w="992" w:type="dxa"/>
            <w:shd w:val="clear" w:color="auto" w:fill="auto"/>
            <w:vAlign w:val="center"/>
          </w:tcPr>
          <w:p w14:paraId="3918885C" w14:textId="2F3FE799" w:rsidR="003C4C24" w:rsidRPr="003B4F95" w:rsidRDefault="003C4C24" w:rsidP="00D74A04">
            <w:pPr>
              <w:spacing w:before="40" w:after="60" w:line="320" w:lineRule="atLeast"/>
              <w:jc w:val="center"/>
              <w:rPr>
                <w:rFonts w:ascii="Verdana" w:hAnsi="Verdana"/>
                <w:color w:val="000000"/>
                <w:sz w:val="18"/>
                <w:szCs w:val="18"/>
              </w:rPr>
            </w:pPr>
            <w:r>
              <w:rPr>
                <w:rFonts w:ascii="Verdana" w:hAnsi="Verdana"/>
                <w:color w:val="000000"/>
                <w:sz w:val="18"/>
                <w:szCs w:val="18"/>
              </w:rPr>
              <w:t>-</w:t>
            </w:r>
          </w:p>
        </w:tc>
        <w:tc>
          <w:tcPr>
            <w:tcW w:w="1417" w:type="dxa"/>
            <w:vAlign w:val="center"/>
          </w:tcPr>
          <w:p w14:paraId="7D33FC92" w14:textId="47388C5E" w:rsidR="003C4C24" w:rsidRPr="003B4F95" w:rsidRDefault="008214E0" w:rsidP="00D74A04">
            <w:pPr>
              <w:spacing w:before="40" w:after="60" w:line="320" w:lineRule="atLeast"/>
              <w:jc w:val="right"/>
              <w:rPr>
                <w:rFonts w:ascii="Verdana" w:hAnsi="Verdana"/>
                <w:color w:val="000000"/>
                <w:sz w:val="18"/>
                <w:szCs w:val="18"/>
              </w:rPr>
            </w:pPr>
            <w:r>
              <w:rPr>
                <w:rFonts w:ascii="Verdana" w:hAnsi="Verdana"/>
                <w:color w:val="000000"/>
                <w:sz w:val="18"/>
                <w:szCs w:val="18"/>
              </w:rPr>
              <w:t>6 619,6</w:t>
            </w:r>
          </w:p>
        </w:tc>
        <w:tc>
          <w:tcPr>
            <w:tcW w:w="1418" w:type="dxa"/>
            <w:vAlign w:val="center"/>
          </w:tcPr>
          <w:p w14:paraId="4E6D745C" w14:textId="1232FD83" w:rsidR="003C4C24" w:rsidRPr="003B4F95" w:rsidRDefault="004545BB" w:rsidP="00D74A04">
            <w:pPr>
              <w:spacing w:before="40" w:after="60" w:line="320" w:lineRule="atLeast"/>
              <w:jc w:val="right"/>
              <w:rPr>
                <w:rFonts w:ascii="Verdana" w:hAnsi="Verdana"/>
                <w:color w:val="000000"/>
                <w:sz w:val="18"/>
                <w:szCs w:val="18"/>
              </w:rPr>
            </w:pPr>
            <w:r>
              <w:rPr>
                <w:rFonts w:ascii="Verdana" w:hAnsi="Verdana"/>
                <w:color w:val="000000"/>
                <w:sz w:val="18"/>
                <w:szCs w:val="18"/>
              </w:rPr>
              <w:t>-</w:t>
            </w:r>
          </w:p>
        </w:tc>
        <w:tc>
          <w:tcPr>
            <w:tcW w:w="1843" w:type="dxa"/>
            <w:vAlign w:val="center"/>
          </w:tcPr>
          <w:p w14:paraId="5815C90F" w14:textId="26841EB1" w:rsidR="003C4C24" w:rsidRPr="003B4F95" w:rsidRDefault="008214E0" w:rsidP="00D74A04">
            <w:pPr>
              <w:spacing w:before="40" w:after="60" w:line="320" w:lineRule="atLeast"/>
              <w:jc w:val="right"/>
              <w:rPr>
                <w:rFonts w:ascii="Verdana" w:hAnsi="Verdana"/>
                <w:color w:val="000000"/>
                <w:sz w:val="18"/>
                <w:szCs w:val="18"/>
              </w:rPr>
            </w:pPr>
            <w:r>
              <w:rPr>
                <w:rFonts w:ascii="Verdana" w:hAnsi="Verdana"/>
                <w:color w:val="000000"/>
                <w:sz w:val="18"/>
                <w:szCs w:val="18"/>
              </w:rPr>
              <w:t>6 619,6</w:t>
            </w:r>
          </w:p>
        </w:tc>
      </w:tr>
      <w:tr w:rsidR="003C4C24" w:rsidRPr="000435BE" w14:paraId="65A0B9ED" w14:textId="77777777" w:rsidTr="001C1A83">
        <w:tc>
          <w:tcPr>
            <w:tcW w:w="567" w:type="dxa"/>
            <w:shd w:val="clear" w:color="auto" w:fill="auto"/>
          </w:tcPr>
          <w:p w14:paraId="57A8D2C5" w14:textId="77777777" w:rsidR="003C4C24" w:rsidRPr="00771D6F" w:rsidRDefault="003C4C24" w:rsidP="00D74A04">
            <w:pPr>
              <w:pStyle w:val="ListParagraph"/>
              <w:numPr>
                <w:ilvl w:val="0"/>
                <w:numId w:val="20"/>
              </w:numPr>
              <w:spacing w:before="40" w:after="60" w:line="320" w:lineRule="atLeast"/>
              <w:ind w:left="357" w:hanging="357"/>
              <w:rPr>
                <w:rFonts w:ascii="Verdana" w:hAnsi="Verdana"/>
                <w:color w:val="000000"/>
                <w:sz w:val="18"/>
                <w:szCs w:val="18"/>
              </w:rPr>
            </w:pPr>
          </w:p>
        </w:tc>
        <w:tc>
          <w:tcPr>
            <w:tcW w:w="1984" w:type="dxa"/>
            <w:gridSpan w:val="2"/>
            <w:shd w:val="clear" w:color="auto" w:fill="auto"/>
          </w:tcPr>
          <w:p w14:paraId="02AAA5AA" w14:textId="66754C1A" w:rsidR="003C4C24" w:rsidRDefault="003C4C24" w:rsidP="00D74A04">
            <w:pPr>
              <w:spacing w:before="40" w:after="60" w:line="320" w:lineRule="atLeast"/>
              <w:rPr>
                <w:rFonts w:ascii="Verdana" w:hAnsi="Verdana"/>
                <w:color w:val="000000"/>
                <w:sz w:val="18"/>
                <w:szCs w:val="18"/>
              </w:rPr>
            </w:pPr>
            <w:r w:rsidRPr="003B4F95">
              <w:rPr>
                <w:rFonts w:ascii="Verdana" w:hAnsi="Verdana"/>
                <w:color w:val="000000"/>
                <w:sz w:val="18"/>
                <w:szCs w:val="18"/>
              </w:rPr>
              <w:t>CoreShares</w:t>
            </w:r>
          </w:p>
        </w:tc>
        <w:tc>
          <w:tcPr>
            <w:tcW w:w="993" w:type="dxa"/>
            <w:shd w:val="clear" w:color="auto" w:fill="auto"/>
            <w:vAlign w:val="center"/>
          </w:tcPr>
          <w:p w14:paraId="67A212EB" w14:textId="2DFCEC29" w:rsidR="003C4C24" w:rsidRDefault="003C4C24" w:rsidP="00D74A04">
            <w:pPr>
              <w:spacing w:before="40" w:after="60" w:line="320" w:lineRule="atLeast"/>
              <w:jc w:val="center"/>
              <w:rPr>
                <w:rFonts w:ascii="Verdana" w:hAnsi="Verdana"/>
                <w:color w:val="000000"/>
                <w:sz w:val="18"/>
                <w:szCs w:val="18"/>
              </w:rPr>
            </w:pPr>
            <w:r>
              <w:rPr>
                <w:rFonts w:ascii="Verdana" w:hAnsi="Verdana"/>
                <w:color w:val="000000"/>
                <w:sz w:val="18"/>
                <w:szCs w:val="18"/>
              </w:rPr>
              <w:t>9</w:t>
            </w:r>
          </w:p>
        </w:tc>
        <w:tc>
          <w:tcPr>
            <w:tcW w:w="992" w:type="dxa"/>
            <w:shd w:val="clear" w:color="auto" w:fill="auto"/>
            <w:vAlign w:val="center"/>
          </w:tcPr>
          <w:p w14:paraId="4FBCA900" w14:textId="77777777" w:rsidR="003C4C24" w:rsidRDefault="003C4C24" w:rsidP="00D74A04">
            <w:pPr>
              <w:spacing w:before="40" w:after="60" w:line="320" w:lineRule="atLeast"/>
              <w:jc w:val="center"/>
              <w:rPr>
                <w:rFonts w:ascii="Verdana" w:hAnsi="Verdana"/>
                <w:color w:val="000000"/>
                <w:sz w:val="18"/>
                <w:szCs w:val="18"/>
              </w:rPr>
            </w:pPr>
          </w:p>
        </w:tc>
        <w:tc>
          <w:tcPr>
            <w:tcW w:w="1417" w:type="dxa"/>
            <w:vAlign w:val="center"/>
          </w:tcPr>
          <w:p w14:paraId="13AC3780" w14:textId="4A7B39D0" w:rsidR="003C4C24" w:rsidRDefault="008214E0" w:rsidP="00D74A04">
            <w:pPr>
              <w:spacing w:before="40" w:after="60" w:line="320" w:lineRule="atLeast"/>
              <w:jc w:val="right"/>
              <w:rPr>
                <w:rFonts w:ascii="Verdana" w:hAnsi="Verdana"/>
                <w:color w:val="000000"/>
                <w:sz w:val="18"/>
                <w:szCs w:val="18"/>
              </w:rPr>
            </w:pPr>
            <w:r>
              <w:rPr>
                <w:rFonts w:ascii="Verdana" w:hAnsi="Verdana"/>
                <w:color w:val="000000"/>
                <w:sz w:val="18"/>
                <w:szCs w:val="18"/>
              </w:rPr>
              <w:t>5 322,9</w:t>
            </w:r>
          </w:p>
        </w:tc>
        <w:tc>
          <w:tcPr>
            <w:tcW w:w="1418" w:type="dxa"/>
            <w:vAlign w:val="center"/>
          </w:tcPr>
          <w:p w14:paraId="50D9DC73" w14:textId="7F18C684" w:rsidR="003C4C24" w:rsidRDefault="004545BB" w:rsidP="00D74A04">
            <w:pPr>
              <w:spacing w:before="40" w:after="60" w:line="320" w:lineRule="atLeast"/>
              <w:jc w:val="right"/>
              <w:rPr>
                <w:rFonts w:ascii="Verdana" w:hAnsi="Verdana"/>
                <w:color w:val="000000"/>
                <w:sz w:val="18"/>
                <w:szCs w:val="18"/>
              </w:rPr>
            </w:pPr>
            <w:r>
              <w:rPr>
                <w:rFonts w:ascii="Verdana" w:hAnsi="Verdana"/>
                <w:color w:val="000000"/>
                <w:sz w:val="18"/>
                <w:szCs w:val="18"/>
              </w:rPr>
              <w:t>-</w:t>
            </w:r>
          </w:p>
        </w:tc>
        <w:tc>
          <w:tcPr>
            <w:tcW w:w="1843" w:type="dxa"/>
            <w:vAlign w:val="center"/>
          </w:tcPr>
          <w:p w14:paraId="50EB1566" w14:textId="39F5DEA4" w:rsidR="003C4C24" w:rsidRDefault="008214E0" w:rsidP="00D74A04">
            <w:pPr>
              <w:spacing w:before="40" w:after="60" w:line="320" w:lineRule="atLeast"/>
              <w:jc w:val="right"/>
              <w:rPr>
                <w:rFonts w:ascii="Verdana" w:hAnsi="Verdana"/>
                <w:color w:val="000000"/>
                <w:sz w:val="18"/>
                <w:szCs w:val="18"/>
              </w:rPr>
            </w:pPr>
            <w:r>
              <w:rPr>
                <w:rFonts w:ascii="Verdana" w:hAnsi="Verdana"/>
                <w:color w:val="000000"/>
                <w:sz w:val="18"/>
                <w:szCs w:val="18"/>
              </w:rPr>
              <w:t>5 322,9</w:t>
            </w:r>
          </w:p>
        </w:tc>
      </w:tr>
      <w:tr w:rsidR="003C4C24" w:rsidRPr="000435BE" w14:paraId="3D3E6270" w14:textId="77777777" w:rsidTr="001C1A83">
        <w:tc>
          <w:tcPr>
            <w:tcW w:w="567" w:type="dxa"/>
            <w:shd w:val="clear" w:color="auto" w:fill="auto"/>
          </w:tcPr>
          <w:p w14:paraId="2F3AB2CF" w14:textId="77777777" w:rsidR="003C4C24" w:rsidRPr="00771D6F" w:rsidRDefault="003C4C24" w:rsidP="00D74A04">
            <w:pPr>
              <w:pStyle w:val="ListParagraph"/>
              <w:numPr>
                <w:ilvl w:val="0"/>
                <w:numId w:val="20"/>
              </w:numPr>
              <w:spacing w:before="40" w:after="60" w:line="320" w:lineRule="atLeast"/>
              <w:ind w:left="357" w:hanging="357"/>
              <w:rPr>
                <w:rFonts w:ascii="Verdana" w:hAnsi="Verdana"/>
                <w:color w:val="000000"/>
                <w:sz w:val="18"/>
                <w:szCs w:val="18"/>
              </w:rPr>
            </w:pPr>
          </w:p>
        </w:tc>
        <w:tc>
          <w:tcPr>
            <w:tcW w:w="1984" w:type="dxa"/>
            <w:gridSpan w:val="2"/>
            <w:shd w:val="clear" w:color="auto" w:fill="auto"/>
          </w:tcPr>
          <w:p w14:paraId="79EA6E23" w14:textId="25F732CB" w:rsidR="003C4C24" w:rsidRPr="003B4F95" w:rsidRDefault="003C4C24" w:rsidP="00D74A04">
            <w:pPr>
              <w:spacing w:before="40" w:after="60" w:line="320" w:lineRule="atLeast"/>
              <w:rPr>
                <w:rFonts w:ascii="Verdana" w:hAnsi="Verdana"/>
                <w:color w:val="000000"/>
                <w:sz w:val="18"/>
                <w:szCs w:val="18"/>
              </w:rPr>
            </w:pPr>
            <w:r>
              <w:rPr>
                <w:rFonts w:ascii="Verdana" w:hAnsi="Verdana"/>
                <w:color w:val="000000"/>
                <w:sz w:val="18"/>
                <w:szCs w:val="18"/>
              </w:rPr>
              <w:t>UBS</w:t>
            </w:r>
          </w:p>
        </w:tc>
        <w:tc>
          <w:tcPr>
            <w:tcW w:w="993" w:type="dxa"/>
            <w:shd w:val="clear" w:color="auto" w:fill="auto"/>
            <w:vAlign w:val="center"/>
          </w:tcPr>
          <w:p w14:paraId="319024BC" w14:textId="17645643" w:rsidR="003C4C24" w:rsidRDefault="003C4C24" w:rsidP="00D74A04">
            <w:pPr>
              <w:spacing w:before="40" w:after="60" w:line="320" w:lineRule="atLeast"/>
              <w:jc w:val="center"/>
              <w:rPr>
                <w:rFonts w:ascii="Verdana" w:hAnsi="Verdana"/>
                <w:color w:val="000000"/>
                <w:sz w:val="18"/>
                <w:szCs w:val="18"/>
              </w:rPr>
            </w:pPr>
            <w:r>
              <w:rPr>
                <w:rFonts w:ascii="Verdana" w:hAnsi="Verdana"/>
                <w:color w:val="000000"/>
                <w:sz w:val="18"/>
                <w:szCs w:val="18"/>
              </w:rPr>
              <w:t>-</w:t>
            </w:r>
          </w:p>
        </w:tc>
        <w:tc>
          <w:tcPr>
            <w:tcW w:w="992" w:type="dxa"/>
            <w:shd w:val="clear" w:color="auto" w:fill="auto"/>
            <w:vAlign w:val="center"/>
          </w:tcPr>
          <w:p w14:paraId="01DE090E" w14:textId="07F7D4D1" w:rsidR="003C4C24" w:rsidRDefault="003C4C24" w:rsidP="00D74A04">
            <w:pPr>
              <w:spacing w:before="40" w:after="60" w:line="320" w:lineRule="atLeast"/>
              <w:jc w:val="center"/>
              <w:rPr>
                <w:rFonts w:ascii="Verdana" w:hAnsi="Verdana"/>
                <w:color w:val="000000"/>
                <w:sz w:val="18"/>
                <w:szCs w:val="18"/>
              </w:rPr>
            </w:pPr>
            <w:r>
              <w:rPr>
                <w:rFonts w:ascii="Verdana" w:hAnsi="Verdana"/>
                <w:color w:val="000000"/>
                <w:sz w:val="18"/>
                <w:szCs w:val="18"/>
              </w:rPr>
              <w:t>3</w:t>
            </w:r>
            <w:r w:rsidR="008214E0">
              <w:rPr>
                <w:rFonts w:ascii="Verdana" w:hAnsi="Verdana"/>
                <w:color w:val="000000"/>
                <w:sz w:val="18"/>
                <w:szCs w:val="18"/>
              </w:rPr>
              <w:t>0</w:t>
            </w:r>
          </w:p>
        </w:tc>
        <w:tc>
          <w:tcPr>
            <w:tcW w:w="1417" w:type="dxa"/>
            <w:vAlign w:val="center"/>
          </w:tcPr>
          <w:p w14:paraId="3E0E1FE0" w14:textId="4B1E74B7" w:rsidR="003C4C24" w:rsidRPr="003B4F95" w:rsidRDefault="004545BB" w:rsidP="00D74A04">
            <w:pPr>
              <w:spacing w:before="40" w:after="60" w:line="320" w:lineRule="atLeast"/>
              <w:jc w:val="right"/>
              <w:rPr>
                <w:rFonts w:ascii="Verdana" w:hAnsi="Verdana"/>
                <w:color w:val="000000"/>
                <w:sz w:val="18"/>
                <w:szCs w:val="18"/>
              </w:rPr>
            </w:pPr>
            <w:r>
              <w:rPr>
                <w:rFonts w:ascii="Verdana" w:hAnsi="Verdana"/>
                <w:color w:val="000000"/>
                <w:sz w:val="18"/>
                <w:szCs w:val="18"/>
              </w:rPr>
              <w:t>-</w:t>
            </w:r>
          </w:p>
        </w:tc>
        <w:tc>
          <w:tcPr>
            <w:tcW w:w="1418" w:type="dxa"/>
            <w:vAlign w:val="center"/>
          </w:tcPr>
          <w:p w14:paraId="3EE99A49" w14:textId="489BE528" w:rsidR="003C4C24" w:rsidRPr="003B4F95" w:rsidRDefault="008214E0" w:rsidP="00D74A04">
            <w:pPr>
              <w:spacing w:before="40" w:after="60" w:line="320" w:lineRule="atLeast"/>
              <w:jc w:val="right"/>
              <w:rPr>
                <w:rFonts w:ascii="Verdana" w:hAnsi="Verdana"/>
                <w:color w:val="000000"/>
                <w:sz w:val="18"/>
                <w:szCs w:val="18"/>
              </w:rPr>
            </w:pPr>
            <w:r>
              <w:rPr>
                <w:rFonts w:ascii="Verdana" w:hAnsi="Verdana"/>
                <w:color w:val="000000"/>
                <w:sz w:val="18"/>
                <w:szCs w:val="18"/>
              </w:rPr>
              <w:t>4 978,1</w:t>
            </w:r>
          </w:p>
        </w:tc>
        <w:tc>
          <w:tcPr>
            <w:tcW w:w="1843" w:type="dxa"/>
            <w:vAlign w:val="center"/>
          </w:tcPr>
          <w:p w14:paraId="22D0BF0F" w14:textId="0C1454C9" w:rsidR="003C4C24" w:rsidRPr="003B4F95" w:rsidRDefault="008214E0" w:rsidP="00D74A04">
            <w:pPr>
              <w:spacing w:before="40" w:after="60" w:line="320" w:lineRule="atLeast"/>
              <w:jc w:val="right"/>
              <w:rPr>
                <w:rFonts w:ascii="Verdana" w:hAnsi="Verdana"/>
                <w:color w:val="000000"/>
                <w:sz w:val="18"/>
                <w:szCs w:val="18"/>
              </w:rPr>
            </w:pPr>
            <w:r>
              <w:rPr>
                <w:rFonts w:ascii="Verdana" w:hAnsi="Verdana"/>
                <w:color w:val="000000"/>
                <w:sz w:val="18"/>
                <w:szCs w:val="18"/>
              </w:rPr>
              <w:t>4 978,1</w:t>
            </w:r>
          </w:p>
        </w:tc>
      </w:tr>
      <w:tr w:rsidR="003C4C24" w:rsidRPr="000435BE" w14:paraId="74FFBACF" w14:textId="77777777" w:rsidTr="001C1A83">
        <w:tc>
          <w:tcPr>
            <w:tcW w:w="567" w:type="dxa"/>
            <w:shd w:val="clear" w:color="auto" w:fill="auto"/>
          </w:tcPr>
          <w:p w14:paraId="115A2173" w14:textId="77777777" w:rsidR="003C4C24" w:rsidRPr="00771D6F" w:rsidRDefault="003C4C24" w:rsidP="00D74A04">
            <w:pPr>
              <w:pStyle w:val="ListParagraph"/>
              <w:numPr>
                <w:ilvl w:val="0"/>
                <w:numId w:val="20"/>
              </w:numPr>
              <w:spacing w:before="40" w:after="60" w:line="320" w:lineRule="atLeast"/>
              <w:ind w:left="357" w:hanging="357"/>
              <w:rPr>
                <w:rFonts w:ascii="Verdana" w:hAnsi="Verdana"/>
                <w:color w:val="000000"/>
                <w:sz w:val="18"/>
                <w:szCs w:val="18"/>
              </w:rPr>
            </w:pPr>
          </w:p>
        </w:tc>
        <w:tc>
          <w:tcPr>
            <w:tcW w:w="1984" w:type="dxa"/>
            <w:gridSpan w:val="2"/>
            <w:shd w:val="clear" w:color="auto" w:fill="auto"/>
          </w:tcPr>
          <w:p w14:paraId="49C1F41F" w14:textId="77777777" w:rsidR="003C4C24" w:rsidRPr="003B4F95" w:rsidRDefault="003C4C24" w:rsidP="00D74A04">
            <w:pPr>
              <w:spacing w:before="40" w:after="60" w:line="320" w:lineRule="atLeast"/>
              <w:rPr>
                <w:rFonts w:ascii="Verdana" w:hAnsi="Verdana"/>
                <w:color w:val="000000"/>
                <w:sz w:val="18"/>
                <w:szCs w:val="18"/>
              </w:rPr>
            </w:pPr>
            <w:r w:rsidRPr="003B4F95">
              <w:rPr>
                <w:rFonts w:ascii="Verdana" w:hAnsi="Verdana"/>
                <w:color w:val="000000"/>
                <w:sz w:val="18"/>
                <w:szCs w:val="18"/>
              </w:rPr>
              <w:t>Investec</w:t>
            </w:r>
          </w:p>
        </w:tc>
        <w:tc>
          <w:tcPr>
            <w:tcW w:w="993" w:type="dxa"/>
            <w:shd w:val="clear" w:color="auto" w:fill="auto"/>
            <w:vAlign w:val="center"/>
          </w:tcPr>
          <w:p w14:paraId="30BF1DB5" w14:textId="06BE0E53" w:rsidR="003C4C24" w:rsidRDefault="003C4C24" w:rsidP="00D74A04">
            <w:pPr>
              <w:spacing w:before="40" w:after="60" w:line="320" w:lineRule="atLeast"/>
              <w:jc w:val="center"/>
              <w:rPr>
                <w:rFonts w:ascii="Verdana" w:hAnsi="Verdana"/>
                <w:color w:val="000000"/>
                <w:sz w:val="18"/>
                <w:szCs w:val="18"/>
              </w:rPr>
            </w:pPr>
            <w:r>
              <w:rPr>
                <w:rFonts w:ascii="Verdana" w:hAnsi="Verdana"/>
                <w:color w:val="000000"/>
                <w:sz w:val="18"/>
                <w:szCs w:val="18"/>
              </w:rPr>
              <w:t>-</w:t>
            </w:r>
          </w:p>
        </w:tc>
        <w:tc>
          <w:tcPr>
            <w:tcW w:w="992" w:type="dxa"/>
            <w:shd w:val="clear" w:color="auto" w:fill="auto"/>
            <w:vAlign w:val="center"/>
          </w:tcPr>
          <w:p w14:paraId="2EE3776E" w14:textId="1CC0010C" w:rsidR="003C4C24" w:rsidRDefault="003C4C24" w:rsidP="00D74A04">
            <w:pPr>
              <w:spacing w:before="40" w:after="60" w:line="320" w:lineRule="atLeast"/>
              <w:jc w:val="center"/>
              <w:rPr>
                <w:rFonts w:ascii="Verdana" w:hAnsi="Verdana"/>
                <w:color w:val="000000"/>
                <w:sz w:val="18"/>
                <w:szCs w:val="18"/>
              </w:rPr>
            </w:pPr>
            <w:r>
              <w:rPr>
                <w:rFonts w:ascii="Verdana" w:hAnsi="Verdana"/>
                <w:color w:val="000000"/>
                <w:sz w:val="18"/>
                <w:szCs w:val="18"/>
              </w:rPr>
              <w:t>2</w:t>
            </w:r>
          </w:p>
        </w:tc>
        <w:tc>
          <w:tcPr>
            <w:tcW w:w="1417" w:type="dxa"/>
            <w:vAlign w:val="center"/>
          </w:tcPr>
          <w:p w14:paraId="67698628" w14:textId="6F59895D" w:rsidR="003C4C24" w:rsidRDefault="004545BB" w:rsidP="00D74A04">
            <w:pPr>
              <w:spacing w:before="40" w:after="60" w:line="320" w:lineRule="atLeast"/>
              <w:jc w:val="right"/>
              <w:rPr>
                <w:rFonts w:ascii="Verdana" w:hAnsi="Verdana"/>
                <w:color w:val="000000"/>
                <w:sz w:val="18"/>
                <w:szCs w:val="18"/>
              </w:rPr>
            </w:pPr>
            <w:r>
              <w:rPr>
                <w:rFonts w:ascii="Verdana" w:hAnsi="Verdana"/>
                <w:color w:val="000000"/>
                <w:sz w:val="18"/>
                <w:szCs w:val="18"/>
              </w:rPr>
              <w:t>-</w:t>
            </w:r>
          </w:p>
        </w:tc>
        <w:tc>
          <w:tcPr>
            <w:tcW w:w="1418" w:type="dxa"/>
            <w:vAlign w:val="center"/>
          </w:tcPr>
          <w:p w14:paraId="564CAC82" w14:textId="26AB66F8" w:rsidR="003C4C24" w:rsidRDefault="004545BB" w:rsidP="00D74A04">
            <w:pPr>
              <w:spacing w:before="40" w:after="60" w:line="320" w:lineRule="atLeast"/>
              <w:jc w:val="right"/>
              <w:rPr>
                <w:rFonts w:ascii="Verdana" w:hAnsi="Verdana"/>
                <w:color w:val="000000"/>
                <w:sz w:val="18"/>
                <w:szCs w:val="18"/>
              </w:rPr>
            </w:pPr>
            <w:r>
              <w:rPr>
                <w:rFonts w:ascii="Verdana" w:hAnsi="Verdana"/>
                <w:color w:val="000000"/>
                <w:sz w:val="18"/>
                <w:szCs w:val="18"/>
              </w:rPr>
              <w:t>2 </w:t>
            </w:r>
            <w:r w:rsidR="008214E0">
              <w:rPr>
                <w:rFonts w:ascii="Verdana" w:hAnsi="Verdana"/>
                <w:color w:val="000000"/>
                <w:sz w:val="18"/>
                <w:szCs w:val="18"/>
              </w:rPr>
              <w:t>357</w:t>
            </w:r>
            <w:r>
              <w:rPr>
                <w:rFonts w:ascii="Verdana" w:hAnsi="Verdana"/>
                <w:color w:val="000000"/>
                <w:sz w:val="18"/>
                <w:szCs w:val="18"/>
              </w:rPr>
              <w:t>,</w:t>
            </w:r>
            <w:r w:rsidR="008214E0">
              <w:rPr>
                <w:rFonts w:ascii="Verdana" w:hAnsi="Verdana"/>
                <w:color w:val="000000"/>
                <w:sz w:val="18"/>
                <w:szCs w:val="18"/>
              </w:rPr>
              <w:t>8</w:t>
            </w:r>
          </w:p>
        </w:tc>
        <w:tc>
          <w:tcPr>
            <w:tcW w:w="1843" w:type="dxa"/>
            <w:vAlign w:val="center"/>
          </w:tcPr>
          <w:p w14:paraId="5682DA5B" w14:textId="6D5CCA2B" w:rsidR="003C4C24" w:rsidRDefault="008214E0" w:rsidP="00D74A04">
            <w:pPr>
              <w:spacing w:before="40" w:after="60" w:line="320" w:lineRule="atLeast"/>
              <w:jc w:val="right"/>
              <w:rPr>
                <w:rFonts w:ascii="Verdana" w:hAnsi="Verdana"/>
                <w:color w:val="000000"/>
                <w:sz w:val="18"/>
                <w:szCs w:val="18"/>
              </w:rPr>
            </w:pPr>
            <w:r>
              <w:rPr>
                <w:rFonts w:ascii="Verdana" w:hAnsi="Verdana"/>
                <w:color w:val="000000"/>
                <w:sz w:val="18"/>
                <w:szCs w:val="18"/>
              </w:rPr>
              <w:t>2 357,8</w:t>
            </w:r>
          </w:p>
        </w:tc>
      </w:tr>
      <w:tr w:rsidR="003C4C24" w:rsidRPr="000435BE" w14:paraId="5FB42103" w14:textId="77777777" w:rsidTr="001C1A83">
        <w:tc>
          <w:tcPr>
            <w:tcW w:w="567" w:type="dxa"/>
            <w:shd w:val="clear" w:color="auto" w:fill="auto"/>
          </w:tcPr>
          <w:p w14:paraId="11AE8AAB" w14:textId="77777777" w:rsidR="003C4C24" w:rsidRPr="00771D6F" w:rsidRDefault="003C4C24" w:rsidP="00D74A04">
            <w:pPr>
              <w:pStyle w:val="ListParagraph"/>
              <w:numPr>
                <w:ilvl w:val="0"/>
                <w:numId w:val="20"/>
              </w:numPr>
              <w:spacing w:before="40" w:after="60" w:line="320" w:lineRule="atLeast"/>
              <w:ind w:left="357" w:hanging="357"/>
              <w:rPr>
                <w:rFonts w:ascii="Verdana" w:hAnsi="Verdana"/>
                <w:color w:val="000000"/>
                <w:sz w:val="18"/>
                <w:szCs w:val="18"/>
              </w:rPr>
            </w:pPr>
          </w:p>
        </w:tc>
        <w:tc>
          <w:tcPr>
            <w:tcW w:w="1984" w:type="dxa"/>
            <w:gridSpan w:val="2"/>
            <w:shd w:val="clear" w:color="auto" w:fill="auto"/>
          </w:tcPr>
          <w:p w14:paraId="700A7226" w14:textId="77777777" w:rsidR="003C4C24" w:rsidRPr="003B4F95" w:rsidRDefault="003C4C24" w:rsidP="00D74A04">
            <w:pPr>
              <w:spacing w:before="40" w:after="60" w:line="320" w:lineRule="atLeast"/>
              <w:rPr>
                <w:rFonts w:ascii="Verdana" w:hAnsi="Verdana"/>
                <w:color w:val="000000"/>
                <w:sz w:val="18"/>
                <w:szCs w:val="18"/>
              </w:rPr>
            </w:pPr>
            <w:r w:rsidRPr="003B4F95">
              <w:rPr>
                <w:rFonts w:ascii="Verdana" w:hAnsi="Verdana"/>
                <w:color w:val="000000"/>
                <w:sz w:val="18"/>
                <w:szCs w:val="18"/>
              </w:rPr>
              <w:t>Stan</w:t>
            </w:r>
            <w:r>
              <w:rPr>
                <w:rFonts w:ascii="Verdana" w:hAnsi="Verdana"/>
                <w:color w:val="000000"/>
                <w:sz w:val="18"/>
                <w:szCs w:val="18"/>
              </w:rPr>
              <w:t>dard Bank</w:t>
            </w:r>
          </w:p>
        </w:tc>
        <w:tc>
          <w:tcPr>
            <w:tcW w:w="993" w:type="dxa"/>
            <w:shd w:val="clear" w:color="auto" w:fill="auto"/>
            <w:vAlign w:val="center"/>
          </w:tcPr>
          <w:p w14:paraId="5BCA0634" w14:textId="44384937" w:rsidR="003C4C24" w:rsidRDefault="003C4C24" w:rsidP="00D74A04">
            <w:pPr>
              <w:spacing w:before="40" w:after="60" w:line="320" w:lineRule="atLeast"/>
              <w:jc w:val="center"/>
              <w:rPr>
                <w:rFonts w:ascii="Verdana" w:hAnsi="Verdana"/>
                <w:color w:val="000000"/>
                <w:sz w:val="18"/>
                <w:szCs w:val="18"/>
              </w:rPr>
            </w:pPr>
            <w:r>
              <w:rPr>
                <w:rFonts w:ascii="Verdana" w:hAnsi="Verdana"/>
                <w:color w:val="000000"/>
                <w:sz w:val="18"/>
                <w:szCs w:val="18"/>
              </w:rPr>
              <w:t>-</w:t>
            </w:r>
          </w:p>
        </w:tc>
        <w:tc>
          <w:tcPr>
            <w:tcW w:w="992" w:type="dxa"/>
            <w:shd w:val="clear" w:color="auto" w:fill="auto"/>
            <w:vAlign w:val="center"/>
          </w:tcPr>
          <w:p w14:paraId="705CD008" w14:textId="0CF4EDD9" w:rsidR="003C4C24" w:rsidRDefault="003C4C24" w:rsidP="00D74A04">
            <w:pPr>
              <w:spacing w:before="40" w:after="60" w:line="320" w:lineRule="atLeast"/>
              <w:jc w:val="center"/>
              <w:rPr>
                <w:rFonts w:ascii="Verdana" w:hAnsi="Verdana"/>
                <w:color w:val="000000"/>
                <w:sz w:val="18"/>
                <w:szCs w:val="18"/>
              </w:rPr>
            </w:pPr>
            <w:r>
              <w:rPr>
                <w:rFonts w:ascii="Verdana" w:hAnsi="Verdana"/>
                <w:color w:val="000000"/>
                <w:sz w:val="18"/>
                <w:szCs w:val="18"/>
              </w:rPr>
              <w:t>2</w:t>
            </w:r>
          </w:p>
        </w:tc>
        <w:tc>
          <w:tcPr>
            <w:tcW w:w="1417" w:type="dxa"/>
            <w:vAlign w:val="center"/>
          </w:tcPr>
          <w:p w14:paraId="33A5A643" w14:textId="286E3CE7" w:rsidR="003C4C24" w:rsidRDefault="004545BB" w:rsidP="00D74A04">
            <w:pPr>
              <w:spacing w:before="40" w:after="60" w:line="320" w:lineRule="atLeast"/>
              <w:jc w:val="right"/>
              <w:rPr>
                <w:rFonts w:ascii="Verdana" w:hAnsi="Verdana"/>
                <w:color w:val="000000"/>
                <w:sz w:val="18"/>
                <w:szCs w:val="18"/>
              </w:rPr>
            </w:pPr>
            <w:r>
              <w:rPr>
                <w:rFonts w:ascii="Verdana" w:hAnsi="Verdana"/>
                <w:color w:val="000000"/>
                <w:sz w:val="18"/>
                <w:szCs w:val="18"/>
              </w:rPr>
              <w:t>-</w:t>
            </w:r>
          </w:p>
        </w:tc>
        <w:tc>
          <w:tcPr>
            <w:tcW w:w="1418" w:type="dxa"/>
            <w:vAlign w:val="center"/>
          </w:tcPr>
          <w:p w14:paraId="74E82CC8" w14:textId="36653B83" w:rsidR="003C4C24" w:rsidRDefault="004545BB" w:rsidP="00D74A04">
            <w:pPr>
              <w:spacing w:before="40" w:after="60" w:line="320" w:lineRule="atLeast"/>
              <w:jc w:val="right"/>
              <w:rPr>
                <w:rFonts w:ascii="Verdana" w:hAnsi="Verdana"/>
                <w:color w:val="000000"/>
                <w:sz w:val="18"/>
                <w:szCs w:val="18"/>
              </w:rPr>
            </w:pPr>
            <w:r>
              <w:rPr>
                <w:rFonts w:ascii="Verdana" w:hAnsi="Verdana"/>
                <w:color w:val="000000"/>
                <w:sz w:val="18"/>
                <w:szCs w:val="18"/>
              </w:rPr>
              <w:t>1 </w:t>
            </w:r>
            <w:r w:rsidR="008214E0">
              <w:rPr>
                <w:rFonts w:ascii="Verdana" w:hAnsi="Verdana"/>
                <w:color w:val="000000"/>
                <w:sz w:val="18"/>
                <w:szCs w:val="18"/>
              </w:rPr>
              <w:t>246</w:t>
            </w:r>
            <w:r>
              <w:rPr>
                <w:rFonts w:ascii="Verdana" w:hAnsi="Verdana"/>
                <w:color w:val="000000"/>
                <w:sz w:val="18"/>
                <w:szCs w:val="18"/>
              </w:rPr>
              <w:t>,</w:t>
            </w:r>
            <w:r w:rsidR="008214E0">
              <w:rPr>
                <w:rFonts w:ascii="Verdana" w:hAnsi="Verdana"/>
                <w:color w:val="000000"/>
                <w:sz w:val="18"/>
                <w:szCs w:val="18"/>
              </w:rPr>
              <w:t>5</w:t>
            </w:r>
          </w:p>
        </w:tc>
        <w:tc>
          <w:tcPr>
            <w:tcW w:w="1843" w:type="dxa"/>
            <w:vAlign w:val="center"/>
          </w:tcPr>
          <w:p w14:paraId="0A0AE9B3" w14:textId="51E4D105" w:rsidR="003C4C24" w:rsidRDefault="008214E0" w:rsidP="00D74A04">
            <w:pPr>
              <w:spacing w:before="40" w:after="60" w:line="320" w:lineRule="atLeast"/>
              <w:jc w:val="right"/>
              <w:rPr>
                <w:rFonts w:ascii="Verdana" w:hAnsi="Verdana"/>
                <w:color w:val="000000"/>
                <w:sz w:val="18"/>
                <w:szCs w:val="18"/>
              </w:rPr>
            </w:pPr>
            <w:r>
              <w:rPr>
                <w:rFonts w:ascii="Verdana" w:hAnsi="Verdana"/>
                <w:color w:val="000000"/>
                <w:sz w:val="18"/>
                <w:szCs w:val="18"/>
              </w:rPr>
              <w:t>1 246,5</w:t>
            </w:r>
          </w:p>
        </w:tc>
      </w:tr>
      <w:tr w:rsidR="003C4C24" w:rsidRPr="000435BE" w14:paraId="0F1A63F0" w14:textId="77777777" w:rsidTr="001C1A83">
        <w:tc>
          <w:tcPr>
            <w:tcW w:w="567" w:type="dxa"/>
            <w:shd w:val="clear" w:color="auto" w:fill="auto"/>
          </w:tcPr>
          <w:p w14:paraId="1C6357A5" w14:textId="77777777" w:rsidR="003C4C24" w:rsidRPr="00771D6F" w:rsidRDefault="003C4C24" w:rsidP="00D74A04">
            <w:pPr>
              <w:pStyle w:val="ListParagraph"/>
              <w:numPr>
                <w:ilvl w:val="0"/>
                <w:numId w:val="20"/>
              </w:numPr>
              <w:spacing w:before="40" w:after="60" w:line="320" w:lineRule="atLeast"/>
              <w:ind w:left="357" w:hanging="357"/>
              <w:rPr>
                <w:rFonts w:ascii="Verdana" w:hAnsi="Verdana"/>
                <w:color w:val="000000"/>
                <w:sz w:val="18"/>
                <w:szCs w:val="18"/>
              </w:rPr>
            </w:pPr>
          </w:p>
        </w:tc>
        <w:tc>
          <w:tcPr>
            <w:tcW w:w="1984" w:type="dxa"/>
            <w:gridSpan w:val="2"/>
            <w:shd w:val="clear" w:color="auto" w:fill="auto"/>
          </w:tcPr>
          <w:p w14:paraId="2A260978" w14:textId="77777777" w:rsidR="003C4C24" w:rsidRPr="003B4F95" w:rsidRDefault="003C4C24" w:rsidP="00D74A04">
            <w:pPr>
              <w:spacing w:before="40" w:after="60" w:line="320" w:lineRule="atLeast"/>
              <w:rPr>
                <w:rFonts w:ascii="Verdana" w:hAnsi="Verdana"/>
                <w:color w:val="000000"/>
                <w:sz w:val="18"/>
                <w:szCs w:val="18"/>
              </w:rPr>
            </w:pPr>
            <w:r w:rsidRPr="003B4F95">
              <w:rPr>
                <w:rFonts w:ascii="Verdana" w:hAnsi="Verdana"/>
                <w:color w:val="000000"/>
                <w:sz w:val="18"/>
                <w:szCs w:val="18"/>
              </w:rPr>
              <w:t>Cloud Atlas</w:t>
            </w:r>
          </w:p>
        </w:tc>
        <w:tc>
          <w:tcPr>
            <w:tcW w:w="993" w:type="dxa"/>
            <w:shd w:val="clear" w:color="auto" w:fill="auto"/>
            <w:vAlign w:val="center"/>
          </w:tcPr>
          <w:p w14:paraId="104600BC" w14:textId="3E5D8C43" w:rsidR="003C4C24" w:rsidRPr="003B4F95" w:rsidRDefault="003C4C24" w:rsidP="00D74A04">
            <w:pPr>
              <w:spacing w:before="40" w:after="60" w:line="320" w:lineRule="atLeast"/>
              <w:jc w:val="center"/>
              <w:rPr>
                <w:rFonts w:ascii="Verdana" w:hAnsi="Verdana"/>
                <w:color w:val="000000"/>
                <w:sz w:val="18"/>
                <w:szCs w:val="18"/>
              </w:rPr>
            </w:pPr>
            <w:r>
              <w:rPr>
                <w:rFonts w:ascii="Verdana" w:hAnsi="Verdana"/>
                <w:color w:val="000000"/>
                <w:sz w:val="18"/>
                <w:szCs w:val="18"/>
              </w:rPr>
              <w:t>2</w:t>
            </w:r>
          </w:p>
        </w:tc>
        <w:tc>
          <w:tcPr>
            <w:tcW w:w="992" w:type="dxa"/>
            <w:shd w:val="clear" w:color="auto" w:fill="auto"/>
            <w:vAlign w:val="center"/>
          </w:tcPr>
          <w:p w14:paraId="6896F25A" w14:textId="2B55520F" w:rsidR="003C4C24" w:rsidRPr="003B4F95" w:rsidRDefault="003C4C24" w:rsidP="00D74A04">
            <w:pPr>
              <w:spacing w:before="40" w:after="60" w:line="320" w:lineRule="atLeast"/>
              <w:jc w:val="center"/>
              <w:rPr>
                <w:rFonts w:ascii="Verdana" w:hAnsi="Verdana"/>
                <w:color w:val="000000"/>
                <w:sz w:val="18"/>
                <w:szCs w:val="18"/>
              </w:rPr>
            </w:pPr>
            <w:r>
              <w:rPr>
                <w:rFonts w:ascii="Verdana" w:hAnsi="Verdana"/>
                <w:color w:val="000000"/>
                <w:sz w:val="18"/>
                <w:szCs w:val="18"/>
              </w:rPr>
              <w:t>-</w:t>
            </w:r>
          </w:p>
        </w:tc>
        <w:tc>
          <w:tcPr>
            <w:tcW w:w="1417" w:type="dxa"/>
            <w:vAlign w:val="center"/>
          </w:tcPr>
          <w:p w14:paraId="01DC6088" w14:textId="15F9D022" w:rsidR="003C4C24" w:rsidRPr="003B4F95" w:rsidRDefault="008214E0" w:rsidP="00D74A04">
            <w:pPr>
              <w:spacing w:before="40" w:after="60" w:line="320" w:lineRule="atLeast"/>
              <w:jc w:val="right"/>
              <w:rPr>
                <w:rFonts w:ascii="Verdana" w:hAnsi="Verdana"/>
                <w:color w:val="000000"/>
                <w:sz w:val="18"/>
                <w:szCs w:val="18"/>
              </w:rPr>
            </w:pPr>
            <w:r>
              <w:rPr>
                <w:rFonts w:ascii="Verdana" w:hAnsi="Verdana"/>
                <w:color w:val="000000"/>
                <w:sz w:val="18"/>
                <w:szCs w:val="18"/>
              </w:rPr>
              <w:t>5</w:t>
            </w:r>
            <w:r w:rsidR="004545BB">
              <w:rPr>
                <w:rFonts w:ascii="Verdana" w:hAnsi="Verdana"/>
                <w:color w:val="000000"/>
                <w:sz w:val="18"/>
                <w:szCs w:val="18"/>
              </w:rPr>
              <w:t>,</w:t>
            </w:r>
            <w:r>
              <w:rPr>
                <w:rFonts w:ascii="Verdana" w:hAnsi="Verdana"/>
                <w:color w:val="000000"/>
                <w:sz w:val="18"/>
                <w:szCs w:val="18"/>
              </w:rPr>
              <w:t>7</w:t>
            </w:r>
          </w:p>
        </w:tc>
        <w:tc>
          <w:tcPr>
            <w:tcW w:w="1418" w:type="dxa"/>
            <w:vAlign w:val="center"/>
          </w:tcPr>
          <w:p w14:paraId="7E700237" w14:textId="681F9E30" w:rsidR="003C4C24" w:rsidRPr="003B4F95" w:rsidRDefault="004545BB" w:rsidP="00D74A04">
            <w:pPr>
              <w:spacing w:before="40" w:after="60" w:line="320" w:lineRule="atLeast"/>
              <w:jc w:val="right"/>
              <w:rPr>
                <w:rFonts w:ascii="Verdana" w:hAnsi="Verdana"/>
                <w:color w:val="000000"/>
                <w:sz w:val="18"/>
                <w:szCs w:val="18"/>
              </w:rPr>
            </w:pPr>
            <w:r>
              <w:rPr>
                <w:rFonts w:ascii="Verdana" w:hAnsi="Verdana"/>
                <w:color w:val="000000"/>
                <w:sz w:val="18"/>
                <w:szCs w:val="18"/>
              </w:rPr>
              <w:t>-</w:t>
            </w:r>
          </w:p>
        </w:tc>
        <w:tc>
          <w:tcPr>
            <w:tcW w:w="1843" w:type="dxa"/>
            <w:vAlign w:val="center"/>
          </w:tcPr>
          <w:p w14:paraId="2A11FCC2" w14:textId="472E3D46" w:rsidR="003C4C24" w:rsidRPr="003B4F95" w:rsidRDefault="008214E0" w:rsidP="00D74A04">
            <w:pPr>
              <w:spacing w:before="40" w:after="60" w:line="320" w:lineRule="atLeast"/>
              <w:jc w:val="right"/>
              <w:rPr>
                <w:rFonts w:ascii="Verdana" w:hAnsi="Verdana"/>
                <w:color w:val="000000"/>
                <w:sz w:val="18"/>
                <w:szCs w:val="18"/>
              </w:rPr>
            </w:pPr>
            <w:r>
              <w:rPr>
                <w:rFonts w:ascii="Verdana" w:hAnsi="Verdana"/>
                <w:color w:val="000000"/>
                <w:sz w:val="18"/>
                <w:szCs w:val="18"/>
              </w:rPr>
              <w:t>5,7</w:t>
            </w:r>
          </w:p>
        </w:tc>
      </w:tr>
      <w:tr w:rsidR="003C4C24" w:rsidRPr="000435BE" w14:paraId="1AE5CE6C" w14:textId="77777777" w:rsidTr="001C1A83">
        <w:tc>
          <w:tcPr>
            <w:tcW w:w="2551" w:type="dxa"/>
            <w:gridSpan w:val="3"/>
            <w:shd w:val="clear" w:color="auto" w:fill="auto"/>
          </w:tcPr>
          <w:p w14:paraId="0278B047" w14:textId="77777777" w:rsidR="003C4C24" w:rsidRPr="003B4F95" w:rsidRDefault="003C4C24" w:rsidP="00D74A04">
            <w:pPr>
              <w:spacing w:before="40" w:after="60" w:line="320" w:lineRule="atLeast"/>
              <w:rPr>
                <w:rFonts w:ascii="Verdana" w:hAnsi="Verdana"/>
                <w:b/>
                <w:color w:val="000000"/>
                <w:sz w:val="18"/>
                <w:szCs w:val="18"/>
              </w:rPr>
            </w:pPr>
            <w:r w:rsidRPr="003B4F95">
              <w:rPr>
                <w:rFonts w:ascii="Verdana" w:hAnsi="Verdana"/>
                <w:b/>
                <w:color w:val="000000"/>
                <w:sz w:val="18"/>
                <w:szCs w:val="18"/>
              </w:rPr>
              <w:t>Totals</w:t>
            </w:r>
          </w:p>
        </w:tc>
        <w:tc>
          <w:tcPr>
            <w:tcW w:w="993" w:type="dxa"/>
            <w:shd w:val="clear" w:color="auto" w:fill="auto"/>
            <w:vAlign w:val="center"/>
          </w:tcPr>
          <w:p w14:paraId="6B0F4F35" w14:textId="38917732" w:rsidR="003C4C24" w:rsidRPr="003B4F95" w:rsidRDefault="003C4C24" w:rsidP="00D74A04">
            <w:pPr>
              <w:spacing w:before="40" w:after="60" w:line="320" w:lineRule="atLeast"/>
              <w:jc w:val="center"/>
              <w:rPr>
                <w:rFonts w:ascii="Verdana" w:hAnsi="Verdana"/>
                <w:b/>
                <w:color w:val="000000"/>
                <w:sz w:val="18"/>
                <w:szCs w:val="18"/>
              </w:rPr>
            </w:pPr>
            <w:r>
              <w:rPr>
                <w:rFonts w:ascii="Verdana" w:hAnsi="Verdana"/>
                <w:b/>
                <w:color w:val="000000"/>
                <w:sz w:val="18"/>
                <w:szCs w:val="18"/>
              </w:rPr>
              <w:t>8</w:t>
            </w:r>
            <w:r w:rsidR="008214E0">
              <w:rPr>
                <w:rFonts w:ascii="Verdana" w:hAnsi="Verdana"/>
                <w:b/>
                <w:color w:val="000000"/>
                <w:sz w:val="18"/>
                <w:szCs w:val="18"/>
              </w:rPr>
              <w:t>9</w:t>
            </w:r>
          </w:p>
        </w:tc>
        <w:tc>
          <w:tcPr>
            <w:tcW w:w="992" w:type="dxa"/>
            <w:shd w:val="clear" w:color="auto" w:fill="auto"/>
            <w:vAlign w:val="center"/>
          </w:tcPr>
          <w:p w14:paraId="455EA608" w14:textId="0CEBD20D" w:rsidR="003C4C24" w:rsidRPr="003B4F95" w:rsidRDefault="003C4C24" w:rsidP="00D74A04">
            <w:pPr>
              <w:spacing w:before="40" w:after="60" w:line="320" w:lineRule="atLeast"/>
              <w:jc w:val="center"/>
              <w:rPr>
                <w:rFonts w:ascii="Verdana" w:hAnsi="Verdana"/>
                <w:b/>
                <w:color w:val="000000"/>
                <w:sz w:val="18"/>
                <w:szCs w:val="18"/>
              </w:rPr>
            </w:pPr>
            <w:r>
              <w:rPr>
                <w:rFonts w:ascii="Verdana" w:hAnsi="Verdana"/>
                <w:b/>
                <w:color w:val="000000"/>
                <w:sz w:val="18"/>
                <w:szCs w:val="18"/>
              </w:rPr>
              <w:t>8</w:t>
            </w:r>
            <w:r w:rsidR="008214E0">
              <w:rPr>
                <w:rFonts w:ascii="Verdana" w:hAnsi="Verdana"/>
                <w:b/>
                <w:color w:val="000000"/>
                <w:sz w:val="18"/>
                <w:szCs w:val="18"/>
              </w:rPr>
              <w:t>1</w:t>
            </w:r>
          </w:p>
        </w:tc>
        <w:tc>
          <w:tcPr>
            <w:tcW w:w="1417" w:type="dxa"/>
            <w:vAlign w:val="center"/>
          </w:tcPr>
          <w:p w14:paraId="5B146289" w14:textId="63E77E89" w:rsidR="003C4C24" w:rsidRPr="003B4F95" w:rsidRDefault="004545BB" w:rsidP="00D74A04">
            <w:pPr>
              <w:spacing w:before="40" w:after="60" w:line="320" w:lineRule="atLeast"/>
              <w:jc w:val="right"/>
              <w:rPr>
                <w:rFonts w:ascii="Verdana" w:hAnsi="Verdana"/>
                <w:b/>
                <w:color w:val="000000"/>
                <w:sz w:val="18"/>
                <w:szCs w:val="18"/>
              </w:rPr>
            </w:pPr>
            <w:r>
              <w:rPr>
                <w:rFonts w:ascii="Verdana" w:hAnsi="Verdana"/>
                <w:b/>
                <w:color w:val="000000"/>
                <w:sz w:val="18"/>
                <w:szCs w:val="18"/>
              </w:rPr>
              <w:t>1</w:t>
            </w:r>
            <w:r w:rsidR="008214E0">
              <w:rPr>
                <w:rFonts w:ascii="Verdana" w:hAnsi="Verdana"/>
                <w:b/>
                <w:color w:val="000000"/>
                <w:sz w:val="18"/>
                <w:szCs w:val="18"/>
              </w:rPr>
              <w:t>09</w:t>
            </w:r>
            <w:r>
              <w:rPr>
                <w:rFonts w:ascii="Verdana" w:hAnsi="Verdana"/>
                <w:b/>
                <w:color w:val="000000"/>
                <w:sz w:val="18"/>
                <w:szCs w:val="18"/>
              </w:rPr>
              <w:t> </w:t>
            </w:r>
            <w:r w:rsidR="008214E0">
              <w:rPr>
                <w:rFonts w:ascii="Verdana" w:hAnsi="Verdana"/>
                <w:b/>
                <w:color w:val="000000"/>
                <w:sz w:val="18"/>
                <w:szCs w:val="18"/>
              </w:rPr>
              <w:t>8</w:t>
            </w:r>
            <w:r>
              <w:rPr>
                <w:rFonts w:ascii="Verdana" w:hAnsi="Verdana"/>
                <w:b/>
                <w:color w:val="000000"/>
                <w:sz w:val="18"/>
                <w:szCs w:val="18"/>
              </w:rPr>
              <w:t>0</w:t>
            </w:r>
            <w:r w:rsidR="008214E0">
              <w:rPr>
                <w:rFonts w:ascii="Verdana" w:hAnsi="Verdana"/>
                <w:b/>
                <w:color w:val="000000"/>
                <w:sz w:val="18"/>
                <w:szCs w:val="18"/>
              </w:rPr>
              <w:t>6</w:t>
            </w:r>
            <w:r>
              <w:rPr>
                <w:rFonts w:ascii="Verdana" w:hAnsi="Verdana"/>
                <w:b/>
                <w:color w:val="000000"/>
                <w:sz w:val="18"/>
                <w:szCs w:val="18"/>
              </w:rPr>
              <w:t>,</w:t>
            </w:r>
            <w:r w:rsidR="008214E0">
              <w:rPr>
                <w:rFonts w:ascii="Verdana" w:hAnsi="Verdana"/>
                <w:b/>
                <w:color w:val="000000"/>
                <w:sz w:val="18"/>
                <w:szCs w:val="18"/>
              </w:rPr>
              <w:t>3</w:t>
            </w:r>
          </w:p>
        </w:tc>
        <w:tc>
          <w:tcPr>
            <w:tcW w:w="1418" w:type="dxa"/>
            <w:vAlign w:val="center"/>
          </w:tcPr>
          <w:p w14:paraId="3815159C" w14:textId="3D0924E9" w:rsidR="003C4C24" w:rsidRPr="003B4F95" w:rsidRDefault="004545BB" w:rsidP="00D74A04">
            <w:pPr>
              <w:spacing w:before="40" w:after="60" w:line="320" w:lineRule="atLeast"/>
              <w:jc w:val="right"/>
              <w:rPr>
                <w:rFonts w:ascii="Verdana" w:hAnsi="Verdana"/>
                <w:b/>
                <w:color w:val="000000"/>
                <w:sz w:val="18"/>
                <w:szCs w:val="18"/>
              </w:rPr>
            </w:pPr>
            <w:r>
              <w:rPr>
                <w:rFonts w:ascii="Verdana" w:hAnsi="Verdana"/>
                <w:b/>
                <w:color w:val="000000"/>
                <w:sz w:val="18"/>
                <w:szCs w:val="18"/>
              </w:rPr>
              <w:t>1</w:t>
            </w:r>
            <w:r w:rsidR="008214E0">
              <w:rPr>
                <w:rFonts w:ascii="Verdana" w:hAnsi="Verdana"/>
                <w:b/>
                <w:color w:val="000000"/>
                <w:sz w:val="18"/>
                <w:szCs w:val="18"/>
              </w:rPr>
              <w:t>2</w:t>
            </w:r>
            <w:r>
              <w:rPr>
                <w:rFonts w:ascii="Verdana" w:hAnsi="Verdana"/>
                <w:b/>
                <w:color w:val="000000"/>
                <w:sz w:val="18"/>
                <w:szCs w:val="18"/>
              </w:rPr>
              <w:t> </w:t>
            </w:r>
            <w:r w:rsidR="008214E0">
              <w:rPr>
                <w:rFonts w:ascii="Verdana" w:hAnsi="Verdana"/>
                <w:b/>
                <w:color w:val="000000"/>
                <w:sz w:val="18"/>
                <w:szCs w:val="18"/>
              </w:rPr>
              <w:t>761</w:t>
            </w:r>
            <w:r>
              <w:rPr>
                <w:rFonts w:ascii="Verdana" w:hAnsi="Verdana"/>
                <w:b/>
                <w:color w:val="000000"/>
                <w:sz w:val="18"/>
                <w:szCs w:val="18"/>
              </w:rPr>
              <w:t>,</w:t>
            </w:r>
            <w:r w:rsidR="008214E0">
              <w:rPr>
                <w:rFonts w:ascii="Verdana" w:hAnsi="Verdana"/>
                <w:b/>
                <w:color w:val="000000"/>
                <w:sz w:val="18"/>
                <w:szCs w:val="18"/>
              </w:rPr>
              <w:t>4</w:t>
            </w:r>
          </w:p>
        </w:tc>
        <w:tc>
          <w:tcPr>
            <w:tcW w:w="1843" w:type="dxa"/>
            <w:vAlign w:val="center"/>
          </w:tcPr>
          <w:p w14:paraId="1BEAD478" w14:textId="619DEA6C" w:rsidR="003C4C24" w:rsidRPr="003B4F95" w:rsidRDefault="008214E0" w:rsidP="00D74A04">
            <w:pPr>
              <w:spacing w:before="40" w:after="60" w:line="320" w:lineRule="atLeast"/>
              <w:jc w:val="right"/>
              <w:rPr>
                <w:rFonts w:ascii="Verdana" w:hAnsi="Verdana"/>
                <w:b/>
                <w:color w:val="000000"/>
                <w:sz w:val="18"/>
                <w:szCs w:val="18"/>
              </w:rPr>
            </w:pPr>
            <w:r>
              <w:rPr>
                <w:rFonts w:ascii="Verdana" w:hAnsi="Verdana"/>
                <w:b/>
                <w:color w:val="000000"/>
                <w:sz w:val="18"/>
                <w:szCs w:val="18"/>
              </w:rPr>
              <w:t>122 567,7</w:t>
            </w:r>
          </w:p>
        </w:tc>
      </w:tr>
      <w:tr w:rsidR="003C4C24" w:rsidRPr="00C33973" w14:paraId="7434251C" w14:textId="77777777" w:rsidTr="001C1A83">
        <w:trPr>
          <w:trHeight w:val="217"/>
        </w:trPr>
        <w:tc>
          <w:tcPr>
            <w:tcW w:w="850" w:type="dxa"/>
            <w:gridSpan w:val="2"/>
            <w:tcBorders>
              <w:right w:val="nil"/>
            </w:tcBorders>
            <w:shd w:val="clear" w:color="auto" w:fill="auto"/>
            <w:vAlign w:val="center"/>
          </w:tcPr>
          <w:p w14:paraId="7D2CBC01" w14:textId="77777777" w:rsidR="003C4C24" w:rsidRPr="000435BE" w:rsidRDefault="003C4C24" w:rsidP="003C4C24">
            <w:pPr>
              <w:spacing w:after="40" w:line="280" w:lineRule="atLeast"/>
              <w:rPr>
                <w:rFonts w:ascii="Verdana" w:hAnsi="Verdana"/>
                <w:i/>
                <w:color w:val="000000"/>
                <w:sz w:val="14"/>
                <w:szCs w:val="14"/>
              </w:rPr>
            </w:pPr>
            <w:r w:rsidRPr="000435BE">
              <w:rPr>
                <w:rFonts w:ascii="Verdana" w:hAnsi="Verdana"/>
                <w:i/>
                <w:color w:val="000000"/>
                <w:sz w:val="14"/>
                <w:szCs w:val="14"/>
              </w:rPr>
              <w:t>Source:</w:t>
            </w:r>
          </w:p>
        </w:tc>
        <w:tc>
          <w:tcPr>
            <w:tcW w:w="8364" w:type="dxa"/>
            <w:gridSpan w:val="6"/>
            <w:tcBorders>
              <w:left w:val="nil"/>
            </w:tcBorders>
            <w:shd w:val="clear" w:color="auto" w:fill="auto"/>
            <w:vAlign w:val="center"/>
          </w:tcPr>
          <w:p w14:paraId="38356A19" w14:textId="2F020426" w:rsidR="003C4C24" w:rsidRPr="00573EA2" w:rsidRDefault="003C4C24" w:rsidP="003C4C24">
            <w:pPr>
              <w:spacing w:after="40" w:line="280" w:lineRule="atLeast"/>
              <w:rPr>
                <w:rFonts w:ascii="Verdana" w:hAnsi="Verdana"/>
                <w:i/>
                <w:color w:val="000000"/>
                <w:sz w:val="14"/>
                <w:szCs w:val="14"/>
                <w:lang w:val="it-IT"/>
              </w:rPr>
            </w:pPr>
            <w:r w:rsidRPr="00573EA2">
              <w:rPr>
                <w:rFonts w:ascii="Verdana" w:hAnsi="Verdana"/>
                <w:i/>
                <w:color w:val="000000"/>
                <w:sz w:val="14"/>
                <w:szCs w:val="14"/>
                <w:lang w:val="it-IT"/>
              </w:rPr>
              <w:t>etfSA.co.za / JSE / Profile Data (3</w:t>
            </w:r>
            <w:r w:rsidR="008214E0">
              <w:rPr>
                <w:rFonts w:ascii="Verdana" w:hAnsi="Verdana"/>
                <w:i/>
                <w:color w:val="000000"/>
                <w:sz w:val="14"/>
                <w:szCs w:val="14"/>
                <w:lang w:val="it-IT"/>
              </w:rPr>
              <w:t>0</w:t>
            </w:r>
            <w:r w:rsidRPr="00573EA2">
              <w:rPr>
                <w:rFonts w:ascii="Verdana" w:hAnsi="Verdana"/>
                <w:i/>
                <w:color w:val="000000"/>
                <w:sz w:val="14"/>
                <w:szCs w:val="14"/>
                <w:lang w:val="it-IT"/>
              </w:rPr>
              <w:t>/</w:t>
            </w:r>
            <w:r w:rsidR="008214E0">
              <w:rPr>
                <w:rFonts w:ascii="Verdana" w:hAnsi="Verdana"/>
                <w:i/>
                <w:color w:val="000000"/>
                <w:sz w:val="14"/>
                <w:szCs w:val="14"/>
                <w:lang w:val="it-IT"/>
              </w:rPr>
              <w:t>6</w:t>
            </w:r>
            <w:r w:rsidRPr="00573EA2">
              <w:rPr>
                <w:rFonts w:ascii="Verdana" w:hAnsi="Verdana"/>
                <w:i/>
                <w:color w:val="000000"/>
                <w:sz w:val="14"/>
                <w:szCs w:val="14"/>
                <w:lang w:val="it-IT"/>
              </w:rPr>
              <w:t>/202</w:t>
            </w:r>
            <w:r>
              <w:rPr>
                <w:rFonts w:ascii="Verdana" w:hAnsi="Verdana"/>
                <w:i/>
                <w:color w:val="000000"/>
                <w:sz w:val="14"/>
                <w:szCs w:val="14"/>
                <w:lang w:val="it-IT"/>
              </w:rPr>
              <w:t>2</w:t>
            </w:r>
            <w:r w:rsidRPr="00573EA2">
              <w:rPr>
                <w:rFonts w:ascii="Verdana" w:hAnsi="Verdana"/>
                <w:i/>
                <w:color w:val="000000"/>
                <w:sz w:val="14"/>
                <w:szCs w:val="14"/>
                <w:lang w:val="it-IT"/>
              </w:rPr>
              <w:t xml:space="preserve">). </w:t>
            </w:r>
          </w:p>
        </w:tc>
      </w:tr>
    </w:tbl>
    <w:p w14:paraId="422DC805" w14:textId="77777777" w:rsidR="00FC7926" w:rsidRDefault="00FC7926" w:rsidP="00FC7926">
      <w:pPr>
        <w:spacing w:after="0" w:line="360" w:lineRule="atLeast"/>
        <w:jc w:val="both"/>
        <w:rPr>
          <w:rFonts w:ascii="Verdana" w:hAnsi="Verdana"/>
          <w:color w:val="000000"/>
          <w:sz w:val="21"/>
          <w:szCs w:val="21"/>
          <w:lang w:val="it-IT"/>
        </w:rPr>
      </w:pPr>
    </w:p>
    <w:p w14:paraId="55CCDAF5" w14:textId="77777777" w:rsidR="00561B5C" w:rsidRDefault="00561B5C" w:rsidP="00FC7926">
      <w:pPr>
        <w:spacing w:after="0" w:line="340" w:lineRule="atLeast"/>
        <w:rPr>
          <w:rFonts w:ascii="Verdana" w:hAnsi="Verdana"/>
          <w:b/>
          <w:bCs/>
          <w:color w:val="000000"/>
          <w:sz w:val="21"/>
          <w:szCs w:val="21"/>
        </w:rPr>
      </w:pPr>
    </w:p>
    <w:p w14:paraId="7BE71D5E" w14:textId="5B794159" w:rsidR="00FC7926" w:rsidRDefault="00FC7926" w:rsidP="00FC7926">
      <w:pPr>
        <w:spacing w:after="0" w:line="340" w:lineRule="atLeast"/>
        <w:rPr>
          <w:rFonts w:ascii="Verdana" w:hAnsi="Verdana"/>
          <w:color w:val="000000"/>
          <w:sz w:val="21"/>
          <w:szCs w:val="21"/>
        </w:rPr>
      </w:pPr>
      <w:r w:rsidRPr="003E6D07">
        <w:rPr>
          <w:rFonts w:ascii="Verdana" w:hAnsi="Verdana"/>
          <w:b/>
          <w:bCs/>
          <w:color w:val="000000"/>
          <w:sz w:val="21"/>
          <w:szCs w:val="21"/>
        </w:rPr>
        <w:t>Satrix Managers</w:t>
      </w:r>
      <w:r w:rsidRPr="003E6D07">
        <w:rPr>
          <w:rFonts w:ascii="Verdana" w:hAnsi="Verdana"/>
          <w:color w:val="000000"/>
          <w:sz w:val="21"/>
          <w:szCs w:val="21"/>
        </w:rPr>
        <w:t xml:space="preserve"> –</w:t>
      </w:r>
      <w:r>
        <w:rPr>
          <w:rFonts w:ascii="Verdana" w:hAnsi="Verdana"/>
          <w:color w:val="000000"/>
          <w:sz w:val="21"/>
          <w:szCs w:val="21"/>
        </w:rPr>
        <w:t xml:space="preserve"> remains the largest issuer of ETFs in South Africa, with a total market capitalisation of R34,7 billion and with 25 ETF products in issue covering global equity markets, global bonds, South African equities and bonds, as well as thematic ETFs. </w:t>
      </w:r>
    </w:p>
    <w:p w14:paraId="6C5EA771" w14:textId="77777777" w:rsidR="00FC7926" w:rsidRDefault="00FC7926" w:rsidP="00FC7926">
      <w:pPr>
        <w:spacing w:after="0" w:line="340" w:lineRule="atLeast"/>
        <w:jc w:val="both"/>
        <w:rPr>
          <w:rFonts w:ascii="Verdana" w:hAnsi="Verdana"/>
          <w:color w:val="000000"/>
          <w:sz w:val="21"/>
          <w:szCs w:val="21"/>
        </w:rPr>
      </w:pPr>
    </w:p>
    <w:p w14:paraId="064A837B" w14:textId="715F3344" w:rsidR="00FC7926" w:rsidRDefault="00FC7926" w:rsidP="00FC7926">
      <w:pPr>
        <w:spacing w:after="0" w:line="340" w:lineRule="atLeast"/>
        <w:jc w:val="both"/>
        <w:rPr>
          <w:rFonts w:ascii="Verdana" w:hAnsi="Verdana"/>
          <w:color w:val="000000"/>
          <w:sz w:val="21"/>
          <w:szCs w:val="21"/>
        </w:rPr>
      </w:pPr>
      <w:r>
        <w:rPr>
          <w:rFonts w:ascii="Verdana" w:hAnsi="Verdana"/>
          <w:color w:val="000000"/>
          <w:sz w:val="21"/>
          <w:szCs w:val="21"/>
        </w:rPr>
        <w:t>The latest ETF issued by Satrix</w:t>
      </w:r>
      <w:r>
        <w:rPr>
          <w:rFonts w:ascii="Verdana" w:hAnsi="Verdana"/>
          <w:color w:val="000000"/>
          <w:sz w:val="21"/>
          <w:szCs w:val="21"/>
        </w:rPr>
        <w:t>,</w:t>
      </w:r>
      <w:r>
        <w:rPr>
          <w:rFonts w:ascii="Verdana" w:hAnsi="Verdana"/>
          <w:color w:val="000000"/>
          <w:sz w:val="21"/>
          <w:szCs w:val="21"/>
        </w:rPr>
        <w:t xml:space="preserve"> the Satrix Healthcare Innovation Feeder ETF, was listed on 26 May 2022.  This product tracks the STOXX Global Breakthrough Healthcare Index, which covers global companies focussing on healthcare innovation.  Over 70% of the companies in the index are based in the United States, but there is a good selection of other companies from emerging as well as developed countries covered by this ETF. </w:t>
      </w:r>
    </w:p>
    <w:p w14:paraId="5E4443BA" w14:textId="13005D43" w:rsidR="00FC7926" w:rsidRDefault="00FC7926" w:rsidP="00FC7926">
      <w:pPr>
        <w:spacing w:after="0" w:line="340" w:lineRule="atLeast"/>
        <w:jc w:val="both"/>
        <w:rPr>
          <w:rFonts w:ascii="Verdana" w:hAnsi="Verdana"/>
          <w:color w:val="000000"/>
          <w:sz w:val="21"/>
          <w:szCs w:val="21"/>
        </w:rPr>
      </w:pPr>
    </w:p>
    <w:p w14:paraId="656631FC" w14:textId="77777777" w:rsidR="00FC7926" w:rsidRDefault="00FC7926" w:rsidP="00FC7926">
      <w:pPr>
        <w:spacing w:after="0" w:line="340" w:lineRule="atLeast"/>
        <w:jc w:val="both"/>
        <w:rPr>
          <w:rFonts w:ascii="Verdana" w:hAnsi="Verdana"/>
          <w:color w:val="000000"/>
          <w:sz w:val="21"/>
          <w:szCs w:val="21"/>
        </w:rPr>
      </w:pPr>
      <w:r w:rsidRPr="00944E04">
        <w:rPr>
          <w:rFonts w:ascii="Verdana" w:hAnsi="Verdana"/>
          <w:b/>
          <w:bCs/>
          <w:color w:val="000000"/>
          <w:sz w:val="21"/>
          <w:szCs w:val="21"/>
        </w:rPr>
        <w:t>Sygnia Itrix</w:t>
      </w:r>
      <w:r w:rsidRPr="00944E04">
        <w:rPr>
          <w:rFonts w:ascii="Verdana" w:hAnsi="Verdana"/>
          <w:color w:val="000000"/>
          <w:sz w:val="21"/>
          <w:szCs w:val="21"/>
        </w:rPr>
        <w:t xml:space="preserve"> – has consolidated it</w:t>
      </w:r>
      <w:r>
        <w:rPr>
          <w:rFonts w:ascii="Verdana" w:hAnsi="Verdana"/>
          <w:color w:val="000000"/>
          <w:sz w:val="21"/>
          <w:szCs w:val="21"/>
        </w:rPr>
        <w:t xml:space="preserve">s position, ahead of Absa Capital as the second largest issuer of ETFs, with a total market capitalisation of R30,3 billion, covered by 14 ETFs. </w:t>
      </w:r>
    </w:p>
    <w:p w14:paraId="1C98764D" w14:textId="77777777" w:rsidR="00FC7926" w:rsidRDefault="00FC7926" w:rsidP="00FC7926">
      <w:pPr>
        <w:spacing w:after="0" w:line="340" w:lineRule="atLeast"/>
        <w:jc w:val="both"/>
        <w:rPr>
          <w:rFonts w:ascii="Verdana" w:hAnsi="Verdana"/>
          <w:color w:val="000000"/>
          <w:sz w:val="21"/>
          <w:szCs w:val="21"/>
        </w:rPr>
      </w:pPr>
    </w:p>
    <w:p w14:paraId="1FFF3513" w14:textId="0F3373EA" w:rsidR="00FC7926" w:rsidRPr="00944E04" w:rsidRDefault="00FC7926" w:rsidP="00FC7926">
      <w:pPr>
        <w:spacing w:after="0" w:line="340" w:lineRule="atLeast"/>
        <w:jc w:val="both"/>
        <w:rPr>
          <w:rFonts w:ascii="Verdana" w:hAnsi="Verdana"/>
          <w:color w:val="000000"/>
          <w:sz w:val="21"/>
          <w:szCs w:val="21"/>
        </w:rPr>
      </w:pPr>
      <w:r>
        <w:rPr>
          <w:rFonts w:ascii="Verdana" w:hAnsi="Verdana"/>
          <w:color w:val="000000"/>
          <w:sz w:val="21"/>
          <w:szCs w:val="21"/>
        </w:rPr>
        <w:t xml:space="preserve">Sygnia Itrix listed the latest of its themed ETFs on 20 April 2022, the Sygnia Itrix New China Sectors ETF.  This ETF tracks companies domiciled in China or Hong Kong that </w:t>
      </w:r>
      <w:r>
        <w:rPr>
          <w:rFonts w:ascii="Verdana" w:hAnsi="Verdana"/>
          <w:color w:val="000000"/>
          <w:sz w:val="21"/>
          <w:szCs w:val="21"/>
        </w:rPr>
        <w:t>focus on</w:t>
      </w:r>
      <w:r>
        <w:rPr>
          <w:rFonts w:ascii="Verdana" w:hAnsi="Verdana"/>
          <w:color w:val="000000"/>
          <w:sz w:val="21"/>
          <w:szCs w:val="21"/>
        </w:rPr>
        <w:t xml:space="preserve"> services and retail c</w:t>
      </w:r>
      <w:r>
        <w:rPr>
          <w:rFonts w:ascii="Verdana" w:hAnsi="Verdana"/>
          <w:color w:val="000000"/>
          <w:sz w:val="21"/>
          <w:szCs w:val="21"/>
        </w:rPr>
        <w:t xml:space="preserve">onsumer </w:t>
      </w:r>
      <w:r>
        <w:rPr>
          <w:rFonts w:ascii="Verdana" w:hAnsi="Verdana"/>
          <w:color w:val="000000"/>
          <w:sz w:val="21"/>
          <w:szCs w:val="21"/>
        </w:rPr>
        <w:t xml:space="preserve">industries.  This objective varies from the usual focus on high-tech companies listed in China.  The S&amp;P New China Sectors ETF attracted capital of R171,5 million during the listing process and adds an interesting option for diversified portfolios. </w:t>
      </w:r>
    </w:p>
    <w:p w14:paraId="10068698" w14:textId="77777777" w:rsidR="00FC7926" w:rsidRPr="00FC7926" w:rsidRDefault="00FC7926" w:rsidP="00DD5A08">
      <w:pPr>
        <w:spacing w:after="120" w:line="320" w:lineRule="atLeast"/>
        <w:jc w:val="both"/>
        <w:rPr>
          <w:rFonts w:ascii="Verdana" w:hAnsi="Verdana"/>
          <w:color w:val="000000"/>
          <w:sz w:val="21"/>
          <w:szCs w:val="21"/>
        </w:rPr>
      </w:pPr>
    </w:p>
    <w:p w14:paraId="65C9C319" w14:textId="02309172" w:rsidR="003E6D07" w:rsidRDefault="00D74A04" w:rsidP="00FC7926">
      <w:pPr>
        <w:rPr>
          <w:rFonts w:ascii="Verdana" w:hAnsi="Verdana"/>
          <w:color w:val="000000"/>
          <w:sz w:val="21"/>
          <w:szCs w:val="21"/>
        </w:rPr>
      </w:pPr>
      <w:r w:rsidRPr="00FC7926">
        <w:rPr>
          <w:rFonts w:ascii="Verdana" w:hAnsi="Verdana"/>
          <w:color w:val="000000"/>
          <w:sz w:val="21"/>
          <w:szCs w:val="21"/>
        </w:rPr>
        <w:br w:type="page"/>
      </w:r>
    </w:p>
    <w:p w14:paraId="71C3F41F" w14:textId="374D20F9" w:rsidR="00D85866" w:rsidRPr="00944E04" w:rsidRDefault="00D85866" w:rsidP="00A9509E">
      <w:pPr>
        <w:spacing w:after="0" w:line="360" w:lineRule="atLeast"/>
        <w:jc w:val="both"/>
        <w:rPr>
          <w:rFonts w:ascii="Verdana" w:hAnsi="Verdana"/>
          <w:color w:val="000000"/>
          <w:sz w:val="21"/>
          <w:szCs w:val="21"/>
        </w:rPr>
      </w:pPr>
    </w:p>
    <w:p w14:paraId="33E0BBA6" w14:textId="136708EA" w:rsidR="00D85866" w:rsidRDefault="00944E04" w:rsidP="00A9509E">
      <w:pPr>
        <w:spacing w:after="0" w:line="360" w:lineRule="atLeast"/>
        <w:jc w:val="both"/>
        <w:rPr>
          <w:rFonts w:ascii="Verdana" w:hAnsi="Verdana"/>
          <w:color w:val="000000"/>
          <w:sz w:val="21"/>
          <w:szCs w:val="21"/>
        </w:rPr>
      </w:pPr>
      <w:r w:rsidRPr="00944E04">
        <w:rPr>
          <w:rFonts w:ascii="Verdana" w:hAnsi="Verdana"/>
          <w:b/>
          <w:bCs/>
          <w:color w:val="000000"/>
          <w:sz w:val="21"/>
          <w:szCs w:val="21"/>
        </w:rPr>
        <w:t>FNB</w:t>
      </w:r>
      <w:r w:rsidR="00D85866" w:rsidRPr="00944E04">
        <w:rPr>
          <w:rFonts w:ascii="Verdana" w:hAnsi="Verdana"/>
          <w:color w:val="000000"/>
          <w:sz w:val="21"/>
          <w:szCs w:val="21"/>
        </w:rPr>
        <w:t xml:space="preserve"> –</w:t>
      </w:r>
      <w:r w:rsidR="00043FCA" w:rsidRPr="00944E04">
        <w:rPr>
          <w:rFonts w:ascii="Verdana" w:hAnsi="Verdana"/>
          <w:color w:val="000000"/>
          <w:sz w:val="21"/>
          <w:szCs w:val="21"/>
        </w:rPr>
        <w:t xml:space="preserve"> </w:t>
      </w:r>
      <w:r w:rsidRPr="00944E04">
        <w:rPr>
          <w:rFonts w:ascii="Verdana" w:hAnsi="Verdana"/>
          <w:color w:val="000000"/>
          <w:sz w:val="21"/>
          <w:szCs w:val="21"/>
        </w:rPr>
        <w:t>First National Bank now has the most ETFs/ETNs li</w:t>
      </w:r>
      <w:r>
        <w:rPr>
          <w:rFonts w:ascii="Verdana" w:hAnsi="Verdana"/>
          <w:color w:val="000000"/>
          <w:sz w:val="21"/>
          <w:szCs w:val="21"/>
        </w:rPr>
        <w:t>s</w:t>
      </w:r>
      <w:r w:rsidRPr="00944E04">
        <w:rPr>
          <w:rFonts w:ascii="Verdana" w:hAnsi="Verdana"/>
          <w:color w:val="000000"/>
          <w:sz w:val="21"/>
          <w:szCs w:val="21"/>
        </w:rPr>
        <w:t xml:space="preserve">ted on the JSE, a total of 50 products, 42 of which are ETNs. </w:t>
      </w:r>
      <w:r>
        <w:rPr>
          <w:rFonts w:ascii="Verdana" w:hAnsi="Verdana"/>
          <w:color w:val="000000"/>
          <w:sz w:val="21"/>
          <w:szCs w:val="21"/>
        </w:rPr>
        <w:t xml:space="preserve"> </w:t>
      </w:r>
    </w:p>
    <w:p w14:paraId="72CDA9DC" w14:textId="56FA473E" w:rsidR="002867E2" w:rsidRDefault="002867E2" w:rsidP="00A9509E">
      <w:pPr>
        <w:spacing w:after="0" w:line="360" w:lineRule="atLeast"/>
        <w:jc w:val="both"/>
        <w:rPr>
          <w:rFonts w:ascii="Verdana" w:hAnsi="Verdana"/>
          <w:color w:val="000000"/>
          <w:sz w:val="21"/>
          <w:szCs w:val="21"/>
        </w:rPr>
      </w:pPr>
    </w:p>
    <w:p w14:paraId="5A8C0C22" w14:textId="4B939A1F" w:rsidR="002867E2" w:rsidRDefault="002867E2" w:rsidP="00A9509E">
      <w:pPr>
        <w:spacing w:after="0" w:line="360" w:lineRule="atLeast"/>
        <w:jc w:val="both"/>
        <w:rPr>
          <w:rFonts w:ascii="Verdana" w:hAnsi="Verdana"/>
          <w:color w:val="000000"/>
          <w:sz w:val="21"/>
          <w:szCs w:val="21"/>
        </w:rPr>
      </w:pPr>
      <w:r>
        <w:rPr>
          <w:rFonts w:ascii="Verdana" w:hAnsi="Verdana"/>
          <w:color w:val="000000"/>
          <w:sz w:val="21"/>
          <w:szCs w:val="21"/>
        </w:rPr>
        <w:t xml:space="preserve">The Exchange Traded Note range includes single stock ETNs issued on a variety of US companies and offers one of the optimal ways of accessing investment in such US companies with the convenience of trading through the JSE, without any foreign exchange control restrictions. </w:t>
      </w:r>
    </w:p>
    <w:p w14:paraId="788C8208" w14:textId="416566E4" w:rsidR="002867E2" w:rsidRDefault="002867E2" w:rsidP="00A9509E">
      <w:pPr>
        <w:spacing w:after="0" w:line="360" w:lineRule="atLeast"/>
        <w:jc w:val="both"/>
        <w:rPr>
          <w:rFonts w:ascii="Verdana" w:hAnsi="Verdana"/>
          <w:color w:val="000000"/>
          <w:sz w:val="21"/>
          <w:szCs w:val="21"/>
        </w:rPr>
      </w:pPr>
    </w:p>
    <w:p w14:paraId="6A290793" w14:textId="70B29BC1" w:rsidR="002867E2" w:rsidRPr="00944E04" w:rsidRDefault="002867E2" w:rsidP="00A9509E">
      <w:pPr>
        <w:spacing w:after="0" w:line="360" w:lineRule="atLeast"/>
        <w:jc w:val="both"/>
        <w:rPr>
          <w:rFonts w:ascii="Verdana" w:hAnsi="Verdana"/>
          <w:color w:val="000000"/>
          <w:sz w:val="21"/>
          <w:szCs w:val="21"/>
        </w:rPr>
      </w:pPr>
      <w:r>
        <w:rPr>
          <w:rFonts w:ascii="Verdana" w:hAnsi="Verdana"/>
          <w:color w:val="000000"/>
          <w:sz w:val="21"/>
          <w:szCs w:val="21"/>
        </w:rPr>
        <w:t xml:space="preserve">More recently, FNB have also included a range of index tracking ETNs providing access to themes not </w:t>
      </w:r>
      <w:r w:rsidR="00181E64">
        <w:rPr>
          <w:rFonts w:ascii="Verdana" w:hAnsi="Verdana"/>
          <w:color w:val="000000"/>
          <w:sz w:val="21"/>
          <w:szCs w:val="21"/>
        </w:rPr>
        <w:t xml:space="preserve">always </w:t>
      </w:r>
      <w:r>
        <w:rPr>
          <w:rFonts w:ascii="Verdana" w:hAnsi="Verdana"/>
          <w:color w:val="000000"/>
          <w:sz w:val="21"/>
          <w:szCs w:val="21"/>
        </w:rPr>
        <w:t xml:space="preserve">available in other products in the South African market. </w:t>
      </w:r>
    </w:p>
    <w:p w14:paraId="0281F5DD" w14:textId="4EC1CF51" w:rsidR="00043FCA" w:rsidRPr="00944E04" w:rsidRDefault="00043FCA" w:rsidP="00A9509E">
      <w:pPr>
        <w:spacing w:after="0" w:line="360" w:lineRule="atLeast"/>
        <w:jc w:val="both"/>
        <w:rPr>
          <w:rFonts w:ascii="Verdana" w:hAnsi="Verdana"/>
          <w:color w:val="000000"/>
          <w:sz w:val="21"/>
          <w:szCs w:val="21"/>
        </w:rPr>
      </w:pPr>
    </w:p>
    <w:p w14:paraId="7C3B3175" w14:textId="2F516353" w:rsidR="00043FCA" w:rsidRDefault="002867E2" w:rsidP="00A9509E">
      <w:pPr>
        <w:spacing w:after="0" w:line="360" w:lineRule="atLeast"/>
        <w:jc w:val="both"/>
        <w:rPr>
          <w:rFonts w:ascii="Verdana" w:hAnsi="Verdana"/>
          <w:color w:val="000000"/>
          <w:sz w:val="21"/>
          <w:szCs w:val="21"/>
        </w:rPr>
      </w:pPr>
      <w:r w:rsidRPr="002867E2">
        <w:rPr>
          <w:rFonts w:ascii="Verdana" w:hAnsi="Verdana"/>
          <w:b/>
          <w:bCs/>
          <w:color w:val="000000"/>
          <w:sz w:val="21"/>
          <w:szCs w:val="21"/>
        </w:rPr>
        <w:t>CoreShares</w:t>
      </w:r>
      <w:r w:rsidR="00043FCA" w:rsidRPr="002867E2">
        <w:rPr>
          <w:rFonts w:ascii="Verdana" w:hAnsi="Verdana"/>
          <w:color w:val="000000"/>
          <w:sz w:val="21"/>
          <w:szCs w:val="21"/>
        </w:rPr>
        <w:t xml:space="preserve"> – </w:t>
      </w:r>
      <w:r w:rsidRPr="002867E2">
        <w:rPr>
          <w:rFonts w:ascii="Verdana" w:hAnsi="Verdana"/>
          <w:color w:val="000000"/>
          <w:sz w:val="21"/>
          <w:szCs w:val="21"/>
        </w:rPr>
        <w:t xml:space="preserve">in May 2022, 10X Investments, an asset manager concentrating </w:t>
      </w:r>
      <w:r w:rsidR="00181E64">
        <w:rPr>
          <w:rFonts w:ascii="Verdana" w:hAnsi="Verdana"/>
          <w:color w:val="000000"/>
          <w:sz w:val="21"/>
          <w:szCs w:val="21"/>
        </w:rPr>
        <w:t>o</w:t>
      </w:r>
      <w:r w:rsidRPr="002867E2">
        <w:rPr>
          <w:rFonts w:ascii="Verdana" w:hAnsi="Verdana"/>
          <w:color w:val="000000"/>
          <w:sz w:val="21"/>
          <w:szCs w:val="21"/>
        </w:rPr>
        <w:t>n pass</w:t>
      </w:r>
      <w:r>
        <w:rPr>
          <w:rFonts w:ascii="Verdana" w:hAnsi="Verdana"/>
          <w:color w:val="000000"/>
          <w:sz w:val="21"/>
          <w:szCs w:val="21"/>
        </w:rPr>
        <w:t xml:space="preserve">ive investment solutions, mainly for retirement funds, announced a purchase of 100% of the shareholding of CoreShares. </w:t>
      </w:r>
    </w:p>
    <w:p w14:paraId="3DAEC1FC" w14:textId="7454C2ED" w:rsidR="0067088C" w:rsidRDefault="0067088C" w:rsidP="00A9509E">
      <w:pPr>
        <w:spacing w:after="0" w:line="360" w:lineRule="atLeast"/>
        <w:jc w:val="both"/>
        <w:rPr>
          <w:rFonts w:ascii="Verdana" w:hAnsi="Verdana"/>
          <w:color w:val="000000"/>
          <w:sz w:val="21"/>
          <w:szCs w:val="21"/>
        </w:rPr>
      </w:pPr>
    </w:p>
    <w:p w14:paraId="72C6EAE4" w14:textId="78AE4F74" w:rsidR="0067088C" w:rsidRPr="002867E2" w:rsidRDefault="0067088C" w:rsidP="00A9509E">
      <w:pPr>
        <w:spacing w:after="0" w:line="360" w:lineRule="atLeast"/>
        <w:jc w:val="both"/>
        <w:rPr>
          <w:rFonts w:ascii="Verdana" w:hAnsi="Verdana"/>
          <w:color w:val="000000"/>
          <w:sz w:val="21"/>
          <w:szCs w:val="21"/>
        </w:rPr>
      </w:pPr>
      <w:r>
        <w:rPr>
          <w:rFonts w:ascii="Verdana" w:hAnsi="Verdana"/>
          <w:color w:val="000000"/>
          <w:sz w:val="21"/>
          <w:szCs w:val="21"/>
        </w:rPr>
        <w:t>CoreShares is a well-established brand in the ETF market, with 9 ETFs in issue accounting for a market capitalisation of R5 32</w:t>
      </w:r>
      <w:r w:rsidR="00181E64">
        <w:rPr>
          <w:rFonts w:ascii="Verdana" w:hAnsi="Verdana"/>
          <w:color w:val="000000"/>
          <w:sz w:val="21"/>
          <w:szCs w:val="21"/>
        </w:rPr>
        <w:t>3</w:t>
      </w:r>
      <w:r>
        <w:rPr>
          <w:rFonts w:ascii="Verdana" w:hAnsi="Verdana"/>
          <w:color w:val="000000"/>
          <w:sz w:val="21"/>
          <w:szCs w:val="21"/>
        </w:rPr>
        <w:t xml:space="preserve"> million.  The </w:t>
      </w:r>
      <w:r w:rsidR="000542DC">
        <w:rPr>
          <w:rFonts w:ascii="Verdana" w:hAnsi="Verdana"/>
          <w:color w:val="000000"/>
          <w:sz w:val="21"/>
          <w:szCs w:val="21"/>
        </w:rPr>
        <w:t>consolidated</w:t>
      </w:r>
      <w:r>
        <w:rPr>
          <w:rFonts w:ascii="Verdana" w:hAnsi="Verdana"/>
          <w:color w:val="000000"/>
          <w:sz w:val="21"/>
          <w:szCs w:val="21"/>
        </w:rPr>
        <w:t xml:space="preserve"> 10X/</w:t>
      </w:r>
      <w:r w:rsidR="000542DC">
        <w:rPr>
          <w:rFonts w:ascii="Verdana" w:hAnsi="Verdana"/>
          <w:color w:val="000000"/>
          <w:sz w:val="21"/>
          <w:szCs w:val="21"/>
        </w:rPr>
        <w:t>CoreShares</w:t>
      </w:r>
      <w:r>
        <w:rPr>
          <w:rFonts w:ascii="Verdana" w:hAnsi="Verdana"/>
          <w:color w:val="000000"/>
          <w:sz w:val="21"/>
          <w:szCs w:val="21"/>
        </w:rPr>
        <w:t xml:space="preserve"> business should introduce a welcome new c</w:t>
      </w:r>
      <w:r w:rsidR="00181E64">
        <w:rPr>
          <w:rFonts w:ascii="Verdana" w:hAnsi="Verdana"/>
          <w:color w:val="000000"/>
          <w:sz w:val="21"/>
          <w:szCs w:val="21"/>
        </w:rPr>
        <w:t xml:space="preserve">ompetitive </w:t>
      </w:r>
      <w:r>
        <w:rPr>
          <w:rFonts w:ascii="Verdana" w:hAnsi="Verdana"/>
          <w:color w:val="000000"/>
          <w:sz w:val="21"/>
          <w:szCs w:val="21"/>
        </w:rPr>
        <w:t xml:space="preserve">brand to the local ETF industry and future developments will be followed with interest. </w:t>
      </w:r>
    </w:p>
    <w:p w14:paraId="72B999CB" w14:textId="03CD946E" w:rsidR="008468F3" w:rsidRDefault="00636507" w:rsidP="00FA51FA">
      <w:pPr>
        <w:spacing w:after="0" w:line="360" w:lineRule="atLeast"/>
        <w:rPr>
          <w:rFonts w:ascii="Verdana" w:hAnsi="Verdana"/>
          <w:color w:val="000000"/>
          <w:sz w:val="21"/>
          <w:szCs w:val="21"/>
        </w:rPr>
      </w:pPr>
      <w:r>
        <w:rPr>
          <w:rFonts w:ascii="Verdana" w:hAnsi="Verdana"/>
          <w:noProof/>
          <w:color w:val="000000"/>
          <w:sz w:val="21"/>
          <w:szCs w:val="21"/>
        </w:rPr>
        <mc:AlternateContent>
          <mc:Choice Requires="wps">
            <w:drawing>
              <wp:anchor distT="0" distB="0" distL="114300" distR="114300" simplePos="0" relativeHeight="251659264" behindDoc="0" locked="0" layoutInCell="1" allowOverlap="1" wp14:anchorId="00C403B3" wp14:editId="07A737B8">
                <wp:simplePos x="0" y="0"/>
                <wp:positionH relativeFrom="column">
                  <wp:posOffset>80010</wp:posOffset>
                </wp:positionH>
                <wp:positionV relativeFrom="paragraph">
                  <wp:posOffset>227965</wp:posOffset>
                </wp:positionV>
                <wp:extent cx="6070600"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6070600" cy="0"/>
                        </a:xfrm>
                        <a:prstGeom prst="line">
                          <a:avLst/>
                        </a:prstGeom>
                        <a:ln w="12700">
                          <a:solidFill>
                            <a:srgbClr val="C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5D34546" id="Straight Connector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3pt,17.95pt" to="484.3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" strokecolor="#c00000" strokeweight="1pt">
                <v:stroke joinstyle="miter"/>
              </v:line>
            </w:pict>
          </mc:Fallback>
        </mc:AlternateContent>
      </w:r>
    </w:p>
    <w:p w14:paraId="655439B6" w14:textId="1BB8B992" w:rsidR="001B5446" w:rsidRDefault="001B5446" w:rsidP="00DD5A08">
      <w:pPr>
        <w:spacing w:after="0" w:line="320" w:lineRule="atLeast"/>
        <w:jc w:val="center"/>
        <w:rPr>
          <w:rFonts w:ascii="Verdana" w:hAnsi="Verdana"/>
          <w:color w:val="000000"/>
          <w:sz w:val="21"/>
          <w:szCs w:val="21"/>
        </w:rPr>
      </w:pPr>
    </w:p>
    <w:p w14:paraId="23B50BA3" w14:textId="77777777" w:rsidR="0067088C" w:rsidRDefault="0067088C" w:rsidP="00DD5A08">
      <w:pPr>
        <w:spacing w:after="0" w:line="320" w:lineRule="atLeast"/>
        <w:jc w:val="center"/>
        <w:rPr>
          <w:rFonts w:ascii="Verdana" w:hAnsi="Verdana"/>
          <w:color w:val="000000"/>
          <w:sz w:val="21"/>
          <w:szCs w:val="21"/>
        </w:rPr>
      </w:pPr>
    </w:p>
    <w:p w14:paraId="3094944C" w14:textId="72616E4A" w:rsidR="00F13A0B" w:rsidRPr="00602DDF" w:rsidRDefault="00602DDF" w:rsidP="00DD5A08">
      <w:pPr>
        <w:spacing w:after="0" w:line="320" w:lineRule="atLeast"/>
        <w:jc w:val="both"/>
        <w:rPr>
          <w:rFonts w:ascii="Verdana" w:hAnsi="Verdana"/>
          <w:color w:val="000000" w:themeColor="text1"/>
          <w:sz w:val="21"/>
          <w:szCs w:val="21"/>
        </w:rPr>
      </w:pPr>
      <w:r>
        <w:rPr>
          <w:rFonts w:ascii="Verdana" w:hAnsi="Verdana"/>
          <w:b/>
          <w:bCs/>
          <w:color w:val="C00000"/>
          <w:sz w:val="21"/>
          <w:szCs w:val="21"/>
        </w:rPr>
        <w:t>Note:</w:t>
      </w:r>
      <w:r>
        <w:rPr>
          <w:rFonts w:ascii="Verdana" w:hAnsi="Verdana"/>
          <w:color w:val="000000" w:themeColor="text1"/>
          <w:sz w:val="21"/>
          <w:szCs w:val="21"/>
        </w:rPr>
        <w:t xml:space="preserve"> full details for each Exchange Traded Fund and Exchange Traded Note are available on the quarterly reports available on the etfSA website: </w:t>
      </w:r>
      <w:hyperlink r:id="rId10" w:history="1">
        <w:r w:rsidRPr="00CF484B">
          <w:rPr>
            <w:rStyle w:val="Hyperlink"/>
            <w:rFonts w:ascii="Verdana" w:hAnsi="Verdana"/>
            <w:sz w:val="21"/>
            <w:szCs w:val="21"/>
          </w:rPr>
          <w:t>www.etfsa.co.za</w:t>
        </w:r>
      </w:hyperlink>
      <w:r>
        <w:rPr>
          <w:rFonts w:ascii="Verdana" w:hAnsi="Verdana"/>
          <w:color w:val="000000" w:themeColor="text1"/>
          <w:sz w:val="21"/>
          <w:szCs w:val="21"/>
        </w:rPr>
        <w:t xml:space="preserve">: </w:t>
      </w:r>
    </w:p>
    <w:p w14:paraId="49F297F9" w14:textId="1ED10A64" w:rsidR="00F13A0B" w:rsidRDefault="00F13A0B" w:rsidP="00DD5A08">
      <w:pPr>
        <w:spacing w:after="0" w:line="320" w:lineRule="atLeast"/>
        <w:jc w:val="both"/>
        <w:rPr>
          <w:rFonts w:ascii="Verdana" w:hAnsi="Verdana"/>
          <w:sz w:val="21"/>
          <w:szCs w:val="21"/>
        </w:rPr>
      </w:pPr>
    </w:p>
    <w:p w14:paraId="54885B65" w14:textId="7D9083FF" w:rsidR="00602DDF" w:rsidRDefault="00602DDF" w:rsidP="00DD5A08">
      <w:pPr>
        <w:pStyle w:val="ListParagraph"/>
        <w:numPr>
          <w:ilvl w:val="0"/>
          <w:numId w:val="17"/>
        </w:numPr>
        <w:spacing w:after="0" w:line="320" w:lineRule="atLeast"/>
        <w:jc w:val="both"/>
        <w:rPr>
          <w:rFonts w:ascii="Verdana" w:hAnsi="Verdana"/>
          <w:sz w:val="21"/>
          <w:szCs w:val="21"/>
        </w:rPr>
      </w:pPr>
      <w:r>
        <w:rPr>
          <w:rFonts w:ascii="Verdana" w:hAnsi="Verdana"/>
          <w:sz w:val="21"/>
          <w:szCs w:val="21"/>
        </w:rPr>
        <w:t xml:space="preserve">All South African ETFs &amp; ETNs – Market Capitalisation </w:t>
      </w:r>
      <w:r w:rsidR="00A37F02">
        <w:rPr>
          <w:rFonts w:ascii="Verdana" w:hAnsi="Verdana"/>
          <w:sz w:val="21"/>
          <w:szCs w:val="21"/>
        </w:rPr>
        <w:t>Totals</w:t>
      </w:r>
      <w:r>
        <w:rPr>
          <w:rFonts w:ascii="Verdana" w:hAnsi="Verdana"/>
          <w:sz w:val="21"/>
          <w:szCs w:val="21"/>
        </w:rPr>
        <w:t xml:space="preserve"> – December 2009 to </w:t>
      </w:r>
      <w:r w:rsidR="00A9509E">
        <w:rPr>
          <w:rFonts w:ascii="Verdana" w:hAnsi="Verdana"/>
          <w:sz w:val="21"/>
          <w:szCs w:val="21"/>
        </w:rPr>
        <w:t>June</w:t>
      </w:r>
      <w:r w:rsidR="0067082E">
        <w:rPr>
          <w:rFonts w:ascii="Verdana" w:hAnsi="Verdana"/>
          <w:sz w:val="21"/>
          <w:szCs w:val="21"/>
        </w:rPr>
        <w:t xml:space="preserve"> 202</w:t>
      </w:r>
      <w:r w:rsidR="00DD5A08">
        <w:rPr>
          <w:rFonts w:ascii="Verdana" w:hAnsi="Verdana"/>
          <w:sz w:val="21"/>
          <w:szCs w:val="21"/>
        </w:rPr>
        <w:t>2</w:t>
      </w:r>
      <w:r>
        <w:rPr>
          <w:rFonts w:ascii="Verdana" w:hAnsi="Verdana"/>
          <w:sz w:val="21"/>
          <w:szCs w:val="21"/>
        </w:rPr>
        <w:t xml:space="preserve">. </w:t>
      </w:r>
    </w:p>
    <w:p w14:paraId="687B4DFB" w14:textId="77777777" w:rsidR="0025163D" w:rsidRDefault="0025163D" w:rsidP="00DD5A08">
      <w:pPr>
        <w:pStyle w:val="ListParagraph"/>
        <w:spacing w:after="0" w:line="320" w:lineRule="atLeast"/>
        <w:jc w:val="both"/>
        <w:rPr>
          <w:rFonts w:ascii="Verdana" w:hAnsi="Verdana"/>
          <w:sz w:val="21"/>
          <w:szCs w:val="21"/>
        </w:rPr>
      </w:pPr>
    </w:p>
    <w:p w14:paraId="045E74ED" w14:textId="41933971" w:rsidR="00602DDF" w:rsidRPr="00602DDF" w:rsidRDefault="00602DDF" w:rsidP="00DD5A08">
      <w:pPr>
        <w:pStyle w:val="ListParagraph"/>
        <w:numPr>
          <w:ilvl w:val="0"/>
          <w:numId w:val="17"/>
        </w:numPr>
        <w:spacing w:after="0" w:line="320" w:lineRule="atLeast"/>
        <w:jc w:val="both"/>
        <w:rPr>
          <w:rFonts w:ascii="Verdana" w:hAnsi="Verdana"/>
          <w:sz w:val="21"/>
          <w:szCs w:val="21"/>
        </w:rPr>
      </w:pPr>
      <w:r>
        <w:rPr>
          <w:rFonts w:ascii="Verdana" w:hAnsi="Verdana"/>
          <w:sz w:val="21"/>
          <w:szCs w:val="21"/>
        </w:rPr>
        <w:t>ETFs &amp; ETNs survey – Securities in Issue and New Capital Raised/Redeemed (for period ended 3</w:t>
      </w:r>
      <w:r w:rsidR="00A9509E">
        <w:rPr>
          <w:rFonts w:ascii="Verdana" w:hAnsi="Verdana"/>
          <w:sz w:val="21"/>
          <w:szCs w:val="21"/>
        </w:rPr>
        <w:t>0</w:t>
      </w:r>
      <w:r>
        <w:rPr>
          <w:rFonts w:ascii="Verdana" w:hAnsi="Verdana"/>
          <w:sz w:val="21"/>
          <w:szCs w:val="21"/>
        </w:rPr>
        <w:t xml:space="preserve"> </w:t>
      </w:r>
      <w:r w:rsidR="00A9509E">
        <w:rPr>
          <w:rFonts w:ascii="Verdana" w:hAnsi="Verdana"/>
          <w:sz w:val="21"/>
          <w:szCs w:val="21"/>
        </w:rPr>
        <w:t>June</w:t>
      </w:r>
      <w:r>
        <w:rPr>
          <w:rFonts w:ascii="Verdana" w:hAnsi="Verdana"/>
          <w:sz w:val="21"/>
          <w:szCs w:val="21"/>
        </w:rPr>
        <w:t xml:space="preserve"> 202</w:t>
      </w:r>
      <w:r w:rsidR="00DD5A08">
        <w:rPr>
          <w:rFonts w:ascii="Verdana" w:hAnsi="Verdana"/>
          <w:sz w:val="21"/>
          <w:szCs w:val="21"/>
        </w:rPr>
        <w:t>2</w:t>
      </w:r>
      <w:r>
        <w:rPr>
          <w:rFonts w:ascii="Verdana" w:hAnsi="Verdana"/>
          <w:sz w:val="21"/>
          <w:szCs w:val="21"/>
        </w:rPr>
        <w:t xml:space="preserve">). </w:t>
      </w:r>
    </w:p>
    <w:p w14:paraId="14D64B95" w14:textId="52A9B917" w:rsidR="00A9509E" w:rsidRDefault="00A9509E" w:rsidP="00DD5A08">
      <w:pPr>
        <w:pBdr>
          <w:bottom w:val="single" w:sz="12" w:space="1" w:color="C00000"/>
        </w:pBdr>
        <w:spacing w:after="0" w:line="320" w:lineRule="atLeast"/>
        <w:jc w:val="both"/>
        <w:rPr>
          <w:rFonts w:ascii="Verdana" w:hAnsi="Verdana"/>
          <w:sz w:val="21"/>
          <w:szCs w:val="21"/>
        </w:rPr>
      </w:pPr>
    </w:p>
    <w:p w14:paraId="542E835E" w14:textId="77777777" w:rsidR="001470DA" w:rsidRDefault="001470DA" w:rsidP="00DD5A08">
      <w:pPr>
        <w:pBdr>
          <w:bottom w:val="single" w:sz="12" w:space="1" w:color="C00000"/>
        </w:pBdr>
        <w:spacing w:after="0" w:line="320" w:lineRule="atLeast"/>
        <w:jc w:val="both"/>
        <w:rPr>
          <w:rFonts w:ascii="Verdana" w:hAnsi="Verdana"/>
          <w:sz w:val="21"/>
          <w:szCs w:val="21"/>
        </w:rPr>
      </w:pPr>
    </w:p>
    <w:p w14:paraId="30BE1786" w14:textId="074D6388" w:rsidR="00A9509E" w:rsidRDefault="00A9509E" w:rsidP="00DB4A11">
      <w:pPr>
        <w:spacing w:after="0" w:line="320" w:lineRule="atLeast"/>
        <w:jc w:val="both"/>
        <w:rPr>
          <w:rFonts w:ascii="Verdana" w:hAnsi="Verdana"/>
          <w:sz w:val="21"/>
          <w:szCs w:val="21"/>
        </w:rPr>
      </w:pPr>
    </w:p>
    <w:p w14:paraId="3EF009A2" w14:textId="19AE72A8" w:rsidR="00561B5C" w:rsidRDefault="00561B5C" w:rsidP="00DB4A11">
      <w:pPr>
        <w:spacing w:after="0" w:line="320" w:lineRule="atLeast"/>
        <w:jc w:val="both"/>
        <w:rPr>
          <w:rFonts w:ascii="Verdana" w:hAnsi="Verdana"/>
          <w:sz w:val="21"/>
          <w:szCs w:val="21"/>
        </w:rPr>
      </w:pPr>
    </w:p>
    <w:p w14:paraId="54715299" w14:textId="77777777" w:rsidR="00561B5C" w:rsidRDefault="00561B5C" w:rsidP="00DB4A11">
      <w:pPr>
        <w:spacing w:after="0" w:line="320" w:lineRule="atLeast"/>
        <w:jc w:val="both"/>
        <w:rPr>
          <w:rFonts w:ascii="Verdana" w:hAnsi="Verdana"/>
          <w:sz w:val="21"/>
          <w:szCs w:val="21"/>
        </w:rPr>
      </w:pPr>
    </w:p>
    <w:p w14:paraId="5766412D" w14:textId="1F70D688" w:rsidR="0048656A" w:rsidRDefault="00DA4A8E" w:rsidP="00DA4A8E">
      <w:pPr>
        <w:spacing w:after="0" w:line="320" w:lineRule="atLeast"/>
        <w:jc w:val="center"/>
        <w:rPr>
          <w:rFonts w:ascii="Verdana" w:hAnsi="Verdana"/>
          <w:sz w:val="21"/>
          <w:szCs w:val="21"/>
        </w:rPr>
      </w:pPr>
      <w:r>
        <w:rPr>
          <w:rFonts w:ascii="Verdana" w:hAnsi="Verdana"/>
          <w:noProof/>
          <w:sz w:val="21"/>
          <w:szCs w:val="21"/>
        </w:rPr>
        <w:drawing>
          <wp:inline distT="0" distB="0" distL="0" distR="0" wp14:anchorId="46E2E7DD" wp14:editId="09E5D591">
            <wp:extent cx="5943600" cy="1485900"/>
            <wp:effectExtent l="0" t="0" r="0" b="0"/>
            <wp:docPr id="8" name="Picture 8"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Tex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5943600" cy="1485900"/>
                    </a:xfrm>
                    <a:prstGeom prst="rect">
                      <a:avLst/>
                    </a:prstGeom>
                  </pic:spPr>
                </pic:pic>
              </a:graphicData>
            </a:graphic>
          </wp:inline>
        </w:drawing>
      </w:r>
    </w:p>
    <w:p w14:paraId="10B3C081" w14:textId="1A7AA0EF" w:rsidR="0067082E" w:rsidRDefault="0067082E" w:rsidP="00DB4A11">
      <w:pPr>
        <w:spacing w:after="0" w:line="320" w:lineRule="atLeast"/>
        <w:jc w:val="both"/>
        <w:rPr>
          <w:rFonts w:ascii="Verdana" w:hAnsi="Verdana"/>
          <w:sz w:val="21"/>
          <w:szCs w:val="21"/>
        </w:rPr>
      </w:pPr>
    </w:p>
    <w:p w14:paraId="6D7CB322" w14:textId="63F11609" w:rsidR="00561B5C" w:rsidRDefault="00561B5C">
      <w:pPr>
        <w:rPr>
          <w:rFonts w:ascii="Verdana" w:hAnsi="Verdana"/>
          <w:sz w:val="21"/>
          <w:szCs w:val="21"/>
        </w:rPr>
      </w:pPr>
      <w:r>
        <w:rPr>
          <w:rFonts w:ascii="Verdana" w:hAnsi="Verdana"/>
          <w:sz w:val="21"/>
          <w:szCs w:val="21"/>
        </w:rPr>
        <w:br w:type="page"/>
      </w:r>
    </w:p>
    <w:p w14:paraId="32E74CAF" w14:textId="6F1BB1E7" w:rsidR="00561B5C" w:rsidRDefault="00561B5C" w:rsidP="00DB4A11">
      <w:pPr>
        <w:spacing w:after="0" w:line="320" w:lineRule="atLeast"/>
        <w:jc w:val="both"/>
        <w:rPr>
          <w:rFonts w:ascii="Verdana" w:hAnsi="Verdana"/>
          <w:sz w:val="21"/>
          <w:szCs w:val="21"/>
        </w:rPr>
      </w:pPr>
    </w:p>
    <w:p w14:paraId="1484EA86" w14:textId="4A25D70B" w:rsidR="00561B5C" w:rsidRDefault="00561B5C" w:rsidP="00DB4A11">
      <w:pPr>
        <w:spacing w:after="0" w:line="320" w:lineRule="atLeast"/>
        <w:jc w:val="both"/>
        <w:rPr>
          <w:rFonts w:ascii="Verdana" w:hAnsi="Verdana"/>
          <w:sz w:val="21"/>
          <w:szCs w:val="21"/>
        </w:rPr>
      </w:pPr>
    </w:p>
    <w:p w14:paraId="28B79BF6" w14:textId="26E6F37A" w:rsidR="00561B5C" w:rsidRDefault="00561B5C" w:rsidP="00DB4A11">
      <w:pPr>
        <w:spacing w:after="0" w:line="320" w:lineRule="atLeast"/>
        <w:jc w:val="both"/>
        <w:rPr>
          <w:rFonts w:ascii="Verdana" w:hAnsi="Verdana"/>
          <w:sz w:val="21"/>
          <w:szCs w:val="21"/>
        </w:rPr>
      </w:pPr>
    </w:p>
    <w:p w14:paraId="05175143" w14:textId="6A9524D2" w:rsidR="00561B5C" w:rsidRDefault="00561B5C" w:rsidP="00DB4A11">
      <w:pPr>
        <w:spacing w:after="0" w:line="320" w:lineRule="atLeast"/>
        <w:jc w:val="both"/>
        <w:rPr>
          <w:rFonts w:ascii="Verdana" w:hAnsi="Verdana"/>
          <w:sz w:val="21"/>
          <w:szCs w:val="21"/>
        </w:rPr>
      </w:pPr>
    </w:p>
    <w:p w14:paraId="76B26FF1" w14:textId="367D60B8" w:rsidR="00561B5C" w:rsidRDefault="00561B5C" w:rsidP="00DB4A11">
      <w:pPr>
        <w:spacing w:after="0" w:line="320" w:lineRule="atLeast"/>
        <w:jc w:val="both"/>
        <w:rPr>
          <w:rFonts w:ascii="Verdana" w:hAnsi="Verdana"/>
          <w:sz w:val="21"/>
          <w:szCs w:val="21"/>
        </w:rPr>
      </w:pPr>
    </w:p>
    <w:p w14:paraId="02F4498A" w14:textId="77777777" w:rsidR="00561B5C" w:rsidRDefault="00561B5C" w:rsidP="00DB4A11">
      <w:pPr>
        <w:spacing w:after="0" w:line="320" w:lineRule="atLeast"/>
        <w:jc w:val="both"/>
        <w:rPr>
          <w:rFonts w:ascii="Verdana" w:hAnsi="Verdana"/>
          <w:sz w:val="21"/>
          <w:szCs w:val="21"/>
        </w:rPr>
      </w:pPr>
    </w:p>
    <w:p w14:paraId="0A514FAC" w14:textId="77777777" w:rsidR="00AA129F" w:rsidRDefault="00AA129F" w:rsidP="00DB4A11">
      <w:pPr>
        <w:spacing w:after="0" w:line="320" w:lineRule="atLeast"/>
        <w:jc w:val="both"/>
        <w:rPr>
          <w:rFonts w:ascii="Verdana" w:hAnsi="Verdana"/>
          <w:sz w:val="21"/>
          <w:szCs w:val="21"/>
        </w:rPr>
      </w:pPr>
    </w:p>
    <w:p w14:paraId="1E5B885A" w14:textId="54E51712" w:rsidR="00A9509E" w:rsidRDefault="00AA129F" w:rsidP="00AA129F">
      <w:pPr>
        <w:spacing w:after="0" w:line="320" w:lineRule="atLeast"/>
        <w:jc w:val="center"/>
        <w:rPr>
          <w:rFonts w:ascii="Verdana" w:hAnsi="Verdana"/>
          <w:sz w:val="21"/>
          <w:szCs w:val="21"/>
        </w:rPr>
      </w:pPr>
      <w:r>
        <w:rPr>
          <w:rFonts w:ascii="Verdana" w:hAnsi="Verdana"/>
          <w:noProof/>
          <w:sz w:val="21"/>
          <w:szCs w:val="21"/>
        </w:rPr>
        <w:drawing>
          <wp:inline distT="0" distB="0" distL="0" distR="0" wp14:anchorId="73B2EDBF" wp14:editId="2F23FE32">
            <wp:extent cx="3238323" cy="3048000"/>
            <wp:effectExtent l="0" t="0" r="63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274152" cy="3081723"/>
                    </a:xfrm>
                    <a:prstGeom prst="rect">
                      <a:avLst/>
                    </a:prstGeom>
                  </pic:spPr>
                </pic:pic>
              </a:graphicData>
            </a:graphic>
          </wp:inline>
        </w:drawing>
      </w:r>
    </w:p>
    <w:p w14:paraId="5B45E591" w14:textId="6E75A140" w:rsidR="00A9509E" w:rsidRDefault="00A9509E" w:rsidP="00DB4A11">
      <w:pPr>
        <w:spacing w:after="0" w:line="320" w:lineRule="atLeast"/>
        <w:jc w:val="both"/>
        <w:rPr>
          <w:rFonts w:ascii="Verdana" w:hAnsi="Verdana"/>
          <w:sz w:val="21"/>
          <w:szCs w:val="21"/>
        </w:rPr>
      </w:pPr>
    </w:p>
    <w:p w14:paraId="31B7FFA0" w14:textId="67ECB600" w:rsidR="00561B5C" w:rsidRPr="00561B5C" w:rsidRDefault="00561B5C" w:rsidP="00561B5C">
      <w:pPr>
        <w:spacing w:after="0" w:line="320" w:lineRule="atLeast"/>
        <w:jc w:val="center"/>
        <w:rPr>
          <w:rFonts w:ascii="Verdana" w:hAnsi="Verdana"/>
          <w:b/>
          <w:bCs/>
          <w:color w:val="C00000"/>
        </w:rPr>
      </w:pPr>
      <w:r w:rsidRPr="00561B5C">
        <w:rPr>
          <w:rFonts w:ascii="Verdana" w:hAnsi="Verdana"/>
          <w:b/>
          <w:bCs/>
          <w:color w:val="C00000"/>
        </w:rPr>
        <w:t>www.etfsa.co.za</w:t>
      </w:r>
    </w:p>
    <w:p w14:paraId="371BB051" w14:textId="7F0F1B34" w:rsidR="00A9509E" w:rsidRDefault="00A9509E" w:rsidP="00DB4A11">
      <w:pPr>
        <w:spacing w:after="0" w:line="320" w:lineRule="atLeast"/>
        <w:jc w:val="both"/>
        <w:rPr>
          <w:rFonts w:ascii="Verdana" w:hAnsi="Verdana"/>
          <w:sz w:val="21"/>
          <w:szCs w:val="21"/>
        </w:rPr>
      </w:pPr>
    </w:p>
    <w:p w14:paraId="019387BD" w14:textId="13CB1C3A" w:rsidR="00561B5C" w:rsidRDefault="00561B5C" w:rsidP="00DB4A11">
      <w:pPr>
        <w:spacing w:after="0" w:line="320" w:lineRule="atLeast"/>
        <w:jc w:val="both"/>
        <w:rPr>
          <w:rFonts w:ascii="Verdana" w:hAnsi="Verdana"/>
          <w:sz w:val="21"/>
          <w:szCs w:val="21"/>
        </w:rPr>
      </w:pPr>
    </w:p>
    <w:p w14:paraId="7206AA3F" w14:textId="04BE1BAE" w:rsidR="00561B5C" w:rsidRDefault="00561B5C" w:rsidP="00DB4A11">
      <w:pPr>
        <w:spacing w:after="0" w:line="320" w:lineRule="atLeast"/>
        <w:jc w:val="both"/>
        <w:rPr>
          <w:rFonts w:ascii="Verdana" w:hAnsi="Verdana"/>
          <w:sz w:val="21"/>
          <w:szCs w:val="21"/>
        </w:rPr>
      </w:pPr>
    </w:p>
    <w:p w14:paraId="0C38838F" w14:textId="70B5ECAD" w:rsidR="00561B5C" w:rsidRDefault="00561B5C" w:rsidP="00DB4A11">
      <w:pPr>
        <w:spacing w:after="0" w:line="320" w:lineRule="atLeast"/>
        <w:jc w:val="both"/>
        <w:rPr>
          <w:rFonts w:ascii="Verdana" w:hAnsi="Verdana"/>
          <w:sz w:val="21"/>
          <w:szCs w:val="21"/>
        </w:rPr>
      </w:pPr>
    </w:p>
    <w:p w14:paraId="0E4595E0" w14:textId="1E936182" w:rsidR="00561B5C" w:rsidRDefault="00561B5C" w:rsidP="00DB4A11">
      <w:pPr>
        <w:spacing w:after="0" w:line="320" w:lineRule="atLeast"/>
        <w:jc w:val="both"/>
        <w:rPr>
          <w:rFonts w:ascii="Verdana" w:hAnsi="Verdana"/>
          <w:sz w:val="21"/>
          <w:szCs w:val="21"/>
        </w:rPr>
      </w:pPr>
    </w:p>
    <w:p w14:paraId="1710755F" w14:textId="7C74606B" w:rsidR="00561B5C" w:rsidRDefault="00561B5C" w:rsidP="00DB4A11">
      <w:pPr>
        <w:spacing w:after="0" w:line="320" w:lineRule="atLeast"/>
        <w:jc w:val="both"/>
        <w:rPr>
          <w:rFonts w:ascii="Verdana" w:hAnsi="Verdana"/>
          <w:sz w:val="21"/>
          <w:szCs w:val="21"/>
        </w:rPr>
      </w:pPr>
    </w:p>
    <w:p w14:paraId="17A3EEFF" w14:textId="07147C70" w:rsidR="00561B5C" w:rsidRDefault="00561B5C" w:rsidP="00DB4A11">
      <w:pPr>
        <w:spacing w:after="0" w:line="320" w:lineRule="atLeast"/>
        <w:jc w:val="both"/>
        <w:rPr>
          <w:rFonts w:ascii="Verdana" w:hAnsi="Verdana"/>
          <w:sz w:val="21"/>
          <w:szCs w:val="21"/>
        </w:rPr>
      </w:pPr>
    </w:p>
    <w:p w14:paraId="37F69953" w14:textId="0A64C751" w:rsidR="00561B5C" w:rsidRDefault="00561B5C" w:rsidP="00DB4A11">
      <w:pPr>
        <w:spacing w:after="0" w:line="320" w:lineRule="atLeast"/>
        <w:jc w:val="both"/>
        <w:rPr>
          <w:rFonts w:ascii="Verdana" w:hAnsi="Verdana"/>
          <w:sz w:val="21"/>
          <w:szCs w:val="21"/>
        </w:rPr>
      </w:pPr>
    </w:p>
    <w:p w14:paraId="573F30D0" w14:textId="2E4072DB" w:rsidR="00561B5C" w:rsidRDefault="00561B5C" w:rsidP="00DB4A11">
      <w:pPr>
        <w:spacing w:after="0" w:line="320" w:lineRule="atLeast"/>
        <w:jc w:val="both"/>
        <w:rPr>
          <w:rFonts w:ascii="Verdana" w:hAnsi="Verdana"/>
          <w:sz w:val="21"/>
          <w:szCs w:val="21"/>
        </w:rPr>
      </w:pPr>
    </w:p>
    <w:p w14:paraId="7983067C" w14:textId="329CB577" w:rsidR="00561B5C" w:rsidRDefault="00561B5C" w:rsidP="00DB4A11">
      <w:pPr>
        <w:spacing w:after="0" w:line="320" w:lineRule="atLeast"/>
        <w:jc w:val="both"/>
        <w:rPr>
          <w:rFonts w:ascii="Verdana" w:hAnsi="Verdana"/>
          <w:sz w:val="21"/>
          <w:szCs w:val="21"/>
        </w:rPr>
      </w:pPr>
    </w:p>
    <w:p w14:paraId="4A8357B5" w14:textId="0EB1A2A2" w:rsidR="00561B5C" w:rsidRDefault="002B14B3" w:rsidP="00DB4A11">
      <w:pPr>
        <w:spacing w:after="0" w:line="320" w:lineRule="atLeast"/>
        <w:jc w:val="both"/>
        <w:rPr>
          <w:rFonts w:ascii="Verdana" w:hAnsi="Verdana"/>
          <w:sz w:val="21"/>
          <w:szCs w:val="21"/>
        </w:rPr>
      </w:pPr>
      <w:r>
        <w:rPr>
          <w:rFonts w:ascii="Verdana" w:hAnsi="Verdana"/>
          <w:sz w:val="21"/>
          <w:szCs w:val="21"/>
        </w:rPr>
        <w:t>s</w:t>
      </w:r>
    </w:p>
    <w:p w14:paraId="02045D1A" w14:textId="77777777" w:rsidR="00561B5C" w:rsidRDefault="00561B5C" w:rsidP="00DB4A11">
      <w:pPr>
        <w:spacing w:after="0" w:line="320" w:lineRule="atLeast"/>
        <w:jc w:val="both"/>
        <w:rPr>
          <w:rFonts w:ascii="Verdana" w:hAnsi="Verdana"/>
          <w:sz w:val="21"/>
          <w:szCs w:val="21"/>
        </w:rPr>
      </w:pPr>
    </w:p>
    <w:p w14:paraId="348057A5" w14:textId="77777777" w:rsidR="00C6212D" w:rsidRPr="0000086A" w:rsidRDefault="00C6212D" w:rsidP="0000086A">
      <w:pPr>
        <w:pBdr>
          <w:top w:val="single" w:sz="4" w:space="1" w:color="auto"/>
        </w:pBdr>
        <w:spacing w:after="0" w:line="240" w:lineRule="auto"/>
        <w:rPr>
          <w:sz w:val="15"/>
          <w:szCs w:val="15"/>
          <w:lang w:eastAsia="en-ZA"/>
        </w:rPr>
      </w:pPr>
      <w:r w:rsidRPr="0000086A">
        <w:rPr>
          <w:rFonts w:ascii="Arial" w:hAnsi="Arial"/>
          <w:b/>
          <w:i/>
          <w:color w:val="0F0D35"/>
          <w:sz w:val="15"/>
          <w:szCs w:val="15"/>
        </w:rPr>
        <w:t xml:space="preserve">Disclaimer: </w:t>
      </w:r>
      <w:r w:rsidRPr="0000086A">
        <w:rPr>
          <w:rFonts w:ascii="Arial" w:hAnsi="Arial"/>
          <w:color w:val="000000"/>
          <w:sz w:val="15"/>
          <w:szCs w:val="15"/>
          <w:shd w:val="clear" w:color="auto" w:fill="FFFFFF"/>
          <w:lang w:eastAsia="en-ZA"/>
        </w:rPr>
        <w:t>The Exchange Traded Products (ETPs) contained herein are mainly Collective Investment Schemes in Securities (CIS) and other listed securities which are generally medium to long-term investments that contain elements of risk and can be affected by market values, interest rates, exchange rates, volatility, dividend yields and issuer credit ratings. ETPs are listed on the Johannesburg, or other Stock Exchanges, and trade at ruling prices on such Exchanges.</w:t>
      </w:r>
    </w:p>
    <w:p w14:paraId="3AAF1E99" w14:textId="341D3584" w:rsidR="00C6212D" w:rsidRPr="0000086A" w:rsidRDefault="00C6212D" w:rsidP="0000086A">
      <w:pPr>
        <w:pBdr>
          <w:bottom w:val="single" w:sz="4" w:space="1" w:color="auto"/>
        </w:pBdr>
        <w:shd w:val="clear" w:color="auto" w:fill="FFFFFF"/>
        <w:spacing w:after="0" w:line="240" w:lineRule="auto"/>
        <w:jc w:val="both"/>
        <w:rPr>
          <w:rFonts w:ascii="Arial" w:hAnsi="Arial"/>
          <w:color w:val="000000"/>
          <w:sz w:val="15"/>
          <w:szCs w:val="15"/>
          <w:lang w:eastAsia="en-ZA"/>
        </w:rPr>
      </w:pPr>
      <w:r w:rsidRPr="0000086A">
        <w:rPr>
          <w:rFonts w:ascii="Arial" w:hAnsi="Arial"/>
          <w:color w:val="000000"/>
          <w:sz w:val="15"/>
          <w:szCs w:val="15"/>
          <w:lang w:eastAsia="en-ZA"/>
        </w:rPr>
        <w:t>The price of ETPs can go up as well as down and past performance is not necessarily a guide to the future. The ETP's herein are listed on the Johannesburg Stock Exchange Limited and trading in ETP securities will incur trading and settlement costs. ETF securities are traded at ruling prices and can engage in scrip lending.</w:t>
      </w:r>
    </w:p>
    <w:p w14:paraId="6B359C43" w14:textId="77777777" w:rsidR="00C6212D" w:rsidRPr="0000086A" w:rsidRDefault="00C6212D" w:rsidP="0000086A">
      <w:pPr>
        <w:pBdr>
          <w:bottom w:val="single" w:sz="4" w:space="1" w:color="auto"/>
        </w:pBdr>
        <w:shd w:val="clear" w:color="auto" w:fill="FFFFFF"/>
        <w:spacing w:after="0" w:line="240" w:lineRule="auto"/>
        <w:jc w:val="both"/>
        <w:rPr>
          <w:rFonts w:ascii="Arial" w:hAnsi="Arial"/>
          <w:color w:val="000000"/>
          <w:sz w:val="15"/>
          <w:szCs w:val="15"/>
          <w:lang w:eastAsia="en-ZA"/>
        </w:rPr>
      </w:pPr>
      <w:r w:rsidRPr="0000086A">
        <w:rPr>
          <w:rFonts w:ascii="Arial" w:hAnsi="Arial"/>
          <w:color w:val="000000"/>
          <w:sz w:val="15"/>
          <w:szCs w:val="15"/>
          <w:lang w:eastAsia="en-ZA"/>
        </w:rPr>
        <w:t>The information and opinions provided herein are of a general nature and do not constitute investment advice. Whilst every care has been taken, no representation, warranty or undertaking, expressed or implied, is given as to the accuracy or completeness thereof.</w:t>
      </w:r>
    </w:p>
    <w:p w14:paraId="02B89787" w14:textId="77777777" w:rsidR="00C6212D" w:rsidRPr="0000086A" w:rsidRDefault="00C6212D" w:rsidP="0000086A">
      <w:pPr>
        <w:pBdr>
          <w:bottom w:val="single" w:sz="4" w:space="1" w:color="auto"/>
        </w:pBdr>
        <w:shd w:val="clear" w:color="auto" w:fill="FFFFFF"/>
        <w:spacing w:after="0" w:line="240" w:lineRule="auto"/>
        <w:jc w:val="both"/>
        <w:rPr>
          <w:rFonts w:ascii="Arial" w:hAnsi="Arial"/>
          <w:color w:val="000000"/>
          <w:sz w:val="15"/>
          <w:szCs w:val="15"/>
          <w:lang w:eastAsia="en-ZA"/>
        </w:rPr>
      </w:pPr>
      <w:r w:rsidRPr="0000086A">
        <w:rPr>
          <w:rFonts w:ascii="Arial" w:hAnsi="Arial"/>
          <w:color w:val="000000"/>
          <w:sz w:val="15"/>
          <w:szCs w:val="15"/>
          <w:lang w:eastAsia="en-ZA"/>
        </w:rPr>
        <w:t>etfSA.co.za is managed by M F Brown, who is a registered financial services provider (FSP No. 39217). M F Brown has Professional Indemnity Insurance as required by FAIS. The etfSA Investment Services Company (Pty) Ltd (FSP No 40107) provides asset management as well as financial intermediary and advice services. It uses Exchange Traded Products to construct portfolios for use in Retirement Annuity, Tax Free and Discretionary investments. It holds Professional Indemnity insurance and Fidelity Guarantee insurance as required by FAIS.</w:t>
      </w:r>
    </w:p>
    <w:p w14:paraId="0E9485D7" w14:textId="64A3D211" w:rsidR="00407678" w:rsidRPr="0000086A" w:rsidRDefault="00C6212D" w:rsidP="0000086A">
      <w:pPr>
        <w:pBdr>
          <w:bottom w:val="single" w:sz="4" w:space="1" w:color="auto"/>
        </w:pBdr>
        <w:shd w:val="clear" w:color="auto" w:fill="FFFFFF"/>
        <w:spacing w:after="0" w:line="240" w:lineRule="auto"/>
        <w:jc w:val="both"/>
        <w:rPr>
          <w:rFonts w:ascii="Arial" w:hAnsi="Arial"/>
          <w:color w:val="000000"/>
          <w:sz w:val="15"/>
          <w:szCs w:val="15"/>
          <w:lang w:eastAsia="en-ZA"/>
        </w:rPr>
      </w:pPr>
      <w:r w:rsidRPr="0000086A">
        <w:rPr>
          <w:rFonts w:ascii="Arial" w:hAnsi="Arial"/>
          <w:color w:val="000000"/>
          <w:sz w:val="15"/>
          <w:szCs w:val="15"/>
          <w:lang w:eastAsia="en-ZA"/>
        </w:rPr>
        <w:t>All opinions and information on this website may be changed at any time without notice. Redistribution, reproduction, the resale or transmission to any third party of the contents of this website, whether by email, newsletter, internet or website, is only possible with the written permission of etfSA. etfSA.co.za, its sponsors, administrators, contributors and product providers disclaim any liability for any loss, damage, or expense that might occur from the use of or reliance on the data and services provided through this website. etfSA.co.za® and etfSA The Home of Exchange Traded Funds® are registered trademarks in the Republic of South Africa.</w:t>
      </w:r>
    </w:p>
    <w:sectPr w:rsidR="00407678" w:rsidRPr="0000086A" w:rsidSect="00281835">
      <w:footerReference w:type="default" r:id="rId13"/>
      <w:pgSz w:w="11906" w:h="16838" w:code="9"/>
      <w:pgMar w:top="851" w:right="851" w:bottom="567" w:left="851" w:header="709" w:footer="567" w:gutter="0"/>
      <w:pgBorders w:offsetFrom="page">
        <w:top w:val="single" w:sz="18" w:space="24" w:color="C00000"/>
        <w:left w:val="single" w:sz="18" w:space="24" w:color="C00000"/>
        <w:bottom w:val="single" w:sz="18" w:space="24" w:color="C00000"/>
        <w:right w:val="single" w:sz="18" w:space="24" w:color="C0000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FEBA78" w14:textId="77777777" w:rsidR="00D54A88" w:rsidRDefault="00D54A88" w:rsidP="001860C2">
      <w:pPr>
        <w:spacing w:after="0" w:line="240" w:lineRule="auto"/>
      </w:pPr>
      <w:r>
        <w:separator/>
      </w:r>
    </w:p>
  </w:endnote>
  <w:endnote w:type="continuationSeparator" w:id="0">
    <w:p w14:paraId="55785617" w14:textId="77777777" w:rsidR="00D54A88" w:rsidRDefault="00D54A88" w:rsidP="001860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8959353"/>
      <w:docPartObj>
        <w:docPartGallery w:val="Page Numbers (Bottom of Page)"/>
        <w:docPartUnique/>
      </w:docPartObj>
    </w:sdtPr>
    <w:sdtEndPr>
      <w:rPr>
        <w:rFonts w:ascii="Verdana" w:hAnsi="Verdana"/>
        <w:noProof/>
        <w:sz w:val="18"/>
        <w:szCs w:val="18"/>
      </w:rPr>
    </w:sdtEndPr>
    <w:sdtContent>
      <w:p w14:paraId="72DBEA49" w14:textId="73AF9B02" w:rsidR="002F19B0" w:rsidRPr="001860C2" w:rsidRDefault="002F19B0" w:rsidP="001860C2">
        <w:pPr>
          <w:pStyle w:val="Footer"/>
          <w:jc w:val="center"/>
          <w:rPr>
            <w:rFonts w:ascii="Verdana" w:hAnsi="Verdana"/>
            <w:sz w:val="18"/>
            <w:szCs w:val="18"/>
          </w:rPr>
        </w:pPr>
        <w:r w:rsidRPr="001860C2">
          <w:rPr>
            <w:rFonts w:ascii="Verdana" w:hAnsi="Verdana"/>
            <w:sz w:val="18"/>
            <w:szCs w:val="18"/>
          </w:rPr>
          <w:fldChar w:fldCharType="begin"/>
        </w:r>
        <w:r w:rsidRPr="001860C2">
          <w:rPr>
            <w:rFonts w:ascii="Verdana" w:hAnsi="Verdana"/>
            <w:sz w:val="18"/>
            <w:szCs w:val="18"/>
          </w:rPr>
          <w:instrText xml:space="preserve"> PAGE   \* MERGEFORMAT </w:instrText>
        </w:r>
        <w:r w:rsidRPr="001860C2">
          <w:rPr>
            <w:rFonts w:ascii="Verdana" w:hAnsi="Verdana"/>
            <w:sz w:val="18"/>
            <w:szCs w:val="18"/>
          </w:rPr>
          <w:fldChar w:fldCharType="separate"/>
        </w:r>
        <w:r>
          <w:rPr>
            <w:rFonts w:ascii="Verdana" w:hAnsi="Verdana"/>
            <w:noProof/>
            <w:sz w:val="18"/>
            <w:szCs w:val="18"/>
          </w:rPr>
          <w:t>3</w:t>
        </w:r>
        <w:r w:rsidRPr="001860C2">
          <w:rPr>
            <w:rFonts w:ascii="Verdana" w:hAnsi="Verdana"/>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A95888" w14:textId="77777777" w:rsidR="00D54A88" w:rsidRDefault="00D54A88" w:rsidP="001860C2">
      <w:pPr>
        <w:spacing w:after="0" w:line="240" w:lineRule="auto"/>
      </w:pPr>
      <w:r>
        <w:separator/>
      </w:r>
    </w:p>
  </w:footnote>
  <w:footnote w:type="continuationSeparator" w:id="0">
    <w:p w14:paraId="3504ECAE" w14:textId="77777777" w:rsidR="00D54A88" w:rsidRDefault="00D54A88" w:rsidP="001860C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305D0"/>
    <w:multiLevelType w:val="hybridMultilevel"/>
    <w:tmpl w:val="5734E82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011D651D"/>
    <w:multiLevelType w:val="hybridMultilevel"/>
    <w:tmpl w:val="9504678E"/>
    <w:lvl w:ilvl="0" w:tplc="1C090001">
      <w:start w:val="1"/>
      <w:numFmt w:val="bullet"/>
      <w:lvlText w:val=""/>
      <w:lvlJc w:val="left"/>
      <w:pPr>
        <w:ind w:left="1778" w:hanging="360"/>
      </w:pPr>
      <w:rPr>
        <w:rFonts w:ascii="Symbol" w:hAnsi="Symbol" w:hint="default"/>
      </w:rPr>
    </w:lvl>
    <w:lvl w:ilvl="1" w:tplc="1C090003" w:tentative="1">
      <w:start w:val="1"/>
      <w:numFmt w:val="bullet"/>
      <w:lvlText w:val="o"/>
      <w:lvlJc w:val="left"/>
      <w:pPr>
        <w:ind w:left="2498" w:hanging="360"/>
      </w:pPr>
      <w:rPr>
        <w:rFonts w:ascii="Courier New" w:hAnsi="Courier New" w:cs="Courier New" w:hint="default"/>
      </w:rPr>
    </w:lvl>
    <w:lvl w:ilvl="2" w:tplc="1C090005" w:tentative="1">
      <w:start w:val="1"/>
      <w:numFmt w:val="bullet"/>
      <w:lvlText w:val=""/>
      <w:lvlJc w:val="left"/>
      <w:pPr>
        <w:ind w:left="3218" w:hanging="360"/>
      </w:pPr>
      <w:rPr>
        <w:rFonts w:ascii="Wingdings" w:hAnsi="Wingdings" w:hint="default"/>
      </w:rPr>
    </w:lvl>
    <w:lvl w:ilvl="3" w:tplc="1C090001" w:tentative="1">
      <w:start w:val="1"/>
      <w:numFmt w:val="bullet"/>
      <w:lvlText w:val=""/>
      <w:lvlJc w:val="left"/>
      <w:pPr>
        <w:ind w:left="3938" w:hanging="360"/>
      </w:pPr>
      <w:rPr>
        <w:rFonts w:ascii="Symbol" w:hAnsi="Symbol" w:hint="default"/>
      </w:rPr>
    </w:lvl>
    <w:lvl w:ilvl="4" w:tplc="1C090003" w:tentative="1">
      <w:start w:val="1"/>
      <w:numFmt w:val="bullet"/>
      <w:lvlText w:val="o"/>
      <w:lvlJc w:val="left"/>
      <w:pPr>
        <w:ind w:left="4658" w:hanging="360"/>
      </w:pPr>
      <w:rPr>
        <w:rFonts w:ascii="Courier New" w:hAnsi="Courier New" w:cs="Courier New" w:hint="default"/>
      </w:rPr>
    </w:lvl>
    <w:lvl w:ilvl="5" w:tplc="1C090005" w:tentative="1">
      <w:start w:val="1"/>
      <w:numFmt w:val="bullet"/>
      <w:lvlText w:val=""/>
      <w:lvlJc w:val="left"/>
      <w:pPr>
        <w:ind w:left="5378" w:hanging="360"/>
      </w:pPr>
      <w:rPr>
        <w:rFonts w:ascii="Wingdings" w:hAnsi="Wingdings" w:hint="default"/>
      </w:rPr>
    </w:lvl>
    <w:lvl w:ilvl="6" w:tplc="1C090001" w:tentative="1">
      <w:start w:val="1"/>
      <w:numFmt w:val="bullet"/>
      <w:lvlText w:val=""/>
      <w:lvlJc w:val="left"/>
      <w:pPr>
        <w:ind w:left="6098" w:hanging="360"/>
      </w:pPr>
      <w:rPr>
        <w:rFonts w:ascii="Symbol" w:hAnsi="Symbol" w:hint="default"/>
      </w:rPr>
    </w:lvl>
    <w:lvl w:ilvl="7" w:tplc="1C090003" w:tentative="1">
      <w:start w:val="1"/>
      <w:numFmt w:val="bullet"/>
      <w:lvlText w:val="o"/>
      <w:lvlJc w:val="left"/>
      <w:pPr>
        <w:ind w:left="6818" w:hanging="360"/>
      </w:pPr>
      <w:rPr>
        <w:rFonts w:ascii="Courier New" w:hAnsi="Courier New" w:cs="Courier New" w:hint="default"/>
      </w:rPr>
    </w:lvl>
    <w:lvl w:ilvl="8" w:tplc="1C090005" w:tentative="1">
      <w:start w:val="1"/>
      <w:numFmt w:val="bullet"/>
      <w:lvlText w:val=""/>
      <w:lvlJc w:val="left"/>
      <w:pPr>
        <w:ind w:left="7538" w:hanging="360"/>
      </w:pPr>
      <w:rPr>
        <w:rFonts w:ascii="Wingdings" w:hAnsi="Wingdings" w:hint="default"/>
      </w:rPr>
    </w:lvl>
  </w:abstractNum>
  <w:abstractNum w:abstractNumId="2" w15:restartNumberingAfterBreak="0">
    <w:nsid w:val="01234321"/>
    <w:multiLevelType w:val="hybridMultilevel"/>
    <w:tmpl w:val="2A1607D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07E51D4C"/>
    <w:multiLevelType w:val="hybridMultilevel"/>
    <w:tmpl w:val="0AB0752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08D32FE3"/>
    <w:multiLevelType w:val="hybridMultilevel"/>
    <w:tmpl w:val="9604C438"/>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0E260B28"/>
    <w:multiLevelType w:val="hybridMultilevel"/>
    <w:tmpl w:val="6F627B6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1F5E1355"/>
    <w:multiLevelType w:val="hybridMultilevel"/>
    <w:tmpl w:val="888E119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209E0A22"/>
    <w:multiLevelType w:val="hybridMultilevel"/>
    <w:tmpl w:val="D29C33F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229D1321"/>
    <w:multiLevelType w:val="hybridMultilevel"/>
    <w:tmpl w:val="FDD09F3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240D369B"/>
    <w:multiLevelType w:val="hybridMultilevel"/>
    <w:tmpl w:val="401834B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248B1364"/>
    <w:multiLevelType w:val="hybridMultilevel"/>
    <w:tmpl w:val="FFE6E35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33D94606"/>
    <w:multiLevelType w:val="hybridMultilevel"/>
    <w:tmpl w:val="1C3470D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37086E3A"/>
    <w:multiLevelType w:val="hybridMultilevel"/>
    <w:tmpl w:val="D7A8CC0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3B5A29A1"/>
    <w:multiLevelType w:val="hybridMultilevel"/>
    <w:tmpl w:val="66A8A16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49A03C17"/>
    <w:multiLevelType w:val="hybridMultilevel"/>
    <w:tmpl w:val="FD4C19E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4CD962CA"/>
    <w:multiLevelType w:val="hybridMultilevel"/>
    <w:tmpl w:val="855A389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57BC0492"/>
    <w:multiLevelType w:val="hybridMultilevel"/>
    <w:tmpl w:val="0050554E"/>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5BAC30ED"/>
    <w:multiLevelType w:val="hybridMultilevel"/>
    <w:tmpl w:val="6E22AEB4"/>
    <w:lvl w:ilvl="0" w:tplc="29085DB0">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614D04BD"/>
    <w:multiLevelType w:val="hybridMultilevel"/>
    <w:tmpl w:val="ECFC3C7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64ED2A13"/>
    <w:multiLevelType w:val="hybridMultilevel"/>
    <w:tmpl w:val="8F46E78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69F471E4"/>
    <w:multiLevelType w:val="hybridMultilevel"/>
    <w:tmpl w:val="9E5CD8B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75923930"/>
    <w:multiLevelType w:val="hybridMultilevel"/>
    <w:tmpl w:val="A5566AD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2" w15:restartNumberingAfterBreak="0">
    <w:nsid w:val="791332C4"/>
    <w:multiLevelType w:val="hybridMultilevel"/>
    <w:tmpl w:val="74541E3A"/>
    <w:lvl w:ilvl="0" w:tplc="1C090001">
      <w:start w:val="1"/>
      <w:numFmt w:val="bullet"/>
      <w:lvlText w:val=""/>
      <w:lvlJc w:val="left"/>
      <w:pPr>
        <w:ind w:left="1146" w:hanging="360"/>
      </w:pPr>
      <w:rPr>
        <w:rFonts w:ascii="Symbol" w:hAnsi="Symbol" w:hint="default"/>
      </w:rPr>
    </w:lvl>
    <w:lvl w:ilvl="1" w:tplc="1C090003" w:tentative="1">
      <w:start w:val="1"/>
      <w:numFmt w:val="bullet"/>
      <w:lvlText w:val="o"/>
      <w:lvlJc w:val="left"/>
      <w:pPr>
        <w:ind w:left="1866" w:hanging="360"/>
      </w:pPr>
      <w:rPr>
        <w:rFonts w:ascii="Courier New" w:hAnsi="Courier New" w:cs="Courier New" w:hint="default"/>
      </w:rPr>
    </w:lvl>
    <w:lvl w:ilvl="2" w:tplc="1C090005" w:tentative="1">
      <w:start w:val="1"/>
      <w:numFmt w:val="bullet"/>
      <w:lvlText w:val=""/>
      <w:lvlJc w:val="left"/>
      <w:pPr>
        <w:ind w:left="2586" w:hanging="360"/>
      </w:pPr>
      <w:rPr>
        <w:rFonts w:ascii="Wingdings" w:hAnsi="Wingdings" w:hint="default"/>
      </w:rPr>
    </w:lvl>
    <w:lvl w:ilvl="3" w:tplc="1C090001" w:tentative="1">
      <w:start w:val="1"/>
      <w:numFmt w:val="bullet"/>
      <w:lvlText w:val=""/>
      <w:lvlJc w:val="left"/>
      <w:pPr>
        <w:ind w:left="3306" w:hanging="360"/>
      </w:pPr>
      <w:rPr>
        <w:rFonts w:ascii="Symbol" w:hAnsi="Symbol" w:hint="default"/>
      </w:rPr>
    </w:lvl>
    <w:lvl w:ilvl="4" w:tplc="1C090003" w:tentative="1">
      <w:start w:val="1"/>
      <w:numFmt w:val="bullet"/>
      <w:lvlText w:val="o"/>
      <w:lvlJc w:val="left"/>
      <w:pPr>
        <w:ind w:left="4026" w:hanging="360"/>
      </w:pPr>
      <w:rPr>
        <w:rFonts w:ascii="Courier New" w:hAnsi="Courier New" w:cs="Courier New" w:hint="default"/>
      </w:rPr>
    </w:lvl>
    <w:lvl w:ilvl="5" w:tplc="1C090005" w:tentative="1">
      <w:start w:val="1"/>
      <w:numFmt w:val="bullet"/>
      <w:lvlText w:val=""/>
      <w:lvlJc w:val="left"/>
      <w:pPr>
        <w:ind w:left="4746" w:hanging="360"/>
      </w:pPr>
      <w:rPr>
        <w:rFonts w:ascii="Wingdings" w:hAnsi="Wingdings" w:hint="default"/>
      </w:rPr>
    </w:lvl>
    <w:lvl w:ilvl="6" w:tplc="1C090001" w:tentative="1">
      <w:start w:val="1"/>
      <w:numFmt w:val="bullet"/>
      <w:lvlText w:val=""/>
      <w:lvlJc w:val="left"/>
      <w:pPr>
        <w:ind w:left="5466" w:hanging="360"/>
      </w:pPr>
      <w:rPr>
        <w:rFonts w:ascii="Symbol" w:hAnsi="Symbol" w:hint="default"/>
      </w:rPr>
    </w:lvl>
    <w:lvl w:ilvl="7" w:tplc="1C090003" w:tentative="1">
      <w:start w:val="1"/>
      <w:numFmt w:val="bullet"/>
      <w:lvlText w:val="o"/>
      <w:lvlJc w:val="left"/>
      <w:pPr>
        <w:ind w:left="6186" w:hanging="360"/>
      </w:pPr>
      <w:rPr>
        <w:rFonts w:ascii="Courier New" w:hAnsi="Courier New" w:cs="Courier New" w:hint="default"/>
      </w:rPr>
    </w:lvl>
    <w:lvl w:ilvl="8" w:tplc="1C090005" w:tentative="1">
      <w:start w:val="1"/>
      <w:numFmt w:val="bullet"/>
      <w:lvlText w:val=""/>
      <w:lvlJc w:val="left"/>
      <w:pPr>
        <w:ind w:left="6906" w:hanging="360"/>
      </w:pPr>
      <w:rPr>
        <w:rFonts w:ascii="Wingdings" w:hAnsi="Wingdings" w:hint="default"/>
      </w:rPr>
    </w:lvl>
  </w:abstractNum>
  <w:abstractNum w:abstractNumId="23" w15:restartNumberingAfterBreak="0">
    <w:nsid w:val="7AF55A25"/>
    <w:multiLevelType w:val="hybridMultilevel"/>
    <w:tmpl w:val="20629F2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1761097734">
    <w:abstractNumId w:val="15"/>
  </w:num>
  <w:num w:numId="2" w16cid:durableId="17001586">
    <w:abstractNumId w:val="1"/>
  </w:num>
  <w:num w:numId="3" w16cid:durableId="2038045481">
    <w:abstractNumId w:val="11"/>
  </w:num>
  <w:num w:numId="4" w16cid:durableId="795762004">
    <w:abstractNumId w:val="8"/>
  </w:num>
  <w:num w:numId="5" w16cid:durableId="371735613">
    <w:abstractNumId w:val="2"/>
  </w:num>
  <w:num w:numId="6" w16cid:durableId="517550290">
    <w:abstractNumId w:val="16"/>
  </w:num>
  <w:num w:numId="7" w16cid:durableId="1561330142">
    <w:abstractNumId w:val="6"/>
  </w:num>
  <w:num w:numId="8" w16cid:durableId="348874987">
    <w:abstractNumId w:val="9"/>
  </w:num>
  <w:num w:numId="9" w16cid:durableId="2114863552">
    <w:abstractNumId w:val="3"/>
  </w:num>
  <w:num w:numId="10" w16cid:durableId="4289105">
    <w:abstractNumId w:val="10"/>
  </w:num>
  <w:num w:numId="11" w16cid:durableId="379133763">
    <w:abstractNumId w:val="12"/>
  </w:num>
  <w:num w:numId="12" w16cid:durableId="611714100">
    <w:abstractNumId w:val="14"/>
  </w:num>
  <w:num w:numId="13" w16cid:durableId="1294755904">
    <w:abstractNumId w:val="13"/>
  </w:num>
  <w:num w:numId="14" w16cid:durableId="968047313">
    <w:abstractNumId w:val="22"/>
  </w:num>
  <w:num w:numId="15" w16cid:durableId="825977546">
    <w:abstractNumId w:val="23"/>
  </w:num>
  <w:num w:numId="16" w16cid:durableId="2069525158">
    <w:abstractNumId w:val="18"/>
  </w:num>
  <w:num w:numId="17" w16cid:durableId="1090082934">
    <w:abstractNumId w:val="5"/>
  </w:num>
  <w:num w:numId="18" w16cid:durableId="667833823">
    <w:abstractNumId w:val="21"/>
  </w:num>
  <w:num w:numId="19" w16cid:durableId="1101994540">
    <w:abstractNumId w:val="19"/>
  </w:num>
  <w:num w:numId="20" w16cid:durableId="962422017">
    <w:abstractNumId w:val="17"/>
  </w:num>
  <w:num w:numId="21" w16cid:durableId="673382833">
    <w:abstractNumId w:val="4"/>
  </w:num>
  <w:num w:numId="22" w16cid:durableId="229968107">
    <w:abstractNumId w:val="0"/>
  </w:num>
  <w:num w:numId="23" w16cid:durableId="1523741481">
    <w:abstractNumId w:val="7"/>
  </w:num>
  <w:num w:numId="24" w16cid:durableId="135248774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5637"/>
    <w:rsid w:val="0000086A"/>
    <w:rsid w:val="0000238B"/>
    <w:rsid w:val="000144B3"/>
    <w:rsid w:val="00014D0C"/>
    <w:rsid w:val="00016006"/>
    <w:rsid w:val="000204F0"/>
    <w:rsid w:val="00023812"/>
    <w:rsid w:val="00034E06"/>
    <w:rsid w:val="00042250"/>
    <w:rsid w:val="000435BE"/>
    <w:rsid w:val="00043FCA"/>
    <w:rsid w:val="00046AC3"/>
    <w:rsid w:val="00050A63"/>
    <w:rsid w:val="00051559"/>
    <w:rsid w:val="0005247E"/>
    <w:rsid w:val="000542DC"/>
    <w:rsid w:val="0005437D"/>
    <w:rsid w:val="00054445"/>
    <w:rsid w:val="00063719"/>
    <w:rsid w:val="00064D86"/>
    <w:rsid w:val="0006568F"/>
    <w:rsid w:val="00065FC4"/>
    <w:rsid w:val="00067065"/>
    <w:rsid w:val="00072FB5"/>
    <w:rsid w:val="000736A9"/>
    <w:rsid w:val="0007371D"/>
    <w:rsid w:val="000752F6"/>
    <w:rsid w:val="00080314"/>
    <w:rsid w:val="0008356F"/>
    <w:rsid w:val="00083E17"/>
    <w:rsid w:val="00086ECE"/>
    <w:rsid w:val="000871E0"/>
    <w:rsid w:val="00093396"/>
    <w:rsid w:val="000A2715"/>
    <w:rsid w:val="000A3329"/>
    <w:rsid w:val="000A5E4A"/>
    <w:rsid w:val="000B1353"/>
    <w:rsid w:val="000B189D"/>
    <w:rsid w:val="000B1900"/>
    <w:rsid w:val="000B77EA"/>
    <w:rsid w:val="000C024A"/>
    <w:rsid w:val="000C1ACB"/>
    <w:rsid w:val="000C2A04"/>
    <w:rsid w:val="000C74EB"/>
    <w:rsid w:val="000D0FF5"/>
    <w:rsid w:val="000D5C7D"/>
    <w:rsid w:val="000F1A9D"/>
    <w:rsid w:val="000F2E19"/>
    <w:rsid w:val="000F3F0B"/>
    <w:rsid w:val="000F4D11"/>
    <w:rsid w:val="000F676D"/>
    <w:rsid w:val="001004CA"/>
    <w:rsid w:val="00100BC7"/>
    <w:rsid w:val="001011BA"/>
    <w:rsid w:val="00110027"/>
    <w:rsid w:val="001113DA"/>
    <w:rsid w:val="001113EA"/>
    <w:rsid w:val="001118CB"/>
    <w:rsid w:val="00111B11"/>
    <w:rsid w:val="00112914"/>
    <w:rsid w:val="001149F4"/>
    <w:rsid w:val="001161FE"/>
    <w:rsid w:val="001169ED"/>
    <w:rsid w:val="001204A0"/>
    <w:rsid w:val="00121080"/>
    <w:rsid w:val="00121661"/>
    <w:rsid w:val="00122449"/>
    <w:rsid w:val="001255EF"/>
    <w:rsid w:val="0013147F"/>
    <w:rsid w:val="0013275D"/>
    <w:rsid w:val="00137500"/>
    <w:rsid w:val="00141CB8"/>
    <w:rsid w:val="001435C1"/>
    <w:rsid w:val="00143C23"/>
    <w:rsid w:val="00145C7E"/>
    <w:rsid w:val="001470DA"/>
    <w:rsid w:val="00147712"/>
    <w:rsid w:val="00161566"/>
    <w:rsid w:val="0016315C"/>
    <w:rsid w:val="00164CDA"/>
    <w:rsid w:val="0016524A"/>
    <w:rsid w:val="0017124F"/>
    <w:rsid w:val="001723F2"/>
    <w:rsid w:val="00175BD4"/>
    <w:rsid w:val="0018165B"/>
    <w:rsid w:val="00181E64"/>
    <w:rsid w:val="00185009"/>
    <w:rsid w:val="001860C2"/>
    <w:rsid w:val="00187148"/>
    <w:rsid w:val="00193608"/>
    <w:rsid w:val="0019419C"/>
    <w:rsid w:val="001945CA"/>
    <w:rsid w:val="001951A8"/>
    <w:rsid w:val="001976A7"/>
    <w:rsid w:val="001A0812"/>
    <w:rsid w:val="001A440E"/>
    <w:rsid w:val="001A631C"/>
    <w:rsid w:val="001A6952"/>
    <w:rsid w:val="001A7023"/>
    <w:rsid w:val="001B09C4"/>
    <w:rsid w:val="001B0CAA"/>
    <w:rsid w:val="001B5446"/>
    <w:rsid w:val="001C419C"/>
    <w:rsid w:val="001C426E"/>
    <w:rsid w:val="001C48EF"/>
    <w:rsid w:val="001D1426"/>
    <w:rsid w:val="001D145F"/>
    <w:rsid w:val="001D296F"/>
    <w:rsid w:val="001D3AD8"/>
    <w:rsid w:val="001D53A8"/>
    <w:rsid w:val="001E36F8"/>
    <w:rsid w:val="001F12A9"/>
    <w:rsid w:val="001F137C"/>
    <w:rsid w:val="001F6BD9"/>
    <w:rsid w:val="00201C15"/>
    <w:rsid w:val="00202A1E"/>
    <w:rsid w:val="00211E65"/>
    <w:rsid w:val="00213163"/>
    <w:rsid w:val="00214624"/>
    <w:rsid w:val="00215EC5"/>
    <w:rsid w:val="00217F89"/>
    <w:rsid w:val="00222E4A"/>
    <w:rsid w:val="00227D37"/>
    <w:rsid w:val="00231639"/>
    <w:rsid w:val="00240106"/>
    <w:rsid w:val="00244ACE"/>
    <w:rsid w:val="0024764F"/>
    <w:rsid w:val="00251098"/>
    <w:rsid w:val="0025163D"/>
    <w:rsid w:val="002519C3"/>
    <w:rsid w:val="00253345"/>
    <w:rsid w:val="002536F5"/>
    <w:rsid w:val="00257F69"/>
    <w:rsid w:val="00260037"/>
    <w:rsid w:val="002628F1"/>
    <w:rsid w:val="002647AB"/>
    <w:rsid w:val="00267704"/>
    <w:rsid w:val="002678D7"/>
    <w:rsid w:val="00267A62"/>
    <w:rsid w:val="00270178"/>
    <w:rsid w:val="0027130E"/>
    <w:rsid w:val="00271472"/>
    <w:rsid w:val="00275FDA"/>
    <w:rsid w:val="00281835"/>
    <w:rsid w:val="002821C1"/>
    <w:rsid w:val="00283442"/>
    <w:rsid w:val="0028371C"/>
    <w:rsid w:val="0028580C"/>
    <w:rsid w:val="002867E2"/>
    <w:rsid w:val="00287580"/>
    <w:rsid w:val="00290F56"/>
    <w:rsid w:val="002944F7"/>
    <w:rsid w:val="00295FE0"/>
    <w:rsid w:val="002A024C"/>
    <w:rsid w:val="002A12CA"/>
    <w:rsid w:val="002A439C"/>
    <w:rsid w:val="002A4EC3"/>
    <w:rsid w:val="002A6914"/>
    <w:rsid w:val="002A6D67"/>
    <w:rsid w:val="002B14B3"/>
    <w:rsid w:val="002B51E7"/>
    <w:rsid w:val="002D1ED9"/>
    <w:rsid w:val="002D4D18"/>
    <w:rsid w:val="002D7097"/>
    <w:rsid w:val="002E30E8"/>
    <w:rsid w:val="002E4F01"/>
    <w:rsid w:val="002E55EA"/>
    <w:rsid w:val="002E6A24"/>
    <w:rsid w:val="002F162B"/>
    <w:rsid w:val="002F16E9"/>
    <w:rsid w:val="002F19B0"/>
    <w:rsid w:val="002F4117"/>
    <w:rsid w:val="002F5364"/>
    <w:rsid w:val="00302AA8"/>
    <w:rsid w:val="00307DE7"/>
    <w:rsid w:val="00321934"/>
    <w:rsid w:val="00322BD7"/>
    <w:rsid w:val="003230DF"/>
    <w:rsid w:val="00324D73"/>
    <w:rsid w:val="00325F2F"/>
    <w:rsid w:val="00330C63"/>
    <w:rsid w:val="00332256"/>
    <w:rsid w:val="003352CA"/>
    <w:rsid w:val="003353CB"/>
    <w:rsid w:val="00336154"/>
    <w:rsid w:val="00337675"/>
    <w:rsid w:val="00340ED3"/>
    <w:rsid w:val="00345103"/>
    <w:rsid w:val="003453A7"/>
    <w:rsid w:val="003453E4"/>
    <w:rsid w:val="003455BD"/>
    <w:rsid w:val="00346C09"/>
    <w:rsid w:val="00354846"/>
    <w:rsid w:val="00356055"/>
    <w:rsid w:val="003615D4"/>
    <w:rsid w:val="00362595"/>
    <w:rsid w:val="00371A95"/>
    <w:rsid w:val="00373E18"/>
    <w:rsid w:val="00374625"/>
    <w:rsid w:val="003768E4"/>
    <w:rsid w:val="003804A8"/>
    <w:rsid w:val="00380C83"/>
    <w:rsid w:val="00382ADA"/>
    <w:rsid w:val="003835A0"/>
    <w:rsid w:val="00383630"/>
    <w:rsid w:val="0038427E"/>
    <w:rsid w:val="00384A36"/>
    <w:rsid w:val="003935AB"/>
    <w:rsid w:val="00394359"/>
    <w:rsid w:val="00395C1E"/>
    <w:rsid w:val="003A0D8D"/>
    <w:rsid w:val="003A29FB"/>
    <w:rsid w:val="003A3D19"/>
    <w:rsid w:val="003A6075"/>
    <w:rsid w:val="003B0162"/>
    <w:rsid w:val="003B10C9"/>
    <w:rsid w:val="003B4F95"/>
    <w:rsid w:val="003C278D"/>
    <w:rsid w:val="003C3187"/>
    <w:rsid w:val="003C34BA"/>
    <w:rsid w:val="003C36D7"/>
    <w:rsid w:val="003C4C24"/>
    <w:rsid w:val="003C4CE2"/>
    <w:rsid w:val="003C6031"/>
    <w:rsid w:val="003C700A"/>
    <w:rsid w:val="003D13C9"/>
    <w:rsid w:val="003D3AB6"/>
    <w:rsid w:val="003D5B90"/>
    <w:rsid w:val="003E41CF"/>
    <w:rsid w:val="003E6D07"/>
    <w:rsid w:val="003F1BC4"/>
    <w:rsid w:val="003F5A00"/>
    <w:rsid w:val="003F5A9C"/>
    <w:rsid w:val="003F6A02"/>
    <w:rsid w:val="003F76E0"/>
    <w:rsid w:val="003F7712"/>
    <w:rsid w:val="004038EE"/>
    <w:rsid w:val="0040423E"/>
    <w:rsid w:val="00405F9A"/>
    <w:rsid w:val="00407678"/>
    <w:rsid w:val="00410B7D"/>
    <w:rsid w:val="00410B90"/>
    <w:rsid w:val="00416503"/>
    <w:rsid w:val="00417CC4"/>
    <w:rsid w:val="00420382"/>
    <w:rsid w:val="0042225F"/>
    <w:rsid w:val="00433C1B"/>
    <w:rsid w:val="00434DA5"/>
    <w:rsid w:val="00435E56"/>
    <w:rsid w:val="00441724"/>
    <w:rsid w:val="004423A7"/>
    <w:rsid w:val="00443433"/>
    <w:rsid w:val="00451766"/>
    <w:rsid w:val="00451A86"/>
    <w:rsid w:val="004545BB"/>
    <w:rsid w:val="004568F5"/>
    <w:rsid w:val="00464D4D"/>
    <w:rsid w:val="00467DA9"/>
    <w:rsid w:val="0048656A"/>
    <w:rsid w:val="00486A17"/>
    <w:rsid w:val="0049405F"/>
    <w:rsid w:val="004A1759"/>
    <w:rsid w:val="004A2267"/>
    <w:rsid w:val="004A28B2"/>
    <w:rsid w:val="004A53EA"/>
    <w:rsid w:val="004A6384"/>
    <w:rsid w:val="004A687F"/>
    <w:rsid w:val="004A7DA9"/>
    <w:rsid w:val="004B0423"/>
    <w:rsid w:val="004B0713"/>
    <w:rsid w:val="004B2D37"/>
    <w:rsid w:val="004B4A66"/>
    <w:rsid w:val="004B7AF5"/>
    <w:rsid w:val="004C1102"/>
    <w:rsid w:val="004C18EC"/>
    <w:rsid w:val="004C60DA"/>
    <w:rsid w:val="004D0295"/>
    <w:rsid w:val="004D1524"/>
    <w:rsid w:val="004D6498"/>
    <w:rsid w:val="004E2922"/>
    <w:rsid w:val="004E4DAF"/>
    <w:rsid w:val="004E5FC6"/>
    <w:rsid w:val="004E60C8"/>
    <w:rsid w:val="004E7608"/>
    <w:rsid w:val="004F0766"/>
    <w:rsid w:val="004F1DF6"/>
    <w:rsid w:val="004F47FC"/>
    <w:rsid w:val="004F60D3"/>
    <w:rsid w:val="00506218"/>
    <w:rsid w:val="0050685E"/>
    <w:rsid w:val="00511FB5"/>
    <w:rsid w:val="005135D4"/>
    <w:rsid w:val="005138C3"/>
    <w:rsid w:val="0051590D"/>
    <w:rsid w:val="005248F6"/>
    <w:rsid w:val="00525AD3"/>
    <w:rsid w:val="005269C6"/>
    <w:rsid w:val="00527C9E"/>
    <w:rsid w:val="00532E7F"/>
    <w:rsid w:val="005355B2"/>
    <w:rsid w:val="0054188E"/>
    <w:rsid w:val="005447D2"/>
    <w:rsid w:val="005475A6"/>
    <w:rsid w:val="005509A2"/>
    <w:rsid w:val="00557D80"/>
    <w:rsid w:val="00561B5C"/>
    <w:rsid w:val="00561C75"/>
    <w:rsid w:val="005628FE"/>
    <w:rsid w:val="00573EA2"/>
    <w:rsid w:val="00574118"/>
    <w:rsid w:val="0057426E"/>
    <w:rsid w:val="00574800"/>
    <w:rsid w:val="00575220"/>
    <w:rsid w:val="00576C93"/>
    <w:rsid w:val="00576EDC"/>
    <w:rsid w:val="00581B69"/>
    <w:rsid w:val="00587E90"/>
    <w:rsid w:val="005923A8"/>
    <w:rsid w:val="005A16E0"/>
    <w:rsid w:val="005A21ED"/>
    <w:rsid w:val="005A77A2"/>
    <w:rsid w:val="005B0992"/>
    <w:rsid w:val="005B0C73"/>
    <w:rsid w:val="005B25BF"/>
    <w:rsid w:val="005B450E"/>
    <w:rsid w:val="005B4FD8"/>
    <w:rsid w:val="005B5FC4"/>
    <w:rsid w:val="005B6048"/>
    <w:rsid w:val="005B62B4"/>
    <w:rsid w:val="005B7CFF"/>
    <w:rsid w:val="005C2299"/>
    <w:rsid w:val="005C3133"/>
    <w:rsid w:val="005C4D11"/>
    <w:rsid w:val="005C6EDE"/>
    <w:rsid w:val="005D1205"/>
    <w:rsid w:val="005D52D2"/>
    <w:rsid w:val="005D54DF"/>
    <w:rsid w:val="005D7F9E"/>
    <w:rsid w:val="005E6456"/>
    <w:rsid w:val="005F02F6"/>
    <w:rsid w:val="005F2A62"/>
    <w:rsid w:val="005F3B27"/>
    <w:rsid w:val="005F5553"/>
    <w:rsid w:val="005F72F5"/>
    <w:rsid w:val="005F7544"/>
    <w:rsid w:val="006015AB"/>
    <w:rsid w:val="00602DDF"/>
    <w:rsid w:val="006052EB"/>
    <w:rsid w:val="00605876"/>
    <w:rsid w:val="00606273"/>
    <w:rsid w:val="00607890"/>
    <w:rsid w:val="00610270"/>
    <w:rsid w:val="006108AD"/>
    <w:rsid w:val="00611D35"/>
    <w:rsid w:val="006124A0"/>
    <w:rsid w:val="00614644"/>
    <w:rsid w:val="00617B74"/>
    <w:rsid w:val="0062560E"/>
    <w:rsid w:val="00630A2B"/>
    <w:rsid w:val="006345C7"/>
    <w:rsid w:val="00634A9D"/>
    <w:rsid w:val="00636507"/>
    <w:rsid w:val="00637C5B"/>
    <w:rsid w:val="006427A5"/>
    <w:rsid w:val="00650F13"/>
    <w:rsid w:val="0065322B"/>
    <w:rsid w:val="00653EAC"/>
    <w:rsid w:val="006557AA"/>
    <w:rsid w:val="006607FA"/>
    <w:rsid w:val="00665208"/>
    <w:rsid w:val="00665C94"/>
    <w:rsid w:val="006666EF"/>
    <w:rsid w:val="00667B94"/>
    <w:rsid w:val="0067082E"/>
    <w:rsid w:val="0067088C"/>
    <w:rsid w:val="00670E82"/>
    <w:rsid w:val="006726E7"/>
    <w:rsid w:val="006806B9"/>
    <w:rsid w:val="00681EB2"/>
    <w:rsid w:val="006820C0"/>
    <w:rsid w:val="00685233"/>
    <w:rsid w:val="00690162"/>
    <w:rsid w:val="006924BC"/>
    <w:rsid w:val="00695F0A"/>
    <w:rsid w:val="006A0C56"/>
    <w:rsid w:val="006A24D6"/>
    <w:rsid w:val="006A6635"/>
    <w:rsid w:val="006B399B"/>
    <w:rsid w:val="006B620E"/>
    <w:rsid w:val="006C1593"/>
    <w:rsid w:val="006C31C8"/>
    <w:rsid w:val="006C3432"/>
    <w:rsid w:val="006C3AD1"/>
    <w:rsid w:val="006C5667"/>
    <w:rsid w:val="006C58B8"/>
    <w:rsid w:val="006C780E"/>
    <w:rsid w:val="006D30DE"/>
    <w:rsid w:val="006D32E9"/>
    <w:rsid w:val="006D3930"/>
    <w:rsid w:val="006D3B08"/>
    <w:rsid w:val="006E0E3D"/>
    <w:rsid w:val="006E70F6"/>
    <w:rsid w:val="006F12EA"/>
    <w:rsid w:val="006F464E"/>
    <w:rsid w:val="007017CF"/>
    <w:rsid w:val="007026CA"/>
    <w:rsid w:val="00702765"/>
    <w:rsid w:val="007028A0"/>
    <w:rsid w:val="00705212"/>
    <w:rsid w:val="007153E8"/>
    <w:rsid w:val="00715DF1"/>
    <w:rsid w:val="00727AC5"/>
    <w:rsid w:val="00737776"/>
    <w:rsid w:val="0074101D"/>
    <w:rsid w:val="00742511"/>
    <w:rsid w:val="00744360"/>
    <w:rsid w:val="00744B64"/>
    <w:rsid w:val="0075135D"/>
    <w:rsid w:val="007520C0"/>
    <w:rsid w:val="00752C5D"/>
    <w:rsid w:val="00754226"/>
    <w:rsid w:val="0075479F"/>
    <w:rsid w:val="007549A4"/>
    <w:rsid w:val="0075574D"/>
    <w:rsid w:val="007561FE"/>
    <w:rsid w:val="0075656E"/>
    <w:rsid w:val="007617B4"/>
    <w:rsid w:val="00761DC1"/>
    <w:rsid w:val="007624E8"/>
    <w:rsid w:val="007640DF"/>
    <w:rsid w:val="00765BCF"/>
    <w:rsid w:val="00767654"/>
    <w:rsid w:val="00771D6F"/>
    <w:rsid w:val="00773DC7"/>
    <w:rsid w:val="00774D53"/>
    <w:rsid w:val="00774F11"/>
    <w:rsid w:val="00784C81"/>
    <w:rsid w:val="00785EC3"/>
    <w:rsid w:val="00786573"/>
    <w:rsid w:val="0078694D"/>
    <w:rsid w:val="00792524"/>
    <w:rsid w:val="007967FF"/>
    <w:rsid w:val="007A7050"/>
    <w:rsid w:val="007A7A18"/>
    <w:rsid w:val="007B1D8E"/>
    <w:rsid w:val="007B3F08"/>
    <w:rsid w:val="007C2AC1"/>
    <w:rsid w:val="007C4EB1"/>
    <w:rsid w:val="007D0DE9"/>
    <w:rsid w:val="007D1C48"/>
    <w:rsid w:val="007D3765"/>
    <w:rsid w:val="007E5C23"/>
    <w:rsid w:val="007E68F3"/>
    <w:rsid w:val="007F0BD2"/>
    <w:rsid w:val="007F2E9B"/>
    <w:rsid w:val="007F439B"/>
    <w:rsid w:val="007F4718"/>
    <w:rsid w:val="007F543C"/>
    <w:rsid w:val="007F5E1E"/>
    <w:rsid w:val="0080262B"/>
    <w:rsid w:val="0080317E"/>
    <w:rsid w:val="008033A1"/>
    <w:rsid w:val="00803DCA"/>
    <w:rsid w:val="00805B57"/>
    <w:rsid w:val="00810312"/>
    <w:rsid w:val="008168D7"/>
    <w:rsid w:val="008214E0"/>
    <w:rsid w:val="0082551A"/>
    <w:rsid w:val="00826CE1"/>
    <w:rsid w:val="00831695"/>
    <w:rsid w:val="00834896"/>
    <w:rsid w:val="00837416"/>
    <w:rsid w:val="008468F3"/>
    <w:rsid w:val="008555E3"/>
    <w:rsid w:val="00863949"/>
    <w:rsid w:val="00864626"/>
    <w:rsid w:val="00864914"/>
    <w:rsid w:val="008678CF"/>
    <w:rsid w:val="00867BCA"/>
    <w:rsid w:val="00870751"/>
    <w:rsid w:val="008723C3"/>
    <w:rsid w:val="00873A85"/>
    <w:rsid w:val="00874BC3"/>
    <w:rsid w:val="008767CE"/>
    <w:rsid w:val="008820A2"/>
    <w:rsid w:val="008927A0"/>
    <w:rsid w:val="00892847"/>
    <w:rsid w:val="0089751B"/>
    <w:rsid w:val="0089761A"/>
    <w:rsid w:val="008A3D62"/>
    <w:rsid w:val="008A4C09"/>
    <w:rsid w:val="008A7891"/>
    <w:rsid w:val="008B0AC5"/>
    <w:rsid w:val="008B14A6"/>
    <w:rsid w:val="008B1AB4"/>
    <w:rsid w:val="008B4F73"/>
    <w:rsid w:val="008B6F18"/>
    <w:rsid w:val="008C19C4"/>
    <w:rsid w:val="008C2BE8"/>
    <w:rsid w:val="008C4FF1"/>
    <w:rsid w:val="008C6006"/>
    <w:rsid w:val="008C75B2"/>
    <w:rsid w:val="008C7E9E"/>
    <w:rsid w:val="008D1027"/>
    <w:rsid w:val="008D5DE6"/>
    <w:rsid w:val="008D743D"/>
    <w:rsid w:val="008E2FDF"/>
    <w:rsid w:val="008F0636"/>
    <w:rsid w:val="008F5B96"/>
    <w:rsid w:val="00900106"/>
    <w:rsid w:val="00900795"/>
    <w:rsid w:val="00902C9D"/>
    <w:rsid w:val="0090660B"/>
    <w:rsid w:val="0090715C"/>
    <w:rsid w:val="00912273"/>
    <w:rsid w:val="0091603A"/>
    <w:rsid w:val="00921CF9"/>
    <w:rsid w:val="00925D2A"/>
    <w:rsid w:val="0092766E"/>
    <w:rsid w:val="0093030D"/>
    <w:rsid w:val="009307DF"/>
    <w:rsid w:val="00931166"/>
    <w:rsid w:val="00932B35"/>
    <w:rsid w:val="00933922"/>
    <w:rsid w:val="00934D40"/>
    <w:rsid w:val="00935C75"/>
    <w:rsid w:val="00937453"/>
    <w:rsid w:val="00943D73"/>
    <w:rsid w:val="00944E04"/>
    <w:rsid w:val="00947A6D"/>
    <w:rsid w:val="009542C9"/>
    <w:rsid w:val="00964DB3"/>
    <w:rsid w:val="00967F07"/>
    <w:rsid w:val="00972CCD"/>
    <w:rsid w:val="009732C5"/>
    <w:rsid w:val="00975BA8"/>
    <w:rsid w:val="00975CA7"/>
    <w:rsid w:val="00976701"/>
    <w:rsid w:val="00976971"/>
    <w:rsid w:val="00977364"/>
    <w:rsid w:val="00980BD8"/>
    <w:rsid w:val="00990E6C"/>
    <w:rsid w:val="009928D9"/>
    <w:rsid w:val="00993934"/>
    <w:rsid w:val="00996EDA"/>
    <w:rsid w:val="009A0517"/>
    <w:rsid w:val="009A4055"/>
    <w:rsid w:val="009A4B52"/>
    <w:rsid w:val="009C3FDD"/>
    <w:rsid w:val="009C71D3"/>
    <w:rsid w:val="009D06A1"/>
    <w:rsid w:val="009D1D25"/>
    <w:rsid w:val="009D2502"/>
    <w:rsid w:val="009D49A1"/>
    <w:rsid w:val="009D539F"/>
    <w:rsid w:val="009D63BC"/>
    <w:rsid w:val="009E06CC"/>
    <w:rsid w:val="009E08B1"/>
    <w:rsid w:val="009E19AA"/>
    <w:rsid w:val="009E4AA6"/>
    <w:rsid w:val="009F598B"/>
    <w:rsid w:val="009F66FE"/>
    <w:rsid w:val="009F7261"/>
    <w:rsid w:val="00A00FDB"/>
    <w:rsid w:val="00A018BA"/>
    <w:rsid w:val="00A01E0B"/>
    <w:rsid w:val="00A029E7"/>
    <w:rsid w:val="00A051FB"/>
    <w:rsid w:val="00A06583"/>
    <w:rsid w:val="00A1052C"/>
    <w:rsid w:val="00A1059D"/>
    <w:rsid w:val="00A143F4"/>
    <w:rsid w:val="00A167E1"/>
    <w:rsid w:val="00A24DE7"/>
    <w:rsid w:val="00A25A8D"/>
    <w:rsid w:val="00A30C9E"/>
    <w:rsid w:val="00A3197A"/>
    <w:rsid w:val="00A32F36"/>
    <w:rsid w:val="00A34964"/>
    <w:rsid w:val="00A35AAF"/>
    <w:rsid w:val="00A35F6E"/>
    <w:rsid w:val="00A37F02"/>
    <w:rsid w:val="00A41EC0"/>
    <w:rsid w:val="00A42787"/>
    <w:rsid w:val="00A4782C"/>
    <w:rsid w:val="00A547A7"/>
    <w:rsid w:val="00A572A0"/>
    <w:rsid w:val="00A65E16"/>
    <w:rsid w:val="00A668A9"/>
    <w:rsid w:val="00A66F58"/>
    <w:rsid w:val="00A6703F"/>
    <w:rsid w:val="00A67209"/>
    <w:rsid w:val="00A7546F"/>
    <w:rsid w:val="00A836BC"/>
    <w:rsid w:val="00A8447A"/>
    <w:rsid w:val="00A84E5F"/>
    <w:rsid w:val="00A85809"/>
    <w:rsid w:val="00A85AC4"/>
    <w:rsid w:val="00A87409"/>
    <w:rsid w:val="00A904A9"/>
    <w:rsid w:val="00A92F14"/>
    <w:rsid w:val="00A933CB"/>
    <w:rsid w:val="00A94957"/>
    <w:rsid w:val="00A9509E"/>
    <w:rsid w:val="00A95B1E"/>
    <w:rsid w:val="00A96CC9"/>
    <w:rsid w:val="00A97831"/>
    <w:rsid w:val="00AA129F"/>
    <w:rsid w:val="00AA2591"/>
    <w:rsid w:val="00AA3690"/>
    <w:rsid w:val="00AB1469"/>
    <w:rsid w:val="00AB5637"/>
    <w:rsid w:val="00AB659F"/>
    <w:rsid w:val="00AB779B"/>
    <w:rsid w:val="00AC2829"/>
    <w:rsid w:val="00AC2C23"/>
    <w:rsid w:val="00AC44C8"/>
    <w:rsid w:val="00AC4855"/>
    <w:rsid w:val="00AC54A6"/>
    <w:rsid w:val="00AC5A30"/>
    <w:rsid w:val="00AC5FC2"/>
    <w:rsid w:val="00AC615B"/>
    <w:rsid w:val="00AD0CE4"/>
    <w:rsid w:val="00AE03BE"/>
    <w:rsid w:val="00AE1262"/>
    <w:rsid w:val="00AE12F4"/>
    <w:rsid w:val="00AE1BCE"/>
    <w:rsid w:val="00AE2E69"/>
    <w:rsid w:val="00AE3A0B"/>
    <w:rsid w:val="00AE45D7"/>
    <w:rsid w:val="00AE6B7A"/>
    <w:rsid w:val="00AE720D"/>
    <w:rsid w:val="00AF6530"/>
    <w:rsid w:val="00AF734A"/>
    <w:rsid w:val="00AF7BAB"/>
    <w:rsid w:val="00B010F5"/>
    <w:rsid w:val="00B04A5D"/>
    <w:rsid w:val="00B0556F"/>
    <w:rsid w:val="00B064A2"/>
    <w:rsid w:val="00B06DBF"/>
    <w:rsid w:val="00B07BDB"/>
    <w:rsid w:val="00B11A47"/>
    <w:rsid w:val="00B11DFE"/>
    <w:rsid w:val="00B133BE"/>
    <w:rsid w:val="00B15601"/>
    <w:rsid w:val="00B157B7"/>
    <w:rsid w:val="00B1692D"/>
    <w:rsid w:val="00B17F8F"/>
    <w:rsid w:val="00B228FA"/>
    <w:rsid w:val="00B238F4"/>
    <w:rsid w:val="00B23C71"/>
    <w:rsid w:val="00B33939"/>
    <w:rsid w:val="00B352AB"/>
    <w:rsid w:val="00B373FE"/>
    <w:rsid w:val="00B43C70"/>
    <w:rsid w:val="00B46D9E"/>
    <w:rsid w:val="00B47480"/>
    <w:rsid w:val="00B5062D"/>
    <w:rsid w:val="00B53321"/>
    <w:rsid w:val="00B5384D"/>
    <w:rsid w:val="00B539B4"/>
    <w:rsid w:val="00B53CF2"/>
    <w:rsid w:val="00B544F8"/>
    <w:rsid w:val="00B600A0"/>
    <w:rsid w:val="00B6448D"/>
    <w:rsid w:val="00B65933"/>
    <w:rsid w:val="00B7090D"/>
    <w:rsid w:val="00B7153C"/>
    <w:rsid w:val="00B76B5D"/>
    <w:rsid w:val="00B80A20"/>
    <w:rsid w:val="00B80B89"/>
    <w:rsid w:val="00B81DF4"/>
    <w:rsid w:val="00B822A3"/>
    <w:rsid w:val="00B82C05"/>
    <w:rsid w:val="00B84B3B"/>
    <w:rsid w:val="00B86862"/>
    <w:rsid w:val="00B8742E"/>
    <w:rsid w:val="00BA3DC2"/>
    <w:rsid w:val="00BA7F27"/>
    <w:rsid w:val="00BB3618"/>
    <w:rsid w:val="00BB3813"/>
    <w:rsid w:val="00BB61E9"/>
    <w:rsid w:val="00BB7E35"/>
    <w:rsid w:val="00BC4EB7"/>
    <w:rsid w:val="00BC6FBB"/>
    <w:rsid w:val="00BD198C"/>
    <w:rsid w:val="00BD2909"/>
    <w:rsid w:val="00BD2BD9"/>
    <w:rsid w:val="00BD35C4"/>
    <w:rsid w:val="00BD4AED"/>
    <w:rsid w:val="00BD60FD"/>
    <w:rsid w:val="00BD73DC"/>
    <w:rsid w:val="00BE106B"/>
    <w:rsid w:val="00BE1AB8"/>
    <w:rsid w:val="00BE1EE9"/>
    <w:rsid w:val="00BE33A6"/>
    <w:rsid w:val="00BE387A"/>
    <w:rsid w:val="00BE58F6"/>
    <w:rsid w:val="00BE6DE2"/>
    <w:rsid w:val="00BF214D"/>
    <w:rsid w:val="00BF60E0"/>
    <w:rsid w:val="00C01B7D"/>
    <w:rsid w:val="00C11C7B"/>
    <w:rsid w:val="00C130B1"/>
    <w:rsid w:val="00C157CF"/>
    <w:rsid w:val="00C16778"/>
    <w:rsid w:val="00C2040D"/>
    <w:rsid w:val="00C262C9"/>
    <w:rsid w:val="00C266EE"/>
    <w:rsid w:val="00C33973"/>
    <w:rsid w:val="00C34AA3"/>
    <w:rsid w:val="00C361AA"/>
    <w:rsid w:val="00C36612"/>
    <w:rsid w:val="00C36D78"/>
    <w:rsid w:val="00C43586"/>
    <w:rsid w:val="00C5148B"/>
    <w:rsid w:val="00C6212D"/>
    <w:rsid w:val="00C623CC"/>
    <w:rsid w:val="00C6310E"/>
    <w:rsid w:val="00C648B8"/>
    <w:rsid w:val="00C67C90"/>
    <w:rsid w:val="00C70110"/>
    <w:rsid w:val="00C72345"/>
    <w:rsid w:val="00C74DB9"/>
    <w:rsid w:val="00C83652"/>
    <w:rsid w:val="00C848CE"/>
    <w:rsid w:val="00C849A0"/>
    <w:rsid w:val="00C9155D"/>
    <w:rsid w:val="00C96C19"/>
    <w:rsid w:val="00C9721C"/>
    <w:rsid w:val="00C97248"/>
    <w:rsid w:val="00CA0778"/>
    <w:rsid w:val="00CA0977"/>
    <w:rsid w:val="00CA5F6B"/>
    <w:rsid w:val="00CB421E"/>
    <w:rsid w:val="00CC34CF"/>
    <w:rsid w:val="00CC53BB"/>
    <w:rsid w:val="00CD0246"/>
    <w:rsid w:val="00CD1139"/>
    <w:rsid w:val="00CD37BB"/>
    <w:rsid w:val="00CD5761"/>
    <w:rsid w:val="00CE0539"/>
    <w:rsid w:val="00CE0B76"/>
    <w:rsid w:val="00CE27F1"/>
    <w:rsid w:val="00CE2B2F"/>
    <w:rsid w:val="00CE3BAE"/>
    <w:rsid w:val="00CE3CC2"/>
    <w:rsid w:val="00CE72B9"/>
    <w:rsid w:val="00CF2053"/>
    <w:rsid w:val="00CF7150"/>
    <w:rsid w:val="00CF7569"/>
    <w:rsid w:val="00CF781A"/>
    <w:rsid w:val="00D01489"/>
    <w:rsid w:val="00D019A9"/>
    <w:rsid w:val="00D02BBA"/>
    <w:rsid w:val="00D040F4"/>
    <w:rsid w:val="00D04BC6"/>
    <w:rsid w:val="00D07C81"/>
    <w:rsid w:val="00D10188"/>
    <w:rsid w:val="00D11DEF"/>
    <w:rsid w:val="00D121D5"/>
    <w:rsid w:val="00D14769"/>
    <w:rsid w:val="00D1779C"/>
    <w:rsid w:val="00D17A57"/>
    <w:rsid w:val="00D20525"/>
    <w:rsid w:val="00D22956"/>
    <w:rsid w:val="00D250C6"/>
    <w:rsid w:val="00D2618D"/>
    <w:rsid w:val="00D271F3"/>
    <w:rsid w:val="00D27571"/>
    <w:rsid w:val="00D307D7"/>
    <w:rsid w:val="00D33107"/>
    <w:rsid w:val="00D331A9"/>
    <w:rsid w:val="00D3426D"/>
    <w:rsid w:val="00D34CE5"/>
    <w:rsid w:val="00D36A69"/>
    <w:rsid w:val="00D40369"/>
    <w:rsid w:val="00D435A8"/>
    <w:rsid w:val="00D43D4C"/>
    <w:rsid w:val="00D47F65"/>
    <w:rsid w:val="00D5059A"/>
    <w:rsid w:val="00D5118F"/>
    <w:rsid w:val="00D515DF"/>
    <w:rsid w:val="00D52692"/>
    <w:rsid w:val="00D529C5"/>
    <w:rsid w:val="00D52C3B"/>
    <w:rsid w:val="00D53225"/>
    <w:rsid w:val="00D549D1"/>
    <w:rsid w:val="00D54A88"/>
    <w:rsid w:val="00D57E29"/>
    <w:rsid w:val="00D653E2"/>
    <w:rsid w:val="00D65796"/>
    <w:rsid w:val="00D65EA8"/>
    <w:rsid w:val="00D72BC0"/>
    <w:rsid w:val="00D74A04"/>
    <w:rsid w:val="00D75B21"/>
    <w:rsid w:val="00D826DB"/>
    <w:rsid w:val="00D85866"/>
    <w:rsid w:val="00D9077C"/>
    <w:rsid w:val="00D90B55"/>
    <w:rsid w:val="00D92FEA"/>
    <w:rsid w:val="00D958E2"/>
    <w:rsid w:val="00D97D04"/>
    <w:rsid w:val="00DA0759"/>
    <w:rsid w:val="00DA4A8E"/>
    <w:rsid w:val="00DA4AAF"/>
    <w:rsid w:val="00DB1C85"/>
    <w:rsid w:val="00DB291B"/>
    <w:rsid w:val="00DB4A11"/>
    <w:rsid w:val="00DB6E1D"/>
    <w:rsid w:val="00DB6EB9"/>
    <w:rsid w:val="00DB71F9"/>
    <w:rsid w:val="00DB77B9"/>
    <w:rsid w:val="00DC1373"/>
    <w:rsid w:val="00DD1C15"/>
    <w:rsid w:val="00DD2D63"/>
    <w:rsid w:val="00DD461D"/>
    <w:rsid w:val="00DD487F"/>
    <w:rsid w:val="00DD5A08"/>
    <w:rsid w:val="00DD75B5"/>
    <w:rsid w:val="00DE5C90"/>
    <w:rsid w:val="00DF3A31"/>
    <w:rsid w:val="00DF3BA1"/>
    <w:rsid w:val="00DF6902"/>
    <w:rsid w:val="00DF7E2F"/>
    <w:rsid w:val="00E00161"/>
    <w:rsid w:val="00E01551"/>
    <w:rsid w:val="00E01C02"/>
    <w:rsid w:val="00E06C77"/>
    <w:rsid w:val="00E07C73"/>
    <w:rsid w:val="00E132EA"/>
    <w:rsid w:val="00E159E7"/>
    <w:rsid w:val="00E2008F"/>
    <w:rsid w:val="00E20B2D"/>
    <w:rsid w:val="00E21946"/>
    <w:rsid w:val="00E23E04"/>
    <w:rsid w:val="00E24F85"/>
    <w:rsid w:val="00E30126"/>
    <w:rsid w:val="00E3031D"/>
    <w:rsid w:val="00E31961"/>
    <w:rsid w:val="00E34CCA"/>
    <w:rsid w:val="00E35FA2"/>
    <w:rsid w:val="00E378EF"/>
    <w:rsid w:val="00E444E6"/>
    <w:rsid w:val="00E54244"/>
    <w:rsid w:val="00E61D18"/>
    <w:rsid w:val="00E63CE0"/>
    <w:rsid w:val="00E64BE4"/>
    <w:rsid w:val="00E674AE"/>
    <w:rsid w:val="00E67F46"/>
    <w:rsid w:val="00E71803"/>
    <w:rsid w:val="00E72DBE"/>
    <w:rsid w:val="00E742FD"/>
    <w:rsid w:val="00E7506A"/>
    <w:rsid w:val="00E761AB"/>
    <w:rsid w:val="00E7626C"/>
    <w:rsid w:val="00E8446A"/>
    <w:rsid w:val="00E905BE"/>
    <w:rsid w:val="00E913B6"/>
    <w:rsid w:val="00E923F2"/>
    <w:rsid w:val="00E93A18"/>
    <w:rsid w:val="00E973F2"/>
    <w:rsid w:val="00EA0580"/>
    <w:rsid w:val="00EB416B"/>
    <w:rsid w:val="00EB74F9"/>
    <w:rsid w:val="00EC0455"/>
    <w:rsid w:val="00EC06B5"/>
    <w:rsid w:val="00ED17B2"/>
    <w:rsid w:val="00ED1C62"/>
    <w:rsid w:val="00EE0926"/>
    <w:rsid w:val="00EE147E"/>
    <w:rsid w:val="00EE2E17"/>
    <w:rsid w:val="00EE7BDC"/>
    <w:rsid w:val="00EF242E"/>
    <w:rsid w:val="00EF38EC"/>
    <w:rsid w:val="00EF5C86"/>
    <w:rsid w:val="00EF6A3A"/>
    <w:rsid w:val="00F00380"/>
    <w:rsid w:val="00F019F8"/>
    <w:rsid w:val="00F06EC5"/>
    <w:rsid w:val="00F13A0B"/>
    <w:rsid w:val="00F14551"/>
    <w:rsid w:val="00F14ACA"/>
    <w:rsid w:val="00F246CA"/>
    <w:rsid w:val="00F25E18"/>
    <w:rsid w:val="00F2662C"/>
    <w:rsid w:val="00F27D65"/>
    <w:rsid w:val="00F32170"/>
    <w:rsid w:val="00F3655E"/>
    <w:rsid w:val="00F40D88"/>
    <w:rsid w:val="00F411F7"/>
    <w:rsid w:val="00F41953"/>
    <w:rsid w:val="00F4332E"/>
    <w:rsid w:val="00F44D41"/>
    <w:rsid w:val="00F44F89"/>
    <w:rsid w:val="00F45041"/>
    <w:rsid w:val="00F472B8"/>
    <w:rsid w:val="00F52AAE"/>
    <w:rsid w:val="00F52F55"/>
    <w:rsid w:val="00F565F3"/>
    <w:rsid w:val="00F56643"/>
    <w:rsid w:val="00F6273E"/>
    <w:rsid w:val="00F65131"/>
    <w:rsid w:val="00F660FB"/>
    <w:rsid w:val="00F70495"/>
    <w:rsid w:val="00F70B89"/>
    <w:rsid w:val="00F72AA3"/>
    <w:rsid w:val="00F7786F"/>
    <w:rsid w:val="00F822BF"/>
    <w:rsid w:val="00F83240"/>
    <w:rsid w:val="00F85305"/>
    <w:rsid w:val="00F90B5E"/>
    <w:rsid w:val="00F9104A"/>
    <w:rsid w:val="00F91371"/>
    <w:rsid w:val="00F94FB2"/>
    <w:rsid w:val="00FA0979"/>
    <w:rsid w:val="00FA0A82"/>
    <w:rsid w:val="00FA2E82"/>
    <w:rsid w:val="00FA2FD6"/>
    <w:rsid w:val="00FA4675"/>
    <w:rsid w:val="00FA51FA"/>
    <w:rsid w:val="00FA556D"/>
    <w:rsid w:val="00FA5C9F"/>
    <w:rsid w:val="00FB09AA"/>
    <w:rsid w:val="00FB18DD"/>
    <w:rsid w:val="00FB21A9"/>
    <w:rsid w:val="00FB4766"/>
    <w:rsid w:val="00FB618E"/>
    <w:rsid w:val="00FC15C7"/>
    <w:rsid w:val="00FC5593"/>
    <w:rsid w:val="00FC62D1"/>
    <w:rsid w:val="00FC7345"/>
    <w:rsid w:val="00FC7926"/>
    <w:rsid w:val="00FD20B5"/>
    <w:rsid w:val="00FD2AB9"/>
    <w:rsid w:val="00FD49C7"/>
    <w:rsid w:val="00FD7DBB"/>
    <w:rsid w:val="00FE0A9D"/>
    <w:rsid w:val="00FE2ED4"/>
    <w:rsid w:val="00FE4355"/>
    <w:rsid w:val="00FE4A84"/>
    <w:rsid w:val="00FE5ACF"/>
    <w:rsid w:val="00FE6736"/>
    <w:rsid w:val="00FE6BE9"/>
    <w:rsid w:val="00FE752C"/>
    <w:rsid w:val="00FE771E"/>
    <w:rsid w:val="00FE787B"/>
    <w:rsid w:val="00FF004F"/>
    <w:rsid w:val="00FF19E6"/>
    <w:rsid w:val="00FF3DB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041762"/>
  <w15:chartTrackingRefBased/>
  <w15:docId w15:val="{0B6759B7-E720-4499-8B89-F6C690D2A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AB5637"/>
    <w:pPr>
      <w:keepNext/>
      <w:spacing w:before="240" w:after="60" w:line="240" w:lineRule="auto"/>
      <w:outlineLvl w:val="0"/>
    </w:pPr>
    <w:rPr>
      <w:rFonts w:ascii="Arial" w:eastAsia="Times New Roman"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B5637"/>
    <w:rPr>
      <w:rFonts w:ascii="Arial" w:eastAsia="Times New Roman" w:hAnsi="Arial" w:cs="Arial"/>
      <w:b/>
      <w:bCs/>
      <w:kern w:val="32"/>
      <w:sz w:val="32"/>
      <w:szCs w:val="32"/>
    </w:rPr>
  </w:style>
  <w:style w:type="paragraph" w:styleId="ListParagraph">
    <w:name w:val="List Paragraph"/>
    <w:basedOn w:val="Normal"/>
    <w:uiPriority w:val="34"/>
    <w:qFormat/>
    <w:rsid w:val="005355B2"/>
    <w:pPr>
      <w:ind w:left="720"/>
      <w:contextualSpacing/>
    </w:pPr>
  </w:style>
  <w:style w:type="paragraph" w:styleId="BalloonText">
    <w:name w:val="Balloon Text"/>
    <w:basedOn w:val="Normal"/>
    <w:link w:val="BalloonTextChar"/>
    <w:uiPriority w:val="99"/>
    <w:semiHidden/>
    <w:unhideWhenUsed/>
    <w:rsid w:val="00F7049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0495"/>
    <w:rPr>
      <w:rFonts w:ascii="Segoe UI" w:hAnsi="Segoe UI" w:cs="Segoe UI"/>
      <w:sz w:val="18"/>
      <w:szCs w:val="18"/>
    </w:rPr>
  </w:style>
  <w:style w:type="table" w:styleId="TableGrid">
    <w:name w:val="Table Grid"/>
    <w:basedOn w:val="TableNormal"/>
    <w:uiPriority w:val="39"/>
    <w:rsid w:val="00BF21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8B14A6"/>
    <w:rPr>
      <w:color w:val="0000FF"/>
      <w:u w:val="single"/>
    </w:rPr>
  </w:style>
  <w:style w:type="paragraph" w:styleId="Header">
    <w:name w:val="header"/>
    <w:basedOn w:val="Normal"/>
    <w:link w:val="HeaderChar"/>
    <w:uiPriority w:val="99"/>
    <w:unhideWhenUsed/>
    <w:rsid w:val="001860C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860C2"/>
  </w:style>
  <w:style w:type="paragraph" w:styleId="Footer">
    <w:name w:val="footer"/>
    <w:basedOn w:val="Normal"/>
    <w:link w:val="FooterChar"/>
    <w:uiPriority w:val="99"/>
    <w:unhideWhenUsed/>
    <w:rsid w:val="001860C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860C2"/>
  </w:style>
  <w:style w:type="character" w:styleId="UnresolvedMention">
    <w:name w:val="Unresolved Mention"/>
    <w:basedOn w:val="DefaultParagraphFont"/>
    <w:uiPriority w:val="99"/>
    <w:semiHidden/>
    <w:unhideWhenUsed/>
    <w:rsid w:val="00F00380"/>
    <w:rPr>
      <w:color w:val="808080"/>
      <w:shd w:val="clear" w:color="auto" w:fill="E6E6E6"/>
    </w:rPr>
  </w:style>
  <w:style w:type="paragraph" w:styleId="BodyText2">
    <w:name w:val="Body Text 2"/>
    <w:basedOn w:val="Normal"/>
    <w:link w:val="BodyText2Char"/>
    <w:rsid w:val="001D3AD8"/>
    <w:pPr>
      <w:spacing w:after="120" w:line="480" w:lineRule="auto"/>
    </w:pPr>
    <w:rPr>
      <w:rFonts w:ascii="Century Gothic" w:eastAsia="Times New Roman" w:hAnsi="Century Gothic" w:cs="Arial"/>
      <w:sz w:val="20"/>
      <w:szCs w:val="20"/>
    </w:rPr>
  </w:style>
  <w:style w:type="character" w:customStyle="1" w:styleId="BodyText2Char">
    <w:name w:val="Body Text 2 Char"/>
    <w:basedOn w:val="DefaultParagraphFont"/>
    <w:link w:val="BodyText2"/>
    <w:rsid w:val="001D3AD8"/>
    <w:rPr>
      <w:rFonts w:ascii="Century Gothic" w:eastAsia="Times New Roman" w:hAnsi="Century Gothic"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929264">
      <w:bodyDiv w:val="1"/>
      <w:marLeft w:val="0"/>
      <w:marRight w:val="0"/>
      <w:marTop w:val="0"/>
      <w:marBottom w:val="0"/>
      <w:divBdr>
        <w:top w:val="none" w:sz="0" w:space="0" w:color="auto"/>
        <w:left w:val="none" w:sz="0" w:space="0" w:color="auto"/>
        <w:bottom w:val="none" w:sz="0" w:space="0" w:color="auto"/>
        <w:right w:val="none" w:sz="0" w:space="0" w:color="auto"/>
      </w:divBdr>
    </w:div>
    <w:div w:id="809636148">
      <w:bodyDiv w:val="1"/>
      <w:marLeft w:val="0"/>
      <w:marRight w:val="0"/>
      <w:marTop w:val="0"/>
      <w:marBottom w:val="0"/>
      <w:divBdr>
        <w:top w:val="none" w:sz="0" w:space="0" w:color="auto"/>
        <w:left w:val="none" w:sz="0" w:space="0" w:color="auto"/>
        <w:bottom w:val="none" w:sz="0" w:space="0" w:color="auto"/>
        <w:right w:val="none" w:sz="0" w:space="0" w:color="auto"/>
      </w:divBdr>
    </w:div>
    <w:div w:id="1002664359">
      <w:bodyDiv w:val="1"/>
      <w:marLeft w:val="0"/>
      <w:marRight w:val="0"/>
      <w:marTop w:val="0"/>
      <w:marBottom w:val="0"/>
      <w:divBdr>
        <w:top w:val="none" w:sz="0" w:space="0" w:color="auto"/>
        <w:left w:val="none" w:sz="0" w:space="0" w:color="auto"/>
        <w:bottom w:val="none" w:sz="0" w:space="0" w:color="auto"/>
        <w:right w:val="none" w:sz="0" w:space="0" w:color="auto"/>
      </w:divBdr>
    </w:div>
    <w:div w:id="1897007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gi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etfsa.co.za" TargetMode="Externa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file:///\\etfsa-fs01.etfsa.co.za\etfSA.co.za\SHERRYL\ETFSA\Website\WEB%20-%20News\2022\market%20cap%202008%20to%20Jun2022.xlsx" TargetMode="Externa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Verdana" panose="020B0604030504040204" pitchFamily="34" charset="0"/>
              <a:ea typeface="Verdana" panose="020B0604030504040204" pitchFamily="34" charset="0"/>
              <a:cs typeface="Verdana" panose="020B0604030504040204" pitchFamily="34" charset="0"/>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0862707582112983"/>
          <c:y val="0.25184881205810183"/>
          <c:w val="0.86395859396080166"/>
          <c:h val="0.54915899356228681"/>
        </c:manualLayout>
      </c:layout>
      <c:bar3DChart>
        <c:barDir val="col"/>
        <c:grouping val="clustered"/>
        <c:varyColors val="0"/>
        <c:ser>
          <c:idx val="0"/>
          <c:order val="0"/>
          <c:tx>
            <c:strRef>
              <c:f>Sheet1!$B$1</c:f>
              <c:strCache>
                <c:ptCount val="1"/>
              </c:strCache>
            </c:strRef>
          </c:tx>
          <c:spPr>
            <a:solidFill>
              <a:srgbClr val="C00000"/>
            </a:solidFill>
            <a:ln>
              <a:solidFill>
                <a:schemeClr val="tx1">
                  <a:lumMod val="75000"/>
                  <a:lumOff val="25000"/>
                </a:schemeClr>
              </a:solidFill>
            </a:ln>
            <a:effectLst/>
            <a:sp3d>
              <a:contourClr>
                <a:schemeClr val="tx1">
                  <a:lumMod val="75000"/>
                  <a:lumOff val="25000"/>
                </a:schemeClr>
              </a:contourClr>
            </a:sp3d>
          </c:spPr>
          <c:invertIfNegative val="0"/>
          <c:dLbls>
            <c:dLbl>
              <c:idx val="6"/>
              <c:layout>
                <c:manualLayout>
                  <c:x val="4.9844236760124613E-3"/>
                  <c:y val="-1.696712619300106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67A9-443D-94D6-752A04792394}"/>
                </c:ext>
              </c:extLst>
            </c:dLbl>
            <c:dLbl>
              <c:idx val="7"/>
              <c:layout>
                <c:manualLayout>
                  <c:x val="1.2461059190031062E-2"/>
                  <c:y val="-4.2417815482502655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67A9-443D-94D6-752A04792394}"/>
                </c:ext>
              </c:extLst>
            </c:dLbl>
            <c:dLbl>
              <c:idx val="8"/>
              <c:layout>
                <c:manualLayout>
                  <c:x val="5.6417476890489758E-3"/>
                  <c:y val="4.2418801884292149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67A9-443D-94D6-752A04792394}"/>
                </c:ext>
              </c:extLst>
            </c:dLbl>
            <c:dLbl>
              <c:idx val="10"/>
              <c:layout>
                <c:manualLayout>
                  <c:x val="9.9688473520249225E-3"/>
                  <c:y val="1.944127417555545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67A9-443D-94D6-752A04792394}"/>
                </c:ext>
              </c:extLst>
            </c:dLbl>
            <c:dLbl>
              <c:idx val="13"/>
              <c:layout>
                <c:manualLayout>
                  <c:x val="-2.0645157095218268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67A9-443D-94D6-752A04792394}"/>
                </c:ext>
              </c:extLst>
            </c:dLbl>
            <c:dLbl>
              <c:idx val="14"/>
              <c:layout>
                <c:manualLayout>
                  <c:x val="1.805286545071446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67A9-443D-94D6-752A04792394}"/>
                </c:ext>
              </c:extLst>
            </c:dLbl>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tx1">
                        <a:lumMod val="75000"/>
                        <a:lumOff val="25000"/>
                      </a:schemeClr>
                    </a:solidFill>
                    <a:latin typeface="Verdana" panose="020B0604030504040204" pitchFamily="34" charset="0"/>
                    <a:ea typeface="Verdana" panose="020B0604030504040204" pitchFamily="34" charset="0"/>
                    <a:cs typeface="Verdana" panose="020B060403050404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Sheet1!$A$2:$A$16</c:f>
              <c:strCache>
                <c:ptCount val="15"/>
                <c:pt idx="0">
                  <c:v>2008</c:v>
                </c:pt>
                <c:pt idx="1">
                  <c:v>2009</c:v>
                </c:pt>
                <c:pt idx="2">
                  <c:v>2010</c:v>
                </c:pt>
                <c:pt idx="3">
                  <c:v>2011</c:v>
                </c:pt>
                <c:pt idx="4">
                  <c:v>2012</c:v>
                </c:pt>
                <c:pt idx="5">
                  <c:v>2013</c:v>
                </c:pt>
                <c:pt idx="6">
                  <c:v>2014</c:v>
                </c:pt>
                <c:pt idx="7">
                  <c:v>2015</c:v>
                </c:pt>
                <c:pt idx="8">
                  <c:v>2016</c:v>
                </c:pt>
                <c:pt idx="9">
                  <c:v>2017</c:v>
                </c:pt>
                <c:pt idx="10">
                  <c:v>2018</c:v>
                </c:pt>
                <c:pt idx="11">
                  <c:v>2019</c:v>
                </c:pt>
                <c:pt idx="12">
                  <c:v>2020</c:v>
                </c:pt>
                <c:pt idx="13">
                  <c:v>2021</c:v>
                </c:pt>
                <c:pt idx="14">
                  <c:v>2022 Jun</c:v>
                </c:pt>
              </c:strCache>
            </c:strRef>
          </c:cat>
          <c:val>
            <c:numRef>
              <c:f>Sheet1!$B$2:$B$16</c:f>
              <c:numCache>
                <c:formatCode>General</c:formatCode>
                <c:ptCount val="15"/>
                <c:pt idx="0">
                  <c:v>15806</c:v>
                </c:pt>
                <c:pt idx="1">
                  <c:v>26602</c:v>
                </c:pt>
                <c:pt idx="2">
                  <c:v>32273</c:v>
                </c:pt>
                <c:pt idx="3">
                  <c:v>38942</c:v>
                </c:pt>
                <c:pt idx="4">
                  <c:v>47616</c:v>
                </c:pt>
                <c:pt idx="5">
                  <c:v>62632</c:v>
                </c:pt>
                <c:pt idx="6">
                  <c:v>78890</c:v>
                </c:pt>
                <c:pt idx="7">
                  <c:v>77080</c:v>
                </c:pt>
                <c:pt idx="8">
                  <c:v>73515</c:v>
                </c:pt>
                <c:pt idx="9">
                  <c:v>85027</c:v>
                </c:pt>
                <c:pt idx="10">
                  <c:v>77786</c:v>
                </c:pt>
                <c:pt idx="11">
                  <c:v>100782</c:v>
                </c:pt>
                <c:pt idx="12">
                  <c:v>111026</c:v>
                </c:pt>
                <c:pt idx="13">
                  <c:v>136049</c:v>
                </c:pt>
                <c:pt idx="14">
                  <c:v>122568</c:v>
                </c:pt>
              </c:numCache>
            </c:numRef>
          </c:val>
          <c:extLst>
            <c:ext xmlns:c16="http://schemas.microsoft.com/office/drawing/2014/chart" uri="{C3380CC4-5D6E-409C-BE32-E72D297353CC}">
              <c16:uniqueId val="{00000006-67A9-443D-94D6-752A04792394}"/>
            </c:ext>
          </c:extLst>
        </c:ser>
        <c:dLbls>
          <c:showLegendKey val="0"/>
          <c:showVal val="0"/>
          <c:showCatName val="0"/>
          <c:showSerName val="0"/>
          <c:showPercent val="0"/>
          <c:showBubbleSize val="0"/>
        </c:dLbls>
        <c:gapWidth val="150"/>
        <c:shape val="box"/>
        <c:axId val="314479968"/>
        <c:axId val="254596752"/>
        <c:axId val="0"/>
      </c:bar3DChart>
      <c:catAx>
        <c:axId val="314479968"/>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Verdana" panose="020B0604030504040204" pitchFamily="34" charset="0"/>
                <a:ea typeface="Verdana" panose="020B0604030504040204" pitchFamily="34" charset="0"/>
                <a:cs typeface="Verdana" panose="020B0604030504040204" pitchFamily="34" charset="0"/>
              </a:defRPr>
            </a:pPr>
            <a:endParaRPr lang="en-US"/>
          </a:p>
        </c:txPr>
        <c:crossAx val="254596752"/>
        <c:crosses val="autoZero"/>
        <c:auto val="1"/>
        <c:lblAlgn val="ctr"/>
        <c:lblOffset val="100"/>
        <c:noMultiLvlLbl val="0"/>
      </c:catAx>
      <c:valAx>
        <c:axId val="25459675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Verdana" panose="020B0604030504040204" pitchFamily="34" charset="0"/>
                <a:ea typeface="Verdana" panose="020B0604030504040204" pitchFamily="34" charset="0"/>
                <a:cs typeface="Verdana" panose="020B0604030504040204" pitchFamily="34" charset="0"/>
              </a:defRPr>
            </a:pPr>
            <a:endParaRPr lang="en-US"/>
          </a:p>
        </c:txPr>
        <c:crossAx val="31447996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Verdana" panose="020B0604030504040204" pitchFamily="34" charset="0"/>
          <a:ea typeface="Verdana" panose="020B0604030504040204" pitchFamily="34" charset="0"/>
          <a:cs typeface="Verdana" panose="020B0604030504040204" pitchFamily="34" charset="0"/>
        </a:defRPr>
      </a:pPr>
      <a:endParaRPr lang="en-US"/>
    </a:p>
  </c:txPr>
  <c:externalData r:id="rId3">
    <c:autoUpdate val="0"/>
  </c:externalData>
  <c:userShapes r:id="rId4"/>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0.20561</cdr:x>
      <cdr:y>0.00923</cdr:y>
    </cdr:from>
    <cdr:to>
      <cdr:x>0.74953</cdr:x>
      <cdr:y>0.22801</cdr:y>
    </cdr:to>
    <cdr:sp macro="" textlink="">
      <cdr:nvSpPr>
        <cdr:cNvPr id="2" name="TextBox 1">
          <a:extLst xmlns:a="http://schemas.openxmlformats.org/drawingml/2006/main">
            <a:ext uri="{FF2B5EF4-FFF2-40B4-BE49-F238E27FC236}">
              <a16:creationId xmlns:a16="http://schemas.microsoft.com/office/drawing/2014/main" id="{71B3CF54-1390-4A8C-BE09-B1C289F383B0}"/>
            </a:ext>
          </a:extLst>
        </cdr:cNvPr>
        <cdr:cNvSpPr txBox="1"/>
      </cdr:nvSpPr>
      <cdr:spPr>
        <a:xfrm xmlns:a="http://schemas.openxmlformats.org/drawingml/2006/main">
          <a:off x="925687" y="26990"/>
          <a:ext cx="2448810" cy="63976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pPr marL="0" marR="0" lvl="0" indent="0" algn="ctr" defTabSz="914400" eaLnBrk="1" fontAlgn="auto" latinLnBrk="0" hangingPunct="1">
            <a:lnSpc>
              <a:spcPct val="100000"/>
            </a:lnSpc>
            <a:spcBef>
              <a:spcPts val="0"/>
            </a:spcBef>
            <a:spcAft>
              <a:spcPts val="0"/>
            </a:spcAft>
            <a:buClrTx/>
            <a:buSzTx/>
            <a:buFontTx/>
            <a:buNone/>
            <a:tabLst/>
            <a:defRPr/>
          </a:pPr>
          <a:r>
            <a:rPr lang="en-ZA" sz="1200" b="1">
              <a:effectLst/>
              <a:latin typeface="Verdana" panose="020B0604030504040204" pitchFamily="34" charset="0"/>
              <a:ea typeface="Verdana" panose="020B0604030504040204" pitchFamily="34" charset="0"/>
              <a:cs typeface="Verdana" panose="020B0604030504040204" pitchFamily="34" charset="0"/>
            </a:rPr>
            <a:t>SA ETP Industry</a:t>
          </a:r>
          <a:endParaRPr lang="en-ZA" sz="1200" b="1">
            <a:latin typeface="Verdana" panose="020B0604030504040204" pitchFamily="34" charset="0"/>
            <a:ea typeface="Verdana" panose="020B0604030504040204" pitchFamily="34" charset="0"/>
            <a:cs typeface="Verdana" panose="020B0604030504040204" pitchFamily="34" charset="0"/>
          </a:endParaRPr>
        </a:p>
        <a:p xmlns:a="http://schemas.openxmlformats.org/drawingml/2006/main">
          <a:pPr algn="ctr"/>
          <a:r>
            <a:rPr lang="en-ZA" sz="1200" b="1">
              <a:latin typeface="Verdana" panose="020B0604030504040204" pitchFamily="34" charset="0"/>
              <a:ea typeface="Verdana" panose="020B0604030504040204" pitchFamily="34" charset="0"/>
              <a:cs typeface="Verdana" panose="020B0604030504040204" pitchFamily="34" charset="0"/>
            </a:rPr>
            <a:t>Total Market Capitalisation (Rm) </a:t>
          </a:r>
        </a:p>
        <a:p xmlns:a="http://schemas.openxmlformats.org/drawingml/2006/main">
          <a:pPr algn="ctr"/>
          <a:r>
            <a:rPr lang="en-ZA" sz="1000" b="1">
              <a:latin typeface="Verdana" panose="020B0604030504040204" pitchFamily="34" charset="0"/>
              <a:ea typeface="Verdana" panose="020B0604030504040204" pitchFamily="34" charset="0"/>
              <a:cs typeface="Verdana" panose="020B0604030504040204" pitchFamily="34" charset="0"/>
            </a:rPr>
            <a:t>(at year end/period)</a:t>
          </a:r>
        </a:p>
      </cdr:txBody>
    </cdr:sp>
  </cdr:relSizeAnchor>
  <cdr:relSizeAnchor xmlns:cdr="http://schemas.openxmlformats.org/drawingml/2006/chartDrawing">
    <cdr:from>
      <cdr:x>0.01626</cdr:x>
      <cdr:y>0.17148</cdr:y>
    </cdr:from>
    <cdr:to>
      <cdr:x>0.1957</cdr:x>
      <cdr:y>0.26692</cdr:y>
    </cdr:to>
    <cdr:sp macro="" textlink="">
      <cdr:nvSpPr>
        <cdr:cNvPr id="3" name="TextBox 2">
          <a:extLst xmlns:a="http://schemas.openxmlformats.org/drawingml/2006/main">
            <a:ext uri="{FF2B5EF4-FFF2-40B4-BE49-F238E27FC236}">
              <a16:creationId xmlns:a16="http://schemas.microsoft.com/office/drawing/2014/main" id="{819D019F-0281-4610-B0C9-6181F7018AA9}"/>
            </a:ext>
          </a:extLst>
        </cdr:cNvPr>
        <cdr:cNvSpPr txBox="1"/>
      </cdr:nvSpPr>
      <cdr:spPr>
        <a:xfrm xmlns:a="http://schemas.openxmlformats.org/drawingml/2006/main">
          <a:off x="76200" y="517775"/>
          <a:ext cx="840910" cy="288173"/>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ZA" sz="1100"/>
            <a:t>(R Million)</a:t>
          </a:r>
        </a:p>
      </cdr:txBody>
    </cdr:sp>
  </cdr:relSizeAnchor>
  <cdr:relSizeAnchor xmlns:cdr="http://schemas.openxmlformats.org/drawingml/2006/chartDrawing">
    <cdr:from>
      <cdr:x>0.49763</cdr:x>
      <cdr:y>0.89111</cdr:y>
    </cdr:from>
    <cdr:to>
      <cdr:x>0.67707</cdr:x>
      <cdr:y>0.97595</cdr:y>
    </cdr:to>
    <cdr:sp macro="" textlink="">
      <cdr:nvSpPr>
        <cdr:cNvPr id="4" name="TextBox 1">
          <a:extLst xmlns:a="http://schemas.openxmlformats.org/drawingml/2006/main">
            <a:ext uri="{FF2B5EF4-FFF2-40B4-BE49-F238E27FC236}">
              <a16:creationId xmlns:a16="http://schemas.microsoft.com/office/drawing/2014/main" id="{652FD978-8923-48DA-8F93-C6FA0298E12F}"/>
            </a:ext>
          </a:extLst>
        </cdr:cNvPr>
        <cdr:cNvSpPr txBox="1"/>
      </cdr:nvSpPr>
      <cdr:spPr>
        <a:xfrm xmlns:a="http://schemas.openxmlformats.org/drawingml/2006/main">
          <a:off x="2332046" y="2738740"/>
          <a:ext cx="840910" cy="260747"/>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ZA" sz="1100"/>
            <a:t>(Years)</a:t>
          </a:r>
        </a:p>
      </cdr:txBody>
    </cdr:sp>
  </cdr:relSizeAnchor>
  <cdr:relSizeAnchor xmlns:cdr="http://schemas.openxmlformats.org/drawingml/2006/chartDrawing">
    <cdr:from>
      <cdr:x>0.01082</cdr:x>
      <cdr:y>0.9121</cdr:y>
    </cdr:from>
    <cdr:to>
      <cdr:x>0.45648</cdr:x>
      <cdr:y>0.99694</cdr:y>
    </cdr:to>
    <cdr:sp macro="" textlink="">
      <cdr:nvSpPr>
        <cdr:cNvPr id="5" name="TextBox 1">
          <a:extLst xmlns:a="http://schemas.openxmlformats.org/drawingml/2006/main">
            <a:ext uri="{FF2B5EF4-FFF2-40B4-BE49-F238E27FC236}">
              <a16:creationId xmlns:a16="http://schemas.microsoft.com/office/drawing/2014/main" id="{B1670A36-6D90-4B69-BCAC-58A05B184152}"/>
            </a:ext>
          </a:extLst>
        </cdr:cNvPr>
        <cdr:cNvSpPr txBox="1"/>
      </cdr:nvSpPr>
      <cdr:spPr>
        <a:xfrm xmlns:a="http://schemas.openxmlformats.org/drawingml/2006/main">
          <a:off x="53282" y="2840895"/>
          <a:ext cx="2194619" cy="264249"/>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ZA" sz="900" i="1"/>
            <a:t>Source:</a:t>
          </a:r>
          <a:r>
            <a:rPr lang="en-ZA" sz="900" i="1" baseline="0"/>
            <a:t> etfSA.co.za/Profile Data (Jun 2022)</a:t>
          </a:r>
          <a:endParaRPr lang="en-ZA" sz="900" i="1"/>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A7786B-E4A5-4B46-8645-F3874A041A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1435</Words>
  <Characters>8186</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Sherryl Fortuin</dc:creator>
  <cp:keywords/>
  <dc:description/>
  <cp:lastModifiedBy>Sherryl Fortuin</cp:lastModifiedBy>
  <cp:revision>17</cp:revision>
  <cp:lastPrinted>2022-07-15T08:00:00Z</cp:lastPrinted>
  <dcterms:created xsi:type="dcterms:W3CDTF">2022-07-14T12:31:00Z</dcterms:created>
  <dcterms:modified xsi:type="dcterms:W3CDTF">2022-07-15T08:40:00Z</dcterms:modified>
</cp:coreProperties>
</file>