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1CDCF" w14:textId="77777777" w:rsidR="009B24D7" w:rsidRPr="00760DD1" w:rsidRDefault="009B24D7" w:rsidP="009B24D7">
      <w:pPr>
        <w:spacing w:after="0"/>
        <w:rPr>
          <w:rFonts w:eastAsia="Times New Roman" w:cs="Arial"/>
          <w:bCs/>
          <w:sz w:val="24"/>
        </w:rPr>
      </w:pPr>
      <w:r w:rsidRPr="00760DD1">
        <w:rPr>
          <w:rFonts w:eastAsia="Times New Roman" w:cs="Arial"/>
          <w:bCs/>
          <w:sz w:val="24"/>
        </w:rPr>
        <w:t>Report: To accompany</w:t>
      </w:r>
      <w:r w:rsidR="009B7469">
        <w:rPr>
          <w:rFonts w:eastAsia="Times New Roman" w:cs="Arial"/>
          <w:bCs/>
          <w:sz w:val="24"/>
        </w:rPr>
        <w:t xml:space="preserve"> the</w:t>
      </w:r>
      <w:r w:rsidRPr="00760DD1">
        <w:rPr>
          <w:rFonts w:eastAsia="Times New Roman" w:cs="Arial"/>
          <w:bCs/>
          <w:sz w:val="24"/>
        </w:rPr>
        <w:t xml:space="preserve"> press release</w:t>
      </w:r>
    </w:p>
    <w:p w14:paraId="1A61459C" w14:textId="179FED16" w:rsidR="00813B6F" w:rsidRDefault="00E26BD3" w:rsidP="00813B6F">
      <w:pPr>
        <w:spacing w:after="0"/>
        <w:rPr>
          <w:rFonts w:eastAsia="Times New Roman" w:cs="Arial"/>
          <w:bCs/>
          <w:sz w:val="24"/>
        </w:rPr>
      </w:pPr>
      <w:r w:rsidRPr="00760DD1">
        <w:rPr>
          <w:rFonts w:eastAsia="Times New Roman" w:cs="Arial"/>
          <w:bCs/>
          <w:sz w:val="24"/>
        </w:rPr>
        <w:t>Date</w:t>
      </w:r>
      <w:r w:rsidR="007D3083">
        <w:rPr>
          <w:rFonts w:eastAsia="Times New Roman" w:cs="Arial"/>
          <w:bCs/>
          <w:sz w:val="24"/>
        </w:rPr>
        <w:t xml:space="preserve">: </w:t>
      </w:r>
      <w:r w:rsidR="002D7012">
        <w:rPr>
          <w:rFonts w:eastAsia="Times New Roman" w:cs="Arial"/>
          <w:bCs/>
          <w:sz w:val="24"/>
        </w:rPr>
        <w:t>31</w:t>
      </w:r>
      <w:r w:rsidR="008D7E4B">
        <w:rPr>
          <w:rFonts w:eastAsia="Times New Roman" w:cs="Arial"/>
          <w:bCs/>
          <w:sz w:val="24"/>
        </w:rPr>
        <w:t xml:space="preserve"> </w:t>
      </w:r>
      <w:r w:rsidR="004F5FB8">
        <w:rPr>
          <w:rFonts w:eastAsia="Times New Roman" w:cs="Arial"/>
          <w:bCs/>
          <w:sz w:val="24"/>
        </w:rPr>
        <w:t>August</w:t>
      </w:r>
      <w:r w:rsidR="00CB5733">
        <w:rPr>
          <w:rFonts w:eastAsia="Times New Roman" w:cs="Arial"/>
          <w:bCs/>
          <w:sz w:val="24"/>
        </w:rPr>
        <w:t xml:space="preserve"> 2022 </w:t>
      </w:r>
      <w:r w:rsidR="00D4520B">
        <w:rPr>
          <w:rFonts w:eastAsia="Times New Roman" w:cs="Arial"/>
          <w:bCs/>
          <w:sz w:val="24"/>
        </w:rPr>
        <w:t xml:space="preserve"> </w:t>
      </w:r>
      <w:r w:rsidR="007932F9">
        <w:rPr>
          <w:rFonts w:eastAsia="Times New Roman" w:cs="Arial"/>
          <w:bCs/>
          <w:sz w:val="24"/>
        </w:rPr>
        <w:t xml:space="preserve"> </w:t>
      </w:r>
      <w:r w:rsidR="00BA7331">
        <w:rPr>
          <w:rFonts w:eastAsia="Times New Roman" w:cs="Arial"/>
          <w:bCs/>
          <w:sz w:val="24"/>
        </w:rPr>
        <w:t xml:space="preserve"> </w:t>
      </w:r>
      <w:r w:rsidR="00ED79BB">
        <w:rPr>
          <w:rFonts w:eastAsia="Times New Roman" w:cs="Arial"/>
          <w:bCs/>
          <w:sz w:val="24"/>
        </w:rPr>
        <w:t xml:space="preserve"> </w:t>
      </w:r>
      <w:r w:rsidR="008834B9">
        <w:rPr>
          <w:rFonts w:eastAsia="Times New Roman" w:cs="Arial"/>
          <w:bCs/>
          <w:sz w:val="24"/>
        </w:rPr>
        <w:t xml:space="preserve"> </w:t>
      </w:r>
      <w:r w:rsidR="00BC74AD">
        <w:rPr>
          <w:rFonts w:eastAsia="Times New Roman" w:cs="Arial"/>
          <w:bCs/>
          <w:sz w:val="24"/>
        </w:rPr>
        <w:t xml:space="preserve"> </w:t>
      </w:r>
      <w:r w:rsidR="000E5C92">
        <w:rPr>
          <w:rFonts w:eastAsia="Times New Roman" w:cs="Arial"/>
          <w:bCs/>
          <w:sz w:val="24"/>
        </w:rPr>
        <w:t xml:space="preserve"> </w:t>
      </w:r>
      <w:r w:rsidR="00D53446">
        <w:rPr>
          <w:rFonts w:eastAsia="Times New Roman" w:cs="Arial"/>
          <w:bCs/>
          <w:sz w:val="24"/>
        </w:rPr>
        <w:t xml:space="preserve"> </w:t>
      </w:r>
      <w:r w:rsidR="00B317CF">
        <w:rPr>
          <w:rFonts w:eastAsia="Times New Roman" w:cs="Arial"/>
          <w:bCs/>
          <w:sz w:val="24"/>
        </w:rPr>
        <w:t xml:space="preserve"> </w:t>
      </w:r>
      <w:r w:rsidR="008E57AC">
        <w:rPr>
          <w:rFonts w:eastAsia="Times New Roman" w:cs="Arial"/>
          <w:bCs/>
          <w:sz w:val="24"/>
        </w:rPr>
        <w:t xml:space="preserve"> </w:t>
      </w:r>
      <w:r w:rsidR="00F94A7B">
        <w:rPr>
          <w:rFonts w:eastAsia="Times New Roman" w:cs="Arial"/>
          <w:bCs/>
          <w:sz w:val="24"/>
        </w:rPr>
        <w:t xml:space="preserve"> </w:t>
      </w:r>
      <w:r w:rsidR="009654C7">
        <w:rPr>
          <w:rFonts w:eastAsia="Times New Roman" w:cs="Arial"/>
          <w:bCs/>
          <w:sz w:val="24"/>
        </w:rPr>
        <w:t xml:space="preserve"> </w:t>
      </w:r>
      <w:r w:rsidR="00167382">
        <w:rPr>
          <w:rFonts w:eastAsia="Times New Roman" w:cs="Arial"/>
          <w:bCs/>
          <w:sz w:val="24"/>
        </w:rPr>
        <w:t xml:space="preserve"> </w:t>
      </w:r>
      <w:r w:rsidR="003F3281">
        <w:rPr>
          <w:rFonts w:eastAsia="Times New Roman" w:cs="Arial"/>
          <w:bCs/>
          <w:sz w:val="24"/>
        </w:rPr>
        <w:t xml:space="preserve"> </w:t>
      </w:r>
      <w:r w:rsidR="0019118F">
        <w:rPr>
          <w:rFonts w:eastAsia="Times New Roman" w:cs="Arial"/>
          <w:bCs/>
          <w:sz w:val="24"/>
        </w:rPr>
        <w:t xml:space="preserve"> </w:t>
      </w:r>
      <w:r w:rsidR="00954A1F">
        <w:rPr>
          <w:rFonts w:eastAsia="Times New Roman" w:cs="Arial"/>
          <w:bCs/>
          <w:sz w:val="24"/>
        </w:rPr>
        <w:t xml:space="preserve"> </w:t>
      </w:r>
      <w:r w:rsidR="00DD4A0D">
        <w:rPr>
          <w:rFonts w:eastAsia="Times New Roman" w:cs="Arial"/>
          <w:bCs/>
          <w:sz w:val="24"/>
        </w:rPr>
        <w:t xml:space="preserve"> </w:t>
      </w:r>
      <w:r w:rsidR="00EE7B0E">
        <w:rPr>
          <w:rFonts w:eastAsia="Times New Roman" w:cs="Arial"/>
          <w:bCs/>
          <w:sz w:val="24"/>
        </w:rPr>
        <w:t xml:space="preserve"> </w:t>
      </w:r>
      <w:r w:rsidR="00F71881">
        <w:rPr>
          <w:rFonts w:eastAsia="Times New Roman" w:cs="Arial"/>
          <w:bCs/>
          <w:sz w:val="24"/>
        </w:rPr>
        <w:t xml:space="preserve"> </w:t>
      </w:r>
      <w:bookmarkStart w:id="0" w:name="_Hlk494179714"/>
    </w:p>
    <w:p w14:paraId="20B8291F" w14:textId="77777777" w:rsidR="00813B6F" w:rsidRDefault="00813B6F" w:rsidP="00813B6F">
      <w:pPr>
        <w:spacing w:after="0"/>
        <w:rPr>
          <w:rFonts w:eastAsia="Times New Roman" w:cs="Arial"/>
          <w:bCs/>
          <w:sz w:val="24"/>
        </w:rPr>
      </w:pPr>
    </w:p>
    <w:p w14:paraId="12F071F5" w14:textId="6AC5BB81" w:rsidR="00871C14" w:rsidRDefault="003F7BDE" w:rsidP="00E402E9">
      <w:pPr>
        <w:spacing w:after="0" w:line="240" w:lineRule="auto"/>
        <w:rPr>
          <w:rFonts w:eastAsiaTheme="majorEastAsia" w:cs="Arial"/>
          <w:b/>
          <w:bCs/>
          <w:sz w:val="28"/>
          <w:szCs w:val="28"/>
        </w:rPr>
      </w:pPr>
      <w:bookmarkStart w:id="1" w:name="_Hlk109658026"/>
      <w:r>
        <w:rPr>
          <w:rFonts w:eastAsiaTheme="majorEastAsia" w:cs="Arial"/>
          <w:b/>
          <w:bCs/>
          <w:sz w:val="28"/>
          <w:szCs w:val="28"/>
        </w:rPr>
        <w:t>T</w:t>
      </w:r>
      <w:r w:rsidR="00CB0E61">
        <w:rPr>
          <w:rFonts w:eastAsiaTheme="majorEastAsia" w:cs="Arial"/>
          <w:b/>
          <w:bCs/>
          <w:sz w:val="28"/>
          <w:szCs w:val="28"/>
        </w:rPr>
        <w:t>ake-home pay</w:t>
      </w:r>
      <w:r w:rsidR="00DB07E9">
        <w:rPr>
          <w:rFonts w:eastAsiaTheme="majorEastAsia" w:cs="Arial"/>
          <w:b/>
          <w:bCs/>
          <w:sz w:val="28"/>
          <w:szCs w:val="28"/>
        </w:rPr>
        <w:t xml:space="preserve"> </w:t>
      </w:r>
      <w:r w:rsidR="00825123">
        <w:rPr>
          <w:rFonts w:eastAsiaTheme="majorEastAsia" w:cs="Arial"/>
          <w:b/>
          <w:bCs/>
          <w:sz w:val="28"/>
          <w:szCs w:val="28"/>
        </w:rPr>
        <w:t xml:space="preserve">slips further </w:t>
      </w:r>
      <w:r w:rsidR="00DB07E9">
        <w:rPr>
          <w:rFonts w:eastAsiaTheme="majorEastAsia" w:cs="Arial"/>
          <w:b/>
          <w:bCs/>
          <w:sz w:val="28"/>
          <w:szCs w:val="28"/>
        </w:rPr>
        <w:t>in Ju</w:t>
      </w:r>
      <w:r w:rsidR="008339CC">
        <w:rPr>
          <w:rFonts w:eastAsiaTheme="majorEastAsia" w:cs="Arial"/>
          <w:b/>
          <w:bCs/>
          <w:sz w:val="28"/>
          <w:szCs w:val="28"/>
        </w:rPr>
        <w:t>ly</w:t>
      </w:r>
      <w:r w:rsidR="00B7265C">
        <w:rPr>
          <w:rFonts w:eastAsiaTheme="majorEastAsia" w:cs="Arial"/>
          <w:b/>
          <w:bCs/>
          <w:sz w:val="28"/>
          <w:szCs w:val="28"/>
        </w:rPr>
        <w:t xml:space="preserve">, but </w:t>
      </w:r>
      <w:r w:rsidR="007C6D16">
        <w:rPr>
          <w:rFonts w:eastAsiaTheme="majorEastAsia" w:cs="Arial"/>
          <w:b/>
          <w:bCs/>
          <w:sz w:val="28"/>
          <w:szCs w:val="28"/>
        </w:rPr>
        <w:t>salaries</w:t>
      </w:r>
      <w:r w:rsidR="00825123">
        <w:rPr>
          <w:rFonts w:eastAsiaTheme="majorEastAsia" w:cs="Arial"/>
          <w:b/>
          <w:bCs/>
          <w:sz w:val="28"/>
          <w:szCs w:val="28"/>
        </w:rPr>
        <w:t xml:space="preserve"> data suggests some more job creation</w:t>
      </w:r>
    </w:p>
    <w:bookmarkEnd w:id="1"/>
    <w:p w14:paraId="470F5B13" w14:textId="6E1282D9" w:rsidR="000E5C92" w:rsidRDefault="0004659A" w:rsidP="00E402E9">
      <w:pPr>
        <w:spacing w:after="0" w:line="240" w:lineRule="auto"/>
        <w:rPr>
          <w:rFonts w:eastAsiaTheme="majorEastAsia" w:cs="Arial"/>
          <w:bCs/>
          <w:i/>
          <w:sz w:val="24"/>
          <w:szCs w:val="24"/>
        </w:rPr>
      </w:pPr>
      <w:r>
        <w:rPr>
          <w:rFonts w:eastAsiaTheme="majorEastAsia" w:cs="Arial"/>
          <w:bCs/>
          <w:i/>
          <w:sz w:val="24"/>
          <w:szCs w:val="24"/>
        </w:rPr>
        <w:t>While</w:t>
      </w:r>
      <w:r w:rsidR="006745BE">
        <w:rPr>
          <w:rFonts w:eastAsiaTheme="majorEastAsia" w:cs="Arial"/>
          <w:bCs/>
          <w:i/>
          <w:sz w:val="24"/>
          <w:szCs w:val="24"/>
        </w:rPr>
        <w:t xml:space="preserve"> </w:t>
      </w:r>
      <w:r w:rsidR="007C6D16">
        <w:rPr>
          <w:rFonts w:eastAsiaTheme="majorEastAsia" w:cs="Arial"/>
          <w:bCs/>
          <w:i/>
          <w:sz w:val="24"/>
          <w:szCs w:val="24"/>
        </w:rPr>
        <w:t xml:space="preserve">the impact of rising inflation should start to </w:t>
      </w:r>
      <w:r w:rsidR="00805A24">
        <w:rPr>
          <w:rFonts w:eastAsiaTheme="majorEastAsia" w:cs="Arial"/>
          <w:bCs/>
          <w:i/>
          <w:sz w:val="24"/>
          <w:szCs w:val="24"/>
        </w:rPr>
        <w:t>moderate</w:t>
      </w:r>
      <w:r w:rsidR="007C6D16">
        <w:rPr>
          <w:rFonts w:eastAsiaTheme="majorEastAsia" w:cs="Arial"/>
          <w:bCs/>
          <w:i/>
          <w:sz w:val="24"/>
          <w:szCs w:val="24"/>
        </w:rPr>
        <w:t xml:space="preserve"> towards year-end</w:t>
      </w:r>
      <w:r w:rsidR="00CC32DD">
        <w:rPr>
          <w:rFonts w:eastAsiaTheme="majorEastAsia" w:cs="Arial"/>
          <w:bCs/>
          <w:i/>
          <w:sz w:val="24"/>
          <w:szCs w:val="24"/>
        </w:rPr>
        <w:t xml:space="preserve"> </w:t>
      </w:r>
    </w:p>
    <w:p w14:paraId="13BBEC64" w14:textId="2B686C7B" w:rsidR="00CB0E61" w:rsidRPr="0067118E" w:rsidRDefault="00CB0E61" w:rsidP="00E402E9">
      <w:pPr>
        <w:spacing w:after="0" w:line="240" w:lineRule="auto"/>
        <w:rPr>
          <w:rFonts w:eastAsiaTheme="majorEastAsia" w:cs="Arial"/>
          <w:bCs/>
          <w:i/>
          <w:color w:val="000000" w:themeColor="text1"/>
          <w:sz w:val="24"/>
          <w:szCs w:val="24"/>
        </w:rPr>
      </w:pPr>
    </w:p>
    <w:p w14:paraId="7B427FAD" w14:textId="0B89422C" w:rsidR="00D21647" w:rsidRDefault="005B24CE" w:rsidP="007533B8">
      <w:pPr>
        <w:rPr>
          <w:color w:val="000000" w:themeColor="text1"/>
        </w:rPr>
      </w:pPr>
      <w:bookmarkStart w:id="2" w:name="_Hlk107304258"/>
      <w:r w:rsidRPr="00F73E5A">
        <w:rPr>
          <w:color w:val="000000" w:themeColor="text1"/>
        </w:rPr>
        <w:t xml:space="preserve">The economic </w:t>
      </w:r>
      <w:r w:rsidR="00782117">
        <w:rPr>
          <w:color w:val="000000" w:themeColor="text1"/>
        </w:rPr>
        <w:t>real</w:t>
      </w:r>
      <w:r w:rsidR="002D7012">
        <w:rPr>
          <w:color w:val="000000" w:themeColor="text1"/>
        </w:rPr>
        <w:t>i</w:t>
      </w:r>
      <w:r w:rsidR="00782117">
        <w:rPr>
          <w:color w:val="000000" w:themeColor="text1"/>
        </w:rPr>
        <w:t xml:space="preserve">ties of both households and businesses were quite </w:t>
      </w:r>
      <w:r w:rsidR="00FB6312" w:rsidRPr="00F73E5A">
        <w:rPr>
          <w:color w:val="000000" w:themeColor="text1"/>
        </w:rPr>
        <w:t>c</w:t>
      </w:r>
      <w:r w:rsidRPr="00F73E5A">
        <w:rPr>
          <w:color w:val="000000" w:themeColor="text1"/>
        </w:rPr>
        <w:t>hallenging</w:t>
      </w:r>
      <w:r w:rsidR="00782117">
        <w:rPr>
          <w:color w:val="000000" w:themeColor="text1"/>
        </w:rPr>
        <w:t xml:space="preserve"> in the past few months. </w:t>
      </w:r>
      <w:r w:rsidR="00297C78">
        <w:rPr>
          <w:color w:val="000000" w:themeColor="text1"/>
        </w:rPr>
        <w:t xml:space="preserve">Consumer inflation reached a 13-year high at 7.8% </w:t>
      </w:r>
      <w:r w:rsidR="00BB3064">
        <w:rPr>
          <w:color w:val="000000" w:themeColor="text1"/>
        </w:rPr>
        <w:t>in July, the South African Reserve Bank hiked interest rates by a further 75bps</w:t>
      </w:r>
      <w:r w:rsidR="009052AC">
        <w:rPr>
          <w:color w:val="000000" w:themeColor="text1"/>
        </w:rPr>
        <w:t xml:space="preserve">, while </w:t>
      </w:r>
      <w:r w:rsidR="006E6677" w:rsidRPr="00556F7A">
        <w:rPr>
          <w:color w:val="000000" w:themeColor="text1"/>
        </w:rPr>
        <w:t>o</w:t>
      </w:r>
      <w:r w:rsidRPr="00556F7A">
        <w:rPr>
          <w:color w:val="000000" w:themeColor="text1"/>
        </w:rPr>
        <w:t>ngoing electricity supply issues</w:t>
      </w:r>
      <w:r w:rsidR="00556F7A" w:rsidRPr="00556F7A">
        <w:rPr>
          <w:color w:val="000000" w:themeColor="text1"/>
        </w:rPr>
        <w:t xml:space="preserve"> have become part of the </w:t>
      </w:r>
      <w:r w:rsidR="002D7012">
        <w:rPr>
          <w:color w:val="000000" w:themeColor="text1"/>
        </w:rPr>
        <w:t>‘</w:t>
      </w:r>
      <w:r w:rsidR="00556F7A" w:rsidRPr="00556F7A">
        <w:rPr>
          <w:color w:val="000000" w:themeColor="text1"/>
        </w:rPr>
        <w:t>new normal</w:t>
      </w:r>
      <w:r w:rsidR="002D7012">
        <w:rPr>
          <w:color w:val="000000" w:themeColor="text1"/>
        </w:rPr>
        <w:t>’</w:t>
      </w:r>
      <w:r w:rsidR="00556F7A" w:rsidRPr="00556F7A">
        <w:rPr>
          <w:color w:val="000000" w:themeColor="text1"/>
        </w:rPr>
        <w:t xml:space="preserve"> in South Africa.</w:t>
      </w:r>
      <w:r w:rsidRPr="00556F7A">
        <w:rPr>
          <w:color w:val="000000" w:themeColor="text1"/>
        </w:rPr>
        <w:t xml:space="preserve"> </w:t>
      </w:r>
      <w:r w:rsidR="00556F7A">
        <w:rPr>
          <w:color w:val="000000" w:themeColor="text1"/>
        </w:rPr>
        <w:t>In light o</w:t>
      </w:r>
      <w:r w:rsidR="00B71508">
        <w:rPr>
          <w:color w:val="000000" w:themeColor="text1"/>
        </w:rPr>
        <w:t xml:space="preserve">f this background, </w:t>
      </w:r>
      <w:r w:rsidR="00B71508" w:rsidRPr="003425F9">
        <w:rPr>
          <w:color w:val="000000" w:themeColor="text1"/>
        </w:rPr>
        <w:t>t</w:t>
      </w:r>
      <w:r w:rsidR="00FA11AF" w:rsidRPr="003425F9">
        <w:rPr>
          <w:color w:val="000000" w:themeColor="text1"/>
        </w:rPr>
        <w:t xml:space="preserve">he nominal </w:t>
      </w:r>
      <w:bookmarkStart w:id="3" w:name="_Hlk112749553"/>
      <w:r w:rsidR="00FA11AF" w:rsidRPr="003425F9">
        <w:rPr>
          <w:color w:val="000000" w:themeColor="text1"/>
        </w:rPr>
        <w:t xml:space="preserve">BankservAfrica Take-home Pay Index (BTPI) </w:t>
      </w:r>
      <w:bookmarkEnd w:id="3"/>
      <w:r w:rsidR="004D0714" w:rsidRPr="003425F9">
        <w:rPr>
          <w:color w:val="000000" w:themeColor="text1"/>
        </w:rPr>
        <w:t xml:space="preserve">slipped further, indicating that </w:t>
      </w:r>
      <w:r w:rsidR="00FA11AF" w:rsidRPr="003425F9">
        <w:rPr>
          <w:color w:val="000000" w:themeColor="text1"/>
        </w:rPr>
        <w:t xml:space="preserve">the average </w:t>
      </w:r>
      <w:r w:rsidR="005876ED" w:rsidRPr="003425F9">
        <w:rPr>
          <w:color w:val="000000" w:themeColor="text1"/>
        </w:rPr>
        <w:t>nominal</w:t>
      </w:r>
      <w:r w:rsidR="00FA11AF" w:rsidRPr="003425F9">
        <w:rPr>
          <w:color w:val="000000" w:themeColor="text1"/>
        </w:rPr>
        <w:t xml:space="preserve"> South African salary </w:t>
      </w:r>
      <w:r w:rsidR="004D0714" w:rsidRPr="003425F9">
        <w:rPr>
          <w:color w:val="000000" w:themeColor="text1"/>
        </w:rPr>
        <w:t>(</w:t>
      </w:r>
      <w:r w:rsidR="00977A6C" w:rsidRPr="003425F9">
        <w:rPr>
          <w:color w:val="000000" w:themeColor="text1"/>
        </w:rPr>
        <w:t xml:space="preserve">after deductions) </w:t>
      </w:r>
      <w:r w:rsidR="001411E9" w:rsidRPr="003425F9">
        <w:rPr>
          <w:color w:val="000000" w:themeColor="text1"/>
        </w:rPr>
        <w:t xml:space="preserve">moderated to R14 340 in July, compared </w:t>
      </w:r>
      <w:proofErr w:type="gramStart"/>
      <w:r w:rsidR="001411E9" w:rsidRPr="003425F9">
        <w:rPr>
          <w:color w:val="000000" w:themeColor="text1"/>
        </w:rPr>
        <w:t xml:space="preserve">to </w:t>
      </w:r>
      <w:r w:rsidR="002D7012">
        <w:rPr>
          <w:color w:val="000000" w:themeColor="text1"/>
        </w:rPr>
        <w:t xml:space="preserve"> </w:t>
      </w:r>
      <w:r w:rsidR="001411E9" w:rsidRPr="003425F9">
        <w:rPr>
          <w:color w:val="000000" w:themeColor="text1"/>
        </w:rPr>
        <w:t>R</w:t>
      </w:r>
      <w:proofErr w:type="gramEnd"/>
      <w:r w:rsidR="001411E9" w:rsidRPr="003425F9">
        <w:rPr>
          <w:color w:val="000000" w:themeColor="text1"/>
        </w:rPr>
        <w:t xml:space="preserve">14 618 in June 2022 and </w:t>
      </w:r>
      <w:r w:rsidR="003425F9" w:rsidRPr="003425F9">
        <w:rPr>
          <w:color w:val="000000" w:themeColor="text1"/>
        </w:rPr>
        <w:t xml:space="preserve">down from the 2022 high of </w:t>
      </w:r>
      <w:r w:rsidR="001628CF" w:rsidRPr="003425F9">
        <w:rPr>
          <w:color w:val="000000" w:themeColor="text1"/>
        </w:rPr>
        <w:t>R</w:t>
      </w:r>
      <w:r w:rsidR="00974D92" w:rsidRPr="003425F9">
        <w:rPr>
          <w:color w:val="000000" w:themeColor="text1"/>
        </w:rPr>
        <w:t>15</w:t>
      </w:r>
      <w:r w:rsidR="00776415" w:rsidRPr="003425F9">
        <w:rPr>
          <w:color w:val="000000" w:themeColor="text1"/>
        </w:rPr>
        <w:t xml:space="preserve"> </w:t>
      </w:r>
      <w:r w:rsidR="00974D92" w:rsidRPr="003425F9">
        <w:rPr>
          <w:color w:val="000000" w:themeColor="text1"/>
        </w:rPr>
        <w:t>5</w:t>
      </w:r>
      <w:r w:rsidR="003425F9" w:rsidRPr="003425F9">
        <w:rPr>
          <w:color w:val="000000" w:themeColor="text1"/>
        </w:rPr>
        <w:t>93</w:t>
      </w:r>
      <w:r w:rsidR="00974D92" w:rsidRPr="003425F9">
        <w:rPr>
          <w:color w:val="000000" w:themeColor="text1"/>
        </w:rPr>
        <w:t xml:space="preserve"> </w:t>
      </w:r>
      <w:r w:rsidR="001F0230">
        <w:rPr>
          <w:color w:val="000000" w:themeColor="text1"/>
        </w:rPr>
        <w:t xml:space="preserve">reached </w:t>
      </w:r>
      <w:r w:rsidR="00974D92" w:rsidRPr="003425F9">
        <w:rPr>
          <w:color w:val="000000" w:themeColor="text1"/>
        </w:rPr>
        <w:t>in February</w:t>
      </w:r>
      <w:r w:rsidR="003425F9">
        <w:rPr>
          <w:color w:val="000000" w:themeColor="text1"/>
        </w:rPr>
        <w:t xml:space="preserve">, </w:t>
      </w:r>
      <w:r w:rsidR="00C35AEE">
        <w:rPr>
          <w:color w:val="000000" w:themeColor="text1"/>
        </w:rPr>
        <w:t xml:space="preserve">while </w:t>
      </w:r>
      <w:r w:rsidR="003D3F83">
        <w:rPr>
          <w:color w:val="000000" w:themeColor="text1"/>
        </w:rPr>
        <w:t>still 0.9% lower compared to a year earlier</w:t>
      </w:r>
      <w:r w:rsidR="003425F9" w:rsidRPr="002E4E59">
        <w:rPr>
          <w:color w:val="000000" w:themeColor="text1"/>
        </w:rPr>
        <w:t>.</w:t>
      </w:r>
      <w:r w:rsidR="00974D92" w:rsidRPr="002E4E59">
        <w:rPr>
          <w:color w:val="000000" w:themeColor="text1"/>
        </w:rPr>
        <w:t xml:space="preserve"> </w:t>
      </w:r>
    </w:p>
    <w:p w14:paraId="41C74C6C" w14:textId="5E5C6AE6" w:rsidR="007533B8" w:rsidRPr="00D21647" w:rsidRDefault="003D3F83" w:rsidP="007533B8">
      <w:pPr>
        <w:rPr>
          <w:color w:val="000000" w:themeColor="text1"/>
        </w:rPr>
      </w:pPr>
      <w:r w:rsidRPr="00D21647">
        <w:rPr>
          <w:color w:val="000000" w:themeColor="text1"/>
        </w:rPr>
        <w:t>A</w:t>
      </w:r>
      <w:r w:rsidR="00F956C1" w:rsidRPr="00D21647">
        <w:rPr>
          <w:color w:val="000000" w:themeColor="text1"/>
        </w:rPr>
        <w:t xml:space="preserve">verage </w:t>
      </w:r>
      <w:r w:rsidR="00556176" w:rsidRPr="00D21647">
        <w:rPr>
          <w:color w:val="000000" w:themeColor="text1"/>
        </w:rPr>
        <w:t>salaried worker</w:t>
      </w:r>
      <w:r w:rsidRPr="00D21647">
        <w:rPr>
          <w:color w:val="000000" w:themeColor="text1"/>
        </w:rPr>
        <w:t xml:space="preserve">s </w:t>
      </w:r>
      <w:r w:rsidR="009D07FA" w:rsidRPr="00D21647">
        <w:rPr>
          <w:color w:val="000000" w:themeColor="text1"/>
        </w:rPr>
        <w:t xml:space="preserve">remain strained </w:t>
      </w:r>
      <w:r w:rsidR="00D21647">
        <w:rPr>
          <w:color w:val="000000" w:themeColor="text1"/>
        </w:rPr>
        <w:t xml:space="preserve">in this economic environment, </w:t>
      </w:r>
      <w:r w:rsidR="009D07FA" w:rsidRPr="00D21647">
        <w:rPr>
          <w:color w:val="000000" w:themeColor="text1"/>
        </w:rPr>
        <w:t xml:space="preserve">especially given the extent of increases in </w:t>
      </w:r>
      <w:r w:rsidR="002E4E59" w:rsidRPr="00D21647">
        <w:rPr>
          <w:color w:val="000000" w:themeColor="text1"/>
        </w:rPr>
        <w:t>basics like food items and fuel.</w:t>
      </w:r>
      <w:r w:rsidR="00556176" w:rsidRPr="00D21647">
        <w:rPr>
          <w:color w:val="000000" w:themeColor="text1"/>
        </w:rPr>
        <w:t xml:space="preserve"> </w:t>
      </w:r>
      <w:bookmarkStart w:id="4" w:name="_Hlk109714829"/>
      <w:r w:rsidR="007533B8" w:rsidRPr="00D21647">
        <w:rPr>
          <w:color w:val="000000" w:themeColor="text1"/>
        </w:rPr>
        <w:t xml:space="preserve">This is </w:t>
      </w:r>
      <w:r w:rsidR="00F67555" w:rsidRPr="00D21647">
        <w:rPr>
          <w:color w:val="000000" w:themeColor="text1"/>
        </w:rPr>
        <w:t xml:space="preserve">also </w:t>
      </w:r>
      <w:r w:rsidR="007533B8" w:rsidRPr="00D21647">
        <w:rPr>
          <w:color w:val="000000" w:themeColor="text1"/>
        </w:rPr>
        <w:t xml:space="preserve">reflected in </w:t>
      </w:r>
      <w:r w:rsidR="00C37756">
        <w:rPr>
          <w:color w:val="000000" w:themeColor="text1"/>
        </w:rPr>
        <w:t>the</w:t>
      </w:r>
      <w:r w:rsidR="007533B8" w:rsidRPr="00D21647">
        <w:rPr>
          <w:color w:val="000000" w:themeColor="text1"/>
        </w:rPr>
        <w:t xml:space="preserve"> notable 7.</w:t>
      </w:r>
      <w:r w:rsidR="00F67555" w:rsidRPr="00D21647">
        <w:rPr>
          <w:color w:val="000000" w:themeColor="text1"/>
        </w:rPr>
        <w:t>6</w:t>
      </w:r>
      <w:r w:rsidR="007533B8" w:rsidRPr="00D21647">
        <w:rPr>
          <w:color w:val="000000" w:themeColor="text1"/>
        </w:rPr>
        <w:t>% y/y drop in the real average salary recorded in the BTPI</w:t>
      </w:r>
      <w:r w:rsidR="006C4D6B">
        <w:rPr>
          <w:color w:val="000000" w:themeColor="text1"/>
        </w:rPr>
        <w:t xml:space="preserve"> in July</w:t>
      </w:r>
      <w:r w:rsidR="007533B8" w:rsidRPr="00D21647">
        <w:rPr>
          <w:color w:val="000000" w:themeColor="text1"/>
        </w:rPr>
        <w:t xml:space="preserve">. </w:t>
      </w:r>
      <w:r w:rsidR="007854D7">
        <w:rPr>
          <w:color w:val="000000" w:themeColor="text1"/>
        </w:rPr>
        <w:t>However, a</w:t>
      </w:r>
      <w:r w:rsidR="00541518" w:rsidRPr="00D21647">
        <w:rPr>
          <w:color w:val="000000" w:themeColor="text1"/>
        </w:rPr>
        <w:t>s we forecast</w:t>
      </w:r>
      <w:r w:rsidR="00C37756">
        <w:rPr>
          <w:color w:val="000000" w:themeColor="text1"/>
        </w:rPr>
        <w:t>ed</w:t>
      </w:r>
      <w:r w:rsidR="00541518" w:rsidRPr="00D21647">
        <w:rPr>
          <w:color w:val="000000" w:themeColor="text1"/>
        </w:rPr>
        <w:t xml:space="preserve"> that </w:t>
      </w:r>
      <w:r w:rsidR="007533B8" w:rsidRPr="00D21647">
        <w:rPr>
          <w:color w:val="000000" w:themeColor="text1"/>
        </w:rPr>
        <w:t>July</w:t>
      </w:r>
      <w:r w:rsidR="00541518" w:rsidRPr="00D21647">
        <w:rPr>
          <w:color w:val="000000" w:themeColor="text1"/>
        </w:rPr>
        <w:t xml:space="preserve">’s </w:t>
      </w:r>
      <w:r w:rsidR="007533B8" w:rsidRPr="00D21647">
        <w:rPr>
          <w:color w:val="000000" w:themeColor="text1"/>
        </w:rPr>
        <w:t>7.</w:t>
      </w:r>
      <w:r w:rsidR="00541518" w:rsidRPr="00D21647">
        <w:rPr>
          <w:color w:val="000000" w:themeColor="text1"/>
        </w:rPr>
        <w:t>8</w:t>
      </w:r>
      <w:r w:rsidR="007533B8" w:rsidRPr="00D21647">
        <w:rPr>
          <w:color w:val="000000" w:themeColor="text1"/>
        </w:rPr>
        <w:t>%</w:t>
      </w:r>
      <w:r w:rsidR="00541518" w:rsidRPr="00D21647">
        <w:rPr>
          <w:color w:val="000000" w:themeColor="text1"/>
        </w:rPr>
        <w:t xml:space="preserve"> headline CPI print will be</w:t>
      </w:r>
      <w:r w:rsidR="00C37756">
        <w:rPr>
          <w:color w:val="000000" w:themeColor="text1"/>
        </w:rPr>
        <w:t xml:space="preserve"> in the</w:t>
      </w:r>
      <w:r w:rsidR="00541518" w:rsidRPr="00D21647">
        <w:rPr>
          <w:color w:val="000000" w:themeColor="text1"/>
        </w:rPr>
        <w:t xml:space="preserve"> upper turning point of the current</w:t>
      </w:r>
      <w:r w:rsidR="00513CFB" w:rsidRPr="00D21647">
        <w:rPr>
          <w:color w:val="000000" w:themeColor="text1"/>
        </w:rPr>
        <w:t xml:space="preserve"> inflation cycle, the pressure should start to alleviate somewhat as inflation moderates towards year-end. </w:t>
      </w:r>
      <w:r w:rsidR="005E6B80" w:rsidRPr="00D21647">
        <w:rPr>
          <w:color w:val="000000" w:themeColor="text1"/>
        </w:rPr>
        <w:t xml:space="preserve">We forecast that inflation could be around </w:t>
      </w:r>
      <w:r w:rsidR="00C21044">
        <w:rPr>
          <w:color w:val="000000" w:themeColor="text1"/>
        </w:rPr>
        <w:t xml:space="preserve">6.6% by year-end. </w:t>
      </w:r>
    </w:p>
    <w:bookmarkEnd w:id="4"/>
    <w:p w14:paraId="4ED69CF1" w14:textId="704AFBF8" w:rsidR="00556176" w:rsidRPr="00006B72" w:rsidRDefault="00556176" w:rsidP="006E6677">
      <w:pPr>
        <w:spacing w:after="0" w:line="240" w:lineRule="auto"/>
        <w:rPr>
          <w:b/>
          <w:bCs/>
          <w:color w:val="000000" w:themeColor="text1"/>
        </w:rPr>
      </w:pPr>
      <w:r w:rsidRPr="00006B72">
        <w:rPr>
          <w:b/>
          <w:bCs/>
          <w:color w:val="000000" w:themeColor="text1"/>
        </w:rPr>
        <w:t xml:space="preserve">Graph 1: Growth in </w:t>
      </w:r>
      <w:r w:rsidR="00006B72" w:rsidRPr="00006B72">
        <w:rPr>
          <w:b/>
          <w:bCs/>
          <w:color w:val="000000" w:themeColor="text1"/>
        </w:rPr>
        <w:t>real</w:t>
      </w:r>
      <w:r w:rsidRPr="00006B72">
        <w:rPr>
          <w:b/>
          <w:bCs/>
          <w:color w:val="000000" w:themeColor="text1"/>
        </w:rPr>
        <w:t xml:space="preserve"> BTPI vs headline CPI</w:t>
      </w:r>
    </w:p>
    <w:p w14:paraId="14AC54C9" w14:textId="49DA0F11" w:rsidR="006E6677" w:rsidRPr="00006B72" w:rsidRDefault="00006B72" w:rsidP="006E6677">
      <w:pPr>
        <w:spacing w:after="0" w:line="240" w:lineRule="auto"/>
        <w:rPr>
          <w:b/>
          <w:bCs/>
          <w:color w:val="000000" w:themeColor="text1"/>
        </w:rPr>
      </w:pPr>
      <w:r>
        <w:rPr>
          <w:noProof/>
        </w:rPr>
        <w:drawing>
          <wp:inline distT="0" distB="0" distL="0" distR="0" wp14:anchorId="4D80E36E" wp14:editId="64A1CE26">
            <wp:extent cx="4572000" cy="2743200"/>
            <wp:effectExtent l="0" t="0" r="0" b="0"/>
            <wp:docPr id="1"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C6FC2AB" w14:textId="5525966C" w:rsidR="00556176" w:rsidRPr="00006B72" w:rsidRDefault="00556176" w:rsidP="006E6677">
      <w:pPr>
        <w:spacing w:after="0" w:line="240" w:lineRule="auto"/>
        <w:rPr>
          <w:color w:val="000000" w:themeColor="text1"/>
        </w:rPr>
      </w:pPr>
      <w:r w:rsidRPr="00006B72">
        <w:rPr>
          <w:i/>
          <w:iCs/>
          <w:color w:val="000000" w:themeColor="text1"/>
        </w:rPr>
        <w:t xml:space="preserve">Sources: BankservAfrica, </w:t>
      </w:r>
      <w:proofErr w:type="spellStart"/>
      <w:r w:rsidRPr="00006B72">
        <w:rPr>
          <w:i/>
          <w:iCs/>
          <w:color w:val="000000" w:themeColor="text1"/>
        </w:rPr>
        <w:t>StatsSA</w:t>
      </w:r>
      <w:proofErr w:type="spellEnd"/>
    </w:p>
    <w:p w14:paraId="2241D58F" w14:textId="77777777" w:rsidR="00DC7E65" w:rsidRPr="00006B72" w:rsidRDefault="00DC7E65" w:rsidP="00843A35">
      <w:pPr>
        <w:spacing w:after="0"/>
        <w:rPr>
          <w:color w:val="000000" w:themeColor="text1"/>
        </w:rPr>
      </w:pPr>
    </w:p>
    <w:p w14:paraId="5ED80C7F" w14:textId="5E5CE0DB" w:rsidR="000B38F8" w:rsidRPr="00503C60" w:rsidRDefault="00DA4FC0" w:rsidP="000D1F1C">
      <w:pPr>
        <w:rPr>
          <w:color w:val="000000" w:themeColor="text1"/>
        </w:rPr>
      </w:pPr>
      <w:bookmarkStart w:id="5" w:name="_Hlk109714920"/>
      <w:r w:rsidRPr="00941278">
        <w:rPr>
          <w:color w:val="000000" w:themeColor="text1"/>
        </w:rPr>
        <w:t xml:space="preserve">While </w:t>
      </w:r>
      <w:r w:rsidR="000B38F8" w:rsidRPr="00941278">
        <w:rPr>
          <w:color w:val="000000" w:themeColor="text1"/>
        </w:rPr>
        <w:t>the BTPI</w:t>
      </w:r>
      <w:r w:rsidRPr="00941278">
        <w:rPr>
          <w:color w:val="000000" w:themeColor="text1"/>
        </w:rPr>
        <w:t xml:space="preserve"> does suggest that </w:t>
      </w:r>
      <w:r w:rsidR="00FC48D2" w:rsidRPr="00941278">
        <w:rPr>
          <w:color w:val="000000" w:themeColor="text1"/>
        </w:rPr>
        <w:t>consumer</w:t>
      </w:r>
      <w:r w:rsidR="009E6EA8" w:rsidRPr="00941278">
        <w:rPr>
          <w:color w:val="000000" w:themeColor="text1"/>
        </w:rPr>
        <w:t xml:space="preserve">s’ </w:t>
      </w:r>
      <w:r w:rsidR="009B7EAE" w:rsidRPr="00941278">
        <w:rPr>
          <w:color w:val="000000" w:themeColor="text1"/>
        </w:rPr>
        <w:t>average</w:t>
      </w:r>
      <w:r w:rsidR="0045020C" w:rsidRPr="00941278">
        <w:rPr>
          <w:color w:val="000000" w:themeColor="text1"/>
        </w:rPr>
        <w:t xml:space="preserve"> </w:t>
      </w:r>
      <w:r w:rsidR="009E6EA8" w:rsidRPr="00941278">
        <w:rPr>
          <w:color w:val="000000" w:themeColor="text1"/>
        </w:rPr>
        <w:t xml:space="preserve">earnings are under </w:t>
      </w:r>
      <w:r w:rsidR="00515E5B" w:rsidRPr="00941278">
        <w:rPr>
          <w:color w:val="000000" w:themeColor="text1"/>
        </w:rPr>
        <w:t xml:space="preserve">severe </w:t>
      </w:r>
      <w:r w:rsidR="009E6EA8" w:rsidRPr="00941278">
        <w:rPr>
          <w:color w:val="000000" w:themeColor="text1"/>
        </w:rPr>
        <w:t xml:space="preserve">pressure, </w:t>
      </w:r>
      <w:r w:rsidR="005D207E" w:rsidRPr="00941278">
        <w:rPr>
          <w:color w:val="000000" w:themeColor="text1"/>
        </w:rPr>
        <w:t xml:space="preserve">we have flagged in recent reports that the BankservAfrica data </w:t>
      </w:r>
      <w:r w:rsidR="00941278" w:rsidRPr="00941278">
        <w:rPr>
          <w:color w:val="000000" w:themeColor="text1"/>
        </w:rPr>
        <w:t xml:space="preserve">signalled that more </w:t>
      </w:r>
      <w:r w:rsidR="000B38F8" w:rsidRPr="00941278">
        <w:rPr>
          <w:color w:val="000000" w:themeColor="text1"/>
        </w:rPr>
        <w:t xml:space="preserve">people </w:t>
      </w:r>
      <w:r w:rsidR="00DF4725" w:rsidRPr="00941278">
        <w:rPr>
          <w:color w:val="000000" w:themeColor="text1"/>
        </w:rPr>
        <w:t>have been</w:t>
      </w:r>
      <w:r w:rsidR="000B38F8" w:rsidRPr="00941278">
        <w:rPr>
          <w:color w:val="000000" w:themeColor="text1"/>
        </w:rPr>
        <w:t xml:space="preserve"> receiving salaries compared to a year ago</w:t>
      </w:r>
      <w:r w:rsidR="000B38F8" w:rsidRPr="00822F00">
        <w:rPr>
          <w:color w:val="000000" w:themeColor="text1"/>
        </w:rPr>
        <w:t xml:space="preserve">. </w:t>
      </w:r>
      <w:r w:rsidR="00776789" w:rsidRPr="00822F00">
        <w:rPr>
          <w:color w:val="000000" w:themeColor="text1"/>
        </w:rPr>
        <w:t>The actual data</w:t>
      </w:r>
      <w:r w:rsidR="002477F6">
        <w:rPr>
          <w:color w:val="000000" w:themeColor="text1"/>
        </w:rPr>
        <w:t>,</w:t>
      </w:r>
      <w:r w:rsidR="00776789" w:rsidRPr="00822F00">
        <w:rPr>
          <w:color w:val="000000" w:themeColor="text1"/>
        </w:rPr>
        <w:t xml:space="preserve"> as reflected in </w:t>
      </w:r>
      <w:proofErr w:type="spellStart"/>
      <w:r w:rsidR="00776789" w:rsidRPr="00822F00">
        <w:rPr>
          <w:color w:val="000000" w:themeColor="text1"/>
        </w:rPr>
        <w:t>StatsSA’s</w:t>
      </w:r>
      <w:proofErr w:type="spellEnd"/>
      <w:r w:rsidR="00776789" w:rsidRPr="00822F00">
        <w:rPr>
          <w:color w:val="000000" w:themeColor="text1"/>
        </w:rPr>
        <w:t xml:space="preserve"> latest </w:t>
      </w:r>
      <w:r w:rsidR="00BD19B5" w:rsidRPr="00822F00">
        <w:rPr>
          <w:color w:val="000000" w:themeColor="text1"/>
        </w:rPr>
        <w:t>Labour Force Survey</w:t>
      </w:r>
      <w:r w:rsidR="00152A06" w:rsidRPr="00822F00">
        <w:rPr>
          <w:color w:val="000000" w:themeColor="text1"/>
        </w:rPr>
        <w:t>, published on 23 August, surprised to the upside, repor</w:t>
      </w:r>
      <w:r w:rsidR="00566454">
        <w:rPr>
          <w:color w:val="000000" w:themeColor="text1"/>
        </w:rPr>
        <w:t>ted</w:t>
      </w:r>
      <w:r w:rsidR="00152A06" w:rsidRPr="00822F00">
        <w:rPr>
          <w:color w:val="000000" w:themeColor="text1"/>
        </w:rPr>
        <w:t xml:space="preserve"> </w:t>
      </w:r>
      <w:r w:rsidR="00843A35">
        <w:rPr>
          <w:color w:val="000000" w:themeColor="text1"/>
        </w:rPr>
        <w:t>a notable</w:t>
      </w:r>
      <w:r w:rsidR="00152A06" w:rsidRPr="00822F00">
        <w:rPr>
          <w:color w:val="000000" w:themeColor="text1"/>
        </w:rPr>
        <w:t xml:space="preserve"> 648</w:t>
      </w:r>
      <w:r w:rsidR="00303064">
        <w:rPr>
          <w:color w:val="000000" w:themeColor="text1"/>
        </w:rPr>
        <w:t xml:space="preserve"> 000</w:t>
      </w:r>
      <w:r w:rsidR="00420DDA" w:rsidRPr="00822F00">
        <w:rPr>
          <w:color w:val="000000" w:themeColor="text1"/>
        </w:rPr>
        <w:t xml:space="preserve"> jobs were created in Q2</w:t>
      </w:r>
      <w:r w:rsidR="001C6248">
        <w:rPr>
          <w:color w:val="000000" w:themeColor="text1"/>
        </w:rPr>
        <w:t xml:space="preserve"> (</w:t>
      </w:r>
      <w:r w:rsidR="001B450E">
        <w:rPr>
          <w:color w:val="000000" w:themeColor="text1"/>
        </w:rPr>
        <w:t>vs Q1’s 370</w:t>
      </w:r>
      <w:r w:rsidR="00303064">
        <w:rPr>
          <w:color w:val="000000" w:themeColor="text1"/>
        </w:rPr>
        <w:t xml:space="preserve"> 000</w:t>
      </w:r>
      <w:r w:rsidR="001B450E">
        <w:rPr>
          <w:color w:val="000000" w:themeColor="text1"/>
        </w:rPr>
        <w:t>)</w:t>
      </w:r>
      <w:r w:rsidR="00420DDA" w:rsidRPr="00822F00">
        <w:rPr>
          <w:color w:val="000000" w:themeColor="text1"/>
        </w:rPr>
        <w:t xml:space="preserve">, despite the challenging economic environment. </w:t>
      </w:r>
      <w:r w:rsidR="00133E1C" w:rsidRPr="00037DEC">
        <w:rPr>
          <w:color w:val="000000" w:themeColor="text1"/>
        </w:rPr>
        <w:t xml:space="preserve">The </w:t>
      </w:r>
      <w:r w:rsidR="00D05F0E" w:rsidRPr="00037DEC">
        <w:rPr>
          <w:color w:val="000000" w:themeColor="text1"/>
        </w:rPr>
        <w:t xml:space="preserve">gradual </w:t>
      </w:r>
      <w:r w:rsidR="00133E1C" w:rsidRPr="00037DEC">
        <w:rPr>
          <w:color w:val="000000" w:themeColor="text1"/>
        </w:rPr>
        <w:t>relaxation of COVID-19 restrictions on gatherings</w:t>
      </w:r>
      <w:r w:rsidR="005E5F30" w:rsidRPr="00037DEC">
        <w:rPr>
          <w:color w:val="000000" w:themeColor="text1"/>
        </w:rPr>
        <w:t>, initially</w:t>
      </w:r>
      <w:r w:rsidR="00D05F0E" w:rsidRPr="00037DEC">
        <w:rPr>
          <w:color w:val="000000" w:themeColor="text1"/>
        </w:rPr>
        <w:t xml:space="preserve"> from</w:t>
      </w:r>
      <w:r w:rsidR="005E5F30" w:rsidRPr="00037DEC">
        <w:rPr>
          <w:color w:val="000000" w:themeColor="text1"/>
        </w:rPr>
        <w:t xml:space="preserve"> </w:t>
      </w:r>
      <w:r w:rsidR="00133E1C" w:rsidRPr="00037DEC">
        <w:rPr>
          <w:color w:val="000000" w:themeColor="text1"/>
        </w:rPr>
        <w:t>30 April</w:t>
      </w:r>
      <w:r w:rsidR="00D05F0E" w:rsidRPr="00037DEC">
        <w:rPr>
          <w:color w:val="000000" w:themeColor="text1"/>
        </w:rPr>
        <w:t>,</w:t>
      </w:r>
      <w:r w:rsidR="00133E1C" w:rsidRPr="00037DEC">
        <w:rPr>
          <w:color w:val="000000" w:themeColor="text1"/>
        </w:rPr>
        <w:t xml:space="preserve"> </w:t>
      </w:r>
      <w:r w:rsidR="00822F00" w:rsidRPr="00037DEC">
        <w:rPr>
          <w:color w:val="000000" w:themeColor="text1"/>
        </w:rPr>
        <w:t>and t</w:t>
      </w:r>
      <w:r w:rsidR="00B62CE1" w:rsidRPr="00037DEC">
        <w:rPr>
          <w:color w:val="000000" w:themeColor="text1"/>
        </w:rPr>
        <w:t xml:space="preserve">he final </w:t>
      </w:r>
      <w:r w:rsidR="00E23472" w:rsidRPr="00037DEC">
        <w:rPr>
          <w:color w:val="000000" w:themeColor="text1"/>
        </w:rPr>
        <w:t>remov</w:t>
      </w:r>
      <w:r w:rsidR="00B62CE1" w:rsidRPr="00037DEC">
        <w:rPr>
          <w:color w:val="000000" w:themeColor="text1"/>
        </w:rPr>
        <w:t>al of all</w:t>
      </w:r>
      <w:r w:rsidR="00E23472" w:rsidRPr="00037DEC">
        <w:rPr>
          <w:color w:val="000000" w:themeColor="text1"/>
        </w:rPr>
        <w:t xml:space="preserve"> remaining lockdown restrictions</w:t>
      </w:r>
      <w:r w:rsidR="00401140" w:rsidRPr="00037DEC">
        <w:rPr>
          <w:color w:val="000000" w:themeColor="text1"/>
        </w:rPr>
        <w:t xml:space="preserve">, effective from </w:t>
      </w:r>
      <w:r w:rsidR="000B6D7D" w:rsidRPr="00037DEC">
        <w:rPr>
          <w:color w:val="000000" w:themeColor="text1"/>
        </w:rPr>
        <w:t>23 June</w:t>
      </w:r>
      <w:r w:rsidR="00843A35" w:rsidRPr="00037DEC">
        <w:rPr>
          <w:color w:val="000000" w:themeColor="text1"/>
        </w:rPr>
        <w:t>,</w:t>
      </w:r>
      <w:r w:rsidR="00B62CE1" w:rsidRPr="00037DEC">
        <w:rPr>
          <w:color w:val="000000" w:themeColor="text1"/>
        </w:rPr>
        <w:t xml:space="preserve"> </w:t>
      </w:r>
      <w:r w:rsidR="00822F00" w:rsidRPr="00037DEC">
        <w:rPr>
          <w:color w:val="000000" w:themeColor="text1"/>
        </w:rPr>
        <w:t xml:space="preserve">clearly </w:t>
      </w:r>
      <w:r w:rsidR="00E23472" w:rsidRPr="00037DEC">
        <w:rPr>
          <w:color w:val="000000" w:themeColor="text1"/>
        </w:rPr>
        <w:t>provide</w:t>
      </w:r>
      <w:r w:rsidR="00822F00" w:rsidRPr="00037DEC">
        <w:rPr>
          <w:color w:val="000000" w:themeColor="text1"/>
        </w:rPr>
        <w:t>d</w:t>
      </w:r>
      <w:r w:rsidR="00E23472" w:rsidRPr="00037DEC">
        <w:rPr>
          <w:color w:val="000000" w:themeColor="text1"/>
        </w:rPr>
        <w:t xml:space="preserve"> </w:t>
      </w:r>
      <w:r w:rsidR="00843A35" w:rsidRPr="00037DEC">
        <w:rPr>
          <w:color w:val="000000" w:themeColor="text1"/>
        </w:rPr>
        <w:t>much-needed</w:t>
      </w:r>
      <w:r w:rsidR="00E23472" w:rsidRPr="00037DEC">
        <w:rPr>
          <w:color w:val="000000" w:themeColor="text1"/>
        </w:rPr>
        <w:t xml:space="preserve"> support to the local economy</w:t>
      </w:r>
      <w:r w:rsidR="00D50AC2" w:rsidRPr="00037DEC">
        <w:rPr>
          <w:color w:val="000000" w:themeColor="text1"/>
        </w:rPr>
        <w:t xml:space="preserve"> and foster</w:t>
      </w:r>
      <w:r w:rsidR="002477F6">
        <w:rPr>
          <w:color w:val="000000" w:themeColor="text1"/>
        </w:rPr>
        <w:t>ed</w:t>
      </w:r>
      <w:r w:rsidR="00D50AC2" w:rsidRPr="00037DEC">
        <w:rPr>
          <w:color w:val="000000" w:themeColor="text1"/>
        </w:rPr>
        <w:t xml:space="preserve"> </w:t>
      </w:r>
      <w:r w:rsidR="004A474B" w:rsidRPr="00037DEC">
        <w:rPr>
          <w:color w:val="000000" w:themeColor="text1"/>
        </w:rPr>
        <w:t xml:space="preserve">a </w:t>
      </w:r>
      <w:r w:rsidR="00D50AC2" w:rsidRPr="00037DEC">
        <w:rPr>
          <w:color w:val="000000" w:themeColor="text1"/>
        </w:rPr>
        <w:t xml:space="preserve">further recovery in employment </w:t>
      </w:r>
      <w:r w:rsidR="00D50AC2" w:rsidRPr="002477F6">
        <w:t>opportunities</w:t>
      </w:r>
      <w:r w:rsidR="0022632C" w:rsidRPr="002477F6">
        <w:t>.</w:t>
      </w:r>
      <w:r w:rsidR="00420DDA" w:rsidRPr="002477F6">
        <w:t xml:space="preserve"> </w:t>
      </w:r>
      <w:r w:rsidR="00420DDA" w:rsidRPr="00503C60">
        <w:rPr>
          <w:color w:val="000000" w:themeColor="text1"/>
        </w:rPr>
        <w:t xml:space="preserve">After adjusting for </w:t>
      </w:r>
      <w:r w:rsidR="00420DDA" w:rsidRPr="00503C60">
        <w:rPr>
          <w:color w:val="000000" w:themeColor="text1"/>
        </w:rPr>
        <w:lastRenderedPageBreak/>
        <w:t xml:space="preserve">weekly workers, the BankservAfrica data </w:t>
      </w:r>
      <w:r w:rsidR="00503C60" w:rsidRPr="00503C60">
        <w:rPr>
          <w:color w:val="000000" w:themeColor="text1"/>
        </w:rPr>
        <w:t xml:space="preserve">suggests that </w:t>
      </w:r>
      <w:r w:rsidR="00037DEC" w:rsidRPr="00503C60">
        <w:rPr>
          <w:color w:val="000000" w:themeColor="text1"/>
        </w:rPr>
        <w:t>this trend i</w:t>
      </w:r>
      <w:r w:rsidR="002477F6">
        <w:rPr>
          <w:color w:val="000000" w:themeColor="text1"/>
        </w:rPr>
        <w:t>s</w:t>
      </w:r>
      <w:r w:rsidR="00037DEC" w:rsidRPr="00503C60">
        <w:rPr>
          <w:color w:val="000000" w:themeColor="text1"/>
        </w:rPr>
        <w:t xml:space="preserve"> likely to prevail in</w:t>
      </w:r>
      <w:r w:rsidR="003D6D28" w:rsidRPr="00503C60">
        <w:rPr>
          <w:color w:val="000000" w:themeColor="text1"/>
        </w:rPr>
        <w:t xml:space="preserve">to Q3, though July’s data </w:t>
      </w:r>
      <w:r w:rsidR="00420DDA" w:rsidRPr="00503C60">
        <w:rPr>
          <w:color w:val="000000" w:themeColor="text1"/>
        </w:rPr>
        <w:t>indicates that</w:t>
      </w:r>
      <w:r w:rsidR="003D6D28" w:rsidRPr="00503C60">
        <w:rPr>
          <w:color w:val="000000" w:themeColor="text1"/>
        </w:rPr>
        <w:t xml:space="preserve"> the pace of new job creation is likely to moderate </w:t>
      </w:r>
      <w:r w:rsidR="00503C60" w:rsidRPr="00503C60">
        <w:rPr>
          <w:color w:val="000000" w:themeColor="text1"/>
        </w:rPr>
        <w:t xml:space="preserve">somewhat. </w:t>
      </w:r>
      <w:r w:rsidR="00E475C5">
        <w:rPr>
          <w:color w:val="000000" w:themeColor="text1"/>
        </w:rPr>
        <w:t xml:space="preserve">Thus, although </w:t>
      </w:r>
      <w:r w:rsidR="00A41D11">
        <w:rPr>
          <w:color w:val="000000" w:themeColor="text1"/>
        </w:rPr>
        <w:t xml:space="preserve">the </w:t>
      </w:r>
      <w:r w:rsidR="00E475C5">
        <w:rPr>
          <w:color w:val="000000" w:themeColor="text1"/>
        </w:rPr>
        <w:t xml:space="preserve">average nominal </w:t>
      </w:r>
      <w:r w:rsidR="00A41D11">
        <w:rPr>
          <w:color w:val="000000" w:themeColor="text1"/>
        </w:rPr>
        <w:t xml:space="preserve">salary has been moderating in recent months, probably due to the </w:t>
      </w:r>
      <w:r w:rsidR="00DB35C7">
        <w:rPr>
          <w:color w:val="000000" w:themeColor="text1"/>
        </w:rPr>
        <w:t xml:space="preserve">bulk of </w:t>
      </w:r>
      <w:r w:rsidR="00A41D11">
        <w:rPr>
          <w:color w:val="000000" w:themeColor="text1"/>
        </w:rPr>
        <w:t xml:space="preserve">new job opportunities </w:t>
      </w:r>
      <w:r w:rsidR="002477F6">
        <w:rPr>
          <w:color w:val="000000" w:themeColor="text1"/>
        </w:rPr>
        <w:t xml:space="preserve">evident </w:t>
      </w:r>
      <w:r w:rsidR="00A41D11">
        <w:rPr>
          <w:color w:val="000000" w:themeColor="text1"/>
        </w:rPr>
        <w:t xml:space="preserve">in the lower income categories, </w:t>
      </w:r>
      <w:r w:rsidR="00F63605">
        <w:rPr>
          <w:color w:val="000000" w:themeColor="text1"/>
        </w:rPr>
        <w:t>earning a salary in South Africa</w:t>
      </w:r>
      <w:r w:rsidR="00122D55">
        <w:rPr>
          <w:color w:val="000000" w:themeColor="text1"/>
        </w:rPr>
        <w:t xml:space="preserve"> is still a lot better than being part of the unemployment statistics.</w:t>
      </w:r>
    </w:p>
    <w:p w14:paraId="3D1AC426" w14:textId="72B52663" w:rsidR="00037DEC" w:rsidRPr="00037DEC" w:rsidRDefault="00037DEC" w:rsidP="00037DEC">
      <w:pPr>
        <w:keepNext/>
        <w:keepLines/>
        <w:spacing w:before="40" w:after="0"/>
        <w:outlineLvl w:val="2"/>
        <w:rPr>
          <w:b/>
        </w:rPr>
      </w:pPr>
      <w:r w:rsidRPr="00037DEC">
        <w:rPr>
          <w:b/>
        </w:rPr>
        <w:t xml:space="preserve">Graph 2: </w:t>
      </w:r>
      <w:r w:rsidR="00DF610F">
        <w:rPr>
          <w:b/>
        </w:rPr>
        <w:t>Estimate of number of people receiving salaries (</w:t>
      </w:r>
      <w:r w:rsidR="005045C1">
        <w:rPr>
          <w:b/>
        </w:rPr>
        <w:t>&lt;R100K per month)</w:t>
      </w:r>
    </w:p>
    <w:p w14:paraId="28358273" w14:textId="65B4F431" w:rsidR="00037DEC" w:rsidRPr="00526252" w:rsidRDefault="00037DEC" w:rsidP="005254A1">
      <w:pPr>
        <w:spacing w:after="0"/>
        <w:rPr>
          <w:color w:val="000000" w:themeColor="text1"/>
        </w:rPr>
      </w:pPr>
      <w:r>
        <w:rPr>
          <w:noProof/>
          <w:color w:val="FF0000"/>
        </w:rPr>
        <w:drawing>
          <wp:inline distT="0" distB="0" distL="0" distR="0" wp14:anchorId="0FCD9022" wp14:editId="4519BCC0">
            <wp:extent cx="4436808" cy="266700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764" cy="2675990"/>
                    </a:xfrm>
                    <a:prstGeom prst="rect">
                      <a:avLst/>
                    </a:prstGeom>
                    <a:noFill/>
                  </pic:spPr>
                </pic:pic>
              </a:graphicData>
            </a:graphic>
          </wp:inline>
        </w:drawing>
      </w:r>
    </w:p>
    <w:p w14:paraId="5A8FD9C4" w14:textId="038F4994" w:rsidR="005254A1" w:rsidRPr="00526252" w:rsidRDefault="005254A1" w:rsidP="000D1F1C">
      <w:pPr>
        <w:rPr>
          <w:i/>
          <w:iCs/>
          <w:color w:val="000000" w:themeColor="text1"/>
        </w:rPr>
      </w:pPr>
      <w:bookmarkStart w:id="6" w:name="_Hlk112653105"/>
      <w:r w:rsidRPr="00526252">
        <w:rPr>
          <w:i/>
          <w:iCs/>
          <w:color w:val="000000" w:themeColor="text1"/>
        </w:rPr>
        <w:t>Source: BankservAfrica</w:t>
      </w:r>
    </w:p>
    <w:p w14:paraId="168D51BD" w14:textId="74B29412" w:rsidR="00037DEC" w:rsidRDefault="00526252" w:rsidP="000F6685">
      <w:pPr>
        <w:rPr>
          <w:color w:val="000000" w:themeColor="text1"/>
        </w:rPr>
      </w:pPr>
      <w:bookmarkStart w:id="7" w:name="_Hlk112681382"/>
      <w:bookmarkEnd w:id="6"/>
      <w:r>
        <w:rPr>
          <w:color w:val="000000" w:themeColor="text1"/>
        </w:rPr>
        <w:t>While the BTPI and BPPI data</w:t>
      </w:r>
      <w:r w:rsidR="00424730">
        <w:rPr>
          <w:color w:val="000000" w:themeColor="text1"/>
        </w:rPr>
        <w:t xml:space="preserve"> are</w:t>
      </w:r>
      <w:r>
        <w:rPr>
          <w:color w:val="000000" w:themeColor="text1"/>
        </w:rPr>
        <w:t xml:space="preserve"> monthly and analy</w:t>
      </w:r>
      <w:r w:rsidR="002477F6">
        <w:rPr>
          <w:color w:val="000000" w:themeColor="text1"/>
        </w:rPr>
        <w:t>s</w:t>
      </w:r>
      <w:r>
        <w:rPr>
          <w:color w:val="000000" w:themeColor="text1"/>
        </w:rPr>
        <w:t>ed as such</w:t>
      </w:r>
      <w:r w:rsidR="00424730">
        <w:rPr>
          <w:color w:val="000000" w:themeColor="text1"/>
        </w:rPr>
        <w:t xml:space="preserve">, the focus on </w:t>
      </w:r>
      <w:r w:rsidR="000C38DA">
        <w:rPr>
          <w:color w:val="000000" w:themeColor="text1"/>
        </w:rPr>
        <w:t xml:space="preserve">rising living costs </w:t>
      </w:r>
      <w:r w:rsidR="00CF1897">
        <w:rPr>
          <w:color w:val="000000" w:themeColor="text1"/>
        </w:rPr>
        <w:t xml:space="preserve">has </w:t>
      </w:r>
      <w:r w:rsidR="0059106C">
        <w:rPr>
          <w:color w:val="000000" w:themeColor="text1"/>
        </w:rPr>
        <w:t>accentuated the question</w:t>
      </w:r>
      <w:r w:rsidR="002477F6">
        <w:rPr>
          <w:color w:val="000000" w:themeColor="text1"/>
        </w:rPr>
        <w:t xml:space="preserve"> of</w:t>
      </w:r>
      <w:r w:rsidR="0059106C">
        <w:rPr>
          <w:color w:val="000000" w:themeColor="text1"/>
        </w:rPr>
        <w:t xml:space="preserve"> whether salaries in South Africa have kept up with inflation. </w:t>
      </w:r>
      <w:r w:rsidR="007F1B9C">
        <w:rPr>
          <w:color w:val="000000" w:themeColor="text1"/>
        </w:rPr>
        <w:t xml:space="preserve">To answer the question, we have compared the </w:t>
      </w:r>
      <w:r w:rsidR="00A718DA">
        <w:rPr>
          <w:color w:val="000000" w:themeColor="text1"/>
        </w:rPr>
        <w:t xml:space="preserve">BankservAfrica </w:t>
      </w:r>
      <w:r w:rsidR="007F1B9C">
        <w:rPr>
          <w:color w:val="000000" w:themeColor="text1"/>
        </w:rPr>
        <w:t>BTPI data from 2017 to July 2022</w:t>
      </w:r>
      <w:r w:rsidR="00A718DA">
        <w:rPr>
          <w:color w:val="000000" w:themeColor="text1"/>
        </w:rPr>
        <w:t xml:space="preserve"> to consumer inflation.</w:t>
      </w:r>
      <w:r w:rsidR="00E031F1">
        <w:rPr>
          <w:color w:val="000000" w:themeColor="text1"/>
        </w:rPr>
        <w:t xml:space="preserve"> </w:t>
      </w:r>
      <w:r w:rsidR="000F6685">
        <w:rPr>
          <w:color w:val="000000" w:themeColor="text1"/>
        </w:rPr>
        <w:t xml:space="preserve">From graph 3 it is evident that </w:t>
      </w:r>
      <w:r w:rsidR="000F6685" w:rsidRPr="000F6685">
        <w:rPr>
          <w:color w:val="000000" w:themeColor="text1"/>
        </w:rPr>
        <w:t xml:space="preserve">South Africans’ take-home pay (after tax and other salary deductions) </w:t>
      </w:r>
      <w:r w:rsidR="002477F6">
        <w:rPr>
          <w:color w:val="000000" w:themeColor="text1"/>
        </w:rPr>
        <w:t>managed to keep up</w:t>
      </w:r>
      <w:r w:rsidR="000F6685" w:rsidRPr="000F6685">
        <w:rPr>
          <w:color w:val="000000" w:themeColor="text1"/>
        </w:rPr>
        <w:t xml:space="preserve"> with inflation </w:t>
      </w:r>
      <w:r w:rsidR="003F76DD">
        <w:rPr>
          <w:color w:val="000000" w:themeColor="text1"/>
        </w:rPr>
        <w:t xml:space="preserve">between 2017 and </w:t>
      </w:r>
      <w:r w:rsidR="000F6685" w:rsidRPr="000F6685">
        <w:rPr>
          <w:color w:val="000000" w:themeColor="text1"/>
        </w:rPr>
        <w:t xml:space="preserve">2021. However, </w:t>
      </w:r>
      <w:r w:rsidR="000F6685">
        <w:rPr>
          <w:color w:val="000000" w:themeColor="text1"/>
        </w:rPr>
        <w:t>in</w:t>
      </w:r>
      <w:r w:rsidR="000F6685" w:rsidRPr="000F6685">
        <w:rPr>
          <w:color w:val="000000" w:themeColor="text1"/>
        </w:rPr>
        <w:t xml:space="preserve"> the first s</w:t>
      </w:r>
      <w:r w:rsidR="000F6685">
        <w:rPr>
          <w:color w:val="000000" w:themeColor="text1"/>
        </w:rPr>
        <w:t xml:space="preserve">even </w:t>
      </w:r>
      <w:r w:rsidR="000F6685" w:rsidRPr="000F6685">
        <w:rPr>
          <w:color w:val="000000" w:themeColor="text1"/>
        </w:rPr>
        <w:t>months of 2022</w:t>
      </w:r>
      <w:r w:rsidR="00C97120">
        <w:rPr>
          <w:color w:val="000000" w:themeColor="text1"/>
        </w:rPr>
        <w:t xml:space="preserve"> (actual data),</w:t>
      </w:r>
      <w:r w:rsidR="000F6685" w:rsidRPr="000F6685">
        <w:rPr>
          <w:color w:val="000000" w:themeColor="text1"/>
        </w:rPr>
        <w:t xml:space="preserve"> BankservAfrica</w:t>
      </w:r>
      <w:r w:rsidR="002477F6">
        <w:rPr>
          <w:color w:val="000000" w:themeColor="text1"/>
        </w:rPr>
        <w:t>’s</w:t>
      </w:r>
      <w:r w:rsidR="000F6685" w:rsidRPr="000F6685">
        <w:rPr>
          <w:color w:val="000000" w:themeColor="text1"/>
        </w:rPr>
        <w:t xml:space="preserve"> take-home pay data </w:t>
      </w:r>
      <w:r w:rsidR="003F76DD">
        <w:rPr>
          <w:color w:val="000000" w:themeColor="text1"/>
        </w:rPr>
        <w:t>has lagged on</w:t>
      </w:r>
      <w:r w:rsidR="00345F72">
        <w:rPr>
          <w:color w:val="000000" w:themeColor="text1"/>
        </w:rPr>
        <w:t xml:space="preserve"> the year-to-date</w:t>
      </w:r>
      <w:r w:rsidR="000F6685" w:rsidRPr="000F6685">
        <w:rPr>
          <w:color w:val="000000" w:themeColor="text1"/>
        </w:rPr>
        <w:t xml:space="preserve"> average headline CPI (at 6.</w:t>
      </w:r>
      <w:r w:rsidR="00345F72">
        <w:rPr>
          <w:color w:val="000000" w:themeColor="text1"/>
        </w:rPr>
        <w:t>4</w:t>
      </w:r>
      <w:r w:rsidR="000F6685" w:rsidRPr="000F6685">
        <w:rPr>
          <w:color w:val="000000" w:themeColor="text1"/>
        </w:rPr>
        <w:t xml:space="preserve">%) </w:t>
      </w:r>
      <w:r w:rsidR="00345F72">
        <w:rPr>
          <w:color w:val="000000" w:themeColor="text1"/>
        </w:rPr>
        <w:t>and t</w:t>
      </w:r>
      <w:r w:rsidR="002477F6">
        <w:rPr>
          <w:color w:val="000000" w:themeColor="text1"/>
        </w:rPr>
        <w:t>his</w:t>
      </w:r>
      <w:r w:rsidR="00345F72">
        <w:rPr>
          <w:color w:val="000000" w:themeColor="text1"/>
        </w:rPr>
        <w:t xml:space="preserve"> is </w:t>
      </w:r>
      <w:r w:rsidR="000F6685" w:rsidRPr="000F6685">
        <w:rPr>
          <w:color w:val="000000" w:themeColor="text1"/>
        </w:rPr>
        <w:t>the reality that households are</w:t>
      </w:r>
      <w:r w:rsidR="00483AD3">
        <w:rPr>
          <w:color w:val="000000" w:themeColor="text1"/>
        </w:rPr>
        <w:t xml:space="preserve"> currently</w:t>
      </w:r>
      <w:r w:rsidR="000F6685" w:rsidRPr="000F6685">
        <w:rPr>
          <w:color w:val="000000" w:themeColor="text1"/>
        </w:rPr>
        <w:t xml:space="preserve"> </w:t>
      </w:r>
      <w:r w:rsidR="00483AD3">
        <w:rPr>
          <w:color w:val="000000" w:themeColor="text1"/>
        </w:rPr>
        <w:t xml:space="preserve">experiencing. </w:t>
      </w:r>
      <w:r w:rsidR="000F6685" w:rsidRPr="000F6685">
        <w:rPr>
          <w:color w:val="000000" w:themeColor="text1"/>
        </w:rPr>
        <w:t xml:space="preserve"> </w:t>
      </w:r>
    </w:p>
    <w:bookmarkEnd w:id="7"/>
    <w:p w14:paraId="260B8B2C" w14:textId="13ECE2A8" w:rsidR="00655314" w:rsidRPr="00037DEC" w:rsidRDefault="00655314" w:rsidP="00655314">
      <w:pPr>
        <w:keepNext/>
        <w:keepLines/>
        <w:spacing w:before="40" w:after="0"/>
        <w:outlineLvl w:val="2"/>
        <w:rPr>
          <w:b/>
        </w:rPr>
      </w:pPr>
      <w:r w:rsidRPr="00037DEC">
        <w:rPr>
          <w:b/>
        </w:rPr>
        <w:t xml:space="preserve">Graph </w:t>
      </w:r>
      <w:r>
        <w:rPr>
          <w:b/>
        </w:rPr>
        <w:t>3</w:t>
      </w:r>
      <w:r w:rsidRPr="00037DEC">
        <w:rPr>
          <w:b/>
        </w:rPr>
        <w:t xml:space="preserve">: </w:t>
      </w:r>
      <w:r>
        <w:rPr>
          <w:b/>
        </w:rPr>
        <w:t xml:space="preserve">Headline CPI vs average nominal </w:t>
      </w:r>
      <w:r w:rsidR="00C0283A">
        <w:rPr>
          <w:b/>
        </w:rPr>
        <w:t>BTPI</w:t>
      </w:r>
      <w:r>
        <w:rPr>
          <w:b/>
        </w:rPr>
        <w:t xml:space="preserve"> (</w:t>
      </w:r>
      <w:r w:rsidR="00C0283A">
        <w:rPr>
          <w:b/>
        </w:rPr>
        <w:t>2017=100</w:t>
      </w:r>
      <w:r>
        <w:rPr>
          <w:b/>
        </w:rPr>
        <w:t>)</w:t>
      </w:r>
    </w:p>
    <w:p w14:paraId="60762AA1" w14:textId="00E6F837" w:rsidR="009366B1" w:rsidRDefault="00C97120" w:rsidP="00814FD6">
      <w:pPr>
        <w:spacing w:after="0"/>
        <w:rPr>
          <w:color w:val="000000" w:themeColor="text1"/>
        </w:rPr>
      </w:pPr>
      <w:r>
        <w:rPr>
          <w:noProof/>
          <w:color w:val="000000" w:themeColor="text1"/>
        </w:rPr>
        <w:drawing>
          <wp:inline distT="0" distB="0" distL="0" distR="0" wp14:anchorId="249DFB9A" wp14:editId="3C85CCCF">
            <wp:extent cx="4286996" cy="257694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4544" cy="2587494"/>
                    </a:xfrm>
                    <a:prstGeom prst="rect">
                      <a:avLst/>
                    </a:prstGeom>
                    <a:noFill/>
                  </pic:spPr>
                </pic:pic>
              </a:graphicData>
            </a:graphic>
          </wp:inline>
        </w:drawing>
      </w:r>
    </w:p>
    <w:p w14:paraId="5B090339" w14:textId="77777777" w:rsidR="00814FD6" w:rsidRPr="00526252" w:rsidRDefault="00814FD6" w:rsidP="00814FD6">
      <w:pPr>
        <w:spacing w:after="0"/>
        <w:rPr>
          <w:i/>
          <w:iCs/>
          <w:color w:val="000000" w:themeColor="text1"/>
        </w:rPr>
      </w:pPr>
      <w:r w:rsidRPr="00526252">
        <w:rPr>
          <w:i/>
          <w:iCs/>
          <w:color w:val="000000" w:themeColor="text1"/>
        </w:rPr>
        <w:lastRenderedPageBreak/>
        <w:t>Source: BankservAfrica</w:t>
      </w:r>
    </w:p>
    <w:p w14:paraId="4F686FDB" w14:textId="77777777" w:rsidR="004F3431" w:rsidRDefault="004F3431" w:rsidP="000B38F8">
      <w:pPr>
        <w:rPr>
          <w:b/>
          <w:bCs/>
          <w:color w:val="000000" w:themeColor="text1"/>
        </w:rPr>
      </w:pPr>
      <w:bookmarkStart w:id="8" w:name="_Hlk101794319"/>
      <w:bookmarkEnd w:id="5"/>
    </w:p>
    <w:p w14:paraId="49760EB5" w14:textId="709641D5" w:rsidR="000B38F8" w:rsidRPr="00B26EF3" w:rsidRDefault="000B38F8" w:rsidP="000B38F8">
      <w:pPr>
        <w:rPr>
          <w:b/>
          <w:bCs/>
          <w:color w:val="000000" w:themeColor="text1"/>
        </w:rPr>
      </w:pPr>
      <w:r w:rsidRPr="00B26EF3">
        <w:rPr>
          <w:b/>
          <w:bCs/>
          <w:color w:val="000000" w:themeColor="text1"/>
        </w:rPr>
        <w:t>Average private pension</w:t>
      </w:r>
      <w:r w:rsidR="00D33055" w:rsidRPr="00B26EF3">
        <w:rPr>
          <w:b/>
          <w:bCs/>
          <w:color w:val="000000" w:themeColor="text1"/>
        </w:rPr>
        <w:t>s</w:t>
      </w:r>
      <w:r w:rsidRPr="00B26EF3">
        <w:rPr>
          <w:b/>
          <w:bCs/>
          <w:color w:val="000000" w:themeColor="text1"/>
        </w:rPr>
        <w:t xml:space="preserve"> </w:t>
      </w:r>
      <w:r w:rsidR="00D33055" w:rsidRPr="00B26EF3">
        <w:rPr>
          <w:b/>
          <w:bCs/>
          <w:color w:val="000000" w:themeColor="text1"/>
        </w:rPr>
        <w:t>have held up well despite</w:t>
      </w:r>
      <w:r w:rsidR="003C7568" w:rsidRPr="00B26EF3">
        <w:rPr>
          <w:b/>
          <w:bCs/>
          <w:color w:val="000000" w:themeColor="text1"/>
        </w:rPr>
        <w:t xml:space="preserve"> rising inflation</w:t>
      </w:r>
    </w:p>
    <w:p w14:paraId="5400B230" w14:textId="4C69C26D" w:rsidR="000B38F8" w:rsidRPr="00B26EF3" w:rsidRDefault="000B38F8" w:rsidP="000B38F8">
      <w:pPr>
        <w:rPr>
          <w:color w:val="000000" w:themeColor="text1"/>
        </w:rPr>
      </w:pPr>
      <w:bookmarkStart w:id="9" w:name="_Hlk109715089"/>
      <w:bookmarkEnd w:id="8"/>
      <w:r w:rsidRPr="00B26EF3">
        <w:rPr>
          <w:color w:val="000000" w:themeColor="text1"/>
        </w:rPr>
        <w:t>The BankservAfrica Private Pensions Index (BPPI) showed</w:t>
      </w:r>
      <w:r w:rsidR="00623785" w:rsidRPr="00B26EF3">
        <w:rPr>
          <w:color w:val="000000" w:themeColor="text1"/>
        </w:rPr>
        <w:t xml:space="preserve"> that</w:t>
      </w:r>
      <w:r w:rsidRPr="00B26EF3">
        <w:rPr>
          <w:color w:val="000000" w:themeColor="text1"/>
        </w:rPr>
        <w:t xml:space="preserve"> the average</w:t>
      </w:r>
      <w:r w:rsidR="00340455" w:rsidRPr="00B26EF3">
        <w:rPr>
          <w:color w:val="000000" w:themeColor="text1"/>
        </w:rPr>
        <w:t xml:space="preserve"> </w:t>
      </w:r>
      <w:r w:rsidR="000A0C73" w:rsidRPr="00B26EF3">
        <w:rPr>
          <w:color w:val="000000" w:themeColor="text1"/>
        </w:rPr>
        <w:t>nominal</w:t>
      </w:r>
      <w:r w:rsidRPr="00B26EF3">
        <w:rPr>
          <w:color w:val="000000" w:themeColor="text1"/>
        </w:rPr>
        <w:t xml:space="preserve"> private pension </w:t>
      </w:r>
      <w:r w:rsidR="00652180" w:rsidRPr="00B26EF3">
        <w:rPr>
          <w:color w:val="000000" w:themeColor="text1"/>
        </w:rPr>
        <w:t xml:space="preserve">reached </w:t>
      </w:r>
      <w:r w:rsidR="002477F6">
        <w:rPr>
          <w:color w:val="000000" w:themeColor="text1"/>
        </w:rPr>
        <w:t xml:space="preserve">     </w:t>
      </w:r>
      <w:r w:rsidR="00652180" w:rsidRPr="00B26EF3">
        <w:rPr>
          <w:color w:val="000000" w:themeColor="text1"/>
        </w:rPr>
        <w:t>R10</w:t>
      </w:r>
      <w:r w:rsidR="00F934CC" w:rsidRPr="00B26EF3">
        <w:rPr>
          <w:color w:val="000000" w:themeColor="text1"/>
        </w:rPr>
        <w:t xml:space="preserve"> </w:t>
      </w:r>
      <w:r w:rsidR="00652180" w:rsidRPr="00B26EF3">
        <w:rPr>
          <w:color w:val="000000" w:themeColor="text1"/>
        </w:rPr>
        <w:t>000</w:t>
      </w:r>
      <w:r w:rsidR="002A6ABC" w:rsidRPr="00B26EF3">
        <w:rPr>
          <w:color w:val="000000" w:themeColor="text1"/>
        </w:rPr>
        <w:t xml:space="preserve"> per month</w:t>
      </w:r>
      <w:r w:rsidR="00652180" w:rsidRPr="00B26EF3">
        <w:rPr>
          <w:color w:val="000000" w:themeColor="text1"/>
        </w:rPr>
        <w:t xml:space="preserve"> for the first time</w:t>
      </w:r>
      <w:r w:rsidR="0087691A" w:rsidRPr="00B26EF3">
        <w:rPr>
          <w:color w:val="000000" w:themeColor="text1"/>
        </w:rPr>
        <w:t xml:space="preserve"> in June</w:t>
      </w:r>
      <w:r w:rsidR="00B4645E" w:rsidRPr="00B26EF3">
        <w:rPr>
          <w:color w:val="000000" w:themeColor="text1"/>
        </w:rPr>
        <w:t xml:space="preserve"> </w:t>
      </w:r>
      <w:r w:rsidR="0087691A" w:rsidRPr="00B26EF3">
        <w:rPr>
          <w:color w:val="000000" w:themeColor="text1"/>
        </w:rPr>
        <w:t>and remained above th</w:t>
      </w:r>
      <w:r w:rsidR="00F65F8B" w:rsidRPr="00B26EF3">
        <w:rPr>
          <w:color w:val="000000" w:themeColor="text1"/>
        </w:rPr>
        <w:t>is level in July,</w:t>
      </w:r>
      <w:r w:rsidR="00A03F71" w:rsidRPr="00B26EF3">
        <w:rPr>
          <w:color w:val="000000" w:themeColor="text1"/>
        </w:rPr>
        <w:t xml:space="preserve"> representing a</w:t>
      </w:r>
      <w:r w:rsidR="002A6ABC" w:rsidRPr="00B26EF3">
        <w:rPr>
          <w:color w:val="000000" w:themeColor="text1"/>
        </w:rPr>
        <w:t xml:space="preserve"> </w:t>
      </w:r>
      <w:r w:rsidR="00F65F8B" w:rsidRPr="00B26EF3">
        <w:rPr>
          <w:color w:val="000000" w:themeColor="text1"/>
        </w:rPr>
        <w:t>10.</w:t>
      </w:r>
      <w:r w:rsidR="002A6ABC" w:rsidRPr="00B26EF3">
        <w:rPr>
          <w:color w:val="000000" w:themeColor="text1"/>
        </w:rPr>
        <w:t xml:space="preserve">9% </w:t>
      </w:r>
      <w:r w:rsidR="00A03F71" w:rsidRPr="00B26EF3">
        <w:rPr>
          <w:color w:val="000000" w:themeColor="text1"/>
        </w:rPr>
        <w:t>growth on a</w:t>
      </w:r>
      <w:r w:rsidR="002A012B" w:rsidRPr="00B26EF3">
        <w:rPr>
          <w:color w:val="000000" w:themeColor="text1"/>
        </w:rPr>
        <w:t xml:space="preserve"> year-on-year basis</w:t>
      </w:r>
      <w:r w:rsidR="002A6ABC" w:rsidRPr="00B26EF3">
        <w:rPr>
          <w:color w:val="000000" w:themeColor="text1"/>
        </w:rPr>
        <w:t xml:space="preserve">. </w:t>
      </w:r>
      <w:r w:rsidR="002A012B" w:rsidRPr="00B26EF3">
        <w:rPr>
          <w:color w:val="000000" w:themeColor="text1"/>
        </w:rPr>
        <w:t xml:space="preserve"> </w:t>
      </w:r>
      <w:r w:rsidRPr="00B26EF3">
        <w:rPr>
          <w:color w:val="000000" w:themeColor="text1"/>
        </w:rPr>
        <w:t>In real terms, the average</w:t>
      </w:r>
      <w:r w:rsidR="00A4577A" w:rsidRPr="00B26EF3">
        <w:rPr>
          <w:color w:val="000000" w:themeColor="text1"/>
        </w:rPr>
        <w:t xml:space="preserve"> real</w:t>
      </w:r>
      <w:r w:rsidRPr="00B26EF3">
        <w:rPr>
          <w:color w:val="000000" w:themeColor="text1"/>
        </w:rPr>
        <w:t xml:space="preserve"> private pension was R9</w:t>
      </w:r>
      <w:r w:rsidR="00F934CC" w:rsidRPr="00B26EF3">
        <w:rPr>
          <w:color w:val="000000" w:themeColor="text1"/>
        </w:rPr>
        <w:t> </w:t>
      </w:r>
      <w:r w:rsidR="00F65F8B" w:rsidRPr="00B26EF3">
        <w:rPr>
          <w:color w:val="000000" w:themeColor="text1"/>
        </w:rPr>
        <w:t>7</w:t>
      </w:r>
      <w:r w:rsidR="00F934CC" w:rsidRPr="00B26EF3">
        <w:rPr>
          <w:color w:val="000000" w:themeColor="text1"/>
        </w:rPr>
        <w:t xml:space="preserve">73 per month, </w:t>
      </w:r>
      <w:r w:rsidR="00F65F8B" w:rsidRPr="00B26EF3">
        <w:rPr>
          <w:color w:val="000000" w:themeColor="text1"/>
        </w:rPr>
        <w:t>2.8</w:t>
      </w:r>
      <w:r w:rsidR="00F934CC" w:rsidRPr="00B26EF3">
        <w:rPr>
          <w:color w:val="000000" w:themeColor="text1"/>
        </w:rPr>
        <w:t>% higher tha</w:t>
      </w:r>
      <w:r w:rsidR="008076AA" w:rsidRPr="00B26EF3">
        <w:rPr>
          <w:color w:val="000000" w:themeColor="text1"/>
        </w:rPr>
        <w:t>n</w:t>
      </w:r>
      <w:r w:rsidR="00F934CC" w:rsidRPr="00B26EF3">
        <w:rPr>
          <w:color w:val="000000" w:themeColor="text1"/>
        </w:rPr>
        <w:t xml:space="preserve"> a year earlier</w:t>
      </w:r>
      <w:r w:rsidR="003C5423" w:rsidRPr="00B26EF3">
        <w:rPr>
          <w:color w:val="000000" w:themeColor="text1"/>
        </w:rPr>
        <w:t xml:space="preserve">. Although there were </w:t>
      </w:r>
      <w:r w:rsidR="00873EEC" w:rsidRPr="00B26EF3">
        <w:rPr>
          <w:color w:val="000000" w:themeColor="text1"/>
        </w:rPr>
        <w:t xml:space="preserve">a few </w:t>
      </w:r>
      <w:r w:rsidR="003C5423" w:rsidRPr="00B26EF3">
        <w:rPr>
          <w:color w:val="000000" w:themeColor="text1"/>
        </w:rPr>
        <w:t xml:space="preserve">monthly real declines recorded in </w:t>
      </w:r>
      <w:r w:rsidR="002477F6">
        <w:rPr>
          <w:color w:val="000000" w:themeColor="text1"/>
        </w:rPr>
        <w:t xml:space="preserve">the </w:t>
      </w:r>
      <w:r w:rsidR="00B26EF3" w:rsidRPr="00B26EF3">
        <w:rPr>
          <w:color w:val="000000" w:themeColor="text1"/>
        </w:rPr>
        <w:t>first half of the year</w:t>
      </w:r>
      <w:r w:rsidR="003C5423" w:rsidRPr="00B26EF3">
        <w:rPr>
          <w:color w:val="000000" w:themeColor="text1"/>
        </w:rPr>
        <w:t>, average real pension</w:t>
      </w:r>
      <w:r w:rsidR="000A2A87" w:rsidRPr="00B26EF3">
        <w:rPr>
          <w:color w:val="000000" w:themeColor="text1"/>
        </w:rPr>
        <w:t>s have held up well despite rising inflation</w:t>
      </w:r>
      <w:r w:rsidR="00DE1715">
        <w:rPr>
          <w:color w:val="000000" w:themeColor="text1"/>
        </w:rPr>
        <w:t>, preserving the purchasing power of pen</w:t>
      </w:r>
      <w:r w:rsidR="007A65CF">
        <w:rPr>
          <w:color w:val="000000" w:themeColor="text1"/>
        </w:rPr>
        <w:t>sioners</w:t>
      </w:r>
      <w:r w:rsidR="006D6A03" w:rsidRPr="00B26EF3">
        <w:rPr>
          <w:color w:val="000000" w:themeColor="text1"/>
        </w:rPr>
        <w:t xml:space="preserve">. </w:t>
      </w:r>
      <w:r w:rsidRPr="00B26EF3">
        <w:rPr>
          <w:color w:val="000000" w:themeColor="text1"/>
        </w:rPr>
        <w:t xml:space="preserve">The total take-home pay and private pensions processed in value terms </w:t>
      </w:r>
      <w:r w:rsidR="00B352CD" w:rsidRPr="00B26EF3">
        <w:rPr>
          <w:color w:val="000000" w:themeColor="text1"/>
        </w:rPr>
        <w:t>increase</w:t>
      </w:r>
      <w:r w:rsidRPr="00B26EF3">
        <w:rPr>
          <w:color w:val="000000" w:themeColor="text1"/>
        </w:rPr>
        <w:t xml:space="preserve">d by </w:t>
      </w:r>
      <w:r w:rsidR="001053FF">
        <w:rPr>
          <w:color w:val="000000" w:themeColor="text1"/>
        </w:rPr>
        <w:t>3</w:t>
      </w:r>
      <w:r w:rsidR="00D77D4A" w:rsidRPr="00B26EF3">
        <w:rPr>
          <w:color w:val="000000" w:themeColor="text1"/>
        </w:rPr>
        <w:t>.8</w:t>
      </w:r>
      <w:r w:rsidRPr="00B26EF3">
        <w:rPr>
          <w:color w:val="000000" w:themeColor="text1"/>
        </w:rPr>
        <w:t xml:space="preserve">% in real terms </w:t>
      </w:r>
      <w:r w:rsidR="00524CD2" w:rsidRPr="00B26EF3">
        <w:rPr>
          <w:color w:val="000000" w:themeColor="text1"/>
        </w:rPr>
        <w:t xml:space="preserve">and </w:t>
      </w:r>
      <w:r w:rsidRPr="00B26EF3">
        <w:rPr>
          <w:color w:val="000000" w:themeColor="text1"/>
        </w:rPr>
        <w:t xml:space="preserve">by </w:t>
      </w:r>
      <w:r w:rsidR="00D77D4A" w:rsidRPr="00B26EF3">
        <w:rPr>
          <w:color w:val="000000" w:themeColor="text1"/>
        </w:rPr>
        <w:t>12.</w:t>
      </w:r>
      <w:r w:rsidR="001053FF">
        <w:rPr>
          <w:color w:val="000000" w:themeColor="text1"/>
        </w:rPr>
        <w:t>0</w:t>
      </w:r>
      <w:r w:rsidRPr="00B26EF3">
        <w:rPr>
          <w:color w:val="000000" w:themeColor="text1"/>
        </w:rPr>
        <w:t>% in nominal terms</w:t>
      </w:r>
      <w:r w:rsidR="00526252">
        <w:rPr>
          <w:color w:val="000000" w:themeColor="text1"/>
        </w:rPr>
        <w:t xml:space="preserve"> compared to a year earlier</w:t>
      </w:r>
      <w:r w:rsidR="00F23BA9" w:rsidRPr="00B26EF3">
        <w:rPr>
          <w:color w:val="000000" w:themeColor="text1"/>
        </w:rPr>
        <w:t>, not seasonally adjusted</w:t>
      </w:r>
      <w:r w:rsidRPr="00B26EF3">
        <w:rPr>
          <w:color w:val="000000" w:themeColor="text1"/>
        </w:rPr>
        <w:t>.</w:t>
      </w:r>
    </w:p>
    <w:bookmarkEnd w:id="2"/>
    <w:bookmarkEnd w:id="9"/>
    <w:p w14:paraId="51508D48" w14:textId="2F16996A" w:rsidR="000868E5" w:rsidRDefault="000868E5" w:rsidP="000868E5">
      <w:pPr>
        <w:pStyle w:val="Heading3"/>
        <w:rPr>
          <w:rFonts w:asciiTheme="minorHAnsi" w:eastAsiaTheme="minorHAnsi" w:hAnsiTheme="minorHAnsi" w:cstheme="minorBidi"/>
          <w:b/>
          <w:color w:val="auto"/>
          <w:sz w:val="22"/>
          <w:szCs w:val="22"/>
        </w:rPr>
      </w:pPr>
      <w:r w:rsidRPr="000868E5">
        <w:rPr>
          <w:rFonts w:asciiTheme="minorHAnsi" w:eastAsiaTheme="minorHAnsi" w:hAnsiTheme="minorHAnsi" w:cstheme="minorBidi"/>
          <w:b/>
          <w:color w:val="auto"/>
          <w:sz w:val="22"/>
          <w:szCs w:val="22"/>
        </w:rPr>
        <w:t xml:space="preserve">Table </w:t>
      </w:r>
      <w:r w:rsidR="006F3474">
        <w:rPr>
          <w:rFonts w:asciiTheme="minorHAnsi" w:eastAsiaTheme="minorHAnsi" w:hAnsiTheme="minorHAnsi" w:cstheme="minorBidi"/>
          <w:b/>
          <w:color w:val="auto"/>
          <w:sz w:val="22"/>
          <w:szCs w:val="22"/>
        </w:rPr>
        <w:t>1</w:t>
      </w:r>
      <w:r w:rsidRPr="000868E5">
        <w:rPr>
          <w:rFonts w:asciiTheme="minorHAnsi" w:eastAsiaTheme="minorHAnsi" w:hAnsiTheme="minorHAnsi" w:cstheme="minorBidi"/>
          <w:b/>
          <w:color w:val="auto"/>
          <w:sz w:val="22"/>
          <w:szCs w:val="22"/>
        </w:rPr>
        <w:t xml:space="preserve">: </w:t>
      </w:r>
      <w:r w:rsidR="00B92986" w:rsidRPr="000868E5">
        <w:rPr>
          <w:rFonts w:asciiTheme="minorHAnsi" w:eastAsiaTheme="minorHAnsi" w:hAnsiTheme="minorHAnsi" w:cstheme="minorBidi"/>
          <w:b/>
          <w:color w:val="auto"/>
          <w:sz w:val="22"/>
          <w:szCs w:val="22"/>
        </w:rPr>
        <w:t>The</w:t>
      </w:r>
      <w:r w:rsidRPr="000868E5">
        <w:rPr>
          <w:rFonts w:asciiTheme="minorHAnsi" w:eastAsiaTheme="minorHAnsi" w:hAnsiTheme="minorHAnsi" w:cstheme="minorBidi"/>
          <w:b/>
          <w:color w:val="auto"/>
          <w:sz w:val="22"/>
          <w:szCs w:val="22"/>
        </w:rPr>
        <w:t xml:space="preserve"> BankservAfrica Take-home Pay </w:t>
      </w:r>
      <w:r w:rsidR="00D86436">
        <w:rPr>
          <w:rFonts w:asciiTheme="minorHAnsi" w:eastAsiaTheme="minorHAnsi" w:hAnsiTheme="minorHAnsi" w:cstheme="minorBidi"/>
          <w:b/>
          <w:color w:val="auto"/>
          <w:sz w:val="22"/>
          <w:szCs w:val="22"/>
        </w:rPr>
        <w:t>Index</w:t>
      </w:r>
      <w:r w:rsidRPr="000868E5">
        <w:rPr>
          <w:rFonts w:asciiTheme="minorHAnsi" w:eastAsiaTheme="minorHAnsi" w:hAnsiTheme="minorHAnsi" w:cstheme="minorBidi"/>
          <w:b/>
          <w:color w:val="auto"/>
          <w:sz w:val="22"/>
          <w:szCs w:val="22"/>
        </w:rPr>
        <w:t xml:space="preserve"> data</w:t>
      </w:r>
    </w:p>
    <w:tbl>
      <w:tblPr>
        <w:tblW w:w="9840" w:type="dxa"/>
        <w:tblLook w:val="04A0" w:firstRow="1" w:lastRow="0" w:firstColumn="1" w:lastColumn="0" w:noHBand="0" w:noVBand="1"/>
      </w:tblPr>
      <w:tblGrid>
        <w:gridCol w:w="1120"/>
        <w:gridCol w:w="1160"/>
        <w:gridCol w:w="1220"/>
        <w:gridCol w:w="1000"/>
        <w:gridCol w:w="920"/>
        <w:gridCol w:w="1260"/>
        <w:gridCol w:w="1040"/>
        <w:gridCol w:w="1120"/>
        <w:gridCol w:w="1000"/>
      </w:tblGrid>
      <w:tr w:rsidR="00CA64EB" w:rsidRPr="00CA64EB" w14:paraId="297EE372" w14:textId="77777777" w:rsidTr="00CA64EB">
        <w:trPr>
          <w:trHeight w:val="1410"/>
        </w:trPr>
        <w:tc>
          <w:tcPr>
            <w:tcW w:w="1120" w:type="dxa"/>
            <w:tcBorders>
              <w:top w:val="single" w:sz="4" w:space="0" w:color="auto"/>
              <w:left w:val="single" w:sz="4" w:space="0" w:color="auto"/>
              <w:bottom w:val="single" w:sz="4" w:space="0" w:color="auto"/>
              <w:right w:val="single" w:sz="4" w:space="0" w:color="auto"/>
            </w:tcBorders>
            <w:shd w:val="clear" w:color="000000" w:fill="F58220"/>
            <w:noWrap/>
            <w:vAlign w:val="bottom"/>
            <w:hideMark/>
          </w:tcPr>
          <w:p w14:paraId="75BFAA49" w14:textId="2A1AB26D" w:rsidR="00CA64EB" w:rsidRDefault="00CA64EB" w:rsidP="00CA64EB">
            <w:pPr>
              <w:spacing w:after="0" w:line="240" w:lineRule="auto"/>
              <w:rPr>
                <w:rFonts w:eastAsia="Times New Roman" w:cstheme="minorHAnsi"/>
                <w:b/>
                <w:bCs/>
                <w:color w:val="000000"/>
                <w:lang w:eastAsia="en-ZA"/>
              </w:rPr>
            </w:pPr>
            <w:r w:rsidRPr="003542C3">
              <w:rPr>
                <w:rFonts w:eastAsia="Times New Roman" w:cstheme="minorHAnsi"/>
                <w:b/>
                <w:bCs/>
                <w:color w:val="000000"/>
                <w:lang w:eastAsia="en-ZA"/>
              </w:rPr>
              <w:t>Month</w:t>
            </w:r>
          </w:p>
          <w:p w14:paraId="5D3BD2EB" w14:textId="77777777" w:rsidR="003542C3" w:rsidRDefault="003542C3" w:rsidP="00CA64EB">
            <w:pPr>
              <w:spacing w:after="0" w:line="240" w:lineRule="auto"/>
              <w:rPr>
                <w:rFonts w:eastAsia="Times New Roman" w:cstheme="minorHAnsi"/>
                <w:b/>
                <w:bCs/>
                <w:color w:val="000000"/>
                <w:lang w:eastAsia="en-ZA"/>
              </w:rPr>
            </w:pPr>
          </w:p>
          <w:p w14:paraId="47209B7E" w14:textId="77777777" w:rsidR="003542C3" w:rsidRDefault="003542C3" w:rsidP="00CA64EB">
            <w:pPr>
              <w:spacing w:after="0" w:line="240" w:lineRule="auto"/>
              <w:rPr>
                <w:rFonts w:eastAsia="Times New Roman" w:cstheme="minorHAnsi"/>
                <w:b/>
                <w:bCs/>
                <w:color w:val="000000"/>
                <w:lang w:eastAsia="en-ZA"/>
              </w:rPr>
            </w:pPr>
          </w:p>
          <w:p w14:paraId="3C814EAE" w14:textId="77777777" w:rsidR="003542C3" w:rsidRDefault="003542C3" w:rsidP="00CA64EB">
            <w:pPr>
              <w:spacing w:after="0" w:line="240" w:lineRule="auto"/>
              <w:rPr>
                <w:rFonts w:eastAsia="Times New Roman" w:cstheme="minorHAnsi"/>
                <w:b/>
                <w:bCs/>
                <w:color w:val="000000"/>
                <w:lang w:eastAsia="en-ZA"/>
              </w:rPr>
            </w:pPr>
          </w:p>
          <w:p w14:paraId="697A3B86" w14:textId="77777777" w:rsidR="003542C3" w:rsidRDefault="003542C3" w:rsidP="00CA64EB">
            <w:pPr>
              <w:spacing w:after="0" w:line="240" w:lineRule="auto"/>
              <w:rPr>
                <w:rFonts w:eastAsia="Times New Roman" w:cstheme="minorHAnsi"/>
                <w:b/>
                <w:bCs/>
                <w:color w:val="000000"/>
                <w:lang w:eastAsia="en-ZA"/>
              </w:rPr>
            </w:pPr>
          </w:p>
          <w:p w14:paraId="456DF807" w14:textId="47B442FA" w:rsidR="003542C3" w:rsidRPr="003542C3" w:rsidRDefault="003542C3" w:rsidP="00CA64EB">
            <w:pPr>
              <w:spacing w:after="0" w:line="240" w:lineRule="auto"/>
              <w:rPr>
                <w:rFonts w:eastAsia="Times New Roman" w:cstheme="minorHAnsi"/>
                <w:b/>
                <w:bCs/>
                <w:color w:val="000000"/>
                <w:lang w:eastAsia="en-ZA"/>
              </w:rPr>
            </w:pPr>
          </w:p>
        </w:tc>
        <w:tc>
          <w:tcPr>
            <w:tcW w:w="1160" w:type="dxa"/>
            <w:tcBorders>
              <w:top w:val="single" w:sz="4" w:space="0" w:color="auto"/>
              <w:left w:val="nil"/>
              <w:bottom w:val="single" w:sz="4" w:space="0" w:color="auto"/>
              <w:right w:val="single" w:sz="4" w:space="0" w:color="auto"/>
            </w:tcBorders>
            <w:shd w:val="clear" w:color="000000" w:fill="F58220"/>
            <w:vAlign w:val="bottom"/>
            <w:hideMark/>
          </w:tcPr>
          <w:p w14:paraId="6D7F62A6" w14:textId="65894F0C" w:rsidR="00CA64EB" w:rsidRDefault="00CA64EB" w:rsidP="003542C3">
            <w:pPr>
              <w:spacing w:after="0" w:line="240" w:lineRule="auto"/>
              <w:jc w:val="center"/>
              <w:rPr>
                <w:rFonts w:ascii="Calibri" w:eastAsia="Times New Roman" w:hAnsi="Calibri" w:cs="Calibri"/>
                <w:b/>
                <w:bCs/>
                <w:color w:val="000000"/>
                <w:lang w:eastAsia="en-ZA"/>
              </w:rPr>
            </w:pPr>
            <w:r w:rsidRPr="00CA64EB">
              <w:rPr>
                <w:rFonts w:ascii="Calibri" w:eastAsia="Times New Roman" w:hAnsi="Calibri" w:cs="Calibri"/>
                <w:b/>
                <w:bCs/>
                <w:color w:val="000000"/>
                <w:lang w:eastAsia="en-ZA"/>
              </w:rPr>
              <w:t xml:space="preserve">Nominal </w:t>
            </w:r>
            <w:r w:rsidR="003542C3">
              <w:rPr>
                <w:rFonts w:ascii="Calibri" w:eastAsia="Times New Roman" w:hAnsi="Calibri" w:cs="Calibri"/>
                <w:b/>
                <w:bCs/>
                <w:color w:val="000000"/>
                <w:lang w:eastAsia="en-ZA"/>
              </w:rPr>
              <w:t>a</w:t>
            </w:r>
            <w:r w:rsidRPr="00CA64EB">
              <w:rPr>
                <w:rFonts w:ascii="Calibri" w:eastAsia="Times New Roman" w:hAnsi="Calibri" w:cs="Calibri"/>
                <w:b/>
                <w:bCs/>
                <w:color w:val="000000"/>
                <w:lang w:eastAsia="en-ZA"/>
              </w:rPr>
              <w:t xml:space="preserve">verage </w:t>
            </w:r>
            <w:r w:rsidR="003542C3">
              <w:rPr>
                <w:rFonts w:ascii="Calibri" w:eastAsia="Times New Roman" w:hAnsi="Calibri" w:cs="Calibri"/>
                <w:b/>
                <w:bCs/>
                <w:color w:val="000000"/>
                <w:lang w:eastAsia="en-ZA"/>
              </w:rPr>
              <w:t>t</w:t>
            </w:r>
            <w:r w:rsidRPr="00CA64EB">
              <w:rPr>
                <w:rFonts w:ascii="Calibri" w:eastAsia="Times New Roman" w:hAnsi="Calibri" w:cs="Calibri"/>
                <w:b/>
                <w:bCs/>
                <w:color w:val="000000"/>
                <w:lang w:eastAsia="en-ZA"/>
              </w:rPr>
              <w:t xml:space="preserve">ake-home </w:t>
            </w:r>
            <w:r w:rsidR="003542C3">
              <w:rPr>
                <w:rFonts w:ascii="Calibri" w:eastAsia="Times New Roman" w:hAnsi="Calibri" w:cs="Calibri"/>
                <w:b/>
                <w:bCs/>
                <w:color w:val="000000"/>
                <w:lang w:eastAsia="en-ZA"/>
              </w:rPr>
              <w:t>p</w:t>
            </w:r>
            <w:r w:rsidRPr="00CA64EB">
              <w:rPr>
                <w:rFonts w:ascii="Calibri" w:eastAsia="Times New Roman" w:hAnsi="Calibri" w:cs="Calibri"/>
                <w:b/>
                <w:bCs/>
                <w:color w:val="000000"/>
                <w:lang w:eastAsia="en-ZA"/>
              </w:rPr>
              <w:t>ay</w:t>
            </w:r>
          </w:p>
          <w:p w14:paraId="5FAA7A17" w14:textId="77777777" w:rsidR="003542C3" w:rsidRDefault="003542C3" w:rsidP="003542C3">
            <w:pPr>
              <w:spacing w:after="0" w:line="240" w:lineRule="auto"/>
              <w:jc w:val="center"/>
              <w:rPr>
                <w:rFonts w:ascii="Calibri" w:eastAsia="Times New Roman" w:hAnsi="Calibri" w:cs="Calibri"/>
                <w:b/>
                <w:bCs/>
                <w:color w:val="000000"/>
                <w:lang w:eastAsia="en-ZA"/>
              </w:rPr>
            </w:pPr>
          </w:p>
          <w:p w14:paraId="26D10CB2" w14:textId="114A6132" w:rsidR="003542C3" w:rsidRPr="00CA64EB" w:rsidRDefault="003542C3" w:rsidP="00CA64EB">
            <w:pPr>
              <w:spacing w:after="0" w:line="240" w:lineRule="auto"/>
              <w:rPr>
                <w:rFonts w:ascii="Calibri" w:eastAsia="Times New Roman" w:hAnsi="Calibri" w:cs="Calibri"/>
                <w:b/>
                <w:bCs/>
                <w:color w:val="000000"/>
                <w:lang w:eastAsia="en-ZA"/>
              </w:rPr>
            </w:pPr>
          </w:p>
        </w:tc>
        <w:tc>
          <w:tcPr>
            <w:tcW w:w="1220" w:type="dxa"/>
            <w:tcBorders>
              <w:top w:val="single" w:sz="4" w:space="0" w:color="auto"/>
              <w:left w:val="nil"/>
              <w:bottom w:val="single" w:sz="4" w:space="0" w:color="auto"/>
              <w:right w:val="single" w:sz="4" w:space="0" w:color="auto"/>
            </w:tcBorders>
            <w:shd w:val="clear" w:color="000000" w:fill="F58220"/>
            <w:vAlign w:val="bottom"/>
            <w:hideMark/>
          </w:tcPr>
          <w:p w14:paraId="29FBF953" w14:textId="71DCAF3E" w:rsidR="00CA64EB" w:rsidRDefault="00CA64EB" w:rsidP="00CA64EB">
            <w:pPr>
              <w:spacing w:after="0" w:line="240" w:lineRule="auto"/>
              <w:jc w:val="center"/>
              <w:rPr>
                <w:rFonts w:ascii="Calibri" w:eastAsia="Times New Roman" w:hAnsi="Calibri" w:cs="Calibri"/>
                <w:b/>
                <w:bCs/>
                <w:color w:val="000000"/>
                <w:lang w:eastAsia="en-ZA"/>
              </w:rPr>
            </w:pPr>
            <w:r w:rsidRPr="00CA64EB">
              <w:rPr>
                <w:rFonts w:ascii="Calibri" w:eastAsia="Times New Roman" w:hAnsi="Calibri" w:cs="Calibri"/>
                <w:b/>
                <w:bCs/>
                <w:color w:val="000000"/>
                <w:lang w:eastAsia="en-ZA"/>
              </w:rPr>
              <w:t xml:space="preserve">Real </w:t>
            </w:r>
            <w:r w:rsidR="003542C3">
              <w:rPr>
                <w:rFonts w:ascii="Calibri" w:eastAsia="Times New Roman" w:hAnsi="Calibri" w:cs="Calibri"/>
                <w:b/>
                <w:bCs/>
                <w:color w:val="000000"/>
                <w:lang w:eastAsia="en-ZA"/>
              </w:rPr>
              <w:t>t</w:t>
            </w:r>
            <w:r w:rsidRPr="00CA64EB">
              <w:rPr>
                <w:rFonts w:ascii="Calibri" w:eastAsia="Times New Roman" w:hAnsi="Calibri" w:cs="Calibri"/>
                <w:b/>
                <w:bCs/>
                <w:color w:val="000000"/>
                <w:lang w:eastAsia="en-ZA"/>
              </w:rPr>
              <w:t>ake</w:t>
            </w:r>
            <w:r w:rsidR="003542C3">
              <w:rPr>
                <w:rFonts w:ascii="Calibri" w:eastAsia="Times New Roman" w:hAnsi="Calibri" w:cs="Calibri"/>
                <w:b/>
                <w:bCs/>
                <w:color w:val="000000"/>
                <w:lang w:eastAsia="en-ZA"/>
              </w:rPr>
              <w:t>-</w:t>
            </w:r>
            <w:r w:rsidRPr="00CA64EB">
              <w:rPr>
                <w:rFonts w:ascii="Calibri" w:eastAsia="Times New Roman" w:hAnsi="Calibri" w:cs="Calibri"/>
                <w:b/>
                <w:bCs/>
                <w:color w:val="000000"/>
                <w:lang w:eastAsia="en-ZA"/>
              </w:rPr>
              <w:t xml:space="preserve"> </w:t>
            </w:r>
            <w:r w:rsidR="003542C3">
              <w:rPr>
                <w:rFonts w:ascii="Calibri" w:eastAsia="Times New Roman" w:hAnsi="Calibri" w:cs="Calibri"/>
                <w:b/>
                <w:bCs/>
                <w:color w:val="000000"/>
                <w:lang w:eastAsia="en-ZA"/>
              </w:rPr>
              <w:t>h</w:t>
            </w:r>
            <w:r w:rsidRPr="00CA64EB">
              <w:rPr>
                <w:rFonts w:ascii="Calibri" w:eastAsia="Times New Roman" w:hAnsi="Calibri" w:cs="Calibri"/>
                <w:b/>
                <w:bCs/>
                <w:color w:val="000000"/>
                <w:lang w:eastAsia="en-ZA"/>
              </w:rPr>
              <w:t xml:space="preserve">ome </w:t>
            </w:r>
            <w:r w:rsidR="003542C3">
              <w:rPr>
                <w:rFonts w:ascii="Calibri" w:eastAsia="Times New Roman" w:hAnsi="Calibri" w:cs="Calibri"/>
                <w:b/>
                <w:bCs/>
                <w:color w:val="000000"/>
                <w:lang w:eastAsia="en-ZA"/>
              </w:rPr>
              <w:t>p</w:t>
            </w:r>
            <w:r w:rsidRPr="00CA64EB">
              <w:rPr>
                <w:rFonts w:ascii="Calibri" w:eastAsia="Times New Roman" w:hAnsi="Calibri" w:cs="Calibri"/>
                <w:b/>
                <w:bCs/>
                <w:color w:val="000000"/>
                <w:lang w:eastAsia="en-ZA"/>
              </w:rPr>
              <w:t>ay</w:t>
            </w:r>
          </w:p>
          <w:p w14:paraId="3A3BD46F" w14:textId="77777777" w:rsidR="002477F6" w:rsidRDefault="002477F6" w:rsidP="00CA64EB">
            <w:pPr>
              <w:spacing w:after="0" w:line="240" w:lineRule="auto"/>
              <w:jc w:val="center"/>
              <w:rPr>
                <w:rFonts w:ascii="Calibri" w:eastAsia="Times New Roman" w:hAnsi="Calibri" w:cs="Calibri"/>
                <w:b/>
                <w:bCs/>
                <w:color w:val="000000"/>
                <w:lang w:eastAsia="en-ZA"/>
              </w:rPr>
            </w:pPr>
          </w:p>
          <w:p w14:paraId="7803B208" w14:textId="77777777" w:rsidR="003542C3" w:rsidRDefault="003542C3" w:rsidP="00CA64EB">
            <w:pPr>
              <w:spacing w:after="0" w:line="240" w:lineRule="auto"/>
              <w:jc w:val="center"/>
              <w:rPr>
                <w:rFonts w:ascii="Calibri" w:eastAsia="Times New Roman" w:hAnsi="Calibri" w:cs="Calibri"/>
                <w:b/>
                <w:bCs/>
                <w:color w:val="000000"/>
                <w:lang w:eastAsia="en-ZA"/>
              </w:rPr>
            </w:pPr>
          </w:p>
          <w:p w14:paraId="4A78F6D2" w14:textId="77777777" w:rsidR="003542C3" w:rsidRDefault="003542C3" w:rsidP="00CA64EB">
            <w:pPr>
              <w:spacing w:after="0" w:line="240" w:lineRule="auto"/>
              <w:jc w:val="center"/>
              <w:rPr>
                <w:rFonts w:ascii="Calibri" w:eastAsia="Times New Roman" w:hAnsi="Calibri" w:cs="Calibri"/>
                <w:b/>
                <w:bCs/>
                <w:color w:val="000000"/>
                <w:lang w:eastAsia="en-ZA"/>
              </w:rPr>
            </w:pPr>
          </w:p>
          <w:p w14:paraId="3CE0CE93" w14:textId="40D1C4D5" w:rsidR="003542C3" w:rsidRPr="00CA64EB" w:rsidRDefault="003542C3" w:rsidP="00CA64EB">
            <w:pPr>
              <w:spacing w:after="0" w:line="240" w:lineRule="auto"/>
              <w:jc w:val="center"/>
              <w:rPr>
                <w:rFonts w:ascii="Calibri" w:eastAsia="Times New Roman" w:hAnsi="Calibri" w:cs="Calibri"/>
                <w:b/>
                <w:bCs/>
                <w:color w:val="000000"/>
                <w:lang w:eastAsia="en-ZA"/>
              </w:rPr>
            </w:pPr>
          </w:p>
        </w:tc>
        <w:tc>
          <w:tcPr>
            <w:tcW w:w="1000" w:type="dxa"/>
            <w:tcBorders>
              <w:top w:val="single" w:sz="4" w:space="0" w:color="auto"/>
              <w:left w:val="nil"/>
              <w:bottom w:val="single" w:sz="4" w:space="0" w:color="auto"/>
              <w:right w:val="single" w:sz="4" w:space="0" w:color="auto"/>
            </w:tcBorders>
            <w:shd w:val="clear" w:color="000000" w:fill="F58220"/>
            <w:vAlign w:val="bottom"/>
            <w:hideMark/>
          </w:tcPr>
          <w:p w14:paraId="5EC95557" w14:textId="24518A5B" w:rsidR="00CA64EB" w:rsidRDefault="00CA64EB" w:rsidP="00CA64EB">
            <w:pPr>
              <w:spacing w:after="0" w:line="240" w:lineRule="auto"/>
              <w:jc w:val="center"/>
              <w:rPr>
                <w:rFonts w:ascii="Calibri" w:eastAsia="Times New Roman" w:hAnsi="Calibri" w:cs="Calibri"/>
                <w:b/>
                <w:bCs/>
                <w:color w:val="000000"/>
                <w:lang w:eastAsia="en-ZA"/>
              </w:rPr>
            </w:pPr>
            <w:r w:rsidRPr="00CA64EB">
              <w:rPr>
                <w:rFonts w:ascii="Calibri" w:eastAsia="Times New Roman" w:hAnsi="Calibri" w:cs="Calibri"/>
                <w:b/>
                <w:bCs/>
                <w:color w:val="000000"/>
                <w:lang w:eastAsia="en-ZA"/>
              </w:rPr>
              <w:t xml:space="preserve">Nominal BTPI % change YoY </w:t>
            </w:r>
          </w:p>
          <w:p w14:paraId="67358B57" w14:textId="77777777" w:rsidR="002477F6" w:rsidRDefault="002477F6" w:rsidP="00CA64EB">
            <w:pPr>
              <w:spacing w:after="0" w:line="240" w:lineRule="auto"/>
              <w:jc w:val="center"/>
              <w:rPr>
                <w:rFonts w:ascii="Calibri" w:eastAsia="Times New Roman" w:hAnsi="Calibri" w:cs="Calibri"/>
                <w:b/>
                <w:bCs/>
                <w:color w:val="000000"/>
                <w:lang w:eastAsia="en-ZA"/>
              </w:rPr>
            </w:pPr>
          </w:p>
          <w:p w14:paraId="1761A2F0" w14:textId="1DA1AF28" w:rsidR="003542C3" w:rsidRPr="00CA64EB" w:rsidRDefault="003542C3" w:rsidP="00CA64EB">
            <w:pPr>
              <w:spacing w:after="0" w:line="240" w:lineRule="auto"/>
              <w:jc w:val="center"/>
              <w:rPr>
                <w:rFonts w:ascii="Calibri" w:eastAsia="Times New Roman" w:hAnsi="Calibri" w:cs="Calibri"/>
                <w:b/>
                <w:bCs/>
                <w:color w:val="000000"/>
                <w:lang w:eastAsia="en-ZA"/>
              </w:rPr>
            </w:pPr>
          </w:p>
        </w:tc>
        <w:tc>
          <w:tcPr>
            <w:tcW w:w="920" w:type="dxa"/>
            <w:tcBorders>
              <w:top w:val="single" w:sz="4" w:space="0" w:color="auto"/>
              <w:left w:val="nil"/>
              <w:bottom w:val="single" w:sz="4" w:space="0" w:color="auto"/>
              <w:right w:val="single" w:sz="4" w:space="0" w:color="auto"/>
            </w:tcBorders>
            <w:shd w:val="clear" w:color="000000" w:fill="F58220"/>
            <w:vAlign w:val="bottom"/>
            <w:hideMark/>
          </w:tcPr>
          <w:p w14:paraId="4842619C" w14:textId="0C2F70FC" w:rsidR="00CA64EB" w:rsidRDefault="00CA64EB" w:rsidP="00CA64EB">
            <w:pPr>
              <w:spacing w:after="0" w:line="240" w:lineRule="auto"/>
              <w:jc w:val="center"/>
              <w:rPr>
                <w:rFonts w:ascii="Calibri" w:eastAsia="Times New Roman" w:hAnsi="Calibri" w:cs="Calibri"/>
                <w:b/>
                <w:bCs/>
                <w:color w:val="000000"/>
                <w:lang w:eastAsia="en-ZA"/>
              </w:rPr>
            </w:pPr>
            <w:r w:rsidRPr="00CA64EB">
              <w:rPr>
                <w:rFonts w:ascii="Calibri" w:eastAsia="Times New Roman" w:hAnsi="Calibri" w:cs="Calibri"/>
                <w:b/>
                <w:bCs/>
                <w:color w:val="000000"/>
                <w:lang w:eastAsia="en-ZA"/>
              </w:rPr>
              <w:t>Real BTPI % change YoY</w:t>
            </w:r>
          </w:p>
          <w:p w14:paraId="130E2800" w14:textId="77777777" w:rsidR="002477F6" w:rsidRDefault="002477F6" w:rsidP="00CA64EB">
            <w:pPr>
              <w:spacing w:after="0" w:line="240" w:lineRule="auto"/>
              <w:jc w:val="center"/>
              <w:rPr>
                <w:rFonts w:ascii="Calibri" w:eastAsia="Times New Roman" w:hAnsi="Calibri" w:cs="Calibri"/>
                <w:b/>
                <w:bCs/>
                <w:color w:val="000000"/>
                <w:lang w:eastAsia="en-ZA"/>
              </w:rPr>
            </w:pPr>
          </w:p>
          <w:p w14:paraId="17B49A3F" w14:textId="6CDBD334" w:rsidR="003542C3" w:rsidRPr="00CA64EB" w:rsidRDefault="003542C3" w:rsidP="00CA64EB">
            <w:pPr>
              <w:spacing w:after="0" w:line="240" w:lineRule="auto"/>
              <w:jc w:val="center"/>
              <w:rPr>
                <w:rFonts w:ascii="Calibri" w:eastAsia="Times New Roman" w:hAnsi="Calibri" w:cs="Calibri"/>
                <w:b/>
                <w:bCs/>
                <w:color w:val="000000"/>
                <w:lang w:eastAsia="en-ZA"/>
              </w:rPr>
            </w:pPr>
          </w:p>
        </w:tc>
        <w:tc>
          <w:tcPr>
            <w:tcW w:w="1260" w:type="dxa"/>
            <w:tcBorders>
              <w:top w:val="single" w:sz="4" w:space="0" w:color="auto"/>
              <w:left w:val="nil"/>
              <w:bottom w:val="single" w:sz="4" w:space="0" w:color="auto"/>
              <w:right w:val="single" w:sz="4" w:space="0" w:color="auto"/>
            </w:tcBorders>
            <w:shd w:val="clear" w:color="000000" w:fill="BFD730"/>
            <w:vAlign w:val="bottom"/>
            <w:hideMark/>
          </w:tcPr>
          <w:p w14:paraId="73A3B9A4" w14:textId="2121412C" w:rsidR="00CA64EB" w:rsidRDefault="00CA64EB" w:rsidP="00CA64EB">
            <w:pPr>
              <w:spacing w:after="0" w:line="240" w:lineRule="auto"/>
              <w:jc w:val="center"/>
              <w:rPr>
                <w:rFonts w:ascii="Calibri" w:eastAsia="Times New Roman" w:hAnsi="Calibri" w:cs="Calibri"/>
                <w:b/>
                <w:bCs/>
                <w:color w:val="000000"/>
                <w:lang w:eastAsia="en-ZA"/>
              </w:rPr>
            </w:pPr>
            <w:r w:rsidRPr="00CA64EB">
              <w:rPr>
                <w:rFonts w:ascii="Calibri" w:eastAsia="Times New Roman" w:hAnsi="Calibri" w:cs="Calibri"/>
                <w:b/>
                <w:bCs/>
                <w:color w:val="000000"/>
                <w:lang w:eastAsia="en-ZA"/>
              </w:rPr>
              <w:t xml:space="preserve">Nominal </w:t>
            </w:r>
            <w:r w:rsidR="003542C3">
              <w:rPr>
                <w:rFonts w:ascii="Calibri" w:eastAsia="Times New Roman" w:hAnsi="Calibri" w:cs="Calibri"/>
                <w:b/>
                <w:bCs/>
                <w:color w:val="000000"/>
                <w:lang w:eastAsia="en-ZA"/>
              </w:rPr>
              <w:t>a</w:t>
            </w:r>
            <w:r w:rsidRPr="00CA64EB">
              <w:rPr>
                <w:rFonts w:ascii="Calibri" w:eastAsia="Times New Roman" w:hAnsi="Calibri" w:cs="Calibri"/>
                <w:b/>
                <w:bCs/>
                <w:color w:val="000000"/>
                <w:lang w:eastAsia="en-ZA"/>
              </w:rPr>
              <w:t xml:space="preserve">verage </w:t>
            </w:r>
            <w:r w:rsidR="003542C3">
              <w:rPr>
                <w:rFonts w:ascii="Calibri" w:eastAsia="Times New Roman" w:hAnsi="Calibri" w:cs="Calibri"/>
                <w:b/>
                <w:bCs/>
                <w:color w:val="000000"/>
                <w:lang w:eastAsia="en-ZA"/>
              </w:rPr>
              <w:t>p</w:t>
            </w:r>
            <w:r w:rsidRPr="00CA64EB">
              <w:rPr>
                <w:rFonts w:ascii="Calibri" w:eastAsia="Times New Roman" w:hAnsi="Calibri" w:cs="Calibri"/>
                <w:b/>
                <w:bCs/>
                <w:color w:val="000000"/>
                <w:lang w:eastAsia="en-ZA"/>
              </w:rPr>
              <w:t xml:space="preserve">ensions </w:t>
            </w:r>
            <w:r w:rsidR="003542C3">
              <w:rPr>
                <w:rFonts w:ascii="Calibri" w:eastAsia="Times New Roman" w:hAnsi="Calibri" w:cs="Calibri"/>
                <w:b/>
                <w:bCs/>
                <w:color w:val="000000"/>
                <w:lang w:eastAsia="en-ZA"/>
              </w:rPr>
              <w:t>p</w:t>
            </w:r>
            <w:r w:rsidRPr="00CA64EB">
              <w:rPr>
                <w:rFonts w:ascii="Calibri" w:eastAsia="Times New Roman" w:hAnsi="Calibri" w:cs="Calibri"/>
                <w:b/>
                <w:bCs/>
                <w:color w:val="000000"/>
                <w:lang w:eastAsia="en-ZA"/>
              </w:rPr>
              <w:t>aid</w:t>
            </w:r>
          </w:p>
          <w:p w14:paraId="13CDFF2B" w14:textId="77777777" w:rsidR="002477F6" w:rsidRDefault="002477F6" w:rsidP="00CA64EB">
            <w:pPr>
              <w:spacing w:after="0" w:line="240" w:lineRule="auto"/>
              <w:jc w:val="center"/>
              <w:rPr>
                <w:rFonts w:ascii="Calibri" w:eastAsia="Times New Roman" w:hAnsi="Calibri" w:cs="Calibri"/>
                <w:b/>
                <w:bCs/>
                <w:color w:val="000000"/>
                <w:lang w:eastAsia="en-ZA"/>
              </w:rPr>
            </w:pPr>
          </w:p>
          <w:p w14:paraId="068E1A30" w14:textId="35A770EB" w:rsidR="003542C3" w:rsidRPr="00CA64EB" w:rsidRDefault="003542C3" w:rsidP="00CA64EB">
            <w:pPr>
              <w:spacing w:after="0" w:line="240" w:lineRule="auto"/>
              <w:jc w:val="center"/>
              <w:rPr>
                <w:rFonts w:ascii="Calibri" w:eastAsia="Times New Roman" w:hAnsi="Calibri" w:cs="Calibri"/>
                <w:b/>
                <w:bCs/>
                <w:color w:val="000000"/>
                <w:lang w:eastAsia="en-ZA"/>
              </w:rPr>
            </w:pPr>
          </w:p>
        </w:tc>
        <w:tc>
          <w:tcPr>
            <w:tcW w:w="1040" w:type="dxa"/>
            <w:tcBorders>
              <w:top w:val="single" w:sz="4" w:space="0" w:color="auto"/>
              <w:left w:val="nil"/>
              <w:bottom w:val="single" w:sz="4" w:space="0" w:color="auto"/>
              <w:right w:val="single" w:sz="4" w:space="0" w:color="auto"/>
            </w:tcBorders>
            <w:shd w:val="clear" w:color="000000" w:fill="BFD730"/>
            <w:vAlign w:val="bottom"/>
            <w:hideMark/>
          </w:tcPr>
          <w:p w14:paraId="3A8E5764" w14:textId="62F85DE7" w:rsidR="00CA64EB" w:rsidRDefault="00CA64EB" w:rsidP="00CA64EB">
            <w:pPr>
              <w:spacing w:after="0" w:line="240" w:lineRule="auto"/>
              <w:jc w:val="center"/>
              <w:rPr>
                <w:rFonts w:ascii="Calibri" w:eastAsia="Times New Roman" w:hAnsi="Calibri" w:cs="Calibri"/>
                <w:b/>
                <w:bCs/>
                <w:color w:val="000000"/>
                <w:lang w:eastAsia="en-ZA"/>
              </w:rPr>
            </w:pPr>
            <w:r w:rsidRPr="00CA64EB">
              <w:rPr>
                <w:rFonts w:ascii="Calibri" w:eastAsia="Times New Roman" w:hAnsi="Calibri" w:cs="Calibri"/>
                <w:b/>
                <w:bCs/>
                <w:color w:val="000000"/>
                <w:lang w:eastAsia="en-ZA"/>
              </w:rPr>
              <w:t xml:space="preserve">Real </w:t>
            </w:r>
            <w:r w:rsidR="003542C3">
              <w:rPr>
                <w:rFonts w:ascii="Calibri" w:eastAsia="Times New Roman" w:hAnsi="Calibri" w:cs="Calibri"/>
                <w:b/>
                <w:bCs/>
                <w:color w:val="000000"/>
                <w:lang w:eastAsia="en-ZA"/>
              </w:rPr>
              <w:t>p</w:t>
            </w:r>
            <w:r w:rsidRPr="00CA64EB">
              <w:rPr>
                <w:rFonts w:ascii="Calibri" w:eastAsia="Times New Roman" w:hAnsi="Calibri" w:cs="Calibri"/>
                <w:b/>
                <w:bCs/>
                <w:color w:val="000000"/>
                <w:lang w:eastAsia="en-ZA"/>
              </w:rPr>
              <w:t xml:space="preserve">rivate </w:t>
            </w:r>
            <w:r w:rsidR="003542C3">
              <w:rPr>
                <w:rFonts w:ascii="Calibri" w:eastAsia="Times New Roman" w:hAnsi="Calibri" w:cs="Calibri"/>
                <w:b/>
                <w:bCs/>
                <w:color w:val="000000"/>
                <w:lang w:eastAsia="en-ZA"/>
              </w:rPr>
              <w:t>p</w:t>
            </w:r>
            <w:r w:rsidRPr="00CA64EB">
              <w:rPr>
                <w:rFonts w:ascii="Calibri" w:eastAsia="Times New Roman" w:hAnsi="Calibri" w:cs="Calibri"/>
                <w:b/>
                <w:bCs/>
                <w:color w:val="000000"/>
                <w:lang w:eastAsia="en-ZA"/>
              </w:rPr>
              <w:t>ension</w:t>
            </w:r>
          </w:p>
          <w:p w14:paraId="0E561748" w14:textId="17C7D08B" w:rsidR="003542C3" w:rsidRDefault="003542C3" w:rsidP="00CA64EB">
            <w:pPr>
              <w:spacing w:after="0" w:line="240" w:lineRule="auto"/>
              <w:jc w:val="center"/>
              <w:rPr>
                <w:rFonts w:ascii="Calibri" w:eastAsia="Times New Roman" w:hAnsi="Calibri" w:cs="Calibri"/>
                <w:b/>
                <w:bCs/>
                <w:color w:val="000000"/>
                <w:lang w:eastAsia="en-ZA"/>
              </w:rPr>
            </w:pPr>
          </w:p>
          <w:p w14:paraId="6798357E" w14:textId="77777777" w:rsidR="003542C3" w:rsidRDefault="003542C3" w:rsidP="00CA64EB">
            <w:pPr>
              <w:spacing w:after="0" w:line="240" w:lineRule="auto"/>
              <w:jc w:val="center"/>
              <w:rPr>
                <w:rFonts w:ascii="Calibri" w:eastAsia="Times New Roman" w:hAnsi="Calibri" w:cs="Calibri"/>
                <w:b/>
                <w:bCs/>
                <w:color w:val="000000"/>
                <w:lang w:eastAsia="en-ZA"/>
              </w:rPr>
            </w:pPr>
          </w:p>
          <w:p w14:paraId="148F58DD" w14:textId="6B15B359" w:rsidR="003542C3" w:rsidRPr="00CA64EB" w:rsidRDefault="003542C3" w:rsidP="00CA64EB">
            <w:pPr>
              <w:spacing w:after="0" w:line="240" w:lineRule="auto"/>
              <w:jc w:val="center"/>
              <w:rPr>
                <w:rFonts w:ascii="Calibri" w:eastAsia="Times New Roman" w:hAnsi="Calibri" w:cs="Calibri"/>
                <w:b/>
                <w:bCs/>
                <w:color w:val="000000"/>
                <w:lang w:eastAsia="en-ZA"/>
              </w:rPr>
            </w:pPr>
          </w:p>
        </w:tc>
        <w:tc>
          <w:tcPr>
            <w:tcW w:w="1120" w:type="dxa"/>
            <w:tcBorders>
              <w:top w:val="single" w:sz="4" w:space="0" w:color="auto"/>
              <w:left w:val="nil"/>
              <w:bottom w:val="single" w:sz="4" w:space="0" w:color="auto"/>
              <w:right w:val="single" w:sz="4" w:space="0" w:color="auto"/>
            </w:tcBorders>
            <w:shd w:val="clear" w:color="000000" w:fill="BFD730"/>
            <w:vAlign w:val="bottom"/>
            <w:hideMark/>
          </w:tcPr>
          <w:p w14:paraId="6E182D4C" w14:textId="77777777" w:rsidR="003542C3" w:rsidRDefault="00CA64EB" w:rsidP="00CA64EB">
            <w:pPr>
              <w:spacing w:after="0" w:line="240" w:lineRule="auto"/>
              <w:jc w:val="center"/>
              <w:rPr>
                <w:rFonts w:ascii="Calibri" w:eastAsia="Times New Roman" w:hAnsi="Calibri" w:cs="Calibri"/>
                <w:b/>
                <w:bCs/>
                <w:color w:val="000000"/>
                <w:lang w:eastAsia="en-ZA"/>
              </w:rPr>
            </w:pPr>
            <w:r w:rsidRPr="00CA64EB">
              <w:rPr>
                <w:rFonts w:ascii="Calibri" w:eastAsia="Times New Roman" w:hAnsi="Calibri" w:cs="Calibri"/>
                <w:b/>
                <w:bCs/>
                <w:color w:val="000000"/>
                <w:lang w:eastAsia="en-ZA"/>
              </w:rPr>
              <w:t>Nominal BPPI % change YoY</w:t>
            </w:r>
          </w:p>
          <w:p w14:paraId="5A50DD51" w14:textId="55490A2C" w:rsidR="00CA64EB" w:rsidRPr="00CA64EB" w:rsidRDefault="00CA64EB" w:rsidP="00CA64EB">
            <w:pPr>
              <w:spacing w:after="0" w:line="240" w:lineRule="auto"/>
              <w:jc w:val="center"/>
              <w:rPr>
                <w:rFonts w:ascii="Calibri" w:eastAsia="Times New Roman" w:hAnsi="Calibri" w:cs="Calibri"/>
                <w:b/>
                <w:bCs/>
                <w:color w:val="000000"/>
                <w:lang w:eastAsia="en-ZA"/>
              </w:rPr>
            </w:pPr>
            <w:r w:rsidRPr="00CA64EB">
              <w:rPr>
                <w:rFonts w:ascii="Calibri" w:eastAsia="Times New Roman" w:hAnsi="Calibri" w:cs="Calibri"/>
                <w:b/>
                <w:bCs/>
                <w:color w:val="000000"/>
                <w:lang w:eastAsia="en-ZA"/>
              </w:rPr>
              <w:t xml:space="preserve"> </w:t>
            </w:r>
          </w:p>
        </w:tc>
        <w:tc>
          <w:tcPr>
            <w:tcW w:w="1000" w:type="dxa"/>
            <w:tcBorders>
              <w:top w:val="single" w:sz="4" w:space="0" w:color="auto"/>
              <w:left w:val="nil"/>
              <w:bottom w:val="single" w:sz="4" w:space="0" w:color="auto"/>
              <w:right w:val="single" w:sz="4" w:space="0" w:color="auto"/>
            </w:tcBorders>
            <w:shd w:val="clear" w:color="000000" w:fill="BFD730"/>
            <w:vAlign w:val="bottom"/>
            <w:hideMark/>
          </w:tcPr>
          <w:p w14:paraId="6C508784" w14:textId="60C2C15A" w:rsidR="00CA64EB" w:rsidRDefault="00CA64EB" w:rsidP="00CA64EB">
            <w:pPr>
              <w:spacing w:after="0" w:line="240" w:lineRule="auto"/>
              <w:jc w:val="center"/>
              <w:rPr>
                <w:rFonts w:ascii="Calibri" w:eastAsia="Times New Roman" w:hAnsi="Calibri" w:cs="Calibri"/>
                <w:b/>
                <w:bCs/>
                <w:color w:val="000000"/>
                <w:lang w:eastAsia="en-ZA"/>
              </w:rPr>
            </w:pPr>
            <w:r w:rsidRPr="00CA64EB">
              <w:rPr>
                <w:rFonts w:ascii="Calibri" w:eastAsia="Times New Roman" w:hAnsi="Calibri" w:cs="Calibri"/>
                <w:b/>
                <w:bCs/>
                <w:color w:val="000000"/>
                <w:lang w:eastAsia="en-ZA"/>
              </w:rPr>
              <w:t>Real BPPI % change YoY</w:t>
            </w:r>
          </w:p>
          <w:p w14:paraId="2A808465" w14:textId="77777777" w:rsidR="002477F6" w:rsidRDefault="002477F6" w:rsidP="00CA64EB">
            <w:pPr>
              <w:spacing w:after="0" w:line="240" w:lineRule="auto"/>
              <w:jc w:val="center"/>
              <w:rPr>
                <w:rFonts w:ascii="Calibri" w:eastAsia="Times New Roman" w:hAnsi="Calibri" w:cs="Calibri"/>
                <w:b/>
                <w:bCs/>
                <w:color w:val="000000"/>
                <w:lang w:eastAsia="en-ZA"/>
              </w:rPr>
            </w:pPr>
          </w:p>
          <w:p w14:paraId="6B474DC1" w14:textId="308EAB5B" w:rsidR="003542C3" w:rsidRPr="00CA64EB" w:rsidRDefault="003542C3" w:rsidP="00CA64EB">
            <w:pPr>
              <w:spacing w:after="0" w:line="240" w:lineRule="auto"/>
              <w:jc w:val="center"/>
              <w:rPr>
                <w:rFonts w:ascii="Calibri" w:eastAsia="Times New Roman" w:hAnsi="Calibri" w:cs="Calibri"/>
                <w:b/>
                <w:bCs/>
                <w:color w:val="000000"/>
                <w:lang w:eastAsia="en-ZA"/>
              </w:rPr>
            </w:pPr>
          </w:p>
        </w:tc>
      </w:tr>
      <w:tr w:rsidR="00CA574E" w:rsidRPr="00CA64EB" w14:paraId="44C8ADAE" w14:textId="77777777" w:rsidTr="00993DF8">
        <w:trPr>
          <w:trHeight w:val="288"/>
        </w:trPr>
        <w:tc>
          <w:tcPr>
            <w:tcW w:w="1120" w:type="dxa"/>
            <w:tcBorders>
              <w:top w:val="nil"/>
              <w:left w:val="single" w:sz="4" w:space="0" w:color="auto"/>
              <w:bottom w:val="single" w:sz="4" w:space="0" w:color="auto"/>
              <w:right w:val="single" w:sz="4" w:space="0" w:color="auto"/>
            </w:tcBorders>
            <w:shd w:val="clear" w:color="000000" w:fill="F58220"/>
            <w:vAlign w:val="bottom"/>
            <w:hideMark/>
          </w:tcPr>
          <w:p w14:paraId="03E8497C" w14:textId="77777777" w:rsidR="00CA574E" w:rsidRPr="003542C3" w:rsidRDefault="00CA574E" w:rsidP="00CA574E">
            <w:pPr>
              <w:spacing w:after="0" w:line="240" w:lineRule="auto"/>
              <w:rPr>
                <w:rFonts w:eastAsia="Times New Roman" w:cstheme="minorHAnsi"/>
                <w:b/>
                <w:bCs/>
                <w:lang w:eastAsia="en-ZA"/>
              </w:rPr>
            </w:pPr>
            <w:r w:rsidRPr="003542C3">
              <w:rPr>
                <w:rFonts w:eastAsia="Times New Roman" w:cstheme="minorHAnsi"/>
                <w:b/>
                <w:bCs/>
                <w:lang w:eastAsia="en-ZA"/>
              </w:rPr>
              <w:t>Jan-21</w:t>
            </w:r>
          </w:p>
        </w:tc>
        <w:tc>
          <w:tcPr>
            <w:tcW w:w="1160" w:type="dxa"/>
            <w:tcBorders>
              <w:top w:val="nil"/>
              <w:left w:val="nil"/>
              <w:bottom w:val="single" w:sz="4" w:space="0" w:color="auto"/>
              <w:right w:val="single" w:sz="4" w:space="0" w:color="auto"/>
            </w:tcBorders>
            <w:shd w:val="clear" w:color="000000" w:fill="F58220"/>
            <w:noWrap/>
            <w:hideMark/>
          </w:tcPr>
          <w:p w14:paraId="0157CEF3" w14:textId="1F9345CE"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15371</w:t>
            </w:r>
          </w:p>
        </w:tc>
        <w:tc>
          <w:tcPr>
            <w:tcW w:w="1220" w:type="dxa"/>
            <w:tcBorders>
              <w:top w:val="nil"/>
              <w:left w:val="nil"/>
              <w:bottom w:val="single" w:sz="4" w:space="0" w:color="auto"/>
              <w:right w:val="single" w:sz="4" w:space="0" w:color="auto"/>
            </w:tcBorders>
            <w:shd w:val="clear" w:color="000000" w:fill="F58220"/>
            <w:noWrap/>
            <w:hideMark/>
          </w:tcPr>
          <w:p w14:paraId="20AAFCE6" w14:textId="70F7480F"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16115</w:t>
            </w:r>
          </w:p>
        </w:tc>
        <w:tc>
          <w:tcPr>
            <w:tcW w:w="1000" w:type="dxa"/>
            <w:tcBorders>
              <w:top w:val="nil"/>
              <w:left w:val="nil"/>
              <w:bottom w:val="single" w:sz="4" w:space="0" w:color="auto"/>
              <w:right w:val="single" w:sz="4" w:space="0" w:color="auto"/>
            </w:tcBorders>
            <w:shd w:val="clear" w:color="000000" w:fill="F58220"/>
            <w:noWrap/>
            <w:hideMark/>
          </w:tcPr>
          <w:p w14:paraId="5AB4B502" w14:textId="2CE64897"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2.9%</w:t>
            </w:r>
          </w:p>
        </w:tc>
        <w:tc>
          <w:tcPr>
            <w:tcW w:w="920" w:type="dxa"/>
            <w:tcBorders>
              <w:top w:val="nil"/>
              <w:left w:val="nil"/>
              <w:bottom w:val="single" w:sz="4" w:space="0" w:color="auto"/>
              <w:right w:val="single" w:sz="4" w:space="0" w:color="auto"/>
            </w:tcBorders>
            <w:shd w:val="clear" w:color="000000" w:fill="F58220"/>
            <w:noWrap/>
            <w:hideMark/>
          </w:tcPr>
          <w:p w14:paraId="6190EE92" w14:textId="340C9BA5"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-0.2%</w:t>
            </w:r>
          </w:p>
        </w:tc>
        <w:tc>
          <w:tcPr>
            <w:tcW w:w="1260" w:type="dxa"/>
            <w:tcBorders>
              <w:top w:val="nil"/>
              <w:left w:val="nil"/>
              <w:bottom w:val="single" w:sz="4" w:space="0" w:color="auto"/>
              <w:right w:val="single" w:sz="4" w:space="0" w:color="auto"/>
            </w:tcBorders>
            <w:shd w:val="clear" w:color="000000" w:fill="BFD730"/>
            <w:noWrap/>
            <w:hideMark/>
          </w:tcPr>
          <w:p w14:paraId="101D3B4C" w14:textId="5906F1B8"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9072</w:t>
            </w:r>
          </w:p>
        </w:tc>
        <w:tc>
          <w:tcPr>
            <w:tcW w:w="1040" w:type="dxa"/>
            <w:tcBorders>
              <w:top w:val="nil"/>
              <w:left w:val="nil"/>
              <w:bottom w:val="single" w:sz="4" w:space="0" w:color="auto"/>
              <w:right w:val="single" w:sz="4" w:space="0" w:color="auto"/>
            </w:tcBorders>
            <w:shd w:val="clear" w:color="000000" w:fill="BFD730"/>
            <w:noWrap/>
            <w:hideMark/>
          </w:tcPr>
          <w:p w14:paraId="4C78876F" w14:textId="523AF256"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9516</w:t>
            </w:r>
          </w:p>
        </w:tc>
        <w:tc>
          <w:tcPr>
            <w:tcW w:w="1120" w:type="dxa"/>
            <w:tcBorders>
              <w:top w:val="nil"/>
              <w:left w:val="nil"/>
              <w:bottom w:val="single" w:sz="4" w:space="0" w:color="auto"/>
              <w:right w:val="single" w:sz="4" w:space="0" w:color="auto"/>
            </w:tcBorders>
            <w:shd w:val="clear" w:color="000000" w:fill="BFD730"/>
            <w:noWrap/>
            <w:hideMark/>
          </w:tcPr>
          <w:p w14:paraId="46F08956" w14:textId="6794EBDE"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12.0%</w:t>
            </w:r>
          </w:p>
        </w:tc>
        <w:tc>
          <w:tcPr>
            <w:tcW w:w="1000" w:type="dxa"/>
            <w:tcBorders>
              <w:top w:val="nil"/>
              <w:left w:val="nil"/>
              <w:bottom w:val="single" w:sz="4" w:space="0" w:color="auto"/>
              <w:right w:val="single" w:sz="4" w:space="0" w:color="auto"/>
            </w:tcBorders>
            <w:shd w:val="clear" w:color="000000" w:fill="BFD730"/>
            <w:noWrap/>
            <w:hideMark/>
          </w:tcPr>
          <w:p w14:paraId="14D1842F" w14:textId="7323B801"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8.5%</w:t>
            </w:r>
          </w:p>
        </w:tc>
      </w:tr>
      <w:tr w:rsidR="00CA574E" w:rsidRPr="00CA64EB" w14:paraId="6A33846C" w14:textId="77777777" w:rsidTr="00993DF8">
        <w:trPr>
          <w:trHeight w:val="288"/>
        </w:trPr>
        <w:tc>
          <w:tcPr>
            <w:tcW w:w="1120" w:type="dxa"/>
            <w:tcBorders>
              <w:top w:val="nil"/>
              <w:left w:val="single" w:sz="4" w:space="0" w:color="auto"/>
              <w:bottom w:val="single" w:sz="4" w:space="0" w:color="auto"/>
              <w:right w:val="single" w:sz="4" w:space="0" w:color="auto"/>
            </w:tcBorders>
            <w:shd w:val="clear" w:color="000000" w:fill="F58220"/>
            <w:vAlign w:val="bottom"/>
            <w:hideMark/>
          </w:tcPr>
          <w:p w14:paraId="61BBC54D" w14:textId="77777777" w:rsidR="00CA574E" w:rsidRPr="003542C3" w:rsidRDefault="00CA574E" w:rsidP="00CA574E">
            <w:pPr>
              <w:spacing w:after="0" w:line="240" w:lineRule="auto"/>
              <w:rPr>
                <w:rFonts w:eastAsia="Times New Roman" w:cstheme="minorHAnsi"/>
                <w:b/>
                <w:bCs/>
                <w:lang w:eastAsia="en-ZA"/>
              </w:rPr>
            </w:pPr>
            <w:r w:rsidRPr="003542C3">
              <w:rPr>
                <w:rFonts w:eastAsia="Times New Roman" w:cstheme="minorHAnsi"/>
                <w:b/>
                <w:bCs/>
                <w:lang w:eastAsia="en-ZA"/>
              </w:rPr>
              <w:t>Feb-21</w:t>
            </w:r>
          </w:p>
        </w:tc>
        <w:tc>
          <w:tcPr>
            <w:tcW w:w="1160" w:type="dxa"/>
            <w:tcBorders>
              <w:top w:val="nil"/>
              <w:left w:val="nil"/>
              <w:bottom w:val="single" w:sz="4" w:space="0" w:color="auto"/>
              <w:right w:val="single" w:sz="4" w:space="0" w:color="auto"/>
            </w:tcBorders>
            <w:shd w:val="clear" w:color="000000" w:fill="F58220"/>
            <w:noWrap/>
            <w:hideMark/>
          </w:tcPr>
          <w:p w14:paraId="7B8CF3AF" w14:textId="6D23B871"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15380</w:t>
            </w:r>
          </w:p>
        </w:tc>
        <w:tc>
          <w:tcPr>
            <w:tcW w:w="1220" w:type="dxa"/>
            <w:tcBorders>
              <w:top w:val="nil"/>
              <w:left w:val="nil"/>
              <w:bottom w:val="single" w:sz="4" w:space="0" w:color="auto"/>
              <w:right w:val="single" w:sz="4" w:space="0" w:color="auto"/>
            </w:tcBorders>
            <w:shd w:val="clear" w:color="000000" w:fill="F58220"/>
            <w:noWrap/>
            <w:hideMark/>
          </w:tcPr>
          <w:p w14:paraId="696D832C" w14:textId="3CE6CAB6"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16136</w:t>
            </w:r>
          </w:p>
        </w:tc>
        <w:tc>
          <w:tcPr>
            <w:tcW w:w="1000" w:type="dxa"/>
            <w:tcBorders>
              <w:top w:val="nil"/>
              <w:left w:val="nil"/>
              <w:bottom w:val="single" w:sz="4" w:space="0" w:color="auto"/>
              <w:right w:val="single" w:sz="4" w:space="0" w:color="auto"/>
            </w:tcBorders>
            <w:shd w:val="clear" w:color="000000" w:fill="F58220"/>
            <w:noWrap/>
            <w:hideMark/>
          </w:tcPr>
          <w:p w14:paraId="294E1FE7" w14:textId="55961E1E"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4.7%</w:t>
            </w:r>
          </w:p>
        </w:tc>
        <w:tc>
          <w:tcPr>
            <w:tcW w:w="920" w:type="dxa"/>
            <w:tcBorders>
              <w:top w:val="nil"/>
              <w:left w:val="nil"/>
              <w:bottom w:val="single" w:sz="4" w:space="0" w:color="auto"/>
              <w:right w:val="single" w:sz="4" w:space="0" w:color="auto"/>
            </w:tcBorders>
            <w:shd w:val="clear" w:color="000000" w:fill="F58220"/>
            <w:noWrap/>
            <w:hideMark/>
          </w:tcPr>
          <w:p w14:paraId="352AB07E" w14:textId="6E38D6EE"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1.7%</w:t>
            </w:r>
          </w:p>
        </w:tc>
        <w:tc>
          <w:tcPr>
            <w:tcW w:w="1260" w:type="dxa"/>
            <w:tcBorders>
              <w:top w:val="nil"/>
              <w:left w:val="nil"/>
              <w:bottom w:val="single" w:sz="4" w:space="0" w:color="auto"/>
              <w:right w:val="single" w:sz="4" w:space="0" w:color="auto"/>
            </w:tcBorders>
            <w:shd w:val="clear" w:color="000000" w:fill="BFD730"/>
            <w:noWrap/>
            <w:hideMark/>
          </w:tcPr>
          <w:p w14:paraId="41C1A7DE" w14:textId="5EF61BC8"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9064</w:t>
            </w:r>
          </w:p>
        </w:tc>
        <w:tc>
          <w:tcPr>
            <w:tcW w:w="1040" w:type="dxa"/>
            <w:tcBorders>
              <w:top w:val="nil"/>
              <w:left w:val="nil"/>
              <w:bottom w:val="single" w:sz="4" w:space="0" w:color="auto"/>
              <w:right w:val="single" w:sz="4" w:space="0" w:color="auto"/>
            </w:tcBorders>
            <w:shd w:val="clear" w:color="000000" w:fill="BFD730"/>
            <w:noWrap/>
            <w:hideMark/>
          </w:tcPr>
          <w:p w14:paraId="3D51BE2C" w14:textId="3B4673D6"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9546</w:t>
            </w:r>
          </w:p>
        </w:tc>
        <w:tc>
          <w:tcPr>
            <w:tcW w:w="1120" w:type="dxa"/>
            <w:tcBorders>
              <w:top w:val="nil"/>
              <w:left w:val="nil"/>
              <w:bottom w:val="single" w:sz="4" w:space="0" w:color="auto"/>
              <w:right w:val="single" w:sz="4" w:space="0" w:color="auto"/>
            </w:tcBorders>
            <w:shd w:val="clear" w:color="000000" w:fill="BFD730"/>
            <w:noWrap/>
            <w:hideMark/>
          </w:tcPr>
          <w:p w14:paraId="03F9859D" w14:textId="7CC7CFBE"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8.9%</w:t>
            </w:r>
          </w:p>
        </w:tc>
        <w:tc>
          <w:tcPr>
            <w:tcW w:w="1000" w:type="dxa"/>
            <w:tcBorders>
              <w:top w:val="nil"/>
              <w:left w:val="nil"/>
              <w:bottom w:val="single" w:sz="4" w:space="0" w:color="auto"/>
              <w:right w:val="single" w:sz="4" w:space="0" w:color="auto"/>
            </w:tcBorders>
            <w:shd w:val="clear" w:color="000000" w:fill="BFD730"/>
            <w:noWrap/>
            <w:hideMark/>
          </w:tcPr>
          <w:p w14:paraId="16879388" w14:textId="0C10BE95"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5.9%</w:t>
            </w:r>
          </w:p>
        </w:tc>
      </w:tr>
      <w:tr w:rsidR="00CA574E" w:rsidRPr="00CA64EB" w14:paraId="5B66433B" w14:textId="77777777" w:rsidTr="00993DF8">
        <w:trPr>
          <w:trHeight w:val="288"/>
        </w:trPr>
        <w:tc>
          <w:tcPr>
            <w:tcW w:w="1120" w:type="dxa"/>
            <w:tcBorders>
              <w:top w:val="nil"/>
              <w:left w:val="single" w:sz="4" w:space="0" w:color="auto"/>
              <w:bottom w:val="single" w:sz="4" w:space="0" w:color="auto"/>
              <w:right w:val="single" w:sz="4" w:space="0" w:color="auto"/>
            </w:tcBorders>
            <w:shd w:val="clear" w:color="000000" w:fill="F58220"/>
            <w:vAlign w:val="bottom"/>
            <w:hideMark/>
          </w:tcPr>
          <w:p w14:paraId="556C1007" w14:textId="77777777" w:rsidR="00CA574E" w:rsidRPr="003542C3" w:rsidRDefault="00CA574E" w:rsidP="00CA574E">
            <w:pPr>
              <w:spacing w:after="0" w:line="240" w:lineRule="auto"/>
              <w:rPr>
                <w:rFonts w:eastAsia="Times New Roman" w:cstheme="minorHAnsi"/>
                <w:b/>
                <w:bCs/>
                <w:lang w:eastAsia="en-ZA"/>
              </w:rPr>
            </w:pPr>
            <w:r w:rsidRPr="003542C3">
              <w:rPr>
                <w:rFonts w:eastAsia="Times New Roman" w:cstheme="minorHAnsi"/>
                <w:b/>
                <w:bCs/>
                <w:lang w:eastAsia="en-ZA"/>
              </w:rPr>
              <w:t>Mar-21</w:t>
            </w:r>
          </w:p>
        </w:tc>
        <w:tc>
          <w:tcPr>
            <w:tcW w:w="1160" w:type="dxa"/>
            <w:tcBorders>
              <w:top w:val="nil"/>
              <w:left w:val="nil"/>
              <w:bottom w:val="single" w:sz="4" w:space="0" w:color="auto"/>
              <w:right w:val="single" w:sz="4" w:space="0" w:color="auto"/>
            </w:tcBorders>
            <w:shd w:val="clear" w:color="000000" w:fill="F58220"/>
            <w:noWrap/>
            <w:hideMark/>
          </w:tcPr>
          <w:p w14:paraId="2DAFD2DB" w14:textId="3F6CFAD6"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15083</w:t>
            </w:r>
          </w:p>
        </w:tc>
        <w:tc>
          <w:tcPr>
            <w:tcW w:w="1220" w:type="dxa"/>
            <w:tcBorders>
              <w:top w:val="nil"/>
              <w:left w:val="nil"/>
              <w:bottom w:val="single" w:sz="4" w:space="0" w:color="auto"/>
              <w:right w:val="single" w:sz="4" w:space="0" w:color="auto"/>
            </w:tcBorders>
            <w:shd w:val="clear" w:color="000000" w:fill="F58220"/>
            <w:noWrap/>
            <w:hideMark/>
          </w:tcPr>
          <w:p w14:paraId="4D38EE21" w14:textId="6D4D853A"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15817</w:t>
            </w:r>
          </w:p>
        </w:tc>
        <w:tc>
          <w:tcPr>
            <w:tcW w:w="1000" w:type="dxa"/>
            <w:tcBorders>
              <w:top w:val="nil"/>
              <w:left w:val="nil"/>
              <w:bottom w:val="single" w:sz="4" w:space="0" w:color="auto"/>
              <w:right w:val="single" w:sz="4" w:space="0" w:color="auto"/>
            </w:tcBorders>
            <w:shd w:val="clear" w:color="000000" w:fill="F58220"/>
            <w:noWrap/>
            <w:hideMark/>
          </w:tcPr>
          <w:p w14:paraId="1C144846" w14:textId="72868696"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3.8%</w:t>
            </w:r>
          </w:p>
        </w:tc>
        <w:tc>
          <w:tcPr>
            <w:tcW w:w="920" w:type="dxa"/>
            <w:tcBorders>
              <w:top w:val="nil"/>
              <w:left w:val="nil"/>
              <w:bottom w:val="single" w:sz="4" w:space="0" w:color="auto"/>
              <w:right w:val="single" w:sz="4" w:space="0" w:color="auto"/>
            </w:tcBorders>
            <w:shd w:val="clear" w:color="000000" w:fill="F58220"/>
            <w:noWrap/>
            <w:hideMark/>
          </w:tcPr>
          <w:p w14:paraId="51256891" w14:textId="71D3A50F"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0.7%</w:t>
            </w:r>
          </w:p>
        </w:tc>
        <w:tc>
          <w:tcPr>
            <w:tcW w:w="1260" w:type="dxa"/>
            <w:tcBorders>
              <w:top w:val="nil"/>
              <w:left w:val="nil"/>
              <w:bottom w:val="single" w:sz="4" w:space="0" w:color="auto"/>
              <w:right w:val="single" w:sz="4" w:space="0" w:color="auto"/>
            </w:tcBorders>
            <w:shd w:val="clear" w:color="000000" w:fill="BFD730"/>
            <w:noWrap/>
            <w:hideMark/>
          </w:tcPr>
          <w:p w14:paraId="232952ED" w14:textId="6F015D3C"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9023</w:t>
            </w:r>
          </w:p>
        </w:tc>
        <w:tc>
          <w:tcPr>
            <w:tcW w:w="1040" w:type="dxa"/>
            <w:tcBorders>
              <w:top w:val="nil"/>
              <w:left w:val="nil"/>
              <w:bottom w:val="single" w:sz="4" w:space="0" w:color="auto"/>
              <w:right w:val="single" w:sz="4" w:space="0" w:color="auto"/>
            </w:tcBorders>
            <w:shd w:val="clear" w:color="000000" w:fill="BFD730"/>
            <w:noWrap/>
            <w:hideMark/>
          </w:tcPr>
          <w:p w14:paraId="035F162F" w14:textId="4281BC6F"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9511</w:t>
            </w:r>
          </w:p>
        </w:tc>
        <w:tc>
          <w:tcPr>
            <w:tcW w:w="1120" w:type="dxa"/>
            <w:tcBorders>
              <w:top w:val="nil"/>
              <w:left w:val="nil"/>
              <w:bottom w:val="single" w:sz="4" w:space="0" w:color="auto"/>
              <w:right w:val="single" w:sz="4" w:space="0" w:color="auto"/>
            </w:tcBorders>
            <w:shd w:val="clear" w:color="000000" w:fill="BFD730"/>
            <w:noWrap/>
            <w:hideMark/>
          </w:tcPr>
          <w:p w14:paraId="71E2B282" w14:textId="1904E2FE"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8.6%</w:t>
            </w:r>
          </w:p>
        </w:tc>
        <w:tc>
          <w:tcPr>
            <w:tcW w:w="1000" w:type="dxa"/>
            <w:tcBorders>
              <w:top w:val="nil"/>
              <w:left w:val="nil"/>
              <w:bottom w:val="single" w:sz="4" w:space="0" w:color="auto"/>
              <w:right w:val="single" w:sz="4" w:space="0" w:color="auto"/>
            </w:tcBorders>
            <w:shd w:val="clear" w:color="000000" w:fill="BFD730"/>
            <w:noWrap/>
            <w:hideMark/>
          </w:tcPr>
          <w:p w14:paraId="20E7103A" w14:textId="6566A776"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5.2%</w:t>
            </w:r>
          </w:p>
        </w:tc>
      </w:tr>
      <w:tr w:rsidR="00CA574E" w:rsidRPr="00CA64EB" w14:paraId="6E044E8A" w14:textId="77777777" w:rsidTr="00993DF8">
        <w:trPr>
          <w:trHeight w:val="288"/>
        </w:trPr>
        <w:tc>
          <w:tcPr>
            <w:tcW w:w="1120" w:type="dxa"/>
            <w:tcBorders>
              <w:top w:val="nil"/>
              <w:left w:val="single" w:sz="4" w:space="0" w:color="auto"/>
              <w:bottom w:val="single" w:sz="4" w:space="0" w:color="auto"/>
              <w:right w:val="single" w:sz="4" w:space="0" w:color="auto"/>
            </w:tcBorders>
            <w:shd w:val="clear" w:color="000000" w:fill="F58220"/>
            <w:vAlign w:val="bottom"/>
            <w:hideMark/>
          </w:tcPr>
          <w:p w14:paraId="7D2E172E" w14:textId="77777777" w:rsidR="00CA574E" w:rsidRPr="003542C3" w:rsidRDefault="00CA574E" w:rsidP="00CA574E">
            <w:pPr>
              <w:spacing w:after="0" w:line="240" w:lineRule="auto"/>
              <w:rPr>
                <w:rFonts w:eastAsia="Times New Roman" w:cstheme="minorHAnsi"/>
                <w:b/>
                <w:bCs/>
                <w:lang w:eastAsia="en-ZA"/>
              </w:rPr>
            </w:pPr>
            <w:r w:rsidRPr="003542C3">
              <w:rPr>
                <w:rFonts w:eastAsia="Times New Roman" w:cstheme="minorHAnsi"/>
                <w:b/>
                <w:bCs/>
                <w:lang w:eastAsia="en-ZA"/>
              </w:rPr>
              <w:t>Apr-21</w:t>
            </w:r>
          </w:p>
        </w:tc>
        <w:tc>
          <w:tcPr>
            <w:tcW w:w="1160" w:type="dxa"/>
            <w:tcBorders>
              <w:top w:val="nil"/>
              <w:left w:val="nil"/>
              <w:bottom w:val="single" w:sz="4" w:space="0" w:color="auto"/>
              <w:right w:val="single" w:sz="4" w:space="0" w:color="auto"/>
            </w:tcBorders>
            <w:shd w:val="clear" w:color="000000" w:fill="F58220"/>
            <w:noWrap/>
            <w:hideMark/>
          </w:tcPr>
          <w:p w14:paraId="6C3C3D5D" w14:textId="7ECEE75A"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15290</w:t>
            </w:r>
          </w:p>
        </w:tc>
        <w:tc>
          <w:tcPr>
            <w:tcW w:w="1220" w:type="dxa"/>
            <w:tcBorders>
              <w:top w:val="nil"/>
              <w:left w:val="nil"/>
              <w:bottom w:val="single" w:sz="4" w:space="0" w:color="auto"/>
              <w:right w:val="single" w:sz="4" w:space="0" w:color="auto"/>
            </w:tcBorders>
            <w:shd w:val="clear" w:color="000000" w:fill="F58220"/>
            <w:noWrap/>
            <w:hideMark/>
          </w:tcPr>
          <w:p w14:paraId="5E0B0A26" w14:textId="0B1B00FB"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16041</w:t>
            </w:r>
          </w:p>
        </w:tc>
        <w:tc>
          <w:tcPr>
            <w:tcW w:w="1000" w:type="dxa"/>
            <w:tcBorders>
              <w:top w:val="nil"/>
              <w:left w:val="nil"/>
              <w:bottom w:val="single" w:sz="4" w:space="0" w:color="auto"/>
              <w:right w:val="single" w:sz="4" w:space="0" w:color="auto"/>
            </w:tcBorders>
            <w:shd w:val="clear" w:color="000000" w:fill="F58220"/>
            <w:noWrap/>
            <w:hideMark/>
          </w:tcPr>
          <w:p w14:paraId="68914D43" w14:textId="19C2A91D"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6.7%</w:t>
            </w:r>
          </w:p>
        </w:tc>
        <w:tc>
          <w:tcPr>
            <w:tcW w:w="920" w:type="dxa"/>
            <w:tcBorders>
              <w:top w:val="nil"/>
              <w:left w:val="nil"/>
              <w:bottom w:val="single" w:sz="4" w:space="0" w:color="auto"/>
              <w:right w:val="single" w:sz="4" w:space="0" w:color="auto"/>
            </w:tcBorders>
            <w:shd w:val="clear" w:color="000000" w:fill="F58220"/>
            <w:noWrap/>
            <w:hideMark/>
          </w:tcPr>
          <w:p w14:paraId="294DEE0A" w14:textId="034E477A"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3.1%</w:t>
            </w:r>
          </w:p>
        </w:tc>
        <w:tc>
          <w:tcPr>
            <w:tcW w:w="1260" w:type="dxa"/>
            <w:tcBorders>
              <w:top w:val="nil"/>
              <w:left w:val="nil"/>
              <w:bottom w:val="single" w:sz="4" w:space="0" w:color="auto"/>
              <w:right w:val="single" w:sz="4" w:space="0" w:color="auto"/>
            </w:tcBorders>
            <w:shd w:val="clear" w:color="000000" w:fill="BFD730"/>
            <w:noWrap/>
            <w:hideMark/>
          </w:tcPr>
          <w:p w14:paraId="2DB1C249" w14:textId="69C33AF7"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9083</w:t>
            </w:r>
          </w:p>
        </w:tc>
        <w:tc>
          <w:tcPr>
            <w:tcW w:w="1040" w:type="dxa"/>
            <w:tcBorders>
              <w:top w:val="nil"/>
              <w:left w:val="nil"/>
              <w:bottom w:val="single" w:sz="4" w:space="0" w:color="auto"/>
              <w:right w:val="single" w:sz="4" w:space="0" w:color="auto"/>
            </w:tcBorders>
            <w:shd w:val="clear" w:color="000000" w:fill="BFD730"/>
            <w:noWrap/>
            <w:hideMark/>
          </w:tcPr>
          <w:p w14:paraId="17773D65" w14:textId="5664B77C"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9560</w:t>
            </w:r>
          </w:p>
        </w:tc>
        <w:tc>
          <w:tcPr>
            <w:tcW w:w="1120" w:type="dxa"/>
            <w:tcBorders>
              <w:top w:val="nil"/>
              <w:left w:val="nil"/>
              <w:bottom w:val="single" w:sz="4" w:space="0" w:color="auto"/>
              <w:right w:val="single" w:sz="4" w:space="0" w:color="auto"/>
            </w:tcBorders>
            <w:shd w:val="clear" w:color="000000" w:fill="BFD730"/>
            <w:noWrap/>
            <w:hideMark/>
          </w:tcPr>
          <w:p w14:paraId="547AFB1F" w14:textId="5A1986C2"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10.5%</w:t>
            </w:r>
          </w:p>
        </w:tc>
        <w:tc>
          <w:tcPr>
            <w:tcW w:w="1000" w:type="dxa"/>
            <w:tcBorders>
              <w:top w:val="nil"/>
              <w:left w:val="nil"/>
              <w:bottom w:val="single" w:sz="4" w:space="0" w:color="auto"/>
              <w:right w:val="single" w:sz="4" w:space="0" w:color="auto"/>
            </w:tcBorders>
            <w:shd w:val="clear" w:color="000000" w:fill="BFD730"/>
            <w:noWrap/>
            <w:hideMark/>
          </w:tcPr>
          <w:p w14:paraId="0D00AD48" w14:textId="440E932E"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5.8%</w:t>
            </w:r>
          </w:p>
        </w:tc>
      </w:tr>
      <w:tr w:rsidR="00CA574E" w:rsidRPr="00CA64EB" w14:paraId="484D1B1F" w14:textId="77777777" w:rsidTr="00993DF8">
        <w:trPr>
          <w:trHeight w:val="288"/>
        </w:trPr>
        <w:tc>
          <w:tcPr>
            <w:tcW w:w="1120" w:type="dxa"/>
            <w:tcBorders>
              <w:top w:val="nil"/>
              <w:left w:val="single" w:sz="4" w:space="0" w:color="auto"/>
              <w:bottom w:val="single" w:sz="4" w:space="0" w:color="auto"/>
              <w:right w:val="single" w:sz="4" w:space="0" w:color="auto"/>
            </w:tcBorders>
            <w:shd w:val="clear" w:color="000000" w:fill="F58220"/>
            <w:vAlign w:val="bottom"/>
            <w:hideMark/>
          </w:tcPr>
          <w:p w14:paraId="3645E47E" w14:textId="77777777" w:rsidR="00CA574E" w:rsidRPr="003542C3" w:rsidRDefault="00CA574E" w:rsidP="00CA574E">
            <w:pPr>
              <w:spacing w:after="0" w:line="240" w:lineRule="auto"/>
              <w:rPr>
                <w:rFonts w:eastAsia="Times New Roman" w:cstheme="minorHAnsi"/>
                <w:b/>
                <w:bCs/>
                <w:lang w:eastAsia="en-ZA"/>
              </w:rPr>
            </w:pPr>
            <w:r w:rsidRPr="003542C3">
              <w:rPr>
                <w:rFonts w:eastAsia="Times New Roman" w:cstheme="minorHAnsi"/>
                <w:b/>
                <w:bCs/>
                <w:lang w:eastAsia="en-ZA"/>
              </w:rPr>
              <w:t>May-21</w:t>
            </w:r>
          </w:p>
        </w:tc>
        <w:tc>
          <w:tcPr>
            <w:tcW w:w="1160" w:type="dxa"/>
            <w:tcBorders>
              <w:top w:val="nil"/>
              <w:left w:val="nil"/>
              <w:bottom w:val="single" w:sz="4" w:space="0" w:color="auto"/>
              <w:right w:val="single" w:sz="4" w:space="0" w:color="auto"/>
            </w:tcBorders>
            <w:shd w:val="clear" w:color="000000" w:fill="F58220"/>
            <w:noWrap/>
            <w:hideMark/>
          </w:tcPr>
          <w:p w14:paraId="325B8007" w14:textId="4109C669"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15003</w:t>
            </w:r>
          </w:p>
        </w:tc>
        <w:tc>
          <w:tcPr>
            <w:tcW w:w="1220" w:type="dxa"/>
            <w:tcBorders>
              <w:top w:val="nil"/>
              <w:left w:val="nil"/>
              <w:bottom w:val="single" w:sz="4" w:space="0" w:color="auto"/>
              <w:right w:val="single" w:sz="4" w:space="0" w:color="auto"/>
            </w:tcBorders>
            <w:shd w:val="clear" w:color="000000" w:fill="F58220"/>
            <w:noWrap/>
            <w:hideMark/>
          </w:tcPr>
          <w:p w14:paraId="7B4B669A" w14:textId="31AD4D54"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15721</w:t>
            </w:r>
          </w:p>
        </w:tc>
        <w:tc>
          <w:tcPr>
            <w:tcW w:w="1000" w:type="dxa"/>
            <w:tcBorders>
              <w:top w:val="nil"/>
              <w:left w:val="nil"/>
              <w:bottom w:val="single" w:sz="4" w:space="0" w:color="auto"/>
              <w:right w:val="single" w:sz="4" w:space="0" w:color="auto"/>
            </w:tcBorders>
            <w:shd w:val="clear" w:color="000000" w:fill="F58220"/>
            <w:noWrap/>
            <w:hideMark/>
          </w:tcPr>
          <w:p w14:paraId="16AC2EE3" w14:textId="1CF17B9E"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4.4%</w:t>
            </w:r>
          </w:p>
        </w:tc>
        <w:tc>
          <w:tcPr>
            <w:tcW w:w="920" w:type="dxa"/>
            <w:tcBorders>
              <w:top w:val="nil"/>
              <w:left w:val="nil"/>
              <w:bottom w:val="single" w:sz="4" w:space="0" w:color="auto"/>
              <w:right w:val="single" w:sz="4" w:space="0" w:color="auto"/>
            </w:tcBorders>
            <w:shd w:val="clear" w:color="000000" w:fill="F58220"/>
            <w:noWrap/>
            <w:hideMark/>
          </w:tcPr>
          <w:p w14:paraId="668F8790" w14:textId="24D14D41"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0.1%</w:t>
            </w:r>
          </w:p>
        </w:tc>
        <w:tc>
          <w:tcPr>
            <w:tcW w:w="1260" w:type="dxa"/>
            <w:tcBorders>
              <w:top w:val="nil"/>
              <w:left w:val="nil"/>
              <w:bottom w:val="single" w:sz="4" w:space="0" w:color="auto"/>
              <w:right w:val="single" w:sz="4" w:space="0" w:color="auto"/>
            </w:tcBorders>
            <w:shd w:val="clear" w:color="000000" w:fill="BFD730"/>
            <w:noWrap/>
            <w:hideMark/>
          </w:tcPr>
          <w:p w14:paraId="2B509BFF" w14:textId="2C1F9882"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8939</w:t>
            </w:r>
          </w:p>
        </w:tc>
        <w:tc>
          <w:tcPr>
            <w:tcW w:w="1040" w:type="dxa"/>
            <w:tcBorders>
              <w:top w:val="nil"/>
              <w:left w:val="nil"/>
              <w:bottom w:val="single" w:sz="4" w:space="0" w:color="auto"/>
              <w:right w:val="single" w:sz="4" w:space="0" w:color="auto"/>
            </w:tcBorders>
            <w:shd w:val="clear" w:color="000000" w:fill="BFD730"/>
            <w:noWrap/>
            <w:hideMark/>
          </w:tcPr>
          <w:p w14:paraId="4E7D42B4" w14:textId="1DB58D6D"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9411</w:t>
            </w:r>
          </w:p>
        </w:tc>
        <w:tc>
          <w:tcPr>
            <w:tcW w:w="1120" w:type="dxa"/>
            <w:tcBorders>
              <w:top w:val="nil"/>
              <w:left w:val="nil"/>
              <w:bottom w:val="single" w:sz="4" w:space="0" w:color="auto"/>
              <w:right w:val="single" w:sz="4" w:space="0" w:color="auto"/>
            </w:tcBorders>
            <w:shd w:val="clear" w:color="000000" w:fill="BFD730"/>
            <w:noWrap/>
            <w:hideMark/>
          </w:tcPr>
          <w:p w14:paraId="3674CEA7" w14:textId="556E0F5D"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11.5%</w:t>
            </w:r>
          </w:p>
        </w:tc>
        <w:tc>
          <w:tcPr>
            <w:tcW w:w="1000" w:type="dxa"/>
            <w:tcBorders>
              <w:top w:val="nil"/>
              <w:left w:val="nil"/>
              <w:bottom w:val="single" w:sz="4" w:space="0" w:color="auto"/>
              <w:right w:val="single" w:sz="4" w:space="0" w:color="auto"/>
            </w:tcBorders>
            <w:shd w:val="clear" w:color="000000" w:fill="BFD730"/>
            <w:noWrap/>
            <w:hideMark/>
          </w:tcPr>
          <w:p w14:paraId="3A28BFA6" w14:textId="7554BF39"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6.0%</w:t>
            </w:r>
          </w:p>
        </w:tc>
      </w:tr>
      <w:tr w:rsidR="00CA574E" w:rsidRPr="00CA64EB" w14:paraId="5C149B41" w14:textId="77777777" w:rsidTr="00993DF8">
        <w:trPr>
          <w:trHeight w:val="288"/>
        </w:trPr>
        <w:tc>
          <w:tcPr>
            <w:tcW w:w="1120" w:type="dxa"/>
            <w:tcBorders>
              <w:top w:val="nil"/>
              <w:left w:val="single" w:sz="4" w:space="0" w:color="auto"/>
              <w:bottom w:val="single" w:sz="4" w:space="0" w:color="auto"/>
              <w:right w:val="single" w:sz="4" w:space="0" w:color="auto"/>
            </w:tcBorders>
            <w:shd w:val="clear" w:color="000000" w:fill="F58220"/>
            <w:vAlign w:val="bottom"/>
            <w:hideMark/>
          </w:tcPr>
          <w:p w14:paraId="5116499B" w14:textId="77777777" w:rsidR="00CA574E" w:rsidRPr="003542C3" w:rsidRDefault="00CA574E" w:rsidP="00CA574E">
            <w:pPr>
              <w:spacing w:after="0" w:line="240" w:lineRule="auto"/>
              <w:rPr>
                <w:rFonts w:eastAsia="Times New Roman" w:cstheme="minorHAnsi"/>
                <w:b/>
                <w:bCs/>
                <w:lang w:eastAsia="en-ZA"/>
              </w:rPr>
            </w:pPr>
            <w:r w:rsidRPr="003542C3">
              <w:rPr>
                <w:rFonts w:eastAsia="Times New Roman" w:cstheme="minorHAnsi"/>
                <w:b/>
                <w:bCs/>
                <w:lang w:eastAsia="en-ZA"/>
              </w:rPr>
              <w:t>Jun-21</w:t>
            </w:r>
          </w:p>
        </w:tc>
        <w:tc>
          <w:tcPr>
            <w:tcW w:w="1160" w:type="dxa"/>
            <w:tcBorders>
              <w:top w:val="nil"/>
              <w:left w:val="nil"/>
              <w:bottom w:val="single" w:sz="4" w:space="0" w:color="auto"/>
              <w:right w:val="single" w:sz="4" w:space="0" w:color="auto"/>
            </w:tcBorders>
            <w:shd w:val="clear" w:color="000000" w:fill="F58220"/>
            <w:noWrap/>
            <w:hideMark/>
          </w:tcPr>
          <w:p w14:paraId="5F1294E0" w14:textId="539EF153"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14879</w:t>
            </w:r>
          </w:p>
        </w:tc>
        <w:tc>
          <w:tcPr>
            <w:tcW w:w="1220" w:type="dxa"/>
            <w:tcBorders>
              <w:top w:val="nil"/>
              <w:left w:val="nil"/>
              <w:bottom w:val="single" w:sz="4" w:space="0" w:color="auto"/>
              <w:right w:val="single" w:sz="4" w:space="0" w:color="auto"/>
            </w:tcBorders>
            <w:shd w:val="clear" w:color="000000" w:fill="F58220"/>
            <w:noWrap/>
            <w:hideMark/>
          </w:tcPr>
          <w:p w14:paraId="66E63FD9" w14:textId="0515A73F"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15584</w:t>
            </w:r>
          </w:p>
        </w:tc>
        <w:tc>
          <w:tcPr>
            <w:tcW w:w="1000" w:type="dxa"/>
            <w:tcBorders>
              <w:top w:val="nil"/>
              <w:left w:val="nil"/>
              <w:bottom w:val="single" w:sz="4" w:space="0" w:color="auto"/>
              <w:right w:val="single" w:sz="4" w:space="0" w:color="auto"/>
            </w:tcBorders>
            <w:shd w:val="clear" w:color="000000" w:fill="F58220"/>
            <w:noWrap/>
            <w:hideMark/>
          </w:tcPr>
          <w:p w14:paraId="2A2C45F2" w14:textId="517DB54A"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4.3%</w:t>
            </w:r>
          </w:p>
        </w:tc>
        <w:tc>
          <w:tcPr>
            <w:tcW w:w="920" w:type="dxa"/>
            <w:tcBorders>
              <w:top w:val="nil"/>
              <w:left w:val="nil"/>
              <w:bottom w:val="single" w:sz="4" w:space="0" w:color="auto"/>
              <w:right w:val="single" w:sz="4" w:space="0" w:color="auto"/>
            </w:tcBorders>
            <w:shd w:val="clear" w:color="000000" w:fill="F58220"/>
            <w:noWrap/>
            <w:hideMark/>
          </w:tcPr>
          <w:p w14:paraId="7F840DC8" w14:textId="56617148"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-0.5%</w:t>
            </w:r>
          </w:p>
        </w:tc>
        <w:tc>
          <w:tcPr>
            <w:tcW w:w="1260" w:type="dxa"/>
            <w:tcBorders>
              <w:top w:val="nil"/>
              <w:left w:val="nil"/>
              <w:bottom w:val="single" w:sz="4" w:space="0" w:color="auto"/>
              <w:right w:val="single" w:sz="4" w:space="0" w:color="auto"/>
            </w:tcBorders>
            <w:shd w:val="clear" w:color="000000" w:fill="BFD730"/>
            <w:noWrap/>
            <w:hideMark/>
          </w:tcPr>
          <w:p w14:paraId="0811ACB1" w14:textId="09D8368F"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9237</w:t>
            </w:r>
          </w:p>
        </w:tc>
        <w:tc>
          <w:tcPr>
            <w:tcW w:w="1040" w:type="dxa"/>
            <w:tcBorders>
              <w:top w:val="nil"/>
              <w:left w:val="nil"/>
              <w:bottom w:val="single" w:sz="4" w:space="0" w:color="auto"/>
              <w:right w:val="single" w:sz="4" w:space="0" w:color="auto"/>
            </w:tcBorders>
            <w:shd w:val="clear" w:color="000000" w:fill="BFD730"/>
            <w:noWrap/>
            <w:hideMark/>
          </w:tcPr>
          <w:p w14:paraId="291ABFAB" w14:textId="2BC48D60"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9542</w:t>
            </w:r>
          </w:p>
        </w:tc>
        <w:tc>
          <w:tcPr>
            <w:tcW w:w="1120" w:type="dxa"/>
            <w:tcBorders>
              <w:top w:val="nil"/>
              <w:left w:val="nil"/>
              <w:bottom w:val="single" w:sz="4" w:space="0" w:color="auto"/>
              <w:right w:val="single" w:sz="4" w:space="0" w:color="auto"/>
            </w:tcBorders>
            <w:shd w:val="clear" w:color="000000" w:fill="BFD730"/>
            <w:noWrap/>
            <w:hideMark/>
          </w:tcPr>
          <w:p w14:paraId="0237D3E6" w14:textId="28E29BDD"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11.7%</w:t>
            </w:r>
          </w:p>
        </w:tc>
        <w:tc>
          <w:tcPr>
            <w:tcW w:w="1000" w:type="dxa"/>
            <w:tcBorders>
              <w:top w:val="nil"/>
              <w:left w:val="nil"/>
              <w:bottom w:val="single" w:sz="4" w:space="0" w:color="auto"/>
              <w:right w:val="single" w:sz="4" w:space="0" w:color="auto"/>
            </w:tcBorders>
            <w:shd w:val="clear" w:color="000000" w:fill="BFD730"/>
            <w:noWrap/>
            <w:hideMark/>
          </w:tcPr>
          <w:p w14:paraId="32C8CAB0" w14:textId="57FDF329"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6.5%</w:t>
            </w:r>
          </w:p>
        </w:tc>
      </w:tr>
      <w:tr w:rsidR="00CA574E" w:rsidRPr="00CA64EB" w14:paraId="5E4BDB5D" w14:textId="77777777" w:rsidTr="00993DF8">
        <w:trPr>
          <w:trHeight w:val="288"/>
        </w:trPr>
        <w:tc>
          <w:tcPr>
            <w:tcW w:w="1120" w:type="dxa"/>
            <w:tcBorders>
              <w:top w:val="nil"/>
              <w:left w:val="single" w:sz="4" w:space="0" w:color="auto"/>
              <w:bottom w:val="single" w:sz="4" w:space="0" w:color="auto"/>
              <w:right w:val="single" w:sz="4" w:space="0" w:color="auto"/>
            </w:tcBorders>
            <w:shd w:val="clear" w:color="000000" w:fill="F58220"/>
            <w:vAlign w:val="bottom"/>
            <w:hideMark/>
          </w:tcPr>
          <w:p w14:paraId="1D94EAE0" w14:textId="77777777" w:rsidR="00CA574E" w:rsidRPr="003542C3" w:rsidRDefault="00CA574E" w:rsidP="00CA574E">
            <w:pPr>
              <w:spacing w:after="0" w:line="240" w:lineRule="auto"/>
              <w:rPr>
                <w:rFonts w:eastAsia="Times New Roman" w:cstheme="minorHAnsi"/>
                <w:b/>
                <w:bCs/>
                <w:lang w:eastAsia="en-ZA"/>
              </w:rPr>
            </w:pPr>
            <w:r w:rsidRPr="003542C3">
              <w:rPr>
                <w:rFonts w:eastAsia="Times New Roman" w:cstheme="minorHAnsi"/>
                <w:b/>
                <w:bCs/>
                <w:lang w:eastAsia="en-ZA"/>
              </w:rPr>
              <w:t>Jul-21</w:t>
            </w:r>
          </w:p>
        </w:tc>
        <w:tc>
          <w:tcPr>
            <w:tcW w:w="1160" w:type="dxa"/>
            <w:tcBorders>
              <w:top w:val="nil"/>
              <w:left w:val="nil"/>
              <w:bottom w:val="single" w:sz="4" w:space="0" w:color="auto"/>
              <w:right w:val="single" w:sz="4" w:space="0" w:color="auto"/>
            </w:tcBorders>
            <w:shd w:val="clear" w:color="000000" w:fill="F58220"/>
            <w:noWrap/>
            <w:hideMark/>
          </w:tcPr>
          <w:p w14:paraId="75035A2E" w14:textId="229F4E32"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14473</w:t>
            </w:r>
          </w:p>
        </w:tc>
        <w:tc>
          <w:tcPr>
            <w:tcW w:w="1220" w:type="dxa"/>
            <w:tcBorders>
              <w:top w:val="nil"/>
              <w:left w:val="nil"/>
              <w:bottom w:val="single" w:sz="4" w:space="0" w:color="auto"/>
              <w:right w:val="single" w:sz="4" w:space="0" w:color="auto"/>
            </w:tcBorders>
            <w:shd w:val="clear" w:color="000000" w:fill="F58220"/>
            <w:noWrap/>
            <w:hideMark/>
          </w:tcPr>
          <w:p w14:paraId="1CA78981" w14:textId="7065597C"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15145</w:t>
            </w:r>
          </w:p>
        </w:tc>
        <w:tc>
          <w:tcPr>
            <w:tcW w:w="1000" w:type="dxa"/>
            <w:tcBorders>
              <w:top w:val="nil"/>
              <w:left w:val="nil"/>
              <w:bottom w:val="single" w:sz="4" w:space="0" w:color="auto"/>
              <w:right w:val="single" w:sz="4" w:space="0" w:color="auto"/>
            </w:tcBorders>
            <w:shd w:val="clear" w:color="000000" w:fill="F58220"/>
            <w:noWrap/>
            <w:hideMark/>
          </w:tcPr>
          <w:p w14:paraId="6252D7D4" w14:textId="1F6E2591"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4.9%</w:t>
            </w:r>
          </w:p>
        </w:tc>
        <w:tc>
          <w:tcPr>
            <w:tcW w:w="920" w:type="dxa"/>
            <w:tcBorders>
              <w:top w:val="nil"/>
              <w:left w:val="nil"/>
              <w:bottom w:val="single" w:sz="4" w:space="0" w:color="auto"/>
              <w:right w:val="single" w:sz="4" w:space="0" w:color="auto"/>
            </w:tcBorders>
            <w:shd w:val="clear" w:color="000000" w:fill="F58220"/>
            <w:noWrap/>
            <w:hideMark/>
          </w:tcPr>
          <w:p w14:paraId="1F2EC22D" w14:textId="30804121"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0.0%</w:t>
            </w:r>
          </w:p>
        </w:tc>
        <w:tc>
          <w:tcPr>
            <w:tcW w:w="1260" w:type="dxa"/>
            <w:tcBorders>
              <w:top w:val="nil"/>
              <w:left w:val="nil"/>
              <w:bottom w:val="single" w:sz="4" w:space="0" w:color="auto"/>
              <w:right w:val="single" w:sz="4" w:space="0" w:color="auto"/>
            </w:tcBorders>
            <w:shd w:val="clear" w:color="000000" w:fill="BFD730"/>
            <w:noWrap/>
            <w:hideMark/>
          </w:tcPr>
          <w:p w14:paraId="5FDBE9E0" w14:textId="569DF3E5"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9219</w:t>
            </w:r>
          </w:p>
        </w:tc>
        <w:tc>
          <w:tcPr>
            <w:tcW w:w="1040" w:type="dxa"/>
            <w:tcBorders>
              <w:top w:val="nil"/>
              <w:left w:val="nil"/>
              <w:bottom w:val="single" w:sz="4" w:space="0" w:color="auto"/>
              <w:right w:val="single" w:sz="4" w:space="0" w:color="auto"/>
            </w:tcBorders>
            <w:shd w:val="clear" w:color="000000" w:fill="BFD730"/>
            <w:noWrap/>
            <w:hideMark/>
          </w:tcPr>
          <w:p w14:paraId="12A812B1" w14:textId="6A78867C"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9503</w:t>
            </w:r>
          </w:p>
        </w:tc>
        <w:tc>
          <w:tcPr>
            <w:tcW w:w="1120" w:type="dxa"/>
            <w:tcBorders>
              <w:top w:val="nil"/>
              <w:left w:val="nil"/>
              <w:bottom w:val="single" w:sz="4" w:space="0" w:color="auto"/>
              <w:right w:val="single" w:sz="4" w:space="0" w:color="auto"/>
            </w:tcBorders>
            <w:shd w:val="clear" w:color="000000" w:fill="BFD730"/>
            <w:noWrap/>
            <w:hideMark/>
          </w:tcPr>
          <w:p w14:paraId="54E1BB62" w14:textId="3170D49D"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10.8%</w:t>
            </w:r>
          </w:p>
        </w:tc>
        <w:tc>
          <w:tcPr>
            <w:tcW w:w="1000" w:type="dxa"/>
            <w:tcBorders>
              <w:top w:val="nil"/>
              <w:left w:val="nil"/>
              <w:bottom w:val="single" w:sz="4" w:space="0" w:color="auto"/>
              <w:right w:val="single" w:sz="4" w:space="0" w:color="auto"/>
            </w:tcBorders>
            <w:shd w:val="clear" w:color="000000" w:fill="BFD730"/>
            <w:noWrap/>
            <w:hideMark/>
          </w:tcPr>
          <w:p w14:paraId="72DE8972" w14:textId="28C26B69"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5.8%</w:t>
            </w:r>
          </w:p>
        </w:tc>
      </w:tr>
      <w:tr w:rsidR="00CA574E" w:rsidRPr="00CA64EB" w14:paraId="75F1362D" w14:textId="77777777" w:rsidTr="00993DF8">
        <w:trPr>
          <w:trHeight w:val="288"/>
        </w:trPr>
        <w:tc>
          <w:tcPr>
            <w:tcW w:w="1120" w:type="dxa"/>
            <w:tcBorders>
              <w:top w:val="nil"/>
              <w:left w:val="single" w:sz="4" w:space="0" w:color="auto"/>
              <w:bottom w:val="single" w:sz="4" w:space="0" w:color="auto"/>
              <w:right w:val="single" w:sz="4" w:space="0" w:color="auto"/>
            </w:tcBorders>
            <w:shd w:val="clear" w:color="000000" w:fill="F58220"/>
            <w:vAlign w:val="bottom"/>
            <w:hideMark/>
          </w:tcPr>
          <w:p w14:paraId="1F2B6FDB" w14:textId="77777777" w:rsidR="00CA574E" w:rsidRPr="003542C3" w:rsidRDefault="00CA574E" w:rsidP="00CA574E">
            <w:pPr>
              <w:spacing w:after="0" w:line="240" w:lineRule="auto"/>
              <w:rPr>
                <w:rFonts w:eastAsia="Times New Roman" w:cstheme="minorHAnsi"/>
                <w:b/>
                <w:bCs/>
                <w:lang w:eastAsia="en-ZA"/>
              </w:rPr>
            </w:pPr>
            <w:r w:rsidRPr="003542C3">
              <w:rPr>
                <w:rFonts w:eastAsia="Times New Roman" w:cstheme="minorHAnsi"/>
                <w:b/>
                <w:bCs/>
                <w:lang w:eastAsia="en-ZA"/>
              </w:rPr>
              <w:t>Aug-21</w:t>
            </w:r>
          </w:p>
        </w:tc>
        <w:tc>
          <w:tcPr>
            <w:tcW w:w="1160" w:type="dxa"/>
            <w:tcBorders>
              <w:top w:val="nil"/>
              <w:left w:val="nil"/>
              <w:bottom w:val="single" w:sz="4" w:space="0" w:color="auto"/>
              <w:right w:val="single" w:sz="4" w:space="0" w:color="auto"/>
            </w:tcBorders>
            <w:shd w:val="clear" w:color="000000" w:fill="F58220"/>
            <w:noWrap/>
            <w:hideMark/>
          </w:tcPr>
          <w:p w14:paraId="606EDBB4" w14:textId="0D6F663A"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14905</w:t>
            </w:r>
          </w:p>
        </w:tc>
        <w:tc>
          <w:tcPr>
            <w:tcW w:w="1220" w:type="dxa"/>
            <w:tcBorders>
              <w:top w:val="nil"/>
              <w:left w:val="nil"/>
              <w:bottom w:val="single" w:sz="4" w:space="0" w:color="auto"/>
              <w:right w:val="single" w:sz="4" w:space="0" w:color="auto"/>
            </w:tcBorders>
            <w:shd w:val="clear" w:color="000000" w:fill="F58220"/>
            <w:noWrap/>
            <w:hideMark/>
          </w:tcPr>
          <w:p w14:paraId="17EF7C9B" w14:textId="05A65DF7"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15332</w:t>
            </w:r>
          </w:p>
        </w:tc>
        <w:tc>
          <w:tcPr>
            <w:tcW w:w="1000" w:type="dxa"/>
            <w:tcBorders>
              <w:top w:val="nil"/>
              <w:left w:val="nil"/>
              <w:bottom w:val="single" w:sz="4" w:space="0" w:color="auto"/>
              <w:right w:val="single" w:sz="4" w:space="0" w:color="auto"/>
            </w:tcBorders>
            <w:shd w:val="clear" w:color="000000" w:fill="F58220"/>
            <w:noWrap/>
            <w:hideMark/>
          </w:tcPr>
          <w:p w14:paraId="598C1595" w14:textId="00295EDD"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8.1%</w:t>
            </w:r>
          </w:p>
        </w:tc>
        <w:tc>
          <w:tcPr>
            <w:tcW w:w="920" w:type="dxa"/>
            <w:tcBorders>
              <w:top w:val="nil"/>
              <w:left w:val="nil"/>
              <w:bottom w:val="single" w:sz="4" w:space="0" w:color="auto"/>
              <w:right w:val="single" w:sz="4" w:space="0" w:color="auto"/>
            </w:tcBorders>
            <w:shd w:val="clear" w:color="000000" w:fill="F58220"/>
            <w:noWrap/>
            <w:hideMark/>
          </w:tcPr>
          <w:p w14:paraId="6E24D5B5" w14:textId="15CF78D8"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3.1%</w:t>
            </w:r>
          </w:p>
        </w:tc>
        <w:tc>
          <w:tcPr>
            <w:tcW w:w="1260" w:type="dxa"/>
            <w:tcBorders>
              <w:top w:val="nil"/>
              <w:left w:val="nil"/>
              <w:bottom w:val="single" w:sz="4" w:space="0" w:color="auto"/>
              <w:right w:val="single" w:sz="4" w:space="0" w:color="auto"/>
            </w:tcBorders>
            <w:shd w:val="clear" w:color="000000" w:fill="BFD730"/>
            <w:noWrap/>
            <w:hideMark/>
          </w:tcPr>
          <w:p w14:paraId="16278621" w14:textId="7DA20572"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9733</w:t>
            </w:r>
          </w:p>
        </w:tc>
        <w:tc>
          <w:tcPr>
            <w:tcW w:w="1040" w:type="dxa"/>
            <w:tcBorders>
              <w:top w:val="nil"/>
              <w:left w:val="nil"/>
              <w:bottom w:val="single" w:sz="4" w:space="0" w:color="auto"/>
              <w:right w:val="single" w:sz="4" w:space="0" w:color="auto"/>
            </w:tcBorders>
            <w:shd w:val="clear" w:color="000000" w:fill="BFD730"/>
            <w:noWrap/>
            <w:hideMark/>
          </w:tcPr>
          <w:p w14:paraId="05515FC2" w14:textId="69284C5E"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9713</w:t>
            </w:r>
          </w:p>
        </w:tc>
        <w:tc>
          <w:tcPr>
            <w:tcW w:w="1120" w:type="dxa"/>
            <w:tcBorders>
              <w:top w:val="nil"/>
              <w:left w:val="nil"/>
              <w:bottom w:val="single" w:sz="4" w:space="0" w:color="auto"/>
              <w:right w:val="single" w:sz="4" w:space="0" w:color="auto"/>
            </w:tcBorders>
            <w:shd w:val="clear" w:color="000000" w:fill="BFD730"/>
            <w:noWrap/>
            <w:hideMark/>
          </w:tcPr>
          <w:p w14:paraId="1DD338B2" w14:textId="7B3A77CA"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10.1%</w:t>
            </w:r>
          </w:p>
        </w:tc>
        <w:tc>
          <w:tcPr>
            <w:tcW w:w="1000" w:type="dxa"/>
            <w:tcBorders>
              <w:top w:val="nil"/>
              <w:left w:val="nil"/>
              <w:bottom w:val="single" w:sz="4" w:space="0" w:color="auto"/>
              <w:right w:val="single" w:sz="4" w:space="0" w:color="auto"/>
            </w:tcBorders>
            <w:shd w:val="clear" w:color="000000" w:fill="BFD730"/>
            <w:noWrap/>
            <w:hideMark/>
          </w:tcPr>
          <w:p w14:paraId="4B32C660" w14:textId="1A62E63D"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4.9%</w:t>
            </w:r>
          </w:p>
        </w:tc>
      </w:tr>
      <w:tr w:rsidR="00CA574E" w:rsidRPr="00CA64EB" w14:paraId="5F1AECD5" w14:textId="77777777" w:rsidTr="00993DF8">
        <w:trPr>
          <w:trHeight w:val="288"/>
        </w:trPr>
        <w:tc>
          <w:tcPr>
            <w:tcW w:w="1120" w:type="dxa"/>
            <w:tcBorders>
              <w:top w:val="nil"/>
              <w:left w:val="single" w:sz="4" w:space="0" w:color="auto"/>
              <w:bottom w:val="single" w:sz="4" w:space="0" w:color="auto"/>
              <w:right w:val="single" w:sz="4" w:space="0" w:color="auto"/>
            </w:tcBorders>
            <w:shd w:val="clear" w:color="000000" w:fill="F58220"/>
            <w:vAlign w:val="bottom"/>
            <w:hideMark/>
          </w:tcPr>
          <w:p w14:paraId="41B84C5E" w14:textId="77777777" w:rsidR="00CA574E" w:rsidRPr="003542C3" w:rsidRDefault="00CA574E" w:rsidP="00CA574E">
            <w:pPr>
              <w:spacing w:after="0" w:line="240" w:lineRule="auto"/>
              <w:rPr>
                <w:rFonts w:eastAsia="Times New Roman" w:cstheme="minorHAnsi"/>
                <w:b/>
                <w:bCs/>
                <w:lang w:eastAsia="en-ZA"/>
              </w:rPr>
            </w:pPr>
            <w:r w:rsidRPr="003542C3">
              <w:rPr>
                <w:rFonts w:eastAsia="Times New Roman" w:cstheme="minorHAnsi"/>
                <w:b/>
                <w:bCs/>
                <w:lang w:eastAsia="en-ZA"/>
              </w:rPr>
              <w:t>Sep-21</w:t>
            </w:r>
          </w:p>
        </w:tc>
        <w:tc>
          <w:tcPr>
            <w:tcW w:w="1160" w:type="dxa"/>
            <w:tcBorders>
              <w:top w:val="nil"/>
              <w:left w:val="nil"/>
              <w:bottom w:val="single" w:sz="4" w:space="0" w:color="auto"/>
              <w:right w:val="single" w:sz="4" w:space="0" w:color="auto"/>
            </w:tcBorders>
            <w:shd w:val="clear" w:color="000000" w:fill="F58220"/>
            <w:noWrap/>
            <w:hideMark/>
          </w:tcPr>
          <w:p w14:paraId="56567AE7" w14:textId="07307BD8"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15395</w:t>
            </w:r>
          </w:p>
        </w:tc>
        <w:tc>
          <w:tcPr>
            <w:tcW w:w="1220" w:type="dxa"/>
            <w:tcBorders>
              <w:top w:val="nil"/>
              <w:left w:val="nil"/>
              <w:bottom w:val="single" w:sz="4" w:space="0" w:color="auto"/>
              <w:right w:val="single" w:sz="4" w:space="0" w:color="auto"/>
            </w:tcBorders>
            <w:shd w:val="clear" w:color="000000" w:fill="F58220"/>
            <w:noWrap/>
            <w:hideMark/>
          </w:tcPr>
          <w:p w14:paraId="4EB5D811" w14:textId="61E71F36"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15590</w:t>
            </w:r>
          </w:p>
        </w:tc>
        <w:tc>
          <w:tcPr>
            <w:tcW w:w="1000" w:type="dxa"/>
            <w:tcBorders>
              <w:top w:val="nil"/>
              <w:left w:val="nil"/>
              <w:bottom w:val="single" w:sz="4" w:space="0" w:color="auto"/>
              <w:right w:val="single" w:sz="4" w:space="0" w:color="auto"/>
            </w:tcBorders>
            <w:shd w:val="clear" w:color="000000" w:fill="F58220"/>
            <w:noWrap/>
            <w:hideMark/>
          </w:tcPr>
          <w:p w14:paraId="312EF073" w14:textId="312D4368"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9.1%</w:t>
            </w:r>
          </w:p>
        </w:tc>
        <w:tc>
          <w:tcPr>
            <w:tcW w:w="920" w:type="dxa"/>
            <w:tcBorders>
              <w:top w:val="nil"/>
              <w:left w:val="nil"/>
              <w:bottom w:val="single" w:sz="4" w:space="0" w:color="auto"/>
              <w:right w:val="single" w:sz="4" w:space="0" w:color="auto"/>
            </w:tcBorders>
            <w:shd w:val="clear" w:color="000000" w:fill="F58220"/>
            <w:noWrap/>
            <w:hideMark/>
          </w:tcPr>
          <w:p w14:paraId="70CB314F" w14:textId="2F8963BB"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4.1%</w:t>
            </w:r>
          </w:p>
        </w:tc>
        <w:tc>
          <w:tcPr>
            <w:tcW w:w="1260" w:type="dxa"/>
            <w:tcBorders>
              <w:top w:val="nil"/>
              <w:left w:val="nil"/>
              <w:bottom w:val="single" w:sz="4" w:space="0" w:color="auto"/>
              <w:right w:val="single" w:sz="4" w:space="0" w:color="auto"/>
            </w:tcBorders>
            <w:shd w:val="clear" w:color="000000" w:fill="BFD730"/>
            <w:noWrap/>
            <w:hideMark/>
          </w:tcPr>
          <w:p w14:paraId="3E2F931E" w14:textId="2555DB29"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9721</w:t>
            </w:r>
          </w:p>
        </w:tc>
        <w:tc>
          <w:tcPr>
            <w:tcW w:w="1040" w:type="dxa"/>
            <w:tcBorders>
              <w:top w:val="nil"/>
              <w:left w:val="nil"/>
              <w:bottom w:val="single" w:sz="4" w:space="0" w:color="auto"/>
              <w:right w:val="single" w:sz="4" w:space="0" w:color="auto"/>
            </w:tcBorders>
            <w:shd w:val="clear" w:color="000000" w:fill="BFD730"/>
            <w:noWrap/>
            <w:hideMark/>
          </w:tcPr>
          <w:p w14:paraId="422BC3A2" w14:textId="5640ABFE"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9712</w:t>
            </w:r>
          </w:p>
        </w:tc>
        <w:tc>
          <w:tcPr>
            <w:tcW w:w="1120" w:type="dxa"/>
            <w:tcBorders>
              <w:top w:val="nil"/>
              <w:left w:val="nil"/>
              <w:bottom w:val="single" w:sz="4" w:space="0" w:color="auto"/>
              <w:right w:val="single" w:sz="4" w:space="0" w:color="auto"/>
            </w:tcBorders>
            <w:shd w:val="clear" w:color="000000" w:fill="BFD730"/>
            <w:noWrap/>
            <w:hideMark/>
          </w:tcPr>
          <w:p w14:paraId="23FD009C" w14:textId="177F6D24"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9.7%</w:t>
            </w:r>
          </w:p>
        </w:tc>
        <w:tc>
          <w:tcPr>
            <w:tcW w:w="1000" w:type="dxa"/>
            <w:tcBorders>
              <w:top w:val="nil"/>
              <w:left w:val="nil"/>
              <w:bottom w:val="single" w:sz="4" w:space="0" w:color="auto"/>
              <w:right w:val="single" w:sz="4" w:space="0" w:color="auto"/>
            </w:tcBorders>
            <w:shd w:val="clear" w:color="000000" w:fill="BFD730"/>
            <w:noWrap/>
            <w:hideMark/>
          </w:tcPr>
          <w:p w14:paraId="3C0D2395" w14:textId="7B571468"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4.5%</w:t>
            </w:r>
          </w:p>
        </w:tc>
      </w:tr>
      <w:tr w:rsidR="00CA574E" w:rsidRPr="00CA64EB" w14:paraId="3BF07E59" w14:textId="77777777" w:rsidTr="00993DF8">
        <w:trPr>
          <w:trHeight w:val="288"/>
        </w:trPr>
        <w:tc>
          <w:tcPr>
            <w:tcW w:w="1120" w:type="dxa"/>
            <w:tcBorders>
              <w:top w:val="nil"/>
              <w:left w:val="single" w:sz="4" w:space="0" w:color="auto"/>
              <w:bottom w:val="single" w:sz="4" w:space="0" w:color="auto"/>
              <w:right w:val="single" w:sz="4" w:space="0" w:color="auto"/>
            </w:tcBorders>
            <w:shd w:val="clear" w:color="000000" w:fill="F58220"/>
            <w:vAlign w:val="bottom"/>
            <w:hideMark/>
          </w:tcPr>
          <w:p w14:paraId="26FCA230" w14:textId="77777777" w:rsidR="00CA574E" w:rsidRPr="003542C3" w:rsidRDefault="00CA574E" w:rsidP="00CA574E">
            <w:pPr>
              <w:spacing w:after="0" w:line="240" w:lineRule="auto"/>
              <w:rPr>
                <w:rFonts w:eastAsia="Times New Roman" w:cstheme="minorHAnsi"/>
                <w:b/>
                <w:bCs/>
                <w:lang w:eastAsia="en-ZA"/>
              </w:rPr>
            </w:pPr>
            <w:r w:rsidRPr="003542C3">
              <w:rPr>
                <w:rFonts w:eastAsia="Times New Roman" w:cstheme="minorHAnsi"/>
                <w:b/>
                <w:bCs/>
                <w:lang w:eastAsia="en-ZA"/>
              </w:rPr>
              <w:t>Oct-21</w:t>
            </w:r>
          </w:p>
        </w:tc>
        <w:tc>
          <w:tcPr>
            <w:tcW w:w="1160" w:type="dxa"/>
            <w:tcBorders>
              <w:top w:val="nil"/>
              <w:left w:val="nil"/>
              <w:bottom w:val="single" w:sz="4" w:space="0" w:color="auto"/>
              <w:right w:val="single" w:sz="4" w:space="0" w:color="auto"/>
            </w:tcBorders>
            <w:shd w:val="clear" w:color="000000" w:fill="F58220"/>
            <w:noWrap/>
            <w:hideMark/>
          </w:tcPr>
          <w:p w14:paraId="44E6DA1D" w14:textId="40C6DF6E"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15415</w:t>
            </w:r>
          </w:p>
        </w:tc>
        <w:tc>
          <w:tcPr>
            <w:tcW w:w="1220" w:type="dxa"/>
            <w:tcBorders>
              <w:top w:val="nil"/>
              <w:left w:val="nil"/>
              <w:bottom w:val="single" w:sz="4" w:space="0" w:color="auto"/>
              <w:right w:val="single" w:sz="4" w:space="0" w:color="auto"/>
            </w:tcBorders>
            <w:shd w:val="clear" w:color="000000" w:fill="F58220"/>
            <w:noWrap/>
            <w:hideMark/>
          </w:tcPr>
          <w:p w14:paraId="674A59BB" w14:textId="60111872"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15354</w:t>
            </w:r>
          </w:p>
        </w:tc>
        <w:tc>
          <w:tcPr>
            <w:tcW w:w="1000" w:type="dxa"/>
            <w:tcBorders>
              <w:top w:val="nil"/>
              <w:left w:val="nil"/>
              <w:bottom w:val="single" w:sz="4" w:space="0" w:color="auto"/>
              <w:right w:val="single" w:sz="4" w:space="0" w:color="auto"/>
            </w:tcBorders>
            <w:shd w:val="clear" w:color="000000" w:fill="F58220"/>
            <w:noWrap/>
            <w:hideMark/>
          </w:tcPr>
          <w:p w14:paraId="2A615AEA" w14:textId="5A2F9ECF"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1.7%</w:t>
            </w:r>
          </w:p>
        </w:tc>
        <w:tc>
          <w:tcPr>
            <w:tcW w:w="920" w:type="dxa"/>
            <w:tcBorders>
              <w:top w:val="nil"/>
              <w:left w:val="nil"/>
              <w:bottom w:val="single" w:sz="4" w:space="0" w:color="auto"/>
              <w:right w:val="single" w:sz="4" w:space="0" w:color="auto"/>
            </w:tcBorders>
            <w:shd w:val="clear" w:color="000000" w:fill="F58220"/>
            <w:noWrap/>
            <w:hideMark/>
          </w:tcPr>
          <w:p w14:paraId="73E97FC6" w14:textId="5A6E50C6"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-3.1%</w:t>
            </w:r>
          </w:p>
        </w:tc>
        <w:tc>
          <w:tcPr>
            <w:tcW w:w="1260" w:type="dxa"/>
            <w:tcBorders>
              <w:top w:val="nil"/>
              <w:left w:val="nil"/>
              <w:bottom w:val="single" w:sz="4" w:space="0" w:color="auto"/>
              <w:right w:val="single" w:sz="4" w:space="0" w:color="auto"/>
            </w:tcBorders>
            <w:shd w:val="clear" w:color="000000" w:fill="BFD730"/>
            <w:noWrap/>
            <w:hideMark/>
          </w:tcPr>
          <w:p w14:paraId="5FD7B4AE" w14:textId="6A274253"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9614</w:t>
            </w:r>
          </w:p>
        </w:tc>
        <w:tc>
          <w:tcPr>
            <w:tcW w:w="1040" w:type="dxa"/>
            <w:tcBorders>
              <w:top w:val="nil"/>
              <w:left w:val="nil"/>
              <w:bottom w:val="single" w:sz="4" w:space="0" w:color="auto"/>
              <w:right w:val="single" w:sz="4" w:space="0" w:color="auto"/>
            </w:tcBorders>
            <w:shd w:val="clear" w:color="000000" w:fill="BFD730"/>
            <w:noWrap/>
            <w:hideMark/>
          </w:tcPr>
          <w:p w14:paraId="713B6AD3" w14:textId="48E1A0A2"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9600</w:t>
            </w:r>
          </w:p>
        </w:tc>
        <w:tc>
          <w:tcPr>
            <w:tcW w:w="1120" w:type="dxa"/>
            <w:tcBorders>
              <w:top w:val="nil"/>
              <w:left w:val="nil"/>
              <w:bottom w:val="single" w:sz="4" w:space="0" w:color="auto"/>
              <w:right w:val="single" w:sz="4" w:space="0" w:color="auto"/>
            </w:tcBorders>
            <w:shd w:val="clear" w:color="000000" w:fill="BFD730"/>
            <w:noWrap/>
            <w:hideMark/>
          </w:tcPr>
          <w:p w14:paraId="0F7E04E9" w14:textId="257FA56D"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9.5%</w:t>
            </w:r>
          </w:p>
        </w:tc>
        <w:tc>
          <w:tcPr>
            <w:tcW w:w="1000" w:type="dxa"/>
            <w:tcBorders>
              <w:top w:val="nil"/>
              <w:left w:val="nil"/>
              <w:bottom w:val="single" w:sz="4" w:space="0" w:color="auto"/>
              <w:right w:val="single" w:sz="4" w:space="0" w:color="auto"/>
            </w:tcBorders>
            <w:shd w:val="clear" w:color="000000" w:fill="BFD730"/>
            <w:noWrap/>
            <w:hideMark/>
          </w:tcPr>
          <w:p w14:paraId="708F139E" w14:textId="0DE731F9"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4.3%</w:t>
            </w:r>
          </w:p>
        </w:tc>
      </w:tr>
      <w:tr w:rsidR="00CA574E" w:rsidRPr="00CA64EB" w14:paraId="5D8CB088" w14:textId="77777777" w:rsidTr="00993DF8">
        <w:trPr>
          <w:trHeight w:val="288"/>
        </w:trPr>
        <w:tc>
          <w:tcPr>
            <w:tcW w:w="1120" w:type="dxa"/>
            <w:tcBorders>
              <w:top w:val="nil"/>
              <w:left w:val="single" w:sz="4" w:space="0" w:color="auto"/>
              <w:bottom w:val="single" w:sz="4" w:space="0" w:color="auto"/>
              <w:right w:val="single" w:sz="4" w:space="0" w:color="auto"/>
            </w:tcBorders>
            <w:shd w:val="clear" w:color="000000" w:fill="F58220"/>
            <w:vAlign w:val="bottom"/>
            <w:hideMark/>
          </w:tcPr>
          <w:p w14:paraId="142BF02E" w14:textId="77777777" w:rsidR="00CA574E" w:rsidRPr="003542C3" w:rsidRDefault="00CA574E" w:rsidP="00CA574E">
            <w:pPr>
              <w:spacing w:after="0" w:line="240" w:lineRule="auto"/>
              <w:rPr>
                <w:rFonts w:eastAsia="Times New Roman" w:cstheme="minorHAnsi"/>
                <w:b/>
                <w:bCs/>
                <w:lang w:eastAsia="en-ZA"/>
              </w:rPr>
            </w:pPr>
            <w:r w:rsidRPr="003542C3">
              <w:rPr>
                <w:rFonts w:eastAsia="Times New Roman" w:cstheme="minorHAnsi"/>
                <w:b/>
                <w:bCs/>
                <w:lang w:eastAsia="en-ZA"/>
              </w:rPr>
              <w:t>Nov-21</w:t>
            </w:r>
          </w:p>
        </w:tc>
        <w:tc>
          <w:tcPr>
            <w:tcW w:w="1160" w:type="dxa"/>
            <w:tcBorders>
              <w:top w:val="nil"/>
              <w:left w:val="nil"/>
              <w:bottom w:val="single" w:sz="4" w:space="0" w:color="auto"/>
              <w:right w:val="single" w:sz="4" w:space="0" w:color="auto"/>
            </w:tcBorders>
            <w:shd w:val="clear" w:color="000000" w:fill="F58220"/>
            <w:noWrap/>
            <w:hideMark/>
          </w:tcPr>
          <w:p w14:paraId="74A9D200" w14:textId="1288A69A"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15299</w:t>
            </w:r>
          </w:p>
        </w:tc>
        <w:tc>
          <w:tcPr>
            <w:tcW w:w="1220" w:type="dxa"/>
            <w:tcBorders>
              <w:top w:val="nil"/>
              <w:left w:val="nil"/>
              <w:bottom w:val="single" w:sz="4" w:space="0" w:color="auto"/>
              <w:right w:val="single" w:sz="4" w:space="0" w:color="auto"/>
            </w:tcBorders>
            <w:shd w:val="clear" w:color="000000" w:fill="F58220"/>
            <w:noWrap/>
            <w:hideMark/>
          </w:tcPr>
          <w:p w14:paraId="31EA3A2B" w14:textId="111F9AAB"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15237</w:t>
            </w:r>
          </w:p>
        </w:tc>
        <w:tc>
          <w:tcPr>
            <w:tcW w:w="1000" w:type="dxa"/>
            <w:tcBorders>
              <w:top w:val="nil"/>
              <w:left w:val="nil"/>
              <w:bottom w:val="single" w:sz="4" w:space="0" w:color="auto"/>
              <w:right w:val="single" w:sz="4" w:space="0" w:color="auto"/>
            </w:tcBorders>
            <w:shd w:val="clear" w:color="000000" w:fill="F58220"/>
            <w:noWrap/>
            <w:hideMark/>
          </w:tcPr>
          <w:p w14:paraId="01C65A51" w14:textId="54BB9210"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0.2%</w:t>
            </w:r>
          </w:p>
        </w:tc>
        <w:tc>
          <w:tcPr>
            <w:tcW w:w="920" w:type="dxa"/>
            <w:tcBorders>
              <w:top w:val="nil"/>
              <w:left w:val="nil"/>
              <w:bottom w:val="single" w:sz="4" w:space="0" w:color="auto"/>
              <w:right w:val="single" w:sz="4" w:space="0" w:color="auto"/>
            </w:tcBorders>
            <w:shd w:val="clear" w:color="000000" w:fill="F58220"/>
            <w:noWrap/>
            <w:hideMark/>
          </w:tcPr>
          <w:p w14:paraId="31838EF9" w14:textId="25EDBCC0"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-4.7%</w:t>
            </w:r>
          </w:p>
        </w:tc>
        <w:tc>
          <w:tcPr>
            <w:tcW w:w="1260" w:type="dxa"/>
            <w:tcBorders>
              <w:top w:val="nil"/>
              <w:left w:val="nil"/>
              <w:bottom w:val="single" w:sz="4" w:space="0" w:color="auto"/>
              <w:right w:val="single" w:sz="4" w:space="0" w:color="auto"/>
            </w:tcBorders>
            <w:shd w:val="clear" w:color="000000" w:fill="BFD730"/>
            <w:noWrap/>
            <w:hideMark/>
          </w:tcPr>
          <w:p w14:paraId="1F10AD1E" w14:textId="35D816F6"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9499</w:t>
            </w:r>
          </w:p>
        </w:tc>
        <w:tc>
          <w:tcPr>
            <w:tcW w:w="1040" w:type="dxa"/>
            <w:tcBorders>
              <w:top w:val="nil"/>
              <w:left w:val="nil"/>
              <w:bottom w:val="single" w:sz="4" w:space="0" w:color="auto"/>
              <w:right w:val="single" w:sz="4" w:space="0" w:color="auto"/>
            </w:tcBorders>
            <w:shd w:val="clear" w:color="000000" w:fill="BFD730"/>
            <w:noWrap/>
            <w:hideMark/>
          </w:tcPr>
          <w:p w14:paraId="5DCE2D64" w14:textId="1355A509"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9447</w:t>
            </w:r>
          </w:p>
        </w:tc>
        <w:tc>
          <w:tcPr>
            <w:tcW w:w="1120" w:type="dxa"/>
            <w:tcBorders>
              <w:top w:val="nil"/>
              <w:left w:val="nil"/>
              <w:bottom w:val="single" w:sz="4" w:space="0" w:color="auto"/>
              <w:right w:val="single" w:sz="4" w:space="0" w:color="auto"/>
            </w:tcBorders>
            <w:shd w:val="clear" w:color="000000" w:fill="BFD730"/>
            <w:noWrap/>
            <w:hideMark/>
          </w:tcPr>
          <w:p w14:paraId="49B038D5" w14:textId="0BE9F9BB"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6.6%</w:t>
            </w:r>
          </w:p>
        </w:tc>
        <w:tc>
          <w:tcPr>
            <w:tcW w:w="1000" w:type="dxa"/>
            <w:tcBorders>
              <w:top w:val="nil"/>
              <w:left w:val="nil"/>
              <w:bottom w:val="single" w:sz="4" w:space="0" w:color="auto"/>
              <w:right w:val="single" w:sz="4" w:space="0" w:color="auto"/>
            </w:tcBorders>
            <w:shd w:val="clear" w:color="000000" w:fill="BFD730"/>
            <w:noWrap/>
            <w:hideMark/>
          </w:tcPr>
          <w:p w14:paraId="0881259D" w14:textId="63AABB05"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1.1%</w:t>
            </w:r>
          </w:p>
        </w:tc>
      </w:tr>
      <w:tr w:rsidR="00CA574E" w:rsidRPr="00CA64EB" w14:paraId="1027CDCB" w14:textId="77777777" w:rsidTr="00993DF8">
        <w:trPr>
          <w:trHeight w:val="288"/>
        </w:trPr>
        <w:tc>
          <w:tcPr>
            <w:tcW w:w="1120" w:type="dxa"/>
            <w:tcBorders>
              <w:top w:val="nil"/>
              <w:left w:val="single" w:sz="4" w:space="0" w:color="auto"/>
              <w:bottom w:val="single" w:sz="4" w:space="0" w:color="auto"/>
              <w:right w:val="single" w:sz="4" w:space="0" w:color="auto"/>
            </w:tcBorders>
            <w:shd w:val="clear" w:color="000000" w:fill="F58220"/>
            <w:vAlign w:val="bottom"/>
            <w:hideMark/>
          </w:tcPr>
          <w:p w14:paraId="795D2998" w14:textId="77777777" w:rsidR="00CA574E" w:rsidRPr="003542C3" w:rsidRDefault="00CA574E" w:rsidP="00CA574E">
            <w:pPr>
              <w:spacing w:after="0" w:line="240" w:lineRule="auto"/>
              <w:rPr>
                <w:rFonts w:eastAsia="Times New Roman" w:cstheme="minorHAnsi"/>
                <w:b/>
                <w:bCs/>
                <w:lang w:eastAsia="en-ZA"/>
              </w:rPr>
            </w:pPr>
            <w:r w:rsidRPr="003542C3">
              <w:rPr>
                <w:rFonts w:eastAsia="Times New Roman" w:cstheme="minorHAnsi"/>
                <w:b/>
                <w:bCs/>
                <w:lang w:eastAsia="en-ZA"/>
              </w:rPr>
              <w:t>Dec-21</w:t>
            </w:r>
          </w:p>
        </w:tc>
        <w:tc>
          <w:tcPr>
            <w:tcW w:w="1160" w:type="dxa"/>
            <w:tcBorders>
              <w:top w:val="nil"/>
              <w:left w:val="nil"/>
              <w:bottom w:val="single" w:sz="4" w:space="0" w:color="auto"/>
              <w:right w:val="single" w:sz="4" w:space="0" w:color="auto"/>
            </w:tcBorders>
            <w:shd w:val="clear" w:color="000000" w:fill="F58220"/>
            <w:noWrap/>
            <w:hideMark/>
          </w:tcPr>
          <w:p w14:paraId="0611A468" w14:textId="49D67970"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15520</w:t>
            </w:r>
          </w:p>
        </w:tc>
        <w:tc>
          <w:tcPr>
            <w:tcW w:w="1220" w:type="dxa"/>
            <w:tcBorders>
              <w:top w:val="nil"/>
              <w:left w:val="nil"/>
              <w:bottom w:val="single" w:sz="4" w:space="0" w:color="auto"/>
              <w:right w:val="single" w:sz="4" w:space="0" w:color="auto"/>
            </w:tcBorders>
            <w:shd w:val="clear" w:color="000000" w:fill="F58220"/>
            <w:noWrap/>
            <w:hideMark/>
          </w:tcPr>
          <w:p w14:paraId="6DDCEABE" w14:textId="74E9CDD9"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15416</w:t>
            </w:r>
          </w:p>
        </w:tc>
        <w:tc>
          <w:tcPr>
            <w:tcW w:w="1000" w:type="dxa"/>
            <w:tcBorders>
              <w:top w:val="nil"/>
              <w:left w:val="nil"/>
              <w:bottom w:val="single" w:sz="4" w:space="0" w:color="auto"/>
              <w:right w:val="single" w:sz="4" w:space="0" w:color="auto"/>
            </w:tcBorders>
            <w:shd w:val="clear" w:color="000000" w:fill="F58220"/>
            <w:noWrap/>
            <w:hideMark/>
          </w:tcPr>
          <w:p w14:paraId="4F26675F" w14:textId="146651DE"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-0.1%</w:t>
            </w:r>
          </w:p>
        </w:tc>
        <w:tc>
          <w:tcPr>
            <w:tcW w:w="920" w:type="dxa"/>
            <w:tcBorders>
              <w:top w:val="nil"/>
              <w:left w:val="nil"/>
              <w:bottom w:val="single" w:sz="4" w:space="0" w:color="auto"/>
              <w:right w:val="single" w:sz="4" w:space="0" w:color="auto"/>
            </w:tcBorders>
            <w:shd w:val="clear" w:color="000000" w:fill="F58220"/>
            <w:noWrap/>
            <w:hideMark/>
          </w:tcPr>
          <w:p w14:paraId="0F58742B" w14:textId="4D55102A"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-5.2%</w:t>
            </w:r>
          </w:p>
        </w:tc>
        <w:tc>
          <w:tcPr>
            <w:tcW w:w="1260" w:type="dxa"/>
            <w:tcBorders>
              <w:top w:val="nil"/>
              <w:left w:val="nil"/>
              <w:bottom w:val="single" w:sz="4" w:space="0" w:color="auto"/>
              <w:right w:val="single" w:sz="4" w:space="0" w:color="auto"/>
            </w:tcBorders>
            <w:shd w:val="clear" w:color="000000" w:fill="BFD730"/>
            <w:noWrap/>
            <w:hideMark/>
          </w:tcPr>
          <w:p w14:paraId="4F6D4221" w14:textId="3CE03478"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9570</w:t>
            </w:r>
          </w:p>
        </w:tc>
        <w:tc>
          <w:tcPr>
            <w:tcW w:w="1040" w:type="dxa"/>
            <w:tcBorders>
              <w:top w:val="nil"/>
              <w:left w:val="nil"/>
              <w:bottom w:val="single" w:sz="4" w:space="0" w:color="auto"/>
              <w:right w:val="single" w:sz="4" w:space="0" w:color="auto"/>
            </w:tcBorders>
            <w:shd w:val="clear" w:color="000000" w:fill="BFD730"/>
            <w:noWrap/>
            <w:hideMark/>
          </w:tcPr>
          <w:p w14:paraId="2D8EC1C8" w14:textId="28C2F8D5"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9484</w:t>
            </w:r>
          </w:p>
        </w:tc>
        <w:tc>
          <w:tcPr>
            <w:tcW w:w="1120" w:type="dxa"/>
            <w:tcBorders>
              <w:top w:val="nil"/>
              <w:left w:val="nil"/>
              <w:bottom w:val="single" w:sz="4" w:space="0" w:color="auto"/>
              <w:right w:val="single" w:sz="4" w:space="0" w:color="auto"/>
            </w:tcBorders>
            <w:shd w:val="clear" w:color="000000" w:fill="BFD730"/>
            <w:noWrap/>
            <w:hideMark/>
          </w:tcPr>
          <w:p w14:paraId="58ACEEAB" w14:textId="173CCA81"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7.1%</w:t>
            </w:r>
          </w:p>
        </w:tc>
        <w:tc>
          <w:tcPr>
            <w:tcW w:w="1000" w:type="dxa"/>
            <w:tcBorders>
              <w:top w:val="nil"/>
              <w:left w:val="nil"/>
              <w:bottom w:val="single" w:sz="4" w:space="0" w:color="auto"/>
              <w:right w:val="single" w:sz="4" w:space="0" w:color="auto"/>
            </w:tcBorders>
            <w:shd w:val="clear" w:color="000000" w:fill="BFD730"/>
            <w:noWrap/>
            <w:hideMark/>
          </w:tcPr>
          <w:p w14:paraId="7D4D0E3A" w14:textId="0CFA3B15"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1.1%</w:t>
            </w:r>
          </w:p>
        </w:tc>
      </w:tr>
      <w:tr w:rsidR="00CA574E" w:rsidRPr="00CA64EB" w14:paraId="34D65109" w14:textId="77777777" w:rsidTr="00993DF8">
        <w:trPr>
          <w:trHeight w:val="288"/>
        </w:trPr>
        <w:tc>
          <w:tcPr>
            <w:tcW w:w="1120" w:type="dxa"/>
            <w:tcBorders>
              <w:top w:val="nil"/>
              <w:left w:val="single" w:sz="4" w:space="0" w:color="auto"/>
              <w:bottom w:val="single" w:sz="4" w:space="0" w:color="auto"/>
              <w:right w:val="single" w:sz="4" w:space="0" w:color="auto"/>
            </w:tcBorders>
            <w:shd w:val="clear" w:color="000000" w:fill="F58220"/>
            <w:vAlign w:val="bottom"/>
            <w:hideMark/>
          </w:tcPr>
          <w:p w14:paraId="620EAF00" w14:textId="77777777" w:rsidR="00CA574E" w:rsidRPr="003542C3" w:rsidRDefault="00CA574E" w:rsidP="00CA574E">
            <w:pPr>
              <w:spacing w:after="0" w:line="240" w:lineRule="auto"/>
              <w:rPr>
                <w:rFonts w:eastAsia="Times New Roman" w:cstheme="minorHAnsi"/>
                <w:b/>
                <w:bCs/>
                <w:lang w:eastAsia="en-ZA"/>
              </w:rPr>
            </w:pPr>
            <w:r w:rsidRPr="003542C3">
              <w:rPr>
                <w:rFonts w:eastAsia="Times New Roman" w:cstheme="minorHAnsi"/>
                <w:b/>
                <w:bCs/>
                <w:lang w:eastAsia="en-ZA"/>
              </w:rPr>
              <w:t>Jan-22</w:t>
            </w:r>
          </w:p>
        </w:tc>
        <w:tc>
          <w:tcPr>
            <w:tcW w:w="1160" w:type="dxa"/>
            <w:tcBorders>
              <w:top w:val="nil"/>
              <w:left w:val="nil"/>
              <w:bottom w:val="single" w:sz="4" w:space="0" w:color="auto"/>
              <w:right w:val="single" w:sz="4" w:space="0" w:color="auto"/>
            </w:tcBorders>
            <w:shd w:val="clear" w:color="000000" w:fill="F58220"/>
            <w:noWrap/>
            <w:hideMark/>
          </w:tcPr>
          <w:p w14:paraId="685C6D10" w14:textId="3DFE9ABF"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15522</w:t>
            </w:r>
          </w:p>
        </w:tc>
        <w:tc>
          <w:tcPr>
            <w:tcW w:w="1220" w:type="dxa"/>
            <w:tcBorders>
              <w:top w:val="nil"/>
              <w:left w:val="nil"/>
              <w:bottom w:val="single" w:sz="4" w:space="0" w:color="auto"/>
              <w:right w:val="single" w:sz="4" w:space="0" w:color="auto"/>
            </w:tcBorders>
            <w:shd w:val="clear" w:color="000000" w:fill="F58220"/>
            <w:noWrap/>
            <w:hideMark/>
          </w:tcPr>
          <w:p w14:paraId="3CD0E564" w14:textId="2C229CD4"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15399</w:t>
            </w:r>
          </w:p>
        </w:tc>
        <w:tc>
          <w:tcPr>
            <w:tcW w:w="1000" w:type="dxa"/>
            <w:tcBorders>
              <w:top w:val="nil"/>
              <w:left w:val="nil"/>
              <w:bottom w:val="single" w:sz="4" w:space="0" w:color="auto"/>
              <w:right w:val="single" w:sz="4" w:space="0" w:color="auto"/>
            </w:tcBorders>
            <w:shd w:val="clear" w:color="000000" w:fill="F58220"/>
            <w:noWrap/>
            <w:hideMark/>
          </w:tcPr>
          <w:p w14:paraId="34FCFA5B" w14:textId="31A58B70"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1.0%</w:t>
            </w:r>
          </w:p>
        </w:tc>
        <w:tc>
          <w:tcPr>
            <w:tcW w:w="920" w:type="dxa"/>
            <w:tcBorders>
              <w:top w:val="nil"/>
              <w:left w:val="nil"/>
              <w:bottom w:val="single" w:sz="4" w:space="0" w:color="auto"/>
              <w:right w:val="single" w:sz="4" w:space="0" w:color="auto"/>
            </w:tcBorders>
            <w:shd w:val="clear" w:color="000000" w:fill="F58220"/>
            <w:noWrap/>
            <w:hideMark/>
          </w:tcPr>
          <w:p w14:paraId="681D4468" w14:textId="435EC025"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-4.4%</w:t>
            </w:r>
          </w:p>
        </w:tc>
        <w:tc>
          <w:tcPr>
            <w:tcW w:w="1260" w:type="dxa"/>
            <w:tcBorders>
              <w:top w:val="nil"/>
              <w:left w:val="nil"/>
              <w:bottom w:val="single" w:sz="4" w:space="0" w:color="auto"/>
              <w:right w:val="single" w:sz="4" w:space="0" w:color="auto"/>
            </w:tcBorders>
            <w:shd w:val="clear" w:color="000000" w:fill="BFD730"/>
            <w:noWrap/>
            <w:hideMark/>
          </w:tcPr>
          <w:p w14:paraId="45D63155" w14:textId="45228A3E"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9566</w:t>
            </w:r>
          </w:p>
        </w:tc>
        <w:tc>
          <w:tcPr>
            <w:tcW w:w="1040" w:type="dxa"/>
            <w:tcBorders>
              <w:top w:val="nil"/>
              <w:left w:val="nil"/>
              <w:bottom w:val="single" w:sz="4" w:space="0" w:color="auto"/>
              <w:right w:val="single" w:sz="4" w:space="0" w:color="auto"/>
            </w:tcBorders>
            <w:shd w:val="clear" w:color="000000" w:fill="BFD730"/>
            <w:noWrap/>
            <w:hideMark/>
          </w:tcPr>
          <w:p w14:paraId="452F64C4" w14:textId="78927A0F"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9493</w:t>
            </w:r>
          </w:p>
        </w:tc>
        <w:tc>
          <w:tcPr>
            <w:tcW w:w="1120" w:type="dxa"/>
            <w:tcBorders>
              <w:top w:val="nil"/>
              <w:left w:val="nil"/>
              <w:bottom w:val="single" w:sz="4" w:space="0" w:color="auto"/>
              <w:right w:val="single" w:sz="4" w:space="0" w:color="auto"/>
            </w:tcBorders>
            <w:shd w:val="clear" w:color="000000" w:fill="BFD730"/>
            <w:noWrap/>
            <w:hideMark/>
          </w:tcPr>
          <w:p w14:paraId="463999B4" w14:textId="06F292DE"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5.4%</w:t>
            </w:r>
          </w:p>
        </w:tc>
        <w:tc>
          <w:tcPr>
            <w:tcW w:w="1000" w:type="dxa"/>
            <w:tcBorders>
              <w:top w:val="nil"/>
              <w:left w:val="nil"/>
              <w:bottom w:val="single" w:sz="4" w:space="0" w:color="auto"/>
              <w:right w:val="single" w:sz="4" w:space="0" w:color="auto"/>
            </w:tcBorders>
            <w:shd w:val="clear" w:color="000000" w:fill="BFD730"/>
            <w:noWrap/>
            <w:hideMark/>
          </w:tcPr>
          <w:p w14:paraId="2ACA7AD0" w14:textId="47CA60AA"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-0.2%</w:t>
            </w:r>
          </w:p>
        </w:tc>
      </w:tr>
      <w:tr w:rsidR="00CA574E" w:rsidRPr="00CA64EB" w14:paraId="7F9F5B8F" w14:textId="77777777" w:rsidTr="00993DF8">
        <w:trPr>
          <w:trHeight w:val="288"/>
        </w:trPr>
        <w:tc>
          <w:tcPr>
            <w:tcW w:w="1120" w:type="dxa"/>
            <w:tcBorders>
              <w:top w:val="nil"/>
              <w:left w:val="single" w:sz="4" w:space="0" w:color="auto"/>
              <w:bottom w:val="single" w:sz="4" w:space="0" w:color="auto"/>
              <w:right w:val="single" w:sz="4" w:space="0" w:color="auto"/>
            </w:tcBorders>
            <w:shd w:val="clear" w:color="000000" w:fill="F58220"/>
            <w:vAlign w:val="bottom"/>
            <w:hideMark/>
          </w:tcPr>
          <w:p w14:paraId="1CEF8716" w14:textId="77777777" w:rsidR="00CA574E" w:rsidRPr="003542C3" w:rsidRDefault="00CA574E" w:rsidP="00CA574E">
            <w:pPr>
              <w:spacing w:after="0" w:line="240" w:lineRule="auto"/>
              <w:rPr>
                <w:rFonts w:eastAsia="Times New Roman" w:cstheme="minorHAnsi"/>
                <w:b/>
                <w:bCs/>
                <w:lang w:eastAsia="en-ZA"/>
              </w:rPr>
            </w:pPr>
            <w:r w:rsidRPr="003542C3">
              <w:rPr>
                <w:rFonts w:eastAsia="Times New Roman" w:cstheme="minorHAnsi"/>
                <w:b/>
                <w:bCs/>
                <w:lang w:eastAsia="en-ZA"/>
              </w:rPr>
              <w:t>Feb-22</w:t>
            </w:r>
          </w:p>
        </w:tc>
        <w:tc>
          <w:tcPr>
            <w:tcW w:w="1160" w:type="dxa"/>
            <w:tcBorders>
              <w:top w:val="nil"/>
              <w:left w:val="nil"/>
              <w:bottom w:val="single" w:sz="4" w:space="0" w:color="auto"/>
              <w:right w:val="single" w:sz="4" w:space="0" w:color="auto"/>
            </w:tcBorders>
            <w:shd w:val="clear" w:color="000000" w:fill="F58220"/>
            <w:noWrap/>
            <w:hideMark/>
          </w:tcPr>
          <w:p w14:paraId="2C1E0F0A" w14:textId="103E19B6"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15593</w:t>
            </w:r>
          </w:p>
        </w:tc>
        <w:tc>
          <w:tcPr>
            <w:tcW w:w="1220" w:type="dxa"/>
            <w:tcBorders>
              <w:top w:val="nil"/>
              <w:left w:val="nil"/>
              <w:bottom w:val="single" w:sz="4" w:space="0" w:color="auto"/>
              <w:right w:val="single" w:sz="4" w:space="0" w:color="auto"/>
            </w:tcBorders>
            <w:shd w:val="clear" w:color="000000" w:fill="F58220"/>
            <w:noWrap/>
            <w:hideMark/>
          </w:tcPr>
          <w:p w14:paraId="1833C761" w14:textId="2B1A2942"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15467</w:t>
            </w:r>
          </w:p>
        </w:tc>
        <w:tc>
          <w:tcPr>
            <w:tcW w:w="1000" w:type="dxa"/>
            <w:tcBorders>
              <w:top w:val="nil"/>
              <w:left w:val="nil"/>
              <w:bottom w:val="single" w:sz="4" w:space="0" w:color="auto"/>
              <w:right w:val="single" w:sz="4" w:space="0" w:color="auto"/>
            </w:tcBorders>
            <w:shd w:val="clear" w:color="000000" w:fill="F58220"/>
            <w:noWrap/>
            <w:hideMark/>
          </w:tcPr>
          <w:p w14:paraId="1574986D" w14:textId="0FBC6F94"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1.4%</w:t>
            </w:r>
          </w:p>
        </w:tc>
        <w:tc>
          <w:tcPr>
            <w:tcW w:w="920" w:type="dxa"/>
            <w:tcBorders>
              <w:top w:val="nil"/>
              <w:left w:val="nil"/>
              <w:bottom w:val="single" w:sz="4" w:space="0" w:color="auto"/>
              <w:right w:val="single" w:sz="4" w:space="0" w:color="auto"/>
            </w:tcBorders>
            <w:shd w:val="clear" w:color="000000" w:fill="F58220"/>
            <w:noWrap/>
            <w:hideMark/>
          </w:tcPr>
          <w:p w14:paraId="35084C50" w14:textId="6D98257F"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-4.1%</w:t>
            </w:r>
          </w:p>
        </w:tc>
        <w:tc>
          <w:tcPr>
            <w:tcW w:w="1260" w:type="dxa"/>
            <w:tcBorders>
              <w:top w:val="nil"/>
              <w:left w:val="nil"/>
              <w:bottom w:val="single" w:sz="4" w:space="0" w:color="auto"/>
              <w:right w:val="single" w:sz="4" w:space="0" w:color="auto"/>
            </w:tcBorders>
            <w:shd w:val="clear" w:color="000000" w:fill="BFD730"/>
            <w:noWrap/>
            <w:hideMark/>
          </w:tcPr>
          <w:p w14:paraId="1A64742E" w14:textId="2E34D880"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9625</w:t>
            </w:r>
          </w:p>
        </w:tc>
        <w:tc>
          <w:tcPr>
            <w:tcW w:w="1040" w:type="dxa"/>
            <w:tcBorders>
              <w:top w:val="nil"/>
              <w:left w:val="nil"/>
              <w:bottom w:val="single" w:sz="4" w:space="0" w:color="auto"/>
              <w:right w:val="single" w:sz="4" w:space="0" w:color="auto"/>
            </w:tcBorders>
            <w:shd w:val="clear" w:color="000000" w:fill="BFD730"/>
            <w:noWrap/>
            <w:hideMark/>
          </w:tcPr>
          <w:p w14:paraId="1AC9B765" w14:textId="266A2EBE"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9594</w:t>
            </w:r>
          </w:p>
        </w:tc>
        <w:tc>
          <w:tcPr>
            <w:tcW w:w="1120" w:type="dxa"/>
            <w:tcBorders>
              <w:top w:val="nil"/>
              <w:left w:val="nil"/>
              <w:bottom w:val="single" w:sz="4" w:space="0" w:color="auto"/>
              <w:right w:val="single" w:sz="4" w:space="0" w:color="auto"/>
            </w:tcBorders>
            <w:shd w:val="clear" w:color="000000" w:fill="BFD730"/>
            <w:noWrap/>
            <w:hideMark/>
          </w:tcPr>
          <w:p w14:paraId="478D5763" w14:textId="782FD4CB"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6.2%</w:t>
            </w:r>
          </w:p>
        </w:tc>
        <w:tc>
          <w:tcPr>
            <w:tcW w:w="1000" w:type="dxa"/>
            <w:tcBorders>
              <w:top w:val="nil"/>
              <w:left w:val="nil"/>
              <w:bottom w:val="single" w:sz="4" w:space="0" w:color="auto"/>
              <w:right w:val="single" w:sz="4" w:space="0" w:color="auto"/>
            </w:tcBorders>
            <w:shd w:val="clear" w:color="000000" w:fill="BFD730"/>
            <w:noWrap/>
            <w:hideMark/>
          </w:tcPr>
          <w:p w14:paraId="145E4590" w14:textId="449732D9"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0.5%</w:t>
            </w:r>
          </w:p>
        </w:tc>
      </w:tr>
      <w:tr w:rsidR="00CA574E" w:rsidRPr="00CA64EB" w14:paraId="1F6579B2" w14:textId="77777777" w:rsidTr="00993DF8">
        <w:trPr>
          <w:trHeight w:val="288"/>
        </w:trPr>
        <w:tc>
          <w:tcPr>
            <w:tcW w:w="1120" w:type="dxa"/>
            <w:tcBorders>
              <w:top w:val="nil"/>
              <w:left w:val="single" w:sz="4" w:space="0" w:color="auto"/>
              <w:bottom w:val="single" w:sz="4" w:space="0" w:color="auto"/>
              <w:right w:val="single" w:sz="4" w:space="0" w:color="auto"/>
            </w:tcBorders>
            <w:shd w:val="clear" w:color="000000" w:fill="F58220"/>
            <w:vAlign w:val="bottom"/>
            <w:hideMark/>
          </w:tcPr>
          <w:p w14:paraId="1F886A46" w14:textId="77777777" w:rsidR="00CA574E" w:rsidRPr="003542C3" w:rsidRDefault="00CA574E" w:rsidP="00CA574E">
            <w:pPr>
              <w:spacing w:after="0" w:line="240" w:lineRule="auto"/>
              <w:rPr>
                <w:rFonts w:eastAsia="Times New Roman" w:cstheme="minorHAnsi"/>
                <w:b/>
                <w:bCs/>
                <w:lang w:eastAsia="en-ZA"/>
              </w:rPr>
            </w:pPr>
            <w:r w:rsidRPr="003542C3">
              <w:rPr>
                <w:rFonts w:eastAsia="Times New Roman" w:cstheme="minorHAnsi"/>
                <w:b/>
                <w:bCs/>
                <w:lang w:eastAsia="en-ZA"/>
              </w:rPr>
              <w:t>Mar-22</w:t>
            </w:r>
          </w:p>
        </w:tc>
        <w:tc>
          <w:tcPr>
            <w:tcW w:w="1160" w:type="dxa"/>
            <w:tcBorders>
              <w:top w:val="nil"/>
              <w:left w:val="nil"/>
              <w:bottom w:val="single" w:sz="4" w:space="0" w:color="auto"/>
              <w:right w:val="single" w:sz="4" w:space="0" w:color="auto"/>
            </w:tcBorders>
            <w:shd w:val="clear" w:color="000000" w:fill="F58220"/>
            <w:noWrap/>
            <w:hideMark/>
          </w:tcPr>
          <w:p w14:paraId="4F61B381" w14:textId="01E50140"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15055</w:t>
            </w:r>
          </w:p>
        </w:tc>
        <w:tc>
          <w:tcPr>
            <w:tcW w:w="1220" w:type="dxa"/>
            <w:tcBorders>
              <w:top w:val="nil"/>
              <w:left w:val="nil"/>
              <w:bottom w:val="single" w:sz="4" w:space="0" w:color="auto"/>
              <w:right w:val="single" w:sz="4" w:space="0" w:color="auto"/>
            </w:tcBorders>
            <w:shd w:val="clear" w:color="000000" w:fill="F58220"/>
            <w:noWrap/>
            <w:hideMark/>
          </w:tcPr>
          <w:p w14:paraId="72303EEA" w14:textId="109A074C"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14928</w:t>
            </w:r>
          </w:p>
        </w:tc>
        <w:tc>
          <w:tcPr>
            <w:tcW w:w="1000" w:type="dxa"/>
            <w:tcBorders>
              <w:top w:val="nil"/>
              <w:left w:val="nil"/>
              <w:bottom w:val="single" w:sz="4" w:space="0" w:color="auto"/>
              <w:right w:val="single" w:sz="4" w:space="0" w:color="auto"/>
            </w:tcBorders>
            <w:shd w:val="clear" w:color="000000" w:fill="F58220"/>
            <w:noWrap/>
            <w:hideMark/>
          </w:tcPr>
          <w:p w14:paraId="3FEA9C28" w14:textId="00660B62"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-0.2%</w:t>
            </w:r>
          </w:p>
        </w:tc>
        <w:tc>
          <w:tcPr>
            <w:tcW w:w="920" w:type="dxa"/>
            <w:tcBorders>
              <w:top w:val="nil"/>
              <w:left w:val="nil"/>
              <w:bottom w:val="single" w:sz="4" w:space="0" w:color="auto"/>
              <w:right w:val="single" w:sz="4" w:space="0" w:color="auto"/>
            </w:tcBorders>
            <w:shd w:val="clear" w:color="000000" w:fill="F58220"/>
            <w:noWrap/>
            <w:hideMark/>
          </w:tcPr>
          <w:p w14:paraId="26757BD5" w14:textId="5EB366F2"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-5.6%</w:t>
            </w:r>
          </w:p>
        </w:tc>
        <w:tc>
          <w:tcPr>
            <w:tcW w:w="1260" w:type="dxa"/>
            <w:tcBorders>
              <w:top w:val="nil"/>
              <w:left w:val="nil"/>
              <w:bottom w:val="single" w:sz="4" w:space="0" w:color="auto"/>
              <w:right w:val="single" w:sz="4" w:space="0" w:color="auto"/>
            </w:tcBorders>
            <w:shd w:val="clear" w:color="000000" w:fill="BFD730"/>
            <w:noWrap/>
            <w:hideMark/>
          </w:tcPr>
          <w:p w14:paraId="041C50EE" w14:textId="3171EF01"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9522</w:t>
            </w:r>
          </w:p>
        </w:tc>
        <w:tc>
          <w:tcPr>
            <w:tcW w:w="1040" w:type="dxa"/>
            <w:tcBorders>
              <w:top w:val="nil"/>
              <w:left w:val="nil"/>
              <w:bottom w:val="single" w:sz="4" w:space="0" w:color="auto"/>
              <w:right w:val="single" w:sz="4" w:space="0" w:color="auto"/>
            </w:tcBorders>
            <w:shd w:val="clear" w:color="000000" w:fill="BFD730"/>
            <w:noWrap/>
            <w:hideMark/>
          </w:tcPr>
          <w:p w14:paraId="4D5976ED" w14:textId="1D7BC627"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9474</w:t>
            </w:r>
          </w:p>
        </w:tc>
        <w:tc>
          <w:tcPr>
            <w:tcW w:w="1120" w:type="dxa"/>
            <w:tcBorders>
              <w:top w:val="nil"/>
              <w:left w:val="nil"/>
              <w:bottom w:val="single" w:sz="4" w:space="0" w:color="auto"/>
              <w:right w:val="single" w:sz="4" w:space="0" w:color="auto"/>
            </w:tcBorders>
            <w:shd w:val="clear" w:color="000000" w:fill="BFD730"/>
            <w:noWrap/>
            <w:hideMark/>
          </w:tcPr>
          <w:p w14:paraId="7C345256" w14:textId="73AF774D"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5.5%</w:t>
            </w:r>
          </w:p>
        </w:tc>
        <w:tc>
          <w:tcPr>
            <w:tcW w:w="1000" w:type="dxa"/>
            <w:tcBorders>
              <w:top w:val="nil"/>
              <w:left w:val="nil"/>
              <w:bottom w:val="single" w:sz="4" w:space="0" w:color="auto"/>
              <w:right w:val="single" w:sz="4" w:space="0" w:color="auto"/>
            </w:tcBorders>
            <w:shd w:val="clear" w:color="000000" w:fill="BFD730"/>
            <w:noWrap/>
            <w:hideMark/>
          </w:tcPr>
          <w:p w14:paraId="7E47B130" w14:textId="3BCF127F"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-0.4%</w:t>
            </w:r>
          </w:p>
        </w:tc>
      </w:tr>
      <w:tr w:rsidR="00CA574E" w:rsidRPr="00CA64EB" w14:paraId="111C796A" w14:textId="77777777" w:rsidTr="00993DF8">
        <w:trPr>
          <w:trHeight w:val="276"/>
        </w:trPr>
        <w:tc>
          <w:tcPr>
            <w:tcW w:w="1120" w:type="dxa"/>
            <w:tcBorders>
              <w:top w:val="nil"/>
              <w:left w:val="single" w:sz="4" w:space="0" w:color="auto"/>
              <w:bottom w:val="single" w:sz="4" w:space="0" w:color="auto"/>
              <w:right w:val="single" w:sz="4" w:space="0" w:color="auto"/>
            </w:tcBorders>
            <w:shd w:val="clear" w:color="000000" w:fill="F58220"/>
            <w:vAlign w:val="bottom"/>
            <w:hideMark/>
          </w:tcPr>
          <w:p w14:paraId="12FA73DD" w14:textId="77777777" w:rsidR="00CA574E" w:rsidRPr="003542C3" w:rsidRDefault="00CA574E" w:rsidP="00CA574E">
            <w:pPr>
              <w:spacing w:after="0" w:line="240" w:lineRule="auto"/>
              <w:rPr>
                <w:rFonts w:eastAsia="Times New Roman" w:cstheme="minorHAnsi"/>
                <w:b/>
                <w:bCs/>
                <w:lang w:eastAsia="en-ZA"/>
              </w:rPr>
            </w:pPr>
            <w:r w:rsidRPr="003542C3">
              <w:rPr>
                <w:rFonts w:eastAsia="Times New Roman" w:cstheme="minorHAnsi"/>
                <w:b/>
                <w:bCs/>
                <w:lang w:eastAsia="en-ZA"/>
              </w:rPr>
              <w:t>Apr-22</w:t>
            </w:r>
          </w:p>
        </w:tc>
        <w:tc>
          <w:tcPr>
            <w:tcW w:w="1160" w:type="dxa"/>
            <w:tcBorders>
              <w:top w:val="nil"/>
              <w:left w:val="nil"/>
              <w:bottom w:val="single" w:sz="4" w:space="0" w:color="auto"/>
              <w:right w:val="single" w:sz="4" w:space="0" w:color="auto"/>
            </w:tcBorders>
            <w:shd w:val="clear" w:color="000000" w:fill="F58220"/>
            <w:noWrap/>
            <w:hideMark/>
          </w:tcPr>
          <w:p w14:paraId="2D3BA2BA" w14:textId="7639F9E9"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15301</w:t>
            </w:r>
          </w:p>
        </w:tc>
        <w:tc>
          <w:tcPr>
            <w:tcW w:w="1220" w:type="dxa"/>
            <w:tcBorders>
              <w:top w:val="nil"/>
              <w:left w:val="nil"/>
              <w:bottom w:val="single" w:sz="4" w:space="0" w:color="auto"/>
              <w:right w:val="single" w:sz="4" w:space="0" w:color="auto"/>
            </w:tcBorders>
            <w:shd w:val="clear" w:color="000000" w:fill="F58220"/>
            <w:noWrap/>
            <w:hideMark/>
          </w:tcPr>
          <w:p w14:paraId="63DE914F" w14:textId="7DFE8CEB"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15168</w:t>
            </w:r>
          </w:p>
        </w:tc>
        <w:tc>
          <w:tcPr>
            <w:tcW w:w="1000" w:type="dxa"/>
            <w:tcBorders>
              <w:top w:val="nil"/>
              <w:left w:val="nil"/>
              <w:bottom w:val="single" w:sz="4" w:space="0" w:color="auto"/>
              <w:right w:val="single" w:sz="4" w:space="0" w:color="auto"/>
            </w:tcBorders>
            <w:shd w:val="clear" w:color="000000" w:fill="F58220"/>
            <w:noWrap/>
            <w:hideMark/>
          </w:tcPr>
          <w:p w14:paraId="6C79786F" w14:textId="7416C88E"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0.1%</w:t>
            </w:r>
          </w:p>
        </w:tc>
        <w:tc>
          <w:tcPr>
            <w:tcW w:w="920" w:type="dxa"/>
            <w:tcBorders>
              <w:top w:val="nil"/>
              <w:left w:val="nil"/>
              <w:bottom w:val="single" w:sz="4" w:space="0" w:color="auto"/>
              <w:right w:val="single" w:sz="4" w:space="0" w:color="auto"/>
            </w:tcBorders>
            <w:shd w:val="clear" w:color="000000" w:fill="F58220"/>
            <w:noWrap/>
            <w:hideMark/>
          </w:tcPr>
          <w:p w14:paraId="0B0E3A61" w14:textId="3AF09E82"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-5.4%</w:t>
            </w:r>
          </w:p>
        </w:tc>
        <w:tc>
          <w:tcPr>
            <w:tcW w:w="1260" w:type="dxa"/>
            <w:tcBorders>
              <w:top w:val="nil"/>
              <w:left w:val="nil"/>
              <w:bottom w:val="single" w:sz="4" w:space="0" w:color="auto"/>
              <w:right w:val="single" w:sz="4" w:space="0" w:color="auto"/>
            </w:tcBorders>
            <w:shd w:val="clear" w:color="000000" w:fill="BFD730"/>
            <w:noWrap/>
            <w:hideMark/>
          </w:tcPr>
          <w:p w14:paraId="3BE25F0D" w14:textId="113D5E7F"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9412</w:t>
            </w:r>
          </w:p>
        </w:tc>
        <w:tc>
          <w:tcPr>
            <w:tcW w:w="1040" w:type="dxa"/>
            <w:tcBorders>
              <w:top w:val="nil"/>
              <w:left w:val="nil"/>
              <w:bottom w:val="single" w:sz="4" w:space="0" w:color="auto"/>
              <w:right w:val="single" w:sz="4" w:space="0" w:color="auto"/>
            </w:tcBorders>
            <w:shd w:val="clear" w:color="000000" w:fill="BFD730"/>
            <w:noWrap/>
            <w:hideMark/>
          </w:tcPr>
          <w:p w14:paraId="766537F5" w14:textId="2560F171"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9355</w:t>
            </w:r>
          </w:p>
        </w:tc>
        <w:tc>
          <w:tcPr>
            <w:tcW w:w="1120" w:type="dxa"/>
            <w:tcBorders>
              <w:top w:val="nil"/>
              <w:left w:val="nil"/>
              <w:bottom w:val="single" w:sz="4" w:space="0" w:color="auto"/>
              <w:right w:val="single" w:sz="4" w:space="0" w:color="auto"/>
            </w:tcBorders>
            <w:shd w:val="clear" w:color="000000" w:fill="BFD730"/>
            <w:noWrap/>
            <w:hideMark/>
          </w:tcPr>
          <w:p w14:paraId="2420A1B9" w14:textId="178A823B"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3.6%</w:t>
            </w:r>
          </w:p>
        </w:tc>
        <w:tc>
          <w:tcPr>
            <w:tcW w:w="1000" w:type="dxa"/>
            <w:tcBorders>
              <w:top w:val="nil"/>
              <w:left w:val="nil"/>
              <w:bottom w:val="single" w:sz="4" w:space="0" w:color="auto"/>
              <w:right w:val="single" w:sz="4" w:space="0" w:color="auto"/>
            </w:tcBorders>
            <w:shd w:val="clear" w:color="000000" w:fill="BFD730"/>
            <w:noWrap/>
            <w:hideMark/>
          </w:tcPr>
          <w:p w14:paraId="12E90975" w14:textId="63130F77"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-2.1%</w:t>
            </w:r>
          </w:p>
        </w:tc>
      </w:tr>
      <w:tr w:rsidR="00CA574E" w:rsidRPr="00CA64EB" w14:paraId="78E96585" w14:textId="77777777" w:rsidTr="00993DF8">
        <w:trPr>
          <w:trHeight w:val="288"/>
        </w:trPr>
        <w:tc>
          <w:tcPr>
            <w:tcW w:w="1120" w:type="dxa"/>
            <w:tcBorders>
              <w:top w:val="nil"/>
              <w:left w:val="single" w:sz="4" w:space="0" w:color="auto"/>
              <w:bottom w:val="single" w:sz="4" w:space="0" w:color="auto"/>
              <w:right w:val="single" w:sz="4" w:space="0" w:color="auto"/>
            </w:tcBorders>
            <w:shd w:val="clear" w:color="000000" w:fill="F58220"/>
            <w:vAlign w:val="bottom"/>
            <w:hideMark/>
          </w:tcPr>
          <w:p w14:paraId="0C6A9BEC" w14:textId="77777777" w:rsidR="00CA574E" w:rsidRPr="003542C3" w:rsidRDefault="00CA574E" w:rsidP="00CA574E">
            <w:pPr>
              <w:spacing w:after="0" w:line="240" w:lineRule="auto"/>
              <w:rPr>
                <w:rFonts w:eastAsia="Times New Roman" w:cstheme="minorHAnsi"/>
                <w:b/>
                <w:bCs/>
                <w:lang w:eastAsia="en-ZA"/>
              </w:rPr>
            </w:pPr>
            <w:r w:rsidRPr="003542C3">
              <w:rPr>
                <w:rFonts w:eastAsia="Times New Roman" w:cstheme="minorHAnsi"/>
                <w:b/>
                <w:bCs/>
                <w:lang w:eastAsia="en-ZA"/>
              </w:rPr>
              <w:t>May-22</w:t>
            </w:r>
          </w:p>
        </w:tc>
        <w:tc>
          <w:tcPr>
            <w:tcW w:w="1160" w:type="dxa"/>
            <w:tcBorders>
              <w:top w:val="nil"/>
              <w:left w:val="nil"/>
              <w:bottom w:val="single" w:sz="4" w:space="0" w:color="auto"/>
              <w:right w:val="single" w:sz="4" w:space="0" w:color="auto"/>
            </w:tcBorders>
            <w:shd w:val="clear" w:color="000000" w:fill="F58220"/>
            <w:noWrap/>
            <w:hideMark/>
          </w:tcPr>
          <w:p w14:paraId="70EC59FD" w14:textId="1443AFA8"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14855</w:t>
            </w:r>
          </w:p>
        </w:tc>
        <w:tc>
          <w:tcPr>
            <w:tcW w:w="1220" w:type="dxa"/>
            <w:tcBorders>
              <w:top w:val="nil"/>
              <w:left w:val="nil"/>
              <w:bottom w:val="single" w:sz="4" w:space="0" w:color="auto"/>
              <w:right w:val="single" w:sz="4" w:space="0" w:color="auto"/>
            </w:tcBorders>
            <w:shd w:val="clear" w:color="000000" w:fill="F58220"/>
            <w:noWrap/>
            <w:hideMark/>
          </w:tcPr>
          <w:p w14:paraId="36453406" w14:textId="0B517EB1"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14672</w:t>
            </w:r>
          </w:p>
        </w:tc>
        <w:tc>
          <w:tcPr>
            <w:tcW w:w="1000" w:type="dxa"/>
            <w:tcBorders>
              <w:top w:val="nil"/>
              <w:left w:val="nil"/>
              <w:bottom w:val="single" w:sz="4" w:space="0" w:color="auto"/>
              <w:right w:val="single" w:sz="4" w:space="0" w:color="auto"/>
            </w:tcBorders>
            <w:shd w:val="clear" w:color="000000" w:fill="F58220"/>
            <w:noWrap/>
            <w:hideMark/>
          </w:tcPr>
          <w:p w14:paraId="17E9A06D" w14:textId="5C046E64"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-1.0%</w:t>
            </w:r>
          </w:p>
        </w:tc>
        <w:tc>
          <w:tcPr>
            <w:tcW w:w="920" w:type="dxa"/>
            <w:tcBorders>
              <w:top w:val="nil"/>
              <w:left w:val="nil"/>
              <w:bottom w:val="single" w:sz="4" w:space="0" w:color="auto"/>
              <w:right w:val="single" w:sz="4" w:space="0" w:color="auto"/>
            </w:tcBorders>
            <w:shd w:val="clear" w:color="000000" w:fill="F58220"/>
            <w:noWrap/>
            <w:hideMark/>
          </w:tcPr>
          <w:p w14:paraId="78BC2BB1" w14:textId="2FF73904"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-6.7%</w:t>
            </w:r>
          </w:p>
        </w:tc>
        <w:tc>
          <w:tcPr>
            <w:tcW w:w="1260" w:type="dxa"/>
            <w:tcBorders>
              <w:top w:val="nil"/>
              <w:left w:val="nil"/>
              <w:bottom w:val="single" w:sz="4" w:space="0" w:color="auto"/>
              <w:right w:val="single" w:sz="4" w:space="0" w:color="auto"/>
            </w:tcBorders>
            <w:shd w:val="clear" w:color="000000" w:fill="BFD730"/>
            <w:noWrap/>
            <w:hideMark/>
          </w:tcPr>
          <w:p w14:paraId="65E52B0C" w14:textId="1E978C76"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9681</w:t>
            </w:r>
          </w:p>
        </w:tc>
        <w:tc>
          <w:tcPr>
            <w:tcW w:w="1040" w:type="dxa"/>
            <w:tcBorders>
              <w:top w:val="nil"/>
              <w:left w:val="nil"/>
              <w:bottom w:val="single" w:sz="4" w:space="0" w:color="auto"/>
              <w:right w:val="single" w:sz="4" w:space="0" w:color="auto"/>
            </w:tcBorders>
            <w:shd w:val="clear" w:color="000000" w:fill="BFD730"/>
            <w:noWrap/>
            <w:hideMark/>
          </w:tcPr>
          <w:p w14:paraId="23B14E0B" w14:textId="55AEE91E"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9570</w:t>
            </w:r>
          </w:p>
        </w:tc>
        <w:tc>
          <w:tcPr>
            <w:tcW w:w="1120" w:type="dxa"/>
            <w:tcBorders>
              <w:top w:val="nil"/>
              <w:left w:val="nil"/>
              <w:bottom w:val="single" w:sz="4" w:space="0" w:color="auto"/>
              <w:right w:val="single" w:sz="4" w:space="0" w:color="auto"/>
            </w:tcBorders>
            <w:shd w:val="clear" w:color="000000" w:fill="BFD730"/>
            <w:noWrap/>
            <w:hideMark/>
          </w:tcPr>
          <w:p w14:paraId="640BB7F0" w14:textId="4689232C"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8.3%</w:t>
            </w:r>
          </w:p>
        </w:tc>
        <w:tc>
          <w:tcPr>
            <w:tcW w:w="1000" w:type="dxa"/>
            <w:tcBorders>
              <w:top w:val="nil"/>
              <w:left w:val="nil"/>
              <w:bottom w:val="single" w:sz="4" w:space="0" w:color="auto"/>
              <w:right w:val="single" w:sz="4" w:space="0" w:color="auto"/>
            </w:tcBorders>
            <w:shd w:val="clear" w:color="000000" w:fill="BFD730"/>
            <w:noWrap/>
            <w:hideMark/>
          </w:tcPr>
          <w:p w14:paraId="309C5804" w14:textId="1157FA66"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1.7%</w:t>
            </w:r>
          </w:p>
        </w:tc>
      </w:tr>
      <w:tr w:rsidR="00CA574E" w:rsidRPr="00CA64EB" w14:paraId="27F7EE34" w14:textId="77777777" w:rsidTr="00993DF8">
        <w:trPr>
          <w:trHeight w:val="288"/>
        </w:trPr>
        <w:tc>
          <w:tcPr>
            <w:tcW w:w="1120" w:type="dxa"/>
            <w:tcBorders>
              <w:top w:val="single" w:sz="4" w:space="0" w:color="auto"/>
              <w:left w:val="single" w:sz="4" w:space="0" w:color="auto"/>
              <w:bottom w:val="single" w:sz="4" w:space="0" w:color="auto"/>
              <w:right w:val="single" w:sz="4" w:space="0" w:color="auto"/>
            </w:tcBorders>
            <w:shd w:val="clear" w:color="000000" w:fill="F58220"/>
            <w:vAlign w:val="bottom"/>
            <w:hideMark/>
          </w:tcPr>
          <w:p w14:paraId="2CE897E1" w14:textId="77777777" w:rsidR="00CA574E" w:rsidRPr="003542C3" w:rsidRDefault="00CA574E" w:rsidP="00CA574E">
            <w:pPr>
              <w:spacing w:after="0" w:line="240" w:lineRule="auto"/>
              <w:rPr>
                <w:rFonts w:eastAsia="Times New Roman" w:cstheme="minorHAnsi"/>
                <w:b/>
                <w:bCs/>
                <w:lang w:eastAsia="en-ZA"/>
              </w:rPr>
            </w:pPr>
            <w:r w:rsidRPr="003542C3">
              <w:rPr>
                <w:rFonts w:eastAsia="Times New Roman" w:cstheme="minorHAnsi"/>
                <w:b/>
                <w:bCs/>
                <w:lang w:eastAsia="en-ZA"/>
              </w:rPr>
              <w:t>Jun-22</w:t>
            </w:r>
          </w:p>
        </w:tc>
        <w:tc>
          <w:tcPr>
            <w:tcW w:w="1160" w:type="dxa"/>
            <w:tcBorders>
              <w:top w:val="single" w:sz="4" w:space="0" w:color="auto"/>
              <w:left w:val="nil"/>
              <w:bottom w:val="single" w:sz="4" w:space="0" w:color="auto"/>
              <w:right w:val="single" w:sz="4" w:space="0" w:color="auto"/>
            </w:tcBorders>
            <w:shd w:val="clear" w:color="000000" w:fill="F58220"/>
            <w:noWrap/>
            <w:hideMark/>
          </w:tcPr>
          <w:p w14:paraId="72175040" w14:textId="31A9DC7A"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14618</w:t>
            </w:r>
          </w:p>
        </w:tc>
        <w:tc>
          <w:tcPr>
            <w:tcW w:w="1220" w:type="dxa"/>
            <w:tcBorders>
              <w:top w:val="single" w:sz="4" w:space="0" w:color="auto"/>
              <w:left w:val="nil"/>
              <w:bottom w:val="single" w:sz="4" w:space="0" w:color="auto"/>
              <w:right w:val="single" w:sz="4" w:space="0" w:color="auto"/>
            </w:tcBorders>
            <w:shd w:val="clear" w:color="000000" w:fill="F58220"/>
            <w:noWrap/>
            <w:hideMark/>
          </w:tcPr>
          <w:p w14:paraId="036EAC54" w14:textId="1ECD85D8"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14365</w:t>
            </w:r>
          </w:p>
        </w:tc>
        <w:tc>
          <w:tcPr>
            <w:tcW w:w="1000" w:type="dxa"/>
            <w:tcBorders>
              <w:top w:val="single" w:sz="4" w:space="0" w:color="auto"/>
              <w:left w:val="nil"/>
              <w:bottom w:val="single" w:sz="4" w:space="0" w:color="auto"/>
              <w:right w:val="single" w:sz="4" w:space="0" w:color="auto"/>
            </w:tcBorders>
            <w:shd w:val="clear" w:color="000000" w:fill="F58220"/>
            <w:noWrap/>
            <w:hideMark/>
          </w:tcPr>
          <w:p w14:paraId="47D5B668" w14:textId="52F4D4F2"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-1.8%</w:t>
            </w:r>
          </w:p>
        </w:tc>
        <w:tc>
          <w:tcPr>
            <w:tcW w:w="920" w:type="dxa"/>
            <w:tcBorders>
              <w:top w:val="single" w:sz="4" w:space="0" w:color="auto"/>
              <w:left w:val="nil"/>
              <w:bottom w:val="single" w:sz="4" w:space="0" w:color="auto"/>
              <w:right w:val="single" w:sz="4" w:space="0" w:color="auto"/>
            </w:tcBorders>
            <w:shd w:val="clear" w:color="000000" w:fill="F58220"/>
            <w:noWrap/>
            <w:hideMark/>
          </w:tcPr>
          <w:p w14:paraId="6CC38DD8" w14:textId="543EC418"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-7.8%</w:t>
            </w:r>
          </w:p>
        </w:tc>
        <w:tc>
          <w:tcPr>
            <w:tcW w:w="1260" w:type="dxa"/>
            <w:tcBorders>
              <w:top w:val="single" w:sz="4" w:space="0" w:color="auto"/>
              <w:left w:val="nil"/>
              <w:bottom w:val="single" w:sz="4" w:space="0" w:color="auto"/>
              <w:right w:val="single" w:sz="4" w:space="0" w:color="auto"/>
            </w:tcBorders>
            <w:shd w:val="clear" w:color="000000" w:fill="BFD730"/>
            <w:noWrap/>
            <w:hideMark/>
          </w:tcPr>
          <w:p w14:paraId="25257E0C" w14:textId="1D2B1DC6"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10073</w:t>
            </w:r>
          </w:p>
        </w:tc>
        <w:tc>
          <w:tcPr>
            <w:tcW w:w="1040" w:type="dxa"/>
            <w:tcBorders>
              <w:top w:val="single" w:sz="4" w:space="0" w:color="auto"/>
              <w:left w:val="nil"/>
              <w:bottom w:val="single" w:sz="4" w:space="0" w:color="auto"/>
              <w:right w:val="single" w:sz="4" w:space="0" w:color="auto"/>
            </w:tcBorders>
            <w:shd w:val="clear" w:color="000000" w:fill="BFD730"/>
            <w:noWrap/>
            <w:hideMark/>
          </w:tcPr>
          <w:p w14:paraId="2A615F76" w14:textId="23421F6B"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9687</w:t>
            </w:r>
          </w:p>
        </w:tc>
        <w:tc>
          <w:tcPr>
            <w:tcW w:w="1120" w:type="dxa"/>
            <w:tcBorders>
              <w:top w:val="single" w:sz="4" w:space="0" w:color="auto"/>
              <w:left w:val="nil"/>
              <w:bottom w:val="single" w:sz="4" w:space="0" w:color="auto"/>
              <w:right w:val="single" w:sz="4" w:space="0" w:color="auto"/>
            </w:tcBorders>
            <w:shd w:val="clear" w:color="000000" w:fill="BFD730"/>
            <w:noWrap/>
            <w:hideMark/>
          </w:tcPr>
          <w:p w14:paraId="7498082F" w14:textId="5D16DEC6"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9.1%</w:t>
            </w:r>
          </w:p>
        </w:tc>
        <w:tc>
          <w:tcPr>
            <w:tcW w:w="1000" w:type="dxa"/>
            <w:tcBorders>
              <w:top w:val="single" w:sz="4" w:space="0" w:color="auto"/>
              <w:left w:val="nil"/>
              <w:bottom w:val="single" w:sz="4" w:space="0" w:color="auto"/>
              <w:right w:val="single" w:sz="4" w:space="0" w:color="auto"/>
            </w:tcBorders>
            <w:shd w:val="clear" w:color="000000" w:fill="BFD730"/>
            <w:noWrap/>
            <w:hideMark/>
          </w:tcPr>
          <w:p w14:paraId="077ED682" w14:textId="65A4E5AF"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1.5%</w:t>
            </w:r>
          </w:p>
        </w:tc>
      </w:tr>
      <w:tr w:rsidR="00CA574E" w:rsidRPr="00CA64EB" w14:paraId="6E1BE193" w14:textId="77777777" w:rsidTr="00993DF8">
        <w:trPr>
          <w:trHeight w:val="288"/>
        </w:trPr>
        <w:tc>
          <w:tcPr>
            <w:tcW w:w="1120" w:type="dxa"/>
            <w:tcBorders>
              <w:top w:val="single" w:sz="4" w:space="0" w:color="auto"/>
              <w:left w:val="single" w:sz="4" w:space="0" w:color="auto"/>
              <w:bottom w:val="single" w:sz="4" w:space="0" w:color="auto"/>
              <w:right w:val="single" w:sz="4" w:space="0" w:color="auto"/>
            </w:tcBorders>
            <w:shd w:val="clear" w:color="000000" w:fill="F58220"/>
            <w:vAlign w:val="bottom"/>
          </w:tcPr>
          <w:p w14:paraId="2277A552" w14:textId="10554912" w:rsidR="00CA574E" w:rsidRPr="003542C3" w:rsidRDefault="00CA574E" w:rsidP="00CA574E">
            <w:pPr>
              <w:spacing w:after="0" w:line="240" w:lineRule="auto"/>
              <w:rPr>
                <w:rFonts w:eastAsia="Times New Roman" w:cstheme="minorHAnsi"/>
                <w:b/>
                <w:bCs/>
                <w:lang w:eastAsia="en-ZA"/>
              </w:rPr>
            </w:pPr>
            <w:r>
              <w:rPr>
                <w:rFonts w:eastAsia="Times New Roman" w:cstheme="minorHAnsi"/>
                <w:b/>
                <w:bCs/>
                <w:lang w:eastAsia="en-ZA"/>
              </w:rPr>
              <w:t>Jul-22</w:t>
            </w:r>
          </w:p>
        </w:tc>
        <w:tc>
          <w:tcPr>
            <w:tcW w:w="1160" w:type="dxa"/>
            <w:tcBorders>
              <w:top w:val="single" w:sz="4" w:space="0" w:color="auto"/>
              <w:left w:val="nil"/>
              <w:bottom w:val="single" w:sz="4" w:space="0" w:color="auto"/>
              <w:right w:val="single" w:sz="4" w:space="0" w:color="auto"/>
            </w:tcBorders>
            <w:shd w:val="clear" w:color="000000" w:fill="F58220"/>
            <w:noWrap/>
          </w:tcPr>
          <w:p w14:paraId="630E0950" w14:textId="020C4D8F"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14340</w:t>
            </w:r>
          </w:p>
        </w:tc>
        <w:tc>
          <w:tcPr>
            <w:tcW w:w="1220" w:type="dxa"/>
            <w:tcBorders>
              <w:top w:val="single" w:sz="4" w:space="0" w:color="auto"/>
              <w:left w:val="nil"/>
              <w:bottom w:val="single" w:sz="4" w:space="0" w:color="auto"/>
              <w:right w:val="single" w:sz="4" w:space="0" w:color="auto"/>
            </w:tcBorders>
            <w:shd w:val="clear" w:color="000000" w:fill="F58220"/>
            <w:noWrap/>
          </w:tcPr>
          <w:p w14:paraId="2C8829B1" w14:textId="2D081867"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13990</w:t>
            </w:r>
          </w:p>
        </w:tc>
        <w:tc>
          <w:tcPr>
            <w:tcW w:w="1000" w:type="dxa"/>
            <w:tcBorders>
              <w:top w:val="single" w:sz="4" w:space="0" w:color="auto"/>
              <w:left w:val="nil"/>
              <w:bottom w:val="single" w:sz="4" w:space="0" w:color="auto"/>
              <w:right w:val="single" w:sz="4" w:space="0" w:color="auto"/>
            </w:tcBorders>
            <w:shd w:val="clear" w:color="000000" w:fill="F58220"/>
            <w:noWrap/>
          </w:tcPr>
          <w:p w14:paraId="7EB426CA" w14:textId="2A9CFCC4"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-0.9%</w:t>
            </w:r>
          </w:p>
        </w:tc>
        <w:tc>
          <w:tcPr>
            <w:tcW w:w="920" w:type="dxa"/>
            <w:tcBorders>
              <w:top w:val="single" w:sz="4" w:space="0" w:color="auto"/>
              <w:left w:val="nil"/>
              <w:bottom w:val="single" w:sz="4" w:space="0" w:color="auto"/>
              <w:right w:val="single" w:sz="4" w:space="0" w:color="auto"/>
            </w:tcBorders>
            <w:shd w:val="clear" w:color="000000" w:fill="F58220"/>
            <w:noWrap/>
          </w:tcPr>
          <w:p w14:paraId="60411C20" w14:textId="6399B169" w:rsidR="00CA574E" w:rsidRPr="00CA64EB" w:rsidRDefault="00CA574E" w:rsidP="00CA574E">
            <w:pPr>
              <w:spacing w:after="0" w:line="240" w:lineRule="auto"/>
              <w:jc w:val="center"/>
              <w:rPr>
                <w:rFonts w:ascii="Calibri" w:eastAsia="Times New Roman" w:hAnsi="Calibri" w:cs="Calibri"/>
                <w:b/>
                <w:bCs/>
                <w:lang w:eastAsia="en-ZA"/>
              </w:rPr>
            </w:pPr>
            <w:r>
              <w:rPr>
                <w:rFonts w:ascii="Calibri" w:hAnsi="Calibri" w:cs="Calibri"/>
                <w:b/>
                <w:bCs/>
                <w:color w:val="000000"/>
              </w:rPr>
              <w:t>-7.6%</w:t>
            </w:r>
          </w:p>
        </w:tc>
        <w:tc>
          <w:tcPr>
            <w:tcW w:w="1260" w:type="dxa"/>
            <w:tcBorders>
              <w:top w:val="single" w:sz="4" w:space="0" w:color="auto"/>
              <w:left w:val="nil"/>
              <w:bottom w:val="single" w:sz="4" w:space="0" w:color="auto"/>
              <w:right w:val="single" w:sz="4" w:space="0" w:color="auto"/>
            </w:tcBorders>
            <w:shd w:val="clear" w:color="000000" w:fill="BFD730"/>
            <w:noWrap/>
          </w:tcPr>
          <w:p w14:paraId="3CE0E47F" w14:textId="1A37EA8E"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10226</w:t>
            </w:r>
          </w:p>
        </w:tc>
        <w:tc>
          <w:tcPr>
            <w:tcW w:w="1040" w:type="dxa"/>
            <w:tcBorders>
              <w:top w:val="single" w:sz="4" w:space="0" w:color="auto"/>
              <w:left w:val="nil"/>
              <w:bottom w:val="single" w:sz="4" w:space="0" w:color="auto"/>
              <w:right w:val="single" w:sz="4" w:space="0" w:color="auto"/>
            </w:tcBorders>
            <w:shd w:val="clear" w:color="000000" w:fill="BFD730"/>
            <w:noWrap/>
          </w:tcPr>
          <w:p w14:paraId="1AAAB30E" w14:textId="6E2E0228"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9773</w:t>
            </w:r>
          </w:p>
        </w:tc>
        <w:tc>
          <w:tcPr>
            <w:tcW w:w="1120" w:type="dxa"/>
            <w:tcBorders>
              <w:top w:val="single" w:sz="4" w:space="0" w:color="auto"/>
              <w:left w:val="nil"/>
              <w:bottom w:val="single" w:sz="4" w:space="0" w:color="auto"/>
              <w:right w:val="single" w:sz="4" w:space="0" w:color="auto"/>
            </w:tcBorders>
            <w:shd w:val="clear" w:color="000000" w:fill="BFD730"/>
            <w:noWrap/>
          </w:tcPr>
          <w:p w14:paraId="21A3EE8A" w14:textId="761597B0"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10.9%</w:t>
            </w:r>
          </w:p>
        </w:tc>
        <w:tc>
          <w:tcPr>
            <w:tcW w:w="1000" w:type="dxa"/>
            <w:tcBorders>
              <w:top w:val="single" w:sz="4" w:space="0" w:color="auto"/>
              <w:left w:val="nil"/>
              <w:bottom w:val="single" w:sz="4" w:space="0" w:color="auto"/>
              <w:right w:val="single" w:sz="4" w:space="0" w:color="auto"/>
            </w:tcBorders>
            <w:shd w:val="clear" w:color="000000" w:fill="BFD730"/>
            <w:noWrap/>
          </w:tcPr>
          <w:p w14:paraId="2902DE6E" w14:textId="35692F27" w:rsidR="00CA574E" w:rsidRPr="00CA64EB" w:rsidRDefault="00CA574E" w:rsidP="00CA574E">
            <w:pPr>
              <w:spacing w:after="0" w:line="240" w:lineRule="auto"/>
              <w:jc w:val="center"/>
              <w:rPr>
                <w:rFonts w:ascii="Calibri" w:eastAsia="Times New Roman" w:hAnsi="Calibri" w:cs="Calibri"/>
                <w:b/>
                <w:bCs/>
                <w:color w:val="000000"/>
                <w:lang w:eastAsia="en-ZA"/>
              </w:rPr>
            </w:pPr>
            <w:r>
              <w:rPr>
                <w:rFonts w:ascii="Calibri" w:hAnsi="Calibri" w:cs="Calibri"/>
                <w:b/>
                <w:bCs/>
                <w:color w:val="000000"/>
              </w:rPr>
              <w:t>2.8%</w:t>
            </w:r>
          </w:p>
        </w:tc>
      </w:tr>
    </w:tbl>
    <w:p w14:paraId="7A2DAE8F" w14:textId="5CDB33D9" w:rsidR="00E97A60" w:rsidRPr="00DB2707" w:rsidRDefault="000868E5" w:rsidP="00DB2707">
      <w:pPr>
        <w:rPr>
          <w:rFonts w:ascii="Tahoma" w:hAnsi="Tahoma" w:cs="Tahoma"/>
          <w:color w:val="333333"/>
          <w:sz w:val="21"/>
          <w:szCs w:val="21"/>
          <w:shd w:val="clear" w:color="auto" w:fill="FFFFFF"/>
        </w:rPr>
      </w:pPr>
      <w:r w:rsidRPr="00990898">
        <w:rPr>
          <w:i/>
        </w:rPr>
        <w:t>Source: BankservAfri</w:t>
      </w:r>
      <w:r w:rsidR="006F6492">
        <w:rPr>
          <w:i/>
        </w:rPr>
        <w:t>c</w:t>
      </w:r>
      <w:r w:rsidRPr="00990898">
        <w:rPr>
          <w:i/>
        </w:rPr>
        <w:t xml:space="preserve">a </w:t>
      </w:r>
      <w:bookmarkEnd w:id="0"/>
    </w:p>
    <w:p w14:paraId="35717E46" w14:textId="671CE650" w:rsidR="00801176" w:rsidRPr="0027534C" w:rsidRDefault="0022447F" w:rsidP="001E7274">
      <w:pPr>
        <w:pStyle w:val="Body"/>
        <w:jc w:val="both"/>
        <w:rPr>
          <w:sz w:val="20"/>
          <w:szCs w:val="20"/>
        </w:rPr>
      </w:pPr>
      <w:bookmarkStart w:id="10" w:name="_Hlk112740514"/>
      <w:r w:rsidRPr="0027534C">
        <w:rPr>
          <w:b/>
          <w:bCs/>
          <w:sz w:val="20"/>
          <w:szCs w:val="20"/>
          <w:lang w:val="en-US"/>
        </w:rPr>
        <w:t>About the BTPI</w:t>
      </w:r>
    </w:p>
    <w:p w14:paraId="4D2066D0" w14:textId="1B65FFF2" w:rsidR="00A7119A" w:rsidRPr="0027534C" w:rsidRDefault="00666A18" w:rsidP="001E7274">
      <w:pPr>
        <w:shd w:val="clear" w:color="auto" w:fill="FFFFFF" w:themeFill="background1"/>
        <w:rPr>
          <w:sz w:val="20"/>
          <w:szCs w:val="20"/>
        </w:rPr>
      </w:pPr>
      <w:r w:rsidRPr="0027534C">
        <w:rPr>
          <w:color w:val="000000" w:themeColor="text1"/>
          <w:sz w:val="20"/>
          <w:szCs w:val="20"/>
        </w:rPr>
        <w:t>The BankservAfrica Take-</w:t>
      </w:r>
      <w:r w:rsidR="00D04A40" w:rsidRPr="0027534C">
        <w:rPr>
          <w:color w:val="000000" w:themeColor="text1"/>
          <w:sz w:val="20"/>
          <w:szCs w:val="20"/>
        </w:rPr>
        <w:t>H</w:t>
      </w:r>
      <w:r w:rsidRPr="0027534C">
        <w:rPr>
          <w:color w:val="000000" w:themeColor="text1"/>
          <w:sz w:val="20"/>
          <w:szCs w:val="20"/>
        </w:rPr>
        <w:t>ome Pay Index (BTPI) is calculated</w:t>
      </w:r>
      <w:r w:rsidR="00187824" w:rsidRPr="0027534C">
        <w:rPr>
          <w:color w:val="000000" w:themeColor="text1"/>
          <w:sz w:val="20"/>
          <w:szCs w:val="20"/>
        </w:rPr>
        <w:t xml:space="preserve"> </w:t>
      </w:r>
      <w:proofErr w:type="gramStart"/>
      <w:r w:rsidR="00187824" w:rsidRPr="0027534C">
        <w:rPr>
          <w:color w:val="000000" w:themeColor="text1"/>
          <w:sz w:val="20"/>
          <w:szCs w:val="20"/>
        </w:rPr>
        <w:t>on a monthly ba</w:t>
      </w:r>
      <w:r w:rsidR="00AD3F43" w:rsidRPr="0027534C">
        <w:rPr>
          <w:color w:val="000000" w:themeColor="text1"/>
          <w:sz w:val="20"/>
          <w:szCs w:val="20"/>
        </w:rPr>
        <w:t>sis</w:t>
      </w:r>
      <w:proofErr w:type="gramEnd"/>
      <w:r w:rsidR="00AD3F43" w:rsidRPr="0027534C">
        <w:rPr>
          <w:color w:val="000000" w:themeColor="text1"/>
          <w:sz w:val="20"/>
          <w:szCs w:val="20"/>
        </w:rPr>
        <w:t xml:space="preserve"> by dividing the total value of salaries paid into the bank accounts of employees </w:t>
      </w:r>
      <w:r w:rsidR="007D38A6" w:rsidRPr="0027534C">
        <w:rPr>
          <w:color w:val="000000" w:themeColor="text1"/>
          <w:sz w:val="20"/>
          <w:szCs w:val="20"/>
        </w:rPr>
        <w:t>(</w:t>
      </w:r>
      <w:r w:rsidR="00A84FD7" w:rsidRPr="0027534C">
        <w:rPr>
          <w:color w:val="000000" w:themeColor="text1"/>
          <w:sz w:val="20"/>
          <w:szCs w:val="20"/>
        </w:rPr>
        <w:t xml:space="preserve">excluding </w:t>
      </w:r>
      <w:r w:rsidR="007D38A6" w:rsidRPr="0027534C">
        <w:rPr>
          <w:color w:val="000000" w:themeColor="text1"/>
          <w:sz w:val="20"/>
          <w:szCs w:val="20"/>
        </w:rPr>
        <w:t xml:space="preserve">salaries greater than R100K </w:t>
      </w:r>
      <w:r w:rsidR="00A84FD7" w:rsidRPr="0027534C">
        <w:rPr>
          <w:color w:val="000000" w:themeColor="text1"/>
          <w:sz w:val="20"/>
          <w:szCs w:val="20"/>
        </w:rPr>
        <w:t>per month</w:t>
      </w:r>
      <w:r w:rsidR="007D38A6" w:rsidRPr="0027534C">
        <w:rPr>
          <w:color w:val="000000" w:themeColor="text1"/>
          <w:sz w:val="20"/>
          <w:szCs w:val="20"/>
        </w:rPr>
        <w:t xml:space="preserve">) </w:t>
      </w:r>
      <w:r w:rsidR="00AD3F43" w:rsidRPr="0027534C">
        <w:rPr>
          <w:color w:val="000000" w:themeColor="text1"/>
          <w:sz w:val="20"/>
          <w:szCs w:val="20"/>
        </w:rPr>
        <w:t>by the total number of salary payments</w:t>
      </w:r>
      <w:r w:rsidR="005F0F40" w:rsidRPr="0027534C">
        <w:rPr>
          <w:color w:val="000000" w:themeColor="text1"/>
          <w:sz w:val="20"/>
          <w:szCs w:val="20"/>
        </w:rPr>
        <w:t xml:space="preserve">. </w:t>
      </w:r>
      <w:r w:rsidR="0021766F" w:rsidRPr="0027534C">
        <w:rPr>
          <w:color w:val="000000" w:themeColor="text1"/>
          <w:sz w:val="20"/>
          <w:szCs w:val="20"/>
        </w:rPr>
        <w:t xml:space="preserve">We measure salary payments that </w:t>
      </w:r>
      <w:proofErr w:type="gramStart"/>
      <w:r w:rsidR="0021766F" w:rsidRPr="0027534C">
        <w:rPr>
          <w:color w:val="000000" w:themeColor="text1"/>
          <w:sz w:val="20"/>
          <w:szCs w:val="20"/>
        </w:rPr>
        <w:t>are loaded</w:t>
      </w:r>
      <w:proofErr w:type="gramEnd"/>
      <w:r w:rsidR="0021766F" w:rsidRPr="0027534C">
        <w:rPr>
          <w:color w:val="000000" w:themeColor="text1"/>
          <w:sz w:val="20"/>
          <w:szCs w:val="20"/>
        </w:rPr>
        <w:t xml:space="preserve"> onto the National Payment System (NPS) and paid by an EFT message that gets processed via our systems. </w:t>
      </w:r>
      <w:r w:rsidR="005F0F40" w:rsidRPr="0027534C">
        <w:rPr>
          <w:color w:val="000000" w:themeColor="text1"/>
          <w:sz w:val="20"/>
          <w:szCs w:val="20"/>
        </w:rPr>
        <w:t xml:space="preserve">These take-home payments </w:t>
      </w:r>
      <w:r w:rsidR="00683487" w:rsidRPr="0027534C">
        <w:rPr>
          <w:color w:val="000000" w:themeColor="text1"/>
          <w:sz w:val="20"/>
          <w:szCs w:val="20"/>
        </w:rPr>
        <w:t xml:space="preserve">typically </w:t>
      </w:r>
      <w:r w:rsidR="005F0F40" w:rsidRPr="0027534C">
        <w:rPr>
          <w:color w:val="000000" w:themeColor="text1"/>
          <w:sz w:val="20"/>
          <w:szCs w:val="20"/>
        </w:rPr>
        <w:t>exclude UIF</w:t>
      </w:r>
      <w:r w:rsidR="00683487" w:rsidRPr="0027534C">
        <w:rPr>
          <w:color w:val="000000" w:themeColor="text1"/>
          <w:sz w:val="20"/>
          <w:szCs w:val="20"/>
        </w:rPr>
        <w:t xml:space="preserve"> contributions, as well as </w:t>
      </w:r>
      <w:r w:rsidR="005F0F40" w:rsidRPr="0027534C">
        <w:rPr>
          <w:color w:val="000000" w:themeColor="text1"/>
          <w:sz w:val="20"/>
          <w:szCs w:val="20"/>
        </w:rPr>
        <w:t>personal income tax and employee pension payments</w:t>
      </w:r>
      <w:r w:rsidR="00756ABB" w:rsidRPr="0027534C">
        <w:rPr>
          <w:color w:val="000000" w:themeColor="text1"/>
          <w:sz w:val="20"/>
          <w:szCs w:val="20"/>
        </w:rPr>
        <w:t xml:space="preserve"> (a portion of </w:t>
      </w:r>
      <w:r w:rsidR="005F0F40" w:rsidRPr="0027534C">
        <w:rPr>
          <w:color w:val="000000" w:themeColor="text1"/>
          <w:sz w:val="20"/>
          <w:szCs w:val="20"/>
        </w:rPr>
        <w:t>medical insurance p</w:t>
      </w:r>
      <w:r w:rsidR="00756ABB" w:rsidRPr="0027534C">
        <w:rPr>
          <w:color w:val="000000" w:themeColor="text1"/>
          <w:sz w:val="20"/>
          <w:szCs w:val="20"/>
        </w:rPr>
        <w:t>remiums</w:t>
      </w:r>
      <w:r w:rsidR="000935BC" w:rsidRPr="0027534C">
        <w:rPr>
          <w:color w:val="000000" w:themeColor="text1"/>
          <w:sz w:val="20"/>
          <w:szCs w:val="20"/>
        </w:rPr>
        <w:t xml:space="preserve"> and even </w:t>
      </w:r>
      <w:r w:rsidR="005F0F40" w:rsidRPr="0027534C">
        <w:rPr>
          <w:color w:val="000000" w:themeColor="text1"/>
          <w:sz w:val="20"/>
          <w:szCs w:val="20"/>
        </w:rPr>
        <w:t xml:space="preserve">debt repayments </w:t>
      </w:r>
      <w:r w:rsidR="000935BC" w:rsidRPr="0027534C">
        <w:rPr>
          <w:color w:val="000000" w:themeColor="text1"/>
          <w:sz w:val="20"/>
          <w:szCs w:val="20"/>
        </w:rPr>
        <w:t xml:space="preserve">could </w:t>
      </w:r>
      <w:proofErr w:type="gramStart"/>
      <w:r w:rsidR="000935BC" w:rsidRPr="0027534C">
        <w:rPr>
          <w:color w:val="000000" w:themeColor="text1"/>
          <w:sz w:val="20"/>
          <w:szCs w:val="20"/>
        </w:rPr>
        <w:t>be</w:t>
      </w:r>
      <w:r w:rsidR="005F0F40" w:rsidRPr="0027534C">
        <w:rPr>
          <w:color w:val="000000" w:themeColor="text1"/>
          <w:sz w:val="20"/>
          <w:szCs w:val="20"/>
        </w:rPr>
        <w:t xml:space="preserve"> subtracted</w:t>
      </w:r>
      <w:proofErr w:type="gramEnd"/>
      <w:r w:rsidR="005F0F40" w:rsidRPr="0027534C">
        <w:rPr>
          <w:color w:val="000000" w:themeColor="text1"/>
          <w:sz w:val="20"/>
          <w:szCs w:val="20"/>
        </w:rPr>
        <w:t xml:space="preserve"> before earnings are paid into </w:t>
      </w:r>
      <w:r w:rsidR="000935BC" w:rsidRPr="0027534C">
        <w:rPr>
          <w:color w:val="000000" w:themeColor="text1"/>
          <w:sz w:val="20"/>
          <w:szCs w:val="20"/>
        </w:rPr>
        <w:t>an employee’s</w:t>
      </w:r>
      <w:r w:rsidR="005F0F40" w:rsidRPr="0027534C">
        <w:rPr>
          <w:color w:val="000000" w:themeColor="text1"/>
          <w:sz w:val="20"/>
          <w:szCs w:val="20"/>
        </w:rPr>
        <w:t xml:space="preserve"> bank account</w:t>
      </w:r>
      <w:r w:rsidR="00B11492" w:rsidRPr="0027534C">
        <w:rPr>
          <w:color w:val="000000" w:themeColor="text1"/>
          <w:sz w:val="20"/>
          <w:szCs w:val="20"/>
        </w:rPr>
        <w:t>)</w:t>
      </w:r>
      <w:r w:rsidR="005F0F40" w:rsidRPr="0027534C">
        <w:rPr>
          <w:color w:val="000000" w:themeColor="text1"/>
          <w:sz w:val="20"/>
          <w:szCs w:val="20"/>
        </w:rPr>
        <w:t>.</w:t>
      </w:r>
      <w:r w:rsidR="001408D4" w:rsidRPr="0027534C">
        <w:rPr>
          <w:color w:val="000000" w:themeColor="text1"/>
          <w:sz w:val="20"/>
          <w:szCs w:val="20"/>
        </w:rPr>
        <w:t xml:space="preserve"> The </w:t>
      </w:r>
      <w:r w:rsidR="0028400B" w:rsidRPr="0027534C">
        <w:rPr>
          <w:color w:val="000000" w:themeColor="text1"/>
          <w:sz w:val="20"/>
          <w:szCs w:val="20"/>
        </w:rPr>
        <w:t xml:space="preserve">BankservAfrica salaries data gets </w:t>
      </w:r>
      <w:r w:rsidR="0028400B" w:rsidRPr="0027534C">
        <w:rPr>
          <w:color w:val="000000" w:themeColor="text1"/>
          <w:sz w:val="20"/>
          <w:szCs w:val="20"/>
        </w:rPr>
        <w:lastRenderedPageBreak/>
        <w:t xml:space="preserve">adjusted for weekly payments </w:t>
      </w:r>
      <w:proofErr w:type="gramStart"/>
      <w:r w:rsidR="0028400B" w:rsidRPr="0027534C">
        <w:rPr>
          <w:color w:val="000000" w:themeColor="text1"/>
          <w:sz w:val="20"/>
          <w:szCs w:val="20"/>
        </w:rPr>
        <w:t xml:space="preserve">in order </w:t>
      </w:r>
      <w:r w:rsidR="0021175F" w:rsidRPr="0027534C">
        <w:rPr>
          <w:color w:val="000000" w:themeColor="text1"/>
          <w:sz w:val="20"/>
          <w:szCs w:val="20"/>
        </w:rPr>
        <w:t>to</w:t>
      </w:r>
      <w:proofErr w:type="gramEnd"/>
      <w:r w:rsidR="0021175F" w:rsidRPr="0027534C">
        <w:rPr>
          <w:color w:val="000000" w:themeColor="text1"/>
          <w:sz w:val="20"/>
          <w:szCs w:val="20"/>
        </w:rPr>
        <w:t xml:space="preserve"> prevent double counting on the number of salaries</w:t>
      </w:r>
      <w:r w:rsidR="00843787" w:rsidRPr="0027534C">
        <w:rPr>
          <w:color w:val="000000" w:themeColor="text1"/>
          <w:sz w:val="20"/>
          <w:szCs w:val="20"/>
        </w:rPr>
        <w:t xml:space="preserve"> used to determine the average take-home pay amount. </w:t>
      </w:r>
      <w:r w:rsidR="001E7274" w:rsidRPr="0027534C">
        <w:rPr>
          <w:color w:val="000000" w:themeColor="text1"/>
          <w:sz w:val="20"/>
          <w:szCs w:val="20"/>
        </w:rPr>
        <w:t xml:space="preserve"> </w:t>
      </w:r>
      <w:r w:rsidR="0021766F" w:rsidRPr="0027534C">
        <w:rPr>
          <w:sz w:val="20"/>
          <w:szCs w:val="20"/>
        </w:rPr>
        <w:t xml:space="preserve">Given </w:t>
      </w:r>
      <w:r w:rsidR="0027534C" w:rsidRPr="0027534C">
        <w:rPr>
          <w:sz w:val="20"/>
          <w:szCs w:val="20"/>
        </w:rPr>
        <w:t>that</w:t>
      </w:r>
      <w:r w:rsidR="009E2E58" w:rsidRPr="0027534C">
        <w:rPr>
          <w:sz w:val="20"/>
          <w:szCs w:val="20"/>
        </w:rPr>
        <w:t xml:space="preserve"> </w:t>
      </w:r>
      <w:r w:rsidR="0021766F" w:rsidRPr="0027534C">
        <w:rPr>
          <w:sz w:val="20"/>
          <w:szCs w:val="20"/>
        </w:rPr>
        <w:t xml:space="preserve">most weekly payments </w:t>
      </w:r>
      <w:r w:rsidR="009E2E58" w:rsidRPr="0027534C">
        <w:rPr>
          <w:sz w:val="20"/>
          <w:szCs w:val="20"/>
        </w:rPr>
        <w:t xml:space="preserve">take </w:t>
      </w:r>
      <w:r w:rsidR="0021766F" w:rsidRPr="0027534C">
        <w:rPr>
          <w:sz w:val="20"/>
          <w:szCs w:val="20"/>
        </w:rPr>
        <w:t xml:space="preserve">place on Fridays, Mondays and Thursdays, our process </w:t>
      </w:r>
      <w:r w:rsidR="00CA7947">
        <w:rPr>
          <w:sz w:val="20"/>
          <w:szCs w:val="20"/>
        </w:rPr>
        <w:t>takes note of the</w:t>
      </w:r>
      <w:r w:rsidR="0021766F" w:rsidRPr="0027534C">
        <w:rPr>
          <w:sz w:val="20"/>
          <w:szCs w:val="20"/>
        </w:rPr>
        <w:t xml:space="preserve"> number of these </w:t>
      </w:r>
      <w:proofErr w:type="gramStart"/>
      <w:r w:rsidR="0021766F" w:rsidRPr="0027534C">
        <w:rPr>
          <w:sz w:val="20"/>
          <w:szCs w:val="20"/>
        </w:rPr>
        <w:t>particular days</w:t>
      </w:r>
      <w:proofErr w:type="gramEnd"/>
      <w:r w:rsidR="0027534C" w:rsidRPr="0027534C">
        <w:rPr>
          <w:sz w:val="20"/>
          <w:szCs w:val="20"/>
        </w:rPr>
        <w:t>,</w:t>
      </w:r>
      <w:r w:rsidR="0021766F" w:rsidRPr="0027534C">
        <w:rPr>
          <w:sz w:val="20"/>
          <w:szCs w:val="20"/>
        </w:rPr>
        <w:t xml:space="preserve"> in any given month. </w:t>
      </w:r>
      <w:r w:rsidR="00EC1B5F" w:rsidRPr="0027534C">
        <w:rPr>
          <w:color w:val="000000" w:themeColor="text1"/>
          <w:sz w:val="20"/>
          <w:szCs w:val="20"/>
        </w:rPr>
        <w:t xml:space="preserve">Weekly payments </w:t>
      </w:r>
      <w:proofErr w:type="gramStart"/>
      <w:r w:rsidR="00EC1B5F" w:rsidRPr="0027534C">
        <w:rPr>
          <w:color w:val="000000" w:themeColor="text1"/>
          <w:sz w:val="20"/>
          <w:szCs w:val="20"/>
        </w:rPr>
        <w:t>are estimated</w:t>
      </w:r>
      <w:proofErr w:type="gramEnd"/>
      <w:r w:rsidR="00EC1B5F" w:rsidRPr="0027534C">
        <w:rPr>
          <w:color w:val="000000" w:themeColor="text1"/>
          <w:sz w:val="20"/>
          <w:szCs w:val="20"/>
        </w:rPr>
        <w:t xml:space="preserve"> using NPS data as well as the South African Quarterly Labour Force Survey, as published by Statistics South Africa. We have estimated weekly payments at 9.</w:t>
      </w:r>
      <w:r w:rsidR="00CD2BBC" w:rsidRPr="0027534C">
        <w:rPr>
          <w:color w:val="000000" w:themeColor="text1"/>
          <w:sz w:val="20"/>
          <w:szCs w:val="20"/>
        </w:rPr>
        <w:t>6</w:t>
      </w:r>
      <w:r w:rsidR="00EC1B5F" w:rsidRPr="0027534C">
        <w:rPr>
          <w:color w:val="000000" w:themeColor="text1"/>
          <w:sz w:val="20"/>
          <w:szCs w:val="20"/>
        </w:rPr>
        <w:t>%</w:t>
      </w:r>
      <w:r w:rsidR="00CD2BBC" w:rsidRPr="0027534C">
        <w:rPr>
          <w:color w:val="000000" w:themeColor="text1"/>
          <w:sz w:val="20"/>
          <w:szCs w:val="20"/>
        </w:rPr>
        <w:t xml:space="preserve"> of the</w:t>
      </w:r>
      <w:r w:rsidR="00954852" w:rsidRPr="0027534C">
        <w:rPr>
          <w:color w:val="000000" w:themeColor="text1"/>
          <w:sz w:val="20"/>
          <w:szCs w:val="20"/>
        </w:rPr>
        <w:t xml:space="preserve"> total</w:t>
      </w:r>
      <w:r w:rsidR="00F45809" w:rsidRPr="0027534C">
        <w:rPr>
          <w:color w:val="000000" w:themeColor="text1"/>
          <w:sz w:val="20"/>
          <w:szCs w:val="20"/>
        </w:rPr>
        <w:t xml:space="preserve"> number of</w:t>
      </w:r>
      <w:r w:rsidR="00954852" w:rsidRPr="0027534C">
        <w:rPr>
          <w:color w:val="000000" w:themeColor="text1"/>
          <w:sz w:val="20"/>
          <w:szCs w:val="20"/>
        </w:rPr>
        <w:t xml:space="preserve"> sal</w:t>
      </w:r>
      <w:r w:rsidR="00F45809" w:rsidRPr="0027534C">
        <w:rPr>
          <w:color w:val="000000" w:themeColor="text1"/>
          <w:sz w:val="20"/>
          <w:szCs w:val="20"/>
        </w:rPr>
        <w:t xml:space="preserve">aries that </w:t>
      </w:r>
      <w:proofErr w:type="gramStart"/>
      <w:r w:rsidR="00F45809" w:rsidRPr="0027534C">
        <w:rPr>
          <w:color w:val="000000" w:themeColor="text1"/>
          <w:sz w:val="20"/>
          <w:szCs w:val="20"/>
        </w:rPr>
        <w:t>gets processed</w:t>
      </w:r>
      <w:proofErr w:type="gramEnd"/>
      <w:r w:rsidR="00F45809" w:rsidRPr="0027534C">
        <w:rPr>
          <w:color w:val="000000" w:themeColor="text1"/>
          <w:sz w:val="20"/>
          <w:szCs w:val="20"/>
        </w:rPr>
        <w:t xml:space="preserve"> by the </w:t>
      </w:r>
      <w:r w:rsidR="00140D60" w:rsidRPr="0027534C">
        <w:rPr>
          <w:color w:val="000000" w:themeColor="text1"/>
          <w:sz w:val="20"/>
          <w:szCs w:val="20"/>
        </w:rPr>
        <w:t>NPS</w:t>
      </w:r>
      <w:r w:rsidR="00EC1B5F" w:rsidRPr="0027534C">
        <w:rPr>
          <w:color w:val="000000" w:themeColor="text1"/>
          <w:sz w:val="20"/>
          <w:szCs w:val="20"/>
        </w:rPr>
        <w:t>.</w:t>
      </w:r>
      <w:r w:rsidR="00140D60" w:rsidRPr="0027534C">
        <w:rPr>
          <w:color w:val="000000" w:themeColor="text1"/>
          <w:sz w:val="20"/>
          <w:szCs w:val="20"/>
        </w:rPr>
        <w:t xml:space="preserve"> The BTPI reflects the trend in </w:t>
      </w:r>
      <w:r w:rsidR="008F77DF" w:rsidRPr="0027534C">
        <w:rPr>
          <w:color w:val="000000" w:themeColor="text1"/>
          <w:sz w:val="20"/>
          <w:szCs w:val="20"/>
        </w:rPr>
        <w:t xml:space="preserve">almost </w:t>
      </w:r>
      <w:r w:rsidR="00C42322" w:rsidRPr="0027534C">
        <w:rPr>
          <w:color w:val="000000" w:themeColor="text1"/>
          <w:sz w:val="20"/>
          <w:szCs w:val="20"/>
        </w:rPr>
        <w:t>4 million</w:t>
      </w:r>
      <w:r w:rsidR="00140D60" w:rsidRPr="0027534C">
        <w:rPr>
          <w:color w:val="000000" w:themeColor="text1"/>
          <w:sz w:val="20"/>
          <w:szCs w:val="20"/>
        </w:rPr>
        <w:t xml:space="preserve"> monthly </w:t>
      </w:r>
      <w:r w:rsidR="00592187" w:rsidRPr="0027534C">
        <w:rPr>
          <w:color w:val="000000" w:themeColor="text1"/>
          <w:sz w:val="20"/>
          <w:szCs w:val="20"/>
        </w:rPr>
        <w:t xml:space="preserve">salary </w:t>
      </w:r>
      <w:r w:rsidR="00140D60" w:rsidRPr="0027534C">
        <w:rPr>
          <w:color w:val="000000" w:themeColor="text1"/>
          <w:sz w:val="20"/>
          <w:szCs w:val="20"/>
        </w:rPr>
        <w:t>payments</w:t>
      </w:r>
      <w:r w:rsidR="00C42322" w:rsidRPr="0027534C">
        <w:rPr>
          <w:color w:val="000000" w:themeColor="text1"/>
          <w:sz w:val="20"/>
          <w:szCs w:val="20"/>
        </w:rPr>
        <w:t xml:space="preserve">, </w:t>
      </w:r>
      <w:r w:rsidR="00140D60" w:rsidRPr="0027534C">
        <w:rPr>
          <w:color w:val="000000" w:themeColor="text1"/>
          <w:sz w:val="20"/>
          <w:szCs w:val="20"/>
        </w:rPr>
        <w:t xml:space="preserve">which </w:t>
      </w:r>
      <w:r w:rsidR="00592187" w:rsidRPr="0027534C">
        <w:rPr>
          <w:color w:val="000000" w:themeColor="text1"/>
          <w:sz w:val="20"/>
          <w:szCs w:val="20"/>
        </w:rPr>
        <w:t>represents about</w:t>
      </w:r>
      <w:r w:rsidR="00140D60" w:rsidRPr="0027534C">
        <w:rPr>
          <w:color w:val="000000" w:themeColor="text1"/>
          <w:sz w:val="20"/>
          <w:szCs w:val="20"/>
        </w:rPr>
        <w:t xml:space="preserve"> </w:t>
      </w:r>
      <w:r w:rsidR="0007182A" w:rsidRPr="0027534C">
        <w:rPr>
          <w:color w:val="000000" w:themeColor="text1"/>
          <w:sz w:val="20"/>
          <w:szCs w:val="20"/>
        </w:rPr>
        <w:t>37</w:t>
      </w:r>
      <w:r w:rsidR="00140D60" w:rsidRPr="0027534C">
        <w:rPr>
          <w:color w:val="000000" w:themeColor="text1"/>
          <w:sz w:val="20"/>
          <w:szCs w:val="20"/>
        </w:rPr>
        <w:t>% of all non-farm employees</w:t>
      </w:r>
      <w:r w:rsidR="009448FA" w:rsidRPr="0027534C">
        <w:rPr>
          <w:color w:val="000000" w:themeColor="text1"/>
          <w:sz w:val="20"/>
          <w:szCs w:val="20"/>
        </w:rPr>
        <w:t xml:space="preserve"> (or formal sector)</w:t>
      </w:r>
      <w:r w:rsidR="0007182A" w:rsidRPr="0027534C">
        <w:rPr>
          <w:color w:val="000000" w:themeColor="text1"/>
          <w:sz w:val="20"/>
          <w:szCs w:val="20"/>
        </w:rPr>
        <w:t xml:space="preserve"> </w:t>
      </w:r>
      <w:r w:rsidR="008921AD" w:rsidRPr="0027534C">
        <w:rPr>
          <w:color w:val="000000" w:themeColor="text1"/>
          <w:sz w:val="20"/>
          <w:szCs w:val="20"/>
        </w:rPr>
        <w:t>in the South African labour market</w:t>
      </w:r>
      <w:r w:rsidR="009448FA" w:rsidRPr="0027534C">
        <w:rPr>
          <w:color w:val="000000" w:themeColor="text1"/>
          <w:sz w:val="20"/>
          <w:szCs w:val="20"/>
        </w:rPr>
        <w:t xml:space="preserve"> </w:t>
      </w:r>
      <w:r w:rsidR="009D35E9" w:rsidRPr="0027534C">
        <w:rPr>
          <w:color w:val="000000" w:themeColor="text1"/>
          <w:sz w:val="20"/>
          <w:szCs w:val="20"/>
        </w:rPr>
        <w:t xml:space="preserve">The BTPI </w:t>
      </w:r>
      <w:proofErr w:type="gramStart"/>
      <w:r w:rsidR="009D35E9" w:rsidRPr="0027534C">
        <w:rPr>
          <w:color w:val="000000" w:themeColor="text1"/>
          <w:sz w:val="20"/>
          <w:szCs w:val="20"/>
        </w:rPr>
        <w:t>is published</w:t>
      </w:r>
      <w:proofErr w:type="gramEnd"/>
      <w:r w:rsidR="009D35E9" w:rsidRPr="0027534C">
        <w:rPr>
          <w:color w:val="000000" w:themeColor="text1"/>
          <w:sz w:val="20"/>
          <w:szCs w:val="20"/>
        </w:rPr>
        <w:t xml:space="preserve"> as a</w:t>
      </w:r>
      <w:r w:rsidR="00793529" w:rsidRPr="0027534C">
        <w:rPr>
          <w:color w:val="000000" w:themeColor="text1"/>
          <w:sz w:val="20"/>
          <w:szCs w:val="20"/>
        </w:rPr>
        <w:t xml:space="preserve"> smoothed</w:t>
      </w:r>
      <w:r w:rsidR="009D35E9" w:rsidRPr="0027534C">
        <w:rPr>
          <w:color w:val="000000" w:themeColor="text1"/>
          <w:sz w:val="20"/>
          <w:szCs w:val="20"/>
        </w:rPr>
        <w:t xml:space="preserve"> seasonally adjusted </w:t>
      </w:r>
      <w:r w:rsidR="006B2B3D" w:rsidRPr="0027534C">
        <w:rPr>
          <w:color w:val="000000" w:themeColor="text1"/>
          <w:sz w:val="20"/>
          <w:szCs w:val="20"/>
        </w:rPr>
        <w:t>index</w:t>
      </w:r>
      <w:r w:rsidR="00793529" w:rsidRPr="0027534C">
        <w:rPr>
          <w:color w:val="000000" w:themeColor="text1"/>
          <w:sz w:val="20"/>
          <w:szCs w:val="20"/>
        </w:rPr>
        <w:t xml:space="preserve">, </w:t>
      </w:r>
      <w:r w:rsidR="003F6C38" w:rsidRPr="0027534C">
        <w:rPr>
          <w:color w:val="000000" w:themeColor="text1"/>
          <w:sz w:val="20"/>
          <w:szCs w:val="20"/>
        </w:rPr>
        <w:t>with 2013 as base year.</w:t>
      </w:r>
      <w:bookmarkEnd w:id="10"/>
    </w:p>
    <w:p w14:paraId="145C9AB1" w14:textId="0F6A59ED" w:rsidR="00A57CBC" w:rsidRPr="00BD5B64" w:rsidRDefault="00A57CBC" w:rsidP="000023C1">
      <w:pPr>
        <w:pStyle w:val="Body"/>
        <w:jc w:val="both"/>
        <w:rPr>
          <w:sz w:val="24"/>
        </w:rPr>
      </w:pPr>
      <w:r w:rsidRPr="00BD5B64">
        <w:rPr>
          <w:b/>
          <w:bCs/>
          <w:sz w:val="20"/>
          <w:szCs w:val="18"/>
          <w:lang w:val="en-US"/>
        </w:rPr>
        <w:t>About BankservAfrica</w:t>
      </w:r>
    </w:p>
    <w:p w14:paraId="3FA72A8B" w14:textId="77777777" w:rsidR="00902833" w:rsidRDefault="00902833" w:rsidP="000023C1">
      <w:pPr>
        <w:spacing w:after="0" w:line="240" w:lineRule="auto"/>
        <w:rPr>
          <w:rFonts w:cstheme="minorHAnsi"/>
          <w:sz w:val="20"/>
        </w:rPr>
      </w:pPr>
      <w:r w:rsidRPr="00750192">
        <w:rPr>
          <w:rFonts w:cstheme="minorHAnsi"/>
          <w:sz w:val="20"/>
        </w:rPr>
        <w:t xml:space="preserve">BankservAfrica is the trusted payments partner and Financial Markets Infrastructure (FMI) to the financial services industry. As the largest automated payments clearing house in </w:t>
      </w:r>
      <w:proofErr w:type="gramStart"/>
      <w:r w:rsidRPr="00750192">
        <w:rPr>
          <w:rFonts w:cstheme="minorHAnsi"/>
          <w:sz w:val="20"/>
        </w:rPr>
        <w:t>Africa</w:t>
      </w:r>
      <w:proofErr w:type="gramEnd"/>
      <w:r w:rsidRPr="00750192">
        <w:rPr>
          <w:rFonts w:cstheme="minorHAnsi"/>
          <w:sz w:val="20"/>
        </w:rPr>
        <w:t xml:space="preserve"> we clear and process billions of low value card, ATM and EFT transactions annually. Our role in the South African National Payments System (NPS) is to facilitate interoperability between the banks and ensure regulatory compliance with our regulators against international banking security best practice and standards and reduces risk and complexity in the industry.</w:t>
      </w:r>
    </w:p>
    <w:p w14:paraId="0B17E09B" w14:textId="77777777" w:rsidR="000023C1" w:rsidRPr="00750192" w:rsidRDefault="000023C1" w:rsidP="000023C1">
      <w:pPr>
        <w:spacing w:after="0" w:line="240" w:lineRule="auto"/>
        <w:rPr>
          <w:rFonts w:cstheme="minorHAnsi"/>
          <w:sz w:val="20"/>
        </w:rPr>
      </w:pPr>
    </w:p>
    <w:p w14:paraId="2E104013" w14:textId="77777777" w:rsidR="00902833" w:rsidRDefault="00902833" w:rsidP="000023C1">
      <w:pPr>
        <w:spacing w:after="0" w:line="240" w:lineRule="auto"/>
        <w:rPr>
          <w:rFonts w:cstheme="minorHAnsi"/>
          <w:sz w:val="20"/>
        </w:rPr>
      </w:pPr>
      <w:r w:rsidRPr="00750192">
        <w:rPr>
          <w:rFonts w:cstheme="minorHAnsi"/>
          <w:sz w:val="20"/>
        </w:rPr>
        <w:t>We continue to strive to be a world class and pre-eminent payments operator, innovator and payments partner of choice in Africa, by simplifying our worlds through combining trusted transactions with sensitive information.</w:t>
      </w:r>
    </w:p>
    <w:p w14:paraId="4076E15C" w14:textId="77777777" w:rsidR="000023C1" w:rsidRPr="00750192" w:rsidRDefault="000023C1" w:rsidP="000023C1">
      <w:pPr>
        <w:spacing w:after="0" w:line="240" w:lineRule="auto"/>
        <w:rPr>
          <w:rFonts w:cstheme="minorHAnsi"/>
          <w:sz w:val="20"/>
        </w:rPr>
      </w:pPr>
    </w:p>
    <w:p w14:paraId="2BB052B3" w14:textId="28308F52" w:rsidR="00902833" w:rsidRDefault="00902833" w:rsidP="000023C1">
      <w:pPr>
        <w:spacing w:after="0" w:line="240" w:lineRule="auto"/>
        <w:rPr>
          <w:rFonts w:cstheme="minorHAnsi"/>
          <w:sz w:val="20"/>
        </w:rPr>
      </w:pPr>
      <w:r w:rsidRPr="00750192">
        <w:rPr>
          <w:rFonts w:cstheme="minorHAnsi"/>
          <w:sz w:val="20"/>
        </w:rPr>
        <w:t xml:space="preserve">BankservAfrica’s national responsibility is to provide safe financial payment services for </w:t>
      </w:r>
      <w:r w:rsidR="00451D18" w:rsidRPr="001E7274">
        <w:rPr>
          <w:rFonts w:cstheme="minorHAnsi"/>
          <w:sz w:val="20"/>
        </w:rPr>
        <w:t>60.6</w:t>
      </w:r>
      <w:r w:rsidRPr="001E7274">
        <w:rPr>
          <w:rFonts w:cstheme="minorHAnsi"/>
          <w:sz w:val="20"/>
        </w:rPr>
        <w:t xml:space="preserve"> million</w:t>
      </w:r>
      <w:r w:rsidRPr="00750192">
        <w:rPr>
          <w:rFonts w:cstheme="minorHAnsi"/>
          <w:sz w:val="20"/>
        </w:rPr>
        <w:t xml:space="preserve"> South Africans, irrespective of their location in partnership with our shareholders and partners.</w:t>
      </w:r>
    </w:p>
    <w:p w14:paraId="2661736C" w14:textId="77777777" w:rsidR="000023C1" w:rsidRPr="00750192" w:rsidRDefault="000023C1" w:rsidP="000023C1">
      <w:pPr>
        <w:spacing w:after="0" w:line="240" w:lineRule="auto"/>
        <w:rPr>
          <w:rFonts w:cstheme="minorHAnsi"/>
          <w:sz w:val="20"/>
        </w:rPr>
      </w:pPr>
    </w:p>
    <w:p w14:paraId="0395BA46" w14:textId="6E474C28" w:rsidR="00C64143" w:rsidRPr="00902833" w:rsidRDefault="00902833" w:rsidP="000023C1">
      <w:pPr>
        <w:spacing w:after="0" w:line="240" w:lineRule="auto"/>
        <w:rPr>
          <w:rFonts w:cstheme="minorHAnsi"/>
          <w:sz w:val="20"/>
        </w:rPr>
      </w:pPr>
      <w:r w:rsidRPr="00750192">
        <w:rPr>
          <w:rFonts w:cstheme="minorHAnsi"/>
          <w:sz w:val="20"/>
        </w:rPr>
        <w:t xml:space="preserve">With a </w:t>
      </w:r>
      <w:r w:rsidR="00DA7F60">
        <w:rPr>
          <w:rFonts w:cstheme="minorHAnsi"/>
          <w:sz w:val="20"/>
        </w:rPr>
        <w:t>50</w:t>
      </w:r>
      <w:r w:rsidRPr="00750192">
        <w:rPr>
          <w:rFonts w:cstheme="minorHAnsi"/>
          <w:sz w:val="20"/>
        </w:rPr>
        <w:t>-year history in South Africa, BankservAfrica operates 24/7, 365 days a year and delivers on very strong SLAs.</w:t>
      </w:r>
    </w:p>
    <w:sectPr w:rsidR="00C64143" w:rsidRPr="00902833" w:rsidSect="005733C9">
      <w:headerReference w:type="default" r:id="rId11"/>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07EB1" w14:textId="77777777" w:rsidR="00E31FEC" w:rsidRDefault="00E31FEC" w:rsidP="000B7A1E">
      <w:pPr>
        <w:spacing w:after="0" w:line="240" w:lineRule="auto"/>
      </w:pPr>
      <w:r>
        <w:separator/>
      </w:r>
    </w:p>
  </w:endnote>
  <w:endnote w:type="continuationSeparator" w:id="0">
    <w:p w14:paraId="4564B5E5" w14:textId="77777777" w:rsidR="00E31FEC" w:rsidRDefault="00E31FEC" w:rsidP="000B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527972"/>
      <w:docPartObj>
        <w:docPartGallery w:val="Page Numbers (Bottom of Page)"/>
        <w:docPartUnique/>
      </w:docPartObj>
    </w:sdtPr>
    <w:sdtEndPr>
      <w:rPr>
        <w:noProof/>
      </w:rPr>
    </w:sdtEndPr>
    <w:sdtContent>
      <w:p w14:paraId="2CD97059" w14:textId="69EF4017" w:rsidR="004F3431" w:rsidRDefault="004F34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0BC7A3" w14:textId="77777777" w:rsidR="004F3431" w:rsidRDefault="004F3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BCA31" w14:textId="77777777" w:rsidR="00E31FEC" w:rsidRDefault="00E31FEC" w:rsidP="000B7A1E">
      <w:pPr>
        <w:spacing w:after="0" w:line="240" w:lineRule="auto"/>
      </w:pPr>
      <w:r>
        <w:separator/>
      </w:r>
    </w:p>
  </w:footnote>
  <w:footnote w:type="continuationSeparator" w:id="0">
    <w:p w14:paraId="100CA2DE" w14:textId="77777777" w:rsidR="00E31FEC" w:rsidRDefault="00E31FEC" w:rsidP="000B7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1CF02" w14:textId="6441A58D" w:rsidR="00FD0B0E" w:rsidRDefault="00FD0B0E">
    <w:pPr>
      <w:pStyle w:val="Header"/>
    </w:pPr>
    <w:r>
      <w:rPr>
        <w:noProof/>
      </w:rPr>
      <w:drawing>
        <wp:inline distT="0" distB="0" distL="0" distR="0" wp14:anchorId="4578FFC5" wp14:editId="4DF8F179">
          <wp:extent cx="2209800" cy="647700"/>
          <wp:effectExtent l="0" t="0" r="0" b="0"/>
          <wp:docPr id="2" name="Picture 2" descr="BANKSE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NKSERV_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647700"/>
                  </a:xfrm>
                  <a:prstGeom prst="rect">
                    <a:avLst/>
                  </a:prstGeom>
                  <a:noFill/>
                  <a:ln>
                    <a:noFill/>
                  </a:ln>
                </pic:spPr>
              </pic:pic>
            </a:graphicData>
          </a:graphic>
        </wp:inline>
      </w:drawing>
    </w:r>
  </w:p>
  <w:p w14:paraId="4CBF23CE" w14:textId="0A5E80DA" w:rsidR="00A26E39" w:rsidRDefault="00A26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43DD1"/>
    <w:multiLevelType w:val="hybridMultilevel"/>
    <w:tmpl w:val="BCB6484A"/>
    <w:lvl w:ilvl="0" w:tplc="FAB82B54">
      <w:numFmt w:val="bullet"/>
      <w:lvlText w:val=""/>
      <w:lvlJc w:val="left"/>
      <w:pPr>
        <w:ind w:left="410" w:hanging="360"/>
      </w:pPr>
      <w:rPr>
        <w:rFonts w:ascii="Symbol" w:eastAsiaTheme="minorHAnsi" w:hAnsi="Symbol" w:cstheme="minorBidi" w:hint="default"/>
      </w:rPr>
    </w:lvl>
    <w:lvl w:ilvl="1" w:tplc="1C090003" w:tentative="1">
      <w:start w:val="1"/>
      <w:numFmt w:val="bullet"/>
      <w:lvlText w:val="o"/>
      <w:lvlJc w:val="left"/>
      <w:pPr>
        <w:ind w:left="1130" w:hanging="360"/>
      </w:pPr>
      <w:rPr>
        <w:rFonts w:ascii="Courier New" w:hAnsi="Courier New" w:cs="Courier New" w:hint="default"/>
      </w:rPr>
    </w:lvl>
    <w:lvl w:ilvl="2" w:tplc="1C090005" w:tentative="1">
      <w:start w:val="1"/>
      <w:numFmt w:val="bullet"/>
      <w:lvlText w:val=""/>
      <w:lvlJc w:val="left"/>
      <w:pPr>
        <w:ind w:left="1850" w:hanging="360"/>
      </w:pPr>
      <w:rPr>
        <w:rFonts w:ascii="Wingdings" w:hAnsi="Wingdings" w:hint="default"/>
      </w:rPr>
    </w:lvl>
    <w:lvl w:ilvl="3" w:tplc="1C090001" w:tentative="1">
      <w:start w:val="1"/>
      <w:numFmt w:val="bullet"/>
      <w:lvlText w:val=""/>
      <w:lvlJc w:val="left"/>
      <w:pPr>
        <w:ind w:left="2570" w:hanging="360"/>
      </w:pPr>
      <w:rPr>
        <w:rFonts w:ascii="Symbol" w:hAnsi="Symbol" w:hint="default"/>
      </w:rPr>
    </w:lvl>
    <w:lvl w:ilvl="4" w:tplc="1C090003" w:tentative="1">
      <w:start w:val="1"/>
      <w:numFmt w:val="bullet"/>
      <w:lvlText w:val="o"/>
      <w:lvlJc w:val="left"/>
      <w:pPr>
        <w:ind w:left="3290" w:hanging="360"/>
      </w:pPr>
      <w:rPr>
        <w:rFonts w:ascii="Courier New" w:hAnsi="Courier New" w:cs="Courier New" w:hint="default"/>
      </w:rPr>
    </w:lvl>
    <w:lvl w:ilvl="5" w:tplc="1C090005" w:tentative="1">
      <w:start w:val="1"/>
      <w:numFmt w:val="bullet"/>
      <w:lvlText w:val=""/>
      <w:lvlJc w:val="left"/>
      <w:pPr>
        <w:ind w:left="4010" w:hanging="360"/>
      </w:pPr>
      <w:rPr>
        <w:rFonts w:ascii="Wingdings" w:hAnsi="Wingdings" w:hint="default"/>
      </w:rPr>
    </w:lvl>
    <w:lvl w:ilvl="6" w:tplc="1C090001" w:tentative="1">
      <w:start w:val="1"/>
      <w:numFmt w:val="bullet"/>
      <w:lvlText w:val=""/>
      <w:lvlJc w:val="left"/>
      <w:pPr>
        <w:ind w:left="4730" w:hanging="360"/>
      </w:pPr>
      <w:rPr>
        <w:rFonts w:ascii="Symbol" w:hAnsi="Symbol" w:hint="default"/>
      </w:rPr>
    </w:lvl>
    <w:lvl w:ilvl="7" w:tplc="1C090003" w:tentative="1">
      <w:start w:val="1"/>
      <w:numFmt w:val="bullet"/>
      <w:lvlText w:val="o"/>
      <w:lvlJc w:val="left"/>
      <w:pPr>
        <w:ind w:left="5450" w:hanging="360"/>
      </w:pPr>
      <w:rPr>
        <w:rFonts w:ascii="Courier New" w:hAnsi="Courier New" w:cs="Courier New" w:hint="default"/>
      </w:rPr>
    </w:lvl>
    <w:lvl w:ilvl="8" w:tplc="1C090005" w:tentative="1">
      <w:start w:val="1"/>
      <w:numFmt w:val="bullet"/>
      <w:lvlText w:val=""/>
      <w:lvlJc w:val="left"/>
      <w:pPr>
        <w:ind w:left="6170" w:hanging="360"/>
      </w:pPr>
      <w:rPr>
        <w:rFonts w:ascii="Wingdings" w:hAnsi="Wingdings" w:hint="default"/>
      </w:rPr>
    </w:lvl>
  </w:abstractNum>
  <w:abstractNum w:abstractNumId="1" w15:restartNumberingAfterBreak="0">
    <w:nsid w:val="263D3252"/>
    <w:multiLevelType w:val="hybridMultilevel"/>
    <w:tmpl w:val="8124D1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2291E2A"/>
    <w:multiLevelType w:val="hybridMultilevel"/>
    <w:tmpl w:val="DAA489C2"/>
    <w:lvl w:ilvl="0" w:tplc="8C0C4F5C">
      <w:start w:val="7"/>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QzNTU1MDc2NjQ0MjJR0lEKTi0uzszPAykwqwUAf0PThiwAAAA="/>
  </w:docVars>
  <w:rsids>
    <w:rsidRoot w:val="00D97AD8"/>
    <w:rsid w:val="00000370"/>
    <w:rsid w:val="000004E5"/>
    <w:rsid w:val="00000552"/>
    <w:rsid w:val="00000C79"/>
    <w:rsid w:val="000023C1"/>
    <w:rsid w:val="00002439"/>
    <w:rsid w:val="00002C52"/>
    <w:rsid w:val="00003768"/>
    <w:rsid w:val="00004052"/>
    <w:rsid w:val="00004C7E"/>
    <w:rsid w:val="00005775"/>
    <w:rsid w:val="00005A94"/>
    <w:rsid w:val="00005ED6"/>
    <w:rsid w:val="00006B15"/>
    <w:rsid w:val="00006B72"/>
    <w:rsid w:val="00007913"/>
    <w:rsid w:val="00011451"/>
    <w:rsid w:val="0001163E"/>
    <w:rsid w:val="000147F1"/>
    <w:rsid w:val="00014D25"/>
    <w:rsid w:val="000166A9"/>
    <w:rsid w:val="000169F5"/>
    <w:rsid w:val="0002212F"/>
    <w:rsid w:val="0002391F"/>
    <w:rsid w:val="0002516F"/>
    <w:rsid w:val="00027CFF"/>
    <w:rsid w:val="00031276"/>
    <w:rsid w:val="00033CC5"/>
    <w:rsid w:val="00033F5D"/>
    <w:rsid w:val="00034EC2"/>
    <w:rsid w:val="00035028"/>
    <w:rsid w:val="00036D4B"/>
    <w:rsid w:val="00036D5D"/>
    <w:rsid w:val="00037DEC"/>
    <w:rsid w:val="000425CF"/>
    <w:rsid w:val="0004325B"/>
    <w:rsid w:val="00044299"/>
    <w:rsid w:val="00044761"/>
    <w:rsid w:val="0004593F"/>
    <w:rsid w:val="0004625A"/>
    <w:rsid w:val="0004659A"/>
    <w:rsid w:val="000477E9"/>
    <w:rsid w:val="000511BF"/>
    <w:rsid w:val="0005154C"/>
    <w:rsid w:val="00051842"/>
    <w:rsid w:val="00051FA2"/>
    <w:rsid w:val="00052790"/>
    <w:rsid w:val="00053B06"/>
    <w:rsid w:val="00054501"/>
    <w:rsid w:val="00054C2C"/>
    <w:rsid w:val="00056ED2"/>
    <w:rsid w:val="00057AF2"/>
    <w:rsid w:val="00060049"/>
    <w:rsid w:val="00061108"/>
    <w:rsid w:val="00061205"/>
    <w:rsid w:val="00061A0A"/>
    <w:rsid w:val="000633CC"/>
    <w:rsid w:val="00063CAB"/>
    <w:rsid w:val="00063FCB"/>
    <w:rsid w:val="00064010"/>
    <w:rsid w:val="00064536"/>
    <w:rsid w:val="0006487E"/>
    <w:rsid w:val="000648A0"/>
    <w:rsid w:val="0006629B"/>
    <w:rsid w:val="0007182A"/>
    <w:rsid w:val="00076B97"/>
    <w:rsid w:val="0007713E"/>
    <w:rsid w:val="00077B35"/>
    <w:rsid w:val="00081C71"/>
    <w:rsid w:val="000827F0"/>
    <w:rsid w:val="00082B20"/>
    <w:rsid w:val="00082EEA"/>
    <w:rsid w:val="00083B9D"/>
    <w:rsid w:val="00083EF0"/>
    <w:rsid w:val="00084281"/>
    <w:rsid w:val="00084A80"/>
    <w:rsid w:val="00084C01"/>
    <w:rsid w:val="00084CDE"/>
    <w:rsid w:val="000868E5"/>
    <w:rsid w:val="000906CB"/>
    <w:rsid w:val="0009081C"/>
    <w:rsid w:val="00091716"/>
    <w:rsid w:val="00091888"/>
    <w:rsid w:val="00091896"/>
    <w:rsid w:val="00091C53"/>
    <w:rsid w:val="000935BC"/>
    <w:rsid w:val="00093FDF"/>
    <w:rsid w:val="00095891"/>
    <w:rsid w:val="000A0C73"/>
    <w:rsid w:val="000A13C0"/>
    <w:rsid w:val="000A1574"/>
    <w:rsid w:val="000A2A87"/>
    <w:rsid w:val="000A2C07"/>
    <w:rsid w:val="000A41B7"/>
    <w:rsid w:val="000A52DE"/>
    <w:rsid w:val="000B045E"/>
    <w:rsid w:val="000B05A2"/>
    <w:rsid w:val="000B20A6"/>
    <w:rsid w:val="000B38F8"/>
    <w:rsid w:val="000B4F63"/>
    <w:rsid w:val="000B5BBA"/>
    <w:rsid w:val="000B5C09"/>
    <w:rsid w:val="000B6B0A"/>
    <w:rsid w:val="000B6D7D"/>
    <w:rsid w:val="000B6F8A"/>
    <w:rsid w:val="000B7A1E"/>
    <w:rsid w:val="000C137E"/>
    <w:rsid w:val="000C21D4"/>
    <w:rsid w:val="000C2B1D"/>
    <w:rsid w:val="000C2F57"/>
    <w:rsid w:val="000C3007"/>
    <w:rsid w:val="000C38DA"/>
    <w:rsid w:val="000C3D20"/>
    <w:rsid w:val="000C4952"/>
    <w:rsid w:val="000D05BD"/>
    <w:rsid w:val="000D0702"/>
    <w:rsid w:val="000D0985"/>
    <w:rsid w:val="000D15DF"/>
    <w:rsid w:val="000D1F1C"/>
    <w:rsid w:val="000D26CC"/>
    <w:rsid w:val="000D4A9F"/>
    <w:rsid w:val="000D4AD9"/>
    <w:rsid w:val="000D4C7B"/>
    <w:rsid w:val="000D57F5"/>
    <w:rsid w:val="000D58EE"/>
    <w:rsid w:val="000D75B5"/>
    <w:rsid w:val="000E0A53"/>
    <w:rsid w:val="000E1591"/>
    <w:rsid w:val="000E2937"/>
    <w:rsid w:val="000E2D68"/>
    <w:rsid w:val="000E34FD"/>
    <w:rsid w:val="000E567D"/>
    <w:rsid w:val="000E5C92"/>
    <w:rsid w:val="000E5FB9"/>
    <w:rsid w:val="000E638E"/>
    <w:rsid w:val="000E6F9C"/>
    <w:rsid w:val="000E7338"/>
    <w:rsid w:val="000E7AFF"/>
    <w:rsid w:val="000F18D3"/>
    <w:rsid w:val="000F18D5"/>
    <w:rsid w:val="000F1D55"/>
    <w:rsid w:val="000F4E0C"/>
    <w:rsid w:val="000F5AB3"/>
    <w:rsid w:val="000F6685"/>
    <w:rsid w:val="000F6C80"/>
    <w:rsid w:val="000F7EDF"/>
    <w:rsid w:val="00100232"/>
    <w:rsid w:val="001006A8"/>
    <w:rsid w:val="001017CA"/>
    <w:rsid w:val="001017FE"/>
    <w:rsid w:val="00103C59"/>
    <w:rsid w:val="001053FF"/>
    <w:rsid w:val="001113F4"/>
    <w:rsid w:val="00113882"/>
    <w:rsid w:val="001156AC"/>
    <w:rsid w:val="001174F4"/>
    <w:rsid w:val="00117517"/>
    <w:rsid w:val="00120AE7"/>
    <w:rsid w:val="00122A2C"/>
    <w:rsid w:val="00122D55"/>
    <w:rsid w:val="00122EEE"/>
    <w:rsid w:val="001234CF"/>
    <w:rsid w:val="001238FF"/>
    <w:rsid w:val="00123C16"/>
    <w:rsid w:val="0012570D"/>
    <w:rsid w:val="001260F1"/>
    <w:rsid w:val="00126258"/>
    <w:rsid w:val="00126591"/>
    <w:rsid w:val="00130AE8"/>
    <w:rsid w:val="00133E1C"/>
    <w:rsid w:val="00133E1D"/>
    <w:rsid w:val="00134475"/>
    <w:rsid w:val="00134CF0"/>
    <w:rsid w:val="0013527B"/>
    <w:rsid w:val="00136102"/>
    <w:rsid w:val="001364BF"/>
    <w:rsid w:val="00137003"/>
    <w:rsid w:val="001408D4"/>
    <w:rsid w:val="00140D60"/>
    <w:rsid w:val="001411E9"/>
    <w:rsid w:val="00142BFC"/>
    <w:rsid w:val="00143762"/>
    <w:rsid w:val="00144977"/>
    <w:rsid w:val="0014546F"/>
    <w:rsid w:val="001469F3"/>
    <w:rsid w:val="00146A00"/>
    <w:rsid w:val="00146E69"/>
    <w:rsid w:val="00147F9E"/>
    <w:rsid w:val="00150B0A"/>
    <w:rsid w:val="00151010"/>
    <w:rsid w:val="00151226"/>
    <w:rsid w:val="0015228B"/>
    <w:rsid w:val="00152A06"/>
    <w:rsid w:val="00152EFC"/>
    <w:rsid w:val="00153692"/>
    <w:rsid w:val="001551A0"/>
    <w:rsid w:val="001564B0"/>
    <w:rsid w:val="001566B4"/>
    <w:rsid w:val="00157E2C"/>
    <w:rsid w:val="001609F2"/>
    <w:rsid w:val="00161E40"/>
    <w:rsid w:val="001622F3"/>
    <w:rsid w:val="001628CF"/>
    <w:rsid w:val="00162B44"/>
    <w:rsid w:val="00162C48"/>
    <w:rsid w:val="00163C4A"/>
    <w:rsid w:val="00165E8A"/>
    <w:rsid w:val="001661BE"/>
    <w:rsid w:val="001663F1"/>
    <w:rsid w:val="00167382"/>
    <w:rsid w:val="00170BC5"/>
    <w:rsid w:val="0017157E"/>
    <w:rsid w:val="00171B70"/>
    <w:rsid w:val="001727E1"/>
    <w:rsid w:val="0017361A"/>
    <w:rsid w:val="00175616"/>
    <w:rsid w:val="0017627B"/>
    <w:rsid w:val="001764D3"/>
    <w:rsid w:val="00181D1E"/>
    <w:rsid w:val="00183A96"/>
    <w:rsid w:val="0018718E"/>
    <w:rsid w:val="001872CC"/>
    <w:rsid w:val="00187824"/>
    <w:rsid w:val="00190E2D"/>
    <w:rsid w:val="00191160"/>
    <w:rsid w:val="0019118F"/>
    <w:rsid w:val="00191FA7"/>
    <w:rsid w:val="0019239F"/>
    <w:rsid w:val="00192573"/>
    <w:rsid w:val="001954A9"/>
    <w:rsid w:val="001960A2"/>
    <w:rsid w:val="00196608"/>
    <w:rsid w:val="00196A95"/>
    <w:rsid w:val="00197332"/>
    <w:rsid w:val="001A01C1"/>
    <w:rsid w:val="001A120E"/>
    <w:rsid w:val="001A1B85"/>
    <w:rsid w:val="001A23C3"/>
    <w:rsid w:val="001A3614"/>
    <w:rsid w:val="001A3B88"/>
    <w:rsid w:val="001A4F55"/>
    <w:rsid w:val="001A5E3B"/>
    <w:rsid w:val="001A7DB5"/>
    <w:rsid w:val="001B0746"/>
    <w:rsid w:val="001B403E"/>
    <w:rsid w:val="001B450E"/>
    <w:rsid w:val="001B4794"/>
    <w:rsid w:val="001B56FE"/>
    <w:rsid w:val="001B58F2"/>
    <w:rsid w:val="001B6DDF"/>
    <w:rsid w:val="001B7131"/>
    <w:rsid w:val="001B7246"/>
    <w:rsid w:val="001B77B6"/>
    <w:rsid w:val="001C3901"/>
    <w:rsid w:val="001C39D8"/>
    <w:rsid w:val="001C4346"/>
    <w:rsid w:val="001C6126"/>
    <w:rsid w:val="001C6248"/>
    <w:rsid w:val="001C7053"/>
    <w:rsid w:val="001C75A4"/>
    <w:rsid w:val="001D196D"/>
    <w:rsid w:val="001D1B70"/>
    <w:rsid w:val="001D4106"/>
    <w:rsid w:val="001D65DC"/>
    <w:rsid w:val="001D7053"/>
    <w:rsid w:val="001D7081"/>
    <w:rsid w:val="001E1B4A"/>
    <w:rsid w:val="001E3427"/>
    <w:rsid w:val="001E3D9D"/>
    <w:rsid w:val="001E7274"/>
    <w:rsid w:val="001E7F25"/>
    <w:rsid w:val="001F0230"/>
    <w:rsid w:val="001F03B7"/>
    <w:rsid w:val="001F0901"/>
    <w:rsid w:val="001F149E"/>
    <w:rsid w:val="001F174A"/>
    <w:rsid w:val="001F1CAD"/>
    <w:rsid w:val="001F2AA1"/>
    <w:rsid w:val="001F2DD6"/>
    <w:rsid w:val="001F372C"/>
    <w:rsid w:val="001F374B"/>
    <w:rsid w:val="001F4681"/>
    <w:rsid w:val="001F519E"/>
    <w:rsid w:val="001F6D56"/>
    <w:rsid w:val="001F7735"/>
    <w:rsid w:val="001F7BBF"/>
    <w:rsid w:val="001F7D41"/>
    <w:rsid w:val="00200B6B"/>
    <w:rsid w:val="002017A2"/>
    <w:rsid w:val="002023CA"/>
    <w:rsid w:val="00202FAD"/>
    <w:rsid w:val="00205C8D"/>
    <w:rsid w:val="002106A3"/>
    <w:rsid w:val="002107DA"/>
    <w:rsid w:val="0021175F"/>
    <w:rsid w:val="00215A1C"/>
    <w:rsid w:val="00215B6C"/>
    <w:rsid w:val="00216236"/>
    <w:rsid w:val="0021766F"/>
    <w:rsid w:val="0022063D"/>
    <w:rsid w:val="00221163"/>
    <w:rsid w:val="0022230E"/>
    <w:rsid w:val="0022447F"/>
    <w:rsid w:val="00226019"/>
    <w:rsid w:val="0022632C"/>
    <w:rsid w:val="00234445"/>
    <w:rsid w:val="00234802"/>
    <w:rsid w:val="002349F6"/>
    <w:rsid w:val="002366D0"/>
    <w:rsid w:val="00236B3E"/>
    <w:rsid w:val="00237A73"/>
    <w:rsid w:val="00237AF0"/>
    <w:rsid w:val="00237FD3"/>
    <w:rsid w:val="00240BA4"/>
    <w:rsid w:val="00240C12"/>
    <w:rsid w:val="00240EDC"/>
    <w:rsid w:val="00241600"/>
    <w:rsid w:val="00241781"/>
    <w:rsid w:val="00242F89"/>
    <w:rsid w:val="00243C67"/>
    <w:rsid w:val="00243CDA"/>
    <w:rsid w:val="00244AF2"/>
    <w:rsid w:val="00244F12"/>
    <w:rsid w:val="0024524C"/>
    <w:rsid w:val="002474AA"/>
    <w:rsid w:val="002477F6"/>
    <w:rsid w:val="002514FB"/>
    <w:rsid w:val="002518C2"/>
    <w:rsid w:val="00253874"/>
    <w:rsid w:val="002548B1"/>
    <w:rsid w:val="002548D9"/>
    <w:rsid w:val="002552FA"/>
    <w:rsid w:val="00255984"/>
    <w:rsid w:val="00257E5B"/>
    <w:rsid w:val="00257EF1"/>
    <w:rsid w:val="002604E9"/>
    <w:rsid w:val="00261240"/>
    <w:rsid w:val="00263049"/>
    <w:rsid w:val="00263E69"/>
    <w:rsid w:val="00264797"/>
    <w:rsid w:val="002651B5"/>
    <w:rsid w:val="00265F63"/>
    <w:rsid w:val="002706BA"/>
    <w:rsid w:val="002708E4"/>
    <w:rsid w:val="0027534C"/>
    <w:rsid w:val="0027597F"/>
    <w:rsid w:val="0027758F"/>
    <w:rsid w:val="00280A36"/>
    <w:rsid w:val="002815CD"/>
    <w:rsid w:val="00281860"/>
    <w:rsid w:val="002837DD"/>
    <w:rsid w:val="0028400B"/>
    <w:rsid w:val="00284E85"/>
    <w:rsid w:val="0028598F"/>
    <w:rsid w:val="00286152"/>
    <w:rsid w:val="00290891"/>
    <w:rsid w:val="00293CE8"/>
    <w:rsid w:val="00293D62"/>
    <w:rsid w:val="00295E17"/>
    <w:rsid w:val="00297C78"/>
    <w:rsid w:val="00297CA1"/>
    <w:rsid w:val="002A012B"/>
    <w:rsid w:val="002A079F"/>
    <w:rsid w:val="002A1182"/>
    <w:rsid w:val="002A205C"/>
    <w:rsid w:val="002A260B"/>
    <w:rsid w:val="002A27C0"/>
    <w:rsid w:val="002A280B"/>
    <w:rsid w:val="002A2C02"/>
    <w:rsid w:val="002A3249"/>
    <w:rsid w:val="002A33EA"/>
    <w:rsid w:val="002A3D8A"/>
    <w:rsid w:val="002A45D0"/>
    <w:rsid w:val="002A483A"/>
    <w:rsid w:val="002A5307"/>
    <w:rsid w:val="002A6378"/>
    <w:rsid w:val="002A69BF"/>
    <w:rsid w:val="002A6ABC"/>
    <w:rsid w:val="002B024A"/>
    <w:rsid w:val="002B0D76"/>
    <w:rsid w:val="002B34C0"/>
    <w:rsid w:val="002B3A29"/>
    <w:rsid w:val="002B55AA"/>
    <w:rsid w:val="002B6192"/>
    <w:rsid w:val="002C057B"/>
    <w:rsid w:val="002C1AD3"/>
    <w:rsid w:val="002C5B7F"/>
    <w:rsid w:val="002C6507"/>
    <w:rsid w:val="002C69C1"/>
    <w:rsid w:val="002D215C"/>
    <w:rsid w:val="002D27FC"/>
    <w:rsid w:val="002D489E"/>
    <w:rsid w:val="002D4A28"/>
    <w:rsid w:val="002D4A86"/>
    <w:rsid w:val="002D4B67"/>
    <w:rsid w:val="002D6CE3"/>
    <w:rsid w:val="002D7012"/>
    <w:rsid w:val="002D79AD"/>
    <w:rsid w:val="002D7EB2"/>
    <w:rsid w:val="002E01EF"/>
    <w:rsid w:val="002E0E3B"/>
    <w:rsid w:val="002E31B5"/>
    <w:rsid w:val="002E3216"/>
    <w:rsid w:val="002E4B80"/>
    <w:rsid w:val="002E4E59"/>
    <w:rsid w:val="002E52B0"/>
    <w:rsid w:val="002E7798"/>
    <w:rsid w:val="002E7E72"/>
    <w:rsid w:val="002F0010"/>
    <w:rsid w:val="002F0344"/>
    <w:rsid w:val="002F0487"/>
    <w:rsid w:val="002F134C"/>
    <w:rsid w:val="002F2BA7"/>
    <w:rsid w:val="002F2E79"/>
    <w:rsid w:val="002F4EBB"/>
    <w:rsid w:val="002F510B"/>
    <w:rsid w:val="002F55FA"/>
    <w:rsid w:val="002F70F9"/>
    <w:rsid w:val="002F784F"/>
    <w:rsid w:val="003009C8"/>
    <w:rsid w:val="00301BB6"/>
    <w:rsid w:val="00301DC3"/>
    <w:rsid w:val="003026B8"/>
    <w:rsid w:val="00303064"/>
    <w:rsid w:val="0030315E"/>
    <w:rsid w:val="003033B6"/>
    <w:rsid w:val="003065B5"/>
    <w:rsid w:val="00306731"/>
    <w:rsid w:val="003072D5"/>
    <w:rsid w:val="00307E41"/>
    <w:rsid w:val="003100FA"/>
    <w:rsid w:val="0031174D"/>
    <w:rsid w:val="00311F0F"/>
    <w:rsid w:val="00313694"/>
    <w:rsid w:val="00313E8C"/>
    <w:rsid w:val="003169EF"/>
    <w:rsid w:val="003174EF"/>
    <w:rsid w:val="00317AE5"/>
    <w:rsid w:val="00317C93"/>
    <w:rsid w:val="00320D0D"/>
    <w:rsid w:val="00321F0C"/>
    <w:rsid w:val="00321F16"/>
    <w:rsid w:val="00322735"/>
    <w:rsid w:val="003231A1"/>
    <w:rsid w:val="0032725E"/>
    <w:rsid w:val="00327DF7"/>
    <w:rsid w:val="00330A9B"/>
    <w:rsid w:val="00332687"/>
    <w:rsid w:val="003326C7"/>
    <w:rsid w:val="00336CEF"/>
    <w:rsid w:val="00340455"/>
    <w:rsid w:val="003425F9"/>
    <w:rsid w:val="00343BAC"/>
    <w:rsid w:val="00343E1B"/>
    <w:rsid w:val="00345580"/>
    <w:rsid w:val="00345F72"/>
    <w:rsid w:val="00346945"/>
    <w:rsid w:val="00346D78"/>
    <w:rsid w:val="003504B5"/>
    <w:rsid w:val="00350DD3"/>
    <w:rsid w:val="0035141F"/>
    <w:rsid w:val="0035289D"/>
    <w:rsid w:val="003530C3"/>
    <w:rsid w:val="00353D61"/>
    <w:rsid w:val="003542C3"/>
    <w:rsid w:val="003549E3"/>
    <w:rsid w:val="00354DDC"/>
    <w:rsid w:val="00355341"/>
    <w:rsid w:val="00355A1D"/>
    <w:rsid w:val="003578EC"/>
    <w:rsid w:val="00360221"/>
    <w:rsid w:val="003602B8"/>
    <w:rsid w:val="003627B7"/>
    <w:rsid w:val="00363FBE"/>
    <w:rsid w:val="00364222"/>
    <w:rsid w:val="003645F9"/>
    <w:rsid w:val="00365263"/>
    <w:rsid w:val="00365347"/>
    <w:rsid w:val="00365435"/>
    <w:rsid w:val="00365B98"/>
    <w:rsid w:val="00367128"/>
    <w:rsid w:val="00367E94"/>
    <w:rsid w:val="003704FC"/>
    <w:rsid w:val="00371666"/>
    <w:rsid w:val="003725D6"/>
    <w:rsid w:val="00372A83"/>
    <w:rsid w:val="0037332E"/>
    <w:rsid w:val="00373F01"/>
    <w:rsid w:val="0037566E"/>
    <w:rsid w:val="00375ABB"/>
    <w:rsid w:val="00375AD2"/>
    <w:rsid w:val="00376287"/>
    <w:rsid w:val="00376984"/>
    <w:rsid w:val="00376D59"/>
    <w:rsid w:val="00377190"/>
    <w:rsid w:val="00377826"/>
    <w:rsid w:val="00377C22"/>
    <w:rsid w:val="003801DB"/>
    <w:rsid w:val="0038086B"/>
    <w:rsid w:val="003819F3"/>
    <w:rsid w:val="00382F4B"/>
    <w:rsid w:val="0038481D"/>
    <w:rsid w:val="0038577A"/>
    <w:rsid w:val="003857FE"/>
    <w:rsid w:val="00385965"/>
    <w:rsid w:val="00390113"/>
    <w:rsid w:val="00392402"/>
    <w:rsid w:val="00392659"/>
    <w:rsid w:val="003933E3"/>
    <w:rsid w:val="0039446D"/>
    <w:rsid w:val="00394A17"/>
    <w:rsid w:val="00395AB5"/>
    <w:rsid w:val="00396814"/>
    <w:rsid w:val="00396CCD"/>
    <w:rsid w:val="003978AC"/>
    <w:rsid w:val="003A2686"/>
    <w:rsid w:val="003A29FA"/>
    <w:rsid w:val="003A2D0A"/>
    <w:rsid w:val="003A3769"/>
    <w:rsid w:val="003A404F"/>
    <w:rsid w:val="003A4154"/>
    <w:rsid w:val="003A5101"/>
    <w:rsid w:val="003A526E"/>
    <w:rsid w:val="003A54D9"/>
    <w:rsid w:val="003A72A1"/>
    <w:rsid w:val="003B18E5"/>
    <w:rsid w:val="003B3113"/>
    <w:rsid w:val="003B5F9C"/>
    <w:rsid w:val="003B69BB"/>
    <w:rsid w:val="003B6A65"/>
    <w:rsid w:val="003B7620"/>
    <w:rsid w:val="003B783A"/>
    <w:rsid w:val="003C0727"/>
    <w:rsid w:val="003C1D89"/>
    <w:rsid w:val="003C2FBE"/>
    <w:rsid w:val="003C307A"/>
    <w:rsid w:val="003C30CB"/>
    <w:rsid w:val="003C5423"/>
    <w:rsid w:val="003C609E"/>
    <w:rsid w:val="003C6221"/>
    <w:rsid w:val="003C6E78"/>
    <w:rsid w:val="003C71C4"/>
    <w:rsid w:val="003C7568"/>
    <w:rsid w:val="003D0446"/>
    <w:rsid w:val="003D0AA0"/>
    <w:rsid w:val="003D0E5A"/>
    <w:rsid w:val="003D232E"/>
    <w:rsid w:val="003D2E95"/>
    <w:rsid w:val="003D3A12"/>
    <w:rsid w:val="003D3F83"/>
    <w:rsid w:val="003D3FA0"/>
    <w:rsid w:val="003D4833"/>
    <w:rsid w:val="003D4866"/>
    <w:rsid w:val="003D6973"/>
    <w:rsid w:val="003D6D28"/>
    <w:rsid w:val="003D7710"/>
    <w:rsid w:val="003E00D7"/>
    <w:rsid w:val="003E0806"/>
    <w:rsid w:val="003E0EC0"/>
    <w:rsid w:val="003E1988"/>
    <w:rsid w:val="003E1F7E"/>
    <w:rsid w:val="003E1F9C"/>
    <w:rsid w:val="003E29A8"/>
    <w:rsid w:val="003E508B"/>
    <w:rsid w:val="003E574F"/>
    <w:rsid w:val="003E579A"/>
    <w:rsid w:val="003E5879"/>
    <w:rsid w:val="003E6B61"/>
    <w:rsid w:val="003F026C"/>
    <w:rsid w:val="003F051F"/>
    <w:rsid w:val="003F05DB"/>
    <w:rsid w:val="003F0F08"/>
    <w:rsid w:val="003F0F8D"/>
    <w:rsid w:val="003F1B48"/>
    <w:rsid w:val="003F22C1"/>
    <w:rsid w:val="003F22FE"/>
    <w:rsid w:val="003F3281"/>
    <w:rsid w:val="003F60E8"/>
    <w:rsid w:val="003F6C38"/>
    <w:rsid w:val="003F6CA7"/>
    <w:rsid w:val="003F75AE"/>
    <w:rsid w:val="003F76DD"/>
    <w:rsid w:val="003F7BDE"/>
    <w:rsid w:val="00401140"/>
    <w:rsid w:val="00401B18"/>
    <w:rsid w:val="00404D5C"/>
    <w:rsid w:val="00406C1A"/>
    <w:rsid w:val="004072F2"/>
    <w:rsid w:val="004075D2"/>
    <w:rsid w:val="00414565"/>
    <w:rsid w:val="00414F04"/>
    <w:rsid w:val="00417B5C"/>
    <w:rsid w:val="00420689"/>
    <w:rsid w:val="00420B99"/>
    <w:rsid w:val="00420DDA"/>
    <w:rsid w:val="004230F8"/>
    <w:rsid w:val="004233A3"/>
    <w:rsid w:val="00423C7A"/>
    <w:rsid w:val="00424730"/>
    <w:rsid w:val="00425DE5"/>
    <w:rsid w:val="00427AD6"/>
    <w:rsid w:val="00430605"/>
    <w:rsid w:val="00433451"/>
    <w:rsid w:val="00433ABB"/>
    <w:rsid w:val="004355BB"/>
    <w:rsid w:val="004362A5"/>
    <w:rsid w:val="004417AB"/>
    <w:rsid w:val="004423C7"/>
    <w:rsid w:val="00442B3C"/>
    <w:rsid w:val="004436FF"/>
    <w:rsid w:val="00443A55"/>
    <w:rsid w:val="00444982"/>
    <w:rsid w:val="0044625D"/>
    <w:rsid w:val="0045020C"/>
    <w:rsid w:val="004505F1"/>
    <w:rsid w:val="0045086F"/>
    <w:rsid w:val="00450E8C"/>
    <w:rsid w:val="00451D18"/>
    <w:rsid w:val="0045200C"/>
    <w:rsid w:val="004532E4"/>
    <w:rsid w:val="0045515A"/>
    <w:rsid w:val="004553A6"/>
    <w:rsid w:val="004569A1"/>
    <w:rsid w:val="00460F94"/>
    <w:rsid w:val="00461806"/>
    <w:rsid w:val="00462991"/>
    <w:rsid w:val="0046332F"/>
    <w:rsid w:val="00463D6F"/>
    <w:rsid w:val="00465DB6"/>
    <w:rsid w:val="004661A2"/>
    <w:rsid w:val="0046680B"/>
    <w:rsid w:val="00466C20"/>
    <w:rsid w:val="004701A7"/>
    <w:rsid w:val="00470AC8"/>
    <w:rsid w:val="00473466"/>
    <w:rsid w:val="004738DF"/>
    <w:rsid w:val="0047411C"/>
    <w:rsid w:val="004751DA"/>
    <w:rsid w:val="00475B88"/>
    <w:rsid w:val="00476174"/>
    <w:rsid w:val="004773CA"/>
    <w:rsid w:val="004774CF"/>
    <w:rsid w:val="00483AD3"/>
    <w:rsid w:val="00483AE8"/>
    <w:rsid w:val="004858CD"/>
    <w:rsid w:val="00486102"/>
    <w:rsid w:val="00486A08"/>
    <w:rsid w:val="0048793C"/>
    <w:rsid w:val="0049066C"/>
    <w:rsid w:val="004923DA"/>
    <w:rsid w:val="00494362"/>
    <w:rsid w:val="00494AD9"/>
    <w:rsid w:val="004962A1"/>
    <w:rsid w:val="00496559"/>
    <w:rsid w:val="0049713E"/>
    <w:rsid w:val="004A0218"/>
    <w:rsid w:val="004A036C"/>
    <w:rsid w:val="004A0B0F"/>
    <w:rsid w:val="004A474B"/>
    <w:rsid w:val="004A7346"/>
    <w:rsid w:val="004A76C6"/>
    <w:rsid w:val="004A793D"/>
    <w:rsid w:val="004A7CD7"/>
    <w:rsid w:val="004A7F11"/>
    <w:rsid w:val="004B0EB5"/>
    <w:rsid w:val="004B44AD"/>
    <w:rsid w:val="004B4AFB"/>
    <w:rsid w:val="004B521D"/>
    <w:rsid w:val="004B7736"/>
    <w:rsid w:val="004C2AA9"/>
    <w:rsid w:val="004C2DD5"/>
    <w:rsid w:val="004C3BC4"/>
    <w:rsid w:val="004C508F"/>
    <w:rsid w:val="004C5A88"/>
    <w:rsid w:val="004C6538"/>
    <w:rsid w:val="004C6F13"/>
    <w:rsid w:val="004D0714"/>
    <w:rsid w:val="004D0C4E"/>
    <w:rsid w:val="004D1A20"/>
    <w:rsid w:val="004D1BF5"/>
    <w:rsid w:val="004D252E"/>
    <w:rsid w:val="004D314B"/>
    <w:rsid w:val="004D483C"/>
    <w:rsid w:val="004D501A"/>
    <w:rsid w:val="004E1732"/>
    <w:rsid w:val="004E1E31"/>
    <w:rsid w:val="004E3EB0"/>
    <w:rsid w:val="004E49CB"/>
    <w:rsid w:val="004E50DA"/>
    <w:rsid w:val="004E7E28"/>
    <w:rsid w:val="004F1652"/>
    <w:rsid w:val="004F1E70"/>
    <w:rsid w:val="004F23BD"/>
    <w:rsid w:val="004F3431"/>
    <w:rsid w:val="004F3DB7"/>
    <w:rsid w:val="004F5F44"/>
    <w:rsid w:val="004F5FB8"/>
    <w:rsid w:val="004F649D"/>
    <w:rsid w:val="00503C60"/>
    <w:rsid w:val="005045C1"/>
    <w:rsid w:val="005047AC"/>
    <w:rsid w:val="005049FD"/>
    <w:rsid w:val="00506AEF"/>
    <w:rsid w:val="00506C53"/>
    <w:rsid w:val="005073A4"/>
    <w:rsid w:val="00511555"/>
    <w:rsid w:val="00511FE3"/>
    <w:rsid w:val="005124C3"/>
    <w:rsid w:val="00513CFB"/>
    <w:rsid w:val="005141B1"/>
    <w:rsid w:val="00514626"/>
    <w:rsid w:val="00515E5B"/>
    <w:rsid w:val="00517660"/>
    <w:rsid w:val="00517CBE"/>
    <w:rsid w:val="005214B6"/>
    <w:rsid w:val="00522119"/>
    <w:rsid w:val="005221E5"/>
    <w:rsid w:val="005232B3"/>
    <w:rsid w:val="00523437"/>
    <w:rsid w:val="00523ACC"/>
    <w:rsid w:val="00524CD2"/>
    <w:rsid w:val="005254A1"/>
    <w:rsid w:val="00526252"/>
    <w:rsid w:val="0052697B"/>
    <w:rsid w:val="00526CFB"/>
    <w:rsid w:val="0053135D"/>
    <w:rsid w:val="005313D2"/>
    <w:rsid w:val="005325A7"/>
    <w:rsid w:val="0053373B"/>
    <w:rsid w:val="005362BD"/>
    <w:rsid w:val="00536D65"/>
    <w:rsid w:val="00540AD8"/>
    <w:rsid w:val="00541518"/>
    <w:rsid w:val="00541A95"/>
    <w:rsid w:val="00541B46"/>
    <w:rsid w:val="00544191"/>
    <w:rsid w:val="00546E42"/>
    <w:rsid w:val="0054727C"/>
    <w:rsid w:val="0055053E"/>
    <w:rsid w:val="005513FA"/>
    <w:rsid w:val="00551DE5"/>
    <w:rsid w:val="00552118"/>
    <w:rsid w:val="00552711"/>
    <w:rsid w:val="00552FFE"/>
    <w:rsid w:val="00554E47"/>
    <w:rsid w:val="00554E6B"/>
    <w:rsid w:val="00556176"/>
    <w:rsid w:val="00556F7A"/>
    <w:rsid w:val="0055747F"/>
    <w:rsid w:val="00561F87"/>
    <w:rsid w:val="005623A4"/>
    <w:rsid w:val="00562E8D"/>
    <w:rsid w:val="00566454"/>
    <w:rsid w:val="0056779F"/>
    <w:rsid w:val="00570783"/>
    <w:rsid w:val="00570A9B"/>
    <w:rsid w:val="005726C1"/>
    <w:rsid w:val="0057291E"/>
    <w:rsid w:val="00572E52"/>
    <w:rsid w:val="005733C9"/>
    <w:rsid w:val="00573688"/>
    <w:rsid w:val="00574D8E"/>
    <w:rsid w:val="00575E9A"/>
    <w:rsid w:val="00576D29"/>
    <w:rsid w:val="005774A5"/>
    <w:rsid w:val="00581E24"/>
    <w:rsid w:val="00583539"/>
    <w:rsid w:val="00583A5A"/>
    <w:rsid w:val="00583A6C"/>
    <w:rsid w:val="00583EB4"/>
    <w:rsid w:val="005851FF"/>
    <w:rsid w:val="00586FEC"/>
    <w:rsid w:val="005876ED"/>
    <w:rsid w:val="0059106C"/>
    <w:rsid w:val="00592187"/>
    <w:rsid w:val="00593136"/>
    <w:rsid w:val="0059373A"/>
    <w:rsid w:val="005939FE"/>
    <w:rsid w:val="00594125"/>
    <w:rsid w:val="00594B38"/>
    <w:rsid w:val="005953EB"/>
    <w:rsid w:val="00595794"/>
    <w:rsid w:val="005975FF"/>
    <w:rsid w:val="00597769"/>
    <w:rsid w:val="005978D3"/>
    <w:rsid w:val="005A051A"/>
    <w:rsid w:val="005A05FA"/>
    <w:rsid w:val="005A2B7D"/>
    <w:rsid w:val="005A4115"/>
    <w:rsid w:val="005A4965"/>
    <w:rsid w:val="005A501D"/>
    <w:rsid w:val="005A58F8"/>
    <w:rsid w:val="005A5AD0"/>
    <w:rsid w:val="005A7101"/>
    <w:rsid w:val="005A7E9B"/>
    <w:rsid w:val="005B0B2C"/>
    <w:rsid w:val="005B1272"/>
    <w:rsid w:val="005B24CE"/>
    <w:rsid w:val="005B2FA5"/>
    <w:rsid w:val="005B3C94"/>
    <w:rsid w:val="005B50BD"/>
    <w:rsid w:val="005B54B8"/>
    <w:rsid w:val="005B624C"/>
    <w:rsid w:val="005C3DF9"/>
    <w:rsid w:val="005C458D"/>
    <w:rsid w:val="005C5B48"/>
    <w:rsid w:val="005D12C2"/>
    <w:rsid w:val="005D207E"/>
    <w:rsid w:val="005D27FB"/>
    <w:rsid w:val="005D32F3"/>
    <w:rsid w:val="005D3A8B"/>
    <w:rsid w:val="005D4202"/>
    <w:rsid w:val="005D4C4B"/>
    <w:rsid w:val="005D558F"/>
    <w:rsid w:val="005D5A22"/>
    <w:rsid w:val="005D6853"/>
    <w:rsid w:val="005D787F"/>
    <w:rsid w:val="005D79F7"/>
    <w:rsid w:val="005E1E2C"/>
    <w:rsid w:val="005E407A"/>
    <w:rsid w:val="005E5275"/>
    <w:rsid w:val="005E5F30"/>
    <w:rsid w:val="005E6B80"/>
    <w:rsid w:val="005F0F40"/>
    <w:rsid w:val="005F3032"/>
    <w:rsid w:val="005F36B4"/>
    <w:rsid w:val="005F3BBF"/>
    <w:rsid w:val="005F4285"/>
    <w:rsid w:val="005F43F2"/>
    <w:rsid w:val="005F47B2"/>
    <w:rsid w:val="005F6101"/>
    <w:rsid w:val="005F6A65"/>
    <w:rsid w:val="005F6EF3"/>
    <w:rsid w:val="00601B13"/>
    <w:rsid w:val="006022CD"/>
    <w:rsid w:val="006050B9"/>
    <w:rsid w:val="006054D5"/>
    <w:rsid w:val="006102D1"/>
    <w:rsid w:val="006130C3"/>
    <w:rsid w:val="006147A5"/>
    <w:rsid w:val="00614FAD"/>
    <w:rsid w:val="0061589C"/>
    <w:rsid w:val="00621CAF"/>
    <w:rsid w:val="0062297C"/>
    <w:rsid w:val="00623785"/>
    <w:rsid w:val="006245BB"/>
    <w:rsid w:val="006263EB"/>
    <w:rsid w:val="006272E3"/>
    <w:rsid w:val="00627C9B"/>
    <w:rsid w:val="0063081C"/>
    <w:rsid w:val="00630E14"/>
    <w:rsid w:val="00631727"/>
    <w:rsid w:val="0063269E"/>
    <w:rsid w:val="006329D8"/>
    <w:rsid w:val="00632FA1"/>
    <w:rsid w:val="00632FBA"/>
    <w:rsid w:val="00633169"/>
    <w:rsid w:val="00633C84"/>
    <w:rsid w:val="006354F2"/>
    <w:rsid w:val="006355EB"/>
    <w:rsid w:val="00635818"/>
    <w:rsid w:val="006363F7"/>
    <w:rsid w:val="00636B4B"/>
    <w:rsid w:val="006405AE"/>
    <w:rsid w:val="00641627"/>
    <w:rsid w:val="00641A49"/>
    <w:rsid w:val="00641C64"/>
    <w:rsid w:val="00644136"/>
    <w:rsid w:val="00644937"/>
    <w:rsid w:val="0064549F"/>
    <w:rsid w:val="00645726"/>
    <w:rsid w:val="006470E3"/>
    <w:rsid w:val="00652180"/>
    <w:rsid w:val="00652A68"/>
    <w:rsid w:val="00652F7B"/>
    <w:rsid w:val="00653000"/>
    <w:rsid w:val="00655314"/>
    <w:rsid w:val="00655F33"/>
    <w:rsid w:val="00656FF6"/>
    <w:rsid w:val="006577F1"/>
    <w:rsid w:val="00657C7C"/>
    <w:rsid w:val="00660301"/>
    <w:rsid w:val="006609EB"/>
    <w:rsid w:val="00662F84"/>
    <w:rsid w:val="006662D1"/>
    <w:rsid w:val="006663A5"/>
    <w:rsid w:val="00666A18"/>
    <w:rsid w:val="0067118E"/>
    <w:rsid w:val="00671743"/>
    <w:rsid w:val="00672988"/>
    <w:rsid w:val="00673539"/>
    <w:rsid w:val="006745BE"/>
    <w:rsid w:val="006762DE"/>
    <w:rsid w:val="006769D2"/>
    <w:rsid w:val="0068042E"/>
    <w:rsid w:val="006817A0"/>
    <w:rsid w:val="00683487"/>
    <w:rsid w:val="00683821"/>
    <w:rsid w:val="00683A09"/>
    <w:rsid w:val="00684520"/>
    <w:rsid w:val="00684842"/>
    <w:rsid w:val="00687C7D"/>
    <w:rsid w:val="00690A58"/>
    <w:rsid w:val="00690BF7"/>
    <w:rsid w:val="00693470"/>
    <w:rsid w:val="00693E24"/>
    <w:rsid w:val="00693FDD"/>
    <w:rsid w:val="006946CC"/>
    <w:rsid w:val="00695B09"/>
    <w:rsid w:val="00696EBA"/>
    <w:rsid w:val="00697497"/>
    <w:rsid w:val="006A0136"/>
    <w:rsid w:val="006A093F"/>
    <w:rsid w:val="006A2907"/>
    <w:rsid w:val="006A6079"/>
    <w:rsid w:val="006A7542"/>
    <w:rsid w:val="006B0782"/>
    <w:rsid w:val="006B29EA"/>
    <w:rsid w:val="006B2B3D"/>
    <w:rsid w:val="006B3D90"/>
    <w:rsid w:val="006B3FF6"/>
    <w:rsid w:val="006B4A7F"/>
    <w:rsid w:val="006B57D6"/>
    <w:rsid w:val="006B72AE"/>
    <w:rsid w:val="006C210B"/>
    <w:rsid w:val="006C274C"/>
    <w:rsid w:val="006C2DB8"/>
    <w:rsid w:val="006C34F3"/>
    <w:rsid w:val="006C3982"/>
    <w:rsid w:val="006C4D6B"/>
    <w:rsid w:val="006C55EB"/>
    <w:rsid w:val="006C6BF9"/>
    <w:rsid w:val="006D060D"/>
    <w:rsid w:val="006D1C3C"/>
    <w:rsid w:val="006D2F65"/>
    <w:rsid w:val="006D6A03"/>
    <w:rsid w:val="006D71DE"/>
    <w:rsid w:val="006D72A8"/>
    <w:rsid w:val="006E17FD"/>
    <w:rsid w:val="006E1E13"/>
    <w:rsid w:val="006E2111"/>
    <w:rsid w:val="006E2290"/>
    <w:rsid w:val="006E378E"/>
    <w:rsid w:val="006E457F"/>
    <w:rsid w:val="006E4A6B"/>
    <w:rsid w:val="006E632C"/>
    <w:rsid w:val="006E65E2"/>
    <w:rsid w:val="006E6677"/>
    <w:rsid w:val="006E6AA3"/>
    <w:rsid w:val="006F0345"/>
    <w:rsid w:val="006F0BD4"/>
    <w:rsid w:val="006F3474"/>
    <w:rsid w:val="006F4D96"/>
    <w:rsid w:val="006F5888"/>
    <w:rsid w:val="006F6147"/>
    <w:rsid w:val="006F6492"/>
    <w:rsid w:val="006F77C7"/>
    <w:rsid w:val="00700990"/>
    <w:rsid w:val="0070216E"/>
    <w:rsid w:val="00702D8F"/>
    <w:rsid w:val="007032DF"/>
    <w:rsid w:val="00703AE8"/>
    <w:rsid w:val="00704490"/>
    <w:rsid w:val="00704852"/>
    <w:rsid w:val="00705371"/>
    <w:rsid w:val="00705A06"/>
    <w:rsid w:val="0070717F"/>
    <w:rsid w:val="00713289"/>
    <w:rsid w:val="00713626"/>
    <w:rsid w:val="00714651"/>
    <w:rsid w:val="00716B09"/>
    <w:rsid w:val="0072033D"/>
    <w:rsid w:val="00720400"/>
    <w:rsid w:val="00720D26"/>
    <w:rsid w:val="00721EE5"/>
    <w:rsid w:val="00722249"/>
    <w:rsid w:val="00722487"/>
    <w:rsid w:val="00722E8D"/>
    <w:rsid w:val="00723877"/>
    <w:rsid w:val="00723C67"/>
    <w:rsid w:val="00724378"/>
    <w:rsid w:val="0072481C"/>
    <w:rsid w:val="00724D5D"/>
    <w:rsid w:val="007257D6"/>
    <w:rsid w:val="00725BEE"/>
    <w:rsid w:val="00725E53"/>
    <w:rsid w:val="00731554"/>
    <w:rsid w:val="00734558"/>
    <w:rsid w:val="00735E9D"/>
    <w:rsid w:val="00737C4B"/>
    <w:rsid w:val="00737F8E"/>
    <w:rsid w:val="00740241"/>
    <w:rsid w:val="0074024E"/>
    <w:rsid w:val="007405AD"/>
    <w:rsid w:val="00742F7E"/>
    <w:rsid w:val="0074431E"/>
    <w:rsid w:val="0074483C"/>
    <w:rsid w:val="00744EEE"/>
    <w:rsid w:val="007456C8"/>
    <w:rsid w:val="007465B6"/>
    <w:rsid w:val="00746CC3"/>
    <w:rsid w:val="007472FB"/>
    <w:rsid w:val="00750D91"/>
    <w:rsid w:val="007515CE"/>
    <w:rsid w:val="00752254"/>
    <w:rsid w:val="007533B8"/>
    <w:rsid w:val="00753EC9"/>
    <w:rsid w:val="007542A3"/>
    <w:rsid w:val="00754DCB"/>
    <w:rsid w:val="00756ABB"/>
    <w:rsid w:val="007574A1"/>
    <w:rsid w:val="00760DD1"/>
    <w:rsid w:val="00760FC9"/>
    <w:rsid w:val="00761087"/>
    <w:rsid w:val="00761545"/>
    <w:rsid w:val="007618DD"/>
    <w:rsid w:val="00762EAD"/>
    <w:rsid w:val="00765CC9"/>
    <w:rsid w:val="00770808"/>
    <w:rsid w:val="00770F46"/>
    <w:rsid w:val="00770F4B"/>
    <w:rsid w:val="0077113E"/>
    <w:rsid w:val="00771D02"/>
    <w:rsid w:val="007757D5"/>
    <w:rsid w:val="00776006"/>
    <w:rsid w:val="00776415"/>
    <w:rsid w:val="0077653F"/>
    <w:rsid w:val="00776789"/>
    <w:rsid w:val="007770EE"/>
    <w:rsid w:val="00780CC4"/>
    <w:rsid w:val="0078186F"/>
    <w:rsid w:val="007818A5"/>
    <w:rsid w:val="00781A8A"/>
    <w:rsid w:val="00781F28"/>
    <w:rsid w:val="00782117"/>
    <w:rsid w:val="00782471"/>
    <w:rsid w:val="00783F72"/>
    <w:rsid w:val="007854D7"/>
    <w:rsid w:val="00786765"/>
    <w:rsid w:val="00790847"/>
    <w:rsid w:val="00791AE9"/>
    <w:rsid w:val="00791CAD"/>
    <w:rsid w:val="00792780"/>
    <w:rsid w:val="007928C8"/>
    <w:rsid w:val="007932F9"/>
    <w:rsid w:val="00793529"/>
    <w:rsid w:val="00795225"/>
    <w:rsid w:val="00796E8C"/>
    <w:rsid w:val="0079704B"/>
    <w:rsid w:val="007972D7"/>
    <w:rsid w:val="0079742E"/>
    <w:rsid w:val="007A04E6"/>
    <w:rsid w:val="007A3029"/>
    <w:rsid w:val="007A4D7D"/>
    <w:rsid w:val="007A4F6D"/>
    <w:rsid w:val="007A5231"/>
    <w:rsid w:val="007A57C8"/>
    <w:rsid w:val="007A65CF"/>
    <w:rsid w:val="007A6FA1"/>
    <w:rsid w:val="007A797D"/>
    <w:rsid w:val="007B03DF"/>
    <w:rsid w:val="007B0ADA"/>
    <w:rsid w:val="007B0B5E"/>
    <w:rsid w:val="007B27CB"/>
    <w:rsid w:val="007B3B1A"/>
    <w:rsid w:val="007B3CE4"/>
    <w:rsid w:val="007B5818"/>
    <w:rsid w:val="007B7042"/>
    <w:rsid w:val="007B76C5"/>
    <w:rsid w:val="007C31CE"/>
    <w:rsid w:val="007C4C5F"/>
    <w:rsid w:val="007C6D16"/>
    <w:rsid w:val="007C6FF4"/>
    <w:rsid w:val="007D0660"/>
    <w:rsid w:val="007D0A16"/>
    <w:rsid w:val="007D0D2A"/>
    <w:rsid w:val="007D1B9A"/>
    <w:rsid w:val="007D2616"/>
    <w:rsid w:val="007D3083"/>
    <w:rsid w:val="007D38A6"/>
    <w:rsid w:val="007D60ED"/>
    <w:rsid w:val="007D6A86"/>
    <w:rsid w:val="007D7F0B"/>
    <w:rsid w:val="007E04B3"/>
    <w:rsid w:val="007E18F2"/>
    <w:rsid w:val="007E1CFC"/>
    <w:rsid w:val="007E1F89"/>
    <w:rsid w:val="007E4902"/>
    <w:rsid w:val="007E5514"/>
    <w:rsid w:val="007E5CE0"/>
    <w:rsid w:val="007E6031"/>
    <w:rsid w:val="007E6AF4"/>
    <w:rsid w:val="007F1B9C"/>
    <w:rsid w:val="007F234F"/>
    <w:rsid w:val="007F25A9"/>
    <w:rsid w:val="007F26D8"/>
    <w:rsid w:val="007F41A7"/>
    <w:rsid w:val="007F4D98"/>
    <w:rsid w:val="007F578E"/>
    <w:rsid w:val="007F5C73"/>
    <w:rsid w:val="007F7711"/>
    <w:rsid w:val="00800698"/>
    <w:rsid w:val="008009A8"/>
    <w:rsid w:val="008009F6"/>
    <w:rsid w:val="00801176"/>
    <w:rsid w:val="00801515"/>
    <w:rsid w:val="00801C54"/>
    <w:rsid w:val="008046F3"/>
    <w:rsid w:val="00805A24"/>
    <w:rsid w:val="008076AA"/>
    <w:rsid w:val="00811C75"/>
    <w:rsid w:val="00812684"/>
    <w:rsid w:val="00813B6F"/>
    <w:rsid w:val="00813EDA"/>
    <w:rsid w:val="0081462E"/>
    <w:rsid w:val="00814B7C"/>
    <w:rsid w:val="00814FD6"/>
    <w:rsid w:val="0081740B"/>
    <w:rsid w:val="00817D75"/>
    <w:rsid w:val="00821593"/>
    <w:rsid w:val="00821728"/>
    <w:rsid w:val="00822F00"/>
    <w:rsid w:val="00824E1D"/>
    <w:rsid w:val="00825123"/>
    <w:rsid w:val="008304CD"/>
    <w:rsid w:val="00831133"/>
    <w:rsid w:val="0083172B"/>
    <w:rsid w:val="00831AE0"/>
    <w:rsid w:val="00832FD9"/>
    <w:rsid w:val="008339CC"/>
    <w:rsid w:val="00835E09"/>
    <w:rsid w:val="00836FA8"/>
    <w:rsid w:val="00841D50"/>
    <w:rsid w:val="008422F8"/>
    <w:rsid w:val="0084291C"/>
    <w:rsid w:val="00843787"/>
    <w:rsid w:val="00843A35"/>
    <w:rsid w:val="00844905"/>
    <w:rsid w:val="00845939"/>
    <w:rsid w:val="00851CF6"/>
    <w:rsid w:val="008521D7"/>
    <w:rsid w:val="00854C8E"/>
    <w:rsid w:val="00854CEE"/>
    <w:rsid w:val="0085587F"/>
    <w:rsid w:val="00855C3E"/>
    <w:rsid w:val="0085691A"/>
    <w:rsid w:val="00861162"/>
    <w:rsid w:val="00861E79"/>
    <w:rsid w:val="00861E7C"/>
    <w:rsid w:val="008633BE"/>
    <w:rsid w:val="008642C4"/>
    <w:rsid w:val="00864BAF"/>
    <w:rsid w:val="00864DF6"/>
    <w:rsid w:val="00865A3D"/>
    <w:rsid w:val="00865BDC"/>
    <w:rsid w:val="00866786"/>
    <w:rsid w:val="00866A29"/>
    <w:rsid w:val="00867C54"/>
    <w:rsid w:val="00870BC2"/>
    <w:rsid w:val="00871C14"/>
    <w:rsid w:val="00872B8D"/>
    <w:rsid w:val="00872DC6"/>
    <w:rsid w:val="00873EEC"/>
    <w:rsid w:val="00874488"/>
    <w:rsid w:val="00874C49"/>
    <w:rsid w:val="008750E3"/>
    <w:rsid w:val="00875115"/>
    <w:rsid w:val="0087691A"/>
    <w:rsid w:val="00876C2A"/>
    <w:rsid w:val="0087765A"/>
    <w:rsid w:val="00877994"/>
    <w:rsid w:val="00877E99"/>
    <w:rsid w:val="00881A82"/>
    <w:rsid w:val="00881AA4"/>
    <w:rsid w:val="00881C00"/>
    <w:rsid w:val="008824FA"/>
    <w:rsid w:val="00882B81"/>
    <w:rsid w:val="008834B9"/>
    <w:rsid w:val="008844A3"/>
    <w:rsid w:val="00884545"/>
    <w:rsid w:val="0088479A"/>
    <w:rsid w:val="00885AAF"/>
    <w:rsid w:val="00886721"/>
    <w:rsid w:val="00886AAA"/>
    <w:rsid w:val="008875A0"/>
    <w:rsid w:val="00887D21"/>
    <w:rsid w:val="008900CD"/>
    <w:rsid w:val="008921AD"/>
    <w:rsid w:val="00892ACD"/>
    <w:rsid w:val="00893273"/>
    <w:rsid w:val="00895E49"/>
    <w:rsid w:val="00897488"/>
    <w:rsid w:val="00897657"/>
    <w:rsid w:val="00897E63"/>
    <w:rsid w:val="008A33C8"/>
    <w:rsid w:val="008A406C"/>
    <w:rsid w:val="008A5ABB"/>
    <w:rsid w:val="008B08E6"/>
    <w:rsid w:val="008B5C81"/>
    <w:rsid w:val="008B6094"/>
    <w:rsid w:val="008B6D2D"/>
    <w:rsid w:val="008B7196"/>
    <w:rsid w:val="008B7ADF"/>
    <w:rsid w:val="008C0821"/>
    <w:rsid w:val="008C1122"/>
    <w:rsid w:val="008C15B2"/>
    <w:rsid w:val="008C1B50"/>
    <w:rsid w:val="008C297D"/>
    <w:rsid w:val="008C3E4B"/>
    <w:rsid w:val="008C4361"/>
    <w:rsid w:val="008C5497"/>
    <w:rsid w:val="008C7DFB"/>
    <w:rsid w:val="008D0257"/>
    <w:rsid w:val="008D0DFE"/>
    <w:rsid w:val="008D1973"/>
    <w:rsid w:val="008D42E8"/>
    <w:rsid w:val="008D4BB2"/>
    <w:rsid w:val="008D5492"/>
    <w:rsid w:val="008D65B9"/>
    <w:rsid w:val="008D7BA1"/>
    <w:rsid w:val="008D7E4B"/>
    <w:rsid w:val="008D7E5C"/>
    <w:rsid w:val="008E0461"/>
    <w:rsid w:val="008E0D0E"/>
    <w:rsid w:val="008E0EE4"/>
    <w:rsid w:val="008E4124"/>
    <w:rsid w:val="008E44C0"/>
    <w:rsid w:val="008E57AC"/>
    <w:rsid w:val="008E6015"/>
    <w:rsid w:val="008E6AFF"/>
    <w:rsid w:val="008E7FD5"/>
    <w:rsid w:val="008F05D0"/>
    <w:rsid w:val="008F19C8"/>
    <w:rsid w:val="008F2115"/>
    <w:rsid w:val="008F27EE"/>
    <w:rsid w:val="008F4521"/>
    <w:rsid w:val="008F6BFD"/>
    <w:rsid w:val="008F77DF"/>
    <w:rsid w:val="008F7EC9"/>
    <w:rsid w:val="0090035F"/>
    <w:rsid w:val="0090133E"/>
    <w:rsid w:val="00901AE1"/>
    <w:rsid w:val="00902833"/>
    <w:rsid w:val="00903044"/>
    <w:rsid w:val="00903515"/>
    <w:rsid w:val="00903732"/>
    <w:rsid w:val="00904501"/>
    <w:rsid w:val="0090501F"/>
    <w:rsid w:val="009052AC"/>
    <w:rsid w:val="009070F9"/>
    <w:rsid w:val="009100E6"/>
    <w:rsid w:val="0091040E"/>
    <w:rsid w:val="00910A32"/>
    <w:rsid w:val="009122CF"/>
    <w:rsid w:val="009128C2"/>
    <w:rsid w:val="009147C5"/>
    <w:rsid w:val="0091679F"/>
    <w:rsid w:val="009172C4"/>
    <w:rsid w:val="00920320"/>
    <w:rsid w:val="00920CFE"/>
    <w:rsid w:val="009222A6"/>
    <w:rsid w:val="009222F6"/>
    <w:rsid w:val="0092324F"/>
    <w:rsid w:val="00923485"/>
    <w:rsid w:val="009235D3"/>
    <w:rsid w:val="00923E73"/>
    <w:rsid w:val="009244CD"/>
    <w:rsid w:val="0092517E"/>
    <w:rsid w:val="00925F64"/>
    <w:rsid w:val="009267D3"/>
    <w:rsid w:val="00926991"/>
    <w:rsid w:val="00926C61"/>
    <w:rsid w:val="00927DE2"/>
    <w:rsid w:val="00930F17"/>
    <w:rsid w:val="009323B7"/>
    <w:rsid w:val="00933AB0"/>
    <w:rsid w:val="0093403D"/>
    <w:rsid w:val="00934778"/>
    <w:rsid w:val="009354FA"/>
    <w:rsid w:val="009366B1"/>
    <w:rsid w:val="00937057"/>
    <w:rsid w:val="00937E4A"/>
    <w:rsid w:val="00941278"/>
    <w:rsid w:val="0094160C"/>
    <w:rsid w:val="00941961"/>
    <w:rsid w:val="00942CE5"/>
    <w:rsid w:val="009448FA"/>
    <w:rsid w:val="00946EC8"/>
    <w:rsid w:val="0095112F"/>
    <w:rsid w:val="009515B8"/>
    <w:rsid w:val="00952934"/>
    <w:rsid w:val="00952BD3"/>
    <w:rsid w:val="009544A3"/>
    <w:rsid w:val="0095471B"/>
    <w:rsid w:val="00954852"/>
    <w:rsid w:val="00954A1F"/>
    <w:rsid w:val="00957A45"/>
    <w:rsid w:val="0096356F"/>
    <w:rsid w:val="009654C7"/>
    <w:rsid w:val="00966FD8"/>
    <w:rsid w:val="0097073A"/>
    <w:rsid w:val="0097175B"/>
    <w:rsid w:val="009731CA"/>
    <w:rsid w:val="0097493A"/>
    <w:rsid w:val="00974BE8"/>
    <w:rsid w:val="00974D92"/>
    <w:rsid w:val="009761B2"/>
    <w:rsid w:val="009762F9"/>
    <w:rsid w:val="00976344"/>
    <w:rsid w:val="00977A6C"/>
    <w:rsid w:val="009855CB"/>
    <w:rsid w:val="00985805"/>
    <w:rsid w:val="00986FE4"/>
    <w:rsid w:val="009872CD"/>
    <w:rsid w:val="0099042A"/>
    <w:rsid w:val="00990898"/>
    <w:rsid w:val="00990CB3"/>
    <w:rsid w:val="0099158A"/>
    <w:rsid w:val="009916CE"/>
    <w:rsid w:val="009917F6"/>
    <w:rsid w:val="00994E66"/>
    <w:rsid w:val="00995889"/>
    <w:rsid w:val="009A015A"/>
    <w:rsid w:val="009A0B2B"/>
    <w:rsid w:val="009A0D36"/>
    <w:rsid w:val="009A21CF"/>
    <w:rsid w:val="009A3869"/>
    <w:rsid w:val="009A3E02"/>
    <w:rsid w:val="009A3FFE"/>
    <w:rsid w:val="009A6753"/>
    <w:rsid w:val="009A6819"/>
    <w:rsid w:val="009A6C66"/>
    <w:rsid w:val="009A709D"/>
    <w:rsid w:val="009B0146"/>
    <w:rsid w:val="009B24D7"/>
    <w:rsid w:val="009B5B3A"/>
    <w:rsid w:val="009B6CBC"/>
    <w:rsid w:val="009B7469"/>
    <w:rsid w:val="009B7EAE"/>
    <w:rsid w:val="009C0CC3"/>
    <w:rsid w:val="009C1358"/>
    <w:rsid w:val="009C1D2C"/>
    <w:rsid w:val="009C2C7A"/>
    <w:rsid w:val="009C2D74"/>
    <w:rsid w:val="009C303D"/>
    <w:rsid w:val="009C36D8"/>
    <w:rsid w:val="009C3799"/>
    <w:rsid w:val="009C42F5"/>
    <w:rsid w:val="009C5636"/>
    <w:rsid w:val="009C653C"/>
    <w:rsid w:val="009C7C10"/>
    <w:rsid w:val="009C7CEF"/>
    <w:rsid w:val="009D016C"/>
    <w:rsid w:val="009D07FA"/>
    <w:rsid w:val="009D0BC5"/>
    <w:rsid w:val="009D16BA"/>
    <w:rsid w:val="009D2792"/>
    <w:rsid w:val="009D2C25"/>
    <w:rsid w:val="009D35E9"/>
    <w:rsid w:val="009D3AE7"/>
    <w:rsid w:val="009D411B"/>
    <w:rsid w:val="009D4DED"/>
    <w:rsid w:val="009D5499"/>
    <w:rsid w:val="009D585B"/>
    <w:rsid w:val="009D59D9"/>
    <w:rsid w:val="009D62E7"/>
    <w:rsid w:val="009D64C1"/>
    <w:rsid w:val="009D6B7B"/>
    <w:rsid w:val="009E0360"/>
    <w:rsid w:val="009E2E58"/>
    <w:rsid w:val="009E40F4"/>
    <w:rsid w:val="009E604B"/>
    <w:rsid w:val="009E6EA8"/>
    <w:rsid w:val="009E7B22"/>
    <w:rsid w:val="009E7D1B"/>
    <w:rsid w:val="009E7E1B"/>
    <w:rsid w:val="009F06A1"/>
    <w:rsid w:val="009F18E9"/>
    <w:rsid w:val="009F1C72"/>
    <w:rsid w:val="009F1E53"/>
    <w:rsid w:val="009F215F"/>
    <w:rsid w:val="009F2D54"/>
    <w:rsid w:val="009F3098"/>
    <w:rsid w:val="009F3C33"/>
    <w:rsid w:val="009F4194"/>
    <w:rsid w:val="009F4ACF"/>
    <w:rsid w:val="009F4B5E"/>
    <w:rsid w:val="009F4E66"/>
    <w:rsid w:val="009F4FDB"/>
    <w:rsid w:val="00A004AC"/>
    <w:rsid w:val="00A01715"/>
    <w:rsid w:val="00A03840"/>
    <w:rsid w:val="00A03AC7"/>
    <w:rsid w:val="00A03F71"/>
    <w:rsid w:val="00A04C3C"/>
    <w:rsid w:val="00A05DA8"/>
    <w:rsid w:val="00A05F5B"/>
    <w:rsid w:val="00A06E4C"/>
    <w:rsid w:val="00A071BB"/>
    <w:rsid w:val="00A07A88"/>
    <w:rsid w:val="00A10FE5"/>
    <w:rsid w:val="00A11984"/>
    <w:rsid w:val="00A122A1"/>
    <w:rsid w:val="00A13041"/>
    <w:rsid w:val="00A13330"/>
    <w:rsid w:val="00A13731"/>
    <w:rsid w:val="00A160D8"/>
    <w:rsid w:val="00A161F9"/>
    <w:rsid w:val="00A1746C"/>
    <w:rsid w:val="00A17B82"/>
    <w:rsid w:val="00A21730"/>
    <w:rsid w:val="00A228A2"/>
    <w:rsid w:val="00A23032"/>
    <w:rsid w:val="00A23B85"/>
    <w:rsid w:val="00A2549F"/>
    <w:rsid w:val="00A25644"/>
    <w:rsid w:val="00A2659A"/>
    <w:rsid w:val="00A26E39"/>
    <w:rsid w:val="00A27642"/>
    <w:rsid w:val="00A327ED"/>
    <w:rsid w:val="00A3558F"/>
    <w:rsid w:val="00A356D7"/>
    <w:rsid w:val="00A358FA"/>
    <w:rsid w:val="00A37B74"/>
    <w:rsid w:val="00A37BC3"/>
    <w:rsid w:val="00A37E10"/>
    <w:rsid w:val="00A40416"/>
    <w:rsid w:val="00A4165C"/>
    <w:rsid w:val="00A41D11"/>
    <w:rsid w:val="00A42D90"/>
    <w:rsid w:val="00A436E2"/>
    <w:rsid w:val="00A44049"/>
    <w:rsid w:val="00A44D14"/>
    <w:rsid w:val="00A4577A"/>
    <w:rsid w:val="00A45FB2"/>
    <w:rsid w:val="00A46F13"/>
    <w:rsid w:val="00A47C28"/>
    <w:rsid w:val="00A51104"/>
    <w:rsid w:val="00A534C7"/>
    <w:rsid w:val="00A5354C"/>
    <w:rsid w:val="00A545AE"/>
    <w:rsid w:val="00A55447"/>
    <w:rsid w:val="00A560CF"/>
    <w:rsid w:val="00A5653E"/>
    <w:rsid w:val="00A5747E"/>
    <w:rsid w:val="00A57CBC"/>
    <w:rsid w:val="00A57EE2"/>
    <w:rsid w:val="00A60914"/>
    <w:rsid w:val="00A611E2"/>
    <w:rsid w:val="00A63579"/>
    <w:rsid w:val="00A65920"/>
    <w:rsid w:val="00A672E7"/>
    <w:rsid w:val="00A70DF8"/>
    <w:rsid w:val="00A7119A"/>
    <w:rsid w:val="00A7158F"/>
    <w:rsid w:val="00A718DA"/>
    <w:rsid w:val="00A73F41"/>
    <w:rsid w:val="00A748E0"/>
    <w:rsid w:val="00A80FA1"/>
    <w:rsid w:val="00A81439"/>
    <w:rsid w:val="00A82357"/>
    <w:rsid w:val="00A82BE6"/>
    <w:rsid w:val="00A83301"/>
    <w:rsid w:val="00A84DBA"/>
    <w:rsid w:val="00A84FD7"/>
    <w:rsid w:val="00A87FF7"/>
    <w:rsid w:val="00A9064B"/>
    <w:rsid w:val="00A91024"/>
    <w:rsid w:val="00A9294A"/>
    <w:rsid w:val="00A92BC2"/>
    <w:rsid w:val="00A9569A"/>
    <w:rsid w:val="00A95874"/>
    <w:rsid w:val="00A97714"/>
    <w:rsid w:val="00AA0A9A"/>
    <w:rsid w:val="00AA277B"/>
    <w:rsid w:val="00AA2AD8"/>
    <w:rsid w:val="00AA3559"/>
    <w:rsid w:val="00AA3EFF"/>
    <w:rsid w:val="00AA4CD5"/>
    <w:rsid w:val="00AA52DF"/>
    <w:rsid w:val="00AA5FCD"/>
    <w:rsid w:val="00AA6AC3"/>
    <w:rsid w:val="00AA6CF1"/>
    <w:rsid w:val="00AA7B3D"/>
    <w:rsid w:val="00AB0168"/>
    <w:rsid w:val="00AB019A"/>
    <w:rsid w:val="00AB1A50"/>
    <w:rsid w:val="00AB25C3"/>
    <w:rsid w:val="00AB2E8B"/>
    <w:rsid w:val="00AB3262"/>
    <w:rsid w:val="00AB5D4C"/>
    <w:rsid w:val="00AC0A2C"/>
    <w:rsid w:val="00AC0B4C"/>
    <w:rsid w:val="00AC13A2"/>
    <w:rsid w:val="00AC1BA6"/>
    <w:rsid w:val="00AC3EFD"/>
    <w:rsid w:val="00AC604D"/>
    <w:rsid w:val="00AC7531"/>
    <w:rsid w:val="00AD0754"/>
    <w:rsid w:val="00AD1020"/>
    <w:rsid w:val="00AD1B8F"/>
    <w:rsid w:val="00AD3F43"/>
    <w:rsid w:val="00AD4FCF"/>
    <w:rsid w:val="00AD578E"/>
    <w:rsid w:val="00AD6F35"/>
    <w:rsid w:val="00AD7DA8"/>
    <w:rsid w:val="00AE1D82"/>
    <w:rsid w:val="00AE41AC"/>
    <w:rsid w:val="00AE54E3"/>
    <w:rsid w:val="00AE6344"/>
    <w:rsid w:val="00AE7630"/>
    <w:rsid w:val="00AF0B13"/>
    <w:rsid w:val="00AF13D4"/>
    <w:rsid w:val="00AF1F85"/>
    <w:rsid w:val="00AF51FD"/>
    <w:rsid w:val="00AF58C4"/>
    <w:rsid w:val="00AF7B5E"/>
    <w:rsid w:val="00AF7D40"/>
    <w:rsid w:val="00B00240"/>
    <w:rsid w:val="00B04C6B"/>
    <w:rsid w:val="00B06CD5"/>
    <w:rsid w:val="00B07F4B"/>
    <w:rsid w:val="00B1032F"/>
    <w:rsid w:val="00B10C3A"/>
    <w:rsid w:val="00B11492"/>
    <w:rsid w:val="00B117B5"/>
    <w:rsid w:val="00B125EB"/>
    <w:rsid w:val="00B14051"/>
    <w:rsid w:val="00B147BE"/>
    <w:rsid w:val="00B14916"/>
    <w:rsid w:val="00B1653C"/>
    <w:rsid w:val="00B16F38"/>
    <w:rsid w:val="00B172AE"/>
    <w:rsid w:val="00B17FBE"/>
    <w:rsid w:val="00B228BB"/>
    <w:rsid w:val="00B22AAB"/>
    <w:rsid w:val="00B23DD7"/>
    <w:rsid w:val="00B24C6F"/>
    <w:rsid w:val="00B26A0A"/>
    <w:rsid w:val="00B26EF3"/>
    <w:rsid w:val="00B27D7F"/>
    <w:rsid w:val="00B317CF"/>
    <w:rsid w:val="00B33D63"/>
    <w:rsid w:val="00B34A94"/>
    <w:rsid w:val="00B34AF7"/>
    <w:rsid w:val="00B3527A"/>
    <w:rsid w:val="00B352CD"/>
    <w:rsid w:val="00B355BC"/>
    <w:rsid w:val="00B35FD6"/>
    <w:rsid w:val="00B3620A"/>
    <w:rsid w:val="00B36258"/>
    <w:rsid w:val="00B36A86"/>
    <w:rsid w:val="00B40C7E"/>
    <w:rsid w:val="00B4293E"/>
    <w:rsid w:val="00B43B55"/>
    <w:rsid w:val="00B45D2C"/>
    <w:rsid w:val="00B4645E"/>
    <w:rsid w:val="00B50917"/>
    <w:rsid w:val="00B51B44"/>
    <w:rsid w:val="00B51E0C"/>
    <w:rsid w:val="00B535A3"/>
    <w:rsid w:val="00B53FAD"/>
    <w:rsid w:val="00B5423B"/>
    <w:rsid w:val="00B5568E"/>
    <w:rsid w:val="00B55CD1"/>
    <w:rsid w:val="00B55E11"/>
    <w:rsid w:val="00B57753"/>
    <w:rsid w:val="00B61F2C"/>
    <w:rsid w:val="00B62CE1"/>
    <w:rsid w:val="00B63338"/>
    <w:rsid w:val="00B63779"/>
    <w:rsid w:val="00B6501F"/>
    <w:rsid w:val="00B65E43"/>
    <w:rsid w:val="00B672FB"/>
    <w:rsid w:val="00B70138"/>
    <w:rsid w:val="00B70282"/>
    <w:rsid w:val="00B71060"/>
    <w:rsid w:val="00B71508"/>
    <w:rsid w:val="00B71980"/>
    <w:rsid w:val="00B72339"/>
    <w:rsid w:val="00B7265C"/>
    <w:rsid w:val="00B738E0"/>
    <w:rsid w:val="00B7435B"/>
    <w:rsid w:val="00B76F94"/>
    <w:rsid w:val="00B80769"/>
    <w:rsid w:val="00B80F32"/>
    <w:rsid w:val="00B8128E"/>
    <w:rsid w:val="00B84DC8"/>
    <w:rsid w:val="00B85161"/>
    <w:rsid w:val="00B870D1"/>
    <w:rsid w:val="00B90A5D"/>
    <w:rsid w:val="00B92776"/>
    <w:rsid w:val="00B92986"/>
    <w:rsid w:val="00B93E9B"/>
    <w:rsid w:val="00B946A4"/>
    <w:rsid w:val="00B957A9"/>
    <w:rsid w:val="00B95D42"/>
    <w:rsid w:val="00B9639C"/>
    <w:rsid w:val="00B96AD2"/>
    <w:rsid w:val="00B96E80"/>
    <w:rsid w:val="00BA439A"/>
    <w:rsid w:val="00BA7331"/>
    <w:rsid w:val="00BA7358"/>
    <w:rsid w:val="00BA7778"/>
    <w:rsid w:val="00BB2A3D"/>
    <w:rsid w:val="00BB3064"/>
    <w:rsid w:val="00BB56F3"/>
    <w:rsid w:val="00BB57E1"/>
    <w:rsid w:val="00BB64CE"/>
    <w:rsid w:val="00BB6EFD"/>
    <w:rsid w:val="00BC151E"/>
    <w:rsid w:val="00BC2D19"/>
    <w:rsid w:val="00BC3152"/>
    <w:rsid w:val="00BC3281"/>
    <w:rsid w:val="00BC4A44"/>
    <w:rsid w:val="00BC4E97"/>
    <w:rsid w:val="00BC7232"/>
    <w:rsid w:val="00BC74AD"/>
    <w:rsid w:val="00BD028B"/>
    <w:rsid w:val="00BD076D"/>
    <w:rsid w:val="00BD11DC"/>
    <w:rsid w:val="00BD19B5"/>
    <w:rsid w:val="00BD1F42"/>
    <w:rsid w:val="00BD629C"/>
    <w:rsid w:val="00BD785D"/>
    <w:rsid w:val="00BE004D"/>
    <w:rsid w:val="00BE0529"/>
    <w:rsid w:val="00BE244B"/>
    <w:rsid w:val="00BE2F7E"/>
    <w:rsid w:val="00BE34D1"/>
    <w:rsid w:val="00BE38D6"/>
    <w:rsid w:val="00BE3974"/>
    <w:rsid w:val="00BE44D9"/>
    <w:rsid w:val="00BE4DDE"/>
    <w:rsid w:val="00BF08DF"/>
    <w:rsid w:val="00BF10E5"/>
    <w:rsid w:val="00BF1DF6"/>
    <w:rsid w:val="00BF2EB4"/>
    <w:rsid w:val="00BF3CA0"/>
    <w:rsid w:val="00BF3E1D"/>
    <w:rsid w:val="00BF5CD5"/>
    <w:rsid w:val="00BF71E8"/>
    <w:rsid w:val="00C00A72"/>
    <w:rsid w:val="00C0258E"/>
    <w:rsid w:val="00C0283A"/>
    <w:rsid w:val="00C02A45"/>
    <w:rsid w:val="00C03C07"/>
    <w:rsid w:val="00C040AD"/>
    <w:rsid w:val="00C04503"/>
    <w:rsid w:val="00C045F5"/>
    <w:rsid w:val="00C05578"/>
    <w:rsid w:val="00C06536"/>
    <w:rsid w:val="00C06E65"/>
    <w:rsid w:val="00C1062D"/>
    <w:rsid w:val="00C10A44"/>
    <w:rsid w:val="00C12B9D"/>
    <w:rsid w:val="00C13B3E"/>
    <w:rsid w:val="00C14B2F"/>
    <w:rsid w:val="00C163C4"/>
    <w:rsid w:val="00C16D9A"/>
    <w:rsid w:val="00C205E2"/>
    <w:rsid w:val="00C21044"/>
    <w:rsid w:val="00C22666"/>
    <w:rsid w:val="00C2327F"/>
    <w:rsid w:val="00C253ED"/>
    <w:rsid w:val="00C266A4"/>
    <w:rsid w:val="00C277A4"/>
    <w:rsid w:val="00C30738"/>
    <w:rsid w:val="00C30C73"/>
    <w:rsid w:val="00C3193B"/>
    <w:rsid w:val="00C31C6E"/>
    <w:rsid w:val="00C32492"/>
    <w:rsid w:val="00C33946"/>
    <w:rsid w:val="00C33FFF"/>
    <w:rsid w:val="00C3598C"/>
    <w:rsid w:val="00C35AEE"/>
    <w:rsid w:val="00C35BD0"/>
    <w:rsid w:val="00C35DCE"/>
    <w:rsid w:val="00C37511"/>
    <w:rsid w:val="00C376C7"/>
    <w:rsid w:val="00C37756"/>
    <w:rsid w:val="00C37DAD"/>
    <w:rsid w:val="00C37F88"/>
    <w:rsid w:val="00C40C7C"/>
    <w:rsid w:val="00C4154B"/>
    <w:rsid w:val="00C42036"/>
    <w:rsid w:val="00C42322"/>
    <w:rsid w:val="00C43C3F"/>
    <w:rsid w:val="00C441E3"/>
    <w:rsid w:val="00C4651A"/>
    <w:rsid w:val="00C478FE"/>
    <w:rsid w:val="00C47A30"/>
    <w:rsid w:val="00C51417"/>
    <w:rsid w:val="00C520F5"/>
    <w:rsid w:val="00C524F1"/>
    <w:rsid w:val="00C541EE"/>
    <w:rsid w:val="00C54B60"/>
    <w:rsid w:val="00C55564"/>
    <w:rsid w:val="00C56057"/>
    <w:rsid w:val="00C5655E"/>
    <w:rsid w:val="00C57034"/>
    <w:rsid w:val="00C6178C"/>
    <w:rsid w:val="00C62136"/>
    <w:rsid w:val="00C64143"/>
    <w:rsid w:val="00C64DF5"/>
    <w:rsid w:val="00C65694"/>
    <w:rsid w:val="00C65857"/>
    <w:rsid w:val="00C66D1D"/>
    <w:rsid w:val="00C67A44"/>
    <w:rsid w:val="00C701B0"/>
    <w:rsid w:val="00C717A1"/>
    <w:rsid w:val="00C72341"/>
    <w:rsid w:val="00C731F3"/>
    <w:rsid w:val="00C74E83"/>
    <w:rsid w:val="00C7712D"/>
    <w:rsid w:val="00C800C8"/>
    <w:rsid w:val="00C80581"/>
    <w:rsid w:val="00C82195"/>
    <w:rsid w:val="00C85A09"/>
    <w:rsid w:val="00C878D9"/>
    <w:rsid w:val="00C911AC"/>
    <w:rsid w:val="00C91439"/>
    <w:rsid w:val="00C97120"/>
    <w:rsid w:val="00C977D5"/>
    <w:rsid w:val="00CA2B97"/>
    <w:rsid w:val="00CA574E"/>
    <w:rsid w:val="00CA64EB"/>
    <w:rsid w:val="00CA7947"/>
    <w:rsid w:val="00CB0760"/>
    <w:rsid w:val="00CB0BD8"/>
    <w:rsid w:val="00CB0E61"/>
    <w:rsid w:val="00CB152A"/>
    <w:rsid w:val="00CB1DE3"/>
    <w:rsid w:val="00CB2AF5"/>
    <w:rsid w:val="00CB3718"/>
    <w:rsid w:val="00CB5733"/>
    <w:rsid w:val="00CB643E"/>
    <w:rsid w:val="00CC0538"/>
    <w:rsid w:val="00CC1306"/>
    <w:rsid w:val="00CC32DD"/>
    <w:rsid w:val="00CC4A4F"/>
    <w:rsid w:val="00CC75E0"/>
    <w:rsid w:val="00CD2BBC"/>
    <w:rsid w:val="00CD324D"/>
    <w:rsid w:val="00CD3CC3"/>
    <w:rsid w:val="00CD48D4"/>
    <w:rsid w:val="00CD496C"/>
    <w:rsid w:val="00CD7B74"/>
    <w:rsid w:val="00CE011B"/>
    <w:rsid w:val="00CE01F6"/>
    <w:rsid w:val="00CE0B09"/>
    <w:rsid w:val="00CE0D51"/>
    <w:rsid w:val="00CE2650"/>
    <w:rsid w:val="00CE3CB2"/>
    <w:rsid w:val="00CE48A2"/>
    <w:rsid w:val="00CE4A86"/>
    <w:rsid w:val="00CE5026"/>
    <w:rsid w:val="00CE5E3C"/>
    <w:rsid w:val="00CE6587"/>
    <w:rsid w:val="00CF054E"/>
    <w:rsid w:val="00CF1897"/>
    <w:rsid w:val="00CF1951"/>
    <w:rsid w:val="00CF1B05"/>
    <w:rsid w:val="00CF2C45"/>
    <w:rsid w:val="00CF2F4B"/>
    <w:rsid w:val="00D002A8"/>
    <w:rsid w:val="00D011AA"/>
    <w:rsid w:val="00D01493"/>
    <w:rsid w:val="00D02784"/>
    <w:rsid w:val="00D04962"/>
    <w:rsid w:val="00D04A27"/>
    <w:rsid w:val="00D04A40"/>
    <w:rsid w:val="00D04BCB"/>
    <w:rsid w:val="00D050A1"/>
    <w:rsid w:val="00D051CA"/>
    <w:rsid w:val="00D05697"/>
    <w:rsid w:val="00D05F0E"/>
    <w:rsid w:val="00D06B63"/>
    <w:rsid w:val="00D114D0"/>
    <w:rsid w:val="00D11B42"/>
    <w:rsid w:val="00D11F4B"/>
    <w:rsid w:val="00D1282A"/>
    <w:rsid w:val="00D1310F"/>
    <w:rsid w:val="00D150B5"/>
    <w:rsid w:val="00D15499"/>
    <w:rsid w:val="00D15FCB"/>
    <w:rsid w:val="00D1623A"/>
    <w:rsid w:val="00D16705"/>
    <w:rsid w:val="00D1726C"/>
    <w:rsid w:val="00D17794"/>
    <w:rsid w:val="00D17A96"/>
    <w:rsid w:val="00D20CB6"/>
    <w:rsid w:val="00D21647"/>
    <w:rsid w:val="00D219B9"/>
    <w:rsid w:val="00D2526A"/>
    <w:rsid w:val="00D25480"/>
    <w:rsid w:val="00D26189"/>
    <w:rsid w:val="00D310D9"/>
    <w:rsid w:val="00D315EA"/>
    <w:rsid w:val="00D32384"/>
    <w:rsid w:val="00D33055"/>
    <w:rsid w:val="00D33F94"/>
    <w:rsid w:val="00D351DB"/>
    <w:rsid w:val="00D3537A"/>
    <w:rsid w:val="00D365E9"/>
    <w:rsid w:val="00D37172"/>
    <w:rsid w:val="00D409DE"/>
    <w:rsid w:val="00D416E9"/>
    <w:rsid w:val="00D419DA"/>
    <w:rsid w:val="00D423D6"/>
    <w:rsid w:val="00D43607"/>
    <w:rsid w:val="00D43B70"/>
    <w:rsid w:val="00D44147"/>
    <w:rsid w:val="00D447E1"/>
    <w:rsid w:val="00D45006"/>
    <w:rsid w:val="00D4520B"/>
    <w:rsid w:val="00D45FF8"/>
    <w:rsid w:val="00D46370"/>
    <w:rsid w:val="00D46E47"/>
    <w:rsid w:val="00D50AA8"/>
    <w:rsid w:val="00D50AC2"/>
    <w:rsid w:val="00D53446"/>
    <w:rsid w:val="00D547DD"/>
    <w:rsid w:val="00D552B6"/>
    <w:rsid w:val="00D553C8"/>
    <w:rsid w:val="00D56716"/>
    <w:rsid w:val="00D576F8"/>
    <w:rsid w:val="00D57B7C"/>
    <w:rsid w:val="00D61474"/>
    <w:rsid w:val="00D61845"/>
    <w:rsid w:val="00D62A9D"/>
    <w:rsid w:val="00D63874"/>
    <w:rsid w:val="00D64F11"/>
    <w:rsid w:val="00D658E3"/>
    <w:rsid w:val="00D65B60"/>
    <w:rsid w:val="00D65DCB"/>
    <w:rsid w:val="00D70884"/>
    <w:rsid w:val="00D71A07"/>
    <w:rsid w:val="00D73557"/>
    <w:rsid w:val="00D74512"/>
    <w:rsid w:val="00D75506"/>
    <w:rsid w:val="00D757F8"/>
    <w:rsid w:val="00D76928"/>
    <w:rsid w:val="00D76BE6"/>
    <w:rsid w:val="00D76C44"/>
    <w:rsid w:val="00D76EDE"/>
    <w:rsid w:val="00D77D4A"/>
    <w:rsid w:val="00D805FF"/>
    <w:rsid w:val="00D80770"/>
    <w:rsid w:val="00D80900"/>
    <w:rsid w:val="00D817CF"/>
    <w:rsid w:val="00D81CBE"/>
    <w:rsid w:val="00D848C3"/>
    <w:rsid w:val="00D84D98"/>
    <w:rsid w:val="00D85000"/>
    <w:rsid w:val="00D85B17"/>
    <w:rsid w:val="00D85BC5"/>
    <w:rsid w:val="00D8615A"/>
    <w:rsid w:val="00D86436"/>
    <w:rsid w:val="00D86B1E"/>
    <w:rsid w:val="00D92D8C"/>
    <w:rsid w:val="00D92E6D"/>
    <w:rsid w:val="00D9321A"/>
    <w:rsid w:val="00D94DE7"/>
    <w:rsid w:val="00D95670"/>
    <w:rsid w:val="00D96D3D"/>
    <w:rsid w:val="00D9789B"/>
    <w:rsid w:val="00D97AD8"/>
    <w:rsid w:val="00D97BC2"/>
    <w:rsid w:val="00DA0626"/>
    <w:rsid w:val="00DA1488"/>
    <w:rsid w:val="00DA2ADB"/>
    <w:rsid w:val="00DA315D"/>
    <w:rsid w:val="00DA32AA"/>
    <w:rsid w:val="00DA3BA6"/>
    <w:rsid w:val="00DA4FC0"/>
    <w:rsid w:val="00DA5D17"/>
    <w:rsid w:val="00DA6F79"/>
    <w:rsid w:val="00DA7226"/>
    <w:rsid w:val="00DA78C4"/>
    <w:rsid w:val="00DA7D3B"/>
    <w:rsid w:val="00DA7F60"/>
    <w:rsid w:val="00DB07E9"/>
    <w:rsid w:val="00DB0A74"/>
    <w:rsid w:val="00DB0AFB"/>
    <w:rsid w:val="00DB2376"/>
    <w:rsid w:val="00DB269C"/>
    <w:rsid w:val="00DB2707"/>
    <w:rsid w:val="00DB2C9A"/>
    <w:rsid w:val="00DB2E06"/>
    <w:rsid w:val="00DB35C7"/>
    <w:rsid w:val="00DB3627"/>
    <w:rsid w:val="00DB5D9C"/>
    <w:rsid w:val="00DB5FFE"/>
    <w:rsid w:val="00DB691C"/>
    <w:rsid w:val="00DB6EDB"/>
    <w:rsid w:val="00DC1799"/>
    <w:rsid w:val="00DC1944"/>
    <w:rsid w:val="00DC2F7E"/>
    <w:rsid w:val="00DC468C"/>
    <w:rsid w:val="00DC49B5"/>
    <w:rsid w:val="00DC5143"/>
    <w:rsid w:val="00DC597B"/>
    <w:rsid w:val="00DC7E65"/>
    <w:rsid w:val="00DD07CD"/>
    <w:rsid w:val="00DD0A9A"/>
    <w:rsid w:val="00DD14D8"/>
    <w:rsid w:val="00DD2B91"/>
    <w:rsid w:val="00DD3FEC"/>
    <w:rsid w:val="00DD4A0D"/>
    <w:rsid w:val="00DD6767"/>
    <w:rsid w:val="00DD74DE"/>
    <w:rsid w:val="00DD7937"/>
    <w:rsid w:val="00DD79A6"/>
    <w:rsid w:val="00DE1715"/>
    <w:rsid w:val="00DE1B55"/>
    <w:rsid w:val="00DE1DC0"/>
    <w:rsid w:val="00DE29F7"/>
    <w:rsid w:val="00DE7F7B"/>
    <w:rsid w:val="00DF0795"/>
    <w:rsid w:val="00DF185E"/>
    <w:rsid w:val="00DF1AE6"/>
    <w:rsid w:val="00DF1D8F"/>
    <w:rsid w:val="00DF30F2"/>
    <w:rsid w:val="00DF3D12"/>
    <w:rsid w:val="00DF4725"/>
    <w:rsid w:val="00DF59AE"/>
    <w:rsid w:val="00DF610F"/>
    <w:rsid w:val="00DF7072"/>
    <w:rsid w:val="00E031F1"/>
    <w:rsid w:val="00E03703"/>
    <w:rsid w:val="00E05557"/>
    <w:rsid w:val="00E06F32"/>
    <w:rsid w:val="00E06F80"/>
    <w:rsid w:val="00E077D5"/>
    <w:rsid w:val="00E1069E"/>
    <w:rsid w:val="00E10C74"/>
    <w:rsid w:val="00E10CF9"/>
    <w:rsid w:val="00E11A85"/>
    <w:rsid w:val="00E12F56"/>
    <w:rsid w:val="00E13645"/>
    <w:rsid w:val="00E146E6"/>
    <w:rsid w:val="00E15723"/>
    <w:rsid w:val="00E203A8"/>
    <w:rsid w:val="00E20ED9"/>
    <w:rsid w:val="00E21100"/>
    <w:rsid w:val="00E214B0"/>
    <w:rsid w:val="00E22C49"/>
    <w:rsid w:val="00E23472"/>
    <w:rsid w:val="00E2380D"/>
    <w:rsid w:val="00E2589F"/>
    <w:rsid w:val="00E25B11"/>
    <w:rsid w:val="00E26BD3"/>
    <w:rsid w:val="00E27A75"/>
    <w:rsid w:val="00E27AB7"/>
    <w:rsid w:val="00E27ECC"/>
    <w:rsid w:val="00E30185"/>
    <w:rsid w:val="00E31FEC"/>
    <w:rsid w:val="00E3240F"/>
    <w:rsid w:val="00E32806"/>
    <w:rsid w:val="00E32957"/>
    <w:rsid w:val="00E33146"/>
    <w:rsid w:val="00E349BA"/>
    <w:rsid w:val="00E34AEE"/>
    <w:rsid w:val="00E34C56"/>
    <w:rsid w:val="00E34E3D"/>
    <w:rsid w:val="00E36056"/>
    <w:rsid w:val="00E36871"/>
    <w:rsid w:val="00E37351"/>
    <w:rsid w:val="00E37AAB"/>
    <w:rsid w:val="00E40074"/>
    <w:rsid w:val="00E40196"/>
    <w:rsid w:val="00E402E9"/>
    <w:rsid w:val="00E40D18"/>
    <w:rsid w:val="00E41006"/>
    <w:rsid w:val="00E44B07"/>
    <w:rsid w:val="00E46A95"/>
    <w:rsid w:val="00E46BCD"/>
    <w:rsid w:val="00E475C5"/>
    <w:rsid w:val="00E478E3"/>
    <w:rsid w:val="00E51C2C"/>
    <w:rsid w:val="00E524C5"/>
    <w:rsid w:val="00E539F7"/>
    <w:rsid w:val="00E54133"/>
    <w:rsid w:val="00E5443B"/>
    <w:rsid w:val="00E54E2C"/>
    <w:rsid w:val="00E60167"/>
    <w:rsid w:val="00E611CB"/>
    <w:rsid w:val="00E61FC6"/>
    <w:rsid w:val="00E620B1"/>
    <w:rsid w:val="00E631C3"/>
    <w:rsid w:val="00E646A8"/>
    <w:rsid w:val="00E66EE7"/>
    <w:rsid w:val="00E67D3C"/>
    <w:rsid w:val="00E71E74"/>
    <w:rsid w:val="00E73015"/>
    <w:rsid w:val="00E7549B"/>
    <w:rsid w:val="00E762C8"/>
    <w:rsid w:val="00E77B6E"/>
    <w:rsid w:val="00E80144"/>
    <w:rsid w:val="00E8154C"/>
    <w:rsid w:val="00E8182D"/>
    <w:rsid w:val="00E81A6F"/>
    <w:rsid w:val="00E832E5"/>
    <w:rsid w:val="00E83334"/>
    <w:rsid w:val="00E8341F"/>
    <w:rsid w:val="00E85656"/>
    <w:rsid w:val="00E8621E"/>
    <w:rsid w:val="00E873AF"/>
    <w:rsid w:val="00E91497"/>
    <w:rsid w:val="00E923F2"/>
    <w:rsid w:val="00E93823"/>
    <w:rsid w:val="00E95D34"/>
    <w:rsid w:val="00E961D2"/>
    <w:rsid w:val="00E96866"/>
    <w:rsid w:val="00E9787B"/>
    <w:rsid w:val="00E97A60"/>
    <w:rsid w:val="00EA092A"/>
    <w:rsid w:val="00EA1D34"/>
    <w:rsid w:val="00EA4CFE"/>
    <w:rsid w:val="00EA5D48"/>
    <w:rsid w:val="00EA6190"/>
    <w:rsid w:val="00EA672C"/>
    <w:rsid w:val="00EA6E63"/>
    <w:rsid w:val="00EB1818"/>
    <w:rsid w:val="00EB35A6"/>
    <w:rsid w:val="00EB54E4"/>
    <w:rsid w:val="00EB596E"/>
    <w:rsid w:val="00EB71D2"/>
    <w:rsid w:val="00EC0EC5"/>
    <w:rsid w:val="00EC0EFD"/>
    <w:rsid w:val="00EC1B28"/>
    <w:rsid w:val="00EC1B5F"/>
    <w:rsid w:val="00EC1B9E"/>
    <w:rsid w:val="00EC2E92"/>
    <w:rsid w:val="00EC4A64"/>
    <w:rsid w:val="00EC4DF8"/>
    <w:rsid w:val="00EC5649"/>
    <w:rsid w:val="00EC788C"/>
    <w:rsid w:val="00EC7921"/>
    <w:rsid w:val="00EC7BFE"/>
    <w:rsid w:val="00EC7DEF"/>
    <w:rsid w:val="00ED1600"/>
    <w:rsid w:val="00ED16BD"/>
    <w:rsid w:val="00ED1DFA"/>
    <w:rsid w:val="00ED32BE"/>
    <w:rsid w:val="00ED7786"/>
    <w:rsid w:val="00ED79BB"/>
    <w:rsid w:val="00ED7F35"/>
    <w:rsid w:val="00EE0635"/>
    <w:rsid w:val="00EE1CCE"/>
    <w:rsid w:val="00EE33DE"/>
    <w:rsid w:val="00EE374F"/>
    <w:rsid w:val="00EE4A04"/>
    <w:rsid w:val="00EE4ADC"/>
    <w:rsid w:val="00EE5288"/>
    <w:rsid w:val="00EE5F7A"/>
    <w:rsid w:val="00EE686C"/>
    <w:rsid w:val="00EE7B0E"/>
    <w:rsid w:val="00EF1559"/>
    <w:rsid w:val="00EF169A"/>
    <w:rsid w:val="00EF2FB9"/>
    <w:rsid w:val="00EF660F"/>
    <w:rsid w:val="00EF6BE9"/>
    <w:rsid w:val="00EF731C"/>
    <w:rsid w:val="00EF74EB"/>
    <w:rsid w:val="00F0020A"/>
    <w:rsid w:val="00F00500"/>
    <w:rsid w:val="00F00690"/>
    <w:rsid w:val="00F00990"/>
    <w:rsid w:val="00F0129A"/>
    <w:rsid w:val="00F019CF"/>
    <w:rsid w:val="00F01E2B"/>
    <w:rsid w:val="00F02F9E"/>
    <w:rsid w:val="00F031D7"/>
    <w:rsid w:val="00F03DC9"/>
    <w:rsid w:val="00F0575A"/>
    <w:rsid w:val="00F05845"/>
    <w:rsid w:val="00F05D6D"/>
    <w:rsid w:val="00F066E4"/>
    <w:rsid w:val="00F06907"/>
    <w:rsid w:val="00F072BD"/>
    <w:rsid w:val="00F077F2"/>
    <w:rsid w:val="00F104B2"/>
    <w:rsid w:val="00F1101A"/>
    <w:rsid w:val="00F1104B"/>
    <w:rsid w:val="00F110FE"/>
    <w:rsid w:val="00F1116F"/>
    <w:rsid w:val="00F126EF"/>
    <w:rsid w:val="00F12D9A"/>
    <w:rsid w:val="00F141C2"/>
    <w:rsid w:val="00F155AA"/>
    <w:rsid w:val="00F16BC8"/>
    <w:rsid w:val="00F17CC4"/>
    <w:rsid w:val="00F22854"/>
    <w:rsid w:val="00F22927"/>
    <w:rsid w:val="00F22A11"/>
    <w:rsid w:val="00F22A12"/>
    <w:rsid w:val="00F236C2"/>
    <w:rsid w:val="00F23BA9"/>
    <w:rsid w:val="00F247B6"/>
    <w:rsid w:val="00F263E1"/>
    <w:rsid w:val="00F26D50"/>
    <w:rsid w:val="00F27D95"/>
    <w:rsid w:val="00F30892"/>
    <w:rsid w:val="00F32101"/>
    <w:rsid w:val="00F325DA"/>
    <w:rsid w:val="00F33F54"/>
    <w:rsid w:val="00F34CA3"/>
    <w:rsid w:val="00F366EF"/>
    <w:rsid w:val="00F40FED"/>
    <w:rsid w:val="00F41351"/>
    <w:rsid w:val="00F41A7A"/>
    <w:rsid w:val="00F427F4"/>
    <w:rsid w:val="00F42CC9"/>
    <w:rsid w:val="00F44F70"/>
    <w:rsid w:val="00F45809"/>
    <w:rsid w:val="00F51074"/>
    <w:rsid w:val="00F52560"/>
    <w:rsid w:val="00F52CC6"/>
    <w:rsid w:val="00F5513B"/>
    <w:rsid w:val="00F566B8"/>
    <w:rsid w:val="00F56F73"/>
    <w:rsid w:val="00F60BAD"/>
    <w:rsid w:val="00F60C37"/>
    <w:rsid w:val="00F61285"/>
    <w:rsid w:val="00F62240"/>
    <w:rsid w:val="00F63003"/>
    <w:rsid w:val="00F63605"/>
    <w:rsid w:val="00F63777"/>
    <w:rsid w:val="00F644AF"/>
    <w:rsid w:val="00F64FFA"/>
    <w:rsid w:val="00F65F8B"/>
    <w:rsid w:val="00F66779"/>
    <w:rsid w:val="00F67555"/>
    <w:rsid w:val="00F6770F"/>
    <w:rsid w:val="00F67ACC"/>
    <w:rsid w:val="00F70A8A"/>
    <w:rsid w:val="00F71881"/>
    <w:rsid w:val="00F72446"/>
    <w:rsid w:val="00F72DE4"/>
    <w:rsid w:val="00F73338"/>
    <w:rsid w:val="00F73E5A"/>
    <w:rsid w:val="00F740D9"/>
    <w:rsid w:val="00F76842"/>
    <w:rsid w:val="00F8069C"/>
    <w:rsid w:val="00F81060"/>
    <w:rsid w:val="00F814F4"/>
    <w:rsid w:val="00F82BEB"/>
    <w:rsid w:val="00F84D23"/>
    <w:rsid w:val="00F867E7"/>
    <w:rsid w:val="00F878C1"/>
    <w:rsid w:val="00F87DEE"/>
    <w:rsid w:val="00F934CC"/>
    <w:rsid w:val="00F948F9"/>
    <w:rsid w:val="00F94A7B"/>
    <w:rsid w:val="00F94C0D"/>
    <w:rsid w:val="00F94CBD"/>
    <w:rsid w:val="00F956C1"/>
    <w:rsid w:val="00FA072B"/>
    <w:rsid w:val="00FA0BD2"/>
    <w:rsid w:val="00FA0E1A"/>
    <w:rsid w:val="00FA10EE"/>
    <w:rsid w:val="00FA11AF"/>
    <w:rsid w:val="00FA1BE5"/>
    <w:rsid w:val="00FA2379"/>
    <w:rsid w:val="00FA300F"/>
    <w:rsid w:val="00FA3386"/>
    <w:rsid w:val="00FA3ECA"/>
    <w:rsid w:val="00FA4D88"/>
    <w:rsid w:val="00FA64DA"/>
    <w:rsid w:val="00FA6C70"/>
    <w:rsid w:val="00FA70CC"/>
    <w:rsid w:val="00FA7739"/>
    <w:rsid w:val="00FB08A4"/>
    <w:rsid w:val="00FB0C33"/>
    <w:rsid w:val="00FB1788"/>
    <w:rsid w:val="00FB3218"/>
    <w:rsid w:val="00FB3C7D"/>
    <w:rsid w:val="00FB407B"/>
    <w:rsid w:val="00FB4CF9"/>
    <w:rsid w:val="00FB5808"/>
    <w:rsid w:val="00FB6312"/>
    <w:rsid w:val="00FC105E"/>
    <w:rsid w:val="00FC172B"/>
    <w:rsid w:val="00FC1D81"/>
    <w:rsid w:val="00FC3036"/>
    <w:rsid w:val="00FC48D2"/>
    <w:rsid w:val="00FC6C2A"/>
    <w:rsid w:val="00FC73D5"/>
    <w:rsid w:val="00FC7D16"/>
    <w:rsid w:val="00FD0B0E"/>
    <w:rsid w:val="00FD32FE"/>
    <w:rsid w:val="00FD67C1"/>
    <w:rsid w:val="00FE0523"/>
    <w:rsid w:val="00FE0949"/>
    <w:rsid w:val="00FE24F6"/>
    <w:rsid w:val="00FE2EA1"/>
    <w:rsid w:val="00FE313B"/>
    <w:rsid w:val="00FE3F4A"/>
    <w:rsid w:val="00FE6653"/>
    <w:rsid w:val="00FE66B3"/>
    <w:rsid w:val="00FE68FC"/>
    <w:rsid w:val="00FF088F"/>
    <w:rsid w:val="00FF1086"/>
    <w:rsid w:val="00FF1379"/>
    <w:rsid w:val="00FF2457"/>
    <w:rsid w:val="00FF25C4"/>
    <w:rsid w:val="00FF3957"/>
    <w:rsid w:val="00FF5DBB"/>
    <w:rsid w:val="00FF60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2DEE9"/>
  <w15:docId w15:val="{BB604B4C-E3C3-4AEB-86FE-64E8B18F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314"/>
  </w:style>
  <w:style w:type="paragraph" w:styleId="Heading1">
    <w:name w:val="heading 1"/>
    <w:basedOn w:val="Normal"/>
    <w:next w:val="Normal"/>
    <w:link w:val="Heading1Char"/>
    <w:uiPriority w:val="9"/>
    <w:qFormat/>
    <w:rsid w:val="00D97A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97A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20F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B5808"/>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7AD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97AD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97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AD8"/>
    <w:rPr>
      <w:rFonts w:ascii="Tahoma" w:hAnsi="Tahoma" w:cs="Tahoma"/>
      <w:sz w:val="16"/>
      <w:szCs w:val="16"/>
    </w:rPr>
  </w:style>
  <w:style w:type="paragraph" w:styleId="Subtitle">
    <w:name w:val="Subtitle"/>
    <w:basedOn w:val="Normal"/>
    <w:next w:val="Normal"/>
    <w:link w:val="SubtitleChar"/>
    <w:uiPriority w:val="11"/>
    <w:qFormat/>
    <w:rsid w:val="00D97AD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97AD8"/>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0B7A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A1E"/>
  </w:style>
  <w:style w:type="paragraph" w:styleId="Footer">
    <w:name w:val="footer"/>
    <w:basedOn w:val="Normal"/>
    <w:link w:val="FooterChar"/>
    <w:uiPriority w:val="99"/>
    <w:unhideWhenUsed/>
    <w:rsid w:val="000B7A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A1E"/>
  </w:style>
  <w:style w:type="character" w:styleId="CommentReference">
    <w:name w:val="annotation reference"/>
    <w:basedOn w:val="DefaultParagraphFont"/>
    <w:uiPriority w:val="99"/>
    <w:semiHidden/>
    <w:unhideWhenUsed/>
    <w:rsid w:val="00E762C8"/>
    <w:rPr>
      <w:sz w:val="16"/>
      <w:szCs w:val="16"/>
    </w:rPr>
  </w:style>
  <w:style w:type="paragraph" w:styleId="CommentText">
    <w:name w:val="annotation text"/>
    <w:basedOn w:val="Normal"/>
    <w:link w:val="CommentTextChar"/>
    <w:uiPriority w:val="99"/>
    <w:unhideWhenUsed/>
    <w:rsid w:val="00E762C8"/>
    <w:pPr>
      <w:spacing w:line="240" w:lineRule="auto"/>
    </w:pPr>
    <w:rPr>
      <w:sz w:val="20"/>
      <w:szCs w:val="20"/>
    </w:rPr>
  </w:style>
  <w:style w:type="character" w:customStyle="1" w:styleId="CommentTextChar">
    <w:name w:val="Comment Text Char"/>
    <w:basedOn w:val="DefaultParagraphFont"/>
    <w:link w:val="CommentText"/>
    <w:uiPriority w:val="99"/>
    <w:rsid w:val="00E762C8"/>
    <w:rPr>
      <w:sz w:val="20"/>
      <w:szCs w:val="20"/>
    </w:rPr>
  </w:style>
  <w:style w:type="paragraph" w:styleId="CommentSubject">
    <w:name w:val="annotation subject"/>
    <w:basedOn w:val="CommentText"/>
    <w:next w:val="CommentText"/>
    <w:link w:val="CommentSubjectChar"/>
    <w:uiPriority w:val="99"/>
    <w:semiHidden/>
    <w:unhideWhenUsed/>
    <w:rsid w:val="00E762C8"/>
    <w:rPr>
      <w:b/>
      <w:bCs/>
    </w:rPr>
  </w:style>
  <w:style w:type="character" w:customStyle="1" w:styleId="CommentSubjectChar">
    <w:name w:val="Comment Subject Char"/>
    <w:basedOn w:val="CommentTextChar"/>
    <w:link w:val="CommentSubject"/>
    <w:uiPriority w:val="99"/>
    <w:semiHidden/>
    <w:rsid w:val="00E762C8"/>
    <w:rPr>
      <w:b/>
      <w:bCs/>
      <w:sz w:val="20"/>
      <w:szCs w:val="20"/>
    </w:rPr>
  </w:style>
  <w:style w:type="character" w:customStyle="1" w:styleId="Heading3Char">
    <w:name w:val="Heading 3 Char"/>
    <w:basedOn w:val="DefaultParagraphFont"/>
    <w:link w:val="Heading3"/>
    <w:uiPriority w:val="9"/>
    <w:rsid w:val="00C520F5"/>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549E3"/>
    <w:pPr>
      <w:ind w:left="720"/>
      <w:contextualSpacing/>
    </w:pPr>
  </w:style>
  <w:style w:type="table" w:styleId="TableGrid">
    <w:name w:val="Table Grid"/>
    <w:basedOn w:val="TableNormal"/>
    <w:uiPriority w:val="39"/>
    <w:rsid w:val="00770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uiPriority w:val="99"/>
    <w:rsid w:val="00A57CBC"/>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lang w:val="en-GB" w:eastAsia="en-GB"/>
    </w:rPr>
  </w:style>
  <w:style w:type="character" w:customStyle="1" w:styleId="Heading4Char">
    <w:name w:val="Heading 4 Char"/>
    <w:basedOn w:val="DefaultParagraphFont"/>
    <w:link w:val="Heading4"/>
    <w:uiPriority w:val="9"/>
    <w:rsid w:val="00FB5808"/>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A5653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4774CF"/>
    <w:rPr>
      <w:color w:val="0000FF"/>
      <w:u w:val="single"/>
    </w:rPr>
  </w:style>
  <w:style w:type="paragraph" w:styleId="Revision">
    <w:name w:val="Revision"/>
    <w:hidden/>
    <w:uiPriority w:val="99"/>
    <w:semiHidden/>
    <w:rsid w:val="00B90A5D"/>
    <w:pPr>
      <w:spacing w:after="0" w:line="240" w:lineRule="auto"/>
    </w:pPr>
  </w:style>
  <w:style w:type="character" w:customStyle="1" w:styleId="UnresolvedMention1">
    <w:name w:val="Unresolved Mention1"/>
    <w:basedOn w:val="DefaultParagraphFont"/>
    <w:uiPriority w:val="99"/>
    <w:semiHidden/>
    <w:unhideWhenUsed/>
    <w:rsid w:val="00EC1B9E"/>
    <w:rPr>
      <w:color w:val="605E5C"/>
      <w:shd w:val="clear" w:color="auto" w:fill="E1DFDD"/>
    </w:rPr>
  </w:style>
  <w:style w:type="character" w:styleId="Strong">
    <w:name w:val="Strong"/>
    <w:basedOn w:val="DefaultParagraphFont"/>
    <w:uiPriority w:val="22"/>
    <w:qFormat/>
    <w:rsid w:val="001764D3"/>
    <w:rPr>
      <w:b/>
      <w:bCs/>
    </w:rPr>
  </w:style>
  <w:style w:type="character" w:styleId="Emphasis">
    <w:name w:val="Emphasis"/>
    <w:basedOn w:val="DefaultParagraphFont"/>
    <w:uiPriority w:val="20"/>
    <w:qFormat/>
    <w:rsid w:val="00C37DAD"/>
    <w:rPr>
      <w:i/>
      <w:iCs/>
    </w:rPr>
  </w:style>
  <w:style w:type="character" w:styleId="UnresolvedMention">
    <w:name w:val="Unresolved Mention"/>
    <w:basedOn w:val="DefaultParagraphFont"/>
    <w:uiPriority w:val="99"/>
    <w:semiHidden/>
    <w:unhideWhenUsed/>
    <w:rsid w:val="008C5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45929">
      <w:bodyDiv w:val="1"/>
      <w:marLeft w:val="0"/>
      <w:marRight w:val="0"/>
      <w:marTop w:val="0"/>
      <w:marBottom w:val="0"/>
      <w:divBdr>
        <w:top w:val="none" w:sz="0" w:space="0" w:color="auto"/>
        <w:left w:val="none" w:sz="0" w:space="0" w:color="auto"/>
        <w:bottom w:val="none" w:sz="0" w:space="0" w:color="auto"/>
        <w:right w:val="none" w:sz="0" w:space="0" w:color="auto"/>
      </w:divBdr>
    </w:div>
    <w:div w:id="52437160">
      <w:bodyDiv w:val="1"/>
      <w:marLeft w:val="0"/>
      <w:marRight w:val="0"/>
      <w:marTop w:val="0"/>
      <w:marBottom w:val="0"/>
      <w:divBdr>
        <w:top w:val="none" w:sz="0" w:space="0" w:color="auto"/>
        <w:left w:val="none" w:sz="0" w:space="0" w:color="auto"/>
        <w:bottom w:val="none" w:sz="0" w:space="0" w:color="auto"/>
        <w:right w:val="none" w:sz="0" w:space="0" w:color="auto"/>
      </w:divBdr>
    </w:div>
    <w:div w:id="57292175">
      <w:bodyDiv w:val="1"/>
      <w:marLeft w:val="0"/>
      <w:marRight w:val="0"/>
      <w:marTop w:val="0"/>
      <w:marBottom w:val="0"/>
      <w:divBdr>
        <w:top w:val="none" w:sz="0" w:space="0" w:color="auto"/>
        <w:left w:val="none" w:sz="0" w:space="0" w:color="auto"/>
        <w:bottom w:val="none" w:sz="0" w:space="0" w:color="auto"/>
        <w:right w:val="none" w:sz="0" w:space="0" w:color="auto"/>
      </w:divBdr>
    </w:div>
    <w:div w:id="131023931">
      <w:bodyDiv w:val="1"/>
      <w:marLeft w:val="0"/>
      <w:marRight w:val="0"/>
      <w:marTop w:val="0"/>
      <w:marBottom w:val="0"/>
      <w:divBdr>
        <w:top w:val="none" w:sz="0" w:space="0" w:color="auto"/>
        <w:left w:val="none" w:sz="0" w:space="0" w:color="auto"/>
        <w:bottom w:val="none" w:sz="0" w:space="0" w:color="auto"/>
        <w:right w:val="none" w:sz="0" w:space="0" w:color="auto"/>
      </w:divBdr>
    </w:div>
    <w:div w:id="158155827">
      <w:bodyDiv w:val="1"/>
      <w:marLeft w:val="0"/>
      <w:marRight w:val="0"/>
      <w:marTop w:val="0"/>
      <w:marBottom w:val="0"/>
      <w:divBdr>
        <w:top w:val="none" w:sz="0" w:space="0" w:color="auto"/>
        <w:left w:val="none" w:sz="0" w:space="0" w:color="auto"/>
        <w:bottom w:val="none" w:sz="0" w:space="0" w:color="auto"/>
        <w:right w:val="none" w:sz="0" w:space="0" w:color="auto"/>
      </w:divBdr>
    </w:div>
    <w:div w:id="189731683">
      <w:bodyDiv w:val="1"/>
      <w:marLeft w:val="0"/>
      <w:marRight w:val="0"/>
      <w:marTop w:val="0"/>
      <w:marBottom w:val="0"/>
      <w:divBdr>
        <w:top w:val="none" w:sz="0" w:space="0" w:color="auto"/>
        <w:left w:val="none" w:sz="0" w:space="0" w:color="auto"/>
        <w:bottom w:val="none" w:sz="0" w:space="0" w:color="auto"/>
        <w:right w:val="none" w:sz="0" w:space="0" w:color="auto"/>
      </w:divBdr>
    </w:div>
    <w:div w:id="282618970">
      <w:bodyDiv w:val="1"/>
      <w:marLeft w:val="0"/>
      <w:marRight w:val="0"/>
      <w:marTop w:val="0"/>
      <w:marBottom w:val="0"/>
      <w:divBdr>
        <w:top w:val="none" w:sz="0" w:space="0" w:color="auto"/>
        <w:left w:val="none" w:sz="0" w:space="0" w:color="auto"/>
        <w:bottom w:val="none" w:sz="0" w:space="0" w:color="auto"/>
        <w:right w:val="none" w:sz="0" w:space="0" w:color="auto"/>
      </w:divBdr>
    </w:div>
    <w:div w:id="296182659">
      <w:bodyDiv w:val="1"/>
      <w:marLeft w:val="0"/>
      <w:marRight w:val="0"/>
      <w:marTop w:val="0"/>
      <w:marBottom w:val="0"/>
      <w:divBdr>
        <w:top w:val="none" w:sz="0" w:space="0" w:color="auto"/>
        <w:left w:val="none" w:sz="0" w:space="0" w:color="auto"/>
        <w:bottom w:val="none" w:sz="0" w:space="0" w:color="auto"/>
        <w:right w:val="none" w:sz="0" w:space="0" w:color="auto"/>
      </w:divBdr>
    </w:div>
    <w:div w:id="385765080">
      <w:bodyDiv w:val="1"/>
      <w:marLeft w:val="0"/>
      <w:marRight w:val="0"/>
      <w:marTop w:val="0"/>
      <w:marBottom w:val="0"/>
      <w:divBdr>
        <w:top w:val="none" w:sz="0" w:space="0" w:color="auto"/>
        <w:left w:val="none" w:sz="0" w:space="0" w:color="auto"/>
        <w:bottom w:val="none" w:sz="0" w:space="0" w:color="auto"/>
        <w:right w:val="none" w:sz="0" w:space="0" w:color="auto"/>
      </w:divBdr>
    </w:div>
    <w:div w:id="531529129">
      <w:bodyDiv w:val="1"/>
      <w:marLeft w:val="0"/>
      <w:marRight w:val="0"/>
      <w:marTop w:val="0"/>
      <w:marBottom w:val="0"/>
      <w:divBdr>
        <w:top w:val="none" w:sz="0" w:space="0" w:color="auto"/>
        <w:left w:val="none" w:sz="0" w:space="0" w:color="auto"/>
        <w:bottom w:val="none" w:sz="0" w:space="0" w:color="auto"/>
        <w:right w:val="none" w:sz="0" w:space="0" w:color="auto"/>
      </w:divBdr>
    </w:div>
    <w:div w:id="570698906">
      <w:bodyDiv w:val="1"/>
      <w:marLeft w:val="0"/>
      <w:marRight w:val="0"/>
      <w:marTop w:val="0"/>
      <w:marBottom w:val="0"/>
      <w:divBdr>
        <w:top w:val="none" w:sz="0" w:space="0" w:color="auto"/>
        <w:left w:val="none" w:sz="0" w:space="0" w:color="auto"/>
        <w:bottom w:val="none" w:sz="0" w:space="0" w:color="auto"/>
        <w:right w:val="none" w:sz="0" w:space="0" w:color="auto"/>
      </w:divBdr>
    </w:div>
    <w:div w:id="594678566">
      <w:bodyDiv w:val="1"/>
      <w:marLeft w:val="0"/>
      <w:marRight w:val="0"/>
      <w:marTop w:val="0"/>
      <w:marBottom w:val="0"/>
      <w:divBdr>
        <w:top w:val="none" w:sz="0" w:space="0" w:color="auto"/>
        <w:left w:val="none" w:sz="0" w:space="0" w:color="auto"/>
        <w:bottom w:val="none" w:sz="0" w:space="0" w:color="auto"/>
        <w:right w:val="none" w:sz="0" w:space="0" w:color="auto"/>
      </w:divBdr>
    </w:div>
    <w:div w:id="708072608">
      <w:bodyDiv w:val="1"/>
      <w:marLeft w:val="0"/>
      <w:marRight w:val="0"/>
      <w:marTop w:val="0"/>
      <w:marBottom w:val="0"/>
      <w:divBdr>
        <w:top w:val="none" w:sz="0" w:space="0" w:color="auto"/>
        <w:left w:val="none" w:sz="0" w:space="0" w:color="auto"/>
        <w:bottom w:val="none" w:sz="0" w:space="0" w:color="auto"/>
        <w:right w:val="none" w:sz="0" w:space="0" w:color="auto"/>
      </w:divBdr>
    </w:div>
    <w:div w:id="755249786">
      <w:bodyDiv w:val="1"/>
      <w:marLeft w:val="0"/>
      <w:marRight w:val="0"/>
      <w:marTop w:val="0"/>
      <w:marBottom w:val="0"/>
      <w:divBdr>
        <w:top w:val="none" w:sz="0" w:space="0" w:color="auto"/>
        <w:left w:val="none" w:sz="0" w:space="0" w:color="auto"/>
        <w:bottom w:val="none" w:sz="0" w:space="0" w:color="auto"/>
        <w:right w:val="none" w:sz="0" w:space="0" w:color="auto"/>
      </w:divBdr>
    </w:div>
    <w:div w:id="757871313">
      <w:bodyDiv w:val="1"/>
      <w:marLeft w:val="0"/>
      <w:marRight w:val="0"/>
      <w:marTop w:val="0"/>
      <w:marBottom w:val="0"/>
      <w:divBdr>
        <w:top w:val="none" w:sz="0" w:space="0" w:color="auto"/>
        <w:left w:val="none" w:sz="0" w:space="0" w:color="auto"/>
        <w:bottom w:val="none" w:sz="0" w:space="0" w:color="auto"/>
        <w:right w:val="none" w:sz="0" w:space="0" w:color="auto"/>
      </w:divBdr>
    </w:div>
    <w:div w:id="799954853">
      <w:bodyDiv w:val="1"/>
      <w:marLeft w:val="0"/>
      <w:marRight w:val="0"/>
      <w:marTop w:val="0"/>
      <w:marBottom w:val="0"/>
      <w:divBdr>
        <w:top w:val="none" w:sz="0" w:space="0" w:color="auto"/>
        <w:left w:val="none" w:sz="0" w:space="0" w:color="auto"/>
        <w:bottom w:val="none" w:sz="0" w:space="0" w:color="auto"/>
        <w:right w:val="none" w:sz="0" w:space="0" w:color="auto"/>
      </w:divBdr>
    </w:div>
    <w:div w:id="852568976">
      <w:bodyDiv w:val="1"/>
      <w:marLeft w:val="0"/>
      <w:marRight w:val="0"/>
      <w:marTop w:val="0"/>
      <w:marBottom w:val="0"/>
      <w:divBdr>
        <w:top w:val="none" w:sz="0" w:space="0" w:color="auto"/>
        <w:left w:val="none" w:sz="0" w:space="0" w:color="auto"/>
        <w:bottom w:val="none" w:sz="0" w:space="0" w:color="auto"/>
        <w:right w:val="none" w:sz="0" w:space="0" w:color="auto"/>
      </w:divBdr>
    </w:div>
    <w:div w:id="888804932">
      <w:bodyDiv w:val="1"/>
      <w:marLeft w:val="0"/>
      <w:marRight w:val="0"/>
      <w:marTop w:val="0"/>
      <w:marBottom w:val="0"/>
      <w:divBdr>
        <w:top w:val="none" w:sz="0" w:space="0" w:color="auto"/>
        <w:left w:val="none" w:sz="0" w:space="0" w:color="auto"/>
        <w:bottom w:val="none" w:sz="0" w:space="0" w:color="auto"/>
        <w:right w:val="none" w:sz="0" w:space="0" w:color="auto"/>
      </w:divBdr>
    </w:div>
    <w:div w:id="916405086">
      <w:bodyDiv w:val="1"/>
      <w:marLeft w:val="0"/>
      <w:marRight w:val="0"/>
      <w:marTop w:val="0"/>
      <w:marBottom w:val="0"/>
      <w:divBdr>
        <w:top w:val="none" w:sz="0" w:space="0" w:color="auto"/>
        <w:left w:val="none" w:sz="0" w:space="0" w:color="auto"/>
        <w:bottom w:val="none" w:sz="0" w:space="0" w:color="auto"/>
        <w:right w:val="none" w:sz="0" w:space="0" w:color="auto"/>
      </w:divBdr>
    </w:div>
    <w:div w:id="958997087">
      <w:bodyDiv w:val="1"/>
      <w:marLeft w:val="0"/>
      <w:marRight w:val="0"/>
      <w:marTop w:val="0"/>
      <w:marBottom w:val="0"/>
      <w:divBdr>
        <w:top w:val="none" w:sz="0" w:space="0" w:color="auto"/>
        <w:left w:val="none" w:sz="0" w:space="0" w:color="auto"/>
        <w:bottom w:val="none" w:sz="0" w:space="0" w:color="auto"/>
        <w:right w:val="none" w:sz="0" w:space="0" w:color="auto"/>
      </w:divBdr>
    </w:div>
    <w:div w:id="1049453694">
      <w:bodyDiv w:val="1"/>
      <w:marLeft w:val="0"/>
      <w:marRight w:val="0"/>
      <w:marTop w:val="0"/>
      <w:marBottom w:val="0"/>
      <w:divBdr>
        <w:top w:val="none" w:sz="0" w:space="0" w:color="auto"/>
        <w:left w:val="none" w:sz="0" w:space="0" w:color="auto"/>
        <w:bottom w:val="none" w:sz="0" w:space="0" w:color="auto"/>
        <w:right w:val="none" w:sz="0" w:space="0" w:color="auto"/>
      </w:divBdr>
    </w:div>
    <w:div w:id="1058239575">
      <w:bodyDiv w:val="1"/>
      <w:marLeft w:val="0"/>
      <w:marRight w:val="0"/>
      <w:marTop w:val="0"/>
      <w:marBottom w:val="0"/>
      <w:divBdr>
        <w:top w:val="none" w:sz="0" w:space="0" w:color="auto"/>
        <w:left w:val="none" w:sz="0" w:space="0" w:color="auto"/>
        <w:bottom w:val="none" w:sz="0" w:space="0" w:color="auto"/>
        <w:right w:val="none" w:sz="0" w:space="0" w:color="auto"/>
      </w:divBdr>
    </w:div>
    <w:div w:id="1083066605">
      <w:bodyDiv w:val="1"/>
      <w:marLeft w:val="0"/>
      <w:marRight w:val="0"/>
      <w:marTop w:val="0"/>
      <w:marBottom w:val="0"/>
      <w:divBdr>
        <w:top w:val="none" w:sz="0" w:space="0" w:color="auto"/>
        <w:left w:val="none" w:sz="0" w:space="0" w:color="auto"/>
        <w:bottom w:val="none" w:sz="0" w:space="0" w:color="auto"/>
        <w:right w:val="none" w:sz="0" w:space="0" w:color="auto"/>
      </w:divBdr>
    </w:div>
    <w:div w:id="1100951345">
      <w:bodyDiv w:val="1"/>
      <w:marLeft w:val="0"/>
      <w:marRight w:val="0"/>
      <w:marTop w:val="0"/>
      <w:marBottom w:val="0"/>
      <w:divBdr>
        <w:top w:val="none" w:sz="0" w:space="0" w:color="auto"/>
        <w:left w:val="none" w:sz="0" w:space="0" w:color="auto"/>
        <w:bottom w:val="none" w:sz="0" w:space="0" w:color="auto"/>
        <w:right w:val="none" w:sz="0" w:space="0" w:color="auto"/>
      </w:divBdr>
    </w:div>
    <w:div w:id="1171871986">
      <w:bodyDiv w:val="1"/>
      <w:marLeft w:val="0"/>
      <w:marRight w:val="0"/>
      <w:marTop w:val="0"/>
      <w:marBottom w:val="0"/>
      <w:divBdr>
        <w:top w:val="none" w:sz="0" w:space="0" w:color="auto"/>
        <w:left w:val="none" w:sz="0" w:space="0" w:color="auto"/>
        <w:bottom w:val="none" w:sz="0" w:space="0" w:color="auto"/>
        <w:right w:val="none" w:sz="0" w:space="0" w:color="auto"/>
      </w:divBdr>
    </w:div>
    <w:div w:id="1253465798">
      <w:bodyDiv w:val="1"/>
      <w:marLeft w:val="0"/>
      <w:marRight w:val="0"/>
      <w:marTop w:val="0"/>
      <w:marBottom w:val="0"/>
      <w:divBdr>
        <w:top w:val="none" w:sz="0" w:space="0" w:color="auto"/>
        <w:left w:val="none" w:sz="0" w:space="0" w:color="auto"/>
        <w:bottom w:val="none" w:sz="0" w:space="0" w:color="auto"/>
        <w:right w:val="none" w:sz="0" w:space="0" w:color="auto"/>
      </w:divBdr>
    </w:div>
    <w:div w:id="1304233950">
      <w:bodyDiv w:val="1"/>
      <w:marLeft w:val="0"/>
      <w:marRight w:val="0"/>
      <w:marTop w:val="0"/>
      <w:marBottom w:val="0"/>
      <w:divBdr>
        <w:top w:val="none" w:sz="0" w:space="0" w:color="auto"/>
        <w:left w:val="none" w:sz="0" w:space="0" w:color="auto"/>
        <w:bottom w:val="none" w:sz="0" w:space="0" w:color="auto"/>
        <w:right w:val="none" w:sz="0" w:space="0" w:color="auto"/>
      </w:divBdr>
    </w:div>
    <w:div w:id="1414552368">
      <w:bodyDiv w:val="1"/>
      <w:marLeft w:val="0"/>
      <w:marRight w:val="0"/>
      <w:marTop w:val="0"/>
      <w:marBottom w:val="0"/>
      <w:divBdr>
        <w:top w:val="none" w:sz="0" w:space="0" w:color="auto"/>
        <w:left w:val="none" w:sz="0" w:space="0" w:color="auto"/>
        <w:bottom w:val="none" w:sz="0" w:space="0" w:color="auto"/>
        <w:right w:val="none" w:sz="0" w:space="0" w:color="auto"/>
      </w:divBdr>
    </w:div>
    <w:div w:id="1425106158">
      <w:bodyDiv w:val="1"/>
      <w:marLeft w:val="0"/>
      <w:marRight w:val="0"/>
      <w:marTop w:val="0"/>
      <w:marBottom w:val="0"/>
      <w:divBdr>
        <w:top w:val="none" w:sz="0" w:space="0" w:color="auto"/>
        <w:left w:val="none" w:sz="0" w:space="0" w:color="auto"/>
        <w:bottom w:val="none" w:sz="0" w:space="0" w:color="auto"/>
        <w:right w:val="none" w:sz="0" w:space="0" w:color="auto"/>
      </w:divBdr>
      <w:divsChild>
        <w:div w:id="693382448">
          <w:marLeft w:val="0"/>
          <w:marRight w:val="0"/>
          <w:marTop w:val="15"/>
          <w:marBottom w:val="0"/>
          <w:divBdr>
            <w:top w:val="none" w:sz="0" w:space="0" w:color="auto"/>
            <w:left w:val="none" w:sz="0" w:space="0" w:color="auto"/>
            <w:bottom w:val="none" w:sz="0" w:space="0" w:color="auto"/>
            <w:right w:val="none" w:sz="0" w:space="0" w:color="auto"/>
          </w:divBdr>
          <w:divsChild>
            <w:div w:id="1034963881">
              <w:marLeft w:val="0"/>
              <w:marRight w:val="0"/>
              <w:marTop w:val="0"/>
              <w:marBottom w:val="0"/>
              <w:divBdr>
                <w:top w:val="none" w:sz="0" w:space="0" w:color="auto"/>
                <w:left w:val="none" w:sz="0" w:space="0" w:color="auto"/>
                <w:bottom w:val="none" w:sz="0" w:space="0" w:color="auto"/>
                <w:right w:val="none" w:sz="0" w:space="0" w:color="auto"/>
              </w:divBdr>
              <w:divsChild>
                <w:div w:id="1161121259">
                  <w:marLeft w:val="0"/>
                  <w:marRight w:val="0"/>
                  <w:marTop w:val="0"/>
                  <w:marBottom w:val="0"/>
                  <w:divBdr>
                    <w:top w:val="none" w:sz="0" w:space="0" w:color="auto"/>
                    <w:left w:val="none" w:sz="0" w:space="0" w:color="auto"/>
                    <w:bottom w:val="none" w:sz="0" w:space="0" w:color="auto"/>
                    <w:right w:val="none" w:sz="0" w:space="0" w:color="auto"/>
                  </w:divBdr>
                </w:div>
                <w:div w:id="1343583826">
                  <w:marLeft w:val="0"/>
                  <w:marRight w:val="0"/>
                  <w:marTop w:val="0"/>
                  <w:marBottom w:val="0"/>
                  <w:divBdr>
                    <w:top w:val="none" w:sz="0" w:space="0" w:color="auto"/>
                    <w:left w:val="none" w:sz="0" w:space="0" w:color="auto"/>
                    <w:bottom w:val="none" w:sz="0" w:space="0" w:color="auto"/>
                    <w:right w:val="none" w:sz="0" w:space="0" w:color="auto"/>
                  </w:divBdr>
                </w:div>
                <w:div w:id="1479764691">
                  <w:marLeft w:val="0"/>
                  <w:marRight w:val="0"/>
                  <w:marTop w:val="0"/>
                  <w:marBottom w:val="0"/>
                  <w:divBdr>
                    <w:top w:val="none" w:sz="0" w:space="0" w:color="auto"/>
                    <w:left w:val="none" w:sz="0" w:space="0" w:color="auto"/>
                    <w:bottom w:val="none" w:sz="0" w:space="0" w:color="auto"/>
                    <w:right w:val="none" w:sz="0" w:space="0" w:color="auto"/>
                  </w:divBdr>
                </w:div>
                <w:div w:id="1043559009">
                  <w:marLeft w:val="0"/>
                  <w:marRight w:val="0"/>
                  <w:marTop w:val="0"/>
                  <w:marBottom w:val="0"/>
                  <w:divBdr>
                    <w:top w:val="none" w:sz="0" w:space="0" w:color="auto"/>
                    <w:left w:val="none" w:sz="0" w:space="0" w:color="auto"/>
                    <w:bottom w:val="none" w:sz="0" w:space="0" w:color="auto"/>
                    <w:right w:val="none" w:sz="0" w:space="0" w:color="auto"/>
                  </w:divBdr>
                </w:div>
                <w:div w:id="440346998">
                  <w:marLeft w:val="0"/>
                  <w:marRight w:val="0"/>
                  <w:marTop w:val="0"/>
                  <w:marBottom w:val="0"/>
                  <w:divBdr>
                    <w:top w:val="none" w:sz="0" w:space="0" w:color="auto"/>
                    <w:left w:val="none" w:sz="0" w:space="0" w:color="auto"/>
                    <w:bottom w:val="none" w:sz="0" w:space="0" w:color="auto"/>
                    <w:right w:val="none" w:sz="0" w:space="0" w:color="auto"/>
                  </w:divBdr>
                </w:div>
                <w:div w:id="470944190">
                  <w:marLeft w:val="0"/>
                  <w:marRight w:val="0"/>
                  <w:marTop w:val="0"/>
                  <w:marBottom w:val="0"/>
                  <w:divBdr>
                    <w:top w:val="none" w:sz="0" w:space="0" w:color="auto"/>
                    <w:left w:val="none" w:sz="0" w:space="0" w:color="auto"/>
                    <w:bottom w:val="none" w:sz="0" w:space="0" w:color="auto"/>
                    <w:right w:val="none" w:sz="0" w:space="0" w:color="auto"/>
                  </w:divBdr>
                </w:div>
                <w:div w:id="1133063493">
                  <w:marLeft w:val="0"/>
                  <w:marRight w:val="0"/>
                  <w:marTop w:val="0"/>
                  <w:marBottom w:val="0"/>
                  <w:divBdr>
                    <w:top w:val="none" w:sz="0" w:space="0" w:color="auto"/>
                    <w:left w:val="none" w:sz="0" w:space="0" w:color="auto"/>
                    <w:bottom w:val="none" w:sz="0" w:space="0" w:color="auto"/>
                    <w:right w:val="none" w:sz="0" w:space="0" w:color="auto"/>
                  </w:divBdr>
                </w:div>
                <w:div w:id="1138767712">
                  <w:marLeft w:val="0"/>
                  <w:marRight w:val="0"/>
                  <w:marTop w:val="0"/>
                  <w:marBottom w:val="0"/>
                  <w:divBdr>
                    <w:top w:val="none" w:sz="0" w:space="0" w:color="auto"/>
                    <w:left w:val="none" w:sz="0" w:space="0" w:color="auto"/>
                    <w:bottom w:val="none" w:sz="0" w:space="0" w:color="auto"/>
                    <w:right w:val="none" w:sz="0" w:space="0" w:color="auto"/>
                  </w:divBdr>
                </w:div>
                <w:div w:id="136143366">
                  <w:marLeft w:val="0"/>
                  <w:marRight w:val="0"/>
                  <w:marTop w:val="0"/>
                  <w:marBottom w:val="0"/>
                  <w:divBdr>
                    <w:top w:val="none" w:sz="0" w:space="0" w:color="auto"/>
                    <w:left w:val="none" w:sz="0" w:space="0" w:color="auto"/>
                    <w:bottom w:val="none" w:sz="0" w:space="0" w:color="auto"/>
                    <w:right w:val="none" w:sz="0" w:space="0" w:color="auto"/>
                  </w:divBdr>
                </w:div>
                <w:div w:id="796878476">
                  <w:marLeft w:val="0"/>
                  <w:marRight w:val="0"/>
                  <w:marTop w:val="0"/>
                  <w:marBottom w:val="0"/>
                  <w:divBdr>
                    <w:top w:val="none" w:sz="0" w:space="0" w:color="auto"/>
                    <w:left w:val="none" w:sz="0" w:space="0" w:color="auto"/>
                    <w:bottom w:val="none" w:sz="0" w:space="0" w:color="auto"/>
                    <w:right w:val="none" w:sz="0" w:space="0" w:color="auto"/>
                  </w:divBdr>
                </w:div>
                <w:div w:id="987586260">
                  <w:marLeft w:val="0"/>
                  <w:marRight w:val="0"/>
                  <w:marTop w:val="0"/>
                  <w:marBottom w:val="0"/>
                  <w:divBdr>
                    <w:top w:val="none" w:sz="0" w:space="0" w:color="auto"/>
                    <w:left w:val="none" w:sz="0" w:space="0" w:color="auto"/>
                    <w:bottom w:val="none" w:sz="0" w:space="0" w:color="auto"/>
                    <w:right w:val="none" w:sz="0" w:space="0" w:color="auto"/>
                  </w:divBdr>
                </w:div>
                <w:div w:id="206331675">
                  <w:marLeft w:val="0"/>
                  <w:marRight w:val="0"/>
                  <w:marTop w:val="0"/>
                  <w:marBottom w:val="0"/>
                  <w:divBdr>
                    <w:top w:val="none" w:sz="0" w:space="0" w:color="auto"/>
                    <w:left w:val="none" w:sz="0" w:space="0" w:color="auto"/>
                    <w:bottom w:val="none" w:sz="0" w:space="0" w:color="auto"/>
                    <w:right w:val="none" w:sz="0" w:space="0" w:color="auto"/>
                  </w:divBdr>
                </w:div>
                <w:div w:id="1072503940">
                  <w:marLeft w:val="0"/>
                  <w:marRight w:val="0"/>
                  <w:marTop w:val="0"/>
                  <w:marBottom w:val="0"/>
                  <w:divBdr>
                    <w:top w:val="none" w:sz="0" w:space="0" w:color="auto"/>
                    <w:left w:val="none" w:sz="0" w:space="0" w:color="auto"/>
                    <w:bottom w:val="none" w:sz="0" w:space="0" w:color="auto"/>
                    <w:right w:val="none" w:sz="0" w:space="0" w:color="auto"/>
                  </w:divBdr>
                </w:div>
                <w:div w:id="350841703">
                  <w:marLeft w:val="0"/>
                  <w:marRight w:val="0"/>
                  <w:marTop w:val="0"/>
                  <w:marBottom w:val="0"/>
                  <w:divBdr>
                    <w:top w:val="none" w:sz="0" w:space="0" w:color="auto"/>
                    <w:left w:val="none" w:sz="0" w:space="0" w:color="auto"/>
                    <w:bottom w:val="none" w:sz="0" w:space="0" w:color="auto"/>
                    <w:right w:val="none" w:sz="0" w:space="0" w:color="auto"/>
                  </w:divBdr>
                </w:div>
                <w:div w:id="1779988425">
                  <w:marLeft w:val="0"/>
                  <w:marRight w:val="0"/>
                  <w:marTop w:val="0"/>
                  <w:marBottom w:val="0"/>
                  <w:divBdr>
                    <w:top w:val="none" w:sz="0" w:space="0" w:color="auto"/>
                    <w:left w:val="none" w:sz="0" w:space="0" w:color="auto"/>
                    <w:bottom w:val="none" w:sz="0" w:space="0" w:color="auto"/>
                    <w:right w:val="none" w:sz="0" w:space="0" w:color="auto"/>
                  </w:divBdr>
                </w:div>
                <w:div w:id="369108214">
                  <w:marLeft w:val="0"/>
                  <w:marRight w:val="0"/>
                  <w:marTop w:val="0"/>
                  <w:marBottom w:val="0"/>
                  <w:divBdr>
                    <w:top w:val="none" w:sz="0" w:space="0" w:color="auto"/>
                    <w:left w:val="none" w:sz="0" w:space="0" w:color="auto"/>
                    <w:bottom w:val="none" w:sz="0" w:space="0" w:color="auto"/>
                    <w:right w:val="none" w:sz="0" w:space="0" w:color="auto"/>
                  </w:divBdr>
                </w:div>
                <w:div w:id="248276851">
                  <w:marLeft w:val="0"/>
                  <w:marRight w:val="0"/>
                  <w:marTop w:val="0"/>
                  <w:marBottom w:val="0"/>
                  <w:divBdr>
                    <w:top w:val="none" w:sz="0" w:space="0" w:color="auto"/>
                    <w:left w:val="none" w:sz="0" w:space="0" w:color="auto"/>
                    <w:bottom w:val="none" w:sz="0" w:space="0" w:color="auto"/>
                    <w:right w:val="none" w:sz="0" w:space="0" w:color="auto"/>
                  </w:divBdr>
                </w:div>
                <w:div w:id="1409422335">
                  <w:marLeft w:val="0"/>
                  <w:marRight w:val="0"/>
                  <w:marTop w:val="0"/>
                  <w:marBottom w:val="0"/>
                  <w:divBdr>
                    <w:top w:val="none" w:sz="0" w:space="0" w:color="auto"/>
                    <w:left w:val="none" w:sz="0" w:space="0" w:color="auto"/>
                    <w:bottom w:val="none" w:sz="0" w:space="0" w:color="auto"/>
                    <w:right w:val="none" w:sz="0" w:space="0" w:color="auto"/>
                  </w:divBdr>
                </w:div>
                <w:div w:id="562519775">
                  <w:marLeft w:val="0"/>
                  <w:marRight w:val="0"/>
                  <w:marTop w:val="0"/>
                  <w:marBottom w:val="0"/>
                  <w:divBdr>
                    <w:top w:val="none" w:sz="0" w:space="0" w:color="auto"/>
                    <w:left w:val="none" w:sz="0" w:space="0" w:color="auto"/>
                    <w:bottom w:val="none" w:sz="0" w:space="0" w:color="auto"/>
                    <w:right w:val="none" w:sz="0" w:space="0" w:color="auto"/>
                  </w:divBdr>
                </w:div>
                <w:div w:id="1147356993">
                  <w:marLeft w:val="0"/>
                  <w:marRight w:val="0"/>
                  <w:marTop w:val="0"/>
                  <w:marBottom w:val="0"/>
                  <w:divBdr>
                    <w:top w:val="none" w:sz="0" w:space="0" w:color="auto"/>
                    <w:left w:val="none" w:sz="0" w:space="0" w:color="auto"/>
                    <w:bottom w:val="none" w:sz="0" w:space="0" w:color="auto"/>
                    <w:right w:val="none" w:sz="0" w:space="0" w:color="auto"/>
                  </w:divBdr>
                </w:div>
                <w:div w:id="710691686">
                  <w:marLeft w:val="0"/>
                  <w:marRight w:val="0"/>
                  <w:marTop w:val="0"/>
                  <w:marBottom w:val="0"/>
                  <w:divBdr>
                    <w:top w:val="none" w:sz="0" w:space="0" w:color="auto"/>
                    <w:left w:val="none" w:sz="0" w:space="0" w:color="auto"/>
                    <w:bottom w:val="none" w:sz="0" w:space="0" w:color="auto"/>
                    <w:right w:val="none" w:sz="0" w:space="0" w:color="auto"/>
                  </w:divBdr>
                </w:div>
                <w:div w:id="730888812">
                  <w:marLeft w:val="0"/>
                  <w:marRight w:val="0"/>
                  <w:marTop w:val="0"/>
                  <w:marBottom w:val="0"/>
                  <w:divBdr>
                    <w:top w:val="none" w:sz="0" w:space="0" w:color="auto"/>
                    <w:left w:val="none" w:sz="0" w:space="0" w:color="auto"/>
                    <w:bottom w:val="none" w:sz="0" w:space="0" w:color="auto"/>
                    <w:right w:val="none" w:sz="0" w:space="0" w:color="auto"/>
                  </w:divBdr>
                </w:div>
                <w:div w:id="619805563">
                  <w:marLeft w:val="0"/>
                  <w:marRight w:val="0"/>
                  <w:marTop w:val="0"/>
                  <w:marBottom w:val="0"/>
                  <w:divBdr>
                    <w:top w:val="none" w:sz="0" w:space="0" w:color="auto"/>
                    <w:left w:val="none" w:sz="0" w:space="0" w:color="auto"/>
                    <w:bottom w:val="none" w:sz="0" w:space="0" w:color="auto"/>
                    <w:right w:val="none" w:sz="0" w:space="0" w:color="auto"/>
                  </w:divBdr>
                </w:div>
                <w:div w:id="1481850260">
                  <w:marLeft w:val="0"/>
                  <w:marRight w:val="0"/>
                  <w:marTop w:val="0"/>
                  <w:marBottom w:val="0"/>
                  <w:divBdr>
                    <w:top w:val="none" w:sz="0" w:space="0" w:color="auto"/>
                    <w:left w:val="none" w:sz="0" w:space="0" w:color="auto"/>
                    <w:bottom w:val="none" w:sz="0" w:space="0" w:color="auto"/>
                    <w:right w:val="none" w:sz="0" w:space="0" w:color="auto"/>
                  </w:divBdr>
                </w:div>
                <w:div w:id="1579948829">
                  <w:marLeft w:val="0"/>
                  <w:marRight w:val="0"/>
                  <w:marTop w:val="0"/>
                  <w:marBottom w:val="0"/>
                  <w:divBdr>
                    <w:top w:val="none" w:sz="0" w:space="0" w:color="auto"/>
                    <w:left w:val="none" w:sz="0" w:space="0" w:color="auto"/>
                    <w:bottom w:val="none" w:sz="0" w:space="0" w:color="auto"/>
                    <w:right w:val="none" w:sz="0" w:space="0" w:color="auto"/>
                  </w:divBdr>
                </w:div>
                <w:div w:id="985401964">
                  <w:marLeft w:val="0"/>
                  <w:marRight w:val="0"/>
                  <w:marTop w:val="0"/>
                  <w:marBottom w:val="0"/>
                  <w:divBdr>
                    <w:top w:val="none" w:sz="0" w:space="0" w:color="auto"/>
                    <w:left w:val="none" w:sz="0" w:space="0" w:color="auto"/>
                    <w:bottom w:val="none" w:sz="0" w:space="0" w:color="auto"/>
                    <w:right w:val="none" w:sz="0" w:space="0" w:color="auto"/>
                  </w:divBdr>
                </w:div>
                <w:div w:id="1514605921">
                  <w:marLeft w:val="0"/>
                  <w:marRight w:val="0"/>
                  <w:marTop w:val="0"/>
                  <w:marBottom w:val="0"/>
                  <w:divBdr>
                    <w:top w:val="none" w:sz="0" w:space="0" w:color="auto"/>
                    <w:left w:val="none" w:sz="0" w:space="0" w:color="auto"/>
                    <w:bottom w:val="none" w:sz="0" w:space="0" w:color="auto"/>
                    <w:right w:val="none" w:sz="0" w:space="0" w:color="auto"/>
                  </w:divBdr>
                </w:div>
                <w:div w:id="1431510795">
                  <w:marLeft w:val="0"/>
                  <w:marRight w:val="0"/>
                  <w:marTop w:val="0"/>
                  <w:marBottom w:val="0"/>
                  <w:divBdr>
                    <w:top w:val="none" w:sz="0" w:space="0" w:color="auto"/>
                    <w:left w:val="none" w:sz="0" w:space="0" w:color="auto"/>
                    <w:bottom w:val="none" w:sz="0" w:space="0" w:color="auto"/>
                    <w:right w:val="none" w:sz="0" w:space="0" w:color="auto"/>
                  </w:divBdr>
                </w:div>
                <w:div w:id="711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8096">
      <w:bodyDiv w:val="1"/>
      <w:marLeft w:val="0"/>
      <w:marRight w:val="0"/>
      <w:marTop w:val="0"/>
      <w:marBottom w:val="0"/>
      <w:divBdr>
        <w:top w:val="none" w:sz="0" w:space="0" w:color="auto"/>
        <w:left w:val="none" w:sz="0" w:space="0" w:color="auto"/>
        <w:bottom w:val="none" w:sz="0" w:space="0" w:color="auto"/>
        <w:right w:val="none" w:sz="0" w:space="0" w:color="auto"/>
      </w:divBdr>
    </w:div>
    <w:div w:id="1507015509">
      <w:bodyDiv w:val="1"/>
      <w:marLeft w:val="0"/>
      <w:marRight w:val="0"/>
      <w:marTop w:val="0"/>
      <w:marBottom w:val="0"/>
      <w:divBdr>
        <w:top w:val="none" w:sz="0" w:space="0" w:color="auto"/>
        <w:left w:val="none" w:sz="0" w:space="0" w:color="auto"/>
        <w:bottom w:val="none" w:sz="0" w:space="0" w:color="auto"/>
        <w:right w:val="none" w:sz="0" w:space="0" w:color="auto"/>
      </w:divBdr>
    </w:div>
    <w:div w:id="1534685064">
      <w:bodyDiv w:val="1"/>
      <w:marLeft w:val="0"/>
      <w:marRight w:val="0"/>
      <w:marTop w:val="0"/>
      <w:marBottom w:val="0"/>
      <w:divBdr>
        <w:top w:val="none" w:sz="0" w:space="0" w:color="auto"/>
        <w:left w:val="none" w:sz="0" w:space="0" w:color="auto"/>
        <w:bottom w:val="none" w:sz="0" w:space="0" w:color="auto"/>
        <w:right w:val="none" w:sz="0" w:space="0" w:color="auto"/>
      </w:divBdr>
    </w:div>
    <w:div w:id="1700542352">
      <w:bodyDiv w:val="1"/>
      <w:marLeft w:val="0"/>
      <w:marRight w:val="0"/>
      <w:marTop w:val="0"/>
      <w:marBottom w:val="0"/>
      <w:divBdr>
        <w:top w:val="none" w:sz="0" w:space="0" w:color="auto"/>
        <w:left w:val="none" w:sz="0" w:space="0" w:color="auto"/>
        <w:bottom w:val="none" w:sz="0" w:space="0" w:color="auto"/>
        <w:right w:val="none" w:sz="0" w:space="0" w:color="auto"/>
      </w:divBdr>
    </w:div>
    <w:div w:id="1709334813">
      <w:bodyDiv w:val="1"/>
      <w:marLeft w:val="0"/>
      <w:marRight w:val="0"/>
      <w:marTop w:val="0"/>
      <w:marBottom w:val="0"/>
      <w:divBdr>
        <w:top w:val="none" w:sz="0" w:space="0" w:color="auto"/>
        <w:left w:val="none" w:sz="0" w:space="0" w:color="auto"/>
        <w:bottom w:val="none" w:sz="0" w:space="0" w:color="auto"/>
        <w:right w:val="none" w:sz="0" w:space="0" w:color="auto"/>
      </w:divBdr>
    </w:div>
    <w:div w:id="1752969389">
      <w:bodyDiv w:val="1"/>
      <w:marLeft w:val="0"/>
      <w:marRight w:val="0"/>
      <w:marTop w:val="0"/>
      <w:marBottom w:val="0"/>
      <w:divBdr>
        <w:top w:val="none" w:sz="0" w:space="0" w:color="auto"/>
        <w:left w:val="none" w:sz="0" w:space="0" w:color="auto"/>
        <w:bottom w:val="none" w:sz="0" w:space="0" w:color="auto"/>
        <w:right w:val="none" w:sz="0" w:space="0" w:color="auto"/>
      </w:divBdr>
    </w:div>
    <w:div w:id="1797409550">
      <w:bodyDiv w:val="1"/>
      <w:marLeft w:val="0"/>
      <w:marRight w:val="0"/>
      <w:marTop w:val="0"/>
      <w:marBottom w:val="0"/>
      <w:divBdr>
        <w:top w:val="none" w:sz="0" w:space="0" w:color="auto"/>
        <w:left w:val="none" w:sz="0" w:space="0" w:color="auto"/>
        <w:bottom w:val="none" w:sz="0" w:space="0" w:color="auto"/>
        <w:right w:val="none" w:sz="0" w:space="0" w:color="auto"/>
      </w:divBdr>
    </w:div>
    <w:div w:id="1797676905">
      <w:bodyDiv w:val="1"/>
      <w:marLeft w:val="0"/>
      <w:marRight w:val="0"/>
      <w:marTop w:val="0"/>
      <w:marBottom w:val="0"/>
      <w:divBdr>
        <w:top w:val="none" w:sz="0" w:space="0" w:color="auto"/>
        <w:left w:val="none" w:sz="0" w:space="0" w:color="auto"/>
        <w:bottom w:val="none" w:sz="0" w:space="0" w:color="auto"/>
        <w:right w:val="none" w:sz="0" w:space="0" w:color="auto"/>
      </w:divBdr>
    </w:div>
    <w:div w:id="1823812469">
      <w:bodyDiv w:val="1"/>
      <w:marLeft w:val="0"/>
      <w:marRight w:val="0"/>
      <w:marTop w:val="0"/>
      <w:marBottom w:val="0"/>
      <w:divBdr>
        <w:top w:val="none" w:sz="0" w:space="0" w:color="auto"/>
        <w:left w:val="none" w:sz="0" w:space="0" w:color="auto"/>
        <w:bottom w:val="none" w:sz="0" w:space="0" w:color="auto"/>
        <w:right w:val="none" w:sz="0" w:space="0" w:color="auto"/>
      </w:divBdr>
    </w:div>
    <w:div w:id="1899239933">
      <w:bodyDiv w:val="1"/>
      <w:marLeft w:val="0"/>
      <w:marRight w:val="0"/>
      <w:marTop w:val="0"/>
      <w:marBottom w:val="0"/>
      <w:divBdr>
        <w:top w:val="none" w:sz="0" w:space="0" w:color="auto"/>
        <w:left w:val="none" w:sz="0" w:space="0" w:color="auto"/>
        <w:bottom w:val="none" w:sz="0" w:space="0" w:color="auto"/>
        <w:right w:val="none" w:sz="0" w:space="0" w:color="auto"/>
      </w:divBdr>
    </w:div>
    <w:div w:id="1963413281">
      <w:bodyDiv w:val="1"/>
      <w:marLeft w:val="0"/>
      <w:marRight w:val="0"/>
      <w:marTop w:val="0"/>
      <w:marBottom w:val="0"/>
      <w:divBdr>
        <w:top w:val="none" w:sz="0" w:space="0" w:color="auto"/>
        <w:left w:val="none" w:sz="0" w:space="0" w:color="auto"/>
        <w:bottom w:val="none" w:sz="0" w:space="0" w:color="auto"/>
        <w:right w:val="none" w:sz="0" w:space="0" w:color="auto"/>
      </w:divBdr>
    </w:div>
    <w:div w:id="1974209343">
      <w:bodyDiv w:val="1"/>
      <w:marLeft w:val="0"/>
      <w:marRight w:val="0"/>
      <w:marTop w:val="0"/>
      <w:marBottom w:val="0"/>
      <w:divBdr>
        <w:top w:val="none" w:sz="0" w:space="0" w:color="auto"/>
        <w:left w:val="none" w:sz="0" w:space="0" w:color="auto"/>
        <w:bottom w:val="none" w:sz="0" w:space="0" w:color="auto"/>
        <w:right w:val="none" w:sz="0" w:space="0" w:color="auto"/>
      </w:divBdr>
    </w:div>
    <w:div w:id="2019499958">
      <w:bodyDiv w:val="1"/>
      <w:marLeft w:val="0"/>
      <w:marRight w:val="0"/>
      <w:marTop w:val="0"/>
      <w:marBottom w:val="0"/>
      <w:divBdr>
        <w:top w:val="none" w:sz="0" w:space="0" w:color="auto"/>
        <w:left w:val="none" w:sz="0" w:space="0" w:color="auto"/>
        <w:bottom w:val="none" w:sz="0" w:space="0" w:color="auto"/>
        <w:right w:val="none" w:sz="0" w:space="0" w:color="auto"/>
      </w:divBdr>
      <w:divsChild>
        <w:div w:id="1814176195">
          <w:marLeft w:val="0"/>
          <w:marRight w:val="0"/>
          <w:marTop w:val="15"/>
          <w:marBottom w:val="0"/>
          <w:divBdr>
            <w:top w:val="none" w:sz="0" w:space="0" w:color="auto"/>
            <w:left w:val="none" w:sz="0" w:space="0" w:color="auto"/>
            <w:bottom w:val="none" w:sz="0" w:space="0" w:color="auto"/>
            <w:right w:val="none" w:sz="0" w:space="0" w:color="auto"/>
          </w:divBdr>
          <w:divsChild>
            <w:div w:id="1183974246">
              <w:marLeft w:val="0"/>
              <w:marRight w:val="0"/>
              <w:marTop w:val="0"/>
              <w:marBottom w:val="0"/>
              <w:divBdr>
                <w:top w:val="none" w:sz="0" w:space="0" w:color="auto"/>
                <w:left w:val="none" w:sz="0" w:space="0" w:color="auto"/>
                <w:bottom w:val="none" w:sz="0" w:space="0" w:color="auto"/>
                <w:right w:val="none" w:sz="0" w:space="0" w:color="auto"/>
              </w:divBdr>
              <w:divsChild>
                <w:div w:id="257179712">
                  <w:marLeft w:val="0"/>
                  <w:marRight w:val="0"/>
                  <w:marTop w:val="0"/>
                  <w:marBottom w:val="0"/>
                  <w:divBdr>
                    <w:top w:val="none" w:sz="0" w:space="0" w:color="auto"/>
                    <w:left w:val="none" w:sz="0" w:space="0" w:color="auto"/>
                    <w:bottom w:val="none" w:sz="0" w:space="0" w:color="auto"/>
                    <w:right w:val="none" w:sz="0" w:space="0" w:color="auto"/>
                  </w:divBdr>
                </w:div>
                <w:div w:id="2079940482">
                  <w:marLeft w:val="0"/>
                  <w:marRight w:val="0"/>
                  <w:marTop w:val="0"/>
                  <w:marBottom w:val="0"/>
                  <w:divBdr>
                    <w:top w:val="none" w:sz="0" w:space="0" w:color="auto"/>
                    <w:left w:val="none" w:sz="0" w:space="0" w:color="auto"/>
                    <w:bottom w:val="none" w:sz="0" w:space="0" w:color="auto"/>
                    <w:right w:val="none" w:sz="0" w:space="0" w:color="auto"/>
                  </w:divBdr>
                </w:div>
                <w:div w:id="629434957">
                  <w:marLeft w:val="0"/>
                  <w:marRight w:val="0"/>
                  <w:marTop w:val="0"/>
                  <w:marBottom w:val="0"/>
                  <w:divBdr>
                    <w:top w:val="none" w:sz="0" w:space="0" w:color="auto"/>
                    <w:left w:val="none" w:sz="0" w:space="0" w:color="auto"/>
                    <w:bottom w:val="none" w:sz="0" w:space="0" w:color="auto"/>
                    <w:right w:val="none" w:sz="0" w:space="0" w:color="auto"/>
                  </w:divBdr>
                </w:div>
                <w:div w:id="697394825">
                  <w:marLeft w:val="0"/>
                  <w:marRight w:val="0"/>
                  <w:marTop w:val="0"/>
                  <w:marBottom w:val="0"/>
                  <w:divBdr>
                    <w:top w:val="none" w:sz="0" w:space="0" w:color="auto"/>
                    <w:left w:val="none" w:sz="0" w:space="0" w:color="auto"/>
                    <w:bottom w:val="none" w:sz="0" w:space="0" w:color="auto"/>
                    <w:right w:val="none" w:sz="0" w:space="0" w:color="auto"/>
                  </w:divBdr>
                </w:div>
                <w:div w:id="1313867272">
                  <w:marLeft w:val="0"/>
                  <w:marRight w:val="0"/>
                  <w:marTop w:val="0"/>
                  <w:marBottom w:val="0"/>
                  <w:divBdr>
                    <w:top w:val="none" w:sz="0" w:space="0" w:color="auto"/>
                    <w:left w:val="none" w:sz="0" w:space="0" w:color="auto"/>
                    <w:bottom w:val="none" w:sz="0" w:space="0" w:color="auto"/>
                    <w:right w:val="none" w:sz="0" w:space="0" w:color="auto"/>
                  </w:divBdr>
                </w:div>
                <w:div w:id="1932935447">
                  <w:marLeft w:val="0"/>
                  <w:marRight w:val="0"/>
                  <w:marTop w:val="0"/>
                  <w:marBottom w:val="0"/>
                  <w:divBdr>
                    <w:top w:val="none" w:sz="0" w:space="0" w:color="auto"/>
                    <w:left w:val="none" w:sz="0" w:space="0" w:color="auto"/>
                    <w:bottom w:val="none" w:sz="0" w:space="0" w:color="auto"/>
                    <w:right w:val="none" w:sz="0" w:space="0" w:color="auto"/>
                  </w:divBdr>
                </w:div>
                <w:div w:id="809907111">
                  <w:marLeft w:val="0"/>
                  <w:marRight w:val="0"/>
                  <w:marTop w:val="0"/>
                  <w:marBottom w:val="0"/>
                  <w:divBdr>
                    <w:top w:val="none" w:sz="0" w:space="0" w:color="auto"/>
                    <w:left w:val="none" w:sz="0" w:space="0" w:color="auto"/>
                    <w:bottom w:val="none" w:sz="0" w:space="0" w:color="auto"/>
                    <w:right w:val="none" w:sz="0" w:space="0" w:color="auto"/>
                  </w:divBdr>
                </w:div>
                <w:div w:id="828254785">
                  <w:marLeft w:val="0"/>
                  <w:marRight w:val="0"/>
                  <w:marTop w:val="0"/>
                  <w:marBottom w:val="0"/>
                  <w:divBdr>
                    <w:top w:val="none" w:sz="0" w:space="0" w:color="auto"/>
                    <w:left w:val="none" w:sz="0" w:space="0" w:color="auto"/>
                    <w:bottom w:val="none" w:sz="0" w:space="0" w:color="auto"/>
                    <w:right w:val="none" w:sz="0" w:space="0" w:color="auto"/>
                  </w:divBdr>
                </w:div>
                <w:div w:id="464785450">
                  <w:marLeft w:val="0"/>
                  <w:marRight w:val="0"/>
                  <w:marTop w:val="0"/>
                  <w:marBottom w:val="0"/>
                  <w:divBdr>
                    <w:top w:val="none" w:sz="0" w:space="0" w:color="auto"/>
                    <w:left w:val="none" w:sz="0" w:space="0" w:color="auto"/>
                    <w:bottom w:val="none" w:sz="0" w:space="0" w:color="auto"/>
                    <w:right w:val="none" w:sz="0" w:space="0" w:color="auto"/>
                  </w:divBdr>
                </w:div>
                <w:div w:id="902103528">
                  <w:marLeft w:val="0"/>
                  <w:marRight w:val="0"/>
                  <w:marTop w:val="0"/>
                  <w:marBottom w:val="0"/>
                  <w:divBdr>
                    <w:top w:val="none" w:sz="0" w:space="0" w:color="auto"/>
                    <w:left w:val="none" w:sz="0" w:space="0" w:color="auto"/>
                    <w:bottom w:val="none" w:sz="0" w:space="0" w:color="auto"/>
                    <w:right w:val="none" w:sz="0" w:space="0" w:color="auto"/>
                  </w:divBdr>
                </w:div>
                <w:div w:id="753167430">
                  <w:marLeft w:val="0"/>
                  <w:marRight w:val="0"/>
                  <w:marTop w:val="0"/>
                  <w:marBottom w:val="0"/>
                  <w:divBdr>
                    <w:top w:val="none" w:sz="0" w:space="0" w:color="auto"/>
                    <w:left w:val="none" w:sz="0" w:space="0" w:color="auto"/>
                    <w:bottom w:val="none" w:sz="0" w:space="0" w:color="auto"/>
                    <w:right w:val="none" w:sz="0" w:space="0" w:color="auto"/>
                  </w:divBdr>
                </w:div>
                <w:div w:id="1780906504">
                  <w:marLeft w:val="0"/>
                  <w:marRight w:val="0"/>
                  <w:marTop w:val="0"/>
                  <w:marBottom w:val="0"/>
                  <w:divBdr>
                    <w:top w:val="none" w:sz="0" w:space="0" w:color="auto"/>
                    <w:left w:val="none" w:sz="0" w:space="0" w:color="auto"/>
                    <w:bottom w:val="none" w:sz="0" w:space="0" w:color="auto"/>
                    <w:right w:val="none" w:sz="0" w:space="0" w:color="auto"/>
                  </w:divBdr>
                </w:div>
                <w:div w:id="1147014507">
                  <w:marLeft w:val="0"/>
                  <w:marRight w:val="0"/>
                  <w:marTop w:val="0"/>
                  <w:marBottom w:val="0"/>
                  <w:divBdr>
                    <w:top w:val="none" w:sz="0" w:space="0" w:color="auto"/>
                    <w:left w:val="none" w:sz="0" w:space="0" w:color="auto"/>
                    <w:bottom w:val="none" w:sz="0" w:space="0" w:color="auto"/>
                    <w:right w:val="none" w:sz="0" w:space="0" w:color="auto"/>
                  </w:divBdr>
                </w:div>
                <w:div w:id="1511750417">
                  <w:marLeft w:val="0"/>
                  <w:marRight w:val="0"/>
                  <w:marTop w:val="0"/>
                  <w:marBottom w:val="0"/>
                  <w:divBdr>
                    <w:top w:val="none" w:sz="0" w:space="0" w:color="auto"/>
                    <w:left w:val="none" w:sz="0" w:space="0" w:color="auto"/>
                    <w:bottom w:val="none" w:sz="0" w:space="0" w:color="auto"/>
                    <w:right w:val="none" w:sz="0" w:space="0" w:color="auto"/>
                  </w:divBdr>
                </w:div>
                <w:div w:id="1537623778">
                  <w:marLeft w:val="0"/>
                  <w:marRight w:val="0"/>
                  <w:marTop w:val="0"/>
                  <w:marBottom w:val="0"/>
                  <w:divBdr>
                    <w:top w:val="none" w:sz="0" w:space="0" w:color="auto"/>
                    <w:left w:val="none" w:sz="0" w:space="0" w:color="auto"/>
                    <w:bottom w:val="none" w:sz="0" w:space="0" w:color="auto"/>
                    <w:right w:val="none" w:sz="0" w:space="0" w:color="auto"/>
                  </w:divBdr>
                </w:div>
                <w:div w:id="1462310355">
                  <w:marLeft w:val="0"/>
                  <w:marRight w:val="0"/>
                  <w:marTop w:val="0"/>
                  <w:marBottom w:val="0"/>
                  <w:divBdr>
                    <w:top w:val="none" w:sz="0" w:space="0" w:color="auto"/>
                    <w:left w:val="none" w:sz="0" w:space="0" w:color="auto"/>
                    <w:bottom w:val="none" w:sz="0" w:space="0" w:color="auto"/>
                    <w:right w:val="none" w:sz="0" w:space="0" w:color="auto"/>
                  </w:divBdr>
                </w:div>
                <w:div w:id="1080060130">
                  <w:marLeft w:val="0"/>
                  <w:marRight w:val="0"/>
                  <w:marTop w:val="0"/>
                  <w:marBottom w:val="0"/>
                  <w:divBdr>
                    <w:top w:val="none" w:sz="0" w:space="0" w:color="auto"/>
                    <w:left w:val="none" w:sz="0" w:space="0" w:color="auto"/>
                    <w:bottom w:val="none" w:sz="0" w:space="0" w:color="auto"/>
                    <w:right w:val="none" w:sz="0" w:space="0" w:color="auto"/>
                  </w:divBdr>
                </w:div>
                <w:div w:id="1584415802">
                  <w:marLeft w:val="0"/>
                  <w:marRight w:val="0"/>
                  <w:marTop w:val="0"/>
                  <w:marBottom w:val="0"/>
                  <w:divBdr>
                    <w:top w:val="none" w:sz="0" w:space="0" w:color="auto"/>
                    <w:left w:val="none" w:sz="0" w:space="0" w:color="auto"/>
                    <w:bottom w:val="none" w:sz="0" w:space="0" w:color="auto"/>
                    <w:right w:val="none" w:sz="0" w:space="0" w:color="auto"/>
                  </w:divBdr>
                </w:div>
                <w:div w:id="2033336798">
                  <w:marLeft w:val="0"/>
                  <w:marRight w:val="0"/>
                  <w:marTop w:val="0"/>
                  <w:marBottom w:val="0"/>
                  <w:divBdr>
                    <w:top w:val="none" w:sz="0" w:space="0" w:color="auto"/>
                    <w:left w:val="none" w:sz="0" w:space="0" w:color="auto"/>
                    <w:bottom w:val="none" w:sz="0" w:space="0" w:color="auto"/>
                    <w:right w:val="none" w:sz="0" w:space="0" w:color="auto"/>
                  </w:divBdr>
                </w:div>
                <w:div w:id="1997878876">
                  <w:marLeft w:val="0"/>
                  <w:marRight w:val="0"/>
                  <w:marTop w:val="0"/>
                  <w:marBottom w:val="0"/>
                  <w:divBdr>
                    <w:top w:val="none" w:sz="0" w:space="0" w:color="auto"/>
                    <w:left w:val="none" w:sz="0" w:space="0" w:color="auto"/>
                    <w:bottom w:val="none" w:sz="0" w:space="0" w:color="auto"/>
                    <w:right w:val="none" w:sz="0" w:space="0" w:color="auto"/>
                  </w:divBdr>
                </w:div>
                <w:div w:id="11956512">
                  <w:marLeft w:val="0"/>
                  <w:marRight w:val="0"/>
                  <w:marTop w:val="0"/>
                  <w:marBottom w:val="0"/>
                  <w:divBdr>
                    <w:top w:val="none" w:sz="0" w:space="0" w:color="auto"/>
                    <w:left w:val="none" w:sz="0" w:space="0" w:color="auto"/>
                    <w:bottom w:val="none" w:sz="0" w:space="0" w:color="auto"/>
                    <w:right w:val="none" w:sz="0" w:space="0" w:color="auto"/>
                  </w:divBdr>
                </w:div>
                <w:div w:id="320159744">
                  <w:marLeft w:val="0"/>
                  <w:marRight w:val="0"/>
                  <w:marTop w:val="0"/>
                  <w:marBottom w:val="0"/>
                  <w:divBdr>
                    <w:top w:val="none" w:sz="0" w:space="0" w:color="auto"/>
                    <w:left w:val="none" w:sz="0" w:space="0" w:color="auto"/>
                    <w:bottom w:val="none" w:sz="0" w:space="0" w:color="auto"/>
                    <w:right w:val="none" w:sz="0" w:space="0" w:color="auto"/>
                  </w:divBdr>
                </w:div>
                <w:div w:id="1406342673">
                  <w:marLeft w:val="0"/>
                  <w:marRight w:val="0"/>
                  <w:marTop w:val="0"/>
                  <w:marBottom w:val="0"/>
                  <w:divBdr>
                    <w:top w:val="none" w:sz="0" w:space="0" w:color="auto"/>
                    <w:left w:val="none" w:sz="0" w:space="0" w:color="auto"/>
                    <w:bottom w:val="none" w:sz="0" w:space="0" w:color="auto"/>
                    <w:right w:val="none" w:sz="0" w:space="0" w:color="auto"/>
                  </w:divBdr>
                </w:div>
                <w:div w:id="256645395">
                  <w:marLeft w:val="0"/>
                  <w:marRight w:val="0"/>
                  <w:marTop w:val="0"/>
                  <w:marBottom w:val="0"/>
                  <w:divBdr>
                    <w:top w:val="none" w:sz="0" w:space="0" w:color="auto"/>
                    <w:left w:val="none" w:sz="0" w:space="0" w:color="auto"/>
                    <w:bottom w:val="none" w:sz="0" w:space="0" w:color="auto"/>
                    <w:right w:val="none" w:sz="0" w:space="0" w:color="auto"/>
                  </w:divBdr>
                </w:div>
                <w:div w:id="1945186340">
                  <w:marLeft w:val="0"/>
                  <w:marRight w:val="0"/>
                  <w:marTop w:val="0"/>
                  <w:marBottom w:val="0"/>
                  <w:divBdr>
                    <w:top w:val="none" w:sz="0" w:space="0" w:color="auto"/>
                    <w:left w:val="none" w:sz="0" w:space="0" w:color="auto"/>
                    <w:bottom w:val="none" w:sz="0" w:space="0" w:color="auto"/>
                    <w:right w:val="none" w:sz="0" w:space="0" w:color="auto"/>
                  </w:divBdr>
                </w:div>
                <w:div w:id="1998805750">
                  <w:marLeft w:val="0"/>
                  <w:marRight w:val="0"/>
                  <w:marTop w:val="0"/>
                  <w:marBottom w:val="0"/>
                  <w:divBdr>
                    <w:top w:val="none" w:sz="0" w:space="0" w:color="auto"/>
                    <w:left w:val="none" w:sz="0" w:space="0" w:color="auto"/>
                    <w:bottom w:val="none" w:sz="0" w:space="0" w:color="auto"/>
                    <w:right w:val="none" w:sz="0" w:space="0" w:color="auto"/>
                  </w:divBdr>
                </w:div>
                <w:div w:id="884831171">
                  <w:marLeft w:val="0"/>
                  <w:marRight w:val="0"/>
                  <w:marTop w:val="0"/>
                  <w:marBottom w:val="0"/>
                  <w:divBdr>
                    <w:top w:val="none" w:sz="0" w:space="0" w:color="auto"/>
                    <w:left w:val="none" w:sz="0" w:space="0" w:color="auto"/>
                    <w:bottom w:val="none" w:sz="0" w:space="0" w:color="auto"/>
                    <w:right w:val="none" w:sz="0" w:space="0" w:color="auto"/>
                  </w:divBdr>
                </w:div>
                <w:div w:id="451944555">
                  <w:marLeft w:val="0"/>
                  <w:marRight w:val="0"/>
                  <w:marTop w:val="0"/>
                  <w:marBottom w:val="0"/>
                  <w:divBdr>
                    <w:top w:val="none" w:sz="0" w:space="0" w:color="auto"/>
                    <w:left w:val="none" w:sz="0" w:space="0" w:color="auto"/>
                    <w:bottom w:val="none" w:sz="0" w:space="0" w:color="auto"/>
                    <w:right w:val="none" w:sz="0" w:space="0" w:color="auto"/>
                  </w:divBdr>
                </w:div>
                <w:div w:id="74272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58758">
      <w:bodyDiv w:val="1"/>
      <w:marLeft w:val="0"/>
      <w:marRight w:val="0"/>
      <w:marTop w:val="0"/>
      <w:marBottom w:val="0"/>
      <w:divBdr>
        <w:top w:val="none" w:sz="0" w:space="0" w:color="auto"/>
        <w:left w:val="none" w:sz="0" w:space="0" w:color="auto"/>
        <w:bottom w:val="none" w:sz="0" w:space="0" w:color="auto"/>
        <w:right w:val="none" w:sz="0" w:space="0" w:color="auto"/>
      </w:divBdr>
    </w:div>
    <w:div w:id="214207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4ac887297c95bf4a/Documents/Clients/Bankserv/Take-home%20pay%20worksheet_lates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ZA" b="1"/>
              <a:t>Growth in real BTPI vs headline CPI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1108114610673664"/>
          <c:y val="0.16708333333333336"/>
          <c:w val="0.79815726159230094"/>
          <c:h val="0.53836504811898511"/>
        </c:manualLayout>
      </c:layout>
      <c:lineChart>
        <c:grouping val="standard"/>
        <c:varyColors val="0"/>
        <c:ser>
          <c:idx val="1"/>
          <c:order val="0"/>
          <c:tx>
            <c:v>Growth in real BTPI</c:v>
          </c:tx>
          <c:spPr>
            <a:ln w="28575" cap="rnd">
              <a:solidFill>
                <a:srgbClr val="F58220"/>
              </a:solidFill>
              <a:round/>
            </a:ln>
            <a:effectLst/>
          </c:spPr>
          <c:marker>
            <c:symbol val="none"/>
          </c:marker>
          <c:cat>
            <c:numRef>
              <c:f>'[Take-home pay worksheet_latest.xlsx]Public data'!$A$6:$A$21</c:f>
              <c:numCache>
                <c:formatCode>mmm\-yy</c:formatCode>
                <c:ptCount val="16"/>
                <c:pt idx="0">
                  <c:v>44287</c:v>
                </c:pt>
                <c:pt idx="1">
                  <c:v>44317</c:v>
                </c:pt>
                <c:pt idx="2">
                  <c:v>44348</c:v>
                </c:pt>
                <c:pt idx="3">
                  <c:v>44378</c:v>
                </c:pt>
                <c:pt idx="4">
                  <c:v>44409</c:v>
                </c:pt>
                <c:pt idx="5">
                  <c:v>44440</c:v>
                </c:pt>
                <c:pt idx="6">
                  <c:v>44470</c:v>
                </c:pt>
                <c:pt idx="7">
                  <c:v>44501</c:v>
                </c:pt>
                <c:pt idx="8">
                  <c:v>44531</c:v>
                </c:pt>
                <c:pt idx="9">
                  <c:v>44562</c:v>
                </c:pt>
                <c:pt idx="10">
                  <c:v>44593</c:v>
                </c:pt>
                <c:pt idx="11">
                  <c:v>44621</c:v>
                </c:pt>
                <c:pt idx="12">
                  <c:v>44652</c:v>
                </c:pt>
                <c:pt idx="13">
                  <c:v>44682</c:v>
                </c:pt>
                <c:pt idx="14">
                  <c:v>44713</c:v>
                </c:pt>
                <c:pt idx="15">
                  <c:v>44743</c:v>
                </c:pt>
              </c:numCache>
            </c:numRef>
          </c:cat>
          <c:val>
            <c:numRef>
              <c:f>'[Take-home pay worksheet_latest.xlsx]Public data'!$E$6:$E$21</c:f>
              <c:numCache>
                <c:formatCode>0.0%</c:formatCode>
                <c:ptCount val="16"/>
                <c:pt idx="0">
                  <c:v>3.1245324822595455E-2</c:v>
                </c:pt>
                <c:pt idx="1">
                  <c:v>6.9608248137820183E-4</c:v>
                </c:pt>
                <c:pt idx="2">
                  <c:v>-5.437319680964614E-3</c:v>
                </c:pt>
                <c:pt idx="3">
                  <c:v>-3.4986089007416066E-4</c:v>
                </c:pt>
                <c:pt idx="4">
                  <c:v>3.147767379802402E-2</c:v>
                </c:pt>
                <c:pt idx="5">
                  <c:v>4.0992179300473941E-2</c:v>
                </c:pt>
                <c:pt idx="6">
                  <c:v>-3.090255247250806E-2</c:v>
                </c:pt>
                <c:pt idx="7">
                  <c:v>-4.6991733688055537E-2</c:v>
                </c:pt>
                <c:pt idx="8">
                  <c:v>-5.2427421858937229E-2</c:v>
                </c:pt>
                <c:pt idx="9">
                  <c:v>-4.4442272272547489E-2</c:v>
                </c:pt>
                <c:pt idx="10">
                  <c:v>-4.144082024414808E-2</c:v>
                </c:pt>
                <c:pt idx="11">
                  <c:v>-5.620273009227672E-2</c:v>
                </c:pt>
                <c:pt idx="12">
                  <c:v>-5.4413867173323416E-2</c:v>
                </c:pt>
                <c:pt idx="13">
                  <c:v>-6.6753501603081578E-2</c:v>
                </c:pt>
                <c:pt idx="14">
                  <c:v>-7.8196281464559481E-2</c:v>
                </c:pt>
                <c:pt idx="15">
                  <c:v>-7.6304817201304442E-2</c:v>
                </c:pt>
              </c:numCache>
            </c:numRef>
          </c:val>
          <c:smooth val="0"/>
          <c:extLst>
            <c:ext xmlns:c16="http://schemas.microsoft.com/office/drawing/2014/chart" uri="{C3380CC4-5D6E-409C-BE32-E72D297353CC}">
              <c16:uniqueId val="{00000000-5E45-4F97-8F2F-1BA0E9D0F57B}"/>
            </c:ext>
          </c:extLst>
        </c:ser>
        <c:dLbls>
          <c:showLegendKey val="0"/>
          <c:showVal val="0"/>
          <c:showCatName val="0"/>
          <c:showSerName val="0"/>
          <c:showPercent val="0"/>
          <c:showBubbleSize val="0"/>
        </c:dLbls>
        <c:marker val="1"/>
        <c:smooth val="0"/>
        <c:axId val="712659544"/>
        <c:axId val="712655280"/>
      </c:lineChart>
      <c:lineChart>
        <c:grouping val="standard"/>
        <c:varyColors val="0"/>
        <c:ser>
          <c:idx val="2"/>
          <c:order val="1"/>
          <c:tx>
            <c:v>Headline CPI (RHS)</c:v>
          </c:tx>
          <c:spPr>
            <a:ln w="28575" cap="rnd">
              <a:solidFill>
                <a:srgbClr val="BFD730"/>
              </a:solidFill>
              <a:round/>
            </a:ln>
            <a:effectLst/>
          </c:spPr>
          <c:marker>
            <c:symbol val="none"/>
          </c:marker>
          <c:val>
            <c:numRef>
              <c:f>'[Take-home pay worksheet_latest.xlsx]Public data'!$K$6:$K$21</c:f>
              <c:numCache>
                <c:formatCode>0.0%</c:formatCode>
                <c:ptCount val="16"/>
                <c:pt idx="0">
                  <c:v>4.4276457883369424E-2</c:v>
                </c:pt>
                <c:pt idx="1">
                  <c:v>5.2173913043478182E-2</c:v>
                </c:pt>
                <c:pt idx="2">
                  <c:v>4.8648648648648596E-2</c:v>
                </c:pt>
                <c:pt idx="3">
                  <c:v>4.6958377801494144E-2</c:v>
                </c:pt>
                <c:pt idx="4">
                  <c:v>4.8988285410010546E-2</c:v>
                </c:pt>
                <c:pt idx="5">
                  <c:v>5.0000000000000044E-2</c:v>
                </c:pt>
                <c:pt idx="6">
                  <c:v>4.9840933191940717E-2</c:v>
                </c:pt>
                <c:pt idx="7">
                  <c:v>5.4082714740190996E-2</c:v>
                </c:pt>
                <c:pt idx="8">
                  <c:v>5.9322033898304927E-2</c:v>
                </c:pt>
                <c:pt idx="9">
                  <c:v>5.6962025316455778E-2</c:v>
                </c:pt>
                <c:pt idx="10">
                  <c:v>5.6603773584905648E-2</c:v>
                </c:pt>
                <c:pt idx="11">
                  <c:v>5.9313215400624397E-2</c:v>
                </c:pt>
                <c:pt idx="12">
                  <c:v>5.8945191313340306E-2</c:v>
                </c:pt>
                <c:pt idx="13">
                  <c:v>6.5082644628099207E-2</c:v>
                </c:pt>
                <c:pt idx="14">
                  <c:v>7.4226804123711299E-2</c:v>
                </c:pt>
                <c:pt idx="15">
                  <c:v>7.8491335372069315E-2</c:v>
                </c:pt>
              </c:numCache>
            </c:numRef>
          </c:val>
          <c:smooth val="0"/>
          <c:extLst>
            <c:ext xmlns:c16="http://schemas.microsoft.com/office/drawing/2014/chart" uri="{C3380CC4-5D6E-409C-BE32-E72D297353CC}">
              <c16:uniqueId val="{00000001-5E45-4F97-8F2F-1BA0E9D0F57B}"/>
            </c:ext>
          </c:extLst>
        </c:ser>
        <c:dLbls>
          <c:showLegendKey val="0"/>
          <c:showVal val="0"/>
          <c:showCatName val="0"/>
          <c:showSerName val="0"/>
          <c:showPercent val="0"/>
          <c:showBubbleSize val="0"/>
        </c:dLbls>
        <c:marker val="1"/>
        <c:smooth val="0"/>
        <c:axId val="712655936"/>
        <c:axId val="708630744"/>
      </c:lineChart>
      <c:dateAx>
        <c:axId val="712659544"/>
        <c:scaling>
          <c:orientation val="minMax"/>
        </c:scaling>
        <c:delete val="0"/>
        <c:axPos val="b"/>
        <c:numFmt formatCode="mmm\-yy"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12655280"/>
        <c:crosses val="autoZero"/>
        <c:auto val="1"/>
        <c:lblOffset val="100"/>
        <c:baseTimeUnit val="months"/>
      </c:dateAx>
      <c:valAx>
        <c:axId val="71265528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12659544"/>
        <c:crosses val="autoZero"/>
        <c:crossBetween val="between"/>
      </c:valAx>
      <c:valAx>
        <c:axId val="708630744"/>
        <c:scaling>
          <c:orientation val="minMax"/>
          <c:min val="4.0000000000000008E-2"/>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12655936"/>
        <c:crosses val="max"/>
        <c:crossBetween val="between"/>
      </c:valAx>
      <c:catAx>
        <c:axId val="712655936"/>
        <c:scaling>
          <c:orientation val="minMax"/>
        </c:scaling>
        <c:delete val="1"/>
        <c:axPos val="b"/>
        <c:majorTickMark val="out"/>
        <c:minorTickMark val="none"/>
        <c:tickLblPos val="nextTo"/>
        <c:crossAx val="70863074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BFD730"/>
      </a:dk2>
      <a:lt2>
        <a:srgbClr val="F58220"/>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B0017-3441-4C01-A324-280EE86C5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1256</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Leigh-AnneS@Bankservafrica.com</dc:creator>
  <cp:lastModifiedBy>Leigh-Anne Sa Joe</cp:lastModifiedBy>
  <cp:revision>2</cp:revision>
  <cp:lastPrinted>2022-07-25T09:23:00Z</cp:lastPrinted>
  <dcterms:created xsi:type="dcterms:W3CDTF">2022-08-30T12:55:00Z</dcterms:created>
  <dcterms:modified xsi:type="dcterms:W3CDTF">2022-08-30T12:55:00Z</dcterms:modified>
</cp:coreProperties>
</file>