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1DC" w14:textId="34D3E924" w:rsidR="000B1B20" w:rsidRDefault="0023248F" w:rsidP="00AA2418">
      <w:pPr>
        <w:pStyle w:val="Heading1"/>
        <w:rPr>
          <w:rFonts w:asciiTheme="minorHAnsi" w:hAnsiTheme="minorHAnsi"/>
          <w:b w:val="0"/>
          <w:color w:val="auto"/>
          <w:sz w:val="22"/>
          <w:szCs w:val="22"/>
        </w:rPr>
      </w:pPr>
      <w:bookmarkStart w:id="0" w:name="_Hlk40078063"/>
      <w:bookmarkEnd w:id="0"/>
      <w:r>
        <w:rPr>
          <w:rFonts w:asciiTheme="minorHAnsi" w:hAnsiTheme="minorHAnsi"/>
          <w:b w:val="0"/>
          <w:color w:val="auto"/>
          <w:sz w:val="22"/>
          <w:szCs w:val="22"/>
        </w:rPr>
        <w:t xml:space="preserve"> </w:t>
      </w:r>
      <w:r w:rsidR="003E0919">
        <w:rPr>
          <w:rFonts w:asciiTheme="minorHAnsi" w:hAnsiTheme="minorHAnsi"/>
          <w:b w:val="0"/>
          <w:color w:val="auto"/>
          <w:sz w:val="22"/>
          <w:szCs w:val="22"/>
        </w:rPr>
        <w:t xml:space="preserve"> </w:t>
      </w:r>
      <w:r w:rsidR="00FE3C65">
        <w:rPr>
          <w:rFonts w:asciiTheme="minorHAnsi" w:hAnsiTheme="minorHAnsi"/>
          <w:b w:val="0"/>
          <w:color w:val="auto"/>
          <w:sz w:val="22"/>
          <w:szCs w:val="22"/>
        </w:rPr>
        <w:t xml:space="preserve"> </w:t>
      </w:r>
      <w:r w:rsidR="008F2E05">
        <w:rPr>
          <w:rFonts w:asciiTheme="minorHAnsi" w:hAnsiTheme="minorHAnsi"/>
          <w:b w:val="0"/>
          <w:color w:val="auto"/>
          <w:sz w:val="22"/>
          <w:szCs w:val="22"/>
        </w:rPr>
        <w:t xml:space="preserve"> </w:t>
      </w:r>
      <w:r w:rsidR="000B1B20" w:rsidRPr="00887501">
        <w:rPr>
          <w:noProof/>
          <w:lang w:eastAsia="en-ZA"/>
        </w:rPr>
        <w:drawing>
          <wp:inline distT="0" distB="0" distL="0" distR="0" wp14:anchorId="13842759" wp14:editId="4FE638DA">
            <wp:extent cx="2209800" cy="647700"/>
            <wp:effectExtent l="0" t="0" r="0" b="0"/>
            <wp:docPr id="1" name="Picture 1" descr="Description: 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KSERV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p w14:paraId="07EB619F" w14:textId="43BF97F7" w:rsidR="0069223E" w:rsidRPr="00642DE5" w:rsidRDefault="006F77A7" w:rsidP="002F4E21">
      <w:pPr>
        <w:spacing w:after="0" w:line="240" w:lineRule="auto"/>
        <w:rPr>
          <w:rFonts w:cs="Calibri"/>
        </w:rPr>
      </w:pPr>
      <w:r>
        <w:rPr>
          <w:rFonts w:cs="Calibri"/>
        </w:rPr>
        <w:t>Ju</w:t>
      </w:r>
      <w:r w:rsidR="006105C0">
        <w:rPr>
          <w:rFonts w:cs="Calibri"/>
        </w:rPr>
        <w:t>ly</w:t>
      </w:r>
      <w:r w:rsidR="00C62D65">
        <w:rPr>
          <w:rFonts w:cs="Calibri"/>
        </w:rPr>
        <w:t xml:space="preserve"> 2022</w:t>
      </w:r>
      <w:r w:rsidR="002B5AD3">
        <w:rPr>
          <w:rFonts w:cs="Calibri"/>
        </w:rPr>
        <w:t xml:space="preserve"> </w:t>
      </w:r>
      <w:r w:rsidR="0069223E" w:rsidRPr="00642DE5">
        <w:rPr>
          <w:rFonts w:cs="Calibri"/>
        </w:rPr>
        <w:t>BETI report to accompany press release</w:t>
      </w:r>
    </w:p>
    <w:p w14:paraId="43A5893E" w14:textId="306B00B6" w:rsidR="00B77375" w:rsidRDefault="0069223E" w:rsidP="002F4E21">
      <w:pPr>
        <w:spacing w:after="0" w:line="240" w:lineRule="auto"/>
        <w:rPr>
          <w:rFonts w:cs="Calibri"/>
        </w:rPr>
      </w:pPr>
      <w:r w:rsidRPr="00642DE5">
        <w:rPr>
          <w:rFonts w:cs="Calibri"/>
        </w:rPr>
        <w:t xml:space="preserve">Date: </w:t>
      </w:r>
      <w:r w:rsidR="002F36DE">
        <w:rPr>
          <w:rFonts w:cs="Calibri"/>
        </w:rPr>
        <w:t>17 August</w:t>
      </w:r>
      <w:r w:rsidR="003C23E2">
        <w:rPr>
          <w:rFonts w:cs="Calibri"/>
        </w:rPr>
        <w:t xml:space="preserve"> 2022 </w:t>
      </w:r>
    </w:p>
    <w:p w14:paraId="56C6EBC8" w14:textId="77777777" w:rsidR="000C0CC8" w:rsidRDefault="000C0CC8" w:rsidP="002F4E21">
      <w:pPr>
        <w:spacing w:after="0" w:line="240" w:lineRule="auto"/>
        <w:rPr>
          <w:rFonts w:eastAsiaTheme="majorEastAsia" w:cstheme="majorBidi"/>
          <w:b/>
          <w:bCs/>
          <w:sz w:val="28"/>
          <w:szCs w:val="28"/>
        </w:rPr>
      </w:pPr>
    </w:p>
    <w:p w14:paraId="6447313D" w14:textId="41FA1FAF" w:rsidR="00026E87" w:rsidRPr="00F543B7" w:rsidRDefault="00924000" w:rsidP="002F4E21">
      <w:pPr>
        <w:spacing w:after="0" w:line="240" w:lineRule="auto"/>
        <w:rPr>
          <w:rFonts w:eastAsiaTheme="majorEastAsia" w:cstheme="majorBidi"/>
          <w:b/>
          <w:bCs/>
          <w:sz w:val="24"/>
          <w:szCs w:val="24"/>
        </w:rPr>
      </w:pPr>
      <w:r w:rsidRPr="00F543B7">
        <w:rPr>
          <w:rFonts w:eastAsiaTheme="majorEastAsia" w:cstheme="majorBidi"/>
          <w:b/>
          <w:bCs/>
          <w:sz w:val="24"/>
          <w:szCs w:val="24"/>
        </w:rPr>
        <w:t xml:space="preserve">BETI SIGNALS THE SA ECONOMY </w:t>
      </w:r>
      <w:r w:rsidR="00E002FB">
        <w:rPr>
          <w:rFonts w:eastAsiaTheme="majorEastAsia" w:cstheme="majorBidi"/>
          <w:b/>
          <w:bCs/>
          <w:sz w:val="24"/>
          <w:szCs w:val="24"/>
        </w:rPr>
        <w:t>WEAKENED</w:t>
      </w:r>
      <w:r w:rsidRPr="00F543B7">
        <w:rPr>
          <w:rFonts w:eastAsiaTheme="majorEastAsia" w:cstheme="majorBidi"/>
          <w:b/>
          <w:bCs/>
          <w:sz w:val="24"/>
          <w:szCs w:val="24"/>
        </w:rPr>
        <w:t xml:space="preserve"> IN </w:t>
      </w:r>
      <w:r w:rsidR="00212A34" w:rsidRPr="00F543B7">
        <w:rPr>
          <w:rFonts w:eastAsiaTheme="majorEastAsia" w:cstheme="majorBidi"/>
          <w:b/>
          <w:bCs/>
          <w:sz w:val="24"/>
          <w:szCs w:val="24"/>
        </w:rPr>
        <w:t>JU</w:t>
      </w:r>
      <w:r w:rsidR="0031396E">
        <w:rPr>
          <w:rFonts w:eastAsiaTheme="majorEastAsia" w:cstheme="majorBidi"/>
          <w:b/>
          <w:bCs/>
          <w:sz w:val="24"/>
          <w:szCs w:val="24"/>
        </w:rPr>
        <w:t>LY</w:t>
      </w:r>
      <w:r w:rsidRPr="00F543B7">
        <w:rPr>
          <w:rFonts w:eastAsiaTheme="majorEastAsia" w:cstheme="majorBidi"/>
          <w:b/>
          <w:bCs/>
          <w:sz w:val="24"/>
          <w:szCs w:val="24"/>
        </w:rPr>
        <w:t xml:space="preserve"> 2022 </w:t>
      </w:r>
    </w:p>
    <w:p w14:paraId="37B9CA37" w14:textId="6D8F6908" w:rsidR="00565670" w:rsidRDefault="00565670" w:rsidP="002F4E21">
      <w:pPr>
        <w:spacing w:after="0" w:line="240" w:lineRule="auto"/>
        <w:rPr>
          <w:rFonts w:eastAsiaTheme="majorEastAsia" w:cstheme="majorBidi"/>
          <w:b/>
          <w:bCs/>
          <w:sz w:val="28"/>
          <w:szCs w:val="28"/>
        </w:rPr>
      </w:pPr>
    </w:p>
    <w:p w14:paraId="39A7CEE2" w14:textId="47D22259" w:rsidR="009B4C18" w:rsidRPr="0050660C" w:rsidRDefault="002D5B6E" w:rsidP="0099110C">
      <w:pPr>
        <w:rPr>
          <w:color w:val="000000" w:themeColor="text1"/>
        </w:rPr>
      </w:pPr>
      <w:bookmarkStart w:id="1" w:name="_Hlk531953638"/>
      <w:bookmarkStart w:id="2" w:name="_Hlk3190092"/>
      <w:r w:rsidRPr="009B4C18">
        <w:rPr>
          <w:color w:val="000000" w:themeColor="text1"/>
        </w:rPr>
        <w:t>T</w:t>
      </w:r>
      <w:r w:rsidR="00090A47" w:rsidRPr="009B4C18">
        <w:rPr>
          <w:color w:val="000000" w:themeColor="text1"/>
        </w:rPr>
        <w:t xml:space="preserve">he BankservAfrica Economic Transactions Index (BETI) </w:t>
      </w:r>
      <w:r w:rsidR="00C610B4" w:rsidRPr="009B4C18">
        <w:rPr>
          <w:color w:val="000000" w:themeColor="text1"/>
        </w:rPr>
        <w:t xml:space="preserve">moderated </w:t>
      </w:r>
      <w:r w:rsidR="00EC614A" w:rsidRPr="009B4C18">
        <w:rPr>
          <w:color w:val="000000" w:themeColor="text1"/>
        </w:rPr>
        <w:t xml:space="preserve">further in July </w:t>
      </w:r>
      <w:r w:rsidR="000F46BE" w:rsidRPr="009B4C18">
        <w:rPr>
          <w:color w:val="000000" w:themeColor="text1"/>
        </w:rPr>
        <w:t xml:space="preserve">2022 </w:t>
      </w:r>
      <w:r w:rsidR="00EC614A" w:rsidRPr="009B4C18">
        <w:rPr>
          <w:color w:val="000000" w:themeColor="text1"/>
        </w:rPr>
        <w:t xml:space="preserve">to an index level of </w:t>
      </w:r>
      <w:r w:rsidR="006D002E" w:rsidRPr="009B4C18">
        <w:rPr>
          <w:color w:val="000000" w:themeColor="text1"/>
        </w:rPr>
        <w:t>134.5</w:t>
      </w:r>
      <w:r w:rsidR="00266997" w:rsidRPr="009B4C18">
        <w:rPr>
          <w:color w:val="000000" w:themeColor="text1"/>
        </w:rPr>
        <w:t xml:space="preserve">, notably lower than the all-time high </w:t>
      </w:r>
      <w:r w:rsidR="006B669E" w:rsidRPr="009B4C18">
        <w:rPr>
          <w:color w:val="000000" w:themeColor="text1"/>
        </w:rPr>
        <w:t xml:space="preserve">reached </w:t>
      </w:r>
      <w:r w:rsidR="00266997" w:rsidRPr="009B4C18">
        <w:rPr>
          <w:color w:val="000000" w:themeColor="text1"/>
        </w:rPr>
        <w:t xml:space="preserve">just </w:t>
      </w:r>
      <w:r w:rsidR="006B669E" w:rsidRPr="009B4C18">
        <w:rPr>
          <w:color w:val="000000" w:themeColor="text1"/>
        </w:rPr>
        <w:t>two months ago in May</w:t>
      </w:r>
      <w:r w:rsidR="008D13D3" w:rsidRPr="009B4C18">
        <w:rPr>
          <w:color w:val="000000" w:themeColor="text1"/>
        </w:rPr>
        <w:t xml:space="preserve"> </w:t>
      </w:r>
      <w:r w:rsidR="003F170C" w:rsidRPr="009B4C18">
        <w:rPr>
          <w:color w:val="000000" w:themeColor="text1"/>
        </w:rPr>
        <w:t>(143</w:t>
      </w:r>
      <w:r w:rsidR="00161114" w:rsidRPr="009B4C18">
        <w:rPr>
          <w:color w:val="000000" w:themeColor="text1"/>
        </w:rPr>
        <w:t xml:space="preserve">.0) </w:t>
      </w:r>
      <w:r w:rsidR="008D13D3" w:rsidRPr="009B4C18">
        <w:rPr>
          <w:color w:val="000000" w:themeColor="text1"/>
        </w:rPr>
        <w:t>and the lowest since February</w:t>
      </w:r>
      <w:r w:rsidR="00161114" w:rsidRPr="009B4C18">
        <w:rPr>
          <w:color w:val="000000" w:themeColor="text1"/>
        </w:rPr>
        <w:t xml:space="preserve"> (133.8)</w:t>
      </w:r>
      <w:r w:rsidR="000F46BE" w:rsidRPr="009B4C18">
        <w:rPr>
          <w:color w:val="000000" w:themeColor="text1"/>
        </w:rPr>
        <w:t xml:space="preserve">. </w:t>
      </w:r>
      <w:r w:rsidR="006D002E" w:rsidRPr="009B4C18">
        <w:rPr>
          <w:color w:val="000000" w:themeColor="text1"/>
        </w:rPr>
        <w:t xml:space="preserve"> </w:t>
      </w:r>
      <w:r w:rsidR="008D13D3" w:rsidRPr="009B4C18">
        <w:rPr>
          <w:color w:val="000000" w:themeColor="text1"/>
        </w:rPr>
        <w:t>On an annual basis, the BETI still increased by 5.6%</w:t>
      </w:r>
      <w:r w:rsidR="00141CD7" w:rsidRPr="009B4C18">
        <w:rPr>
          <w:color w:val="000000" w:themeColor="text1"/>
        </w:rPr>
        <w:t xml:space="preserve"> </w:t>
      </w:r>
      <w:r w:rsidR="00810A96">
        <w:rPr>
          <w:color w:val="000000" w:themeColor="text1"/>
        </w:rPr>
        <w:t xml:space="preserve">in July 2022 </w:t>
      </w:r>
      <w:r w:rsidR="00141CD7" w:rsidRPr="009B4C18">
        <w:rPr>
          <w:color w:val="000000" w:themeColor="text1"/>
        </w:rPr>
        <w:t>vs a revised 5.0% in June</w:t>
      </w:r>
      <w:r w:rsidR="004B4EE7" w:rsidRPr="009B4C18">
        <w:rPr>
          <w:color w:val="000000" w:themeColor="text1"/>
        </w:rPr>
        <w:t xml:space="preserve">.  However, the annual comparison </w:t>
      </w:r>
      <w:proofErr w:type="gramStart"/>
      <w:r w:rsidR="004B4EE7" w:rsidRPr="009B4C18">
        <w:rPr>
          <w:color w:val="000000" w:themeColor="text1"/>
        </w:rPr>
        <w:t xml:space="preserve">is </w:t>
      </w:r>
      <w:r w:rsidR="00FC1365" w:rsidRPr="009B4C18">
        <w:rPr>
          <w:color w:val="000000" w:themeColor="text1"/>
        </w:rPr>
        <w:t xml:space="preserve">partly </w:t>
      </w:r>
      <w:r w:rsidR="004B4EE7" w:rsidRPr="009B4C18">
        <w:rPr>
          <w:color w:val="000000" w:themeColor="text1"/>
        </w:rPr>
        <w:t>influenced</w:t>
      </w:r>
      <w:proofErr w:type="gramEnd"/>
      <w:r w:rsidR="004B4EE7" w:rsidRPr="009B4C18">
        <w:rPr>
          <w:color w:val="000000" w:themeColor="text1"/>
        </w:rPr>
        <w:t xml:space="preserve"> by a low base of calculation, </w:t>
      </w:r>
      <w:r w:rsidR="00161114" w:rsidRPr="009B4C18">
        <w:rPr>
          <w:color w:val="000000" w:themeColor="text1"/>
        </w:rPr>
        <w:t xml:space="preserve">as the </w:t>
      </w:r>
      <w:r w:rsidR="009E2CF4" w:rsidRPr="009B4C18">
        <w:rPr>
          <w:color w:val="000000" w:themeColor="text1"/>
        </w:rPr>
        <w:t xml:space="preserve">riots </w:t>
      </w:r>
      <w:r w:rsidR="00B9495A" w:rsidRPr="009B4C18">
        <w:rPr>
          <w:color w:val="000000" w:themeColor="text1"/>
        </w:rPr>
        <w:t xml:space="preserve">in </w:t>
      </w:r>
      <w:r w:rsidR="004532CA">
        <w:rPr>
          <w:color w:val="000000" w:themeColor="text1"/>
        </w:rPr>
        <w:t>KwaZulu-Natal</w:t>
      </w:r>
      <w:r w:rsidR="00B9495A" w:rsidRPr="009B4C18">
        <w:rPr>
          <w:color w:val="000000" w:themeColor="text1"/>
        </w:rPr>
        <w:t xml:space="preserve"> and Gauteng in July 2021 (while the economy was </w:t>
      </w:r>
      <w:r w:rsidR="00D51173" w:rsidRPr="009B4C18">
        <w:rPr>
          <w:color w:val="000000" w:themeColor="text1"/>
        </w:rPr>
        <w:t>still subject to some C</w:t>
      </w:r>
      <w:r w:rsidR="004532CA">
        <w:rPr>
          <w:color w:val="000000" w:themeColor="text1"/>
        </w:rPr>
        <w:t>OVID</w:t>
      </w:r>
      <w:r w:rsidR="00D51173" w:rsidRPr="009B4C18">
        <w:rPr>
          <w:color w:val="000000" w:themeColor="text1"/>
        </w:rPr>
        <w:t>-19 restrictions), depressed the BETI</w:t>
      </w:r>
      <w:r w:rsidR="001E1D8C">
        <w:rPr>
          <w:color w:val="000000" w:themeColor="text1"/>
        </w:rPr>
        <w:t xml:space="preserve"> at the time</w:t>
      </w:r>
      <w:r w:rsidR="009B4C18" w:rsidRPr="009B4C18">
        <w:rPr>
          <w:color w:val="000000" w:themeColor="text1"/>
        </w:rPr>
        <w:t xml:space="preserve">, </w:t>
      </w:r>
      <w:r w:rsidR="009B4C18" w:rsidRPr="0050660C">
        <w:rPr>
          <w:color w:val="000000" w:themeColor="text1"/>
        </w:rPr>
        <w:t>before recovering again in August 2021.</w:t>
      </w:r>
      <w:r w:rsidR="00B9495A" w:rsidRPr="0050660C">
        <w:rPr>
          <w:color w:val="000000" w:themeColor="text1"/>
        </w:rPr>
        <w:t xml:space="preserve"> </w:t>
      </w:r>
      <w:bookmarkStart w:id="3" w:name="_Hlk108517566"/>
    </w:p>
    <w:p w14:paraId="3AE94C43" w14:textId="1F41F5B9" w:rsidR="0099110C" w:rsidRPr="0050660C" w:rsidRDefault="00477CDD" w:rsidP="00F96EEC">
      <w:pPr>
        <w:rPr>
          <w:color w:val="000000" w:themeColor="text1"/>
        </w:rPr>
      </w:pPr>
      <w:r w:rsidRPr="0050660C">
        <w:rPr>
          <w:color w:val="000000" w:themeColor="text1"/>
        </w:rPr>
        <w:t xml:space="preserve">On a monthly basis, the BETI declined </w:t>
      </w:r>
      <w:r w:rsidR="00810A96" w:rsidRPr="0050660C">
        <w:rPr>
          <w:color w:val="000000" w:themeColor="text1"/>
        </w:rPr>
        <w:t>for a second consecutive month</w:t>
      </w:r>
      <w:r w:rsidR="004532CA">
        <w:rPr>
          <w:color w:val="000000" w:themeColor="text1"/>
        </w:rPr>
        <w:t xml:space="preserve"> </w:t>
      </w:r>
      <w:r w:rsidRPr="0050660C">
        <w:rPr>
          <w:color w:val="000000" w:themeColor="text1"/>
        </w:rPr>
        <w:t xml:space="preserve">by </w:t>
      </w:r>
      <w:r w:rsidR="009D532C" w:rsidRPr="0050660C">
        <w:rPr>
          <w:color w:val="000000" w:themeColor="text1"/>
        </w:rPr>
        <w:t xml:space="preserve">1.3% in July vs </w:t>
      </w:r>
      <w:r w:rsidR="00F25C95">
        <w:rPr>
          <w:color w:val="000000" w:themeColor="text1"/>
        </w:rPr>
        <w:t xml:space="preserve">the </w:t>
      </w:r>
      <w:r w:rsidR="00EC4418" w:rsidRPr="0050660C">
        <w:rPr>
          <w:color w:val="000000" w:themeColor="text1"/>
        </w:rPr>
        <w:t>revised drop of</w:t>
      </w:r>
      <w:r w:rsidR="00DE0719" w:rsidRPr="0050660C">
        <w:rPr>
          <w:color w:val="000000" w:themeColor="text1"/>
        </w:rPr>
        <w:t xml:space="preserve"> </w:t>
      </w:r>
      <w:r w:rsidRPr="0050660C">
        <w:rPr>
          <w:color w:val="000000" w:themeColor="text1"/>
        </w:rPr>
        <w:t>4.</w:t>
      </w:r>
      <w:r w:rsidR="00EC4418" w:rsidRPr="0050660C">
        <w:rPr>
          <w:color w:val="000000" w:themeColor="text1"/>
        </w:rPr>
        <w:t>7</w:t>
      </w:r>
      <w:r w:rsidRPr="0050660C">
        <w:rPr>
          <w:color w:val="000000" w:themeColor="text1"/>
        </w:rPr>
        <w:t>%</w:t>
      </w:r>
      <w:r w:rsidR="00EC4418" w:rsidRPr="0050660C">
        <w:rPr>
          <w:color w:val="000000" w:themeColor="text1"/>
        </w:rPr>
        <w:t xml:space="preserve"> in June</w:t>
      </w:r>
      <w:r w:rsidRPr="0050660C">
        <w:rPr>
          <w:color w:val="000000" w:themeColor="text1"/>
        </w:rPr>
        <w:t xml:space="preserve">, </w:t>
      </w:r>
      <w:proofErr w:type="spellStart"/>
      <w:r w:rsidR="00EC4418" w:rsidRPr="0050660C">
        <w:rPr>
          <w:color w:val="000000" w:themeColor="text1"/>
        </w:rPr>
        <w:t>signaling</w:t>
      </w:r>
      <w:proofErr w:type="spellEnd"/>
      <w:r w:rsidR="007E3155" w:rsidRPr="0050660C">
        <w:rPr>
          <w:color w:val="000000" w:themeColor="text1"/>
        </w:rPr>
        <w:t xml:space="preserve"> strain</w:t>
      </w:r>
      <w:r w:rsidR="00EC4418" w:rsidRPr="0050660C">
        <w:rPr>
          <w:color w:val="000000" w:themeColor="text1"/>
        </w:rPr>
        <w:t xml:space="preserve"> </w:t>
      </w:r>
      <w:r w:rsidR="0056350A" w:rsidRPr="0050660C">
        <w:rPr>
          <w:color w:val="000000" w:themeColor="text1"/>
        </w:rPr>
        <w:t>i</w:t>
      </w:r>
      <w:r w:rsidR="003E5FBE" w:rsidRPr="0050660C">
        <w:rPr>
          <w:color w:val="000000" w:themeColor="text1"/>
        </w:rPr>
        <w:t>n</w:t>
      </w:r>
      <w:r w:rsidR="007E3155" w:rsidRPr="0050660C">
        <w:rPr>
          <w:color w:val="000000" w:themeColor="text1"/>
        </w:rPr>
        <w:t xml:space="preserve"> the </w:t>
      </w:r>
      <w:r w:rsidR="0056350A" w:rsidRPr="0050660C">
        <w:rPr>
          <w:color w:val="000000" w:themeColor="text1"/>
        </w:rPr>
        <w:t xml:space="preserve">broader </w:t>
      </w:r>
      <w:r w:rsidR="007E3155" w:rsidRPr="0050660C">
        <w:rPr>
          <w:color w:val="000000" w:themeColor="text1"/>
        </w:rPr>
        <w:t>economy</w:t>
      </w:r>
      <w:r w:rsidR="00B13336" w:rsidRPr="0050660C">
        <w:rPr>
          <w:color w:val="000000" w:themeColor="text1"/>
        </w:rPr>
        <w:t>.</w:t>
      </w:r>
      <w:r w:rsidR="0099110C" w:rsidRPr="0050660C">
        <w:rPr>
          <w:color w:val="000000" w:themeColor="text1"/>
        </w:rPr>
        <w:t xml:space="preserve"> </w:t>
      </w:r>
      <w:bookmarkStart w:id="4" w:name="_Hlk106194905"/>
      <w:bookmarkEnd w:id="3"/>
      <w:r w:rsidR="00E55841" w:rsidRPr="0050660C">
        <w:rPr>
          <w:color w:val="000000" w:themeColor="text1"/>
        </w:rPr>
        <w:t>The</w:t>
      </w:r>
      <w:r w:rsidR="000935E1" w:rsidRPr="0050660C">
        <w:rPr>
          <w:color w:val="000000" w:themeColor="text1"/>
        </w:rPr>
        <w:t xml:space="preserve"> moderation in </w:t>
      </w:r>
      <w:r w:rsidR="00E726B2" w:rsidRPr="0050660C">
        <w:rPr>
          <w:color w:val="000000" w:themeColor="text1"/>
        </w:rPr>
        <w:t>the BETI</w:t>
      </w:r>
      <w:r w:rsidR="00665FAC" w:rsidRPr="0050660C">
        <w:rPr>
          <w:color w:val="000000" w:themeColor="text1"/>
        </w:rPr>
        <w:t xml:space="preserve"> </w:t>
      </w:r>
      <w:proofErr w:type="gramStart"/>
      <w:r w:rsidR="00665FAC" w:rsidRPr="0050660C">
        <w:rPr>
          <w:color w:val="000000" w:themeColor="text1"/>
        </w:rPr>
        <w:t>on a monthly basis</w:t>
      </w:r>
      <w:proofErr w:type="gramEnd"/>
      <w:r w:rsidR="00E726B2" w:rsidRPr="0050660C">
        <w:rPr>
          <w:color w:val="000000" w:themeColor="text1"/>
        </w:rPr>
        <w:t xml:space="preserve"> is not </w:t>
      </w:r>
      <w:r w:rsidR="0099110C" w:rsidRPr="0050660C">
        <w:rPr>
          <w:color w:val="000000" w:themeColor="text1"/>
        </w:rPr>
        <w:t xml:space="preserve">unexpected in light of the many headwinds that </w:t>
      </w:r>
      <w:r w:rsidR="00A52D99" w:rsidRPr="0050660C">
        <w:rPr>
          <w:color w:val="000000" w:themeColor="text1"/>
        </w:rPr>
        <w:t xml:space="preserve">have </w:t>
      </w:r>
      <w:r w:rsidR="0099110C" w:rsidRPr="0050660C">
        <w:rPr>
          <w:color w:val="000000" w:themeColor="text1"/>
        </w:rPr>
        <w:t xml:space="preserve">surfaced in the local economy </w:t>
      </w:r>
      <w:r w:rsidR="00C3594F" w:rsidRPr="0050660C">
        <w:rPr>
          <w:color w:val="000000" w:themeColor="text1"/>
        </w:rPr>
        <w:t>over the past few months</w:t>
      </w:r>
      <w:r w:rsidR="00A52D99" w:rsidRPr="0050660C">
        <w:rPr>
          <w:color w:val="000000" w:themeColor="text1"/>
        </w:rPr>
        <w:t xml:space="preserve"> -</w:t>
      </w:r>
      <w:r w:rsidR="00E55841" w:rsidRPr="0050660C">
        <w:rPr>
          <w:color w:val="000000" w:themeColor="text1"/>
        </w:rPr>
        <w:t xml:space="preserve"> </w:t>
      </w:r>
      <w:r w:rsidR="006E6111" w:rsidRPr="0050660C">
        <w:rPr>
          <w:color w:val="000000" w:themeColor="text1"/>
        </w:rPr>
        <w:t xml:space="preserve">from </w:t>
      </w:r>
      <w:r w:rsidR="00195780" w:rsidRPr="0050660C">
        <w:rPr>
          <w:color w:val="000000" w:themeColor="text1"/>
        </w:rPr>
        <w:t xml:space="preserve">recurring </w:t>
      </w:r>
      <w:r w:rsidR="006E6111" w:rsidRPr="0050660C">
        <w:rPr>
          <w:color w:val="000000" w:themeColor="text1"/>
        </w:rPr>
        <w:t>load shedding</w:t>
      </w:r>
      <w:r w:rsidR="00BB7428">
        <w:rPr>
          <w:color w:val="000000" w:themeColor="text1"/>
        </w:rPr>
        <w:t xml:space="preserve"> (</w:t>
      </w:r>
      <w:r w:rsidR="006D0159">
        <w:rPr>
          <w:color w:val="000000" w:themeColor="text1"/>
        </w:rPr>
        <w:t>particularly</w:t>
      </w:r>
      <w:r w:rsidR="00F92C1B">
        <w:rPr>
          <w:color w:val="000000" w:themeColor="text1"/>
        </w:rPr>
        <w:t xml:space="preserve"> intense</w:t>
      </w:r>
      <w:r w:rsidR="006D0159">
        <w:rPr>
          <w:color w:val="000000" w:themeColor="text1"/>
        </w:rPr>
        <w:t xml:space="preserve"> in July)</w:t>
      </w:r>
      <w:r w:rsidR="001732AC" w:rsidRPr="0050660C">
        <w:rPr>
          <w:color w:val="000000" w:themeColor="text1"/>
        </w:rPr>
        <w:t xml:space="preserve"> </w:t>
      </w:r>
      <w:r w:rsidR="006E6111" w:rsidRPr="0050660C">
        <w:rPr>
          <w:color w:val="000000" w:themeColor="text1"/>
        </w:rPr>
        <w:t xml:space="preserve">to </w:t>
      </w:r>
      <w:r w:rsidR="00E80A36" w:rsidRPr="0050660C">
        <w:rPr>
          <w:color w:val="000000" w:themeColor="text1"/>
        </w:rPr>
        <w:t>the significant</w:t>
      </w:r>
      <w:r w:rsidR="00A52D99" w:rsidRPr="0050660C">
        <w:rPr>
          <w:color w:val="000000" w:themeColor="text1"/>
        </w:rPr>
        <w:t xml:space="preserve"> rise in </w:t>
      </w:r>
      <w:r w:rsidR="006E6111" w:rsidRPr="0050660C">
        <w:rPr>
          <w:color w:val="000000" w:themeColor="text1"/>
        </w:rPr>
        <w:t>fuel</w:t>
      </w:r>
      <w:r w:rsidR="001732AC" w:rsidRPr="0050660C">
        <w:rPr>
          <w:color w:val="000000" w:themeColor="text1"/>
        </w:rPr>
        <w:t>, food</w:t>
      </w:r>
      <w:r w:rsidR="006E6111" w:rsidRPr="0050660C">
        <w:rPr>
          <w:color w:val="000000" w:themeColor="text1"/>
        </w:rPr>
        <w:t xml:space="preserve"> and general inflation increases. </w:t>
      </w:r>
      <w:r w:rsidR="00C3594F" w:rsidRPr="0050660C">
        <w:rPr>
          <w:color w:val="000000" w:themeColor="text1"/>
        </w:rPr>
        <w:t>While</w:t>
      </w:r>
      <w:r w:rsidR="006E6111" w:rsidRPr="0050660C">
        <w:rPr>
          <w:color w:val="000000" w:themeColor="text1"/>
        </w:rPr>
        <w:t xml:space="preserve"> </w:t>
      </w:r>
      <w:r w:rsidR="00E726B2" w:rsidRPr="0050660C">
        <w:rPr>
          <w:color w:val="000000" w:themeColor="text1"/>
        </w:rPr>
        <w:t xml:space="preserve">the index </w:t>
      </w:r>
      <w:r w:rsidR="001732AC" w:rsidRPr="0050660C">
        <w:rPr>
          <w:color w:val="000000" w:themeColor="text1"/>
        </w:rPr>
        <w:t xml:space="preserve">still </w:t>
      </w:r>
      <w:r w:rsidR="0099110C" w:rsidRPr="0050660C">
        <w:rPr>
          <w:color w:val="000000" w:themeColor="text1"/>
        </w:rPr>
        <w:t xml:space="preserve">suggests that the underlying momentum in the economy might </w:t>
      </w:r>
      <w:r w:rsidR="00E726B2" w:rsidRPr="0050660C">
        <w:rPr>
          <w:color w:val="000000" w:themeColor="text1"/>
        </w:rPr>
        <w:t xml:space="preserve">have been </w:t>
      </w:r>
      <w:r w:rsidR="0099110C" w:rsidRPr="0050660C">
        <w:rPr>
          <w:color w:val="000000" w:themeColor="text1"/>
        </w:rPr>
        <w:t>stronger than generally perceived</w:t>
      </w:r>
      <w:r w:rsidR="00E726B2" w:rsidRPr="0050660C">
        <w:rPr>
          <w:color w:val="000000" w:themeColor="text1"/>
        </w:rPr>
        <w:t xml:space="preserve"> in Q2</w:t>
      </w:r>
      <w:r w:rsidR="00C4616C" w:rsidRPr="0050660C">
        <w:rPr>
          <w:color w:val="000000" w:themeColor="text1"/>
        </w:rPr>
        <w:t xml:space="preserve"> </w:t>
      </w:r>
      <w:r w:rsidR="00E80A36" w:rsidRPr="0050660C">
        <w:rPr>
          <w:color w:val="000000" w:themeColor="text1"/>
        </w:rPr>
        <w:t>2022</w:t>
      </w:r>
      <w:r w:rsidR="00C3594F" w:rsidRPr="0050660C">
        <w:rPr>
          <w:color w:val="000000" w:themeColor="text1"/>
        </w:rPr>
        <w:t xml:space="preserve">, the moderation in July signals a weak start to the third </w:t>
      </w:r>
      <w:r w:rsidR="0050660C" w:rsidRPr="0050660C">
        <w:rPr>
          <w:color w:val="000000" w:themeColor="text1"/>
        </w:rPr>
        <w:t xml:space="preserve">quarter. </w:t>
      </w:r>
      <w:r w:rsidR="001732AC" w:rsidRPr="0050660C">
        <w:rPr>
          <w:color w:val="000000" w:themeColor="text1"/>
        </w:rPr>
        <w:t xml:space="preserve"> </w:t>
      </w:r>
    </w:p>
    <w:p w14:paraId="7C03BD2A" w14:textId="42852B7B" w:rsidR="002368B9" w:rsidRPr="002368B9" w:rsidRDefault="0099110C" w:rsidP="002368B9">
      <w:pPr>
        <w:rPr>
          <w:color w:val="000000" w:themeColor="text1"/>
        </w:rPr>
      </w:pPr>
      <w:bookmarkStart w:id="5" w:name="_Hlk106194986"/>
      <w:bookmarkStart w:id="6" w:name="_Hlk108517690"/>
      <w:bookmarkStart w:id="7" w:name="_Hlk111536027"/>
      <w:bookmarkEnd w:id="4"/>
      <w:r w:rsidRPr="002368B9">
        <w:rPr>
          <w:color w:val="000000" w:themeColor="text1"/>
        </w:rPr>
        <w:t>Other nowcasting indi</w:t>
      </w:r>
      <w:r w:rsidR="002B74EC">
        <w:rPr>
          <w:color w:val="000000" w:themeColor="text1"/>
        </w:rPr>
        <w:t>cators</w:t>
      </w:r>
      <w:r w:rsidRPr="002368B9">
        <w:rPr>
          <w:color w:val="000000" w:themeColor="text1"/>
        </w:rPr>
        <w:t xml:space="preserve"> </w:t>
      </w:r>
      <w:r w:rsidR="00464FBD" w:rsidRPr="002368B9">
        <w:rPr>
          <w:color w:val="000000" w:themeColor="text1"/>
        </w:rPr>
        <w:t xml:space="preserve">continue to </w:t>
      </w:r>
      <w:r w:rsidR="0048279D" w:rsidRPr="002368B9">
        <w:rPr>
          <w:color w:val="000000" w:themeColor="text1"/>
        </w:rPr>
        <w:t>present</w:t>
      </w:r>
      <w:r w:rsidR="00ED2FB2" w:rsidRPr="002368B9">
        <w:rPr>
          <w:color w:val="000000" w:themeColor="text1"/>
        </w:rPr>
        <w:t xml:space="preserve"> a mixed </w:t>
      </w:r>
      <w:r w:rsidR="00464FBD" w:rsidRPr="002368B9">
        <w:rPr>
          <w:color w:val="000000" w:themeColor="text1"/>
        </w:rPr>
        <w:t>picture of the economy</w:t>
      </w:r>
      <w:r w:rsidR="00F065DA" w:rsidRPr="002368B9">
        <w:rPr>
          <w:color w:val="000000" w:themeColor="text1"/>
        </w:rPr>
        <w:t xml:space="preserve">. </w:t>
      </w:r>
      <w:r w:rsidR="00DC1433" w:rsidRPr="002368B9">
        <w:rPr>
          <w:color w:val="000000" w:themeColor="text1"/>
        </w:rPr>
        <w:t>T</w:t>
      </w:r>
      <w:r w:rsidRPr="002368B9">
        <w:rPr>
          <w:color w:val="000000" w:themeColor="text1"/>
        </w:rPr>
        <w:t xml:space="preserve">he Absa Purchasing Managers’ Index (PMI) </w:t>
      </w:r>
      <w:r w:rsidR="004564B9" w:rsidRPr="002368B9">
        <w:rPr>
          <w:color w:val="000000" w:themeColor="text1"/>
        </w:rPr>
        <w:t xml:space="preserve">plummeted to </w:t>
      </w:r>
      <w:r w:rsidR="005C74C2" w:rsidRPr="002368B9">
        <w:rPr>
          <w:color w:val="000000" w:themeColor="text1"/>
        </w:rPr>
        <w:t>47.6</w:t>
      </w:r>
      <w:r w:rsidR="00DF2B08" w:rsidRPr="002368B9">
        <w:rPr>
          <w:color w:val="000000" w:themeColor="text1"/>
        </w:rPr>
        <w:t xml:space="preserve"> in July</w:t>
      </w:r>
      <w:r w:rsidR="005C74C2" w:rsidRPr="002368B9">
        <w:rPr>
          <w:color w:val="000000" w:themeColor="text1"/>
        </w:rPr>
        <w:t>, the lowest since July 2021</w:t>
      </w:r>
      <w:r w:rsidR="00DF2B08" w:rsidRPr="002368B9">
        <w:rPr>
          <w:color w:val="000000" w:themeColor="text1"/>
        </w:rPr>
        <w:t>, and notably lower</w:t>
      </w:r>
      <w:r w:rsidR="005C74C2" w:rsidRPr="002368B9">
        <w:rPr>
          <w:color w:val="000000" w:themeColor="text1"/>
        </w:rPr>
        <w:t xml:space="preserve"> </w:t>
      </w:r>
      <w:r w:rsidR="004A09B7" w:rsidRPr="002368B9">
        <w:rPr>
          <w:color w:val="000000" w:themeColor="text1"/>
        </w:rPr>
        <w:t>than</w:t>
      </w:r>
      <w:r w:rsidR="005C74C2" w:rsidRPr="002368B9">
        <w:rPr>
          <w:color w:val="000000" w:themeColor="text1"/>
        </w:rPr>
        <w:t xml:space="preserve"> </w:t>
      </w:r>
      <w:r w:rsidR="00DF2B08" w:rsidRPr="002368B9">
        <w:rPr>
          <w:color w:val="000000" w:themeColor="text1"/>
        </w:rPr>
        <w:t xml:space="preserve">June’s </w:t>
      </w:r>
      <w:r w:rsidRPr="002368B9">
        <w:rPr>
          <w:color w:val="000000" w:themeColor="text1"/>
        </w:rPr>
        <w:t>5</w:t>
      </w:r>
      <w:r w:rsidR="00271250" w:rsidRPr="002368B9">
        <w:rPr>
          <w:color w:val="000000" w:themeColor="text1"/>
        </w:rPr>
        <w:t>2.2</w:t>
      </w:r>
      <w:r w:rsidRPr="002368B9">
        <w:rPr>
          <w:color w:val="000000" w:themeColor="text1"/>
        </w:rPr>
        <w:t xml:space="preserve"> (</w:t>
      </w:r>
      <w:r w:rsidR="004A09B7" w:rsidRPr="002368B9">
        <w:rPr>
          <w:color w:val="000000" w:themeColor="text1"/>
        </w:rPr>
        <w:t xml:space="preserve">a far cry from </w:t>
      </w:r>
      <w:r w:rsidR="00015A70" w:rsidRPr="002368B9">
        <w:rPr>
          <w:color w:val="000000" w:themeColor="text1"/>
        </w:rPr>
        <w:t>the 60.0 recorded in</w:t>
      </w:r>
      <w:r w:rsidRPr="002368B9">
        <w:rPr>
          <w:color w:val="000000" w:themeColor="text1"/>
        </w:rPr>
        <w:t xml:space="preserve"> March)</w:t>
      </w:r>
      <w:r w:rsidR="005C74C2" w:rsidRPr="002368B9">
        <w:rPr>
          <w:color w:val="000000" w:themeColor="text1"/>
        </w:rPr>
        <w:t xml:space="preserve">. </w:t>
      </w:r>
      <w:r w:rsidR="0085386B" w:rsidRPr="002368B9">
        <w:rPr>
          <w:color w:val="000000" w:themeColor="text1"/>
        </w:rPr>
        <w:t xml:space="preserve">This dramatic decline suggests that the manufacturing sector is proportionately harder hit </w:t>
      </w:r>
      <w:r w:rsidR="00AE3EF8">
        <w:rPr>
          <w:color w:val="000000" w:themeColor="text1"/>
        </w:rPr>
        <w:t xml:space="preserve">by the headwinds </w:t>
      </w:r>
      <w:r w:rsidR="0085386B" w:rsidRPr="002368B9">
        <w:rPr>
          <w:color w:val="000000" w:themeColor="text1"/>
        </w:rPr>
        <w:t>compared to the broader economy</w:t>
      </w:r>
      <w:r w:rsidR="00AE3EF8">
        <w:rPr>
          <w:color w:val="000000" w:themeColor="text1"/>
        </w:rPr>
        <w:t>,</w:t>
      </w:r>
      <w:r w:rsidR="0085386B" w:rsidRPr="002368B9">
        <w:rPr>
          <w:color w:val="000000" w:themeColor="text1"/>
        </w:rPr>
        <w:t xml:space="preserve"> as reflected in the BETI and other indicators. </w:t>
      </w:r>
      <w:r w:rsidR="00435DC8" w:rsidRPr="002368B9">
        <w:rPr>
          <w:color w:val="000000" w:themeColor="text1"/>
        </w:rPr>
        <w:t>T</w:t>
      </w:r>
      <w:r w:rsidRPr="002368B9">
        <w:rPr>
          <w:color w:val="000000" w:themeColor="text1"/>
        </w:rPr>
        <w:t>he S&amp;P Global South Africa PMI</w:t>
      </w:r>
      <w:r w:rsidR="00184D16" w:rsidRPr="002368B9">
        <w:rPr>
          <w:color w:val="000000" w:themeColor="text1"/>
        </w:rPr>
        <w:t xml:space="preserve">, which </w:t>
      </w:r>
      <w:r w:rsidRPr="002368B9">
        <w:rPr>
          <w:color w:val="000000" w:themeColor="text1"/>
        </w:rPr>
        <w:t xml:space="preserve">reflects activity in the </w:t>
      </w:r>
      <w:r w:rsidR="00A26FF7">
        <w:rPr>
          <w:color w:val="000000" w:themeColor="text1"/>
        </w:rPr>
        <w:t>private sector</w:t>
      </w:r>
      <w:r w:rsidRPr="002368B9">
        <w:rPr>
          <w:color w:val="000000" w:themeColor="text1"/>
        </w:rPr>
        <w:t xml:space="preserve">, </w:t>
      </w:r>
      <w:r w:rsidR="002368B9" w:rsidRPr="002368B9">
        <w:rPr>
          <w:color w:val="000000" w:themeColor="text1"/>
        </w:rPr>
        <w:t>picked up for a third successive month in July, helped by improving new orders, output and employment numbers. All three metrics signalled the quickest rates of growth since mid-2021, amid reports of improving market demand despite rapid inflationary pressures.</w:t>
      </w:r>
    </w:p>
    <w:p w14:paraId="231F80EE" w14:textId="6049E2F0" w:rsidR="0099110C" w:rsidRPr="00F1502A" w:rsidRDefault="00440BB7" w:rsidP="00B65E1E">
      <w:pPr>
        <w:rPr>
          <w:color w:val="000000" w:themeColor="text1"/>
        </w:rPr>
      </w:pPr>
      <w:r w:rsidRPr="00F1502A">
        <w:rPr>
          <w:color w:val="000000" w:themeColor="text1"/>
        </w:rPr>
        <w:t>Total n</w:t>
      </w:r>
      <w:r w:rsidR="0099110C" w:rsidRPr="00F1502A">
        <w:rPr>
          <w:color w:val="000000" w:themeColor="text1"/>
        </w:rPr>
        <w:t xml:space="preserve">ew </w:t>
      </w:r>
      <w:r w:rsidRPr="00F1502A">
        <w:rPr>
          <w:color w:val="000000" w:themeColor="text1"/>
        </w:rPr>
        <w:t>vehicle</w:t>
      </w:r>
      <w:r w:rsidR="0099110C" w:rsidRPr="00F1502A">
        <w:rPr>
          <w:color w:val="000000" w:themeColor="text1"/>
        </w:rPr>
        <w:t xml:space="preserve"> sales </w:t>
      </w:r>
      <w:r w:rsidR="00377C4B" w:rsidRPr="00F1502A">
        <w:rPr>
          <w:color w:val="000000" w:themeColor="text1"/>
        </w:rPr>
        <w:t xml:space="preserve">also </w:t>
      </w:r>
      <w:r w:rsidR="004A6768" w:rsidRPr="00F1502A">
        <w:rPr>
          <w:color w:val="000000" w:themeColor="text1"/>
        </w:rPr>
        <w:t xml:space="preserve">powered ahead, </w:t>
      </w:r>
      <w:r w:rsidR="0099110C" w:rsidRPr="00F1502A">
        <w:rPr>
          <w:color w:val="000000" w:themeColor="text1"/>
        </w:rPr>
        <w:t>r</w:t>
      </w:r>
      <w:r w:rsidR="004A6768" w:rsidRPr="00F1502A">
        <w:rPr>
          <w:color w:val="000000" w:themeColor="text1"/>
        </w:rPr>
        <w:t>ising</w:t>
      </w:r>
      <w:r w:rsidR="0099110C" w:rsidRPr="00F1502A">
        <w:rPr>
          <w:color w:val="000000" w:themeColor="text1"/>
        </w:rPr>
        <w:t xml:space="preserve"> by </w:t>
      </w:r>
      <w:r w:rsidR="00E94D30" w:rsidRPr="00F1502A">
        <w:rPr>
          <w:color w:val="000000" w:themeColor="text1"/>
        </w:rPr>
        <w:t xml:space="preserve">a </w:t>
      </w:r>
      <w:r w:rsidR="006A56E1" w:rsidRPr="00F1502A">
        <w:rPr>
          <w:color w:val="000000" w:themeColor="text1"/>
        </w:rPr>
        <w:t xml:space="preserve">significant </w:t>
      </w:r>
      <w:r w:rsidRPr="00F1502A">
        <w:rPr>
          <w:color w:val="000000" w:themeColor="text1"/>
        </w:rPr>
        <w:t>31.8</w:t>
      </w:r>
      <w:r w:rsidR="0099110C" w:rsidRPr="00F1502A">
        <w:rPr>
          <w:color w:val="000000" w:themeColor="text1"/>
        </w:rPr>
        <w:t xml:space="preserve">% </w:t>
      </w:r>
      <w:r w:rsidR="00A52D99" w:rsidRPr="00F1502A">
        <w:rPr>
          <w:color w:val="000000" w:themeColor="text1"/>
        </w:rPr>
        <w:t>year-on-year</w:t>
      </w:r>
      <w:r w:rsidR="0099110C" w:rsidRPr="00F1502A">
        <w:rPr>
          <w:color w:val="000000" w:themeColor="text1"/>
        </w:rPr>
        <w:t xml:space="preserve"> in </w:t>
      </w:r>
      <w:r w:rsidR="00E94D30" w:rsidRPr="00F1502A">
        <w:rPr>
          <w:color w:val="000000" w:themeColor="text1"/>
        </w:rPr>
        <w:t>Ju</w:t>
      </w:r>
      <w:r w:rsidR="007367D5" w:rsidRPr="00F1502A">
        <w:rPr>
          <w:color w:val="000000" w:themeColor="text1"/>
        </w:rPr>
        <w:t>ly</w:t>
      </w:r>
      <w:r w:rsidR="0099110C" w:rsidRPr="00F1502A">
        <w:rPr>
          <w:color w:val="000000" w:themeColor="text1"/>
        </w:rPr>
        <w:t xml:space="preserve"> 2022</w:t>
      </w:r>
      <w:r w:rsidR="006A56E1" w:rsidRPr="00F1502A">
        <w:rPr>
          <w:color w:val="000000" w:themeColor="text1"/>
        </w:rPr>
        <w:t>,</w:t>
      </w:r>
      <w:r w:rsidR="00FC3E1C" w:rsidRPr="00F1502A">
        <w:rPr>
          <w:color w:val="000000" w:themeColor="text1"/>
        </w:rPr>
        <w:t xml:space="preserve"> </w:t>
      </w:r>
      <w:r w:rsidR="00DD4BE0" w:rsidRPr="00F1502A">
        <w:rPr>
          <w:color w:val="000000" w:themeColor="text1"/>
        </w:rPr>
        <w:t xml:space="preserve">partly influenced by a low base, but also </w:t>
      </w:r>
      <w:r w:rsidR="00FC3E1C" w:rsidRPr="00F1502A">
        <w:rPr>
          <w:color w:val="000000" w:themeColor="text1"/>
        </w:rPr>
        <w:t xml:space="preserve">reflecting </w:t>
      </w:r>
      <w:r w:rsidR="00DD4BE0" w:rsidRPr="00F1502A">
        <w:rPr>
          <w:color w:val="000000" w:themeColor="text1"/>
        </w:rPr>
        <w:t xml:space="preserve">ongoing </w:t>
      </w:r>
      <w:r w:rsidR="00FC3E1C" w:rsidRPr="00F1502A">
        <w:rPr>
          <w:color w:val="000000" w:themeColor="text1"/>
        </w:rPr>
        <w:t>pent-up post-C</w:t>
      </w:r>
      <w:r w:rsidR="00E80A36" w:rsidRPr="00F1502A">
        <w:rPr>
          <w:color w:val="000000" w:themeColor="text1"/>
        </w:rPr>
        <w:t>OVID</w:t>
      </w:r>
      <w:r w:rsidR="00FC3E1C" w:rsidRPr="00F1502A">
        <w:rPr>
          <w:color w:val="000000" w:themeColor="text1"/>
        </w:rPr>
        <w:t xml:space="preserve"> demand. </w:t>
      </w:r>
      <w:r w:rsidR="002D3479" w:rsidRPr="00F1502A">
        <w:rPr>
          <w:color w:val="000000" w:themeColor="text1"/>
        </w:rPr>
        <w:t>With the strong Ju</w:t>
      </w:r>
      <w:r w:rsidR="00DD4BE0" w:rsidRPr="00F1502A">
        <w:rPr>
          <w:color w:val="000000" w:themeColor="text1"/>
        </w:rPr>
        <w:t>ly</w:t>
      </w:r>
      <w:r w:rsidR="002D3479" w:rsidRPr="00F1502A">
        <w:rPr>
          <w:color w:val="000000" w:themeColor="text1"/>
        </w:rPr>
        <w:t xml:space="preserve"> outcome, </w:t>
      </w:r>
      <w:r w:rsidR="00DD4BE0" w:rsidRPr="00F1502A">
        <w:rPr>
          <w:color w:val="000000" w:themeColor="text1"/>
        </w:rPr>
        <w:t xml:space="preserve">year-to-date </w:t>
      </w:r>
      <w:r w:rsidR="0099110C" w:rsidRPr="00F1502A">
        <w:rPr>
          <w:color w:val="000000" w:themeColor="text1"/>
        </w:rPr>
        <w:t>new</w:t>
      </w:r>
      <w:r w:rsidR="00184D16" w:rsidRPr="00F1502A">
        <w:rPr>
          <w:color w:val="000000" w:themeColor="text1"/>
        </w:rPr>
        <w:t xml:space="preserve"> </w:t>
      </w:r>
      <w:r w:rsidR="0099110C" w:rsidRPr="00F1502A">
        <w:rPr>
          <w:color w:val="000000" w:themeColor="text1"/>
        </w:rPr>
        <w:t xml:space="preserve">vehicle sales </w:t>
      </w:r>
      <w:r w:rsidR="002D3479" w:rsidRPr="00F1502A">
        <w:rPr>
          <w:color w:val="000000" w:themeColor="text1"/>
        </w:rPr>
        <w:t xml:space="preserve">are </w:t>
      </w:r>
      <w:r w:rsidR="00C63652" w:rsidRPr="00F1502A">
        <w:rPr>
          <w:color w:val="000000" w:themeColor="text1"/>
        </w:rPr>
        <w:t>13.9</w:t>
      </w:r>
      <w:r w:rsidR="0099110C" w:rsidRPr="00F1502A">
        <w:rPr>
          <w:color w:val="000000" w:themeColor="text1"/>
        </w:rPr>
        <w:t>% higher than a year ago.</w:t>
      </w:r>
      <w:r w:rsidR="00E80A36" w:rsidRPr="00F1502A">
        <w:rPr>
          <w:color w:val="000000" w:themeColor="text1"/>
        </w:rPr>
        <w:t xml:space="preserve"> </w:t>
      </w:r>
      <w:r w:rsidR="00DD4BE0" w:rsidRPr="00F1502A">
        <w:rPr>
          <w:color w:val="000000" w:themeColor="text1"/>
        </w:rPr>
        <w:t>On the confidence side, t</w:t>
      </w:r>
      <w:r w:rsidR="00B65E1E" w:rsidRPr="00F1502A">
        <w:rPr>
          <w:color w:val="000000" w:themeColor="text1"/>
        </w:rPr>
        <w:t>he SA Chamber of Commerce and Industry’s (</w:t>
      </w:r>
      <w:r w:rsidR="004532CA">
        <w:rPr>
          <w:color w:val="000000" w:themeColor="text1"/>
        </w:rPr>
        <w:t>SACCI</w:t>
      </w:r>
      <w:r w:rsidR="00B65E1E" w:rsidRPr="00F1502A">
        <w:rPr>
          <w:color w:val="000000" w:themeColor="text1"/>
        </w:rPr>
        <w:t xml:space="preserve">) </w:t>
      </w:r>
      <w:r w:rsidR="004532CA">
        <w:rPr>
          <w:color w:val="000000" w:themeColor="text1"/>
        </w:rPr>
        <w:t>B</w:t>
      </w:r>
      <w:r w:rsidR="00B65E1E" w:rsidRPr="00F1502A">
        <w:rPr>
          <w:color w:val="000000" w:themeColor="text1"/>
        </w:rPr>
        <w:t xml:space="preserve">usiness </w:t>
      </w:r>
      <w:r w:rsidR="004532CA">
        <w:rPr>
          <w:color w:val="000000" w:themeColor="text1"/>
        </w:rPr>
        <w:t>C</w:t>
      </w:r>
      <w:r w:rsidR="00B65E1E" w:rsidRPr="00F1502A">
        <w:rPr>
          <w:color w:val="000000" w:themeColor="text1"/>
        </w:rPr>
        <w:t xml:space="preserve">onfidence </w:t>
      </w:r>
      <w:r w:rsidR="004532CA">
        <w:rPr>
          <w:color w:val="000000" w:themeColor="text1"/>
        </w:rPr>
        <w:t>I</w:t>
      </w:r>
      <w:r w:rsidR="00B65E1E" w:rsidRPr="00F1502A">
        <w:rPr>
          <w:color w:val="000000" w:themeColor="text1"/>
        </w:rPr>
        <w:t>ndex (BCI) stood at 110.3 in July, 1.8 index points higher than in June and 6.1 points higher than in May.</w:t>
      </w:r>
      <w:r w:rsidR="00DD4BE0" w:rsidRPr="00F1502A">
        <w:rPr>
          <w:color w:val="000000" w:themeColor="text1"/>
        </w:rPr>
        <w:t xml:space="preserve"> </w:t>
      </w:r>
      <w:r w:rsidR="00B65E1E" w:rsidRPr="00F1502A">
        <w:rPr>
          <w:color w:val="000000" w:themeColor="text1"/>
        </w:rPr>
        <w:t xml:space="preserve">The improved sentiment is </w:t>
      </w:r>
      <w:r w:rsidR="00DD4BE0" w:rsidRPr="00F1502A">
        <w:rPr>
          <w:color w:val="000000" w:themeColor="text1"/>
        </w:rPr>
        <w:t xml:space="preserve">reportedly </w:t>
      </w:r>
      <w:r w:rsidR="00B65E1E" w:rsidRPr="00F1502A">
        <w:rPr>
          <w:color w:val="000000" w:themeColor="text1"/>
        </w:rPr>
        <w:t>a result of increased merchandise export and import volumes and more new vehicles sold.</w:t>
      </w:r>
      <w:r w:rsidR="00424F5A" w:rsidRPr="00F1502A">
        <w:rPr>
          <w:color w:val="000000" w:themeColor="text1"/>
        </w:rPr>
        <w:t xml:space="preserve"> The business confidence index for June and July 2022 indicates that the negative medium-term (year-on-year) business sentiment of May 2022 was replaced by positive developments compared to the same period last year.</w:t>
      </w:r>
    </w:p>
    <w:p w14:paraId="24EA1BA9" w14:textId="68AA9EE0" w:rsidR="0099110C" w:rsidRPr="008A3140" w:rsidRDefault="00983BD0" w:rsidP="00F96EEC">
      <w:pPr>
        <w:rPr>
          <w:color w:val="000000" w:themeColor="text1"/>
        </w:rPr>
      </w:pPr>
      <w:bookmarkStart w:id="8" w:name="_Hlk106195131"/>
      <w:bookmarkEnd w:id="5"/>
      <w:r w:rsidRPr="004D53D7">
        <w:rPr>
          <w:color w:val="000000" w:themeColor="text1"/>
        </w:rPr>
        <w:t xml:space="preserve">Many different </w:t>
      </w:r>
      <w:r w:rsidR="00937FE4" w:rsidRPr="004D53D7">
        <w:rPr>
          <w:color w:val="000000" w:themeColor="text1"/>
        </w:rPr>
        <w:t xml:space="preserve">and often conflicting </w:t>
      </w:r>
      <w:r w:rsidRPr="004D53D7">
        <w:rPr>
          <w:color w:val="000000" w:themeColor="text1"/>
        </w:rPr>
        <w:t xml:space="preserve">signals from </w:t>
      </w:r>
      <w:r w:rsidR="00856666" w:rsidRPr="004D53D7">
        <w:rPr>
          <w:color w:val="000000" w:themeColor="text1"/>
        </w:rPr>
        <w:t>high fre</w:t>
      </w:r>
      <w:r w:rsidR="00937FE4" w:rsidRPr="004D53D7">
        <w:rPr>
          <w:color w:val="000000" w:themeColor="text1"/>
        </w:rPr>
        <w:t>quency indicators</w:t>
      </w:r>
      <w:r w:rsidR="004D53D7" w:rsidRPr="004D53D7">
        <w:rPr>
          <w:color w:val="000000" w:themeColor="text1"/>
        </w:rPr>
        <w:t xml:space="preserve"> </w:t>
      </w:r>
      <w:r w:rsidR="00B17A47">
        <w:rPr>
          <w:color w:val="000000" w:themeColor="text1"/>
        </w:rPr>
        <w:t>are</w:t>
      </w:r>
      <w:r w:rsidR="00491B45" w:rsidRPr="004D53D7">
        <w:rPr>
          <w:color w:val="000000" w:themeColor="text1"/>
        </w:rPr>
        <w:t xml:space="preserve"> typical of an economy in a </w:t>
      </w:r>
      <w:r w:rsidR="004532CA">
        <w:rPr>
          <w:color w:val="000000" w:themeColor="text1"/>
        </w:rPr>
        <w:t>‘</w:t>
      </w:r>
      <w:r w:rsidR="00491B45" w:rsidRPr="004D53D7">
        <w:rPr>
          <w:color w:val="000000" w:themeColor="text1"/>
        </w:rPr>
        <w:t>stop-start mode</w:t>
      </w:r>
      <w:r w:rsidR="004532CA">
        <w:rPr>
          <w:color w:val="000000" w:themeColor="text1"/>
        </w:rPr>
        <w:t>’</w:t>
      </w:r>
      <w:r w:rsidR="00491B45" w:rsidRPr="004D53D7">
        <w:rPr>
          <w:color w:val="000000" w:themeColor="text1"/>
        </w:rPr>
        <w:t>, unable to gain synchronised momentum across sectors, as the next round of load shedding or some or other headwind</w:t>
      </w:r>
      <w:r w:rsidR="00B17A47">
        <w:rPr>
          <w:color w:val="000000" w:themeColor="text1"/>
        </w:rPr>
        <w:t>,</w:t>
      </w:r>
      <w:r w:rsidR="00491B45" w:rsidRPr="004D53D7">
        <w:rPr>
          <w:color w:val="000000" w:themeColor="text1"/>
        </w:rPr>
        <w:t xml:space="preserve"> is probably waiting around the next corner</w:t>
      </w:r>
      <w:r w:rsidR="004D53D7" w:rsidRPr="004D53D7">
        <w:rPr>
          <w:color w:val="000000" w:themeColor="text1"/>
        </w:rPr>
        <w:t xml:space="preserve">. </w:t>
      </w:r>
      <w:proofErr w:type="gramStart"/>
      <w:r w:rsidR="00821E93">
        <w:rPr>
          <w:color w:val="000000" w:themeColor="text1"/>
        </w:rPr>
        <w:t>In light of</w:t>
      </w:r>
      <w:proofErr w:type="gramEnd"/>
      <w:r w:rsidR="00821E93">
        <w:rPr>
          <w:color w:val="000000" w:themeColor="text1"/>
        </w:rPr>
        <w:t xml:space="preserve"> </w:t>
      </w:r>
      <w:r w:rsidR="00FA7D76">
        <w:rPr>
          <w:color w:val="000000" w:themeColor="text1"/>
        </w:rPr>
        <w:t>the severity of load shedding and it</w:t>
      </w:r>
      <w:r w:rsidR="006E70A3">
        <w:rPr>
          <w:color w:val="000000" w:themeColor="text1"/>
        </w:rPr>
        <w:t>s</w:t>
      </w:r>
      <w:r w:rsidR="00FA7D76">
        <w:rPr>
          <w:color w:val="000000" w:themeColor="text1"/>
        </w:rPr>
        <w:t xml:space="preserve"> ongoing negative impact on the economy, the </w:t>
      </w:r>
      <w:r w:rsidR="008F064E" w:rsidRPr="008F064E">
        <w:rPr>
          <w:color w:val="000000" w:themeColor="text1"/>
        </w:rPr>
        <w:t xml:space="preserve">comprehensive interventions announced by President Ramaphosa </w:t>
      </w:r>
      <w:r w:rsidR="00593E46">
        <w:rPr>
          <w:color w:val="000000" w:themeColor="text1"/>
        </w:rPr>
        <w:t xml:space="preserve">on 25 </w:t>
      </w:r>
      <w:r w:rsidR="00B506CA">
        <w:rPr>
          <w:color w:val="000000" w:themeColor="text1"/>
        </w:rPr>
        <w:t xml:space="preserve">July </w:t>
      </w:r>
      <w:r w:rsidR="008F064E">
        <w:rPr>
          <w:color w:val="000000" w:themeColor="text1"/>
        </w:rPr>
        <w:t xml:space="preserve">to address the country’s energy crisis </w:t>
      </w:r>
      <w:r w:rsidR="00CD03D2">
        <w:rPr>
          <w:color w:val="000000" w:themeColor="text1"/>
        </w:rPr>
        <w:t xml:space="preserve">is indeed good news and could </w:t>
      </w:r>
      <w:r w:rsidR="00593E46">
        <w:rPr>
          <w:color w:val="000000" w:themeColor="text1"/>
        </w:rPr>
        <w:t xml:space="preserve">boost </w:t>
      </w:r>
      <w:r w:rsidR="00420354">
        <w:rPr>
          <w:color w:val="000000" w:themeColor="text1"/>
        </w:rPr>
        <w:t>economic growth notably, if implement</w:t>
      </w:r>
      <w:r w:rsidR="00EB22B8">
        <w:rPr>
          <w:color w:val="000000" w:themeColor="text1"/>
        </w:rPr>
        <w:t xml:space="preserve">ed with the needed urgency. </w:t>
      </w:r>
      <w:bookmarkStart w:id="9" w:name="_Hlk108517885"/>
      <w:bookmarkEnd w:id="6"/>
      <w:r w:rsidR="00533135">
        <w:rPr>
          <w:color w:val="000000" w:themeColor="text1"/>
        </w:rPr>
        <w:t xml:space="preserve">Furthermore, </w:t>
      </w:r>
      <w:r w:rsidR="003A7C4A">
        <w:rPr>
          <w:color w:val="000000" w:themeColor="text1"/>
        </w:rPr>
        <w:t>the</w:t>
      </w:r>
      <w:r w:rsidR="00286BEE">
        <w:rPr>
          <w:color w:val="000000" w:themeColor="text1"/>
        </w:rPr>
        <w:t xml:space="preserve"> notable moderation in international oil prices </w:t>
      </w:r>
      <w:r w:rsidR="00FD6E8D">
        <w:rPr>
          <w:color w:val="000000" w:themeColor="text1"/>
        </w:rPr>
        <w:t xml:space="preserve">in recent weeks, </w:t>
      </w:r>
      <w:r w:rsidR="00286BEE">
        <w:rPr>
          <w:color w:val="000000" w:themeColor="text1"/>
        </w:rPr>
        <w:t xml:space="preserve">have resulted in </w:t>
      </w:r>
      <w:r w:rsidR="009C51CC">
        <w:rPr>
          <w:color w:val="000000" w:themeColor="text1"/>
        </w:rPr>
        <w:t>sizeable</w:t>
      </w:r>
      <w:r w:rsidR="00286BEE">
        <w:rPr>
          <w:color w:val="000000" w:themeColor="text1"/>
        </w:rPr>
        <w:t xml:space="preserve"> fuel price declines</w:t>
      </w:r>
      <w:r w:rsidR="00FD6E8D">
        <w:rPr>
          <w:color w:val="000000" w:themeColor="text1"/>
        </w:rPr>
        <w:t xml:space="preserve"> already</w:t>
      </w:r>
      <w:r w:rsidR="003A7C4A">
        <w:rPr>
          <w:color w:val="000000" w:themeColor="text1"/>
        </w:rPr>
        <w:t xml:space="preserve"> seen</w:t>
      </w:r>
      <w:r w:rsidR="00286BEE">
        <w:rPr>
          <w:color w:val="000000" w:themeColor="text1"/>
        </w:rPr>
        <w:t xml:space="preserve"> in August</w:t>
      </w:r>
      <w:r w:rsidR="003A7C4A">
        <w:rPr>
          <w:color w:val="000000" w:themeColor="text1"/>
        </w:rPr>
        <w:t xml:space="preserve">. Further </w:t>
      </w:r>
      <w:r w:rsidR="00FD6E8D">
        <w:rPr>
          <w:color w:val="000000" w:themeColor="text1"/>
        </w:rPr>
        <w:t>significant declines forecast</w:t>
      </w:r>
      <w:r w:rsidR="003A7C4A">
        <w:rPr>
          <w:color w:val="000000" w:themeColor="text1"/>
        </w:rPr>
        <w:t>ed</w:t>
      </w:r>
      <w:r w:rsidR="00FD6E8D">
        <w:rPr>
          <w:color w:val="000000" w:themeColor="text1"/>
        </w:rPr>
        <w:t xml:space="preserve"> for September</w:t>
      </w:r>
      <w:r w:rsidR="009C51CC">
        <w:rPr>
          <w:color w:val="000000" w:themeColor="text1"/>
        </w:rPr>
        <w:t xml:space="preserve"> (&gt;R2/l)</w:t>
      </w:r>
      <w:r w:rsidR="00FD6E8D">
        <w:rPr>
          <w:color w:val="000000" w:themeColor="text1"/>
        </w:rPr>
        <w:t xml:space="preserve"> should </w:t>
      </w:r>
      <w:r w:rsidR="00781439">
        <w:rPr>
          <w:color w:val="000000" w:themeColor="text1"/>
        </w:rPr>
        <w:t xml:space="preserve">trigger a much-needed moderation in inflation. </w:t>
      </w:r>
      <w:r w:rsidR="008F6B2A">
        <w:rPr>
          <w:color w:val="000000" w:themeColor="text1"/>
        </w:rPr>
        <w:t xml:space="preserve">As such, </w:t>
      </w:r>
      <w:r w:rsidR="005B1CCA" w:rsidRPr="008A3140">
        <w:rPr>
          <w:color w:val="000000" w:themeColor="text1"/>
        </w:rPr>
        <w:t xml:space="preserve">July’s </w:t>
      </w:r>
      <w:r w:rsidR="008A3140" w:rsidRPr="008A3140">
        <w:rPr>
          <w:color w:val="000000" w:themeColor="text1"/>
        </w:rPr>
        <w:t xml:space="preserve">forecast </w:t>
      </w:r>
      <w:r w:rsidR="005B1CCA" w:rsidRPr="008A3140">
        <w:rPr>
          <w:color w:val="000000" w:themeColor="text1"/>
        </w:rPr>
        <w:t xml:space="preserve">headline CPI </w:t>
      </w:r>
      <w:r w:rsidR="005B1CCA" w:rsidRPr="008A3140">
        <w:rPr>
          <w:color w:val="000000" w:themeColor="text1"/>
        </w:rPr>
        <w:lastRenderedPageBreak/>
        <w:t xml:space="preserve">of around 7.6% </w:t>
      </w:r>
      <w:r w:rsidR="008A3140" w:rsidRPr="008A3140">
        <w:rPr>
          <w:color w:val="000000" w:themeColor="text1"/>
        </w:rPr>
        <w:t>should</w:t>
      </w:r>
      <w:r w:rsidR="005B1CCA" w:rsidRPr="008A3140">
        <w:rPr>
          <w:color w:val="000000" w:themeColor="text1"/>
        </w:rPr>
        <w:t xml:space="preserve"> be the upper turning point of the current inflation cycle</w:t>
      </w:r>
      <w:r w:rsidR="00A87E56">
        <w:rPr>
          <w:color w:val="000000" w:themeColor="text1"/>
        </w:rPr>
        <w:t>, trending towards 6.3% in December 2022</w:t>
      </w:r>
      <w:r w:rsidR="008F6B2A" w:rsidRPr="008A3140">
        <w:rPr>
          <w:color w:val="000000" w:themeColor="text1"/>
        </w:rPr>
        <w:t>.</w:t>
      </w:r>
    </w:p>
    <w:p w14:paraId="7B6C0D7C" w14:textId="77777777" w:rsidR="0095308F" w:rsidRPr="0095308F" w:rsidRDefault="0095308F" w:rsidP="0095308F">
      <w:pPr>
        <w:pStyle w:val="Heading3"/>
        <w:spacing w:after="120"/>
        <w:rPr>
          <w:rFonts w:asciiTheme="minorHAnsi" w:eastAsiaTheme="minorHAnsi" w:hAnsiTheme="minorHAnsi" w:cstheme="minorBidi"/>
          <w:b/>
          <w:bCs/>
          <w:color w:val="000000" w:themeColor="text1"/>
          <w:sz w:val="22"/>
          <w:szCs w:val="22"/>
        </w:rPr>
      </w:pPr>
      <w:bookmarkStart w:id="10" w:name="_Hlk103077844"/>
      <w:bookmarkEnd w:id="8"/>
      <w:bookmarkEnd w:id="9"/>
      <w:r w:rsidRPr="0095308F">
        <w:rPr>
          <w:rFonts w:asciiTheme="minorHAnsi" w:eastAsiaTheme="minorHAnsi" w:hAnsiTheme="minorHAnsi" w:cstheme="minorBidi"/>
          <w:b/>
          <w:bCs/>
          <w:color w:val="000000" w:themeColor="text1"/>
          <w:sz w:val="22"/>
          <w:szCs w:val="22"/>
        </w:rPr>
        <w:t>Strong growth in the number of transactions</w:t>
      </w:r>
    </w:p>
    <w:p w14:paraId="7B4E4674" w14:textId="759372AE" w:rsidR="0095308F" w:rsidRPr="005B21FD" w:rsidRDefault="007714E5" w:rsidP="0095308F">
      <w:pPr>
        <w:rPr>
          <w:color w:val="000000" w:themeColor="text1"/>
        </w:rPr>
      </w:pPr>
      <w:bookmarkStart w:id="11" w:name="_Hlk106195444"/>
      <w:r>
        <w:rPr>
          <w:color w:val="000000" w:themeColor="text1"/>
        </w:rPr>
        <w:t>The s</w:t>
      </w:r>
      <w:r w:rsidR="0095308F" w:rsidRPr="005B21FD">
        <w:rPr>
          <w:color w:val="000000" w:themeColor="text1"/>
        </w:rPr>
        <w:t>tandardised nominal value of transactions</w:t>
      </w:r>
      <w:r>
        <w:rPr>
          <w:color w:val="000000" w:themeColor="text1"/>
        </w:rPr>
        <w:t xml:space="preserve"> cleared through BankservAfrica</w:t>
      </w:r>
      <w:r w:rsidR="0095308F" w:rsidRPr="005B21FD">
        <w:rPr>
          <w:color w:val="000000" w:themeColor="text1"/>
        </w:rPr>
        <w:t xml:space="preserve"> </w:t>
      </w:r>
      <w:r>
        <w:rPr>
          <w:color w:val="000000" w:themeColor="text1"/>
        </w:rPr>
        <w:t>in Ju</w:t>
      </w:r>
      <w:r w:rsidR="00A87E56">
        <w:rPr>
          <w:color w:val="000000" w:themeColor="text1"/>
        </w:rPr>
        <w:t xml:space="preserve">ly </w:t>
      </w:r>
      <w:r>
        <w:rPr>
          <w:color w:val="000000" w:themeColor="text1"/>
        </w:rPr>
        <w:t>2022 were recorded</w:t>
      </w:r>
      <w:r w:rsidRPr="005B21FD">
        <w:rPr>
          <w:color w:val="000000" w:themeColor="text1"/>
        </w:rPr>
        <w:t xml:space="preserve"> </w:t>
      </w:r>
      <w:r>
        <w:rPr>
          <w:color w:val="000000" w:themeColor="text1"/>
        </w:rPr>
        <w:t xml:space="preserve">at </w:t>
      </w:r>
      <w:r w:rsidR="0095308F" w:rsidRPr="005B21FD">
        <w:rPr>
          <w:color w:val="000000" w:themeColor="text1"/>
        </w:rPr>
        <w:t>R1</w:t>
      </w:r>
      <w:r w:rsidR="00015A70">
        <w:rPr>
          <w:color w:val="000000" w:themeColor="text1"/>
        </w:rPr>
        <w:t>.</w:t>
      </w:r>
      <w:r w:rsidR="002C609B">
        <w:rPr>
          <w:color w:val="000000" w:themeColor="text1"/>
        </w:rPr>
        <w:t>12</w:t>
      </w:r>
      <w:r w:rsidR="00347FF3">
        <w:rPr>
          <w:color w:val="000000" w:themeColor="text1"/>
        </w:rPr>
        <w:t>7</w:t>
      </w:r>
      <w:r w:rsidR="0095308F" w:rsidRPr="005B21FD">
        <w:rPr>
          <w:color w:val="000000" w:themeColor="text1"/>
        </w:rPr>
        <w:t xml:space="preserve"> trillion</w:t>
      </w:r>
      <w:r w:rsidR="002E2B5E">
        <w:rPr>
          <w:color w:val="000000" w:themeColor="text1"/>
        </w:rPr>
        <w:t>, while</w:t>
      </w:r>
      <w:r w:rsidR="00AE7881">
        <w:rPr>
          <w:color w:val="000000" w:themeColor="text1"/>
        </w:rPr>
        <w:t xml:space="preserve"> the</w:t>
      </w:r>
      <w:r w:rsidR="0095308F" w:rsidRPr="005B21FD">
        <w:rPr>
          <w:color w:val="000000" w:themeColor="text1"/>
        </w:rPr>
        <w:t xml:space="preserve"> number of transactions </w:t>
      </w:r>
      <w:r w:rsidR="00347FF3">
        <w:rPr>
          <w:color w:val="000000" w:themeColor="text1"/>
        </w:rPr>
        <w:t>increased to</w:t>
      </w:r>
      <w:r w:rsidR="0095308F" w:rsidRPr="005B21FD">
        <w:rPr>
          <w:color w:val="000000" w:themeColor="text1"/>
        </w:rPr>
        <w:t xml:space="preserve"> </w:t>
      </w:r>
      <w:r w:rsidR="00EC513B">
        <w:rPr>
          <w:color w:val="000000" w:themeColor="text1"/>
        </w:rPr>
        <w:t>1</w:t>
      </w:r>
      <w:r w:rsidR="00DB54C6">
        <w:rPr>
          <w:color w:val="000000" w:themeColor="text1"/>
        </w:rPr>
        <w:t>30.4</w:t>
      </w:r>
      <w:r w:rsidR="00184D16">
        <w:rPr>
          <w:color w:val="000000" w:themeColor="text1"/>
        </w:rPr>
        <w:t xml:space="preserve"> </w:t>
      </w:r>
      <w:r w:rsidR="0095308F" w:rsidRPr="005B21FD">
        <w:rPr>
          <w:color w:val="000000" w:themeColor="text1"/>
        </w:rPr>
        <w:t xml:space="preserve">million, </w:t>
      </w:r>
      <w:r w:rsidR="00E3097F">
        <w:rPr>
          <w:color w:val="000000" w:themeColor="text1"/>
        </w:rPr>
        <w:t>6.4</w:t>
      </w:r>
      <w:r w:rsidR="0095308F">
        <w:rPr>
          <w:color w:val="000000" w:themeColor="text1"/>
        </w:rPr>
        <w:t xml:space="preserve">% higher </w:t>
      </w:r>
      <w:r w:rsidR="00184D16">
        <w:rPr>
          <w:color w:val="000000" w:themeColor="text1"/>
        </w:rPr>
        <w:t>than a year ago</w:t>
      </w:r>
      <w:r w:rsidR="0095308F">
        <w:rPr>
          <w:color w:val="000000" w:themeColor="text1"/>
        </w:rPr>
        <w:t xml:space="preserve">. </w:t>
      </w:r>
    </w:p>
    <w:bookmarkEnd w:id="7"/>
    <w:bookmarkEnd w:id="11"/>
    <w:p w14:paraId="7532C9A8" w14:textId="447BF9BB" w:rsidR="00AE7881" w:rsidRPr="001C2CF4" w:rsidRDefault="00AE7881" w:rsidP="00AE7881">
      <w:pPr>
        <w:spacing w:after="0"/>
        <w:jc w:val="both"/>
        <w:rPr>
          <w:rFonts w:cstheme="minorHAnsi"/>
          <w:b/>
          <w:bCs/>
          <w:color w:val="000000" w:themeColor="text1"/>
        </w:rPr>
      </w:pPr>
      <w:r w:rsidRPr="001C2CF4">
        <w:rPr>
          <w:rFonts w:cstheme="minorHAnsi"/>
          <w:b/>
          <w:bCs/>
          <w:color w:val="000000" w:themeColor="text1"/>
        </w:rPr>
        <w:t xml:space="preserve">Graph 1: BETI vs </w:t>
      </w:r>
      <w:r w:rsidR="00BB7F58">
        <w:rPr>
          <w:rFonts w:cstheme="minorHAnsi"/>
          <w:b/>
          <w:bCs/>
          <w:color w:val="000000" w:themeColor="text1"/>
        </w:rPr>
        <w:t>SARB Coincident Indicator</w:t>
      </w:r>
      <w:r w:rsidRPr="001C2CF4">
        <w:rPr>
          <w:rFonts w:cstheme="minorHAnsi"/>
          <w:b/>
          <w:bCs/>
          <w:color w:val="000000" w:themeColor="text1"/>
        </w:rPr>
        <w:t xml:space="preserve"> (q/q </w:t>
      </w:r>
      <w:r w:rsidR="00BB7F58">
        <w:rPr>
          <w:rFonts w:cstheme="minorHAnsi"/>
          <w:b/>
          <w:bCs/>
          <w:color w:val="000000" w:themeColor="text1"/>
        </w:rPr>
        <w:t>growth rates</w:t>
      </w:r>
      <w:r w:rsidRPr="001C2CF4">
        <w:rPr>
          <w:rFonts w:cstheme="minorHAnsi"/>
          <w:b/>
          <w:bCs/>
          <w:color w:val="000000" w:themeColor="text1"/>
        </w:rPr>
        <w:t>)</w:t>
      </w:r>
    </w:p>
    <w:p w14:paraId="04F1CC73" w14:textId="72ECB533" w:rsidR="0095308F" w:rsidRDefault="004415ED" w:rsidP="00FD59D7">
      <w:pPr>
        <w:spacing w:after="0"/>
        <w:rPr>
          <w:b/>
          <w:bCs/>
        </w:rPr>
      </w:pPr>
      <w:r>
        <w:rPr>
          <w:b/>
          <w:bCs/>
          <w:noProof/>
        </w:rPr>
        <w:drawing>
          <wp:inline distT="0" distB="0" distL="0" distR="0" wp14:anchorId="311EEBB3" wp14:editId="688259D7">
            <wp:extent cx="4838700" cy="3162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965" cy="3171319"/>
                    </a:xfrm>
                    <a:prstGeom prst="rect">
                      <a:avLst/>
                    </a:prstGeom>
                    <a:noFill/>
                  </pic:spPr>
                </pic:pic>
              </a:graphicData>
            </a:graphic>
          </wp:inline>
        </w:drawing>
      </w:r>
    </w:p>
    <w:bookmarkEnd w:id="10"/>
    <w:p w14:paraId="69F6BBB0" w14:textId="269C61CB" w:rsidR="00AE7881" w:rsidRPr="00782FED" w:rsidRDefault="00AE7881" w:rsidP="00AE7881">
      <w:r w:rsidRPr="00476742">
        <w:rPr>
          <w:i/>
        </w:rPr>
        <w:t xml:space="preserve">Source: BankservAfrica and </w:t>
      </w:r>
      <w:r w:rsidR="004415ED">
        <w:rPr>
          <w:i/>
        </w:rPr>
        <w:t>Carpe Diem Research</w:t>
      </w:r>
    </w:p>
    <w:p w14:paraId="4CFAF1AA" w14:textId="11E9823D" w:rsidR="009E6F22" w:rsidRDefault="00B5479F" w:rsidP="009E6F22">
      <w:pPr>
        <w:pStyle w:val="Heading3"/>
        <w:spacing w:before="0" w:line="240" w:lineRule="auto"/>
        <w:rPr>
          <w:rFonts w:asciiTheme="minorHAnsi" w:eastAsiaTheme="minorHAnsi" w:hAnsiTheme="minorHAnsi" w:cstheme="minorBidi"/>
          <w:b/>
          <w:color w:val="auto"/>
          <w:sz w:val="22"/>
          <w:szCs w:val="22"/>
        </w:rPr>
      </w:pPr>
      <w:r w:rsidRPr="00D3348B">
        <w:rPr>
          <w:rFonts w:asciiTheme="minorHAnsi" w:eastAsiaTheme="minorHAnsi" w:hAnsiTheme="minorHAnsi" w:cstheme="minorBidi"/>
          <w:b/>
          <w:color w:val="auto"/>
          <w:sz w:val="22"/>
          <w:szCs w:val="22"/>
        </w:rPr>
        <w:t>Table 1: The BankservAfrica Economic Transaction Index</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758"/>
        <w:gridCol w:w="2105"/>
        <w:gridCol w:w="1981"/>
        <w:gridCol w:w="1932"/>
      </w:tblGrid>
      <w:tr w:rsidR="00733CD7" w:rsidRPr="00733CD7" w14:paraId="0A962FAC"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AA82" w14:textId="77777777" w:rsidR="00733CD7" w:rsidRPr="00733CD7" w:rsidRDefault="00733CD7" w:rsidP="00733CD7">
            <w:pPr>
              <w:spacing w:after="0" w:line="240" w:lineRule="auto"/>
              <w:rPr>
                <w:rFonts w:eastAsia="Times New Roman" w:cstheme="minorHAnsi"/>
                <w:lang w:eastAsia="en-ZA"/>
              </w:rPr>
            </w:pP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D6F7142" w14:textId="77777777"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The BETI Index</w:t>
            </w:r>
          </w:p>
          <w:p w14:paraId="5782E1FA" w14:textId="77777777" w:rsidR="007C1828" w:rsidRDefault="007C1828" w:rsidP="00733CD7">
            <w:pPr>
              <w:spacing w:after="0" w:line="240" w:lineRule="auto"/>
              <w:jc w:val="center"/>
              <w:rPr>
                <w:rFonts w:eastAsia="Times New Roman" w:cstheme="minorHAnsi"/>
                <w:b/>
                <w:bCs/>
                <w:lang w:eastAsia="en-ZA"/>
              </w:rPr>
            </w:pPr>
          </w:p>
          <w:p w14:paraId="342E1C29" w14:textId="6758DF7E" w:rsidR="007C1828" w:rsidRPr="00733CD7" w:rsidRDefault="007C1828" w:rsidP="00733CD7">
            <w:pPr>
              <w:spacing w:after="0" w:line="240" w:lineRule="auto"/>
              <w:jc w:val="center"/>
              <w:rPr>
                <w:rFonts w:eastAsia="Times New Roman" w:cstheme="minorHAnsi"/>
                <w:b/>
                <w:bCs/>
                <w:lang w:eastAsia="en-ZA"/>
              </w:rPr>
            </w:pP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2C2C5B8A" w14:textId="7CFF2B44"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The </w:t>
            </w:r>
            <w:proofErr w:type="gramStart"/>
            <w:r w:rsidR="007C1828">
              <w:rPr>
                <w:rFonts w:eastAsia="Times New Roman" w:cstheme="minorHAnsi"/>
                <w:b/>
                <w:bCs/>
                <w:lang w:eastAsia="en-ZA"/>
              </w:rPr>
              <w:t>h</w:t>
            </w:r>
            <w:r w:rsidRPr="00733CD7">
              <w:rPr>
                <w:rFonts w:eastAsia="Times New Roman" w:cstheme="minorHAnsi"/>
                <w:b/>
                <w:bCs/>
                <w:lang w:eastAsia="en-ZA"/>
              </w:rPr>
              <w:t>eadline  BETI</w:t>
            </w:r>
            <w:proofErr w:type="gramEnd"/>
            <w:r w:rsidRPr="00733CD7">
              <w:rPr>
                <w:rFonts w:eastAsia="Times New Roman" w:cstheme="minorHAnsi"/>
                <w:b/>
                <w:bCs/>
                <w:lang w:eastAsia="en-ZA"/>
              </w:rPr>
              <w:t xml:space="preserve"> </w:t>
            </w:r>
            <w:r w:rsidR="007C1828">
              <w:rPr>
                <w:rFonts w:eastAsia="Times New Roman" w:cstheme="minorHAnsi"/>
                <w:b/>
                <w:bCs/>
                <w:lang w:eastAsia="en-ZA"/>
              </w:rPr>
              <w:t xml:space="preserve">% change </w:t>
            </w:r>
          </w:p>
          <w:p w14:paraId="67FB300D" w14:textId="532421AA" w:rsidR="007C1828" w:rsidRPr="00733CD7" w:rsidRDefault="007C1828" w:rsidP="00733CD7">
            <w:pPr>
              <w:spacing w:after="0" w:line="240" w:lineRule="auto"/>
              <w:jc w:val="center"/>
              <w:rPr>
                <w:rFonts w:eastAsia="Times New Roman" w:cstheme="minorHAnsi"/>
                <w:b/>
                <w:bCs/>
                <w:lang w:eastAsia="en-ZA"/>
              </w:rPr>
            </w:pP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B9F783A" w14:textId="0CF2400C"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BETI </w:t>
            </w:r>
            <w:r w:rsidR="007C1828">
              <w:rPr>
                <w:rFonts w:eastAsia="Times New Roman" w:cstheme="minorHAnsi"/>
                <w:b/>
                <w:bCs/>
                <w:lang w:eastAsia="en-ZA"/>
              </w:rPr>
              <w:t>q</w:t>
            </w:r>
            <w:r w:rsidRPr="00733CD7">
              <w:rPr>
                <w:rFonts w:eastAsia="Times New Roman" w:cstheme="minorHAnsi"/>
                <w:b/>
                <w:bCs/>
                <w:lang w:eastAsia="en-ZA"/>
              </w:rPr>
              <w:t xml:space="preserve">uarterly </w:t>
            </w:r>
            <w:r w:rsidR="007C1828">
              <w:rPr>
                <w:rFonts w:eastAsia="Times New Roman" w:cstheme="minorHAnsi"/>
                <w:b/>
                <w:bCs/>
                <w:lang w:eastAsia="en-ZA"/>
              </w:rPr>
              <w:t xml:space="preserve">% change </w:t>
            </w:r>
          </w:p>
          <w:p w14:paraId="2A6F56CA" w14:textId="4FC5356D" w:rsidR="007C1828" w:rsidRPr="00733CD7" w:rsidRDefault="007C1828" w:rsidP="00733CD7">
            <w:pPr>
              <w:spacing w:after="0" w:line="240" w:lineRule="auto"/>
              <w:jc w:val="center"/>
              <w:rPr>
                <w:rFonts w:eastAsia="Times New Roman" w:cstheme="minorHAnsi"/>
                <w:b/>
                <w:bCs/>
                <w:lang w:eastAsia="en-ZA"/>
              </w:rPr>
            </w:pP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6FAB608" w14:textId="77777777"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BETI </w:t>
            </w:r>
            <w:r w:rsidR="007C1828">
              <w:rPr>
                <w:rFonts w:eastAsia="Times New Roman" w:cstheme="minorHAnsi"/>
                <w:b/>
                <w:bCs/>
                <w:lang w:eastAsia="en-ZA"/>
              </w:rPr>
              <w:t>m</w:t>
            </w:r>
            <w:r w:rsidRPr="00733CD7">
              <w:rPr>
                <w:rFonts w:eastAsia="Times New Roman" w:cstheme="minorHAnsi"/>
                <w:b/>
                <w:bCs/>
                <w:lang w:eastAsia="en-ZA"/>
              </w:rPr>
              <w:t xml:space="preserve">onthly </w:t>
            </w:r>
            <w:r w:rsidR="007C1828">
              <w:rPr>
                <w:rFonts w:eastAsia="Times New Roman" w:cstheme="minorHAnsi"/>
                <w:b/>
                <w:bCs/>
                <w:lang w:eastAsia="en-ZA"/>
              </w:rPr>
              <w:t xml:space="preserve">% change </w:t>
            </w:r>
          </w:p>
          <w:p w14:paraId="0C6144B9" w14:textId="5C3FCF25" w:rsidR="007C1828" w:rsidRPr="00733CD7" w:rsidRDefault="007C1828" w:rsidP="00733CD7">
            <w:pPr>
              <w:spacing w:after="0" w:line="240" w:lineRule="auto"/>
              <w:jc w:val="center"/>
              <w:rPr>
                <w:rFonts w:eastAsia="Times New Roman" w:cstheme="minorHAnsi"/>
                <w:b/>
                <w:bCs/>
                <w:lang w:eastAsia="en-ZA"/>
              </w:rPr>
            </w:pPr>
          </w:p>
        </w:tc>
      </w:tr>
      <w:tr w:rsidR="00AD155F" w:rsidRPr="00733CD7" w14:paraId="462B883A"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F9162"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Jan-21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70692368" w14:textId="49712D44"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124.5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0C803F93" w14:textId="2714D40F" w:rsidR="00AD155F" w:rsidRPr="00A74FD0" w:rsidRDefault="00AD155F" w:rsidP="00AD155F">
            <w:pPr>
              <w:spacing w:after="0" w:line="240" w:lineRule="auto"/>
              <w:jc w:val="center"/>
              <w:rPr>
                <w:rFonts w:eastAsia="Times New Roman" w:cstheme="minorHAnsi"/>
                <w:b/>
                <w:bCs/>
                <w:lang w:eastAsia="en-ZA"/>
              </w:rPr>
            </w:pPr>
            <w:r w:rsidRPr="00A74FD0">
              <w:rPr>
                <w:b/>
                <w:bCs/>
              </w:rPr>
              <w:t>-1.2%</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2F13A85F" w14:textId="692B516C" w:rsidR="00AD155F" w:rsidRPr="00A74FD0" w:rsidRDefault="00AD155F" w:rsidP="00AD155F">
            <w:pPr>
              <w:spacing w:after="0" w:line="240" w:lineRule="auto"/>
              <w:jc w:val="center"/>
              <w:rPr>
                <w:rFonts w:eastAsia="Times New Roman" w:cstheme="minorHAnsi"/>
                <w:b/>
                <w:bCs/>
                <w:lang w:eastAsia="en-ZA"/>
              </w:rPr>
            </w:pPr>
            <w:r w:rsidRPr="00A74FD0">
              <w:rPr>
                <w:b/>
                <w:bCs/>
              </w:rPr>
              <w:t>2.9%</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202F004F" w14:textId="45D1EE40" w:rsidR="00AD155F" w:rsidRPr="00A74FD0" w:rsidRDefault="00AD155F" w:rsidP="00AD155F">
            <w:pPr>
              <w:spacing w:after="0" w:line="240" w:lineRule="auto"/>
              <w:jc w:val="center"/>
              <w:rPr>
                <w:rFonts w:eastAsia="Times New Roman" w:cstheme="minorHAnsi"/>
                <w:b/>
                <w:bCs/>
                <w:lang w:eastAsia="en-ZA"/>
              </w:rPr>
            </w:pPr>
            <w:r w:rsidRPr="00A74FD0">
              <w:rPr>
                <w:b/>
                <w:bCs/>
              </w:rPr>
              <w:t>-0.6%</w:t>
            </w:r>
          </w:p>
        </w:tc>
      </w:tr>
      <w:tr w:rsidR="00AD155F" w:rsidRPr="00733CD7" w14:paraId="0B9D92A1"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5F563"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Feb-21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5873820C" w14:textId="24E3AD6C"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126.2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6250F135" w14:textId="60041766" w:rsidR="00AD155F" w:rsidRPr="00A74FD0" w:rsidRDefault="00AD155F" w:rsidP="00AD155F">
            <w:pPr>
              <w:spacing w:after="0" w:line="240" w:lineRule="auto"/>
              <w:jc w:val="center"/>
              <w:rPr>
                <w:rFonts w:eastAsia="Times New Roman" w:cstheme="minorHAnsi"/>
                <w:b/>
                <w:bCs/>
                <w:lang w:eastAsia="en-ZA"/>
              </w:rPr>
            </w:pPr>
            <w:r w:rsidRPr="00A74FD0">
              <w:rPr>
                <w:b/>
                <w:bCs/>
              </w:rPr>
              <w:t>1.6%</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564258D7" w14:textId="33D25E49" w:rsidR="00AD155F" w:rsidRPr="00A74FD0" w:rsidRDefault="00AD155F" w:rsidP="00AD155F">
            <w:pPr>
              <w:spacing w:after="0" w:line="240" w:lineRule="auto"/>
              <w:jc w:val="center"/>
              <w:rPr>
                <w:rFonts w:eastAsia="Times New Roman" w:cstheme="minorHAnsi"/>
                <w:b/>
                <w:bCs/>
                <w:lang w:eastAsia="en-ZA"/>
              </w:rPr>
            </w:pPr>
            <w:r w:rsidRPr="00A74FD0">
              <w:rPr>
                <w:b/>
                <w:bCs/>
              </w:rPr>
              <w:t>1.6%</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4A572119" w14:textId="1AA07E5E" w:rsidR="00AD155F" w:rsidRPr="00A74FD0" w:rsidRDefault="00AD155F" w:rsidP="00AD155F">
            <w:pPr>
              <w:spacing w:after="0" w:line="240" w:lineRule="auto"/>
              <w:jc w:val="center"/>
              <w:rPr>
                <w:rFonts w:eastAsia="Times New Roman" w:cstheme="minorHAnsi"/>
                <w:b/>
                <w:bCs/>
                <w:lang w:eastAsia="en-ZA"/>
              </w:rPr>
            </w:pPr>
            <w:r w:rsidRPr="00A74FD0">
              <w:rPr>
                <w:b/>
                <w:bCs/>
              </w:rPr>
              <w:t>1.4%</w:t>
            </w:r>
          </w:p>
        </w:tc>
      </w:tr>
      <w:tr w:rsidR="00AD155F" w:rsidRPr="00733CD7" w14:paraId="24116580"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ED619"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Mar-21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4F384BFB" w14:textId="54B61F2F"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127.7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3DC7C04A" w14:textId="7FEC191D" w:rsidR="00AD155F" w:rsidRPr="00A74FD0" w:rsidRDefault="00AD155F" w:rsidP="00AD155F">
            <w:pPr>
              <w:spacing w:after="0" w:line="240" w:lineRule="auto"/>
              <w:jc w:val="center"/>
              <w:rPr>
                <w:rFonts w:eastAsia="Times New Roman" w:cstheme="minorHAnsi"/>
                <w:b/>
                <w:bCs/>
                <w:lang w:eastAsia="en-ZA"/>
              </w:rPr>
            </w:pPr>
            <w:r w:rsidRPr="00A74FD0">
              <w:rPr>
                <w:b/>
                <w:bCs/>
              </w:rPr>
              <w:t>5.8%</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3328A423" w14:textId="68D3A368" w:rsidR="00AD155F" w:rsidRPr="00A74FD0" w:rsidRDefault="00AD155F" w:rsidP="00AD155F">
            <w:pPr>
              <w:spacing w:after="0" w:line="240" w:lineRule="auto"/>
              <w:jc w:val="center"/>
              <w:rPr>
                <w:rFonts w:eastAsia="Times New Roman" w:cstheme="minorHAnsi"/>
                <w:b/>
                <w:bCs/>
                <w:lang w:eastAsia="en-ZA"/>
              </w:rPr>
            </w:pPr>
            <w:r w:rsidRPr="00A74FD0">
              <w:rPr>
                <w:b/>
                <w:bCs/>
              </w:rPr>
              <w:t>1.3%</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392D909B" w14:textId="5D6B4EC3" w:rsidR="00AD155F" w:rsidRPr="00A74FD0" w:rsidRDefault="00AD155F" w:rsidP="00AD155F">
            <w:pPr>
              <w:spacing w:after="0" w:line="240" w:lineRule="auto"/>
              <w:jc w:val="center"/>
              <w:rPr>
                <w:rFonts w:eastAsia="Times New Roman" w:cstheme="minorHAnsi"/>
                <w:b/>
                <w:bCs/>
                <w:lang w:eastAsia="en-ZA"/>
              </w:rPr>
            </w:pPr>
            <w:r w:rsidRPr="00A74FD0">
              <w:rPr>
                <w:b/>
                <w:bCs/>
              </w:rPr>
              <w:t>1.2%</w:t>
            </w:r>
          </w:p>
        </w:tc>
      </w:tr>
      <w:tr w:rsidR="00AD155F" w:rsidRPr="00733CD7" w14:paraId="4A1832BD"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F9526"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Apr-21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35B9AEBE" w14:textId="7BA4105F"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131.4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2F7183FE" w14:textId="21F4A179" w:rsidR="00AD155F" w:rsidRPr="00A74FD0" w:rsidRDefault="00AD155F" w:rsidP="00AD155F">
            <w:pPr>
              <w:spacing w:after="0" w:line="240" w:lineRule="auto"/>
              <w:jc w:val="center"/>
              <w:rPr>
                <w:rFonts w:eastAsia="Times New Roman" w:cstheme="minorHAnsi"/>
                <w:b/>
                <w:bCs/>
                <w:lang w:eastAsia="en-ZA"/>
              </w:rPr>
            </w:pPr>
            <w:r w:rsidRPr="00A74FD0">
              <w:rPr>
                <w:b/>
                <w:bCs/>
              </w:rPr>
              <w:t>26.5%</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30E1805D" w14:textId="6CEF51B5" w:rsidR="00AD155F" w:rsidRPr="00A74FD0" w:rsidRDefault="00AD155F" w:rsidP="00AD155F">
            <w:pPr>
              <w:spacing w:after="0" w:line="240" w:lineRule="auto"/>
              <w:jc w:val="center"/>
              <w:rPr>
                <w:rFonts w:eastAsia="Times New Roman" w:cstheme="minorHAnsi"/>
                <w:b/>
                <w:bCs/>
                <w:lang w:eastAsia="en-ZA"/>
              </w:rPr>
            </w:pPr>
            <w:r w:rsidRPr="00A74FD0">
              <w:rPr>
                <w:b/>
                <w:bCs/>
              </w:rPr>
              <w:t>3.0%</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56064880" w14:textId="11D35309" w:rsidR="00AD155F" w:rsidRPr="00A74FD0" w:rsidRDefault="00AD155F" w:rsidP="00AD155F">
            <w:pPr>
              <w:spacing w:after="0" w:line="240" w:lineRule="auto"/>
              <w:jc w:val="center"/>
              <w:rPr>
                <w:rFonts w:eastAsia="Times New Roman" w:cstheme="minorHAnsi"/>
                <w:b/>
                <w:bCs/>
                <w:lang w:eastAsia="en-ZA"/>
              </w:rPr>
            </w:pPr>
            <w:r w:rsidRPr="00A74FD0">
              <w:rPr>
                <w:b/>
                <w:bCs/>
              </w:rPr>
              <w:t>2.9%</w:t>
            </w:r>
          </w:p>
        </w:tc>
      </w:tr>
      <w:tr w:rsidR="00AD155F" w:rsidRPr="00733CD7" w14:paraId="634175AF"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F4724"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May-21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6B38F8AE" w14:textId="74BD9DE0"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130.7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03A92BCB" w14:textId="2C5A3D27" w:rsidR="00AD155F" w:rsidRPr="00A74FD0" w:rsidRDefault="00AD155F" w:rsidP="00AD155F">
            <w:pPr>
              <w:spacing w:after="0" w:line="240" w:lineRule="auto"/>
              <w:jc w:val="center"/>
              <w:rPr>
                <w:rFonts w:eastAsia="Times New Roman" w:cstheme="minorHAnsi"/>
                <w:b/>
                <w:bCs/>
                <w:lang w:eastAsia="en-ZA"/>
              </w:rPr>
            </w:pPr>
            <w:r w:rsidRPr="00A74FD0">
              <w:rPr>
                <w:b/>
                <w:bCs/>
              </w:rPr>
              <w:t>31.4%</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0C01B289" w14:textId="2B381822" w:rsidR="00AD155F" w:rsidRPr="00A74FD0" w:rsidRDefault="00AD155F" w:rsidP="00AD155F">
            <w:pPr>
              <w:spacing w:after="0" w:line="240" w:lineRule="auto"/>
              <w:jc w:val="center"/>
              <w:rPr>
                <w:rFonts w:eastAsia="Times New Roman" w:cstheme="minorHAnsi"/>
                <w:b/>
                <w:bCs/>
                <w:lang w:eastAsia="en-ZA"/>
              </w:rPr>
            </w:pPr>
            <w:r w:rsidRPr="00A74FD0">
              <w:rPr>
                <w:b/>
                <w:bCs/>
              </w:rPr>
              <w:t>3.7%</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382AF68E" w14:textId="5ABB11CF" w:rsidR="00AD155F" w:rsidRPr="00A74FD0" w:rsidRDefault="00AD155F" w:rsidP="00AD155F">
            <w:pPr>
              <w:spacing w:after="0" w:line="240" w:lineRule="auto"/>
              <w:jc w:val="center"/>
              <w:rPr>
                <w:rFonts w:eastAsia="Times New Roman" w:cstheme="minorHAnsi"/>
                <w:b/>
                <w:bCs/>
                <w:lang w:eastAsia="en-ZA"/>
              </w:rPr>
            </w:pPr>
            <w:r w:rsidRPr="00A74FD0">
              <w:rPr>
                <w:b/>
                <w:bCs/>
              </w:rPr>
              <w:t>-0.5%</w:t>
            </w:r>
          </w:p>
        </w:tc>
      </w:tr>
      <w:tr w:rsidR="00AD155F" w:rsidRPr="00733CD7" w14:paraId="23D875D0"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C9B15"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Jun-21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52E64CAB" w14:textId="05F87CA0"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129.9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6818265E" w14:textId="118AB1F5" w:rsidR="00AD155F" w:rsidRPr="00A74FD0" w:rsidRDefault="00AD155F" w:rsidP="00AD155F">
            <w:pPr>
              <w:spacing w:after="0" w:line="240" w:lineRule="auto"/>
              <w:jc w:val="center"/>
              <w:rPr>
                <w:rFonts w:eastAsia="Times New Roman" w:cstheme="minorHAnsi"/>
                <w:b/>
                <w:bCs/>
                <w:lang w:eastAsia="en-ZA"/>
              </w:rPr>
            </w:pPr>
            <w:r w:rsidRPr="00A74FD0">
              <w:rPr>
                <w:b/>
                <w:bCs/>
              </w:rPr>
              <w:t>26.1%</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0184D3B9" w14:textId="0A2D2932" w:rsidR="00AD155F" w:rsidRPr="00A74FD0" w:rsidRDefault="00AD155F" w:rsidP="00AD155F">
            <w:pPr>
              <w:spacing w:after="0" w:line="240" w:lineRule="auto"/>
              <w:jc w:val="center"/>
              <w:rPr>
                <w:rFonts w:eastAsia="Times New Roman" w:cstheme="minorHAnsi"/>
                <w:b/>
                <w:bCs/>
                <w:lang w:eastAsia="en-ZA"/>
              </w:rPr>
            </w:pPr>
            <w:r w:rsidRPr="00A74FD0">
              <w:rPr>
                <w:b/>
                <w:bCs/>
              </w:rPr>
              <w:t>3.6%</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5FBAFF13" w14:textId="5F41634E" w:rsidR="00AD155F" w:rsidRPr="00A74FD0" w:rsidRDefault="00AD155F" w:rsidP="00AD155F">
            <w:pPr>
              <w:spacing w:after="0" w:line="240" w:lineRule="auto"/>
              <w:jc w:val="center"/>
              <w:rPr>
                <w:rFonts w:eastAsia="Times New Roman" w:cstheme="minorHAnsi"/>
                <w:b/>
                <w:bCs/>
                <w:lang w:eastAsia="en-ZA"/>
              </w:rPr>
            </w:pPr>
            <w:r w:rsidRPr="00A74FD0">
              <w:rPr>
                <w:b/>
                <w:bCs/>
              </w:rPr>
              <w:t>-0.6%</w:t>
            </w:r>
          </w:p>
        </w:tc>
      </w:tr>
      <w:tr w:rsidR="00AD155F" w:rsidRPr="00733CD7" w14:paraId="71230697"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C7FCF"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Jul-21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402FFA79" w14:textId="07853A5B"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127.4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0BA8B85F" w14:textId="647331FE" w:rsidR="00AD155F" w:rsidRPr="00A74FD0" w:rsidRDefault="00AD155F" w:rsidP="00AD155F">
            <w:pPr>
              <w:spacing w:after="0" w:line="240" w:lineRule="auto"/>
              <w:jc w:val="center"/>
              <w:rPr>
                <w:rFonts w:eastAsia="Times New Roman" w:cstheme="minorHAnsi"/>
                <w:b/>
                <w:bCs/>
                <w:lang w:eastAsia="en-ZA"/>
              </w:rPr>
            </w:pPr>
            <w:r w:rsidRPr="00A74FD0">
              <w:rPr>
                <w:b/>
                <w:bCs/>
              </w:rPr>
              <w:t>15.0%</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62B5C1C4" w14:textId="08293453" w:rsidR="00AD155F" w:rsidRPr="00A74FD0" w:rsidRDefault="00AD155F" w:rsidP="00AD155F">
            <w:pPr>
              <w:spacing w:after="0" w:line="240" w:lineRule="auto"/>
              <w:jc w:val="center"/>
              <w:rPr>
                <w:rFonts w:eastAsia="Times New Roman" w:cstheme="minorHAnsi"/>
                <w:b/>
                <w:bCs/>
                <w:lang w:eastAsia="en-ZA"/>
              </w:rPr>
            </w:pPr>
            <w:r w:rsidRPr="00A74FD0">
              <w:rPr>
                <w:b/>
                <w:bCs/>
              </w:rPr>
              <w:t>0.7%</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71D77150" w14:textId="5069E3D0" w:rsidR="00AD155F" w:rsidRPr="00A74FD0" w:rsidRDefault="00AD155F" w:rsidP="00AD155F">
            <w:pPr>
              <w:spacing w:after="0" w:line="240" w:lineRule="auto"/>
              <w:jc w:val="center"/>
              <w:rPr>
                <w:rFonts w:eastAsia="Times New Roman" w:cstheme="minorHAnsi"/>
                <w:b/>
                <w:bCs/>
                <w:lang w:eastAsia="en-ZA"/>
              </w:rPr>
            </w:pPr>
            <w:r w:rsidRPr="00A74FD0">
              <w:rPr>
                <w:b/>
                <w:bCs/>
              </w:rPr>
              <w:t>-1.9%</w:t>
            </w:r>
          </w:p>
        </w:tc>
      </w:tr>
      <w:tr w:rsidR="00AD155F" w:rsidRPr="00733CD7" w14:paraId="3E5EDE80"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0CADC"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Aug-21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6A334B70" w14:textId="2F30917D"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133.4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4CE1E8A5" w14:textId="3ACB7AB8" w:rsidR="00AD155F" w:rsidRPr="00A74FD0" w:rsidRDefault="00AD155F" w:rsidP="00AD155F">
            <w:pPr>
              <w:spacing w:after="0" w:line="240" w:lineRule="auto"/>
              <w:jc w:val="center"/>
              <w:rPr>
                <w:rFonts w:eastAsia="Times New Roman" w:cstheme="minorHAnsi"/>
                <w:b/>
                <w:bCs/>
                <w:lang w:eastAsia="en-ZA"/>
              </w:rPr>
            </w:pPr>
            <w:r w:rsidRPr="00A74FD0">
              <w:rPr>
                <w:b/>
                <w:bCs/>
              </w:rPr>
              <w:t>13.5%</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11A6DD6F" w14:textId="604EA148" w:rsidR="00AD155F" w:rsidRPr="00A74FD0" w:rsidRDefault="00AD155F" w:rsidP="00AD155F">
            <w:pPr>
              <w:spacing w:after="0" w:line="240" w:lineRule="auto"/>
              <w:jc w:val="center"/>
              <w:rPr>
                <w:rFonts w:eastAsia="Times New Roman" w:cstheme="minorHAnsi"/>
                <w:b/>
                <w:bCs/>
                <w:lang w:eastAsia="en-ZA"/>
              </w:rPr>
            </w:pPr>
            <w:r w:rsidRPr="00A74FD0">
              <w:rPr>
                <w:b/>
                <w:bCs/>
              </w:rPr>
              <w:t>0.2%</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4989967C" w14:textId="405AD3E0" w:rsidR="00AD155F" w:rsidRPr="00A74FD0" w:rsidRDefault="00AD155F" w:rsidP="00AD155F">
            <w:pPr>
              <w:spacing w:after="0" w:line="240" w:lineRule="auto"/>
              <w:jc w:val="center"/>
              <w:rPr>
                <w:rFonts w:eastAsia="Times New Roman" w:cstheme="minorHAnsi"/>
                <w:b/>
                <w:bCs/>
                <w:lang w:eastAsia="en-ZA"/>
              </w:rPr>
            </w:pPr>
            <w:r w:rsidRPr="00A74FD0">
              <w:rPr>
                <w:b/>
                <w:bCs/>
              </w:rPr>
              <w:t>4.7%</w:t>
            </w:r>
          </w:p>
        </w:tc>
      </w:tr>
      <w:tr w:rsidR="00AD155F" w:rsidRPr="00733CD7" w14:paraId="09EF7CC3"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AAAF7"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Sep-21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5ACDB718" w14:textId="6101989E"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129.6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20F60D1B" w14:textId="23A0D00A" w:rsidR="00AD155F" w:rsidRPr="00A74FD0" w:rsidRDefault="00AD155F" w:rsidP="00AD155F">
            <w:pPr>
              <w:spacing w:after="0" w:line="240" w:lineRule="auto"/>
              <w:jc w:val="center"/>
              <w:rPr>
                <w:rFonts w:eastAsia="Times New Roman" w:cstheme="minorHAnsi"/>
                <w:b/>
                <w:bCs/>
                <w:lang w:eastAsia="en-ZA"/>
              </w:rPr>
            </w:pPr>
            <w:r w:rsidRPr="00A74FD0">
              <w:rPr>
                <w:b/>
                <w:bCs/>
              </w:rPr>
              <w:t>6.7%</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1A61822D" w14:textId="718CED94" w:rsidR="00AD155F" w:rsidRPr="00A74FD0" w:rsidRDefault="00AD155F" w:rsidP="00AD155F">
            <w:pPr>
              <w:spacing w:after="0" w:line="240" w:lineRule="auto"/>
              <w:jc w:val="center"/>
              <w:rPr>
                <w:rFonts w:eastAsia="Times New Roman" w:cstheme="minorHAnsi"/>
                <w:b/>
                <w:bCs/>
                <w:lang w:eastAsia="en-ZA"/>
              </w:rPr>
            </w:pPr>
            <w:r w:rsidRPr="00A74FD0">
              <w:rPr>
                <w:b/>
                <w:bCs/>
              </w:rPr>
              <w:t>-0.4%</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29CBC91F" w14:textId="31C59231" w:rsidR="00AD155F" w:rsidRPr="00A74FD0" w:rsidRDefault="00AD155F" w:rsidP="00AD155F">
            <w:pPr>
              <w:spacing w:after="0" w:line="240" w:lineRule="auto"/>
              <w:jc w:val="center"/>
              <w:rPr>
                <w:rFonts w:eastAsia="Times New Roman" w:cstheme="minorHAnsi"/>
                <w:b/>
                <w:bCs/>
                <w:lang w:eastAsia="en-ZA"/>
              </w:rPr>
            </w:pPr>
            <w:r w:rsidRPr="00A74FD0">
              <w:rPr>
                <w:b/>
                <w:bCs/>
              </w:rPr>
              <w:t>-2.9%</w:t>
            </w:r>
          </w:p>
        </w:tc>
      </w:tr>
      <w:tr w:rsidR="00AD155F" w:rsidRPr="00733CD7" w14:paraId="7B1F5F84"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1F7CB"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Oct-21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51DBEE01" w14:textId="4DDC0912"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130.1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7D466C3C" w14:textId="0B921529" w:rsidR="00AD155F" w:rsidRPr="00A74FD0" w:rsidRDefault="00AD155F" w:rsidP="00AD155F">
            <w:pPr>
              <w:spacing w:after="0" w:line="240" w:lineRule="auto"/>
              <w:jc w:val="center"/>
              <w:rPr>
                <w:rFonts w:eastAsia="Times New Roman" w:cstheme="minorHAnsi"/>
                <w:b/>
                <w:bCs/>
                <w:lang w:eastAsia="en-ZA"/>
              </w:rPr>
            </w:pPr>
            <w:r w:rsidRPr="00A74FD0">
              <w:rPr>
                <w:b/>
                <w:bCs/>
              </w:rPr>
              <w:t>4.7%</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11B32BC4" w14:textId="599587E5" w:rsidR="00AD155F" w:rsidRPr="00A74FD0" w:rsidRDefault="00AD155F" w:rsidP="00AD155F">
            <w:pPr>
              <w:spacing w:after="0" w:line="240" w:lineRule="auto"/>
              <w:jc w:val="center"/>
              <w:rPr>
                <w:rFonts w:eastAsia="Times New Roman" w:cstheme="minorHAnsi"/>
                <w:b/>
                <w:bCs/>
                <w:lang w:eastAsia="en-ZA"/>
              </w:rPr>
            </w:pPr>
            <w:r w:rsidRPr="00A74FD0">
              <w:rPr>
                <w:b/>
                <w:bCs/>
              </w:rPr>
              <w:t>1.3%</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21A2BC52" w14:textId="7181CD1B" w:rsidR="00AD155F" w:rsidRPr="00A74FD0" w:rsidRDefault="00AD155F" w:rsidP="00AD155F">
            <w:pPr>
              <w:spacing w:after="0" w:line="240" w:lineRule="auto"/>
              <w:jc w:val="center"/>
              <w:rPr>
                <w:rFonts w:eastAsia="Times New Roman" w:cstheme="minorHAnsi"/>
                <w:b/>
                <w:bCs/>
                <w:lang w:eastAsia="en-ZA"/>
              </w:rPr>
            </w:pPr>
            <w:r w:rsidRPr="00A74FD0">
              <w:rPr>
                <w:b/>
                <w:bCs/>
              </w:rPr>
              <w:t>0.4%</w:t>
            </w:r>
          </w:p>
        </w:tc>
      </w:tr>
      <w:tr w:rsidR="00AD155F" w:rsidRPr="00733CD7" w14:paraId="32BC8555"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040F6"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Nov-21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07E920DF" w14:textId="5F2F8B7D"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132.0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159EB619" w14:textId="33F0A6C6" w:rsidR="00AD155F" w:rsidRPr="00A74FD0" w:rsidRDefault="00AD155F" w:rsidP="00AD155F">
            <w:pPr>
              <w:spacing w:after="0" w:line="240" w:lineRule="auto"/>
              <w:jc w:val="center"/>
              <w:rPr>
                <w:rFonts w:eastAsia="Times New Roman" w:cstheme="minorHAnsi"/>
                <w:b/>
                <w:bCs/>
                <w:lang w:eastAsia="en-ZA"/>
              </w:rPr>
            </w:pPr>
            <w:r w:rsidRPr="00A74FD0">
              <w:rPr>
                <w:b/>
                <w:bCs/>
              </w:rPr>
              <w:t>6.2%</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04BCA192" w14:textId="11D30CAB" w:rsidR="00AD155F" w:rsidRPr="00A74FD0" w:rsidRDefault="00AD155F" w:rsidP="00AD155F">
            <w:pPr>
              <w:spacing w:after="0" w:line="240" w:lineRule="auto"/>
              <w:jc w:val="center"/>
              <w:rPr>
                <w:rFonts w:eastAsia="Times New Roman" w:cstheme="minorHAnsi"/>
                <w:b/>
                <w:bCs/>
                <w:lang w:eastAsia="en-ZA"/>
              </w:rPr>
            </w:pPr>
            <w:r w:rsidRPr="00A74FD0">
              <w:rPr>
                <w:b/>
                <w:bCs/>
              </w:rPr>
              <w:t>0.2%</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538F1243" w14:textId="6E1FCDA7" w:rsidR="00AD155F" w:rsidRPr="00A74FD0" w:rsidRDefault="00AD155F" w:rsidP="00AD155F">
            <w:pPr>
              <w:spacing w:after="0" w:line="240" w:lineRule="auto"/>
              <w:jc w:val="center"/>
              <w:rPr>
                <w:rFonts w:eastAsia="Times New Roman" w:cstheme="minorHAnsi"/>
                <w:b/>
                <w:bCs/>
                <w:lang w:eastAsia="en-ZA"/>
              </w:rPr>
            </w:pPr>
            <w:r w:rsidRPr="00A74FD0">
              <w:rPr>
                <w:b/>
                <w:bCs/>
              </w:rPr>
              <w:t>1.5%</w:t>
            </w:r>
          </w:p>
        </w:tc>
      </w:tr>
      <w:tr w:rsidR="00AD155F" w:rsidRPr="00733CD7" w14:paraId="1DFA643B"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3E46D"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Dec-21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7E6ED534" w14:textId="7ED4DAF8"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130.5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7CF62126" w14:textId="4CA1D852" w:rsidR="00AD155F" w:rsidRPr="00A74FD0" w:rsidRDefault="00AD155F" w:rsidP="00AD155F">
            <w:pPr>
              <w:spacing w:after="0" w:line="240" w:lineRule="auto"/>
              <w:jc w:val="center"/>
              <w:rPr>
                <w:rFonts w:eastAsia="Times New Roman" w:cstheme="minorHAnsi"/>
                <w:b/>
                <w:bCs/>
                <w:lang w:eastAsia="en-ZA"/>
              </w:rPr>
            </w:pPr>
            <w:r w:rsidRPr="00A74FD0">
              <w:rPr>
                <w:b/>
                <w:bCs/>
              </w:rPr>
              <w:t>4.2%</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0962B95A" w14:textId="001CC8FB" w:rsidR="00AD155F" w:rsidRPr="00A74FD0" w:rsidRDefault="00AD155F" w:rsidP="00AD155F">
            <w:pPr>
              <w:spacing w:after="0" w:line="240" w:lineRule="auto"/>
              <w:jc w:val="center"/>
              <w:rPr>
                <w:rFonts w:eastAsia="Times New Roman" w:cstheme="minorHAnsi"/>
                <w:b/>
                <w:bCs/>
                <w:lang w:eastAsia="en-ZA"/>
              </w:rPr>
            </w:pPr>
            <w:r w:rsidRPr="00A74FD0">
              <w:rPr>
                <w:b/>
                <w:bCs/>
              </w:rPr>
              <w:t>0.5%</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2B6D5FA1" w14:textId="01FE838A" w:rsidR="00AD155F" w:rsidRPr="00A74FD0" w:rsidRDefault="00AD155F" w:rsidP="00AD155F">
            <w:pPr>
              <w:spacing w:after="0" w:line="240" w:lineRule="auto"/>
              <w:jc w:val="center"/>
              <w:rPr>
                <w:rFonts w:eastAsia="Times New Roman" w:cstheme="minorHAnsi"/>
                <w:b/>
                <w:bCs/>
                <w:lang w:eastAsia="en-ZA"/>
              </w:rPr>
            </w:pPr>
            <w:r w:rsidRPr="00A74FD0">
              <w:rPr>
                <w:b/>
                <w:bCs/>
              </w:rPr>
              <w:t>-1.1%</w:t>
            </w:r>
          </w:p>
        </w:tc>
      </w:tr>
      <w:tr w:rsidR="00AD155F" w:rsidRPr="00733CD7" w14:paraId="1B9A11B5"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3DC83"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Jan-22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258F6675" w14:textId="1DAF5BF0"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132.8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095A5A51" w14:textId="600FD35E" w:rsidR="00AD155F" w:rsidRPr="00A74FD0" w:rsidRDefault="00AD155F" w:rsidP="00AD155F">
            <w:pPr>
              <w:spacing w:after="0" w:line="240" w:lineRule="auto"/>
              <w:jc w:val="center"/>
              <w:rPr>
                <w:rFonts w:eastAsia="Times New Roman" w:cstheme="minorHAnsi"/>
                <w:b/>
                <w:bCs/>
                <w:lang w:eastAsia="en-ZA"/>
              </w:rPr>
            </w:pPr>
            <w:r w:rsidRPr="00A74FD0">
              <w:rPr>
                <w:b/>
                <w:bCs/>
              </w:rPr>
              <w:t>6.7%</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6A4797A9" w14:textId="7C783044" w:rsidR="00AD155F" w:rsidRPr="00A74FD0" w:rsidRDefault="00AD155F" w:rsidP="00AD155F">
            <w:pPr>
              <w:spacing w:after="0" w:line="240" w:lineRule="auto"/>
              <w:jc w:val="center"/>
              <w:rPr>
                <w:rFonts w:eastAsia="Times New Roman" w:cstheme="minorHAnsi"/>
                <w:b/>
                <w:bCs/>
                <w:lang w:eastAsia="en-ZA"/>
              </w:rPr>
            </w:pPr>
            <w:r w:rsidRPr="00A74FD0">
              <w:rPr>
                <w:b/>
                <w:bCs/>
              </w:rPr>
              <w:t>0.6%</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57921E1D" w14:textId="2AFF6538" w:rsidR="00AD155F" w:rsidRPr="00A74FD0" w:rsidRDefault="00AD155F" w:rsidP="00AD155F">
            <w:pPr>
              <w:spacing w:after="0" w:line="240" w:lineRule="auto"/>
              <w:jc w:val="center"/>
              <w:rPr>
                <w:rFonts w:eastAsia="Times New Roman" w:cstheme="minorHAnsi"/>
                <w:b/>
                <w:bCs/>
                <w:lang w:eastAsia="en-ZA"/>
              </w:rPr>
            </w:pPr>
            <w:r w:rsidRPr="00A74FD0">
              <w:rPr>
                <w:b/>
                <w:bCs/>
              </w:rPr>
              <w:t>1.8%</w:t>
            </w:r>
          </w:p>
        </w:tc>
      </w:tr>
      <w:tr w:rsidR="00AD155F" w:rsidRPr="00733CD7" w14:paraId="35F8B8ED"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61810"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Feb-22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7EF5BFFA" w14:textId="3F84C462"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133.8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34D2D36E" w14:textId="28BA1CFE" w:rsidR="00AD155F" w:rsidRPr="00A74FD0" w:rsidRDefault="00AD155F" w:rsidP="00AD155F">
            <w:pPr>
              <w:spacing w:after="0" w:line="240" w:lineRule="auto"/>
              <w:jc w:val="center"/>
              <w:rPr>
                <w:rFonts w:eastAsia="Times New Roman" w:cstheme="minorHAnsi"/>
                <w:b/>
                <w:bCs/>
                <w:lang w:eastAsia="en-ZA"/>
              </w:rPr>
            </w:pPr>
            <w:r w:rsidRPr="00A74FD0">
              <w:rPr>
                <w:b/>
                <w:bCs/>
              </w:rPr>
              <w:t>6.1%</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170600D9" w14:textId="500F8898" w:rsidR="00AD155F" w:rsidRPr="00A74FD0" w:rsidRDefault="00AD155F" w:rsidP="00AD155F">
            <w:pPr>
              <w:spacing w:after="0" w:line="240" w:lineRule="auto"/>
              <w:jc w:val="center"/>
              <w:rPr>
                <w:rFonts w:eastAsia="Times New Roman" w:cstheme="minorHAnsi"/>
                <w:b/>
                <w:bCs/>
                <w:lang w:eastAsia="en-ZA"/>
              </w:rPr>
            </w:pPr>
            <w:r w:rsidRPr="00A74FD0">
              <w:rPr>
                <w:b/>
                <w:bCs/>
              </w:rPr>
              <w:t>1.4%</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5C5B4F29" w14:textId="0E496190" w:rsidR="00AD155F" w:rsidRPr="00A74FD0" w:rsidRDefault="00AD155F" w:rsidP="00AD155F">
            <w:pPr>
              <w:spacing w:after="0" w:line="240" w:lineRule="auto"/>
              <w:jc w:val="center"/>
              <w:rPr>
                <w:rFonts w:eastAsia="Times New Roman" w:cstheme="minorHAnsi"/>
                <w:b/>
                <w:bCs/>
                <w:lang w:eastAsia="en-ZA"/>
              </w:rPr>
            </w:pPr>
            <w:r w:rsidRPr="00A74FD0">
              <w:rPr>
                <w:b/>
                <w:bCs/>
              </w:rPr>
              <w:t>0.8%</w:t>
            </w:r>
          </w:p>
        </w:tc>
      </w:tr>
      <w:tr w:rsidR="00AD155F" w:rsidRPr="00733CD7" w14:paraId="4FF93295"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B3E8E"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Mar-22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72FB9AFC" w14:textId="4FDED101"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135.2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3975A7BD" w14:textId="01A53A39" w:rsidR="00AD155F" w:rsidRPr="00A74FD0" w:rsidRDefault="00AD155F" w:rsidP="00AD155F">
            <w:pPr>
              <w:spacing w:after="0" w:line="240" w:lineRule="auto"/>
              <w:jc w:val="center"/>
              <w:rPr>
                <w:rFonts w:eastAsia="Times New Roman" w:cstheme="minorHAnsi"/>
                <w:b/>
                <w:bCs/>
                <w:lang w:eastAsia="en-ZA"/>
              </w:rPr>
            </w:pPr>
            <w:r w:rsidRPr="00A74FD0">
              <w:rPr>
                <w:b/>
                <w:bCs/>
              </w:rPr>
              <w:t>5.8%</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71B0D09A" w14:textId="24B73652" w:rsidR="00AD155F" w:rsidRPr="00A74FD0" w:rsidRDefault="00AD155F" w:rsidP="00AD155F">
            <w:pPr>
              <w:spacing w:after="0" w:line="240" w:lineRule="auto"/>
              <w:jc w:val="center"/>
              <w:rPr>
                <w:rFonts w:eastAsia="Times New Roman" w:cstheme="minorHAnsi"/>
                <w:b/>
                <w:bCs/>
                <w:lang w:eastAsia="en-ZA"/>
              </w:rPr>
            </w:pPr>
            <w:r w:rsidRPr="00A74FD0">
              <w:rPr>
                <w:b/>
                <w:bCs/>
              </w:rPr>
              <w:t>2.4%</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273FA712" w14:textId="0ACC21BB" w:rsidR="00AD155F" w:rsidRPr="00A74FD0" w:rsidRDefault="00AD155F" w:rsidP="00AD155F">
            <w:pPr>
              <w:spacing w:after="0" w:line="240" w:lineRule="auto"/>
              <w:jc w:val="center"/>
              <w:rPr>
                <w:rFonts w:eastAsia="Times New Roman" w:cstheme="minorHAnsi"/>
                <w:b/>
                <w:bCs/>
                <w:lang w:eastAsia="en-ZA"/>
              </w:rPr>
            </w:pPr>
            <w:r w:rsidRPr="00A74FD0">
              <w:rPr>
                <w:b/>
                <w:bCs/>
              </w:rPr>
              <w:t>1.0%</w:t>
            </w:r>
          </w:p>
        </w:tc>
      </w:tr>
      <w:tr w:rsidR="00AD155F" w:rsidRPr="00733CD7" w14:paraId="446016B4"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65E30"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Apr-22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43282C08" w14:textId="51F24C76"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137.8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772E0B84" w14:textId="6DCE42A2" w:rsidR="00AD155F" w:rsidRPr="00A74FD0" w:rsidRDefault="00AD155F" w:rsidP="00AD155F">
            <w:pPr>
              <w:spacing w:after="0" w:line="240" w:lineRule="auto"/>
              <w:jc w:val="center"/>
              <w:rPr>
                <w:rFonts w:eastAsia="Times New Roman" w:cstheme="minorHAnsi"/>
                <w:b/>
                <w:bCs/>
                <w:lang w:eastAsia="en-ZA"/>
              </w:rPr>
            </w:pPr>
            <w:r w:rsidRPr="00A74FD0">
              <w:rPr>
                <w:b/>
                <w:bCs/>
              </w:rPr>
              <w:t>4.9%</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3C7CB446" w14:textId="3C56A1D4" w:rsidR="00AD155F" w:rsidRPr="00A74FD0" w:rsidRDefault="00AD155F" w:rsidP="00AD155F">
            <w:pPr>
              <w:spacing w:after="0" w:line="240" w:lineRule="auto"/>
              <w:jc w:val="center"/>
              <w:rPr>
                <w:rFonts w:eastAsia="Times New Roman" w:cstheme="minorHAnsi"/>
                <w:b/>
                <w:bCs/>
                <w:lang w:eastAsia="en-ZA"/>
              </w:rPr>
            </w:pPr>
            <w:r w:rsidRPr="00A74FD0">
              <w:rPr>
                <w:b/>
                <w:bCs/>
              </w:rPr>
              <w:t>2.9%</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171CBBDF" w14:textId="0F75FE30" w:rsidR="00AD155F" w:rsidRPr="00A74FD0" w:rsidRDefault="00AD155F" w:rsidP="00AD155F">
            <w:pPr>
              <w:spacing w:after="0" w:line="240" w:lineRule="auto"/>
              <w:jc w:val="center"/>
              <w:rPr>
                <w:rFonts w:eastAsia="Times New Roman" w:cstheme="minorHAnsi"/>
                <w:b/>
                <w:bCs/>
                <w:lang w:eastAsia="en-ZA"/>
              </w:rPr>
            </w:pPr>
            <w:r w:rsidRPr="00A74FD0">
              <w:rPr>
                <w:b/>
                <w:bCs/>
              </w:rPr>
              <w:t>1.9%</w:t>
            </w:r>
          </w:p>
        </w:tc>
      </w:tr>
      <w:tr w:rsidR="00AD155F" w:rsidRPr="00733CD7" w14:paraId="1359A67F"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3D62D"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May-22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6C4C4D91" w14:textId="295D6E4F"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143.0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4648AFFB" w14:textId="205E1540" w:rsidR="00AD155F" w:rsidRPr="00A74FD0" w:rsidRDefault="00AD155F" w:rsidP="00AD155F">
            <w:pPr>
              <w:spacing w:after="0" w:line="240" w:lineRule="auto"/>
              <w:jc w:val="center"/>
              <w:rPr>
                <w:rFonts w:eastAsia="Times New Roman" w:cstheme="minorHAnsi"/>
                <w:b/>
                <w:bCs/>
                <w:lang w:eastAsia="en-ZA"/>
              </w:rPr>
            </w:pPr>
            <w:r w:rsidRPr="00A74FD0">
              <w:rPr>
                <w:b/>
                <w:bCs/>
              </w:rPr>
              <w:t>9.4%</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6D941735" w14:textId="4FEFCCD6" w:rsidR="00AD155F" w:rsidRPr="00A74FD0" w:rsidRDefault="00AD155F" w:rsidP="00AD155F">
            <w:pPr>
              <w:spacing w:after="0" w:line="240" w:lineRule="auto"/>
              <w:jc w:val="center"/>
              <w:rPr>
                <w:rFonts w:eastAsia="Times New Roman" w:cstheme="minorHAnsi"/>
                <w:b/>
                <w:bCs/>
                <w:lang w:eastAsia="en-ZA"/>
              </w:rPr>
            </w:pPr>
            <w:r w:rsidRPr="00A74FD0">
              <w:rPr>
                <w:b/>
                <w:bCs/>
              </w:rPr>
              <w:t>4.7%</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654B4317" w14:textId="29222F4F" w:rsidR="00AD155F" w:rsidRPr="00A74FD0" w:rsidRDefault="00AD155F" w:rsidP="00AD155F">
            <w:pPr>
              <w:spacing w:after="0" w:line="240" w:lineRule="auto"/>
              <w:jc w:val="center"/>
              <w:rPr>
                <w:rFonts w:eastAsia="Times New Roman" w:cstheme="minorHAnsi"/>
                <w:b/>
                <w:bCs/>
                <w:lang w:eastAsia="en-ZA"/>
              </w:rPr>
            </w:pPr>
            <w:r w:rsidRPr="00A74FD0">
              <w:rPr>
                <w:b/>
                <w:bCs/>
              </w:rPr>
              <w:t>3.8%</w:t>
            </w:r>
          </w:p>
        </w:tc>
      </w:tr>
      <w:tr w:rsidR="00AD155F" w:rsidRPr="00733CD7" w14:paraId="3003EF21" w14:textId="77777777" w:rsidTr="00D3767C">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50125" w14:textId="77777777" w:rsidR="00AD155F" w:rsidRPr="00733CD7" w:rsidRDefault="00AD155F" w:rsidP="00AD155F">
            <w:pPr>
              <w:spacing w:after="0" w:line="240" w:lineRule="auto"/>
              <w:rPr>
                <w:rFonts w:eastAsia="Times New Roman" w:cstheme="minorHAnsi"/>
                <w:b/>
                <w:bCs/>
                <w:lang w:eastAsia="en-ZA"/>
              </w:rPr>
            </w:pPr>
            <w:r w:rsidRPr="00733CD7">
              <w:rPr>
                <w:rFonts w:eastAsia="Times New Roman" w:cstheme="minorHAnsi"/>
                <w:b/>
                <w:bCs/>
                <w:lang w:eastAsia="en-ZA"/>
              </w:rPr>
              <w:t>Jun-22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tcPr>
          <w:p w14:paraId="6519CC52" w14:textId="31F7EE07" w:rsidR="00AD155F" w:rsidRPr="00A74FD0" w:rsidRDefault="00AD155F" w:rsidP="00AD155F">
            <w:pPr>
              <w:spacing w:after="0" w:line="240" w:lineRule="auto"/>
              <w:jc w:val="center"/>
              <w:rPr>
                <w:rFonts w:eastAsia="Times New Roman" w:cstheme="minorHAnsi"/>
                <w:b/>
                <w:bCs/>
                <w:lang w:eastAsia="en-ZA"/>
              </w:rPr>
            </w:pPr>
            <w:r w:rsidRPr="00A74FD0">
              <w:rPr>
                <w:b/>
                <w:bCs/>
              </w:rPr>
              <w:t xml:space="preserve"> 136.4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tcPr>
          <w:p w14:paraId="29C04493" w14:textId="56DA16B7" w:rsidR="00AD155F" w:rsidRPr="00A74FD0" w:rsidRDefault="00AD155F" w:rsidP="00AD155F">
            <w:pPr>
              <w:spacing w:after="0" w:line="240" w:lineRule="auto"/>
              <w:jc w:val="center"/>
              <w:rPr>
                <w:rFonts w:eastAsia="Times New Roman" w:cstheme="minorHAnsi"/>
                <w:b/>
                <w:bCs/>
                <w:lang w:eastAsia="en-ZA"/>
              </w:rPr>
            </w:pPr>
            <w:r w:rsidRPr="00A74FD0">
              <w:rPr>
                <w:b/>
                <w:bCs/>
              </w:rPr>
              <w:t>5.0%</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tcPr>
          <w:p w14:paraId="50138CA0" w14:textId="0F9DBAB7" w:rsidR="00AD155F" w:rsidRPr="00A74FD0" w:rsidRDefault="00AD155F" w:rsidP="00AD155F">
            <w:pPr>
              <w:spacing w:after="0" w:line="240" w:lineRule="auto"/>
              <w:jc w:val="center"/>
              <w:rPr>
                <w:rFonts w:eastAsia="Times New Roman" w:cstheme="minorHAnsi"/>
                <w:b/>
                <w:bCs/>
                <w:lang w:eastAsia="en-ZA"/>
              </w:rPr>
            </w:pPr>
            <w:r w:rsidRPr="00A74FD0">
              <w:rPr>
                <w:b/>
                <w:bCs/>
              </w:rPr>
              <w:t>3.8%</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tcPr>
          <w:p w14:paraId="1906AC12" w14:textId="6A735F8F" w:rsidR="00AD155F" w:rsidRPr="00A74FD0" w:rsidRDefault="00AD155F" w:rsidP="00AD155F">
            <w:pPr>
              <w:spacing w:after="0" w:line="240" w:lineRule="auto"/>
              <w:jc w:val="center"/>
              <w:rPr>
                <w:rFonts w:eastAsia="Times New Roman" w:cstheme="minorHAnsi"/>
                <w:b/>
                <w:bCs/>
                <w:lang w:eastAsia="en-ZA"/>
              </w:rPr>
            </w:pPr>
            <w:r w:rsidRPr="00A74FD0">
              <w:rPr>
                <w:b/>
                <w:bCs/>
              </w:rPr>
              <w:t>-4.7%</w:t>
            </w:r>
          </w:p>
        </w:tc>
      </w:tr>
      <w:tr w:rsidR="003A71DC" w:rsidRPr="00733CD7" w14:paraId="3C61C3C1"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B8B70" w14:textId="63B63D3F" w:rsidR="003A71DC" w:rsidRPr="00733CD7" w:rsidRDefault="00A1083E" w:rsidP="00733CD7">
            <w:pPr>
              <w:spacing w:after="0" w:line="240" w:lineRule="auto"/>
              <w:rPr>
                <w:rFonts w:eastAsia="Times New Roman" w:cstheme="minorHAnsi"/>
                <w:b/>
                <w:bCs/>
                <w:lang w:eastAsia="en-ZA"/>
              </w:rPr>
            </w:pPr>
            <w:r>
              <w:rPr>
                <w:rFonts w:eastAsia="Times New Roman" w:cstheme="minorHAnsi"/>
                <w:b/>
                <w:bCs/>
                <w:lang w:eastAsia="en-ZA"/>
              </w:rPr>
              <w:t>Jul-22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F510116" w14:textId="20AAE230" w:rsidR="003A71DC" w:rsidRPr="00733CD7" w:rsidRDefault="00FD59D7" w:rsidP="00733CD7">
            <w:pPr>
              <w:spacing w:after="0" w:line="240" w:lineRule="auto"/>
              <w:jc w:val="center"/>
              <w:rPr>
                <w:rFonts w:eastAsia="Times New Roman" w:cstheme="minorHAnsi"/>
                <w:b/>
                <w:bCs/>
                <w:lang w:eastAsia="en-ZA"/>
              </w:rPr>
            </w:pPr>
            <w:r>
              <w:rPr>
                <w:rFonts w:eastAsia="Times New Roman" w:cstheme="minorHAnsi"/>
                <w:b/>
                <w:bCs/>
                <w:lang w:eastAsia="en-ZA"/>
              </w:rPr>
              <w:t xml:space="preserve"> </w:t>
            </w:r>
            <w:r w:rsidR="00A1083E">
              <w:rPr>
                <w:rFonts w:eastAsia="Times New Roman" w:cstheme="minorHAnsi"/>
                <w:b/>
                <w:bCs/>
                <w:lang w:eastAsia="en-ZA"/>
              </w:rPr>
              <w:t>134</w:t>
            </w:r>
            <w:r>
              <w:rPr>
                <w:rFonts w:eastAsia="Times New Roman" w:cstheme="minorHAnsi"/>
                <w:b/>
                <w:bCs/>
                <w:lang w:eastAsia="en-ZA"/>
              </w:rPr>
              <w:t>.5</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01A361B8" w14:textId="51B63614" w:rsidR="003A71DC" w:rsidRPr="00733CD7" w:rsidRDefault="00FD59D7" w:rsidP="00733CD7">
            <w:pPr>
              <w:spacing w:after="0" w:line="240" w:lineRule="auto"/>
              <w:jc w:val="center"/>
              <w:rPr>
                <w:rFonts w:eastAsia="Times New Roman" w:cstheme="minorHAnsi"/>
                <w:b/>
                <w:bCs/>
                <w:lang w:eastAsia="en-ZA"/>
              </w:rPr>
            </w:pPr>
            <w:r>
              <w:rPr>
                <w:rFonts w:eastAsia="Times New Roman" w:cstheme="minorHAnsi"/>
                <w:b/>
                <w:bCs/>
                <w:lang w:eastAsia="en-ZA"/>
              </w:rPr>
              <w:t>5.6%</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3E87036" w14:textId="2154CD3B" w:rsidR="003A71DC" w:rsidRPr="00733CD7" w:rsidRDefault="00FD59D7" w:rsidP="00733CD7">
            <w:pPr>
              <w:spacing w:after="0" w:line="240" w:lineRule="auto"/>
              <w:jc w:val="center"/>
              <w:rPr>
                <w:rFonts w:eastAsia="Times New Roman" w:cstheme="minorHAnsi"/>
                <w:b/>
                <w:bCs/>
                <w:lang w:eastAsia="en-ZA"/>
              </w:rPr>
            </w:pPr>
            <w:r>
              <w:rPr>
                <w:rFonts w:eastAsia="Times New Roman" w:cstheme="minorHAnsi"/>
                <w:b/>
                <w:bCs/>
                <w:lang w:eastAsia="en-ZA"/>
              </w:rPr>
              <w:t>1.8%</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725B371" w14:textId="592A4C5E" w:rsidR="003A71DC" w:rsidRPr="00733CD7" w:rsidRDefault="00FD59D7" w:rsidP="00733CD7">
            <w:pPr>
              <w:spacing w:after="0" w:line="240" w:lineRule="auto"/>
              <w:jc w:val="center"/>
              <w:rPr>
                <w:rFonts w:eastAsia="Times New Roman" w:cstheme="minorHAnsi"/>
                <w:b/>
                <w:bCs/>
                <w:lang w:eastAsia="en-ZA"/>
              </w:rPr>
            </w:pPr>
            <w:r>
              <w:rPr>
                <w:rFonts w:eastAsia="Times New Roman" w:cstheme="minorHAnsi"/>
                <w:b/>
                <w:bCs/>
                <w:lang w:eastAsia="en-ZA"/>
              </w:rPr>
              <w:t>-1.3%</w:t>
            </w:r>
          </w:p>
        </w:tc>
      </w:tr>
    </w:tbl>
    <w:p w14:paraId="15A73E37" w14:textId="1E2CFCCF" w:rsidR="002A6335" w:rsidRPr="009E6F22" w:rsidRDefault="002A6335" w:rsidP="002A6335">
      <w:pPr>
        <w:rPr>
          <w:i/>
        </w:rPr>
      </w:pPr>
      <w:r w:rsidRPr="00476742">
        <w:rPr>
          <w:i/>
        </w:rPr>
        <w:t xml:space="preserve">Source: BankservAfrica and </w:t>
      </w:r>
      <w:r w:rsidR="00FD59D7">
        <w:rPr>
          <w:i/>
        </w:rPr>
        <w:t xml:space="preserve">Carpe Diem Research </w:t>
      </w:r>
    </w:p>
    <w:p w14:paraId="0BAFA71B" w14:textId="77777777" w:rsidR="002A6335" w:rsidRDefault="002A6335" w:rsidP="007E3BFC">
      <w:pPr>
        <w:spacing w:after="0" w:line="240" w:lineRule="auto"/>
        <w:rPr>
          <w:b/>
        </w:rPr>
      </w:pPr>
    </w:p>
    <w:p w14:paraId="63123F8F" w14:textId="2EB236F7" w:rsidR="00F16372" w:rsidRDefault="007E3BFC" w:rsidP="007E3BFC">
      <w:pPr>
        <w:spacing w:after="0" w:line="240" w:lineRule="auto"/>
        <w:rPr>
          <w:b/>
        </w:rPr>
      </w:pPr>
      <w:r w:rsidRPr="002E23DD">
        <w:rPr>
          <w:b/>
        </w:rPr>
        <w:t xml:space="preserve">Table 2: The </w:t>
      </w:r>
      <w:r>
        <w:rPr>
          <w:b/>
        </w:rPr>
        <w:t xml:space="preserve">volume and average value of transactions and the standardised BETI in nominal terms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504"/>
        <w:gridCol w:w="2040"/>
        <w:gridCol w:w="1901"/>
        <w:gridCol w:w="1901"/>
      </w:tblGrid>
      <w:tr w:rsidR="009E6F22" w:rsidRPr="009E6F22" w14:paraId="20A58945" w14:textId="77777777" w:rsidTr="006673C7">
        <w:trPr>
          <w:trHeight w:val="1106"/>
        </w:trPr>
        <w:tc>
          <w:tcPr>
            <w:tcW w:w="1600" w:type="dxa"/>
            <w:shd w:val="clear" w:color="auto" w:fill="auto"/>
            <w:noWrap/>
            <w:vAlign w:val="bottom"/>
            <w:hideMark/>
          </w:tcPr>
          <w:p w14:paraId="0E86756F" w14:textId="77777777" w:rsidR="009E6F22" w:rsidRPr="009E6F22" w:rsidRDefault="009E6F22" w:rsidP="009E6F22">
            <w:pPr>
              <w:spacing w:after="0" w:line="240" w:lineRule="auto"/>
              <w:rPr>
                <w:rFonts w:ascii="Times New Roman" w:eastAsia="Times New Roman" w:hAnsi="Times New Roman" w:cs="Times New Roman"/>
                <w:sz w:val="24"/>
                <w:szCs w:val="24"/>
                <w:lang w:eastAsia="en-ZA"/>
              </w:rPr>
            </w:pPr>
          </w:p>
        </w:tc>
        <w:tc>
          <w:tcPr>
            <w:tcW w:w="2504" w:type="dxa"/>
            <w:shd w:val="clear" w:color="auto" w:fill="F58220" w:themeFill="accent1"/>
            <w:vAlign w:val="bottom"/>
            <w:hideMark/>
          </w:tcPr>
          <w:p w14:paraId="779BB236" w14:textId="2B26007D"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Nominal </w:t>
            </w:r>
            <w:r>
              <w:rPr>
                <w:rFonts w:ascii="Calibri" w:eastAsia="Times New Roman" w:hAnsi="Calibri" w:cs="Calibri"/>
                <w:b/>
                <w:bCs/>
                <w:lang w:eastAsia="en-ZA"/>
              </w:rPr>
              <w:t>s</w:t>
            </w:r>
            <w:r w:rsidRPr="009E6F22">
              <w:rPr>
                <w:rFonts w:ascii="Calibri" w:eastAsia="Times New Roman" w:hAnsi="Calibri" w:cs="Calibri"/>
                <w:b/>
                <w:bCs/>
                <w:lang w:eastAsia="en-ZA"/>
              </w:rPr>
              <w:t>tandardi</w:t>
            </w:r>
            <w:r>
              <w:rPr>
                <w:rFonts w:ascii="Calibri" w:eastAsia="Times New Roman" w:hAnsi="Calibri" w:cs="Calibri"/>
                <w:b/>
                <w:bCs/>
                <w:lang w:eastAsia="en-ZA"/>
              </w:rPr>
              <w:t>s</w:t>
            </w:r>
            <w:r w:rsidRPr="009E6F22">
              <w:rPr>
                <w:rFonts w:ascii="Calibri" w:eastAsia="Times New Roman" w:hAnsi="Calibri" w:cs="Calibri"/>
                <w:b/>
                <w:bCs/>
                <w:lang w:eastAsia="en-ZA"/>
              </w:rPr>
              <w:t xml:space="preserve">ed </w:t>
            </w:r>
            <w:r>
              <w:rPr>
                <w:rFonts w:ascii="Calibri" w:eastAsia="Times New Roman" w:hAnsi="Calibri" w:cs="Calibri"/>
                <w:b/>
                <w:bCs/>
                <w:lang w:eastAsia="en-ZA"/>
              </w:rPr>
              <w:t>v</w:t>
            </w:r>
            <w:r w:rsidRPr="009E6F22">
              <w:rPr>
                <w:rFonts w:ascii="Calibri" w:eastAsia="Times New Roman" w:hAnsi="Calibri" w:cs="Calibri"/>
                <w:b/>
                <w:bCs/>
                <w:lang w:eastAsia="en-ZA"/>
              </w:rPr>
              <w:t xml:space="preserve">alue of </w:t>
            </w:r>
            <w:r>
              <w:rPr>
                <w:rFonts w:ascii="Calibri" w:eastAsia="Times New Roman" w:hAnsi="Calibri" w:cs="Calibri"/>
                <w:b/>
                <w:bCs/>
                <w:lang w:eastAsia="en-ZA"/>
              </w:rPr>
              <w:t>t</w:t>
            </w:r>
            <w:r w:rsidRPr="009E6F22">
              <w:rPr>
                <w:rFonts w:ascii="Calibri" w:eastAsia="Times New Roman" w:hAnsi="Calibri" w:cs="Calibri"/>
                <w:b/>
                <w:bCs/>
                <w:lang w:eastAsia="en-ZA"/>
              </w:rPr>
              <w:t>ransactions</w:t>
            </w:r>
          </w:p>
          <w:p w14:paraId="6BED7BFF" w14:textId="10BAD582" w:rsidR="007C1828" w:rsidRDefault="007C1828" w:rsidP="009E6F22">
            <w:pPr>
              <w:spacing w:after="0" w:line="240" w:lineRule="auto"/>
              <w:jc w:val="center"/>
              <w:rPr>
                <w:rFonts w:ascii="Calibri" w:eastAsia="Times New Roman" w:hAnsi="Calibri" w:cs="Calibri"/>
                <w:b/>
                <w:bCs/>
                <w:lang w:eastAsia="en-ZA"/>
              </w:rPr>
            </w:pPr>
          </w:p>
          <w:p w14:paraId="6A9D970B" w14:textId="77777777" w:rsidR="007C1828" w:rsidRDefault="007C1828" w:rsidP="009E6F22">
            <w:pPr>
              <w:spacing w:after="0" w:line="240" w:lineRule="auto"/>
              <w:jc w:val="center"/>
              <w:rPr>
                <w:rFonts w:ascii="Calibri" w:eastAsia="Times New Roman" w:hAnsi="Calibri" w:cs="Calibri"/>
                <w:b/>
                <w:bCs/>
                <w:lang w:eastAsia="en-ZA"/>
              </w:rPr>
            </w:pPr>
          </w:p>
          <w:p w14:paraId="5753E3D6" w14:textId="2B10CB1D" w:rsidR="009E6F22" w:rsidRPr="009E6F22" w:rsidRDefault="009E6F22" w:rsidP="009E6F22">
            <w:pPr>
              <w:spacing w:after="0" w:line="240" w:lineRule="auto"/>
              <w:jc w:val="center"/>
              <w:rPr>
                <w:rFonts w:ascii="Calibri" w:eastAsia="Times New Roman" w:hAnsi="Calibri" w:cs="Calibri"/>
                <w:b/>
                <w:bCs/>
                <w:lang w:eastAsia="en-ZA"/>
              </w:rPr>
            </w:pPr>
          </w:p>
        </w:tc>
        <w:tc>
          <w:tcPr>
            <w:tcW w:w="2040" w:type="dxa"/>
            <w:shd w:val="clear" w:color="auto" w:fill="BFD730"/>
            <w:vAlign w:val="bottom"/>
            <w:hideMark/>
          </w:tcPr>
          <w:p w14:paraId="644057BC" w14:textId="3AB87164"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Number of </w:t>
            </w:r>
            <w:r>
              <w:rPr>
                <w:rFonts w:ascii="Calibri" w:eastAsia="Times New Roman" w:hAnsi="Calibri" w:cs="Calibri"/>
                <w:b/>
                <w:bCs/>
                <w:lang w:eastAsia="en-ZA"/>
              </w:rPr>
              <w:t>t</w:t>
            </w:r>
            <w:r w:rsidRPr="009E6F22">
              <w:rPr>
                <w:rFonts w:ascii="Calibri" w:eastAsia="Times New Roman" w:hAnsi="Calibri" w:cs="Calibri"/>
                <w:b/>
                <w:bCs/>
                <w:lang w:eastAsia="en-ZA"/>
              </w:rPr>
              <w:t>ransactions</w:t>
            </w:r>
          </w:p>
          <w:p w14:paraId="50E2CE7C" w14:textId="28185DFD" w:rsidR="007C1828" w:rsidRDefault="007C1828" w:rsidP="009E6F22">
            <w:pPr>
              <w:spacing w:after="0" w:line="240" w:lineRule="auto"/>
              <w:jc w:val="center"/>
              <w:rPr>
                <w:rFonts w:ascii="Calibri" w:eastAsia="Times New Roman" w:hAnsi="Calibri" w:cs="Calibri"/>
                <w:b/>
                <w:bCs/>
                <w:lang w:eastAsia="en-ZA"/>
              </w:rPr>
            </w:pPr>
          </w:p>
          <w:p w14:paraId="49DA7ED0" w14:textId="77777777" w:rsidR="007C1828" w:rsidRDefault="007C1828" w:rsidP="009E6F22">
            <w:pPr>
              <w:spacing w:after="0" w:line="240" w:lineRule="auto"/>
              <w:jc w:val="center"/>
              <w:rPr>
                <w:rFonts w:ascii="Calibri" w:eastAsia="Times New Roman" w:hAnsi="Calibri" w:cs="Calibri"/>
                <w:b/>
                <w:bCs/>
                <w:lang w:eastAsia="en-ZA"/>
              </w:rPr>
            </w:pPr>
          </w:p>
          <w:p w14:paraId="485871A4" w14:textId="1372AB1B" w:rsidR="009E6F22" w:rsidRPr="009E6F22" w:rsidRDefault="009E6F22" w:rsidP="009E6F22">
            <w:pPr>
              <w:spacing w:after="0" w:line="240" w:lineRule="auto"/>
              <w:jc w:val="center"/>
              <w:rPr>
                <w:rFonts w:ascii="Calibri" w:eastAsia="Times New Roman" w:hAnsi="Calibri" w:cs="Calibri"/>
                <w:b/>
                <w:bCs/>
                <w:lang w:eastAsia="en-ZA"/>
              </w:rPr>
            </w:pPr>
          </w:p>
        </w:tc>
        <w:tc>
          <w:tcPr>
            <w:tcW w:w="1901" w:type="dxa"/>
            <w:shd w:val="clear" w:color="auto" w:fill="BFD730"/>
            <w:vAlign w:val="bottom"/>
            <w:hideMark/>
          </w:tcPr>
          <w:p w14:paraId="6FCC6440" w14:textId="5E3FCB7A"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Average </w:t>
            </w:r>
            <w:r>
              <w:rPr>
                <w:rFonts w:ascii="Calibri" w:eastAsia="Times New Roman" w:hAnsi="Calibri" w:cs="Calibri"/>
                <w:b/>
                <w:bCs/>
                <w:lang w:eastAsia="en-ZA"/>
              </w:rPr>
              <w:t>t</w:t>
            </w:r>
            <w:r w:rsidRPr="009E6F22">
              <w:rPr>
                <w:rFonts w:ascii="Calibri" w:eastAsia="Times New Roman" w:hAnsi="Calibri" w:cs="Calibri"/>
                <w:b/>
                <w:bCs/>
                <w:lang w:eastAsia="en-ZA"/>
              </w:rPr>
              <w:t xml:space="preserve">ransaction </w:t>
            </w:r>
            <w:r>
              <w:rPr>
                <w:rFonts w:ascii="Calibri" w:eastAsia="Times New Roman" w:hAnsi="Calibri" w:cs="Calibri"/>
                <w:b/>
                <w:bCs/>
                <w:lang w:eastAsia="en-ZA"/>
              </w:rPr>
              <w:t>v</w:t>
            </w:r>
            <w:r w:rsidRPr="009E6F22">
              <w:rPr>
                <w:rFonts w:ascii="Calibri" w:eastAsia="Times New Roman" w:hAnsi="Calibri" w:cs="Calibri"/>
                <w:b/>
                <w:bCs/>
                <w:lang w:eastAsia="en-ZA"/>
              </w:rPr>
              <w:t>alue</w:t>
            </w:r>
          </w:p>
          <w:p w14:paraId="506DDFF6" w14:textId="2235B5A3" w:rsidR="007C1828" w:rsidRDefault="007C1828" w:rsidP="009E6F22">
            <w:pPr>
              <w:spacing w:after="0" w:line="240" w:lineRule="auto"/>
              <w:jc w:val="center"/>
              <w:rPr>
                <w:rFonts w:ascii="Calibri" w:eastAsia="Times New Roman" w:hAnsi="Calibri" w:cs="Calibri"/>
                <w:b/>
                <w:bCs/>
                <w:lang w:eastAsia="en-ZA"/>
              </w:rPr>
            </w:pPr>
          </w:p>
          <w:p w14:paraId="0185FCD2" w14:textId="77777777" w:rsidR="007C1828" w:rsidRDefault="007C1828" w:rsidP="009E6F22">
            <w:pPr>
              <w:spacing w:after="0" w:line="240" w:lineRule="auto"/>
              <w:jc w:val="center"/>
              <w:rPr>
                <w:rFonts w:ascii="Calibri" w:eastAsia="Times New Roman" w:hAnsi="Calibri" w:cs="Calibri"/>
                <w:b/>
                <w:bCs/>
                <w:lang w:eastAsia="en-ZA"/>
              </w:rPr>
            </w:pPr>
          </w:p>
          <w:p w14:paraId="040C85CF" w14:textId="0F2ED56D" w:rsidR="009E6F22" w:rsidRPr="009E6F22" w:rsidRDefault="009E6F22" w:rsidP="009E6F22">
            <w:pPr>
              <w:spacing w:after="0" w:line="240" w:lineRule="auto"/>
              <w:jc w:val="center"/>
              <w:rPr>
                <w:rFonts w:ascii="Calibri" w:eastAsia="Times New Roman" w:hAnsi="Calibri" w:cs="Calibri"/>
                <w:b/>
                <w:bCs/>
                <w:lang w:eastAsia="en-ZA"/>
              </w:rPr>
            </w:pPr>
          </w:p>
        </w:tc>
        <w:tc>
          <w:tcPr>
            <w:tcW w:w="1901" w:type="dxa"/>
            <w:shd w:val="clear" w:color="auto" w:fill="BFD730"/>
            <w:vAlign w:val="bottom"/>
            <w:hideMark/>
          </w:tcPr>
          <w:p w14:paraId="27332A45" w14:textId="77777777" w:rsidR="009E6F22" w:rsidRDefault="009E6F22" w:rsidP="00852EFF">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Change in </w:t>
            </w:r>
            <w:r>
              <w:rPr>
                <w:rFonts w:ascii="Calibri" w:eastAsia="Times New Roman" w:hAnsi="Calibri" w:cs="Calibri"/>
                <w:b/>
                <w:bCs/>
                <w:lang w:eastAsia="en-ZA"/>
              </w:rPr>
              <w:t>t</w:t>
            </w:r>
            <w:r w:rsidRPr="009E6F22">
              <w:rPr>
                <w:rFonts w:ascii="Calibri" w:eastAsia="Times New Roman" w:hAnsi="Calibri" w:cs="Calibri"/>
                <w:b/>
                <w:bCs/>
                <w:lang w:eastAsia="en-ZA"/>
              </w:rPr>
              <w:t xml:space="preserve">ransaction </w:t>
            </w:r>
            <w:r>
              <w:rPr>
                <w:rFonts w:ascii="Calibri" w:eastAsia="Times New Roman" w:hAnsi="Calibri" w:cs="Calibri"/>
                <w:b/>
                <w:bCs/>
                <w:lang w:eastAsia="en-ZA"/>
              </w:rPr>
              <w:t>v</w:t>
            </w:r>
            <w:r w:rsidRPr="009E6F22">
              <w:rPr>
                <w:rFonts w:ascii="Calibri" w:eastAsia="Times New Roman" w:hAnsi="Calibri" w:cs="Calibri"/>
                <w:b/>
                <w:bCs/>
                <w:lang w:eastAsia="en-ZA"/>
              </w:rPr>
              <w:t>olume</w:t>
            </w:r>
          </w:p>
          <w:p w14:paraId="6F7618E2" w14:textId="0C40A629" w:rsidR="007C1828" w:rsidRPr="009E6F22" w:rsidRDefault="007C1828" w:rsidP="00852EFF">
            <w:pPr>
              <w:spacing w:after="0" w:line="240" w:lineRule="auto"/>
              <w:jc w:val="center"/>
              <w:rPr>
                <w:rFonts w:ascii="Calibri" w:eastAsia="Times New Roman" w:hAnsi="Calibri" w:cs="Calibri"/>
                <w:b/>
                <w:bCs/>
                <w:lang w:eastAsia="en-ZA"/>
              </w:rPr>
            </w:pPr>
          </w:p>
        </w:tc>
      </w:tr>
      <w:tr w:rsidR="00DB374F" w:rsidRPr="009E6F22" w14:paraId="333627C9" w14:textId="77777777" w:rsidTr="006E58B9">
        <w:trPr>
          <w:trHeight w:val="289"/>
        </w:trPr>
        <w:tc>
          <w:tcPr>
            <w:tcW w:w="1600" w:type="dxa"/>
            <w:shd w:val="clear" w:color="auto" w:fill="auto"/>
            <w:vAlign w:val="bottom"/>
            <w:hideMark/>
          </w:tcPr>
          <w:p w14:paraId="098FD697"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Jan-21</w:t>
            </w:r>
          </w:p>
        </w:tc>
        <w:tc>
          <w:tcPr>
            <w:tcW w:w="2504" w:type="dxa"/>
            <w:shd w:val="clear" w:color="auto" w:fill="F58220" w:themeFill="accent1"/>
            <w:noWrap/>
          </w:tcPr>
          <w:p w14:paraId="6E280D02" w14:textId="0796B042"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830 431 229 519 </w:t>
            </w:r>
          </w:p>
        </w:tc>
        <w:tc>
          <w:tcPr>
            <w:tcW w:w="2040" w:type="dxa"/>
            <w:shd w:val="clear" w:color="auto" w:fill="BFD730"/>
            <w:noWrap/>
          </w:tcPr>
          <w:p w14:paraId="118801BC" w14:textId="51C3C166"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99 046 275 </w:t>
            </w:r>
          </w:p>
        </w:tc>
        <w:tc>
          <w:tcPr>
            <w:tcW w:w="1901" w:type="dxa"/>
            <w:shd w:val="clear" w:color="auto" w:fill="BFD730"/>
            <w:noWrap/>
          </w:tcPr>
          <w:p w14:paraId="29B75474" w14:textId="596C3CCF"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8084</w:t>
            </w:r>
          </w:p>
        </w:tc>
        <w:tc>
          <w:tcPr>
            <w:tcW w:w="1901" w:type="dxa"/>
            <w:shd w:val="clear" w:color="auto" w:fill="BFD730"/>
            <w:noWrap/>
          </w:tcPr>
          <w:p w14:paraId="792FA0BB" w14:textId="62115144"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0.5%</w:t>
            </w:r>
          </w:p>
        </w:tc>
      </w:tr>
      <w:tr w:rsidR="00DB374F" w:rsidRPr="009E6F22" w14:paraId="3B7CB7C9" w14:textId="77777777" w:rsidTr="006E58B9">
        <w:trPr>
          <w:trHeight w:val="289"/>
        </w:trPr>
        <w:tc>
          <w:tcPr>
            <w:tcW w:w="1600" w:type="dxa"/>
            <w:shd w:val="clear" w:color="auto" w:fill="auto"/>
            <w:vAlign w:val="bottom"/>
            <w:hideMark/>
          </w:tcPr>
          <w:p w14:paraId="3FA11B9E"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Feb-21</w:t>
            </w:r>
          </w:p>
        </w:tc>
        <w:tc>
          <w:tcPr>
            <w:tcW w:w="2504" w:type="dxa"/>
            <w:shd w:val="clear" w:color="auto" w:fill="F58220" w:themeFill="accent1"/>
            <w:noWrap/>
          </w:tcPr>
          <w:p w14:paraId="22AD4ED2" w14:textId="16929376"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985 568 635 898 </w:t>
            </w:r>
          </w:p>
        </w:tc>
        <w:tc>
          <w:tcPr>
            <w:tcW w:w="2040" w:type="dxa"/>
            <w:shd w:val="clear" w:color="auto" w:fill="BFD730"/>
            <w:noWrap/>
          </w:tcPr>
          <w:p w14:paraId="6DB5A0A2" w14:textId="17C15ED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105 369 295 </w:t>
            </w:r>
          </w:p>
        </w:tc>
        <w:tc>
          <w:tcPr>
            <w:tcW w:w="1901" w:type="dxa"/>
            <w:shd w:val="clear" w:color="auto" w:fill="BFD730"/>
            <w:noWrap/>
          </w:tcPr>
          <w:p w14:paraId="6BE05897" w14:textId="07C168C6"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8671</w:t>
            </w:r>
          </w:p>
        </w:tc>
        <w:tc>
          <w:tcPr>
            <w:tcW w:w="1901" w:type="dxa"/>
            <w:shd w:val="clear" w:color="auto" w:fill="BFD730"/>
            <w:noWrap/>
          </w:tcPr>
          <w:p w14:paraId="18B38EDF" w14:textId="3E4E7AA8"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3.6%</w:t>
            </w:r>
          </w:p>
        </w:tc>
      </w:tr>
      <w:tr w:rsidR="00DB374F" w:rsidRPr="009E6F22" w14:paraId="56283F3F" w14:textId="77777777" w:rsidTr="006E58B9">
        <w:trPr>
          <w:trHeight w:val="289"/>
        </w:trPr>
        <w:tc>
          <w:tcPr>
            <w:tcW w:w="1600" w:type="dxa"/>
            <w:shd w:val="clear" w:color="auto" w:fill="auto"/>
            <w:vAlign w:val="bottom"/>
            <w:hideMark/>
          </w:tcPr>
          <w:p w14:paraId="3AA36B64"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Mar-21</w:t>
            </w:r>
          </w:p>
        </w:tc>
        <w:tc>
          <w:tcPr>
            <w:tcW w:w="2504" w:type="dxa"/>
            <w:shd w:val="clear" w:color="auto" w:fill="F58220" w:themeFill="accent1"/>
            <w:noWrap/>
          </w:tcPr>
          <w:p w14:paraId="2A5BBF36" w14:textId="7FD9E5F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1 016 197 489 145 </w:t>
            </w:r>
          </w:p>
        </w:tc>
        <w:tc>
          <w:tcPr>
            <w:tcW w:w="2040" w:type="dxa"/>
            <w:shd w:val="clear" w:color="auto" w:fill="BFD730"/>
            <w:noWrap/>
          </w:tcPr>
          <w:p w14:paraId="1CC332F7" w14:textId="5A39E725"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121 094 342 </w:t>
            </w:r>
          </w:p>
        </w:tc>
        <w:tc>
          <w:tcPr>
            <w:tcW w:w="1901" w:type="dxa"/>
            <w:shd w:val="clear" w:color="auto" w:fill="BFD730"/>
            <w:noWrap/>
          </w:tcPr>
          <w:p w14:paraId="0786F7FD" w14:textId="1DC834AE"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8603</w:t>
            </w:r>
          </w:p>
        </w:tc>
        <w:tc>
          <w:tcPr>
            <w:tcW w:w="1901" w:type="dxa"/>
            <w:shd w:val="clear" w:color="auto" w:fill="BFD730"/>
            <w:noWrap/>
          </w:tcPr>
          <w:p w14:paraId="5FE4589C" w14:textId="3A97012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17.2%</w:t>
            </w:r>
          </w:p>
        </w:tc>
      </w:tr>
      <w:tr w:rsidR="00DB374F" w:rsidRPr="009E6F22" w14:paraId="1CA1014C" w14:textId="77777777" w:rsidTr="006E58B9">
        <w:trPr>
          <w:trHeight w:val="289"/>
        </w:trPr>
        <w:tc>
          <w:tcPr>
            <w:tcW w:w="1600" w:type="dxa"/>
            <w:shd w:val="clear" w:color="auto" w:fill="auto"/>
            <w:vAlign w:val="bottom"/>
            <w:hideMark/>
          </w:tcPr>
          <w:p w14:paraId="610F4746"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Apr-21</w:t>
            </w:r>
          </w:p>
        </w:tc>
        <w:tc>
          <w:tcPr>
            <w:tcW w:w="2504" w:type="dxa"/>
            <w:shd w:val="clear" w:color="auto" w:fill="F58220" w:themeFill="accent1"/>
            <w:noWrap/>
          </w:tcPr>
          <w:p w14:paraId="222E3E25" w14:textId="0FD9401F"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1 034 989 208 808 </w:t>
            </w:r>
          </w:p>
        </w:tc>
        <w:tc>
          <w:tcPr>
            <w:tcW w:w="2040" w:type="dxa"/>
            <w:shd w:val="clear" w:color="auto" w:fill="BFD730"/>
            <w:noWrap/>
          </w:tcPr>
          <w:p w14:paraId="6312D2A1" w14:textId="18622775"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114 992 885 </w:t>
            </w:r>
          </w:p>
        </w:tc>
        <w:tc>
          <w:tcPr>
            <w:tcW w:w="1901" w:type="dxa"/>
            <w:shd w:val="clear" w:color="auto" w:fill="BFD730"/>
            <w:noWrap/>
          </w:tcPr>
          <w:p w14:paraId="64274560" w14:textId="2818EDDB"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8301</w:t>
            </w:r>
          </w:p>
        </w:tc>
        <w:tc>
          <w:tcPr>
            <w:tcW w:w="1901" w:type="dxa"/>
            <w:shd w:val="clear" w:color="auto" w:fill="BFD730"/>
            <w:noWrap/>
          </w:tcPr>
          <w:p w14:paraId="519D5A60" w14:textId="74E8AE05"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27.7%</w:t>
            </w:r>
          </w:p>
        </w:tc>
      </w:tr>
      <w:tr w:rsidR="00DB374F" w:rsidRPr="009E6F22" w14:paraId="4EAC2E6C" w14:textId="77777777" w:rsidTr="006E58B9">
        <w:trPr>
          <w:trHeight w:val="289"/>
        </w:trPr>
        <w:tc>
          <w:tcPr>
            <w:tcW w:w="1600" w:type="dxa"/>
            <w:shd w:val="clear" w:color="auto" w:fill="auto"/>
            <w:vAlign w:val="bottom"/>
            <w:hideMark/>
          </w:tcPr>
          <w:p w14:paraId="67BB9414"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May-21</w:t>
            </w:r>
          </w:p>
        </w:tc>
        <w:tc>
          <w:tcPr>
            <w:tcW w:w="2504" w:type="dxa"/>
            <w:shd w:val="clear" w:color="auto" w:fill="F58220" w:themeFill="accent1"/>
            <w:noWrap/>
          </w:tcPr>
          <w:p w14:paraId="222CAA72" w14:textId="5E9BF09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999 971 999 135 </w:t>
            </w:r>
          </w:p>
        </w:tc>
        <w:tc>
          <w:tcPr>
            <w:tcW w:w="2040" w:type="dxa"/>
            <w:shd w:val="clear" w:color="auto" w:fill="BFD730"/>
            <w:noWrap/>
          </w:tcPr>
          <w:p w14:paraId="26938F76" w14:textId="3F70D9F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114 860 839 </w:t>
            </w:r>
          </w:p>
        </w:tc>
        <w:tc>
          <w:tcPr>
            <w:tcW w:w="1901" w:type="dxa"/>
            <w:shd w:val="clear" w:color="auto" w:fill="BFD730"/>
            <w:noWrap/>
          </w:tcPr>
          <w:p w14:paraId="05F3769D" w14:textId="6C0823C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8652</w:t>
            </w:r>
          </w:p>
        </w:tc>
        <w:tc>
          <w:tcPr>
            <w:tcW w:w="1901" w:type="dxa"/>
            <w:shd w:val="clear" w:color="auto" w:fill="BFD730"/>
            <w:noWrap/>
          </w:tcPr>
          <w:p w14:paraId="681A2938" w14:textId="198F3FBD"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24.4%</w:t>
            </w:r>
          </w:p>
        </w:tc>
      </w:tr>
      <w:tr w:rsidR="00DB374F" w:rsidRPr="009E6F22" w14:paraId="6D5BF2A7" w14:textId="77777777" w:rsidTr="006E58B9">
        <w:trPr>
          <w:trHeight w:val="289"/>
        </w:trPr>
        <w:tc>
          <w:tcPr>
            <w:tcW w:w="1600" w:type="dxa"/>
            <w:shd w:val="clear" w:color="auto" w:fill="auto"/>
            <w:vAlign w:val="bottom"/>
            <w:hideMark/>
          </w:tcPr>
          <w:p w14:paraId="3E7DC059"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Jun-21</w:t>
            </w:r>
          </w:p>
        </w:tc>
        <w:tc>
          <w:tcPr>
            <w:tcW w:w="2504" w:type="dxa"/>
            <w:shd w:val="clear" w:color="auto" w:fill="F58220" w:themeFill="accent1"/>
            <w:noWrap/>
          </w:tcPr>
          <w:p w14:paraId="7948EB5F" w14:textId="6573C2E4"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1 000 598 759 677 </w:t>
            </w:r>
          </w:p>
        </w:tc>
        <w:tc>
          <w:tcPr>
            <w:tcW w:w="2040" w:type="dxa"/>
            <w:shd w:val="clear" w:color="auto" w:fill="BFD730"/>
            <w:noWrap/>
          </w:tcPr>
          <w:p w14:paraId="7D7AA1EE" w14:textId="558AEE4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115 994 019 </w:t>
            </w:r>
          </w:p>
        </w:tc>
        <w:tc>
          <w:tcPr>
            <w:tcW w:w="1901" w:type="dxa"/>
            <w:shd w:val="clear" w:color="auto" w:fill="BFD730"/>
            <w:noWrap/>
          </w:tcPr>
          <w:p w14:paraId="64A32291" w14:textId="3FEEDE0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8464</w:t>
            </w:r>
          </w:p>
        </w:tc>
        <w:tc>
          <w:tcPr>
            <w:tcW w:w="1901" w:type="dxa"/>
            <w:shd w:val="clear" w:color="auto" w:fill="BFD730"/>
            <w:noWrap/>
          </w:tcPr>
          <w:p w14:paraId="6171FF4C" w14:textId="2EB2B248"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16.3%</w:t>
            </w:r>
          </w:p>
        </w:tc>
      </w:tr>
      <w:tr w:rsidR="00DB374F" w:rsidRPr="009E6F22" w14:paraId="1E87F095" w14:textId="77777777" w:rsidTr="006E58B9">
        <w:trPr>
          <w:trHeight w:val="289"/>
        </w:trPr>
        <w:tc>
          <w:tcPr>
            <w:tcW w:w="1600" w:type="dxa"/>
            <w:shd w:val="clear" w:color="auto" w:fill="auto"/>
            <w:vAlign w:val="bottom"/>
            <w:hideMark/>
          </w:tcPr>
          <w:p w14:paraId="7B78EE05"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Jul-21</w:t>
            </w:r>
          </w:p>
        </w:tc>
        <w:tc>
          <w:tcPr>
            <w:tcW w:w="2504" w:type="dxa"/>
            <w:shd w:val="clear" w:color="auto" w:fill="F58220" w:themeFill="accent1"/>
            <w:noWrap/>
          </w:tcPr>
          <w:p w14:paraId="695031AC" w14:textId="59E12AC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971 405 321 598 </w:t>
            </w:r>
          </w:p>
        </w:tc>
        <w:tc>
          <w:tcPr>
            <w:tcW w:w="2040" w:type="dxa"/>
            <w:shd w:val="clear" w:color="auto" w:fill="BFD730"/>
            <w:noWrap/>
          </w:tcPr>
          <w:p w14:paraId="448E7710" w14:textId="49AE1AC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122 534 840 </w:t>
            </w:r>
          </w:p>
        </w:tc>
        <w:tc>
          <w:tcPr>
            <w:tcW w:w="1901" w:type="dxa"/>
            <w:shd w:val="clear" w:color="auto" w:fill="BFD730"/>
            <w:noWrap/>
          </w:tcPr>
          <w:p w14:paraId="287A8A03" w14:textId="19EA59E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8083</w:t>
            </w:r>
          </w:p>
        </w:tc>
        <w:tc>
          <w:tcPr>
            <w:tcW w:w="1901" w:type="dxa"/>
            <w:shd w:val="clear" w:color="auto" w:fill="BFD730"/>
            <w:noWrap/>
          </w:tcPr>
          <w:p w14:paraId="000D6FD5" w14:textId="5415F4F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14.3%</w:t>
            </w:r>
          </w:p>
        </w:tc>
      </w:tr>
      <w:tr w:rsidR="00DB374F" w:rsidRPr="009E6F22" w14:paraId="505AF12A" w14:textId="77777777" w:rsidTr="006E58B9">
        <w:trPr>
          <w:trHeight w:val="289"/>
        </w:trPr>
        <w:tc>
          <w:tcPr>
            <w:tcW w:w="1600" w:type="dxa"/>
            <w:shd w:val="clear" w:color="auto" w:fill="auto"/>
            <w:vAlign w:val="bottom"/>
            <w:hideMark/>
          </w:tcPr>
          <w:p w14:paraId="6025526E"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Aug-21</w:t>
            </w:r>
          </w:p>
        </w:tc>
        <w:tc>
          <w:tcPr>
            <w:tcW w:w="2504" w:type="dxa"/>
            <w:shd w:val="clear" w:color="auto" w:fill="F58220" w:themeFill="accent1"/>
            <w:noWrap/>
          </w:tcPr>
          <w:p w14:paraId="12D82652" w14:textId="00D1837D"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1 079 970 334 333 </w:t>
            </w:r>
          </w:p>
        </w:tc>
        <w:tc>
          <w:tcPr>
            <w:tcW w:w="2040" w:type="dxa"/>
            <w:shd w:val="clear" w:color="auto" w:fill="BFD730"/>
            <w:noWrap/>
          </w:tcPr>
          <w:p w14:paraId="0942E1E6" w14:textId="2C75A60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139 115 440 </w:t>
            </w:r>
          </w:p>
        </w:tc>
        <w:tc>
          <w:tcPr>
            <w:tcW w:w="1901" w:type="dxa"/>
            <w:shd w:val="clear" w:color="auto" w:fill="BFD730"/>
            <w:noWrap/>
          </w:tcPr>
          <w:p w14:paraId="65E0DA51" w14:textId="39BFF5B8"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7738</w:t>
            </w:r>
          </w:p>
        </w:tc>
        <w:tc>
          <w:tcPr>
            <w:tcW w:w="1901" w:type="dxa"/>
            <w:shd w:val="clear" w:color="auto" w:fill="BFD730"/>
            <w:noWrap/>
          </w:tcPr>
          <w:p w14:paraId="7E24443E" w14:textId="526B5046"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34.3%</w:t>
            </w:r>
          </w:p>
        </w:tc>
      </w:tr>
      <w:tr w:rsidR="00DB374F" w:rsidRPr="009E6F22" w14:paraId="0D6FB245" w14:textId="77777777" w:rsidTr="006E58B9">
        <w:trPr>
          <w:trHeight w:val="289"/>
        </w:trPr>
        <w:tc>
          <w:tcPr>
            <w:tcW w:w="1600" w:type="dxa"/>
            <w:shd w:val="clear" w:color="auto" w:fill="auto"/>
            <w:vAlign w:val="bottom"/>
            <w:hideMark/>
          </w:tcPr>
          <w:p w14:paraId="4BE2AECD"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Sep-21</w:t>
            </w:r>
          </w:p>
        </w:tc>
        <w:tc>
          <w:tcPr>
            <w:tcW w:w="2504" w:type="dxa"/>
            <w:shd w:val="clear" w:color="auto" w:fill="F58220" w:themeFill="accent1"/>
            <w:noWrap/>
          </w:tcPr>
          <w:p w14:paraId="5258C072" w14:textId="09ADF52A"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1 016 856 555 771 </w:t>
            </w:r>
          </w:p>
        </w:tc>
        <w:tc>
          <w:tcPr>
            <w:tcW w:w="2040" w:type="dxa"/>
            <w:shd w:val="clear" w:color="auto" w:fill="BFD730"/>
            <w:noWrap/>
          </w:tcPr>
          <w:p w14:paraId="31DBA451" w14:textId="1636959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122 463 947 </w:t>
            </w:r>
          </w:p>
        </w:tc>
        <w:tc>
          <w:tcPr>
            <w:tcW w:w="1901" w:type="dxa"/>
            <w:shd w:val="clear" w:color="auto" w:fill="BFD730"/>
            <w:noWrap/>
          </w:tcPr>
          <w:p w14:paraId="523B752A" w14:textId="205C6BD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8379</w:t>
            </w:r>
          </w:p>
        </w:tc>
        <w:tc>
          <w:tcPr>
            <w:tcW w:w="1901" w:type="dxa"/>
            <w:shd w:val="clear" w:color="auto" w:fill="BFD730"/>
            <w:noWrap/>
          </w:tcPr>
          <w:p w14:paraId="4E0ABFDF" w14:textId="3C98663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16.0%</w:t>
            </w:r>
          </w:p>
        </w:tc>
      </w:tr>
      <w:tr w:rsidR="00DB374F" w:rsidRPr="009E6F22" w14:paraId="74A1E214" w14:textId="77777777" w:rsidTr="006E58B9">
        <w:trPr>
          <w:trHeight w:val="289"/>
        </w:trPr>
        <w:tc>
          <w:tcPr>
            <w:tcW w:w="1600" w:type="dxa"/>
            <w:shd w:val="clear" w:color="auto" w:fill="auto"/>
            <w:vAlign w:val="bottom"/>
            <w:hideMark/>
          </w:tcPr>
          <w:p w14:paraId="1116B5E5"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Oct-21</w:t>
            </w:r>
          </w:p>
        </w:tc>
        <w:tc>
          <w:tcPr>
            <w:tcW w:w="2504" w:type="dxa"/>
            <w:shd w:val="clear" w:color="auto" w:fill="F58220" w:themeFill="accent1"/>
            <w:noWrap/>
          </w:tcPr>
          <w:p w14:paraId="2F4CC7D7" w14:textId="516A22DF"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1 036 674 654 205 </w:t>
            </w:r>
          </w:p>
        </w:tc>
        <w:tc>
          <w:tcPr>
            <w:tcW w:w="2040" w:type="dxa"/>
            <w:shd w:val="clear" w:color="auto" w:fill="BFD730"/>
            <w:noWrap/>
          </w:tcPr>
          <w:p w14:paraId="2F9B5F0B" w14:textId="024E772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126 082 582 </w:t>
            </w:r>
          </w:p>
        </w:tc>
        <w:tc>
          <w:tcPr>
            <w:tcW w:w="1901" w:type="dxa"/>
            <w:shd w:val="clear" w:color="auto" w:fill="BFD730"/>
            <w:noWrap/>
          </w:tcPr>
          <w:p w14:paraId="7699FDF6" w14:textId="41A28A65"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8171</w:t>
            </w:r>
          </w:p>
        </w:tc>
        <w:tc>
          <w:tcPr>
            <w:tcW w:w="1901" w:type="dxa"/>
            <w:shd w:val="clear" w:color="auto" w:fill="BFD730"/>
            <w:noWrap/>
          </w:tcPr>
          <w:p w14:paraId="0CB0C5D3" w14:textId="1B61EB8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11.1%</w:t>
            </w:r>
          </w:p>
        </w:tc>
      </w:tr>
      <w:tr w:rsidR="00DB374F" w:rsidRPr="009E6F22" w14:paraId="4564353F" w14:textId="77777777" w:rsidTr="006E58B9">
        <w:trPr>
          <w:trHeight w:val="289"/>
        </w:trPr>
        <w:tc>
          <w:tcPr>
            <w:tcW w:w="1600" w:type="dxa"/>
            <w:shd w:val="clear" w:color="auto" w:fill="auto"/>
            <w:vAlign w:val="bottom"/>
            <w:hideMark/>
          </w:tcPr>
          <w:p w14:paraId="016AFC7A"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Nov-21</w:t>
            </w:r>
          </w:p>
        </w:tc>
        <w:tc>
          <w:tcPr>
            <w:tcW w:w="2504" w:type="dxa"/>
            <w:shd w:val="clear" w:color="auto" w:fill="F58220" w:themeFill="accent1"/>
            <w:noWrap/>
          </w:tcPr>
          <w:p w14:paraId="00647452" w14:textId="54A0F98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1 129 846 454 138 </w:t>
            </w:r>
          </w:p>
        </w:tc>
        <w:tc>
          <w:tcPr>
            <w:tcW w:w="2040" w:type="dxa"/>
            <w:shd w:val="clear" w:color="auto" w:fill="BFD730"/>
            <w:noWrap/>
          </w:tcPr>
          <w:p w14:paraId="28CF1069" w14:textId="0D198A1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127 206 375 </w:t>
            </w:r>
          </w:p>
        </w:tc>
        <w:tc>
          <w:tcPr>
            <w:tcW w:w="1901" w:type="dxa"/>
            <w:shd w:val="clear" w:color="auto" w:fill="BFD730"/>
            <w:noWrap/>
          </w:tcPr>
          <w:p w14:paraId="2AB547F9" w14:textId="7140937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8715</w:t>
            </w:r>
          </w:p>
        </w:tc>
        <w:tc>
          <w:tcPr>
            <w:tcW w:w="1901" w:type="dxa"/>
            <w:shd w:val="clear" w:color="auto" w:fill="BFD730"/>
            <w:noWrap/>
          </w:tcPr>
          <w:p w14:paraId="0796F5E6" w14:textId="6A60DAFF"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20.6%</w:t>
            </w:r>
          </w:p>
        </w:tc>
      </w:tr>
      <w:tr w:rsidR="00DB374F" w:rsidRPr="009E6F22" w14:paraId="39822807" w14:textId="77777777" w:rsidTr="006E58B9">
        <w:trPr>
          <w:trHeight w:val="289"/>
        </w:trPr>
        <w:tc>
          <w:tcPr>
            <w:tcW w:w="1600" w:type="dxa"/>
            <w:shd w:val="clear" w:color="auto" w:fill="auto"/>
            <w:vAlign w:val="bottom"/>
            <w:hideMark/>
          </w:tcPr>
          <w:p w14:paraId="305B90AC"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Dec-21</w:t>
            </w:r>
          </w:p>
        </w:tc>
        <w:tc>
          <w:tcPr>
            <w:tcW w:w="2504" w:type="dxa"/>
            <w:shd w:val="clear" w:color="auto" w:fill="F58220" w:themeFill="accent1"/>
            <w:noWrap/>
          </w:tcPr>
          <w:p w14:paraId="43C9E7B5" w14:textId="43FF6F52"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1 147 364 076 089 </w:t>
            </w:r>
          </w:p>
        </w:tc>
        <w:tc>
          <w:tcPr>
            <w:tcW w:w="2040" w:type="dxa"/>
            <w:shd w:val="clear" w:color="auto" w:fill="BFD730"/>
            <w:noWrap/>
          </w:tcPr>
          <w:p w14:paraId="33CAE0B3" w14:textId="77AC33A6"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128 960 377 </w:t>
            </w:r>
          </w:p>
        </w:tc>
        <w:tc>
          <w:tcPr>
            <w:tcW w:w="1901" w:type="dxa"/>
            <w:shd w:val="clear" w:color="auto" w:fill="BFD730"/>
            <w:noWrap/>
          </w:tcPr>
          <w:p w14:paraId="091AF39F" w14:textId="3B59DF6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8842</w:t>
            </w:r>
          </w:p>
        </w:tc>
        <w:tc>
          <w:tcPr>
            <w:tcW w:w="1901" w:type="dxa"/>
            <w:shd w:val="clear" w:color="auto" w:fill="BFD730"/>
            <w:noWrap/>
          </w:tcPr>
          <w:p w14:paraId="6A00BDE7" w14:textId="151FC95E"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9.6%</w:t>
            </w:r>
          </w:p>
        </w:tc>
      </w:tr>
      <w:tr w:rsidR="00DB374F" w:rsidRPr="009E6F22" w14:paraId="43CCAA2C" w14:textId="77777777" w:rsidTr="006E58B9">
        <w:trPr>
          <w:trHeight w:val="289"/>
        </w:trPr>
        <w:tc>
          <w:tcPr>
            <w:tcW w:w="1600" w:type="dxa"/>
            <w:shd w:val="clear" w:color="auto" w:fill="auto"/>
            <w:vAlign w:val="bottom"/>
            <w:hideMark/>
          </w:tcPr>
          <w:p w14:paraId="5146579A"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Jan-22</w:t>
            </w:r>
          </w:p>
        </w:tc>
        <w:tc>
          <w:tcPr>
            <w:tcW w:w="2504" w:type="dxa"/>
            <w:shd w:val="clear" w:color="auto" w:fill="F58220" w:themeFill="accent1"/>
            <w:noWrap/>
          </w:tcPr>
          <w:p w14:paraId="129B9E97" w14:textId="7166206D"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960 782 863 732 </w:t>
            </w:r>
          </w:p>
        </w:tc>
        <w:tc>
          <w:tcPr>
            <w:tcW w:w="2040" w:type="dxa"/>
            <w:shd w:val="clear" w:color="auto" w:fill="BFD730"/>
            <w:noWrap/>
          </w:tcPr>
          <w:p w14:paraId="771FD30E" w14:textId="1ECA8504"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114 988 683 </w:t>
            </w:r>
          </w:p>
        </w:tc>
        <w:tc>
          <w:tcPr>
            <w:tcW w:w="1901" w:type="dxa"/>
            <w:shd w:val="clear" w:color="auto" w:fill="BFD730"/>
            <w:noWrap/>
          </w:tcPr>
          <w:p w14:paraId="1AF0B5E0" w14:textId="5497841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8304</w:t>
            </w:r>
          </w:p>
        </w:tc>
        <w:tc>
          <w:tcPr>
            <w:tcW w:w="1901" w:type="dxa"/>
            <w:shd w:val="clear" w:color="auto" w:fill="BFD730"/>
            <w:noWrap/>
          </w:tcPr>
          <w:p w14:paraId="1F7E1A89" w14:textId="2AEFC2DF"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16.1%</w:t>
            </w:r>
          </w:p>
        </w:tc>
      </w:tr>
      <w:tr w:rsidR="00DB374F" w:rsidRPr="009E6F22" w14:paraId="18B3296E" w14:textId="77777777" w:rsidTr="006E58B9">
        <w:trPr>
          <w:trHeight w:val="289"/>
        </w:trPr>
        <w:tc>
          <w:tcPr>
            <w:tcW w:w="1600" w:type="dxa"/>
            <w:shd w:val="clear" w:color="auto" w:fill="auto"/>
            <w:vAlign w:val="bottom"/>
            <w:hideMark/>
          </w:tcPr>
          <w:p w14:paraId="1DA940DD"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Feb-22</w:t>
            </w:r>
          </w:p>
        </w:tc>
        <w:tc>
          <w:tcPr>
            <w:tcW w:w="2504" w:type="dxa"/>
            <w:shd w:val="clear" w:color="auto" w:fill="F58220" w:themeFill="accent1"/>
            <w:noWrap/>
          </w:tcPr>
          <w:p w14:paraId="012A20D3" w14:textId="4EF8099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1 122 350 186 710 </w:t>
            </w:r>
          </w:p>
        </w:tc>
        <w:tc>
          <w:tcPr>
            <w:tcW w:w="2040" w:type="dxa"/>
            <w:shd w:val="clear" w:color="auto" w:fill="BFD730"/>
            <w:noWrap/>
          </w:tcPr>
          <w:p w14:paraId="4839FD84" w14:textId="14D7FB51"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118 715 952 </w:t>
            </w:r>
          </w:p>
        </w:tc>
        <w:tc>
          <w:tcPr>
            <w:tcW w:w="1901" w:type="dxa"/>
            <w:shd w:val="clear" w:color="auto" w:fill="BFD730"/>
            <w:noWrap/>
          </w:tcPr>
          <w:p w14:paraId="73BF9A00" w14:textId="3C3225B1"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8765</w:t>
            </w:r>
          </w:p>
        </w:tc>
        <w:tc>
          <w:tcPr>
            <w:tcW w:w="1901" w:type="dxa"/>
            <w:shd w:val="clear" w:color="auto" w:fill="BFD730"/>
            <w:noWrap/>
          </w:tcPr>
          <w:p w14:paraId="1883F0A2" w14:textId="3244FB4A"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12.7%</w:t>
            </w:r>
          </w:p>
        </w:tc>
      </w:tr>
      <w:tr w:rsidR="00DB374F" w:rsidRPr="009E6F22" w14:paraId="50644877" w14:textId="77777777" w:rsidTr="006E58B9">
        <w:trPr>
          <w:trHeight w:val="289"/>
        </w:trPr>
        <w:tc>
          <w:tcPr>
            <w:tcW w:w="1600" w:type="dxa"/>
            <w:shd w:val="clear" w:color="auto" w:fill="auto"/>
            <w:vAlign w:val="bottom"/>
            <w:hideMark/>
          </w:tcPr>
          <w:p w14:paraId="2C492BBE"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Mar-22</w:t>
            </w:r>
          </w:p>
        </w:tc>
        <w:tc>
          <w:tcPr>
            <w:tcW w:w="2504" w:type="dxa"/>
            <w:shd w:val="clear" w:color="auto" w:fill="F58220" w:themeFill="accent1"/>
            <w:noWrap/>
          </w:tcPr>
          <w:p w14:paraId="0E1FD624" w14:textId="284C6C6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1 150 548 182 261 </w:t>
            </w:r>
          </w:p>
        </w:tc>
        <w:tc>
          <w:tcPr>
            <w:tcW w:w="2040" w:type="dxa"/>
            <w:shd w:val="clear" w:color="auto" w:fill="BFD730"/>
            <w:noWrap/>
          </w:tcPr>
          <w:p w14:paraId="7666ECCE" w14:textId="4724725C"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131 212 659 </w:t>
            </w:r>
          </w:p>
        </w:tc>
        <w:tc>
          <w:tcPr>
            <w:tcW w:w="1901" w:type="dxa"/>
            <w:shd w:val="clear" w:color="auto" w:fill="BFD730"/>
            <w:noWrap/>
          </w:tcPr>
          <w:p w14:paraId="659790D9" w14:textId="3B72815B"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8965</w:t>
            </w:r>
          </w:p>
        </w:tc>
        <w:tc>
          <w:tcPr>
            <w:tcW w:w="1901" w:type="dxa"/>
            <w:shd w:val="clear" w:color="auto" w:fill="BFD730"/>
            <w:noWrap/>
          </w:tcPr>
          <w:p w14:paraId="029CB1F9" w14:textId="556674BA"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8.4%</w:t>
            </w:r>
          </w:p>
        </w:tc>
      </w:tr>
      <w:tr w:rsidR="00DB374F" w:rsidRPr="009E6F22" w14:paraId="2645946A" w14:textId="77777777" w:rsidTr="006E58B9">
        <w:trPr>
          <w:trHeight w:val="289"/>
        </w:trPr>
        <w:tc>
          <w:tcPr>
            <w:tcW w:w="1600" w:type="dxa"/>
            <w:shd w:val="clear" w:color="auto" w:fill="auto"/>
            <w:vAlign w:val="bottom"/>
            <w:hideMark/>
          </w:tcPr>
          <w:p w14:paraId="323CE11D" w14:textId="77777777" w:rsidR="00DB374F" w:rsidRPr="009E6F22" w:rsidRDefault="00DB374F" w:rsidP="00DB374F">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Apr-22</w:t>
            </w:r>
          </w:p>
        </w:tc>
        <w:tc>
          <w:tcPr>
            <w:tcW w:w="2504" w:type="dxa"/>
            <w:shd w:val="clear" w:color="auto" w:fill="F58220" w:themeFill="accent1"/>
            <w:noWrap/>
          </w:tcPr>
          <w:p w14:paraId="6494E4E2" w14:textId="455B29D0"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1 168 029 601 917 </w:t>
            </w:r>
          </w:p>
        </w:tc>
        <w:tc>
          <w:tcPr>
            <w:tcW w:w="2040" w:type="dxa"/>
            <w:shd w:val="clear" w:color="auto" w:fill="BFD730"/>
            <w:noWrap/>
          </w:tcPr>
          <w:p w14:paraId="3F1D99A7" w14:textId="596B9D36"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126 214 672 </w:t>
            </w:r>
          </w:p>
        </w:tc>
        <w:tc>
          <w:tcPr>
            <w:tcW w:w="1901" w:type="dxa"/>
            <w:shd w:val="clear" w:color="auto" w:fill="BFD730"/>
            <w:noWrap/>
          </w:tcPr>
          <w:p w14:paraId="6D9C768E" w14:textId="5CDAFEA7"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8246</w:t>
            </w:r>
          </w:p>
        </w:tc>
        <w:tc>
          <w:tcPr>
            <w:tcW w:w="1901" w:type="dxa"/>
            <w:shd w:val="clear" w:color="auto" w:fill="BFD730"/>
            <w:noWrap/>
          </w:tcPr>
          <w:p w14:paraId="267D0C17" w14:textId="2F9CCF43"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9.8%</w:t>
            </w:r>
          </w:p>
        </w:tc>
      </w:tr>
      <w:tr w:rsidR="00DB374F" w:rsidRPr="009E6F22" w14:paraId="4DDCEC5A" w14:textId="77777777" w:rsidTr="006E58B9">
        <w:trPr>
          <w:trHeight w:val="289"/>
        </w:trPr>
        <w:tc>
          <w:tcPr>
            <w:tcW w:w="1600" w:type="dxa"/>
            <w:shd w:val="clear" w:color="auto" w:fill="auto"/>
            <w:vAlign w:val="bottom"/>
            <w:hideMark/>
          </w:tcPr>
          <w:p w14:paraId="565B79FA" w14:textId="625C3678" w:rsidR="00DB374F" w:rsidRPr="009E6F22" w:rsidRDefault="00DB374F" w:rsidP="00DB374F">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May</w:t>
            </w:r>
            <w:r w:rsidRPr="009E6F22">
              <w:rPr>
                <w:rFonts w:ascii="Calibri" w:eastAsia="Times New Roman" w:hAnsi="Calibri" w:cs="Calibri"/>
                <w:b/>
                <w:bCs/>
                <w:color w:val="000000"/>
                <w:lang w:eastAsia="en-ZA"/>
              </w:rPr>
              <w:t>-22</w:t>
            </w:r>
          </w:p>
        </w:tc>
        <w:tc>
          <w:tcPr>
            <w:tcW w:w="2504" w:type="dxa"/>
            <w:shd w:val="clear" w:color="auto" w:fill="F58220" w:themeFill="accent1"/>
            <w:noWrap/>
          </w:tcPr>
          <w:p w14:paraId="0E635300" w14:textId="6C45BE63"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1 229 315 269 279 </w:t>
            </w:r>
          </w:p>
        </w:tc>
        <w:tc>
          <w:tcPr>
            <w:tcW w:w="2040" w:type="dxa"/>
            <w:shd w:val="clear" w:color="auto" w:fill="BFD730"/>
            <w:noWrap/>
          </w:tcPr>
          <w:p w14:paraId="1373DF0D" w14:textId="545E9903"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127 591 161 </w:t>
            </w:r>
          </w:p>
        </w:tc>
        <w:tc>
          <w:tcPr>
            <w:tcW w:w="1901" w:type="dxa"/>
            <w:shd w:val="clear" w:color="auto" w:fill="BFD730"/>
            <w:noWrap/>
          </w:tcPr>
          <w:p w14:paraId="5F40A41A" w14:textId="2326A90B"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8585</w:t>
            </w:r>
          </w:p>
        </w:tc>
        <w:tc>
          <w:tcPr>
            <w:tcW w:w="1901" w:type="dxa"/>
            <w:shd w:val="clear" w:color="auto" w:fill="BFD730"/>
            <w:noWrap/>
          </w:tcPr>
          <w:p w14:paraId="4DE463FE" w14:textId="4CD30C4F"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11.1%</w:t>
            </w:r>
          </w:p>
        </w:tc>
      </w:tr>
      <w:tr w:rsidR="00DB374F" w:rsidRPr="009E6F22" w14:paraId="203DFE80" w14:textId="77777777" w:rsidTr="006E58B9">
        <w:trPr>
          <w:trHeight w:val="289"/>
        </w:trPr>
        <w:tc>
          <w:tcPr>
            <w:tcW w:w="1600" w:type="dxa"/>
            <w:shd w:val="clear" w:color="auto" w:fill="auto"/>
            <w:vAlign w:val="bottom"/>
          </w:tcPr>
          <w:p w14:paraId="215A4756" w14:textId="67CAD3A7" w:rsidR="00DB374F" w:rsidRDefault="00DB374F" w:rsidP="00DB374F">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Jun-22</w:t>
            </w:r>
          </w:p>
        </w:tc>
        <w:tc>
          <w:tcPr>
            <w:tcW w:w="2504" w:type="dxa"/>
            <w:shd w:val="clear" w:color="auto" w:fill="F58220" w:themeFill="accent1"/>
            <w:noWrap/>
          </w:tcPr>
          <w:p w14:paraId="1F6F768D" w14:textId="3259C0D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1 121 151 326 630 </w:t>
            </w:r>
          </w:p>
        </w:tc>
        <w:tc>
          <w:tcPr>
            <w:tcW w:w="2040" w:type="dxa"/>
            <w:shd w:val="clear" w:color="auto" w:fill="BFD730"/>
            <w:noWrap/>
          </w:tcPr>
          <w:p w14:paraId="1223BD91" w14:textId="42D31263"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 xml:space="preserve"> 127 572 169 </w:t>
            </w:r>
          </w:p>
        </w:tc>
        <w:tc>
          <w:tcPr>
            <w:tcW w:w="1901" w:type="dxa"/>
            <w:shd w:val="clear" w:color="auto" w:fill="BFD730"/>
            <w:noWrap/>
          </w:tcPr>
          <w:p w14:paraId="002C1BF3" w14:textId="4B70B769"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8623</w:t>
            </w:r>
          </w:p>
        </w:tc>
        <w:tc>
          <w:tcPr>
            <w:tcW w:w="1901" w:type="dxa"/>
            <w:shd w:val="clear" w:color="auto" w:fill="BFD730"/>
            <w:noWrap/>
          </w:tcPr>
          <w:p w14:paraId="3738FC90" w14:textId="2FE872BA" w:rsidR="00DB374F" w:rsidRPr="00DF7A73" w:rsidRDefault="00DB374F" w:rsidP="00DB374F">
            <w:pPr>
              <w:spacing w:after="0" w:line="240" w:lineRule="auto"/>
              <w:jc w:val="center"/>
              <w:rPr>
                <w:rFonts w:ascii="Calibri" w:eastAsia="Times New Roman" w:hAnsi="Calibri" w:cs="Calibri"/>
                <w:b/>
                <w:bCs/>
                <w:lang w:eastAsia="en-ZA"/>
              </w:rPr>
            </w:pPr>
            <w:r w:rsidRPr="00DF7A73">
              <w:rPr>
                <w:b/>
                <w:bCs/>
              </w:rPr>
              <w:t>10.0%</w:t>
            </w:r>
          </w:p>
        </w:tc>
      </w:tr>
      <w:tr w:rsidR="00DB374F" w:rsidRPr="009E6F22" w14:paraId="2055E381" w14:textId="77777777" w:rsidTr="006E58B9">
        <w:trPr>
          <w:trHeight w:val="289"/>
        </w:trPr>
        <w:tc>
          <w:tcPr>
            <w:tcW w:w="1600" w:type="dxa"/>
            <w:shd w:val="clear" w:color="auto" w:fill="auto"/>
            <w:vAlign w:val="bottom"/>
          </w:tcPr>
          <w:p w14:paraId="52DB5E7C" w14:textId="2381020D" w:rsidR="00DB374F" w:rsidRDefault="00DF7A73" w:rsidP="00DB374F">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Jul-22</w:t>
            </w:r>
          </w:p>
        </w:tc>
        <w:tc>
          <w:tcPr>
            <w:tcW w:w="2504" w:type="dxa"/>
            <w:shd w:val="clear" w:color="auto" w:fill="F58220" w:themeFill="accent1"/>
            <w:noWrap/>
          </w:tcPr>
          <w:p w14:paraId="44C48EE4" w14:textId="0386151A" w:rsidR="00DB374F" w:rsidRPr="00DF7A73" w:rsidRDefault="00DB374F" w:rsidP="00DB374F">
            <w:pPr>
              <w:spacing w:after="0" w:line="240" w:lineRule="auto"/>
              <w:jc w:val="center"/>
              <w:rPr>
                <w:rFonts w:ascii="Calibri" w:hAnsi="Calibri" w:cs="Calibri"/>
                <w:b/>
                <w:bCs/>
              </w:rPr>
            </w:pPr>
            <w:r w:rsidRPr="00DF7A73">
              <w:rPr>
                <w:b/>
                <w:bCs/>
              </w:rPr>
              <w:t xml:space="preserve"> 1 127 335 386 315 </w:t>
            </w:r>
          </w:p>
        </w:tc>
        <w:tc>
          <w:tcPr>
            <w:tcW w:w="2040" w:type="dxa"/>
            <w:shd w:val="clear" w:color="auto" w:fill="BFD730"/>
            <w:noWrap/>
          </w:tcPr>
          <w:p w14:paraId="43AAA47C" w14:textId="49E43D84" w:rsidR="00DB374F" w:rsidRPr="00DF7A73" w:rsidRDefault="00DB374F" w:rsidP="00DB374F">
            <w:pPr>
              <w:spacing w:after="0" w:line="240" w:lineRule="auto"/>
              <w:jc w:val="center"/>
              <w:rPr>
                <w:rFonts w:ascii="Calibri" w:hAnsi="Calibri" w:cs="Calibri"/>
                <w:b/>
                <w:bCs/>
              </w:rPr>
            </w:pPr>
            <w:r w:rsidRPr="00DF7A73">
              <w:rPr>
                <w:b/>
                <w:bCs/>
              </w:rPr>
              <w:t xml:space="preserve"> 130 429 591 </w:t>
            </w:r>
          </w:p>
        </w:tc>
        <w:tc>
          <w:tcPr>
            <w:tcW w:w="1901" w:type="dxa"/>
            <w:shd w:val="clear" w:color="auto" w:fill="BFD730"/>
            <w:noWrap/>
          </w:tcPr>
          <w:p w14:paraId="0474F2DB" w14:textId="5418DE33" w:rsidR="00DB374F" w:rsidRPr="00DF7A73" w:rsidRDefault="00DB374F" w:rsidP="00DB374F">
            <w:pPr>
              <w:spacing w:after="0" w:line="240" w:lineRule="auto"/>
              <w:jc w:val="center"/>
              <w:rPr>
                <w:rFonts w:ascii="Calibri" w:hAnsi="Calibri" w:cs="Calibri"/>
                <w:b/>
                <w:bCs/>
              </w:rPr>
            </w:pPr>
            <w:r w:rsidRPr="00DF7A73">
              <w:rPr>
                <w:b/>
                <w:bCs/>
              </w:rPr>
              <w:t>8590</w:t>
            </w:r>
          </w:p>
        </w:tc>
        <w:tc>
          <w:tcPr>
            <w:tcW w:w="1901" w:type="dxa"/>
            <w:shd w:val="clear" w:color="auto" w:fill="BFD730"/>
            <w:noWrap/>
          </w:tcPr>
          <w:p w14:paraId="15956BD1" w14:textId="59111DEC" w:rsidR="00DB374F" w:rsidRPr="00DF7A73" w:rsidRDefault="00DB374F" w:rsidP="00DB374F">
            <w:pPr>
              <w:spacing w:after="0" w:line="240" w:lineRule="auto"/>
              <w:jc w:val="center"/>
              <w:rPr>
                <w:rFonts w:ascii="Calibri" w:hAnsi="Calibri" w:cs="Calibri"/>
                <w:b/>
                <w:bCs/>
              </w:rPr>
            </w:pPr>
            <w:r w:rsidRPr="00DF7A73">
              <w:rPr>
                <w:b/>
                <w:bCs/>
              </w:rPr>
              <w:t>6.4%</w:t>
            </w:r>
          </w:p>
        </w:tc>
      </w:tr>
    </w:tbl>
    <w:p w14:paraId="260F7E0F" w14:textId="7B7CEE9B" w:rsidR="00E66A09" w:rsidRDefault="00E66A09" w:rsidP="00E66A09">
      <w:pPr>
        <w:rPr>
          <w:i/>
        </w:rPr>
      </w:pPr>
      <w:r w:rsidRPr="00476742">
        <w:rPr>
          <w:i/>
        </w:rPr>
        <w:t xml:space="preserve">Source: BankservAfrica and </w:t>
      </w:r>
      <w:bookmarkEnd w:id="1"/>
      <w:bookmarkEnd w:id="2"/>
      <w:r w:rsidR="00FD59D7">
        <w:rPr>
          <w:i/>
        </w:rPr>
        <w:t>Carpe Diem Research</w:t>
      </w:r>
    </w:p>
    <w:p w14:paraId="44A1AB93" w14:textId="29FA4157" w:rsidR="00AE7881" w:rsidRPr="00EF1A12" w:rsidRDefault="00AE7881" w:rsidP="00667B23">
      <w:pPr>
        <w:spacing w:after="0"/>
        <w:rPr>
          <w:b/>
          <w:bCs/>
          <w:sz w:val="24"/>
          <w:szCs w:val="24"/>
        </w:rPr>
      </w:pPr>
      <w:bookmarkStart w:id="12" w:name="_Hlk108519848"/>
      <w:r w:rsidRPr="00EF1A12">
        <w:rPr>
          <w:b/>
          <w:bCs/>
        </w:rPr>
        <w:t>*</w:t>
      </w:r>
      <w:r w:rsidRPr="00EF1A12">
        <w:rPr>
          <w:b/>
          <w:bCs/>
          <w:sz w:val="24"/>
          <w:szCs w:val="24"/>
        </w:rPr>
        <w:t xml:space="preserve">A note on the revisions </w:t>
      </w:r>
    </w:p>
    <w:p w14:paraId="093FF694" w14:textId="6626D5E6" w:rsidR="00AE7881" w:rsidRDefault="00AE7881" w:rsidP="00667B23">
      <w:pPr>
        <w:spacing w:after="0"/>
      </w:pPr>
      <w:bookmarkStart w:id="13" w:name="_Hlk106195532"/>
      <w:r>
        <w:t xml:space="preserve">The </w:t>
      </w:r>
      <w:r w:rsidRPr="00EA65A2">
        <w:t xml:space="preserve">BETI </w:t>
      </w:r>
      <w:r>
        <w:t xml:space="preserve">reflects the </w:t>
      </w:r>
      <w:r w:rsidRPr="00EA65A2">
        <w:t>standardi</w:t>
      </w:r>
      <w:r>
        <w:t>s</w:t>
      </w:r>
      <w:r w:rsidRPr="00EA65A2">
        <w:t>ed value</w:t>
      </w:r>
      <w:r>
        <w:t xml:space="preserve"> of all economic transactions in the South Africa economy at seasonally adjusted </w:t>
      </w:r>
      <w:r w:rsidRPr="00EA65A2">
        <w:t>real</w:t>
      </w:r>
      <w:r>
        <w:t xml:space="preserve"> </w:t>
      </w:r>
      <w:r w:rsidRPr="00EA65A2">
        <w:t xml:space="preserve">constant prices </w:t>
      </w:r>
      <w:r>
        <w:t>(</w:t>
      </w:r>
      <w:r w:rsidRPr="00EA65A2">
        <w:t>2005=100</w:t>
      </w:r>
      <w:r>
        <w:t xml:space="preserve">). On an ongoing basis, there are always small differences between previously published index numbers and most recent, given the processes of deflating (to strip out the impact of inflation from the data) and seasonally adjustment (to strip out any seasonal behaviour in the data). </w:t>
      </w:r>
    </w:p>
    <w:p w14:paraId="75E34CE0" w14:textId="520A0BBB" w:rsidR="00AE7881" w:rsidRDefault="00AE7881" w:rsidP="00AE7881">
      <w:r>
        <w:t xml:space="preserve">The </w:t>
      </w:r>
      <w:r w:rsidR="008A58B6">
        <w:t>Ju</w:t>
      </w:r>
      <w:r w:rsidR="00FD59D7">
        <w:t>ly</w:t>
      </w:r>
      <w:r>
        <w:t xml:space="preserve"> 2022 BETI release has been subjected to </w:t>
      </w:r>
      <w:r w:rsidR="00FD59D7">
        <w:t>the usual</w:t>
      </w:r>
      <w:r>
        <w:t xml:space="preserve"> adjustments that result in revised index and growth numbers. </w:t>
      </w:r>
    </w:p>
    <w:p w14:paraId="2C0927A9" w14:textId="36E5D0DD" w:rsidR="00AE7881" w:rsidRDefault="00AE7881" w:rsidP="00AE7881">
      <w:pPr>
        <w:pStyle w:val="ListParagraph"/>
        <w:numPr>
          <w:ilvl w:val="0"/>
          <w:numId w:val="6"/>
        </w:numPr>
        <w:spacing w:before="240" w:after="240"/>
        <w:ind w:left="714" w:hanging="357"/>
      </w:pPr>
      <w:r>
        <w:t xml:space="preserve">Inflation forecasts have been updated with actuals to </w:t>
      </w:r>
      <w:r w:rsidR="00F90986">
        <w:t>June</w:t>
      </w:r>
      <w:r>
        <w:t xml:space="preserve"> 2022</w:t>
      </w:r>
    </w:p>
    <w:p w14:paraId="764342A7" w14:textId="44FC5509" w:rsidR="00AE7881" w:rsidRDefault="00AE7881" w:rsidP="00AE7881">
      <w:pPr>
        <w:pStyle w:val="ListParagraph"/>
        <w:numPr>
          <w:ilvl w:val="0"/>
          <w:numId w:val="6"/>
        </w:numPr>
        <w:spacing w:before="240" w:after="240"/>
        <w:ind w:left="714" w:hanging="357"/>
      </w:pPr>
      <w:r>
        <w:t xml:space="preserve">Seasonal factors were revised and updated to </w:t>
      </w:r>
      <w:r w:rsidR="008A58B6">
        <w:t>Ju</w:t>
      </w:r>
      <w:r w:rsidR="00F90986">
        <w:t>ly</w:t>
      </w:r>
      <w:r>
        <w:t xml:space="preserve"> 2022</w:t>
      </w:r>
    </w:p>
    <w:p w14:paraId="5A65FF9F" w14:textId="4460B82D" w:rsidR="00AE7881" w:rsidRDefault="00AE7881" w:rsidP="00AE7881">
      <w:r w:rsidRPr="00130964">
        <w:rPr>
          <w:b/>
          <w:bCs/>
        </w:rPr>
        <w:t>Deflating nominal values</w:t>
      </w:r>
      <w:r>
        <w:t xml:space="preserve">:  The total PPI </w:t>
      </w:r>
      <w:r w:rsidR="007C1828">
        <w:t xml:space="preserve">- </w:t>
      </w:r>
      <w:r>
        <w:t>or otherwise defined as the PPI for final manufactured goods (25% weighting) in combination with the CPI for all urban areas excluding homeowners rent (75% weighting)</w:t>
      </w:r>
      <w:r w:rsidR="007C1828">
        <w:t xml:space="preserve"> -</w:t>
      </w:r>
      <w:r>
        <w:t xml:space="preserve"> are used to deflate the nominal values to reflect real values. There is a one-month lag period before the inflation data gets released for a certain month, which has the implication that the most recent BETI data point gets deflated by forecast numbers for PPI and CPI excluding homeowners rent. Then in the next month, when the actual PPI and CPI data are available, it impacts the BETI in so far as there are discrepancies between the forecasts used and the actual outcomes of the relevant inflation numbers. </w:t>
      </w:r>
    </w:p>
    <w:p w14:paraId="160C5A1F" w14:textId="5F1CCD56" w:rsidR="00AE7881" w:rsidRDefault="00AE7881" w:rsidP="00AE7881">
      <w:r w:rsidRPr="00264659">
        <w:t xml:space="preserve">Inflation numbers have been updated to </w:t>
      </w:r>
      <w:r w:rsidR="00F90986">
        <w:t>June</w:t>
      </w:r>
      <w:r w:rsidR="000B34B4">
        <w:t xml:space="preserve"> </w:t>
      </w:r>
      <w:r w:rsidRPr="00264659">
        <w:t xml:space="preserve">2022. The </w:t>
      </w:r>
      <w:r w:rsidR="00B47F06">
        <w:t>June</w:t>
      </w:r>
      <w:r w:rsidRPr="00264659">
        <w:t xml:space="preserve"> PPI figure came out notably higher than expected at </w:t>
      </w:r>
      <w:r w:rsidR="00FF5A08">
        <w:t>16.2</w:t>
      </w:r>
      <w:r w:rsidRPr="00264659">
        <w:t xml:space="preserve">% y/y (vs </w:t>
      </w:r>
      <w:r w:rsidR="000B34B4">
        <w:t>1</w:t>
      </w:r>
      <w:r w:rsidR="00B47F06">
        <w:t>4.7</w:t>
      </w:r>
      <w:r w:rsidRPr="00264659">
        <w:t>% in Ma</w:t>
      </w:r>
      <w:r w:rsidR="00B47F06">
        <w:t>y</w:t>
      </w:r>
      <w:r w:rsidRPr="00264659">
        <w:t xml:space="preserve">); market consensus </w:t>
      </w:r>
      <w:r>
        <w:t xml:space="preserve">on the day </w:t>
      </w:r>
      <w:r w:rsidRPr="00264659">
        <w:t xml:space="preserve">was </w:t>
      </w:r>
      <w:r w:rsidR="00FF5A08">
        <w:t>15.6</w:t>
      </w:r>
      <w:r w:rsidRPr="00264659">
        <w:t xml:space="preserve">%. </w:t>
      </w:r>
      <w:r w:rsidR="0062607B" w:rsidRPr="0062607B">
        <w:t xml:space="preserve">The </w:t>
      </w:r>
      <w:r w:rsidR="00FF5A08">
        <w:t>June</w:t>
      </w:r>
      <w:r w:rsidR="0062607B" w:rsidRPr="0062607B">
        <w:t xml:space="preserve"> </w:t>
      </w:r>
      <w:r w:rsidR="0062607B">
        <w:t>headline C</w:t>
      </w:r>
      <w:r w:rsidR="0062607B" w:rsidRPr="0062607B">
        <w:t xml:space="preserve">PI figure </w:t>
      </w:r>
      <w:r w:rsidR="0062607B">
        <w:t xml:space="preserve">also </w:t>
      </w:r>
      <w:r w:rsidR="0062607B" w:rsidRPr="0062607B">
        <w:t xml:space="preserve">came out higher than expected at </w:t>
      </w:r>
      <w:r w:rsidR="005C523A">
        <w:t>7.4</w:t>
      </w:r>
      <w:r w:rsidR="0062607B" w:rsidRPr="0062607B">
        <w:t xml:space="preserve">% y/y (vs </w:t>
      </w:r>
      <w:r w:rsidR="00FF5A08">
        <w:t>6.5</w:t>
      </w:r>
      <w:r w:rsidR="0062607B" w:rsidRPr="0062607B">
        <w:t>% in Ma</w:t>
      </w:r>
      <w:r w:rsidR="00FF5A08">
        <w:t>y</w:t>
      </w:r>
      <w:r w:rsidR="0062607B" w:rsidRPr="0062607B">
        <w:t xml:space="preserve">); market consensus on the day was </w:t>
      </w:r>
      <w:r w:rsidR="00D6009C">
        <w:t>7</w:t>
      </w:r>
      <w:r w:rsidR="0062607B">
        <w:t>.</w:t>
      </w:r>
      <w:r w:rsidR="008F21B9">
        <w:t>2</w:t>
      </w:r>
      <w:r w:rsidR="0062607B" w:rsidRPr="0062607B">
        <w:t xml:space="preserve">%. </w:t>
      </w:r>
      <w:r w:rsidRPr="00264659">
        <w:t xml:space="preserve">The higher-than-expected </w:t>
      </w:r>
      <w:r w:rsidR="0062607B">
        <w:t>inflation outcomes</w:t>
      </w:r>
      <w:r w:rsidRPr="00264659">
        <w:t xml:space="preserve"> had an impact on the deflator used in the BETI </w:t>
      </w:r>
      <w:r>
        <w:t>calculation for</w:t>
      </w:r>
      <w:r w:rsidRPr="00264659">
        <w:t xml:space="preserve"> </w:t>
      </w:r>
      <w:r w:rsidR="005C523A">
        <w:t>June</w:t>
      </w:r>
      <w:r>
        <w:t>.</w:t>
      </w:r>
    </w:p>
    <w:p w14:paraId="72EA0531" w14:textId="77777777" w:rsidR="00AE7881" w:rsidRDefault="00AE7881" w:rsidP="00AE7881">
      <w:r w:rsidRPr="00D801CC">
        <w:rPr>
          <w:b/>
          <w:bCs/>
        </w:rPr>
        <w:lastRenderedPageBreak/>
        <w:t>Revised seasonal factors</w:t>
      </w:r>
      <w:r>
        <w:t>: Seasonal adjustment takes place monthly, with seasonal factors been adjusting slightly with each new actual data point becoming available. Revisions impact marginally on historical index values.</w:t>
      </w:r>
    </w:p>
    <w:bookmarkEnd w:id="12"/>
    <w:p w14:paraId="2D2CE85C" w14:textId="77777777" w:rsidR="00AE7881" w:rsidRDefault="00AE7881" w:rsidP="00AE7881"/>
    <w:bookmarkEnd w:id="13"/>
    <w:p w14:paraId="4F713240" w14:textId="77777777" w:rsidR="00AE7881" w:rsidRPr="00AE7881" w:rsidRDefault="00AE7881" w:rsidP="00AE7881">
      <w:pPr>
        <w:rPr>
          <w:b/>
          <w:bCs/>
          <w:u w:val="single"/>
        </w:rPr>
      </w:pPr>
    </w:p>
    <w:sectPr w:rsidR="00AE7881" w:rsidRPr="00AE7881" w:rsidSect="003B201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46C"/>
    <w:multiLevelType w:val="hybridMultilevel"/>
    <w:tmpl w:val="B36CAFF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C91A10"/>
    <w:multiLevelType w:val="hybridMultilevel"/>
    <w:tmpl w:val="42C622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1795615"/>
    <w:multiLevelType w:val="hybridMultilevel"/>
    <w:tmpl w:val="6434A2E6"/>
    <w:lvl w:ilvl="0" w:tplc="3432DC50">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3" w15:restartNumberingAfterBreak="0">
    <w:nsid w:val="599330A4"/>
    <w:multiLevelType w:val="hybridMultilevel"/>
    <w:tmpl w:val="960480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B2865B3"/>
    <w:multiLevelType w:val="hybridMultilevel"/>
    <w:tmpl w:val="B2D4E3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14141AC"/>
    <w:multiLevelType w:val="hybridMultilevel"/>
    <w:tmpl w:val="3D00B4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tDAwNjAzMzUyNjJT0lEKTi0uzszPAykwqgUAR8K5PiwAAAA="/>
  </w:docVars>
  <w:rsids>
    <w:rsidRoot w:val="005E72DA"/>
    <w:rsid w:val="000005E1"/>
    <w:rsid w:val="0000273D"/>
    <w:rsid w:val="00007F3A"/>
    <w:rsid w:val="000122CF"/>
    <w:rsid w:val="000130F7"/>
    <w:rsid w:val="00015A70"/>
    <w:rsid w:val="00017142"/>
    <w:rsid w:val="000213C7"/>
    <w:rsid w:val="00023CF6"/>
    <w:rsid w:val="00026E87"/>
    <w:rsid w:val="00031F6D"/>
    <w:rsid w:val="00032D81"/>
    <w:rsid w:val="000356A7"/>
    <w:rsid w:val="000401E9"/>
    <w:rsid w:val="000403DF"/>
    <w:rsid w:val="00043C39"/>
    <w:rsid w:val="000479E4"/>
    <w:rsid w:val="000510F7"/>
    <w:rsid w:val="000535A5"/>
    <w:rsid w:val="000545B7"/>
    <w:rsid w:val="00056C11"/>
    <w:rsid w:val="000602F1"/>
    <w:rsid w:val="000617AE"/>
    <w:rsid w:val="000619FC"/>
    <w:rsid w:val="000668FD"/>
    <w:rsid w:val="00072509"/>
    <w:rsid w:val="00074674"/>
    <w:rsid w:val="0007493A"/>
    <w:rsid w:val="00075776"/>
    <w:rsid w:val="00081495"/>
    <w:rsid w:val="00085CF4"/>
    <w:rsid w:val="00090A47"/>
    <w:rsid w:val="00091552"/>
    <w:rsid w:val="000923BF"/>
    <w:rsid w:val="00092BBE"/>
    <w:rsid w:val="000935E1"/>
    <w:rsid w:val="00094911"/>
    <w:rsid w:val="00094A3A"/>
    <w:rsid w:val="00095137"/>
    <w:rsid w:val="000A085F"/>
    <w:rsid w:val="000B14F7"/>
    <w:rsid w:val="000B1B20"/>
    <w:rsid w:val="000B1F49"/>
    <w:rsid w:val="000B34A7"/>
    <w:rsid w:val="000B34B4"/>
    <w:rsid w:val="000B3598"/>
    <w:rsid w:val="000B4B3B"/>
    <w:rsid w:val="000B6246"/>
    <w:rsid w:val="000C0CC8"/>
    <w:rsid w:val="000C1FEA"/>
    <w:rsid w:val="000C2863"/>
    <w:rsid w:val="000C2A99"/>
    <w:rsid w:val="000C5438"/>
    <w:rsid w:val="000D1740"/>
    <w:rsid w:val="000D2C90"/>
    <w:rsid w:val="000D3370"/>
    <w:rsid w:val="000D3600"/>
    <w:rsid w:val="000D4159"/>
    <w:rsid w:val="000D5D2E"/>
    <w:rsid w:val="000D5E38"/>
    <w:rsid w:val="000D66E3"/>
    <w:rsid w:val="000D6C47"/>
    <w:rsid w:val="000E428E"/>
    <w:rsid w:val="000E575E"/>
    <w:rsid w:val="000E6D56"/>
    <w:rsid w:val="000E6D71"/>
    <w:rsid w:val="000F157D"/>
    <w:rsid w:val="000F2782"/>
    <w:rsid w:val="000F46BE"/>
    <w:rsid w:val="000F5E0D"/>
    <w:rsid w:val="000F78D7"/>
    <w:rsid w:val="001022E1"/>
    <w:rsid w:val="00102457"/>
    <w:rsid w:val="00102A28"/>
    <w:rsid w:val="00103F26"/>
    <w:rsid w:val="001046A1"/>
    <w:rsid w:val="00104EC5"/>
    <w:rsid w:val="00105E65"/>
    <w:rsid w:val="00106491"/>
    <w:rsid w:val="00111F16"/>
    <w:rsid w:val="00112E55"/>
    <w:rsid w:val="0011486A"/>
    <w:rsid w:val="001152B6"/>
    <w:rsid w:val="001166F3"/>
    <w:rsid w:val="001171AD"/>
    <w:rsid w:val="00133663"/>
    <w:rsid w:val="0013397D"/>
    <w:rsid w:val="00134125"/>
    <w:rsid w:val="00134140"/>
    <w:rsid w:val="00141CD7"/>
    <w:rsid w:val="00141FC6"/>
    <w:rsid w:val="001460D5"/>
    <w:rsid w:val="00152603"/>
    <w:rsid w:val="00155485"/>
    <w:rsid w:val="00157AE2"/>
    <w:rsid w:val="00161114"/>
    <w:rsid w:val="0016746E"/>
    <w:rsid w:val="00170E64"/>
    <w:rsid w:val="001732AC"/>
    <w:rsid w:val="00173F66"/>
    <w:rsid w:val="00174E2A"/>
    <w:rsid w:val="001770A0"/>
    <w:rsid w:val="001837FA"/>
    <w:rsid w:val="00184D16"/>
    <w:rsid w:val="00185051"/>
    <w:rsid w:val="00185980"/>
    <w:rsid w:val="00191B8B"/>
    <w:rsid w:val="00195130"/>
    <w:rsid w:val="00195780"/>
    <w:rsid w:val="001963A7"/>
    <w:rsid w:val="00197F36"/>
    <w:rsid w:val="001A04DE"/>
    <w:rsid w:val="001A326C"/>
    <w:rsid w:val="001A5407"/>
    <w:rsid w:val="001A7945"/>
    <w:rsid w:val="001A7A0A"/>
    <w:rsid w:val="001B551E"/>
    <w:rsid w:val="001B5571"/>
    <w:rsid w:val="001B60CC"/>
    <w:rsid w:val="001B62B1"/>
    <w:rsid w:val="001C30C0"/>
    <w:rsid w:val="001D0DAA"/>
    <w:rsid w:val="001D3F1C"/>
    <w:rsid w:val="001D6C0C"/>
    <w:rsid w:val="001E1619"/>
    <w:rsid w:val="001E1D8C"/>
    <w:rsid w:val="001E2F39"/>
    <w:rsid w:val="001E3E12"/>
    <w:rsid w:val="001E660D"/>
    <w:rsid w:val="001E66A0"/>
    <w:rsid w:val="001F4A84"/>
    <w:rsid w:val="001F4AB4"/>
    <w:rsid w:val="001F72AD"/>
    <w:rsid w:val="00203E02"/>
    <w:rsid w:val="00204034"/>
    <w:rsid w:val="0021154F"/>
    <w:rsid w:val="00212A34"/>
    <w:rsid w:val="002203BB"/>
    <w:rsid w:val="00226D46"/>
    <w:rsid w:val="0022703A"/>
    <w:rsid w:val="0022772A"/>
    <w:rsid w:val="0023028B"/>
    <w:rsid w:val="0023248F"/>
    <w:rsid w:val="0023643F"/>
    <w:rsid w:val="002368B9"/>
    <w:rsid w:val="00241E2E"/>
    <w:rsid w:val="002423FD"/>
    <w:rsid w:val="00243F3C"/>
    <w:rsid w:val="00245159"/>
    <w:rsid w:val="002507F6"/>
    <w:rsid w:val="00251AE5"/>
    <w:rsid w:val="00251ECC"/>
    <w:rsid w:val="002526BB"/>
    <w:rsid w:val="00254D7F"/>
    <w:rsid w:val="00255192"/>
    <w:rsid w:val="002560EE"/>
    <w:rsid w:val="0026023A"/>
    <w:rsid w:val="00263C41"/>
    <w:rsid w:val="00266997"/>
    <w:rsid w:val="00271250"/>
    <w:rsid w:val="00275DA7"/>
    <w:rsid w:val="00275DBA"/>
    <w:rsid w:val="00276121"/>
    <w:rsid w:val="00281B22"/>
    <w:rsid w:val="00282600"/>
    <w:rsid w:val="00286BEE"/>
    <w:rsid w:val="00287C16"/>
    <w:rsid w:val="0029034B"/>
    <w:rsid w:val="00290E03"/>
    <w:rsid w:val="00292818"/>
    <w:rsid w:val="00292A5A"/>
    <w:rsid w:val="00293520"/>
    <w:rsid w:val="002944E2"/>
    <w:rsid w:val="00295532"/>
    <w:rsid w:val="00296889"/>
    <w:rsid w:val="0029708B"/>
    <w:rsid w:val="002A0259"/>
    <w:rsid w:val="002A08FA"/>
    <w:rsid w:val="002A279A"/>
    <w:rsid w:val="002A4DB8"/>
    <w:rsid w:val="002A5732"/>
    <w:rsid w:val="002A5E71"/>
    <w:rsid w:val="002A6335"/>
    <w:rsid w:val="002B026B"/>
    <w:rsid w:val="002B4210"/>
    <w:rsid w:val="002B44A0"/>
    <w:rsid w:val="002B5AD3"/>
    <w:rsid w:val="002B6DB8"/>
    <w:rsid w:val="002B74EC"/>
    <w:rsid w:val="002C49F6"/>
    <w:rsid w:val="002C609B"/>
    <w:rsid w:val="002C645E"/>
    <w:rsid w:val="002D3479"/>
    <w:rsid w:val="002D5B6E"/>
    <w:rsid w:val="002D6714"/>
    <w:rsid w:val="002D6E28"/>
    <w:rsid w:val="002D7B12"/>
    <w:rsid w:val="002E044B"/>
    <w:rsid w:val="002E23DD"/>
    <w:rsid w:val="002E2B5E"/>
    <w:rsid w:val="002E3176"/>
    <w:rsid w:val="002E4A2A"/>
    <w:rsid w:val="002E6A19"/>
    <w:rsid w:val="002E785D"/>
    <w:rsid w:val="002F1AB5"/>
    <w:rsid w:val="002F3453"/>
    <w:rsid w:val="002F36DE"/>
    <w:rsid w:val="002F3873"/>
    <w:rsid w:val="002F4E21"/>
    <w:rsid w:val="002F7A20"/>
    <w:rsid w:val="002F7B2B"/>
    <w:rsid w:val="00300391"/>
    <w:rsid w:val="00301E4C"/>
    <w:rsid w:val="0030379C"/>
    <w:rsid w:val="00304456"/>
    <w:rsid w:val="00304D9E"/>
    <w:rsid w:val="00311BEC"/>
    <w:rsid w:val="00311D26"/>
    <w:rsid w:val="0031392E"/>
    <w:rsid w:val="0031396E"/>
    <w:rsid w:val="00314603"/>
    <w:rsid w:val="00314AE2"/>
    <w:rsid w:val="003153AA"/>
    <w:rsid w:val="00315C65"/>
    <w:rsid w:val="0031689D"/>
    <w:rsid w:val="003200AA"/>
    <w:rsid w:val="00320C4A"/>
    <w:rsid w:val="0032237C"/>
    <w:rsid w:val="0032267E"/>
    <w:rsid w:val="00327375"/>
    <w:rsid w:val="00327A4B"/>
    <w:rsid w:val="00332EB6"/>
    <w:rsid w:val="00334FB7"/>
    <w:rsid w:val="00335501"/>
    <w:rsid w:val="00335884"/>
    <w:rsid w:val="00336955"/>
    <w:rsid w:val="0034302E"/>
    <w:rsid w:val="00344273"/>
    <w:rsid w:val="00344A7A"/>
    <w:rsid w:val="00344B51"/>
    <w:rsid w:val="00347FF3"/>
    <w:rsid w:val="00355DE3"/>
    <w:rsid w:val="00356CDD"/>
    <w:rsid w:val="00356F59"/>
    <w:rsid w:val="0036134E"/>
    <w:rsid w:val="0036266E"/>
    <w:rsid w:val="00362F60"/>
    <w:rsid w:val="003637FC"/>
    <w:rsid w:val="00363B1C"/>
    <w:rsid w:val="00363D89"/>
    <w:rsid w:val="00366471"/>
    <w:rsid w:val="00370548"/>
    <w:rsid w:val="003714F5"/>
    <w:rsid w:val="0037367F"/>
    <w:rsid w:val="00374129"/>
    <w:rsid w:val="00377C4B"/>
    <w:rsid w:val="003820C2"/>
    <w:rsid w:val="00382D26"/>
    <w:rsid w:val="00383E1D"/>
    <w:rsid w:val="00385D81"/>
    <w:rsid w:val="00390870"/>
    <w:rsid w:val="003921F5"/>
    <w:rsid w:val="003923B9"/>
    <w:rsid w:val="00393AFF"/>
    <w:rsid w:val="00395BFE"/>
    <w:rsid w:val="003A08CD"/>
    <w:rsid w:val="003A0D5C"/>
    <w:rsid w:val="003A137C"/>
    <w:rsid w:val="003A1D15"/>
    <w:rsid w:val="003A3934"/>
    <w:rsid w:val="003A5987"/>
    <w:rsid w:val="003A678B"/>
    <w:rsid w:val="003A71DC"/>
    <w:rsid w:val="003A7C4A"/>
    <w:rsid w:val="003B172E"/>
    <w:rsid w:val="003B201F"/>
    <w:rsid w:val="003B2962"/>
    <w:rsid w:val="003B2ACF"/>
    <w:rsid w:val="003B4137"/>
    <w:rsid w:val="003B50DC"/>
    <w:rsid w:val="003B7FBB"/>
    <w:rsid w:val="003C23E2"/>
    <w:rsid w:val="003C4D9B"/>
    <w:rsid w:val="003C7FBD"/>
    <w:rsid w:val="003D3266"/>
    <w:rsid w:val="003D42F9"/>
    <w:rsid w:val="003D7AE4"/>
    <w:rsid w:val="003E0919"/>
    <w:rsid w:val="003E37EF"/>
    <w:rsid w:val="003E4966"/>
    <w:rsid w:val="003E5FBE"/>
    <w:rsid w:val="003E69D6"/>
    <w:rsid w:val="003F170C"/>
    <w:rsid w:val="003F25E6"/>
    <w:rsid w:val="003F33B3"/>
    <w:rsid w:val="003F5D6B"/>
    <w:rsid w:val="00400D15"/>
    <w:rsid w:val="004023CE"/>
    <w:rsid w:val="00403678"/>
    <w:rsid w:val="004055C8"/>
    <w:rsid w:val="00406130"/>
    <w:rsid w:val="004066EE"/>
    <w:rsid w:val="0040692C"/>
    <w:rsid w:val="00412047"/>
    <w:rsid w:val="00413C32"/>
    <w:rsid w:val="00416135"/>
    <w:rsid w:val="004200AB"/>
    <w:rsid w:val="00420354"/>
    <w:rsid w:val="00420687"/>
    <w:rsid w:val="004209BB"/>
    <w:rsid w:val="00420F3A"/>
    <w:rsid w:val="0042104D"/>
    <w:rsid w:val="00424D84"/>
    <w:rsid w:val="00424F5A"/>
    <w:rsid w:val="00432212"/>
    <w:rsid w:val="00435DC8"/>
    <w:rsid w:val="004407FB"/>
    <w:rsid w:val="00440BB7"/>
    <w:rsid w:val="004415ED"/>
    <w:rsid w:val="00441BFA"/>
    <w:rsid w:val="00441F8A"/>
    <w:rsid w:val="0044200B"/>
    <w:rsid w:val="004468C8"/>
    <w:rsid w:val="00446948"/>
    <w:rsid w:val="00447108"/>
    <w:rsid w:val="004517FC"/>
    <w:rsid w:val="004519DE"/>
    <w:rsid w:val="0045201B"/>
    <w:rsid w:val="004532CA"/>
    <w:rsid w:val="00455B48"/>
    <w:rsid w:val="004564B9"/>
    <w:rsid w:val="004567F8"/>
    <w:rsid w:val="00457356"/>
    <w:rsid w:val="00457403"/>
    <w:rsid w:val="00460BED"/>
    <w:rsid w:val="00460C33"/>
    <w:rsid w:val="0046238F"/>
    <w:rsid w:val="004626ED"/>
    <w:rsid w:val="00464FBD"/>
    <w:rsid w:val="00466051"/>
    <w:rsid w:val="004722FE"/>
    <w:rsid w:val="0047376D"/>
    <w:rsid w:val="00476742"/>
    <w:rsid w:val="00476FC6"/>
    <w:rsid w:val="00477CDD"/>
    <w:rsid w:val="00477E8B"/>
    <w:rsid w:val="00481137"/>
    <w:rsid w:val="0048279D"/>
    <w:rsid w:val="004829E6"/>
    <w:rsid w:val="00482CB8"/>
    <w:rsid w:val="00487B9F"/>
    <w:rsid w:val="00487F16"/>
    <w:rsid w:val="004908C1"/>
    <w:rsid w:val="0049198D"/>
    <w:rsid w:val="00491B45"/>
    <w:rsid w:val="00491F4C"/>
    <w:rsid w:val="004926E1"/>
    <w:rsid w:val="00495304"/>
    <w:rsid w:val="004A09B7"/>
    <w:rsid w:val="004A4E9F"/>
    <w:rsid w:val="004A6768"/>
    <w:rsid w:val="004B0289"/>
    <w:rsid w:val="004B03A7"/>
    <w:rsid w:val="004B2F37"/>
    <w:rsid w:val="004B4EE7"/>
    <w:rsid w:val="004B507F"/>
    <w:rsid w:val="004B74FE"/>
    <w:rsid w:val="004C0442"/>
    <w:rsid w:val="004C2698"/>
    <w:rsid w:val="004C3A92"/>
    <w:rsid w:val="004C7822"/>
    <w:rsid w:val="004D53D7"/>
    <w:rsid w:val="004D6249"/>
    <w:rsid w:val="004E0772"/>
    <w:rsid w:val="004E3106"/>
    <w:rsid w:val="004E56A8"/>
    <w:rsid w:val="004E75ED"/>
    <w:rsid w:val="004E7C2B"/>
    <w:rsid w:val="004F10E8"/>
    <w:rsid w:val="004F3FE9"/>
    <w:rsid w:val="004F4161"/>
    <w:rsid w:val="004F4C37"/>
    <w:rsid w:val="004F68BE"/>
    <w:rsid w:val="004F6F2C"/>
    <w:rsid w:val="004F70FA"/>
    <w:rsid w:val="004F727C"/>
    <w:rsid w:val="00502020"/>
    <w:rsid w:val="00502FF1"/>
    <w:rsid w:val="00503FEF"/>
    <w:rsid w:val="00505AA8"/>
    <w:rsid w:val="0050660C"/>
    <w:rsid w:val="00506D2B"/>
    <w:rsid w:val="0051107D"/>
    <w:rsid w:val="00514BD2"/>
    <w:rsid w:val="00515EDB"/>
    <w:rsid w:val="00516F29"/>
    <w:rsid w:val="005218D6"/>
    <w:rsid w:val="00525BA3"/>
    <w:rsid w:val="0053249B"/>
    <w:rsid w:val="00533135"/>
    <w:rsid w:val="00534756"/>
    <w:rsid w:val="0053484A"/>
    <w:rsid w:val="0053574E"/>
    <w:rsid w:val="00536244"/>
    <w:rsid w:val="005371E6"/>
    <w:rsid w:val="0054199F"/>
    <w:rsid w:val="00541A76"/>
    <w:rsid w:val="005465FD"/>
    <w:rsid w:val="005549B4"/>
    <w:rsid w:val="00561A35"/>
    <w:rsid w:val="0056350A"/>
    <w:rsid w:val="00565670"/>
    <w:rsid w:val="00570EDF"/>
    <w:rsid w:val="00575A0D"/>
    <w:rsid w:val="00575AA9"/>
    <w:rsid w:val="00582176"/>
    <w:rsid w:val="00584B72"/>
    <w:rsid w:val="00593E46"/>
    <w:rsid w:val="00596283"/>
    <w:rsid w:val="005A46DA"/>
    <w:rsid w:val="005A48EB"/>
    <w:rsid w:val="005A4CF7"/>
    <w:rsid w:val="005B05F8"/>
    <w:rsid w:val="005B1428"/>
    <w:rsid w:val="005B1CCA"/>
    <w:rsid w:val="005B2706"/>
    <w:rsid w:val="005B5809"/>
    <w:rsid w:val="005B6C89"/>
    <w:rsid w:val="005C1F00"/>
    <w:rsid w:val="005C30E8"/>
    <w:rsid w:val="005C3175"/>
    <w:rsid w:val="005C523A"/>
    <w:rsid w:val="005C74C2"/>
    <w:rsid w:val="005D1123"/>
    <w:rsid w:val="005D55BC"/>
    <w:rsid w:val="005D642E"/>
    <w:rsid w:val="005D6598"/>
    <w:rsid w:val="005D6A50"/>
    <w:rsid w:val="005D6B46"/>
    <w:rsid w:val="005D742F"/>
    <w:rsid w:val="005E654B"/>
    <w:rsid w:val="005E6DDA"/>
    <w:rsid w:val="005E72DA"/>
    <w:rsid w:val="005F07B3"/>
    <w:rsid w:val="00603B1D"/>
    <w:rsid w:val="006046F8"/>
    <w:rsid w:val="00606969"/>
    <w:rsid w:val="006105C0"/>
    <w:rsid w:val="006112CF"/>
    <w:rsid w:val="00612BC8"/>
    <w:rsid w:val="00613D5B"/>
    <w:rsid w:val="00614B6A"/>
    <w:rsid w:val="0062607B"/>
    <w:rsid w:val="00627321"/>
    <w:rsid w:val="00631EC6"/>
    <w:rsid w:val="00634479"/>
    <w:rsid w:val="006415C2"/>
    <w:rsid w:val="00641AEA"/>
    <w:rsid w:val="006423EE"/>
    <w:rsid w:val="00644B8D"/>
    <w:rsid w:val="006551F3"/>
    <w:rsid w:val="00655974"/>
    <w:rsid w:val="00655BF3"/>
    <w:rsid w:val="00657E83"/>
    <w:rsid w:val="006610FA"/>
    <w:rsid w:val="00665FAC"/>
    <w:rsid w:val="006673C7"/>
    <w:rsid w:val="00667B23"/>
    <w:rsid w:val="006826B9"/>
    <w:rsid w:val="00687256"/>
    <w:rsid w:val="0069223E"/>
    <w:rsid w:val="0069330C"/>
    <w:rsid w:val="0069402F"/>
    <w:rsid w:val="006A3147"/>
    <w:rsid w:val="006A3417"/>
    <w:rsid w:val="006A56E1"/>
    <w:rsid w:val="006B669E"/>
    <w:rsid w:val="006B6AC3"/>
    <w:rsid w:val="006B7307"/>
    <w:rsid w:val="006C2D01"/>
    <w:rsid w:val="006C4D60"/>
    <w:rsid w:val="006C77D0"/>
    <w:rsid w:val="006D002E"/>
    <w:rsid w:val="006D0159"/>
    <w:rsid w:val="006D2E28"/>
    <w:rsid w:val="006D4E8A"/>
    <w:rsid w:val="006E0180"/>
    <w:rsid w:val="006E46B1"/>
    <w:rsid w:val="006E5960"/>
    <w:rsid w:val="006E6111"/>
    <w:rsid w:val="006E70A3"/>
    <w:rsid w:val="006E7F27"/>
    <w:rsid w:val="006F77A7"/>
    <w:rsid w:val="006F7F0B"/>
    <w:rsid w:val="007013C6"/>
    <w:rsid w:val="007060BD"/>
    <w:rsid w:val="00706815"/>
    <w:rsid w:val="00712BE0"/>
    <w:rsid w:val="00713AF1"/>
    <w:rsid w:val="00715CBE"/>
    <w:rsid w:val="00715FC3"/>
    <w:rsid w:val="00723702"/>
    <w:rsid w:val="007257E7"/>
    <w:rsid w:val="007262B4"/>
    <w:rsid w:val="00731B35"/>
    <w:rsid w:val="0073230A"/>
    <w:rsid w:val="00733CD7"/>
    <w:rsid w:val="007340CE"/>
    <w:rsid w:val="007342AC"/>
    <w:rsid w:val="007367D5"/>
    <w:rsid w:val="00736B23"/>
    <w:rsid w:val="00741E0F"/>
    <w:rsid w:val="00744882"/>
    <w:rsid w:val="00745651"/>
    <w:rsid w:val="0074663C"/>
    <w:rsid w:val="00751411"/>
    <w:rsid w:val="007528E2"/>
    <w:rsid w:val="00760A68"/>
    <w:rsid w:val="00761CA5"/>
    <w:rsid w:val="0076218A"/>
    <w:rsid w:val="007650BF"/>
    <w:rsid w:val="007714E5"/>
    <w:rsid w:val="00771E42"/>
    <w:rsid w:val="00774AB6"/>
    <w:rsid w:val="00777FD6"/>
    <w:rsid w:val="00781439"/>
    <w:rsid w:val="00781B79"/>
    <w:rsid w:val="0078217A"/>
    <w:rsid w:val="00782FED"/>
    <w:rsid w:val="00785619"/>
    <w:rsid w:val="00785787"/>
    <w:rsid w:val="007872DB"/>
    <w:rsid w:val="007929DF"/>
    <w:rsid w:val="007A02B4"/>
    <w:rsid w:val="007A469A"/>
    <w:rsid w:val="007A7A8D"/>
    <w:rsid w:val="007B176B"/>
    <w:rsid w:val="007B2414"/>
    <w:rsid w:val="007B3708"/>
    <w:rsid w:val="007B5453"/>
    <w:rsid w:val="007C07D1"/>
    <w:rsid w:val="007C1828"/>
    <w:rsid w:val="007D5BC1"/>
    <w:rsid w:val="007E20A0"/>
    <w:rsid w:val="007E2EAE"/>
    <w:rsid w:val="007E309B"/>
    <w:rsid w:val="007E3155"/>
    <w:rsid w:val="007E3BFC"/>
    <w:rsid w:val="007F172C"/>
    <w:rsid w:val="0080600C"/>
    <w:rsid w:val="008061FF"/>
    <w:rsid w:val="00807F51"/>
    <w:rsid w:val="00807FD4"/>
    <w:rsid w:val="00810A96"/>
    <w:rsid w:val="0081367C"/>
    <w:rsid w:val="00813818"/>
    <w:rsid w:val="00821E93"/>
    <w:rsid w:val="0082751C"/>
    <w:rsid w:val="00830D21"/>
    <w:rsid w:val="0083150B"/>
    <w:rsid w:val="00833CE3"/>
    <w:rsid w:val="00840FAF"/>
    <w:rsid w:val="0084120E"/>
    <w:rsid w:val="00845F49"/>
    <w:rsid w:val="0084781B"/>
    <w:rsid w:val="00852EFF"/>
    <w:rsid w:val="00853791"/>
    <w:rsid w:val="0085386B"/>
    <w:rsid w:val="00853E52"/>
    <w:rsid w:val="00856002"/>
    <w:rsid w:val="00856666"/>
    <w:rsid w:val="008601BB"/>
    <w:rsid w:val="00864513"/>
    <w:rsid w:val="00864BF5"/>
    <w:rsid w:val="00864C8A"/>
    <w:rsid w:val="00866479"/>
    <w:rsid w:val="00866E0D"/>
    <w:rsid w:val="0087033C"/>
    <w:rsid w:val="008709EB"/>
    <w:rsid w:val="008725FB"/>
    <w:rsid w:val="008743F3"/>
    <w:rsid w:val="008778E7"/>
    <w:rsid w:val="00877948"/>
    <w:rsid w:val="008841A9"/>
    <w:rsid w:val="0088437E"/>
    <w:rsid w:val="00892E09"/>
    <w:rsid w:val="008945DB"/>
    <w:rsid w:val="0089717B"/>
    <w:rsid w:val="008A0ADD"/>
    <w:rsid w:val="008A1DAA"/>
    <w:rsid w:val="008A20C2"/>
    <w:rsid w:val="008A3140"/>
    <w:rsid w:val="008A4F48"/>
    <w:rsid w:val="008A58B6"/>
    <w:rsid w:val="008A5EDA"/>
    <w:rsid w:val="008A5F3E"/>
    <w:rsid w:val="008B1662"/>
    <w:rsid w:val="008B2C23"/>
    <w:rsid w:val="008B3EBC"/>
    <w:rsid w:val="008B5D49"/>
    <w:rsid w:val="008B6494"/>
    <w:rsid w:val="008C35C3"/>
    <w:rsid w:val="008C61D2"/>
    <w:rsid w:val="008C67F3"/>
    <w:rsid w:val="008C6EEF"/>
    <w:rsid w:val="008D13D3"/>
    <w:rsid w:val="008D154B"/>
    <w:rsid w:val="008D5675"/>
    <w:rsid w:val="008D74F7"/>
    <w:rsid w:val="008D7D7B"/>
    <w:rsid w:val="008E016F"/>
    <w:rsid w:val="008E082E"/>
    <w:rsid w:val="008E15FB"/>
    <w:rsid w:val="008E4583"/>
    <w:rsid w:val="008F064E"/>
    <w:rsid w:val="008F0764"/>
    <w:rsid w:val="008F21B9"/>
    <w:rsid w:val="008F2E05"/>
    <w:rsid w:val="008F6B2A"/>
    <w:rsid w:val="00901454"/>
    <w:rsid w:val="009015B4"/>
    <w:rsid w:val="00902F76"/>
    <w:rsid w:val="00903484"/>
    <w:rsid w:val="00904119"/>
    <w:rsid w:val="009046CA"/>
    <w:rsid w:val="00904BE5"/>
    <w:rsid w:val="00910146"/>
    <w:rsid w:val="0091076A"/>
    <w:rsid w:val="009112A9"/>
    <w:rsid w:val="00912565"/>
    <w:rsid w:val="00914563"/>
    <w:rsid w:val="00915605"/>
    <w:rsid w:val="00924000"/>
    <w:rsid w:val="00926A2C"/>
    <w:rsid w:val="00927AE1"/>
    <w:rsid w:val="009326A9"/>
    <w:rsid w:val="00935FA2"/>
    <w:rsid w:val="00936DF4"/>
    <w:rsid w:val="00937FE4"/>
    <w:rsid w:val="00940854"/>
    <w:rsid w:val="00942353"/>
    <w:rsid w:val="009444CD"/>
    <w:rsid w:val="009475AF"/>
    <w:rsid w:val="009513F0"/>
    <w:rsid w:val="009514D6"/>
    <w:rsid w:val="0095308F"/>
    <w:rsid w:val="0095490B"/>
    <w:rsid w:val="00956B46"/>
    <w:rsid w:val="00962BBE"/>
    <w:rsid w:val="009632CF"/>
    <w:rsid w:val="00965A1B"/>
    <w:rsid w:val="00965D64"/>
    <w:rsid w:val="00972AD7"/>
    <w:rsid w:val="009743B6"/>
    <w:rsid w:val="0097556E"/>
    <w:rsid w:val="00981F0B"/>
    <w:rsid w:val="00983BD0"/>
    <w:rsid w:val="009864F4"/>
    <w:rsid w:val="0099110C"/>
    <w:rsid w:val="0099609F"/>
    <w:rsid w:val="00997FCE"/>
    <w:rsid w:val="009A1CD3"/>
    <w:rsid w:val="009A43DE"/>
    <w:rsid w:val="009A45A4"/>
    <w:rsid w:val="009A6A9E"/>
    <w:rsid w:val="009B122D"/>
    <w:rsid w:val="009B4C18"/>
    <w:rsid w:val="009B7767"/>
    <w:rsid w:val="009C229C"/>
    <w:rsid w:val="009C449F"/>
    <w:rsid w:val="009C44C6"/>
    <w:rsid w:val="009C4D14"/>
    <w:rsid w:val="009C51CC"/>
    <w:rsid w:val="009C605C"/>
    <w:rsid w:val="009C736F"/>
    <w:rsid w:val="009D0335"/>
    <w:rsid w:val="009D4C3B"/>
    <w:rsid w:val="009D532C"/>
    <w:rsid w:val="009D7FC2"/>
    <w:rsid w:val="009E0177"/>
    <w:rsid w:val="009E19E8"/>
    <w:rsid w:val="009E2CF4"/>
    <w:rsid w:val="009E329A"/>
    <w:rsid w:val="009E4302"/>
    <w:rsid w:val="009E54C3"/>
    <w:rsid w:val="009E5D90"/>
    <w:rsid w:val="009E650B"/>
    <w:rsid w:val="009E6F22"/>
    <w:rsid w:val="009F1073"/>
    <w:rsid w:val="009F5CC0"/>
    <w:rsid w:val="009F7BDB"/>
    <w:rsid w:val="00A00835"/>
    <w:rsid w:val="00A02F72"/>
    <w:rsid w:val="00A033A6"/>
    <w:rsid w:val="00A036F3"/>
    <w:rsid w:val="00A0527F"/>
    <w:rsid w:val="00A1083E"/>
    <w:rsid w:val="00A125B4"/>
    <w:rsid w:val="00A12772"/>
    <w:rsid w:val="00A20300"/>
    <w:rsid w:val="00A2318A"/>
    <w:rsid w:val="00A2488A"/>
    <w:rsid w:val="00A26635"/>
    <w:rsid w:val="00A26FF7"/>
    <w:rsid w:val="00A3777D"/>
    <w:rsid w:val="00A40396"/>
    <w:rsid w:val="00A4289C"/>
    <w:rsid w:val="00A42C4E"/>
    <w:rsid w:val="00A46852"/>
    <w:rsid w:val="00A469FD"/>
    <w:rsid w:val="00A5237F"/>
    <w:rsid w:val="00A52BD3"/>
    <w:rsid w:val="00A52D99"/>
    <w:rsid w:val="00A5676B"/>
    <w:rsid w:val="00A60039"/>
    <w:rsid w:val="00A60DF6"/>
    <w:rsid w:val="00A6397D"/>
    <w:rsid w:val="00A67545"/>
    <w:rsid w:val="00A71B87"/>
    <w:rsid w:val="00A74FD0"/>
    <w:rsid w:val="00A75F2D"/>
    <w:rsid w:val="00A765D0"/>
    <w:rsid w:val="00A817DD"/>
    <w:rsid w:val="00A86B99"/>
    <w:rsid w:val="00A87E56"/>
    <w:rsid w:val="00A90C60"/>
    <w:rsid w:val="00A913F8"/>
    <w:rsid w:val="00A92F41"/>
    <w:rsid w:val="00A9594F"/>
    <w:rsid w:val="00A971F0"/>
    <w:rsid w:val="00A97A39"/>
    <w:rsid w:val="00AA0702"/>
    <w:rsid w:val="00AA07C2"/>
    <w:rsid w:val="00AA2418"/>
    <w:rsid w:val="00AA7802"/>
    <w:rsid w:val="00AB2715"/>
    <w:rsid w:val="00AB3C14"/>
    <w:rsid w:val="00AB3E5B"/>
    <w:rsid w:val="00AB6107"/>
    <w:rsid w:val="00AB7B06"/>
    <w:rsid w:val="00AC3BD5"/>
    <w:rsid w:val="00AC47F2"/>
    <w:rsid w:val="00AC771B"/>
    <w:rsid w:val="00AD155F"/>
    <w:rsid w:val="00AD3EAB"/>
    <w:rsid w:val="00AD482A"/>
    <w:rsid w:val="00AD5510"/>
    <w:rsid w:val="00AE1A0D"/>
    <w:rsid w:val="00AE244F"/>
    <w:rsid w:val="00AE3C89"/>
    <w:rsid w:val="00AE3EF8"/>
    <w:rsid w:val="00AE4814"/>
    <w:rsid w:val="00AE74F3"/>
    <w:rsid w:val="00AE76FE"/>
    <w:rsid w:val="00AE7881"/>
    <w:rsid w:val="00AF4A51"/>
    <w:rsid w:val="00AF55B7"/>
    <w:rsid w:val="00AF6207"/>
    <w:rsid w:val="00B0039E"/>
    <w:rsid w:val="00B0182F"/>
    <w:rsid w:val="00B04DD1"/>
    <w:rsid w:val="00B0592A"/>
    <w:rsid w:val="00B075C9"/>
    <w:rsid w:val="00B0799C"/>
    <w:rsid w:val="00B13336"/>
    <w:rsid w:val="00B134B3"/>
    <w:rsid w:val="00B15422"/>
    <w:rsid w:val="00B17A47"/>
    <w:rsid w:val="00B17F0B"/>
    <w:rsid w:val="00B22A0F"/>
    <w:rsid w:val="00B30226"/>
    <w:rsid w:val="00B30E53"/>
    <w:rsid w:val="00B32015"/>
    <w:rsid w:val="00B33693"/>
    <w:rsid w:val="00B3555D"/>
    <w:rsid w:val="00B3564C"/>
    <w:rsid w:val="00B361B4"/>
    <w:rsid w:val="00B40C53"/>
    <w:rsid w:val="00B423A9"/>
    <w:rsid w:val="00B4399E"/>
    <w:rsid w:val="00B44C80"/>
    <w:rsid w:val="00B476E0"/>
    <w:rsid w:val="00B4793A"/>
    <w:rsid w:val="00B47F06"/>
    <w:rsid w:val="00B506CA"/>
    <w:rsid w:val="00B506F6"/>
    <w:rsid w:val="00B513F2"/>
    <w:rsid w:val="00B53D7B"/>
    <w:rsid w:val="00B53DF7"/>
    <w:rsid w:val="00B5479F"/>
    <w:rsid w:val="00B54E23"/>
    <w:rsid w:val="00B550B9"/>
    <w:rsid w:val="00B57820"/>
    <w:rsid w:val="00B60CE4"/>
    <w:rsid w:val="00B61650"/>
    <w:rsid w:val="00B62456"/>
    <w:rsid w:val="00B65964"/>
    <w:rsid w:val="00B65E1E"/>
    <w:rsid w:val="00B70BC9"/>
    <w:rsid w:val="00B717F0"/>
    <w:rsid w:val="00B77375"/>
    <w:rsid w:val="00B81581"/>
    <w:rsid w:val="00B81B58"/>
    <w:rsid w:val="00B81ECF"/>
    <w:rsid w:val="00B84CF4"/>
    <w:rsid w:val="00B86DBB"/>
    <w:rsid w:val="00B876DF"/>
    <w:rsid w:val="00B9495A"/>
    <w:rsid w:val="00B9526D"/>
    <w:rsid w:val="00B97139"/>
    <w:rsid w:val="00B973BF"/>
    <w:rsid w:val="00BA0DDD"/>
    <w:rsid w:val="00BA12D9"/>
    <w:rsid w:val="00BA42E9"/>
    <w:rsid w:val="00BA4505"/>
    <w:rsid w:val="00BA6720"/>
    <w:rsid w:val="00BB07CE"/>
    <w:rsid w:val="00BB2921"/>
    <w:rsid w:val="00BB2CB1"/>
    <w:rsid w:val="00BB6974"/>
    <w:rsid w:val="00BB7428"/>
    <w:rsid w:val="00BB7593"/>
    <w:rsid w:val="00BB7714"/>
    <w:rsid w:val="00BB7DD1"/>
    <w:rsid w:val="00BB7F58"/>
    <w:rsid w:val="00BC1167"/>
    <w:rsid w:val="00BC2ACC"/>
    <w:rsid w:val="00BC3AAA"/>
    <w:rsid w:val="00BC4C09"/>
    <w:rsid w:val="00BC50AF"/>
    <w:rsid w:val="00BD1426"/>
    <w:rsid w:val="00BD31AE"/>
    <w:rsid w:val="00BD5553"/>
    <w:rsid w:val="00BE05B9"/>
    <w:rsid w:val="00BE311F"/>
    <w:rsid w:val="00BE3C88"/>
    <w:rsid w:val="00BE7413"/>
    <w:rsid w:val="00BE7879"/>
    <w:rsid w:val="00BF549D"/>
    <w:rsid w:val="00C000B2"/>
    <w:rsid w:val="00C02A4B"/>
    <w:rsid w:val="00C067B5"/>
    <w:rsid w:val="00C16C62"/>
    <w:rsid w:val="00C2125D"/>
    <w:rsid w:val="00C21F7D"/>
    <w:rsid w:val="00C22A47"/>
    <w:rsid w:val="00C2388C"/>
    <w:rsid w:val="00C27A5D"/>
    <w:rsid w:val="00C3594F"/>
    <w:rsid w:val="00C40E43"/>
    <w:rsid w:val="00C42410"/>
    <w:rsid w:val="00C4616C"/>
    <w:rsid w:val="00C5042C"/>
    <w:rsid w:val="00C5181B"/>
    <w:rsid w:val="00C51983"/>
    <w:rsid w:val="00C526EF"/>
    <w:rsid w:val="00C6073A"/>
    <w:rsid w:val="00C610B4"/>
    <w:rsid w:val="00C61282"/>
    <w:rsid w:val="00C62D65"/>
    <w:rsid w:val="00C6344E"/>
    <w:rsid w:val="00C63652"/>
    <w:rsid w:val="00C6533A"/>
    <w:rsid w:val="00C70A0F"/>
    <w:rsid w:val="00C717F3"/>
    <w:rsid w:val="00C7495D"/>
    <w:rsid w:val="00C7539C"/>
    <w:rsid w:val="00C766B2"/>
    <w:rsid w:val="00C812F8"/>
    <w:rsid w:val="00C83BFE"/>
    <w:rsid w:val="00C84203"/>
    <w:rsid w:val="00C842F0"/>
    <w:rsid w:val="00C85DB2"/>
    <w:rsid w:val="00C8652D"/>
    <w:rsid w:val="00C87FF9"/>
    <w:rsid w:val="00C952BC"/>
    <w:rsid w:val="00CA2D86"/>
    <w:rsid w:val="00CA376E"/>
    <w:rsid w:val="00CA3F23"/>
    <w:rsid w:val="00CA40A7"/>
    <w:rsid w:val="00CA40A8"/>
    <w:rsid w:val="00CA4A32"/>
    <w:rsid w:val="00CA67DC"/>
    <w:rsid w:val="00CA6DAF"/>
    <w:rsid w:val="00CB4BE9"/>
    <w:rsid w:val="00CC03F9"/>
    <w:rsid w:val="00CC498F"/>
    <w:rsid w:val="00CC5CAB"/>
    <w:rsid w:val="00CC6655"/>
    <w:rsid w:val="00CD03D2"/>
    <w:rsid w:val="00CD3950"/>
    <w:rsid w:val="00CD4DA8"/>
    <w:rsid w:val="00CE1078"/>
    <w:rsid w:val="00CE23DE"/>
    <w:rsid w:val="00CE377A"/>
    <w:rsid w:val="00CF1D23"/>
    <w:rsid w:val="00D0073F"/>
    <w:rsid w:val="00D05A27"/>
    <w:rsid w:val="00D1255D"/>
    <w:rsid w:val="00D13D04"/>
    <w:rsid w:val="00D13D35"/>
    <w:rsid w:val="00D14FBB"/>
    <w:rsid w:val="00D15E59"/>
    <w:rsid w:val="00D16363"/>
    <w:rsid w:val="00D16464"/>
    <w:rsid w:val="00D16E45"/>
    <w:rsid w:val="00D208FC"/>
    <w:rsid w:val="00D20E92"/>
    <w:rsid w:val="00D22974"/>
    <w:rsid w:val="00D250FE"/>
    <w:rsid w:val="00D30069"/>
    <w:rsid w:val="00D3348B"/>
    <w:rsid w:val="00D33D24"/>
    <w:rsid w:val="00D3487B"/>
    <w:rsid w:val="00D366B3"/>
    <w:rsid w:val="00D435BA"/>
    <w:rsid w:val="00D44AA4"/>
    <w:rsid w:val="00D4529D"/>
    <w:rsid w:val="00D51173"/>
    <w:rsid w:val="00D5308B"/>
    <w:rsid w:val="00D557CC"/>
    <w:rsid w:val="00D56368"/>
    <w:rsid w:val="00D579F2"/>
    <w:rsid w:val="00D6009C"/>
    <w:rsid w:val="00D62A92"/>
    <w:rsid w:val="00D64975"/>
    <w:rsid w:val="00D65AD9"/>
    <w:rsid w:val="00D65DDA"/>
    <w:rsid w:val="00D66649"/>
    <w:rsid w:val="00D7073A"/>
    <w:rsid w:val="00D750C3"/>
    <w:rsid w:val="00D76058"/>
    <w:rsid w:val="00D7630E"/>
    <w:rsid w:val="00D83A56"/>
    <w:rsid w:val="00D909A7"/>
    <w:rsid w:val="00D96ECB"/>
    <w:rsid w:val="00DA1D11"/>
    <w:rsid w:val="00DA3ADD"/>
    <w:rsid w:val="00DB021F"/>
    <w:rsid w:val="00DB0E96"/>
    <w:rsid w:val="00DB1D77"/>
    <w:rsid w:val="00DB3727"/>
    <w:rsid w:val="00DB374F"/>
    <w:rsid w:val="00DB5422"/>
    <w:rsid w:val="00DB54C6"/>
    <w:rsid w:val="00DB5E29"/>
    <w:rsid w:val="00DC0D78"/>
    <w:rsid w:val="00DC1433"/>
    <w:rsid w:val="00DC3997"/>
    <w:rsid w:val="00DC702E"/>
    <w:rsid w:val="00DD06F0"/>
    <w:rsid w:val="00DD4BE0"/>
    <w:rsid w:val="00DD518A"/>
    <w:rsid w:val="00DD55C3"/>
    <w:rsid w:val="00DE0719"/>
    <w:rsid w:val="00DE12B2"/>
    <w:rsid w:val="00DF0208"/>
    <w:rsid w:val="00DF0783"/>
    <w:rsid w:val="00DF23DA"/>
    <w:rsid w:val="00DF2B08"/>
    <w:rsid w:val="00DF462B"/>
    <w:rsid w:val="00DF62C0"/>
    <w:rsid w:val="00DF696E"/>
    <w:rsid w:val="00DF7A73"/>
    <w:rsid w:val="00E002FB"/>
    <w:rsid w:val="00E022D6"/>
    <w:rsid w:val="00E02E86"/>
    <w:rsid w:val="00E073F7"/>
    <w:rsid w:val="00E07B75"/>
    <w:rsid w:val="00E107E1"/>
    <w:rsid w:val="00E16162"/>
    <w:rsid w:val="00E2143F"/>
    <w:rsid w:val="00E23E2E"/>
    <w:rsid w:val="00E25035"/>
    <w:rsid w:val="00E27A97"/>
    <w:rsid w:val="00E3097F"/>
    <w:rsid w:val="00E31651"/>
    <w:rsid w:val="00E31F5A"/>
    <w:rsid w:val="00E33BFB"/>
    <w:rsid w:val="00E37EB7"/>
    <w:rsid w:val="00E51776"/>
    <w:rsid w:val="00E52D03"/>
    <w:rsid w:val="00E55770"/>
    <w:rsid w:val="00E55841"/>
    <w:rsid w:val="00E5686E"/>
    <w:rsid w:val="00E601B4"/>
    <w:rsid w:val="00E606F0"/>
    <w:rsid w:val="00E63BAF"/>
    <w:rsid w:val="00E63F9F"/>
    <w:rsid w:val="00E66A09"/>
    <w:rsid w:val="00E66E17"/>
    <w:rsid w:val="00E67465"/>
    <w:rsid w:val="00E721C5"/>
    <w:rsid w:val="00E726B2"/>
    <w:rsid w:val="00E75888"/>
    <w:rsid w:val="00E8014B"/>
    <w:rsid w:val="00E80A36"/>
    <w:rsid w:val="00E821FE"/>
    <w:rsid w:val="00E8232B"/>
    <w:rsid w:val="00E85EC6"/>
    <w:rsid w:val="00E86C5A"/>
    <w:rsid w:val="00E876C2"/>
    <w:rsid w:val="00E907A5"/>
    <w:rsid w:val="00E93777"/>
    <w:rsid w:val="00E93AB3"/>
    <w:rsid w:val="00E94D30"/>
    <w:rsid w:val="00EA0686"/>
    <w:rsid w:val="00EA58CE"/>
    <w:rsid w:val="00EB22B8"/>
    <w:rsid w:val="00EB2EAB"/>
    <w:rsid w:val="00EB3E88"/>
    <w:rsid w:val="00EB49DF"/>
    <w:rsid w:val="00EB5173"/>
    <w:rsid w:val="00EB555A"/>
    <w:rsid w:val="00EC132A"/>
    <w:rsid w:val="00EC2B6F"/>
    <w:rsid w:val="00EC4418"/>
    <w:rsid w:val="00EC4BEE"/>
    <w:rsid w:val="00EC513B"/>
    <w:rsid w:val="00EC614A"/>
    <w:rsid w:val="00EC6175"/>
    <w:rsid w:val="00ED0F0A"/>
    <w:rsid w:val="00ED1821"/>
    <w:rsid w:val="00ED2FB2"/>
    <w:rsid w:val="00ED41FC"/>
    <w:rsid w:val="00EE2018"/>
    <w:rsid w:val="00EE3E27"/>
    <w:rsid w:val="00EE408D"/>
    <w:rsid w:val="00EE6419"/>
    <w:rsid w:val="00EF1A12"/>
    <w:rsid w:val="00EF1CEE"/>
    <w:rsid w:val="00EF27DD"/>
    <w:rsid w:val="00EF3D94"/>
    <w:rsid w:val="00EF5D35"/>
    <w:rsid w:val="00F01C24"/>
    <w:rsid w:val="00F01F54"/>
    <w:rsid w:val="00F065DA"/>
    <w:rsid w:val="00F1031A"/>
    <w:rsid w:val="00F10A65"/>
    <w:rsid w:val="00F12157"/>
    <w:rsid w:val="00F13A5C"/>
    <w:rsid w:val="00F1502A"/>
    <w:rsid w:val="00F16372"/>
    <w:rsid w:val="00F17AA9"/>
    <w:rsid w:val="00F2319B"/>
    <w:rsid w:val="00F25C95"/>
    <w:rsid w:val="00F272F9"/>
    <w:rsid w:val="00F34258"/>
    <w:rsid w:val="00F35A42"/>
    <w:rsid w:val="00F36508"/>
    <w:rsid w:val="00F371FE"/>
    <w:rsid w:val="00F44AC5"/>
    <w:rsid w:val="00F45162"/>
    <w:rsid w:val="00F4524C"/>
    <w:rsid w:val="00F46421"/>
    <w:rsid w:val="00F46D19"/>
    <w:rsid w:val="00F47838"/>
    <w:rsid w:val="00F47E8E"/>
    <w:rsid w:val="00F543B7"/>
    <w:rsid w:val="00F54550"/>
    <w:rsid w:val="00F5565E"/>
    <w:rsid w:val="00F56C9F"/>
    <w:rsid w:val="00F60825"/>
    <w:rsid w:val="00F6120F"/>
    <w:rsid w:val="00F61799"/>
    <w:rsid w:val="00F61DB7"/>
    <w:rsid w:val="00F63C74"/>
    <w:rsid w:val="00F6502C"/>
    <w:rsid w:val="00F70167"/>
    <w:rsid w:val="00F81280"/>
    <w:rsid w:val="00F822CE"/>
    <w:rsid w:val="00F84134"/>
    <w:rsid w:val="00F867B7"/>
    <w:rsid w:val="00F87FB8"/>
    <w:rsid w:val="00F90986"/>
    <w:rsid w:val="00F92C1B"/>
    <w:rsid w:val="00F92FC6"/>
    <w:rsid w:val="00F95677"/>
    <w:rsid w:val="00F96EEC"/>
    <w:rsid w:val="00FA2061"/>
    <w:rsid w:val="00FA63F5"/>
    <w:rsid w:val="00FA7D76"/>
    <w:rsid w:val="00FB04EE"/>
    <w:rsid w:val="00FB0BA0"/>
    <w:rsid w:val="00FB1101"/>
    <w:rsid w:val="00FB11D9"/>
    <w:rsid w:val="00FB33CD"/>
    <w:rsid w:val="00FB7B53"/>
    <w:rsid w:val="00FC1365"/>
    <w:rsid w:val="00FC1773"/>
    <w:rsid w:val="00FC3E1C"/>
    <w:rsid w:val="00FC40F3"/>
    <w:rsid w:val="00FC5904"/>
    <w:rsid w:val="00FC6840"/>
    <w:rsid w:val="00FD2513"/>
    <w:rsid w:val="00FD59D7"/>
    <w:rsid w:val="00FD6E8D"/>
    <w:rsid w:val="00FE3C65"/>
    <w:rsid w:val="00FE4562"/>
    <w:rsid w:val="00FE5B9F"/>
    <w:rsid w:val="00FE77E7"/>
    <w:rsid w:val="00FF00B7"/>
    <w:rsid w:val="00FF4116"/>
    <w:rsid w:val="00FF5A08"/>
    <w:rsid w:val="00FF6CEC"/>
    <w:rsid w:val="00FF7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8968"/>
  <w15:docId w15:val="{3D891C18-5A86-4FA5-A0EB-5029F77C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E71"/>
    <w:pPr>
      <w:keepNext/>
      <w:keepLines/>
      <w:spacing w:before="480" w:after="0"/>
      <w:outlineLvl w:val="0"/>
    </w:pPr>
    <w:rPr>
      <w:rFonts w:asciiTheme="majorHAnsi" w:eastAsiaTheme="majorEastAsia" w:hAnsiTheme="majorHAnsi" w:cstheme="majorBidi"/>
      <w:b/>
      <w:bCs/>
      <w:color w:val="C65F09" w:themeColor="accent1" w:themeShade="BF"/>
      <w:sz w:val="28"/>
      <w:szCs w:val="28"/>
    </w:rPr>
  </w:style>
  <w:style w:type="paragraph" w:styleId="Heading2">
    <w:name w:val="heading 2"/>
    <w:basedOn w:val="Normal"/>
    <w:next w:val="Normal"/>
    <w:link w:val="Heading2Char"/>
    <w:uiPriority w:val="9"/>
    <w:unhideWhenUsed/>
    <w:qFormat/>
    <w:rsid w:val="005E72DA"/>
    <w:pPr>
      <w:keepNext/>
      <w:keepLines/>
      <w:spacing w:before="200" w:after="0"/>
      <w:outlineLvl w:val="1"/>
    </w:pPr>
    <w:rPr>
      <w:rFonts w:asciiTheme="majorHAnsi" w:eastAsiaTheme="majorEastAsia" w:hAnsiTheme="majorHAnsi" w:cstheme="majorBidi"/>
      <w:b/>
      <w:bCs/>
      <w:color w:val="F58220" w:themeColor="accent1"/>
      <w:sz w:val="26"/>
      <w:szCs w:val="26"/>
    </w:rPr>
  </w:style>
  <w:style w:type="paragraph" w:styleId="Heading3">
    <w:name w:val="heading 3"/>
    <w:basedOn w:val="Normal"/>
    <w:next w:val="Normal"/>
    <w:link w:val="Heading3Char"/>
    <w:uiPriority w:val="9"/>
    <w:unhideWhenUsed/>
    <w:qFormat/>
    <w:rsid w:val="00094911"/>
    <w:pPr>
      <w:keepNext/>
      <w:keepLines/>
      <w:spacing w:before="40" w:after="0" w:line="259" w:lineRule="auto"/>
      <w:outlineLvl w:val="2"/>
    </w:pPr>
    <w:rPr>
      <w:rFonts w:asciiTheme="majorHAnsi" w:eastAsiaTheme="majorEastAsia" w:hAnsiTheme="majorHAnsi" w:cstheme="majorBidi"/>
      <w:color w:val="833F0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2DA"/>
    <w:rPr>
      <w:rFonts w:asciiTheme="majorHAnsi" w:eastAsiaTheme="majorEastAsia" w:hAnsiTheme="majorHAnsi" w:cstheme="majorBidi"/>
      <w:b/>
      <w:bCs/>
      <w:color w:val="F58220" w:themeColor="accent1"/>
      <w:sz w:val="26"/>
      <w:szCs w:val="26"/>
    </w:rPr>
  </w:style>
  <w:style w:type="paragraph" w:styleId="Subtitle">
    <w:name w:val="Subtitle"/>
    <w:basedOn w:val="Normal"/>
    <w:next w:val="Normal"/>
    <w:link w:val="SubtitleChar"/>
    <w:uiPriority w:val="11"/>
    <w:qFormat/>
    <w:rsid w:val="005E72DA"/>
    <w:pPr>
      <w:numPr>
        <w:ilvl w:val="1"/>
      </w:numPr>
    </w:pPr>
    <w:rPr>
      <w:rFonts w:asciiTheme="majorHAnsi" w:eastAsiaTheme="majorEastAsia" w:hAnsiTheme="majorHAnsi" w:cstheme="majorBidi"/>
      <w:i/>
      <w:iCs/>
      <w:color w:val="F58220" w:themeColor="accent1"/>
      <w:spacing w:val="15"/>
      <w:sz w:val="24"/>
      <w:szCs w:val="24"/>
    </w:rPr>
  </w:style>
  <w:style w:type="character" w:customStyle="1" w:styleId="SubtitleChar">
    <w:name w:val="Subtitle Char"/>
    <w:basedOn w:val="DefaultParagraphFont"/>
    <w:link w:val="Subtitle"/>
    <w:uiPriority w:val="11"/>
    <w:rsid w:val="005E72DA"/>
    <w:rPr>
      <w:rFonts w:asciiTheme="majorHAnsi" w:eastAsiaTheme="majorEastAsia" w:hAnsiTheme="majorHAnsi" w:cstheme="majorBidi"/>
      <w:i/>
      <w:iCs/>
      <w:color w:val="F58220" w:themeColor="accent1"/>
      <w:spacing w:val="15"/>
      <w:sz w:val="24"/>
      <w:szCs w:val="24"/>
    </w:rPr>
  </w:style>
  <w:style w:type="paragraph" w:styleId="BalloonText">
    <w:name w:val="Balloon Text"/>
    <w:basedOn w:val="Normal"/>
    <w:link w:val="BalloonTextChar"/>
    <w:uiPriority w:val="99"/>
    <w:semiHidden/>
    <w:unhideWhenUsed/>
    <w:rsid w:val="005E7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DA"/>
    <w:rPr>
      <w:rFonts w:ascii="Tahoma" w:hAnsi="Tahoma" w:cs="Tahoma"/>
      <w:sz w:val="16"/>
      <w:szCs w:val="16"/>
    </w:rPr>
  </w:style>
  <w:style w:type="character" w:customStyle="1" w:styleId="Heading1Char">
    <w:name w:val="Heading 1 Char"/>
    <w:basedOn w:val="DefaultParagraphFont"/>
    <w:link w:val="Heading1"/>
    <w:uiPriority w:val="9"/>
    <w:rsid w:val="002A5E71"/>
    <w:rPr>
      <w:rFonts w:asciiTheme="majorHAnsi" w:eastAsiaTheme="majorEastAsia" w:hAnsiTheme="majorHAnsi" w:cstheme="majorBidi"/>
      <w:b/>
      <w:bCs/>
      <w:color w:val="C65F09" w:themeColor="accent1" w:themeShade="BF"/>
      <w:sz w:val="28"/>
      <w:szCs w:val="28"/>
    </w:rPr>
  </w:style>
  <w:style w:type="paragraph" w:styleId="ListParagraph">
    <w:name w:val="List Paragraph"/>
    <w:basedOn w:val="Normal"/>
    <w:link w:val="ListParagraphChar"/>
    <w:uiPriority w:val="34"/>
    <w:qFormat/>
    <w:rsid w:val="00441BFA"/>
    <w:pPr>
      <w:ind w:left="720"/>
      <w:contextualSpacing/>
    </w:pPr>
  </w:style>
  <w:style w:type="character" w:styleId="CommentReference">
    <w:name w:val="annotation reference"/>
    <w:basedOn w:val="DefaultParagraphFont"/>
    <w:uiPriority w:val="99"/>
    <w:semiHidden/>
    <w:unhideWhenUsed/>
    <w:rsid w:val="00781B79"/>
    <w:rPr>
      <w:sz w:val="16"/>
      <w:szCs w:val="16"/>
    </w:rPr>
  </w:style>
  <w:style w:type="paragraph" w:styleId="CommentText">
    <w:name w:val="annotation text"/>
    <w:basedOn w:val="Normal"/>
    <w:link w:val="CommentTextChar"/>
    <w:uiPriority w:val="99"/>
    <w:unhideWhenUsed/>
    <w:rsid w:val="00781B79"/>
    <w:pPr>
      <w:spacing w:line="240" w:lineRule="auto"/>
    </w:pPr>
    <w:rPr>
      <w:sz w:val="20"/>
      <w:szCs w:val="20"/>
    </w:rPr>
  </w:style>
  <w:style w:type="character" w:customStyle="1" w:styleId="CommentTextChar">
    <w:name w:val="Comment Text Char"/>
    <w:basedOn w:val="DefaultParagraphFont"/>
    <w:link w:val="CommentText"/>
    <w:uiPriority w:val="99"/>
    <w:rsid w:val="00781B79"/>
    <w:rPr>
      <w:sz w:val="20"/>
      <w:szCs w:val="20"/>
    </w:rPr>
  </w:style>
  <w:style w:type="paragraph" w:styleId="CommentSubject">
    <w:name w:val="annotation subject"/>
    <w:basedOn w:val="CommentText"/>
    <w:next w:val="CommentText"/>
    <w:link w:val="CommentSubjectChar"/>
    <w:uiPriority w:val="99"/>
    <w:semiHidden/>
    <w:unhideWhenUsed/>
    <w:rsid w:val="00781B79"/>
    <w:rPr>
      <w:b/>
      <w:bCs/>
    </w:rPr>
  </w:style>
  <w:style w:type="character" w:customStyle="1" w:styleId="CommentSubjectChar">
    <w:name w:val="Comment Subject Char"/>
    <w:basedOn w:val="CommentTextChar"/>
    <w:link w:val="CommentSubject"/>
    <w:uiPriority w:val="99"/>
    <w:semiHidden/>
    <w:rsid w:val="00781B79"/>
    <w:rPr>
      <w:b/>
      <w:bCs/>
      <w:sz w:val="20"/>
      <w:szCs w:val="20"/>
    </w:rPr>
  </w:style>
  <w:style w:type="paragraph" w:styleId="NoSpacing">
    <w:name w:val="No Spacing"/>
    <w:uiPriority w:val="1"/>
    <w:qFormat/>
    <w:rsid w:val="009F107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94911"/>
    <w:rPr>
      <w:rFonts w:asciiTheme="majorHAnsi" w:eastAsiaTheme="majorEastAsia" w:hAnsiTheme="majorHAnsi" w:cstheme="majorBidi"/>
      <w:color w:val="833F06" w:themeColor="accent1" w:themeShade="7F"/>
      <w:sz w:val="24"/>
      <w:szCs w:val="24"/>
    </w:rPr>
  </w:style>
  <w:style w:type="character" w:customStyle="1" w:styleId="ListParagraphChar">
    <w:name w:val="List Paragraph Char"/>
    <w:link w:val="ListParagraph"/>
    <w:uiPriority w:val="34"/>
    <w:rsid w:val="005465FD"/>
  </w:style>
  <w:style w:type="paragraph" w:styleId="NormalWeb">
    <w:name w:val="Normal (Web)"/>
    <w:basedOn w:val="Normal"/>
    <w:uiPriority w:val="99"/>
    <w:unhideWhenUsed/>
    <w:rsid w:val="00B952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6E5960"/>
    <w:rPr>
      <w:i/>
      <w:iCs/>
    </w:rPr>
  </w:style>
  <w:style w:type="character" w:styleId="Strong">
    <w:name w:val="Strong"/>
    <w:basedOn w:val="DefaultParagraphFont"/>
    <w:uiPriority w:val="22"/>
    <w:qFormat/>
    <w:rsid w:val="006E5960"/>
    <w:rPr>
      <w:b/>
      <w:bCs/>
    </w:rPr>
  </w:style>
  <w:style w:type="paragraph" w:styleId="Revision">
    <w:name w:val="Revision"/>
    <w:hidden/>
    <w:uiPriority w:val="99"/>
    <w:semiHidden/>
    <w:rsid w:val="00F45162"/>
    <w:pPr>
      <w:spacing w:after="0" w:line="240" w:lineRule="auto"/>
    </w:pPr>
  </w:style>
  <w:style w:type="paragraph" w:customStyle="1" w:styleId="paragraph">
    <w:name w:val="paragraph"/>
    <w:basedOn w:val="Normal"/>
    <w:rsid w:val="000D415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0D4159"/>
  </w:style>
  <w:style w:type="character" w:customStyle="1" w:styleId="eop">
    <w:name w:val="eop"/>
    <w:basedOn w:val="DefaultParagraphFont"/>
    <w:rsid w:val="000D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438">
      <w:bodyDiv w:val="1"/>
      <w:marLeft w:val="0"/>
      <w:marRight w:val="0"/>
      <w:marTop w:val="0"/>
      <w:marBottom w:val="0"/>
      <w:divBdr>
        <w:top w:val="none" w:sz="0" w:space="0" w:color="auto"/>
        <w:left w:val="none" w:sz="0" w:space="0" w:color="auto"/>
        <w:bottom w:val="none" w:sz="0" w:space="0" w:color="auto"/>
        <w:right w:val="none" w:sz="0" w:space="0" w:color="auto"/>
      </w:divBdr>
    </w:div>
    <w:div w:id="367681412">
      <w:bodyDiv w:val="1"/>
      <w:marLeft w:val="0"/>
      <w:marRight w:val="0"/>
      <w:marTop w:val="0"/>
      <w:marBottom w:val="0"/>
      <w:divBdr>
        <w:top w:val="none" w:sz="0" w:space="0" w:color="auto"/>
        <w:left w:val="none" w:sz="0" w:space="0" w:color="auto"/>
        <w:bottom w:val="none" w:sz="0" w:space="0" w:color="auto"/>
        <w:right w:val="none" w:sz="0" w:space="0" w:color="auto"/>
      </w:divBdr>
    </w:div>
    <w:div w:id="380323532">
      <w:bodyDiv w:val="1"/>
      <w:marLeft w:val="0"/>
      <w:marRight w:val="0"/>
      <w:marTop w:val="0"/>
      <w:marBottom w:val="0"/>
      <w:divBdr>
        <w:top w:val="none" w:sz="0" w:space="0" w:color="auto"/>
        <w:left w:val="none" w:sz="0" w:space="0" w:color="auto"/>
        <w:bottom w:val="none" w:sz="0" w:space="0" w:color="auto"/>
        <w:right w:val="none" w:sz="0" w:space="0" w:color="auto"/>
      </w:divBdr>
    </w:div>
    <w:div w:id="540092588">
      <w:bodyDiv w:val="1"/>
      <w:marLeft w:val="0"/>
      <w:marRight w:val="0"/>
      <w:marTop w:val="0"/>
      <w:marBottom w:val="0"/>
      <w:divBdr>
        <w:top w:val="none" w:sz="0" w:space="0" w:color="auto"/>
        <w:left w:val="none" w:sz="0" w:space="0" w:color="auto"/>
        <w:bottom w:val="none" w:sz="0" w:space="0" w:color="auto"/>
        <w:right w:val="none" w:sz="0" w:space="0" w:color="auto"/>
      </w:divBdr>
    </w:div>
    <w:div w:id="673340831">
      <w:bodyDiv w:val="1"/>
      <w:marLeft w:val="0"/>
      <w:marRight w:val="0"/>
      <w:marTop w:val="0"/>
      <w:marBottom w:val="0"/>
      <w:divBdr>
        <w:top w:val="none" w:sz="0" w:space="0" w:color="auto"/>
        <w:left w:val="none" w:sz="0" w:space="0" w:color="auto"/>
        <w:bottom w:val="none" w:sz="0" w:space="0" w:color="auto"/>
        <w:right w:val="none" w:sz="0" w:space="0" w:color="auto"/>
      </w:divBdr>
      <w:divsChild>
        <w:div w:id="1478716970">
          <w:marLeft w:val="0"/>
          <w:marRight w:val="0"/>
          <w:marTop w:val="0"/>
          <w:marBottom w:val="0"/>
          <w:divBdr>
            <w:top w:val="none" w:sz="0" w:space="0" w:color="auto"/>
            <w:left w:val="none" w:sz="0" w:space="0" w:color="auto"/>
            <w:bottom w:val="none" w:sz="0" w:space="0" w:color="auto"/>
            <w:right w:val="none" w:sz="0" w:space="0" w:color="auto"/>
          </w:divBdr>
        </w:div>
        <w:div w:id="1796750452">
          <w:marLeft w:val="0"/>
          <w:marRight w:val="0"/>
          <w:marTop w:val="0"/>
          <w:marBottom w:val="0"/>
          <w:divBdr>
            <w:top w:val="none" w:sz="0" w:space="0" w:color="auto"/>
            <w:left w:val="none" w:sz="0" w:space="0" w:color="auto"/>
            <w:bottom w:val="none" w:sz="0" w:space="0" w:color="auto"/>
            <w:right w:val="none" w:sz="0" w:space="0" w:color="auto"/>
          </w:divBdr>
        </w:div>
        <w:div w:id="1289358473">
          <w:marLeft w:val="0"/>
          <w:marRight w:val="0"/>
          <w:marTop w:val="0"/>
          <w:marBottom w:val="0"/>
          <w:divBdr>
            <w:top w:val="none" w:sz="0" w:space="0" w:color="auto"/>
            <w:left w:val="none" w:sz="0" w:space="0" w:color="auto"/>
            <w:bottom w:val="none" w:sz="0" w:space="0" w:color="auto"/>
            <w:right w:val="none" w:sz="0" w:space="0" w:color="auto"/>
          </w:divBdr>
        </w:div>
        <w:div w:id="1936282361">
          <w:marLeft w:val="0"/>
          <w:marRight w:val="0"/>
          <w:marTop w:val="0"/>
          <w:marBottom w:val="0"/>
          <w:divBdr>
            <w:top w:val="none" w:sz="0" w:space="0" w:color="auto"/>
            <w:left w:val="none" w:sz="0" w:space="0" w:color="auto"/>
            <w:bottom w:val="none" w:sz="0" w:space="0" w:color="auto"/>
            <w:right w:val="none" w:sz="0" w:space="0" w:color="auto"/>
          </w:divBdr>
        </w:div>
        <w:div w:id="814488213">
          <w:marLeft w:val="0"/>
          <w:marRight w:val="0"/>
          <w:marTop w:val="0"/>
          <w:marBottom w:val="0"/>
          <w:divBdr>
            <w:top w:val="none" w:sz="0" w:space="0" w:color="auto"/>
            <w:left w:val="none" w:sz="0" w:space="0" w:color="auto"/>
            <w:bottom w:val="none" w:sz="0" w:space="0" w:color="auto"/>
            <w:right w:val="none" w:sz="0" w:space="0" w:color="auto"/>
          </w:divBdr>
        </w:div>
        <w:div w:id="1757051267">
          <w:marLeft w:val="0"/>
          <w:marRight w:val="0"/>
          <w:marTop w:val="0"/>
          <w:marBottom w:val="0"/>
          <w:divBdr>
            <w:top w:val="none" w:sz="0" w:space="0" w:color="auto"/>
            <w:left w:val="none" w:sz="0" w:space="0" w:color="auto"/>
            <w:bottom w:val="none" w:sz="0" w:space="0" w:color="auto"/>
            <w:right w:val="none" w:sz="0" w:space="0" w:color="auto"/>
          </w:divBdr>
        </w:div>
        <w:div w:id="1328484764">
          <w:marLeft w:val="0"/>
          <w:marRight w:val="0"/>
          <w:marTop w:val="0"/>
          <w:marBottom w:val="0"/>
          <w:divBdr>
            <w:top w:val="none" w:sz="0" w:space="0" w:color="auto"/>
            <w:left w:val="none" w:sz="0" w:space="0" w:color="auto"/>
            <w:bottom w:val="none" w:sz="0" w:space="0" w:color="auto"/>
            <w:right w:val="none" w:sz="0" w:space="0" w:color="auto"/>
          </w:divBdr>
        </w:div>
        <w:div w:id="277370959">
          <w:marLeft w:val="0"/>
          <w:marRight w:val="0"/>
          <w:marTop w:val="0"/>
          <w:marBottom w:val="0"/>
          <w:divBdr>
            <w:top w:val="none" w:sz="0" w:space="0" w:color="auto"/>
            <w:left w:val="none" w:sz="0" w:space="0" w:color="auto"/>
            <w:bottom w:val="none" w:sz="0" w:space="0" w:color="auto"/>
            <w:right w:val="none" w:sz="0" w:space="0" w:color="auto"/>
          </w:divBdr>
        </w:div>
        <w:div w:id="1963075960">
          <w:marLeft w:val="0"/>
          <w:marRight w:val="0"/>
          <w:marTop w:val="0"/>
          <w:marBottom w:val="0"/>
          <w:divBdr>
            <w:top w:val="none" w:sz="0" w:space="0" w:color="auto"/>
            <w:left w:val="none" w:sz="0" w:space="0" w:color="auto"/>
            <w:bottom w:val="none" w:sz="0" w:space="0" w:color="auto"/>
            <w:right w:val="none" w:sz="0" w:space="0" w:color="auto"/>
          </w:divBdr>
        </w:div>
        <w:div w:id="93483479">
          <w:marLeft w:val="0"/>
          <w:marRight w:val="0"/>
          <w:marTop w:val="0"/>
          <w:marBottom w:val="0"/>
          <w:divBdr>
            <w:top w:val="none" w:sz="0" w:space="0" w:color="auto"/>
            <w:left w:val="none" w:sz="0" w:space="0" w:color="auto"/>
            <w:bottom w:val="none" w:sz="0" w:space="0" w:color="auto"/>
            <w:right w:val="none" w:sz="0" w:space="0" w:color="auto"/>
          </w:divBdr>
        </w:div>
        <w:div w:id="2067099482">
          <w:marLeft w:val="0"/>
          <w:marRight w:val="0"/>
          <w:marTop w:val="0"/>
          <w:marBottom w:val="0"/>
          <w:divBdr>
            <w:top w:val="none" w:sz="0" w:space="0" w:color="auto"/>
            <w:left w:val="none" w:sz="0" w:space="0" w:color="auto"/>
            <w:bottom w:val="none" w:sz="0" w:space="0" w:color="auto"/>
            <w:right w:val="none" w:sz="0" w:space="0" w:color="auto"/>
          </w:divBdr>
        </w:div>
        <w:div w:id="1793399827">
          <w:marLeft w:val="0"/>
          <w:marRight w:val="0"/>
          <w:marTop w:val="0"/>
          <w:marBottom w:val="0"/>
          <w:divBdr>
            <w:top w:val="none" w:sz="0" w:space="0" w:color="auto"/>
            <w:left w:val="none" w:sz="0" w:space="0" w:color="auto"/>
            <w:bottom w:val="none" w:sz="0" w:space="0" w:color="auto"/>
            <w:right w:val="none" w:sz="0" w:space="0" w:color="auto"/>
          </w:divBdr>
        </w:div>
      </w:divsChild>
    </w:div>
    <w:div w:id="753477147">
      <w:bodyDiv w:val="1"/>
      <w:marLeft w:val="0"/>
      <w:marRight w:val="0"/>
      <w:marTop w:val="0"/>
      <w:marBottom w:val="0"/>
      <w:divBdr>
        <w:top w:val="none" w:sz="0" w:space="0" w:color="auto"/>
        <w:left w:val="none" w:sz="0" w:space="0" w:color="auto"/>
        <w:bottom w:val="none" w:sz="0" w:space="0" w:color="auto"/>
        <w:right w:val="none" w:sz="0" w:space="0" w:color="auto"/>
      </w:divBdr>
    </w:div>
    <w:div w:id="1158770563">
      <w:bodyDiv w:val="1"/>
      <w:marLeft w:val="0"/>
      <w:marRight w:val="0"/>
      <w:marTop w:val="0"/>
      <w:marBottom w:val="0"/>
      <w:divBdr>
        <w:top w:val="none" w:sz="0" w:space="0" w:color="auto"/>
        <w:left w:val="none" w:sz="0" w:space="0" w:color="auto"/>
        <w:bottom w:val="none" w:sz="0" w:space="0" w:color="auto"/>
        <w:right w:val="none" w:sz="0" w:space="0" w:color="auto"/>
      </w:divBdr>
    </w:div>
    <w:div w:id="1293709265">
      <w:bodyDiv w:val="1"/>
      <w:marLeft w:val="0"/>
      <w:marRight w:val="0"/>
      <w:marTop w:val="0"/>
      <w:marBottom w:val="0"/>
      <w:divBdr>
        <w:top w:val="none" w:sz="0" w:space="0" w:color="auto"/>
        <w:left w:val="none" w:sz="0" w:space="0" w:color="auto"/>
        <w:bottom w:val="none" w:sz="0" w:space="0" w:color="auto"/>
        <w:right w:val="none" w:sz="0" w:space="0" w:color="auto"/>
      </w:divBdr>
    </w:div>
    <w:div w:id="1358190361">
      <w:bodyDiv w:val="1"/>
      <w:marLeft w:val="0"/>
      <w:marRight w:val="0"/>
      <w:marTop w:val="0"/>
      <w:marBottom w:val="0"/>
      <w:divBdr>
        <w:top w:val="none" w:sz="0" w:space="0" w:color="auto"/>
        <w:left w:val="none" w:sz="0" w:space="0" w:color="auto"/>
        <w:bottom w:val="none" w:sz="0" w:space="0" w:color="auto"/>
        <w:right w:val="none" w:sz="0" w:space="0" w:color="auto"/>
      </w:divBdr>
    </w:div>
    <w:div w:id="1484157859">
      <w:bodyDiv w:val="1"/>
      <w:marLeft w:val="0"/>
      <w:marRight w:val="0"/>
      <w:marTop w:val="0"/>
      <w:marBottom w:val="0"/>
      <w:divBdr>
        <w:top w:val="none" w:sz="0" w:space="0" w:color="auto"/>
        <w:left w:val="none" w:sz="0" w:space="0" w:color="auto"/>
        <w:bottom w:val="none" w:sz="0" w:space="0" w:color="auto"/>
        <w:right w:val="none" w:sz="0" w:space="0" w:color="auto"/>
      </w:divBdr>
    </w:div>
    <w:div w:id="1537737089">
      <w:bodyDiv w:val="1"/>
      <w:marLeft w:val="0"/>
      <w:marRight w:val="0"/>
      <w:marTop w:val="0"/>
      <w:marBottom w:val="0"/>
      <w:divBdr>
        <w:top w:val="none" w:sz="0" w:space="0" w:color="auto"/>
        <w:left w:val="none" w:sz="0" w:space="0" w:color="auto"/>
        <w:bottom w:val="none" w:sz="0" w:space="0" w:color="auto"/>
        <w:right w:val="none" w:sz="0" w:space="0" w:color="auto"/>
      </w:divBdr>
    </w:div>
    <w:div w:id="1628511130">
      <w:bodyDiv w:val="1"/>
      <w:marLeft w:val="0"/>
      <w:marRight w:val="0"/>
      <w:marTop w:val="0"/>
      <w:marBottom w:val="0"/>
      <w:divBdr>
        <w:top w:val="none" w:sz="0" w:space="0" w:color="auto"/>
        <w:left w:val="none" w:sz="0" w:space="0" w:color="auto"/>
        <w:bottom w:val="none" w:sz="0" w:space="0" w:color="auto"/>
        <w:right w:val="none" w:sz="0" w:space="0" w:color="auto"/>
      </w:divBdr>
    </w:div>
    <w:div w:id="1650790823">
      <w:bodyDiv w:val="1"/>
      <w:marLeft w:val="0"/>
      <w:marRight w:val="0"/>
      <w:marTop w:val="0"/>
      <w:marBottom w:val="0"/>
      <w:divBdr>
        <w:top w:val="none" w:sz="0" w:space="0" w:color="auto"/>
        <w:left w:val="none" w:sz="0" w:space="0" w:color="auto"/>
        <w:bottom w:val="none" w:sz="0" w:space="0" w:color="auto"/>
        <w:right w:val="none" w:sz="0" w:space="0" w:color="auto"/>
      </w:divBdr>
    </w:div>
    <w:div w:id="1780947606">
      <w:bodyDiv w:val="1"/>
      <w:marLeft w:val="0"/>
      <w:marRight w:val="0"/>
      <w:marTop w:val="0"/>
      <w:marBottom w:val="0"/>
      <w:divBdr>
        <w:top w:val="none" w:sz="0" w:space="0" w:color="auto"/>
        <w:left w:val="none" w:sz="0" w:space="0" w:color="auto"/>
        <w:bottom w:val="none" w:sz="0" w:space="0" w:color="auto"/>
        <w:right w:val="none" w:sz="0" w:space="0" w:color="auto"/>
      </w:divBdr>
    </w:div>
    <w:div w:id="1789155901">
      <w:bodyDiv w:val="1"/>
      <w:marLeft w:val="0"/>
      <w:marRight w:val="0"/>
      <w:marTop w:val="0"/>
      <w:marBottom w:val="0"/>
      <w:divBdr>
        <w:top w:val="none" w:sz="0" w:space="0" w:color="auto"/>
        <w:left w:val="none" w:sz="0" w:space="0" w:color="auto"/>
        <w:bottom w:val="none" w:sz="0" w:space="0" w:color="auto"/>
        <w:right w:val="none" w:sz="0" w:space="0" w:color="auto"/>
      </w:divBdr>
    </w:div>
    <w:div w:id="1854221457">
      <w:bodyDiv w:val="1"/>
      <w:marLeft w:val="0"/>
      <w:marRight w:val="0"/>
      <w:marTop w:val="0"/>
      <w:marBottom w:val="0"/>
      <w:divBdr>
        <w:top w:val="none" w:sz="0" w:space="0" w:color="auto"/>
        <w:left w:val="none" w:sz="0" w:space="0" w:color="auto"/>
        <w:bottom w:val="none" w:sz="0" w:space="0" w:color="auto"/>
        <w:right w:val="none" w:sz="0" w:space="0" w:color="auto"/>
      </w:divBdr>
    </w:div>
    <w:div w:id="1862695336">
      <w:bodyDiv w:val="1"/>
      <w:marLeft w:val="0"/>
      <w:marRight w:val="0"/>
      <w:marTop w:val="0"/>
      <w:marBottom w:val="0"/>
      <w:divBdr>
        <w:top w:val="none" w:sz="0" w:space="0" w:color="auto"/>
        <w:left w:val="none" w:sz="0" w:space="0" w:color="auto"/>
        <w:bottom w:val="none" w:sz="0" w:space="0" w:color="auto"/>
        <w:right w:val="none" w:sz="0" w:space="0" w:color="auto"/>
      </w:divBdr>
    </w:div>
    <w:div w:id="1869105808">
      <w:bodyDiv w:val="1"/>
      <w:marLeft w:val="0"/>
      <w:marRight w:val="0"/>
      <w:marTop w:val="0"/>
      <w:marBottom w:val="0"/>
      <w:divBdr>
        <w:top w:val="none" w:sz="0" w:space="0" w:color="auto"/>
        <w:left w:val="none" w:sz="0" w:space="0" w:color="auto"/>
        <w:bottom w:val="none" w:sz="0" w:space="0" w:color="auto"/>
        <w:right w:val="none" w:sz="0" w:space="0" w:color="auto"/>
      </w:divBdr>
    </w:div>
    <w:div w:id="1895462935">
      <w:bodyDiv w:val="1"/>
      <w:marLeft w:val="0"/>
      <w:marRight w:val="0"/>
      <w:marTop w:val="0"/>
      <w:marBottom w:val="0"/>
      <w:divBdr>
        <w:top w:val="none" w:sz="0" w:space="0" w:color="auto"/>
        <w:left w:val="none" w:sz="0" w:space="0" w:color="auto"/>
        <w:bottom w:val="none" w:sz="0" w:space="0" w:color="auto"/>
        <w:right w:val="none" w:sz="0" w:space="0" w:color="auto"/>
      </w:divBdr>
    </w:div>
    <w:div w:id="1958372710">
      <w:bodyDiv w:val="1"/>
      <w:marLeft w:val="0"/>
      <w:marRight w:val="0"/>
      <w:marTop w:val="0"/>
      <w:marBottom w:val="0"/>
      <w:divBdr>
        <w:top w:val="none" w:sz="0" w:space="0" w:color="auto"/>
        <w:left w:val="none" w:sz="0" w:space="0" w:color="auto"/>
        <w:bottom w:val="none" w:sz="0" w:space="0" w:color="auto"/>
        <w:right w:val="none" w:sz="0" w:space="0" w:color="auto"/>
      </w:divBdr>
    </w:div>
    <w:div w:id="2053652164">
      <w:bodyDiv w:val="1"/>
      <w:marLeft w:val="0"/>
      <w:marRight w:val="0"/>
      <w:marTop w:val="0"/>
      <w:marBottom w:val="0"/>
      <w:divBdr>
        <w:top w:val="none" w:sz="0" w:space="0" w:color="auto"/>
        <w:left w:val="none" w:sz="0" w:space="0" w:color="auto"/>
        <w:bottom w:val="none" w:sz="0" w:space="0" w:color="auto"/>
        <w:right w:val="none" w:sz="0" w:space="0" w:color="auto"/>
      </w:divBdr>
    </w:div>
    <w:div w:id="2056197143">
      <w:bodyDiv w:val="1"/>
      <w:marLeft w:val="0"/>
      <w:marRight w:val="0"/>
      <w:marTop w:val="0"/>
      <w:marBottom w:val="0"/>
      <w:divBdr>
        <w:top w:val="none" w:sz="0" w:space="0" w:color="auto"/>
        <w:left w:val="none" w:sz="0" w:space="0" w:color="auto"/>
        <w:bottom w:val="none" w:sz="0" w:space="0" w:color="auto"/>
        <w:right w:val="none" w:sz="0" w:space="0" w:color="auto"/>
      </w:divBdr>
    </w:div>
    <w:div w:id="21111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ankservAfrica_Excel">
      <a:dk1>
        <a:srgbClr val="000000"/>
      </a:dk1>
      <a:lt1>
        <a:srgbClr val="FFFFFF"/>
      </a:lt1>
      <a:dk2>
        <a:srgbClr val="000000"/>
      </a:dk2>
      <a:lt2>
        <a:srgbClr val="FFFFFF"/>
      </a:lt2>
      <a:accent1>
        <a:srgbClr val="F58220"/>
      </a:accent1>
      <a:accent2>
        <a:srgbClr val="FAA620"/>
      </a:accent2>
      <a:accent3>
        <a:srgbClr val="BFD730"/>
      </a:accent3>
      <a:accent4>
        <a:srgbClr val="E1E31C"/>
      </a:accent4>
      <a:accent5>
        <a:srgbClr val="808080"/>
      </a:accent5>
      <a:accent6>
        <a:srgbClr val="624C41"/>
      </a:accent6>
      <a:hlink>
        <a:srgbClr val="F58220"/>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6706-545A-4951-A69D-3B64EA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2</cp:revision>
  <cp:lastPrinted>2020-08-11T05:50:00Z</cp:lastPrinted>
  <dcterms:created xsi:type="dcterms:W3CDTF">2022-08-16T13:50:00Z</dcterms:created>
  <dcterms:modified xsi:type="dcterms:W3CDTF">2022-08-16T13:50:00Z</dcterms:modified>
</cp:coreProperties>
</file>