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481DC" w14:textId="5E7EDB0F" w:rsidR="000B1B20" w:rsidRDefault="008F2E05" w:rsidP="00AA2418">
      <w:pPr>
        <w:pStyle w:val="Heading1"/>
        <w:rPr>
          <w:rFonts w:asciiTheme="minorHAnsi" w:hAnsiTheme="minorHAnsi"/>
          <w:b w:val="0"/>
          <w:color w:val="auto"/>
          <w:sz w:val="22"/>
          <w:szCs w:val="22"/>
        </w:rPr>
      </w:pPr>
      <w:bookmarkStart w:id="0" w:name="_Hlk40078063"/>
      <w:bookmarkEnd w:id="0"/>
      <w:r>
        <w:rPr>
          <w:rFonts w:asciiTheme="minorHAnsi" w:hAnsiTheme="minorHAnsi"/>
          <w:b w:val="0"/>
          <w:color w:val="auto"/>
          <w:sz w:val="22"/>
          <w:szCs w:val="22"/>
        </w:rPr>
        <w:t xml:space="preserve"> </w:t>
      </w:r>
      <w:r w:rsidR="000B1B20" w:rsidRPr="00887501">
        <w:rPr>
          <w:noProof/>
          <w:lang w:eastAsia="en-ZA"/>
        </w:rPr>
        <w:drawing>
          <wp:inline distT="0" distB="0" distL="0" distR="0" wp14:anchorId="13842759" wp14:editId="4FE638DA">
            <wp:extent cx="2209800" cy="647700"/>
            <wp:effectExtent l="0" t="0" r="0" b="0"/>
            <wp:docPr id="1" name="Picture 1" descr="Description: BANKSE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ANKSERV_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9800" cy="647700"/>
                    </a:xfrm>
                    <a:prstGeom prst="rect">
                      <a:avLst/>
                    </a:prstGeom>
                    <a:noFill/>
                    <a:ln>
                      <a:noFill/>
                    </a:ln>
                  </pic:spPr>
                </pic:pic>
              </a:graphicData>
            </a:graphic>
          </wp:inline>
        </w:drawing>
      </w:r>
    </w:p>
    <w:p w14:paraId="07EB619F" w14:textId="23CDBF94" w:rsidR="0069223E" w:rsidRPr="00642DE5" w:rsidRDefault="006F77A7" w:rsidP="002F4E21">
      <w:pPr>
        <w:spacing w:after="0" w:line="240" w:lineRule="auto"/>
        <w:rPr>
          <w:rFonts w:cs="Calibri"/>
        </w:rPr>
      </w:pPr>
      <w:r>
        <w:rPr>
          <w:rFonts w:cs="Calibri"/>
        </w:rPr>
        <w:t>June</w:t>
      </w:r>
      <w:r w:rsidR="00C62D65">
        <w:rPr>
          <w:rFonts w:cs="Calibri"/>
        </w:rPr>
        <w:t xml:space="preserve"> 2022</w:t>
      </w:r>
      <w:r w:rsidR="002B5AD3">
        <w:rPr>
          <w:rFonts w:cs="Calibri"/>
        </w:rPr>
        <w:t xml:space="preserve"> </w:t>
      </w:r>
      <w:r w:rsidR="0069223E" w:rsidRPr="00642DE5">
        <w:rPr>
          <w:rFonts w:cs="Calibri"/>
        </w:rPr>
        <w:t>BETI report to accompany press release</w:t>
      </w:r>
    </w:p>
    <w:p w14:paraId="43A5893E" w14:textId="55135C45" w:rsidR="00B77375" w:rsidRDefault="0069223E" w:rsidP="002F4E21">
      <w:pPr>
        <w:spacing w:after="0" w:line="240" w:lineRule="auto"/>
        <w:rPr>
          <w:rFonts w:cs="Calibri"/>
        </w:rPr>
      </w:pPr>
      <w:r w:rsidRPr="00642DE5">
        <w:rPr>
          <w:rFonts w:cs="Calibri"/>
        </w:rPr>
        <w:t xml:space="preserve">Date: </w:t>
      </w:r>
      <w:r w:rsidR="006F77A7">
        <w:rPr>
          <w:rFonts w:cs="Calibri"/>
        </w:rPr>
        <w:t>13 July</w:t>
      </w:r>
      <w:r w:rsidR="003C23E2">
        <w:rPr>
          <w:rFonts w:cs="Calibri"/>
        </w:rPr>
        <w:t xml:space="preserve"> 2022 </w:t>
      </w:r>
    </w:p>
    <w:p w14:paraId="56C6EBC8" w14:textId="77777777" w:rsidR="000C0CC8" w:rsidRDefault="000C0CC8" w:rsidP="002F4E21">
      <w:pPr>
        <w:spacing w:after="0" w:line="240" w:lineRule="auto"/>
        <w:rPr>
          <w:rFonts w:eastAsiaTheme="majorEastAsia" w:cstheme="majorBidi"/>
          <w:b/>
          <w:bCs/>
          <w:sz w:val="28"/>
          <w:szCs w:val="28"/>
        </w:rPr>
      </w:pPr>
    </w:p>
    <w:p w14:paraId="6447313D" w14:textId="1204A1FC" w:rsidR="00026E87" w:rsidRPr="00F543B7" w:rsidRDefault="00924000" w:rsidP="002F4E21">
      <w:pPr>
        <w:spacing w:after="0" w:line="240" w:lineRule="auto"/>
        <w:rPr>
          <w:rFonts w:eastAsiaTheme="majorEastAsia" w:cstheme="majorBidi"/>
          <w:b/>
          <w:bCs/>
          <w:sz w:val="24"/>
          <w:szCs w:val="24"/>
        </w:rPr>
      </w:pPr>
      <w:r w:rsidRPr="00F543B7">
        <w:rPr>
          <w:rFonts w:eastAsiaTheme="majorEastAsia" w:cstheme="majorBidi"/>
          <w:b/>
          <w:bCs/>
          <w:sz w:val="24"/>
          <w:szCs w:val="24"/>
        </w:rPr>
        <w:t xml:space="preserve">BETI SIGNALS THE SA ECONOMY </w:t>
      </w:r>
      <w:r w:rsidR="00B04DD1" w:rsidRPr="00F543B7">
        <w:rPr>
          <w:rFonts w:eastAsiaTheme="majorEastAsia" w:cstheme="majorBidi"/>
          <w:b/>
          <w:bCs/>
          <w:sz w:val="24"/>
          <w:szCs w:val="24"/>
        </w:rPr>
        <w:t>MODERATED SOMEWHAT</w:t>
      </w:r>
      <w:r w:rsidRPr="00F543B7">
        <w:rPr>
          <w:rFonts w:eastAsiaTheme="majorEastAsia" w:cstheme="majorBidi"/>
          <w:b/>
          <w:bCs/>
          <w:sz w:val="24"/>
          <w:szCs w:val="24"/>
        </w:rPr>
        <w:t xml:space="preserve"> IN </w:t>
      </w:r>
      <w:r w:rsidR="00212A34" w:rsidRPr="00F543B7">
        <w:rPr>
          <w:rFonts w:eastAsiaTheme="majorEastAsia" w:cstheme="majorBidi"/>
          <w:b/>
          <w:bCs/>
          <w:sz w:val="24"/>
          <w:szCs w:val="24"/>
        </w:rPr>
        <w:t>JUNE</w:t>
      </w:r>
      <w:r w:rsidRPr="00F543B7">
        <w:rPr>
          <w:rFonts w:eastAsiaTheme="majorEastAsia" w:cstheme="majorBidi"/>
          <w:b/>
          <w:bCs/>
          <w:sz w:val="24"/>
          <w:szCs w:val="24"/>
        </w:rPr>
        <w:t xml:space="preserve"> 2022 </w:t>
      </w:r>
    </w:p>
    <w:p w14:paraId="37B9CA37" w14:textId="6D8F6908" w:rsidR="00565670" w:rsidRDefault="00565670" w:rsidP="002F4E21">
      <w:pPr>
        <w:spacing w:after="0" w:line="240" w:lineRule="auto"/>
        <w:rPr>
          <w:rFonts w:eastAsiaTheme="majorEastAsia" w:cstheme="majorBidi"/>
          <w:b/>
          <w:bCs/>
          <w:sz w:val="28"/>
          <w:szCs w:val="28"/>
        </w:rPr>
      </w:pPr>
    </w:p>
    <w:p w14:paraId="53D0D0A5" w14:textId="108E9458" w:rsidR="0099110C" w:rsidRDefault="009864F4" w:rsidP="0099110C">
      <w:pPr>
        <w:rPr>
          <w:color w:val="000000" w:themeColor="text1"/>
        </w:rPr>
      </w:pPr>
      <w:bookmarkStart w:id="1" w:name="_Hlk531953638"/>
      <w:bookmarkStart w:id="2" w:name="_Hlk3190092"/>
      <w:r>
        <w:rPr>
          <w:color w:val="000000" w:themeColor="text1"/>
        </w:rPr>
        <w:t xml:space="preserve">After a strong reading in May 2022, </w:t>
      </w:r>
      <w:r w:rsidR="00090A47">
        <w:rPr>
          <w:color w:val="000000" w:themeColor="text1"/>
        </w:rPr>
        <w:t>t</w:t>
      </w:r>
      <w:r w:rsidR="00090A47" w:rsidRPr="00786B32">
        <w:rPr>
          <w:color w:val="000000" w:themeColor="text1"/>
        </w:rPr>
        <w:t>he Bank</w:t>
      </w:r>
      <w:r w:rsidR="00090A47">
        <w:rPr>
          <w:color w:val="000000" w:themeColor="text1"/>
        </w:rPr>
        <w:t>s</w:t>
      </w:r>
      <w:r w:rsidR="00090A47" w:rsidRPr="00786B32">
        <w:rPr>
          <w:color w:val="000000" w:themeColor="text1"/>
        </w:rPr>
        <w:t>ervAfrica Economic Transaction</w:t>
      </w:r>
      <w:r w:rsidR="00090A47">
        <w:rPr>
          <w:color w:val="000000" w:themeColor="text1"/>
        </w:rPr>
        <w:t>s</w:t>
      </w:r>
      <w:r w:rsidR="00090A47" w:rsidRPr="00786B32">
        <w:rPr>
          <w:color w:val="000000" w:themeColor="text1"/>
        </w:rPr>
        <w:t xml:space="preserve"> Index (BETI) </w:t>
      </w:r>
      <w:r w:rsidR="00C610B4">
        <w:rPr>
          <w:color w:val="000000" w:themeColor="text1"/>
        </w:rPr>
        <w:t xml:space="preserve">moderated </w:t>
      </w:r>
      <w:r w:rsidR="00E5686E">
        <w:rPr>
          <w:color w:val="000000" w:themeColor="text1"/>
        </w:rPr>
        <w:t xml:space="preserve">somewhat </w:t>
      </w:r>
      <w:r w:rsidR="00C610B4">
        <w:rPr>
          <w:color w:val="000000" w:themeColor="text1"/>
        </w:rPr>
        <w:t>to 5.3</w:t>
      </w:r>
      <w:r w:rsidR="00090A47" w:rsidRPr="00786B32">
        <w:rPr>
          <w:color w:val="000000" w:themeColor="text1"/>
        </w:rPr>
        <w:t>%</w:t>
      </w:r>
      <w:r w:rsidR="00090A47">
        <w:rPr>
          <w:color w:val="000000" w:themeColor="text1"/>
        </w:rPr>
        <w:t xml:space="preserve"> in </w:t>
      </w:r>
      <w:r w:rsidR="00477CDD">
        <w:rPr>
          <w:color w:val="000000" w:themeColor="text1"/>
        </w:rPr>
        <w:t>June</w:t>
      </w:r>
      <w:r w:rsidR="00090A47">
        <w:rPr>
          <w:color w:val="000000" w:themeColor="text1"/>
        </w:rPr>
        <w:t xml:space="preserve"> 2022</w:t>
      </w:r>
      <w:r w:rsidR="00090A47" w:rsidRPr="00786B32">
        <w:rPr>
          <w:color w:val="000000" w:themeColor="text1"/>
        </w:rPr>
        <w:t xml:space="preserve"> compared to a year ago (vs a revised </w:t>
      </w:r>
      <w:r w:rsidR="00090A47">
        <w:rPr>
          <w:color w:val="000000" w:themeColor="text1"/>
        </w:rPr>
        <w:t>9.4</w:t>
      </w:r>
      <w:r w:rsidR="00090A47" w:rsidRPr="00786B32">
        <w:rPr>
          <w:color w:val="000000" w:themeColor="text1"/>
        </w:rPr>
        <w:t xml:space="preserve">% in </w:t>
      </w:r>
      <w:r w:rsidR="00090A47">
        <w:rPr>
          <w:color w:val="000000" w:themeColor="text1"/>
        </w:rPr>
        <w:t>May</w:t>
      </w:r>
      <w:r w:rsidR="00090A47" w:rsidRPr="00786B32">
        <w:rPr>
          <w:color w:val="000000" w:themeColor="text1"/>
        </w:rPr>
        <w:t>)</w:t>
      </w:r>
      <w:r w:rsidR="00090A47">
        <w:rPr>
          <w:color w:val="000000" w:themeColor="text1"/>
        </w:rPr>
        <w:t xml:space="preserve">. </w:t>
      </w:r>
      <w:bookmarkStart w:id="3" w:name="_Hlk108517566"/>
      <w:r w:rsidR="00477CDD">
        <w:rPr>
          <w:color w:val="000000" w:themeColor="text1"/>
        </w:rPr>
        <w:t xml:space="preserve">On a monthly basis, the BETI declined by </w:t>
      </w:r>
      <w:r w:rsidR="00DE0719">
        <w:rPr>
          <w:color w:val="000000" w:themeColor="text1"/>
        </w:rPr>
        <w:t xml:space="preserve">a notable </w:t>
      </w:r>
      <w:r w:rsidR="00477CDD">
        <w:rPr>
          <w:color w:val="000000" w:themeColor="text1"/>
        </w:rPr>
        <w:t xml:space="preserve">4.4%, which </w:t>
      </w:r>
      <w:r w:rsidR="00744882">
        <w:rPr>
          <w:color w:val="000000" w:themeColor="text1"/>
        </w:rPr>
        <w:t xml:space="preserve">could </w:t>
      </w:r>
      <w:r w:rsidR="007E3155">
        <w:rPr>
          <w:color w:val="000000" w:themeColor="text1"/>
        </w:rPr>
        <w:t>be an early indication of further</w:t>
      </w:r>
      <w:r w:rsidR="003E5FBE">
        <w:rPr>
          <w:color w:val="000000" w:themeColor="text1"/>
        </w:rPr>
        <w:t xml:space="preserve"> and </w:t>
      </w:r>
      <w:r w:rsidR="00E80A36">
        <w:rPr>
          <w:color w:val="000000" w:themeColor="text1"/>
        </w:rPr>
        <w:t>impending</w:t>
      </w:r>
      <w:r w:rsidR="007E3155">
        <w:rPr>
          <w:color w:val="000000" w:themeColor="text1"/>
        </w:rPr>
        <w:t xml:space="preserve"> strain </w:t>
      </w:r>
      <w:r w:rsidR="003E5FBE">
        <w:rPr>
          <w:color w:val="000000" w:themeColor="text1"/>
        </w:rPr>
        <w:t>on</w:t>
      </w:r>
      <w:r w:rsidR="007E3155">
        <w:rPr>
          <w:color w:val="000000" w:themeColor="text1"/>
        </w:rPr>
        <w:t xml:space="preserve"> the economy</w:t>
      </w:r>
      <w:r w:rsidR="00B13336">
        <w:rPr>
          <w:color w:val="000000" w:themeColor="text1"/>
        </w:rPr>
        <w:t>.</w:t>
      </w:r>
      <w:r w:rsidR="0099110C" w:rsidRPr="00786B32">
        <w:rPr>
          <w:color w:val="000000" w:themeColor="text1"/>
        </w:rPr>
        <w:t xml:space="preserve"> </w:t>
      </w:r>
    </w:p>
    <w:p w14:paraId="3AE94C43" w14:textId="77E37E11" w:rsidR="0099110C" w:rsidRPr="00786B32" w:rsidRDefault="0099110C" w:rsidP="00F96EEC">
      <w:pPr>
        <w:rPr>
          <w:color w:val="000000" w:themeColor="text1"/>
        </w:rPr>
      </w:pPr>
      <w:bookmarkStart w:id="4" w:name="_Hlk106194905"/>
      <w:bookmarkEnd w:id="3"/>
      <w:r w:rsidRPr="00786B32">
        <w:rPr>
          <w:color w:val="000000" w:themeColor="text1"/>
        </w:rPr>
        <w:t>Following revisions to the seasonal factor</w:t>
      </w:r>
      <w:r w:rsidR="00AE7881">
        <w:rPr>
          <w:color w:val="000000" w:themeColor="text1"/>
        </w:rPr>
        <w:t>s*,</w:t>
      </w:r>
      <w:r w:rsidRPr="00786B32">
        <w:rPr>
          <w:color w:val="000000" w:themeColor="text1"/>
        </w:rPr>
        <w:t xml:space="preserve"> the actual</w:t>
      </w:r>
      <w:r w:rsidR="000B34A7">
        <w:rPr>
          <w:color w:val="000000" w:themeColor="text1"/>
        </w:rPr>
        <w:t xml:space="preserve"> index</w:t>
      </w:r>
      <w:r w:rsidRPr="00786B32">
        <w:rPr>
          <w:color w:val="000000" w:themeColor="text1"/>
        </w:rPr>
        <w:t xml:space="preserve"> level </w:t>
      </w:r>
      <w:r w:rsidR="00505AA8">
        <w:rPr>
          <w:color w:val="000000" w:themeColor="text1"/>
        </w:rPr>
        <w:t>moderated to 136.7</w:t>
      </w:r>
      <w:r w:rsidR="000935E1">
        <w:rPr>
          <w:color w:val="000000" w:themeColor="text1"/>
        </w:rPr>
        <w:t xml:space="preserve"> in June</w:t>
      </w:r>
      <w:r w:rsidR="000B34A7">
        <w:rPr>
          <w:color w:val="000000" w:themeColor="text1"/>
        </w:rPr>
        <w:t xml:space="preserve">, </w:t>
      </w:r>
      <w:r w:rsidR="00A52D99">
        <w:rPr>
          <w:color w:val="000000" w:themeColor="text1"/>
        </w:rPr>
        <w:t xml:space="preserve">after </w:t>
      </w:r>
      <w:r w:rsidRPr="00786B32">
        <w:rPr>
          <w:color w:val="000000" w:themeColor="text1"/>
        </w:rPr>
        <w:t xml:space="preserve">an all-time high </w:t>
      </w:r>
      <w:r w:rsidR="00A52D99">
        <w:rPr>
          <w:color w:val="000000" w:themeColor="text1"/>
        </w:rPr>
        <w:t>of</w:t>
      </w:r>
      <w:r w:rsidRPr="00786B32">
        <w:rPr>
          <w:color w:val="000000" w:themeColor="text1"/>
        </w:rPr>
        <w:t xml:space="preserve"> 14</w:t>
      </w:r>
      <w:r>
        <w:rPr>
          <w:color w:val="000000" w:themeColor="text1"/>
        </w:rPr>
        <w:t>3.</w:t>
      </w:r>
      <w:r w:rsidR="000B34A7">
        <w:rPr>
          <w:color w:val="000000" w:themeColor="text1"/>
        </w:rPr>
        <w:t xml:space="preserve">0 (revised lower from </w:t>
      </w:r>
      <w:r w:rsidR="000935E1">
        <w:rPr>
          <w:color w:val="000000" w:themeColor="text1"/>
        </w:rPr>
        <w:t xml:space="preserve">143.5) </w:t>
      </w:r>
      <w:r w:rsidR="000B34A7">
        <w:rPr>
          <w:color w:val="000000" w:themeColor="text1"/>
        </w:rPr>
        <w:t>reached in May</w:t>
      </w:r>
      <w:r w:rsidRPr="00786B32">
        <w:rPr>
          <w:color w:val="000000" w:themeColor="text1"/>
        </w:rPr>
        <w:t xml:space="preserve">. </w:t>
      </w:r>
      <w:r w:rsidR="00E55841">
        <w:rPr>
          <w:color w:val="000000" w:themeColor="text1"/>
        </w:rPr>
        <w:t>The</w:t>
      </w:r>
      <w:r w:rsidR="000935E1">
        <w:rPr>
          <w:color w:val="000000" w:themeColor="text1"/>
        </w:rPr>
        <w:t xml:space="preserve"> moderation in </w:t>
      </w:r>
      <w:r w:rsidR="00E726B2">
        <w:rPr>
          <w:color w:val="000000" w:themeColor="text1"/>
        </w:rPr>
        <w:t xml:space="preserve">the BETI is not </w:t>
      </w:r>
      <w:r>
        <w:rPr>
          <w:color w:val="000000" w:themeColor="text1"/>
        </w:rPr>
        <w:t xml:space="preserve">unexpected </w:t>
      </w:r>
      <w:proofErr w:type="gramStart"/>
      <w:r>
        <w:rPr>
          <w:color w:val="000000" w:themeColor="text1"/>
        </w:rPr>
        <w:t>in light of</w:t>
      </w:r>
      <w:proofErr w:type="gramEnd"/>
      <w:r>
        <w:rPr>
          <w:color w:val="000000" w:themeColor="text1"/>
        </w:rPr>
        <w:t xml:space="preserve"> the many headwinds that </w:t>
      </w:r>
      <w:r w:rsidR="00A52D99">
        <w:rPr>
          <w:color w:val="000000" w:themeColor="text1"/>
        </w:rPr>
        <w:t xml:space="preserve">have </w:t>
      </w:r>
      <w:r>
        <w:rPr>
          <w:color w:val="000000" w:themeColor="text1"/>
        </w:rPr>
        <w:t>surfaced in the local economy over</w:t>
      </w:r>
      <w:r w:rsidR="004E7C2B">
        <w:rPr>
          <w:color w:val="000000" w:themeColor="text1"/>
        </w:rPr>
        <w:t xml:space="preserve"> </w:t>
      </w:r>
      <w:r>
        <w:rPr>
          <w:color w:val="000000" w:themeColor="text1"/>
        </w:rPr>
        <w:t>recent weeks</w:t>
      </w:r>
      <w:r w:rsidR="00A52D99">
        <w:rPr>
          <w:color w:val="000000" w:themeColor="text1"/>
        </w:rPr>
        <w:t xml:space="preserve"> -</w:t>
      </w:r>
      <w:r w:rsidR="00E55841">
        <w:rPr>
          <w:color w:val="000000" w:themeColor="text1"/>
        </w:rPr>
        <w:t xml:space="preserve"> </w:t>
      </w:r>
      <w:r w:rsidR="006E6111">
        <w:rPr>
          <w:color w:val="000000" w:themeColor="text1"/>
        </w:rPr>
        <w:t xml:space="preserve">from </w:t>
      </w:r>
      <w:r w:rsidR="00A52D99">
        <w:rPr>
          <w:color w:val="000000" w:themeColor="text1"/>
        </w:rPr>
        <w:t xml:space="preserve">the </w:t>
      </w:r>
      <w:r w:rsidR="00195780">
        <w:rPr>
          <w:color w:val="000000" w:themeColor="text1"/>
        </w:rPr>
        <w:t xml:space="preserve">recurring </w:t>
      </w:r>
      <w:r w:rsidR="006E6111">
        <w:rPr>
          <w:color w:val="000000" w:themeColor="text1"/>
        </w:rPr>
        <w:t>load shedding</w:t>
      </w:r>
      <w:r w:rsidR="001732AC">
        <w:rPr>
          <w:color w:val="000000" w:themeColor="text1"/>
        </w:rPr>
        <w:t xml:space="preserve"> (as high as stage 6)</w:t>
      </w:r>
      <w:r w:rsidR="006E6111">
        <w:rPr>
          <w:color w:val="000000" w:themeColor="text1"/>
        </w:rPr>
        <w:t xml:space="preserve"> to </w:t>
      </w:r>
      <w:r w:rsidR="00E80A36">
        <w:rPr>
          <w:color w:val="000000" w:themeColor="text1"/>
        </w:rPr>
        <w:t>the significant</w:t>
      </w:r>
      <w:r w:rsidR="00A52D99">
        <w:rPr>
          <w:color w:val="000000" w:themeColor="text1"/>
        </w:rPr>
        <w:t xml:space="preserve"> rise in </w:t>
      </w:r>
      <w:r w:rsidR="006E6111">
        <w:rPr>
          <w:color w:val="000000" w:themeColor="text1"/>
        </w:rPr>
        <w:t>fuel</w:t>
      </w:r>
      <w:r w:rsidR="001732AC">
        <w:rPr>
          <w:color w:val="000000" w:themeColor="text1"/>
        </w:rPr>
        <w:t>, food</w:t>
      </w:r>
      <w:r w:rsidR="006E6111">
        <w:rPr>
          <w:color w:val="000000" w:themeColor="text1"/>
        </w:rPr>
        <w:t xml:space="preserve"> and general inflation increases. However, </w:t>
      </w:r>
      <w:r w:rsidR="00E726B2">
        <w:rPr>
          <w:color w:val="000000" w:themeColor="text1"/>
        </w:rPr>
        <w:t xml:space="preserve">the index </w:t>
      </w:r>
      <w:r w:rsidR="001732AC">
        <w:rPr>
          <w:color w:val="000000" w:themeColor="text1"/>
        </w:rPr>
        <w:t xml:space="preserve">still </w:t>
      </w:r>
      <w:r>
        <w:rPr>
          <w:color w:val="000000" w:themeColor="text1"/>
        </w:rPr>
        <w:t xml:space="preserve">suggests that the underlying momentum in the economy might </w:t>
      </w:r>
      <w:r w:rsidR="00E726B2">
        <w:rPr>
          <w:color w:val="000000" w:themeColor="text1"/>
        </w:rPr>
        <w:t xml:space="preserve">have been </w:t>
      </w:r>
      <w:r>
        <w:rPr>
          <w:color w:val="000000" w:themeColor="text1"/>
        </w:rPr>
        <w:t>stronger than generally perceived</w:t>
      </w:r>
      <w:r w:rsidR="00E726B2">
        <w:rPr>
          <w:color w:val="000000" w:themeColor="text1"/>
        </w:rPr>
        <w:t xml:space="preserve"> in Q2</w:t>
      </w:r>
      <w:r w:rsidR="00C4616C">
        <w:rPr>
          <w:color w:val="000000" w:themeColor="text1"/>
        </w:rPr>
        <w:t xml:space="preserve"> </w:t>
      </w:r>
      <w:proofErr w:type="gramStart"/>
      <w:r w:rsidR="00E80A36">
        <w:rPr>
          <w:color w:val="000000" w:themeColor="text1"/>
        </w:rPr>
        <w:t xml:space="preserve">2022 </w:t>
      </w:r>
      <w:r w:rsidR="00C4616C">
        <w:rPr>
          <w:color w:val="000000" w:themeColor="text1"/>
        </w:rPr>
        <w:t>as a whole</w:t>
      </w:r>
      <w:proofErr w:type="gramEnd"/>
      <w:r>
        <w:rPr>
          <w:color w:val="000000" w:themeColor="text1"/>
        </w:rPr>
        <w:t>.</w:t>
      </w:r>
      <w:r w:rsidR="001732AC">
        <w:rPr>
          <w:color w:val="000000" w:themeColor="text1"/>
        </w:rPr>
        <w:t xml:space="preserve"> </w:t>
      </w:r>
      <w:r w:rsidR="006D4E8A">
        <w:rPr>
          <w:color w:val="000000" w:themeColor="text1"/>
        </w:rPr>
        <w:t xml:space="preserve">The </w:t>
      </w:r>
      <w:r w:rsidR="00C4616C">
        <w:rPr>
          <w:color w:val="000000" w:themeColor="text1"/>
        </w:rPr>
        <w:t xml:space="preserve">BETI still increased by 3.9% compared to </w:t>
      </w:r>
      <w:r w:rsidR="006D4E8A">
        <w:rPr>
          <w:color w:val="000000" w:themeColor="text1"/>
        </w:rPr>
        <w:t xml:space="preserve">the previous quarter. </w:t>
      </w:r>
    </w:p>
    <w:p w14:paraId="231F80EE" w14:textId="0E38C83D" w:rsidR="0099110C" w:rsidRPr="009A3F83" w:rsidRDefault="0099110C" w:rsidP="0099110C">
      <w:pPr>
        <w:rPr>
          <w:color w:val="000000" w:themeColor="text1"/>
        </w:rPr>
      </w:pPr>
      <w:bookmarkStart w:id="5" w:name="_Hlk106194986"/>
      <w:bookmarkStart w:id="6" w:name="_Hlk108517690"/>
      <w:bookmarkEnd w:id="4"/>
      <w:r w:rsidRPr="009A3F83">
        <w:rPr>
          <w:color w:val="000000" w:themeColor="text1"/>
        </w:rPr>
        <w:t xml:space="preserve">Other nowcasting indices </w:t>
      </w:r>
      <w:r w:rsidR="0048279D">
        <w:rPr>
          <w:color w:val="000000" w:themeColor="text1"/>
        </w:rPr>
        <w:t>represent</w:t>
      </w:r>
      <w:r w:rsidR="004023CE">
        <w:rPr>
          <w:color w:val="000000" w:themeColor="text1"/>
        </w:rPr>
        <w:t>ed</w:t>
      </w:r>
      <w:r w:rsidR="00ED2FB2">
        <w:rPr>
          <w:color w:val="000000" w:themeColor="text1"/>
        </w:rPr>
        <w:t xml:space="preserve"> a mixed bag</w:t>
      </w:r>
      <w:r w:rsidRPr="009A3F83">
        <w:rPr>
          <w:color w:val="000000" w:themeColor="text1"/>
        </w:rPr>
        <w:t xml:space="preserve"> </w:t>
      </w:r>
      <w:r w:rsidR="004023CE">
        <w:rPr>
          <w:color w:val="000000" w:themeColor="text1"/>
        </w:rPr>
        <w:t>for</w:t>
      </w:r>
      <w:r w:rsidRPr="009A3F83">
        <w:rPr>
          <w:color w:val="000000" w:themeColor="text1"/>
        </w:rPr>
        <w:t xml:space="preserve"> </w:t>
      </w:r>
      <w:r w:rsidR="00ED2FB2">
        <w:rPr>
          <w:color w:val="000000" w:themeColor="text1"/>
        </w:rPr>
        <w:t>June</w:t>
      </w:r>
      <w:r w:rsidR="00F065DA">
        <w:rPr>
          <w:color w:val="000000" w:themeColor="text1"/>
        </w:rPr>
        <w:t xml:space="preserve">. </w:t>
      </w:r>
      <w:proofErr w:type="gramStart"/>
      <w:r w:rsidR="00F065DA">
        <w:rPr>
          <w:color w:val="000000" w:themeColor="text1"/>
        </w:rPr>
        <w:t>Similar to</w:t>
      </w:r>
      <w:proofErr w:type="gramEnd"/>
      <w:r w:rsidR="00F065DA">
        <w:rPr>
          <w:color w:val="000000" w:themeColor="text1"/>
        </w:rPr>
        <w:t xml:space="preserve"> the BETI</w:t>
      </w:r>
      <w:r w:rsidRPr="009A3F83">
        <w:rPr>
          <w:color w:val="000000" w:themeColor="text1"/>
        </w:rPr>
        <w:t xml:space="preserve">, the </w:t>
      </w:r>
      <w:r>
        <w:rPr>
          <w:color w:val="000000" w:themeColor="text1"/>
        </w:rPr>
        <w:t>Absa Purchasing Managers’ Index (PMI)</w:t>
      </w:r>
      <w:r w:rsidRPr="009A3F83">
        <w:rPr>
          <w:color w:val="000000" w:themeColor="text1"/>
        </w:rPr>
        <w:t xml:space="preserve"> </w:t>
      </w:r>
      <w:r w:rsidR="0048279D">
        <w:rPr>
          <w:color w:val="000000" w:themeColor="text1"/>
        </w:rPr>
        <w:t>moderat</w:t>
      </w:r>
      <w:r w:rsidR="00F065DA">
        <w:rPr>
          <w:color w:val="000000" w:themeColor="text1"/>
        </w:rPr>
        <w:t>ed to</w:t>
      </w:r>
      <w:r w:rsidRPr="009A3F83">
        <w:rPr>
          <w:color w:val="000000" w:themeColor="text1"/>
        </w:rPr>
        <w:t xml:space="preserve"> 5</w:t>
      </w:r>
      <w:r w:rsidR="00271250">
        <w:rPr>
          <w:color w:val="000000" w:themeColor="text1"/>
        </w:rPr>
        <w:t>2.2</w:t>
      </w:r>
      <w:r w:rsidRPr="009A3F83">
        <w:rPr>
          <w:color w:val="000000" w:themeColor="text1"/>
        </w:rPr>
        <w:t xml:space="preserve"> index points compared to </w:t>
      </w:r>
      <w:r w:rsidR="00F065DA">
        <w:rPr>
          <w:color w:val="000000" w:themeColor="text1"/>
        </w:rPr>
        <w:t>54.8</w:t>
      </w:r>
      <w:r w:rsidRPr="009A3F83">
        <w:rPr>
          <w:color w:val="000000" w:themeColor="text1"/>
        </w:rPr>
        <w:t xml:space="preserve"> in </w:t>
      </w:r>
      <w:r w:rsidR="00043C39">
        <w:rPr>
          <w:color w:val="000000" w:themeColor="text1"/>
        </w:rPr>
        <w:t xml:space="preserve">May </w:t>
      </w:r>
      <w:r w:rsidRPr="009A3F83">
        <w:rPr>
          <w:color w:val="000000" w:themeColor="text1"/>
        </w:rPr>
        <w:t>(still lower than</w:t>
      </w:r>
      <w:r>
        <w:rPr>
          <w:color w:val="000000" w:themeColor="text1"/>
        </w:rPr>
        <w:t xml:space="preserve"> </w:t>
      </w:r>
      <w:r w:rsidR="00015A70">
        <w:rPr>
          <w:color w:val="000000" w:themeColor="text1"/>
        </w:rPr>
        <w:t>the 60.0 recorded in</w:t>
      </w:r>
      <w:r>
        <w:rPr>
          <w:color w:val="000000" w:themeColor="text1"/>
        </w:rPr>
        <w:t xml:space="preserve"> March)</w:t>
      </w:r>
      <w:r w:rsidRPr="009A3F83">
        <w:rPr>
          <w:color w:val="000000" w:themeColor="text1"/>
        </w:rPr>
        <w:t xml:space="preserve">, suggesting </w:t>
      </w:r>
      <w:r>
        <w:rPr>
          <w:color w:val="000000" w:themeColor="text1"/>
        </w:rPr>
        <w:t xml:space="preserve">a </w:t>
      </w:r>
      <w:r w:rsidRPr="009A3F83">
        <w:rPr>
          <w:color w:val="000000" w:themeColor="text1"/>
        </w:rPr>
        <w:t>partial recovery in the manufacturing sector</w:t>
      </w:r>
      <w:r w:rsidR="004F68BE">
        <w:rPr>
          <w:color w:val="000000" w:themeColor="text1"/>
        </w:rPr>
        <w:t xml:space="preserve"> following the</w:t>
      </w:r>
      <w:r w:rsidRPr="009A3F83">
        <w:rPr>
          <w:color w:val="000000" w:themeColor="text1"/>
        </w:rPr>
        <w:t xml:space="preserve"> </w:t>
      </w:r>
      <w:r w:rsidR="004F68BE">
        <w:rPr>
          <w:color w:val="000000" w:themeColor="text1"/>
        </w:rPr>
        <w:t>impact of</w:t>
      </w:r>
      <w:r w:rsidRPr="009A3F83">
        <w:rPr>
          <w:color w:val="000000" w:themeColor="text1"/>
        </w:rPr>
        <w:t xml:space="preserve"> </w:t>
      </w:r>
      <w:r>
        <w:rPr>
          <w:color w:val="000000" w:themeColor="text1"/>
        </w:rPr>
        <w:t xml:space="preserve">the </w:t>
      </w:r>
      <w:r w:rsidRPr="009A3F83">
        <w:rPr>
          <w:color w:val="000000" w:themeColor="text1"/>
        </w:rPr>
        <w:t xml:space="preserve">devastating flooding in KwaZulu-Natal </w:t>
      </w:r>
      <w:r>
        <w:rPr>
          <w:color w:val="000000" w:themeColor="text1"/>
        </w:rPr>
        <w:t>in April</w:t>
      </w:r>
      <w:r w:rsidR="004F68BE">
        <w:rPr>
          <w:color w:val="000000" w:themeColor="text1"/>
        </w:rPr>
        <w:t xml:space="preserve"> and ongoing load shedding</w:t>
      </w:r>
      <w:r w:rsidR="000213C7">
        <w:rPr>
          <w:color w:val="000000" w:themeColor="text1"/>
        </w:rPr>
        <w:t>, among other headwinds</w:t>
      </w:r>
      <w:r w:rsidRPr="009A3F83">
        <w:rPr>
          <w:color w:val="000000" w:themeColor="text1"/>
        </w:rPr>
        <w:t xml:space="preserve">. </w:t>
      </w:r>
      <w:r w:rsidR="00D0073F">
        <w:rPr>
          <w:color w:val="000000" w:themeColor="text1"/>
        </w:rPr>
        <w:t>On the other hand, t</w:t>
      </w:r>
      <w:r w:rsidRPr="009A3F83">
        <w:rPr>
          <w:color w:val="000000" w:themeColor="text1"/>
        </w:rPr>
        <w:t>he S&amp;P Global South Africa PMI</w:t>
      </w:r>
      <w:r w:rsidR="00184D16">
        <w:rPr>
          <w:color w:val="000000" w:themeColor="text1"/>
        </w:rPr>
        <w:t xml:space="preserve">, which </w:t>
      </w:r>
      <w:r w:rsidRPr="009A3F83">
        <w:rPr>
          <w:color w:val="000000" w:themeColor="text1"/>
        </w:rPr>
        <w:t xml:space="preserve">reflects activity in the broader economy, recovered in </w:t>
      </w:r>
      <w:r w:rsidR="000213C7">
        <w:rPr>
          <w:color w:val="000000" w:themeColor="text1"/>
        </w:rPr>
        <w:t>June</w:t>
      </w:r>
      <w:r w:rsidRPr="009A3F83">
        <w:rPr>
          <w:color w:val="000000" w:themeColor="text1"/>
        </w:rPr>
        <w:t>, from 50.</w:t>
      </w:r>
      <w:r w:rsidR="000213C7">
        <w:rPr>
          <w:color w:val="000000" w:themeColor="text1"/>
        </w:rPr>
        <w:t>7</w:t>
      </w:r>
      <w:r w:rsidRPr="009A3F83">
        <w:rPr>
          <w:color w:val="000000" w:themeColor="text1"/>
        </w:rPr>
        <w:t xml:space="preserve"> in </w:t>
      </w:r>
      <w:r w:rsidR="000213C7">
        <w:rPr>
          <w:color w:val="000000" w:themeColor="text1"/>
        </w:rPr>
        <w:t>May</w:t>
      </w:r>
      <w:r w:rsidRPr="009A3F83">
        <w:rPr>
          <w:color w:val="000000" w:themeColor="text1"/>
        </w:rPr>
        <w:t xml:space="preserve"> to </w:t>
      </w:r>
      <w:r w:rsidR="00F371FE">
        <w:rPr>
          <w:color w:val="000000" w:themeColor="text1"/>
        </w:rPr>
        <w:t>52.5</w:t>
      </w:r>
      <w:r>
        <w:rPr>
          <w:color w:val="000000" w:themeColor="text1"/>
        </w:rPr>
        <w:t xml:space="preserve">, </w:t>
      </w:r>
      <w:r w:rsidR="00D0073F">
        <w:rPr>
          <w:color w:val="000000" w:themeColor="text1"/>
        </w:rPr>
        <w:t>the highest</w:t>
      </w:r>
      <w:r w:rsidR="00CA40A7">
        <w:rPr>
          <w:color w:val="000000" w:themeColor="text1"/>
        </w:rPr>
        <w:t xml:space="preserve"> index level in just more than a year. </w:t>
      </w:r>
      <w:r w:rsidR="00A52D99">
        <w:rPr>
          <w:color w:val="000000" w:themeColor="text1"/>
        </w:rPr>
        <w:t>N</w:t>
      </w:r>
      <w:r>
        <w:rPr>
          <w:color w:val="000000" w:themeColor="text1"/>
        </w:rPr>
        <w:t xml:space="preserve">ew </w:t>
      </w:r>
      <w:r w:rsidR="00E94D30">
        <w:rPr>
          <w:color w:val="000000" w:themeColor="text1"/>
        </w:rPr>
        <w:t xml:space="preserve">passenger </w:t>
      </w:r>
      <w:r w:rsidRPr="00AB4120">
        <w:rPr>
          <w:color w:val="000000" w:themeColor="text1"/>
        </w:rPr>
        <w:t xml:space="preserve">car sales </w:t>
      </w:r>
      <w:r w:rsidR="004A6768">
        <w:rPr>
          <w:color w:val="000000" w:themeColor="text1"/>
        </w:rPr>
        <w:t xml:space="preserve">powered ahead, </w:t>
      </w:r>
      <w:r w:rsidRPr="00AB4120">
        <w:rPr>
          <w:color w:val="000000" w:themeColor="text1"/>
        </w:rPr>
        <w:t>r</w:t>
      </w:r>
      <w:r w:rsidR="004A6768">
        <w:rPr>
          <w:color w:val="000000" w:themeColor="text1"/>
        </w:rPr>
        <w:t>ising</w:t>
      </w:r>
      <w:r w:rsidRPr="00AB4120">
        <w:rPr>
          <w:color w:val="000000" w:themeColor="text1"/>
        </w:rPr>
        <w:t xml:space="preserve"> by </w:t>
      </w:r>
      <w:r w:rsidR="00E94D30">
        <w:rPr>
          <w:color w:val="000000" w:themeColor="text1"/>
        </w:rPr>
        <w:t xml:space="preserve">a </w:t>
      </w:r>
      <w:r w:rsidR="006A56E1">
        <w:rPr>
          <w:color w:val="000000" w:themeColor="text1"/>
        </w:rPr>
        <w:t xml:space="preserve">significant </w:t>
      </w:r>
      <w:r w:rsidR="00E94D30">
        <w:rPr>
          <w:color w:val="000000" w:themeColor="text1"/>
        </w:rPr>
        <w:t>20.6</w:t>
      </w:r>
      <w:r w:rsidRPr="00AB4120">
        <w:rPr>
          <w:color w:val="000000" w:themeColor="text1"/>
        </w:rPr>
        <w:t>%</w:t>
      </w:r>
      <w:r>
        <w:rPr>
          <w:color w:val="000000" w:themeColor="text1"/>
        </w:rPr>
        <w:t xml:space="preserve"> </w:t>
      </w:r>
      <w:r w:rsidR="00A52D99">
        <w:rPr>
          <w:color w:val="000000" w:themeColor="text1"/>
        </w:rPr>
        <w:t>year-on-year</w:t>
      </w:r>
      <w:r>
        <w:rPr>
          <w:color w:val="000000" w:themeColor="text1"/>
        </w:rPr>
        <w:t xml:space="preserve"> in </w:t>
      </w:r>
      <w:r w:rsidR="00E94D30">
        <w:rPr>
          <w:color w:val="000000" w:themeColor="text1"/>
        </w:rPr>
        <w:t>June</w:t>
      </w:r>
      <w:r>
        <w:rPr>
          <w:color w:val="000000" w:themeColor="text1"/>
        </w:rPr>
        <w:t xml:space="preserve"> 2022</w:t>
      </w:r>
      <w:r w:rsidR="006A56E1">
        <w:rPr>
          <w:color w:val="000000" w:themeColor="text1"/>
        </w:rPr>
        <w:t>,</w:t>
      </w:r>
      <w:r w:rsidR="00FC3E1C">
        <w:rPr>
          <w:color w:val="000000" w:themeColor="text1"/>
        </w:rPr>
        <w:t xml:space="preserve"> probably reflecting pent-up post-C</w:t>
      </w:r>
      <w:r w:rsidR="00E80A36">
        <w:rPr>
          <w:color w:val="000000" w:themeColor="text1"/>
        </w:rPr>
        <w:t>OVID</w:t>
      </w:r>
      <w:r w:rsidR="00FC3E1C">
        <w:rPr>
          <w:color w:val="000000" w:themeColor="text1"/>
        </w:rPr>
        <w:t xml:space="preserve"> demand. </w:t>
      </w:r>
      <w:r w:rsidR="002D3479">
        <w:rPr>
          <w:color w:val="000000" w:themeColor="text1"/>
        </w:rPr>
        <w:t xml:space="preserve">With the strong June outcome, </w:t>
      </w:r>
      <w:r w:rsidRPr="00AB4120">
        <w:rPr>
          <w:color w:val="000000" w:themeColor="text1"/>
        </w:rPr>
        <w:t>total new</w:t>
      </w:r>
      <w:r w:rsidR="00184D16">
        <w:rPr>
          <w:color w:val="000000" w:themeColor="text1"/>
        </w:rPr>
        <w:t xml:space="preserve"> </w:t>
      </w:r>
      <w:r w:rsidRPr="00AB4120">
        <w:rPr>
          <w:color w:val="000000" w:themeColor="text1"/>
        </w:rPr>
        <w:t xml:space="preserve">vehicle sales </w:t>
      </w:r>
      <w:r w:rsidR="002D3479">
        <w:rPr>
          <w:color w:val="000000" w:themeColor="text1"/>
        </w:rPr>
        <w:t xml:space="preserve">are </w:t>
      </w:r>
      <w:r w:rsidR="00FC3E1C">
        <w:rPr>
          <w:color w:val="000000" w:themeColor="text1"/>
        </w:rPr>
        <w:t xml:space="preserve">still </w:t>
      </w:r>
      <w:r w:rsidR="00926A2C">
        <w:rPr>
          <w:color w:val="000000" w:themeColor="text1"/>
        </w:rPr>
        <w:t>7.6</w:t>
      </w:r>
      <w:r w:rsidRPr="00AB4120">
        <w:rPr>
          <w:color w:val="000000" w:themeColor="text1"/>
        </w:rPr>
        <w:t>% higher than a year ago.</w:t>
      </w:r>
      <w:r w:rsidR="00926A2C">
        <w:rPr>
          <w:color w:val="000000" w:themeColor="text1"/>
        </w:rPr>
        <w:t xml:space="preserve"> The latter two </w:t>
      </w:r>
      <w:r w:rsidR="00304456">
        <w:rPr>
          <w:color w:val="000000" w:themeColor="text1"/>
        </w:rPr>
        <w:t xml:space="preserve">indicators confirm </w:t>
      </w:r>
      <w:r w:rsidR="00E66E17">
        <w:rPr>
          <w:color w:val="000000" w:themeColor="text1"/>
        </w:rPr>
        <w:t>the BETI</w:t>
      </w:r>
      <w:r w:rsidR="00E80A36">
        <w:rPr>
          <w:color w:val="000000" w:themeColor="text1"/>
        </w:rPr>
        <w:t xml:space="preserve">’s forecast </w:t>
      </w:r>
      <w:r w:rsidR="00E5686E">
        <w:rPr>
          <w:color w:val="000000" w:themeColor="text1"/>
        </w:rPr>
        <w:t xml:space="preserve">that </w:t>
      </w:r>
      <w:r w:rsidR="00E80A36">
        <w:rPr>
          <w:color w:val="000000" w:themeColor="text1"/>
        </w:rPr>
        <w:t xml:space="preserve">the country’s GDP growth in </w:t>
      </w:r>
      <w:r w:rsidR="00E5686E">
        <w:rPr>
          <w:color w:val="000000" w:themeColor="text1"/>
        </w:rPr>
        <w:t>Q2</w:t>
      </w:r>
      <w:r w:rsidR="00E80A36">
        <w:rPr>
          <w:color w:val="000000" w:themeColor="text1"/>
        </w:rPr>
        <w:t xml:space="preserve"> </w:t>
      </w:r>
      <w:r w:rsidR="00E5686E">
        <w:rPr>
          <w:color w:val="000000" w:themeColor="text1"/>
        </w:rPr>
        <w:t xml:space="preserve">could indeed </w:t>
      </w:r>
      <w:r w:rsidR="00E80A36">
        <w:rPr>
          <w:color w:val="000000" w:themeColor="text1"/>
        </w:rPr>
        <w:t>emerge stronger</w:t>
      </w:r>
      <w:r w:rsidR="00E5686E">
        <w:rPr>
          <w:color w:val="000000" w:themeColor="text1"/>
        </w:rPr>
        <w:t xml:space="preserve"> than </w:t>
      </w:r>
      <w:r w:rsidR="00E80A36">
        <w:rPr>
          <w:color w:val="000000" w:themeColor="text1"/>
        </w:rPr>
        <w:t xml:space="preserve">the market’s </w:t>
      </w:r>
      <w:r w:rsidR="00FC3E1C">
        <w:rPr>
          <w:color w:val="000000" w:themeColor="text1"/>
        </w:rPr>
        <w:t>expectations</w:t>
      </w:r>
      <w:r w:rsidR="00E80A36">
        <w:rPr>
          <w:color w:val="000000" w:themeColor="text1"/>
        </w:rPr>
        <w:t>,</w:t>
      </w:r>
      <w:r w:rsidR="00852EFF">
        <w:rPr>
          <w:color w:val="000000" w:themeColor="text1"/>
        </w:rPr>
        <w:t xml:space="preserve"> </w:t>
      </w:r>
      <w:r w:rsidR="00E80A36">
        <w:rPr>
          <w:color w:val="000000" w:themeColor="text1"/>
        </w:rPr>
        <w:t xml:space="preserve">when it </w:t>
      </w:r>
      <w:proofErr w:type="gramStart"/>
      <w:r w:rsidR="00E80A36">
        <w:rPr>
          <w:color w:val="000000" w:themeColor="text1"/>
        </w:rPr>
        <w:t>is published</w:t>
      </w:r>
      <w:proofErr w:type="gramEnd"/>
      <w:r w:rsidR="00E80A36">
        <w:rPr>
          <w:color w:val="000000" w:themeColor="text1"/>
        </w:rPr>
        <w:t xml:space="preserve"> in September. </w:t>
      </w:r>
    </w:p>
    <w:p w14:paraId="746BA600" w14:textId="34FD19DC" w:rsidR="000C0CC8" w:rsidRDefault="00152603" w:rsidP="00F96EEC">
      <w:pPr>
        <w:rPr>
          <w:color w:val="000000" w:themeColor="text1"/>
        </w:rPr>
      </w:pPr>
      <w:bookmarkStart w:id="7" w:name="_Hlk106195131"/>
      <w:bookmarkEnd w:id="5"/>
      <w:r w:rsidRPr="000C0CC8">
        <w:rPr>
          <w:color w:val="000000" w:themeColor="text1"/>
        </w:rPr>
        <w:t xml:space="preserve">While the intensity of load shedding hit the economy </w:t>
      </w:r>
      <w:r w:rsidR="002F7A20" w:rsidRPr="000C0CC8">
        <w:rPr>
          <w:color w:val="000000" w:themeColor="text1"/>
        </w:rPr>
        <w:t xml:space="preserve">hard </w:t>
      </w:r>
      <w:r w:rsidRPr="000C0CC8">
        <w:rPr>
          <w:color w:val="000000" w:themeColor="text1"/>
        </w:rPr>
        <w:t xml:space="preserve">towards the end of June and into July, </w:t>
      </w:r>
      <w:proofErr w:type="gramStart"/>
      <w:r w:rsidRPr="000C0CC8">
        <w:rPr>
          <w:color w:val="000000" w:themeColor="text1"/>
        </w:rPr>
        <w:t>a number of</w:t>
      </w:r>
      <w:proofErr w:type="gramEnd"/>
      <w:r w:rsidRPr="000C0CC8">
        <w:rPr>
          <w:color w:val="000000" w:themeColor="text1"/>
        </w:rPr>
        <w:t xml:space="preserve"> </w:t>
      </w:r>
      <w:r w:rsidR="007B3708" w:rsidRPr="000C0CC8">
        <w:rPr>
          <w:color w:val="000000" w:themeColor="text1"/>
        </w:rPr>
        <w:t>factors acted as mitigating f</w:t>
      </w:r>
      <w:r w:rsidR="0099110C" w:rsidRPr="000C0CC8">
        <w:rPr>
          <w:color w:val="000000" w:themeColor="text1"/>
        </w:rPr>
        <w:t>actors</w:t>
      </w:r>
      <w:r w:rsidR="002F7A20" w:rsidRPr="000C0CC8">
        <w:rPr>
          <w:color w:val="000000" w:themeColor="text1"/>
        </w:rPr>
        <w:t xml:space="preserve"> (especially in Q2)</w:t>
      </w:r>
      <w:r w:rsidR="007B3708" w:rsidRPr="000C0CC8">
        <w:rPr>
          <w:color w:val="000000" w:themeColor="text1"/>
        </w:rPr>
        <w:t xml:space="preserve"> and </w:t>
      </w:r>
      <w:r w:rsidR="0099110C" w:rsidRPr="000C0CC8">
        <w:rPr>
          <w:color w:val="000000" w:themeColor="text1"/>
        </w:rPr>
        <w:t xml:space="preserve">have </w:t>
      </w:r>
      <w:r w:rsidR="00395BFE" w:rsidRPr="000C0CC8">
        <w:rPr>
          <w:color w:val="000000" w:themeColor="text1"/>
        </w:rPr>
        <w:t>b</w:t>
      </w:r>
      <w:r w:rsidR="0099110C" w:rsidRPr="000C0CC8">
        <w:rPr>
          <w:color w:val="000000" w:themeColor="text1"/>
        </w:rPr>
        <w:t xml:space="preserve">een cushioning </w:t>
      </w:r>
      <w:r w:rsidR="00395BFE" w:rsidRPr="000C0CC8">
        <w:rPr>
          <w:color w:val="000000" w:themeColor="text1"/>
        </w:rPr>
        <w:t xml:space="preserve">the </w:t>
      </w:r>
      <w:r w:rsidR="0099110C" w:rsidRPr="000C0CC8">
        <w:rPr>
          <w:color w:val="000000" w:themeColor="text1"/>
        </w:rPr>
        <w:t>South Africa</w:t>
      </w:r>
      <w:r w:rsidR="00395BFE" w:rsidRPr="000C0CC8">
        <w:rPr>
          <w:color w:val="000000" w:themeColor="text1"/>
        </w:rPr>
        <w:t>n</w:t>
      </w:r>
      <w:r w:rsidR="0099110C" w:rsidRPr="000C0CC8">
        <w:rPr>
          <w:color w:val="000000" w:themeColor="text1"/>
        </w:rPr>
        <w:t xml:space="preserve"> economy from </w:t>
      </w:r>
      <w:r w:rsidR="002F7A20" w:rsidRPr="000C0CC8">
        <w:rPr>
          <w:color w:val="000000" w:themeColor="text1"/>
        </w:rPr>
        <w:t>growing</w:t>
      </w:r>
      <w:r w:rsidR="00395BFE" w:rsidRPr="000C0CC8">
        <w:rPr>
          <w:color w:val="000000" w:themeColor="text1"/>
        </w:rPr>
        <w:t xml:space="preserve"> </w:t>
      </w:r>
      <w:r w:rsidR="0099110C" w:rsidRPr="000C0CC8">
        <w:rPr>
          <w:color w:val="000000" w:themeColor="text1"/>
        </w:rPr>
        <w:t>negative forces</w:t>
      </w:r>
      <w:r w:rsidR="00E55770" w:rsidRPr="000C0CC8">
        <w:rPr>
          <w:color w:val="000000" w:themeColor="text1"/>
        </w:rPr>
        <w:t xml:space="preserve">. Although off its peaks, </w:t>
      </w:r>
      <w:r w:rsidR="000C0CC8" w:rsidRPr="000C0CC8">
        <w:rPr>
          <w:color w:val="000000" w:themeColor="text1"/>
        </w:rPr>
        <w:t xml:space="preserve">many </w:t>
      </w:r>
      <w:proofErr w:type="gramStart"/>
      <w:r w:rsidR="000C0CC8" w:rsidRPr="000C0CC8">
        <w:rPr>
          <w:color w:val="000000" w:themeColor="text1"/>
        </w:rPr>
        <w:t>c</w:t>
      </w:r>
      <w:r w:rsidR="0099110C" w:rsidRPr="000C0CC8">
        <w:rPr>
          <w:color w:val="000000" w:themeColor="text1"/>
        </w:rPr>
        <w:t>ommodity</w:t>
      </w:r>
      <w:proofErr w:type="gramEnd"/>
      <w:r w:rsidR="0099110C" w:rsidRPr="000C0CC8">
        <w:rPr>
          <w:color w:val="000000" w:themeColor="text1"/>
        </w:rPr>
        <w:t xml:space="preserve"> price levels </w:t>
      </w:r>
      <w:r w:rsidR="00E55770" w:rsidRPr="000C0CC8">
        <w:rPr>
          <w:color w:val="000000" w:themeColor="text1"/>
        </w:rPr>
        <w:t xml:space="preserve">have </w:t>
      </w:r>
      <w:r w:rsidR="0099110C" w:rsidRPr="000C0CC8">
        <w:rPr>
          <w:color w:val="000000" w:themeColor="text1"/>
        </w:rPr>
        <w:t>remain</w:t>
      </w:r>
      <w:r w:rsidR="00E55770" w:rsidRPr="000C0CC8">
        <w:rPr>
          <w:color w:val="000000" w:themeColor="text1"/>
        </w:rPr>
        <w:t>ed</w:t>
      </w:r>
      <w:r w:rsidR="0099110C" w:rsidRPr="000C0CC8">
        <w:rPr>
          <w:color w:val="000000" w:themeColor="text1"/>
        </w:rPr>
        <w:t xml:space="preserve"> elevated given the impact of the ongoing conflict between Russia and Ukraine. These</w:t>
      </w:r>
      <w:r w:rsidR="00712BE0" w:rsidRPr="000C0CC8">
        <w:rPr>
          <w:color w:val="000000" w:themeColor="text1"/>
        </w:rPr>
        <w:t xml:space="preserve"> high price</w:t>
      </w:r>
      <w:r w:rsidR="0099110C" w:rsidRPr="000C0CC8">
        <w:rPr>
          <w:color w:val="000000" w:themeColor="text1"/>
        </w:rPr>
        <w:t xml:space="preserve"> levels </w:t>
      </w:r>
      <w:r w:rsidR="00AE76FE">
        <w:rPr>
          <w:color w:val="000000" w:themeColor="text1"/>
        </w:rPr>
        <w:t>continued to</w:t>
      </w:r>
      <w:r w:rsidR="0099110C" w:rsidRPr="000C0CC8">
        <w:rPr>
          <w:color w:val="000000" w:themeColor="text1"/>
        </w:rPr>
        <w:t xml:space="preserve"> </w:t>
      </w:r>
      <w:r w:rsidR="008B2C23" w:rsidRPr="000C0CC8">
        <w:rPr>
          <w:color w:val="000000" w:themeColor="text1"/>
        </w:rPr>
        <w:t xml:space="preserve">support the </w:t>
      </w:r>
      <w:r w:rsidR="0099110C" w:rsidRPr="000C0CC8">
        <w:rPr>
          <w:color w:val="000000" w:themeColor="text1"/>
        </w:rPr>
        <w:t>mining sector and other</w:t>
      </w:r>
      <w:r w:rsidR="00A52D99">
        <w:rPr>
          <w:color w:val="000000" w:themeColor="text1"/>
        </w:rPr>
        <w:t xml:space="preserve">s </w:t>
      </w:r>
      <w:r w:rsidR="00852EFF">
        <w:rPr>
          <w:color w:val="000000" w:themeColor="text1"/>
        </w:rPr>
        <w:t xml:space="preserve">such as </w:t>
      </w:r>
      <w:r w:rsidR="0099110C" w:rsidRPr="000C0CC8">
        <w:rPr>
          <w:color w:val="000000" w:themeColor="text1"/>
        </w:rPr>
        <w:t>transport.</w:t>
      </w:r>
      <w:r w:rsidR="000C0CC8" w:rsidRPr="000C0CC8">
        <w:rPr>
          <w:color w:val="000000" w:themeColor="text1"/>
        </w:rPr>
        <w:t xml:space="preserve"> Furthermore,</w:t>
      </w:r>
      <w:r w:rsidR="00A52D99">
        <w:rPr>
          <w:color w:val="000000" w:themeColor="text1"/>
        </w:rPr>
        <w:t xml:space="preserve"> there has been some job creation in Q1 2022 with the number of </w:t>
      </w:r>
      <w:r w:rsidR="0099110C" w:rsidRPr="000C0CC8">
        <w:rPr>
          <w:color w:val="000000" w:themeColor="text1"/>
        </w:rPr>
        <w:t>employed people increasing by 370</w:t>
      </w:r>
      <w:r w:rsidR="00A52D99">
        <w:rPr>
          <w:color w:val="000000" w:themeColor="text1"/>
        </w:rPr>
        <w:t> </w:t>
      </w:r>
      <w:r w:rsidR="0099110C" w:rsidRPr="000C0CC8">
        <w:rPr>
          <w:color w:val="000000" w:themeColor="text1"/>
        </w:rPr>
        <w:t>000</w:t>
      </w:r>
      <w:r w:rsidR="00A52D99">
        <w:rPr>
          <w:color w:val="000000" w:themeColor="text1"/>
        </w:rPr>
        <w:t xml:space="preserve">. This </w:t>
      </w:r>
      <w:r w:rsidR="00AE76FE">
        <w:rPr>
          <w:color w:val="000000" w:themeColor="text1"/>
        </w:rPr>
        <w:t>will</w:t>
      </w:r>
      <w:r w:rsidR="004E7C2B" w:rsidRPr="000C0CC8">
        <w:rPr>
          <w:color w:val="000000" w:themeColor="text1"/>
        </w:rPr>
        <w:t xml:space="preserve"> </w:t>
      </w:r>
      <w:r w:rsidR="000C0CC8" w:rsidRPr="000C0CC8">
        <w:rPr>
          <w:color w:val="000000" w:themeColor="text1"/>
        </w:rPr>
        <w:t>likely</w:t>
      </w:r>
      <w:r w:rsidR="004E7C2B" w:rsidRPr="000C0CC8">
        <w:rPr>
          <w:color w:val="000000" w:themeColor="text1"/>
        </w:rPr>
        <w:t xml:space="preserve"> </w:t>
      </w:r>
      <w:r w:rsidR="008B2C23" w:rsidRPr="000C0CC8">
        <w:rPr>
          <w:color w:val="000000" w:themeColor="text1"/>
        </w:rPr>
        <w:t xml:space="preserve">boost consumer spending in </w:t>
      </w:r>
      <w:r w:rsidR="0099110C" w:rsidRPr="000C0CC8">
        <w:rPr>
          <w:color w:val="000000" w:themeColor="text1"/>
        </w:rPr>
        <w:t>subsequent quarters</w:t>
      </w:r>
      <w:r w:rsidR="000C0CC8" w:rsidRPr="000C0CC8">
        <w:rPr>
          <w:color w:val="000000" w:themeColor="text1"/>
        </w:rPr>
        <w:t xml:space="preserve">, in combination with the extension of the R350-a-month social relief of distress grant to the FY23 fiscal year. </w:t>
      </w:r>
    </w:p>
    <w:p w14:paraId="24EA1BA9" w14:textId="4CBDB8F1" w:rsidR="0099110C" w:rsidRPr="000C0CC8" w:rsidRDefault="0099110C" w:rsidP="00F96EEC">
      <w:pPr>
        <w:rPr>
          <w:color w:val="000000" w:themeColor="text1"/>
        </w:rPr>
      </w:pPr>
      <w:bookmarkStart w:id="8" w:name="_Hlk108517885"/>
      <w:bookmarkEnd w:id="6"/>
      <w:r w:rsidRPr="000C0CC8">
        <w:rPr>
          <w:color w:val="000000" w:themeColor="text1"/>
        </w:rPr>
        <w:t>The relaxation of C</w:t>
      </w:r>
      <w:r w:rsidR="00184D16" w:rsidRPr="000C0CC8">
        <w:rPr>
          <w:color w:val="000000" w:themeColor="text1"/>
        </w:rPr>
        <w:t>OVID-19</w:t>
      </w:r>
      <w:r w:rsidRPr="000C0CC8">
        <w:rPr>
          <w:color w:val="000000" w:themeColor="text1"/>
        </w:rPr>
        <w:t xml:space="preserve"> restrictions on gatherings</w:t>
      </w:r>
      <w:r w:rsidR="001B60CC">
        <w:rPr>
          <w:color w:val="000000" w:themeColor="text1"/>
        </w:rPr>
        <w:t>, fro</w:t>
      </w:r>
      <w:r w:rsidRPr="000C0CC8">
        <w:rPr>
          <w:color w:val="000000" w:themeColor="text1"/>
        </w:rPr>
        <w:t>m 30 April</w:t>
      </w:r>
      <w:r w:rsidR="001B60CC">
        <w:rPr>
          <w:color w:val="000000" w:themeColor="text1"/>
        </w:rPr>
        <w:t>,</w:t>
      </w:r>
      <w:r w:rsidR="0095308F" w:rsidRPr="000C0CC8">
        <w:rPr>
          <w:color w:val="000000" w:themeColor="text1"/>
        </w:rPr>
        <w:t xml:space="preserve"> </w:t>
      </w:r>
      <w:r w:rsidR="00F96EEC">
        <w:rPr>
          <w:color w:val="000000" w:themeColor="text1"/>
        </w:rPr>
        <w:t xml:space="preserve">already </w:t>
      </w:r>
      <w:r w:rsidRPr="000C0CC8">
        <w:rPr>
          <w:color w:val="000000" w:themeColor="text1"/>
        </w:rPr>
        <w:t>benefit</w:t>
      </w:r>
      <w:r w:rsidR="0095308F" w:rsidRPr="000C0CC8">
        <w:rPr>
          <w:color w:val="000000" w:themeColor="text1"/>
        </w:rPr>
        <w:t>ted</w:t>
      </w:r>
      <w:r w:rsidRPr="000C0CC8">
        <w:rPr>
          <w:color w:val="000000" w:themeColor="text1"/>
        </w:rPr>
        <w:t xml:space="preserve"> the sporting, cultural and entertainment industries. In addition, </w:t>
      </w:r>
      <w:r w:rsidR="00E80A36">
        <w:rPr>
          <w:color w:val="000000" w:themeColor="text1"/>
        </w:rPr>
        <w:t xml:space="preserve">it is likely </w:t>
      </w:r>
      <w:r w:rsidRPr="000C0CC8">
        <w:rPr>
          <w:color w:val="000000" w:themeColor="text1"/>
        </w:rPr>
        <w:t>the</w:t>
      </w:r>
      <w:r w:rsidR="00E80A36">
        <w:rPr>
          <w:color w:val="000000" w:themeColor="text1"/>
        </w:rPr>
        <w:t xml:space="preserve"> touris</w:t>
      </w:r>
      <w:r w:rsidR="00A52D99">
        <w:rPr>
          <w:color w:val="000000" w:themeColor="text1"/>
        </w:rPr>
        <w:t>m</w:t>
      </w:r>
      <w:r w:rsidR="00E80A36">
        <w:rPr>
          <w:color w:val="000000" w:themeColor="text1"/>
        </w:rPr>
        <w:t xml:space="preserve">, hospitality and accommodation sectors are </w:t>
      </w:r>
      <w:r w:rsidR="00A52D99">
        <w:rPr>
          <w:color w:val="000000" w:themeColor="text1"/>
        </w:rPr>
        <w:t>improving</w:t>
      </w:r>
      <w:r w:rsidR="00E80A36">
        <w:rPr>
          <w:color w:val="000000" w:themeColor="text1"/>
        </w:rPr>
        <w:t xml:space="preserve"> from the </w:t>
      </w:r>
      <w:proofErr w:type="gramStart"/>
      <w:r w:rsidR="00E80A36">
        <w:rPr>
          <w:color w:val="000000" w:themeColor="text1"/>
        </w:rPr>
        <w:t>continued</w:t>
      </w:r>
      <w:r w:rsidRPr="000C0CC8">
        <w:rPr>
          <w:color w:val="000000" w:themeColor="text1"/>
        </w:rPr>
        <w:t xml:space="preserve">  opening</w:t>
      </w:r>
      <w:proofErr w:type="gramEnd"/>
      <w:r w:rsidRPr="000C0CC8">
        <w:rPr>
          <w:color w:val="000000" w:themeColor="text1"/>
        </w:rPr>
        <w:t xml:space="preserve"> of the economy through the further easing of international travel regulations</w:t>
      </w:r>
      <w:r w:rsidR="00E80A36">
        <w:rPr>
          <w:color w:val="000000" w:themeColor="text1"/>
        </w:rPr>
        <w:t xml:space="preserve">. </w:t>
      </w:r>
      <w:r w:rsidR="001B60CC">
        <w:rPr>
          <w:color w:val="000000" w:themeColor="text1"/>
        </w:rPr>
        <w:t>With all remaining C</w:t>
      </w:r>
      <w:r w:rsidR="00E80A36">
        <w:rPr>
          <w:color w:val="000000" w:themeColor="text1"/>
        </w:rPr>
        <w:t>OVID</w:t>
      </w:r>
      <w:r w:rsidR="001B60CC">
        <w:rPr>
          <w:color w:val="000000" w:themeColor="text1"/>
        </w:rPr>
        <w:t xml:space="preserve">-regulations repealed on 20 June, </w:t>
      </w:r>
      <w:r w:rsidR="00F96EEC">
        <w:rPr>
          <w:color w:val="000000" w:themeColor="text1"/>
        </w:rPr>
        <w:t>a further recovery towards pre-C</w:t>
      </w:r>
      <w:r w:rsidR="007C1828">
        <w:rPr>
          <w:color w:val="000000" w:themeColor="text1"/>
        </w:rPr>
        <w:t>OVID</w:t>
      </w:r>
      <w:r w:rsidR="00F96EEC">
        <w:rPr>
          <w:color w:val="000000" w:themeColor="text1"/>
        </w:rPr>
        <w:t xml:space="preserve"> activity levels in some sectors (where restrictions still applied), will support </w:t>
      </w:r>
      <w:r w:rsidR="007C1828">
        <w:rPr>
          <w:color w:val="000000" w:themeColor="text1"/>
        </w:rPr>
        <w:t xml:space="preserve">general </w:t>
      </w:r>
      <w:r w:rsidR="00F96EEC">
        <w:rPr>
          <w:color w:val="000000" w:themeColor="text1"/>
        </w:rPr>
        <w:t>economic activity</w:t>
      </w:r>
      <w:r w:rsidR="007C1828">
        <w:rPr>
          <w:color w:val="000000" w:themeColor="text1"/>
        </w:rPr>
        <w:t xml:space="preserve"> in the</w:t>
      </w:r>
      <w:r w:rsidR="00F96EEC">
        <w:rPr>
          <w:color w:val="000000" w:themeColor="text1"/>
        </w:rPr>
        <w:t xml:space="preserve"> </w:t>
      </w:r>
      <w:r w:rsidR="00852EFF">
        <w:rPr>
          <w:color w:val="000000" w:themeColor="text1"/>
        </w:rPr>
        <w:t>coming months</w:t>
      </w:r>
      <w:r w:rsidR="00F96EEC">
        <w:rPr>
          <w:color w:val="000000" w:themeColor="text1"/>
        </w:rPr>
        <w:t>.</w:t>
      </w:r>
    </w:p>
    <w:p w14:paraId="28B75F4C" w14:textId="0C76FC4B" w:rsidR="00AB7B06" w:rsidRDefault="00F96EEC" w:rsidP="00A52D99">
      <w:pPr>
        <w:jc w:val="both"/>
        <w:rPr>
          <w:color w:val="000000" w:themeColor="text1"/>
        </w:rPr>
      </w:pPr>
      <w:bookmarkStart w:id="9" w:name="_Hlk106195294"/>
      <w:bookmarkEnd w:id="7"/>
      <w:r>
        <w:rPr>
          <w:color w:val="000000" w:themeColor="text1"/>
        </w:rPr>
        <w:lastRenderedPageBreak/>
        <w:t xml:space="preserve">Thus, despite </w:t>
      </w:r>
      <w:r w:rsidR="007C1828">
        <w:rPr>
          <w:color w:val="000000" w:themeColor="text1"/>
        </w:rPr>
        <w:t>the</w:t>
      </w:r>
      <w:r>
        <w:rPr>
          <w:color w:val="000000" w:themeColor="text1"/>
        </w:rPr>
        <w:t xml:space="preserve"> moderation in the BETI in June, o</w:t>
      </w:r>
      <w:r w:rsidRPr="00F96EEC">
        <w:rPr>
          <w:color w:val="000000" w:themeColor="text1"/>
        </w:rPr>
        <w:t>n a quarterly basis, the BETI still increased by 3.9%</w:t>
      </w:r>
      <w:r>
        <w:rPr>
          <w:color w:val="000000" w:themeColor="text1"/>
        </w:rPr>
        <w:t xml:space="preserve">, </w:t>
      </w:r>
      <w:proofErr w:type="spellStart"/>
      <w:r>
        <w:rPr>
          <w:color w:val="000000" w:themeColor="text1"/>
        </w:rPr>
        <w:t>signaling</w:t>
      </w:r>
      <w:proofErr w:type="spellEnd"/>
      <w:r>
        <w:rPr>
          <w:color w:val="000000" w:themeColor="text1"/>
        </w:rPr>
        <w:t xml:space="preserve"> a continuation of the strong growth performance of Q1 (</w:t>
      </w:r>
      <w:r w:rsidR="00A52D99">
        <w:rPr>
          <w:color w:val="000000" w:themeColor="text1"/>
        </w:rPr>
        <w:t xml:space="preserve">note: </w:t>
      </w:r>
      <w:r>
        <w:rPr>
          <w:color w:val="000000" w:themeColor="text1"/>
        </w:rPr>
        <w:t xml:space="preserve">real GDP growth </w:t>
      </w:r>
      <w:proofErr w:type="gramStart"/>
      <w:r>
        <w:rPr>
          <w:color w:val="000000" w:themeColor="text1"/>
        </w:rPr>
        <w:t>was recorded</w:t>
      </w:r>
      <w:proofErr w:type="gramEnd"/>
      <w:r>
        <w:rPr>
          <w:color w:val="000000" w:themeColor="text1"/>
        </w:rPr>
        <w:t xml:space="preserve"> at 1.9%</w:t>
      </w:r>
      <w:r w:rsidR="006D4E8A">
        <w:rPr>
          <w:color w:val="000000" w:themeColor="text1"/>
        </w:rPr>
        <w:t xml:space="preserve"> q/q</w:t>
      </w:r>
      <w:r>
        <w:rPr>
          <w:color w:val="000000" w:themeColor="text1"/>
        </w:rPr>
        <w:t xml:space="preserve">, higher than </w:t>
      </w:r>
      <w:r w:rsidR="007C1828">
        <w:rPr>
          <w:color w:val="000000" w:themeColor="text1"/>
        </w:rPr>
        <w:t xml:space="preserve">the </w:t>
      </w:r>
      <w:r>
        <w:rPr>
          <w:color w:val="000000" w:themeColor="text1"/>
        </w:rPr>
        <w:t xml:space="preserve">market consensus and the fastest rate since Q2 2021). </w:t>
      </w:r>
      <w:bookmarkStart w:id="10" w:name="_Hlk103077844"/>
    </w:p>
    <w:bookmarkEnd w:id="8"/>
    <w:bookmarkEnd w:id="9"/>
    <w:p w14:paraId="7B6C0D7C" w14:textId="77777777" w:rsidR="0095308F" w:rsidRPr="0095308F" w:rsidRDefault="0095308F" w:rsidP="0095308F">
      <w:pPr>
        <w:pStyle w:val="Heading3"/>
        <w:spacing w:after="120"/>
        <w:rPr>
          <w:rFonts w:asciiTheme="minorHAnsi" w:eastAsiaTheme="minorHAnsi" w:hAnsiTheme="minorHAnsi" w:cstheme="minorBidi"/>
          <w:b/>
          <w:bCs/>
          <w:color w:val="000000" w:themeColor="text1"/>
          <w:sz w:val="22"/>
          <w:szCs w:val="22"/>
        </w:rPr>
      </w:pPr>
      <w:r w:rsidRPr="0095308F">
        <w:rPr>
          <w:rFonts w:asciiTheme="minorHAnsi" w:eastAsiaTheme="minorHAnsi" w:hAnsiTheme="minorHAnsi" w:cstheme="minorBidi"/>
          <w:b/>
          <w:bCs/>
          <w:color w:val="000000" w:themeColor="text1"/>
          <w:sz w:val="22"/>
          <w:szCs w:val="22"/>
        </w:rPr>
        <w:t>Strong growth in the number of transactions</w:t>
      </w:r>
    </w:p>
    <w:p w14:paraId="7B4E4674" w14:textId="19D3CB84" w:rsidR="0095308F" w:rsidRPr="005B21FD" w:rsidRDefault="007714E5" w:rsidP="0095308F">
      <w:pPr>
        <w:rPr>
          <w:color w:val="000000" w:themeColor="text1"/>
        </w:rPr>
      </w:pPr>
      <w:bookmarkStart w:id="11" w:name="_Hlk106195444"/>
      <w:r>
        <w:rPr>
          <w:color w:val="000000" w:themeColor="text1"/>
        </w:rPr>
        <w:t>The s</w:t>
      </w:r>
      <w:r w:rsidR="0095308F" w:rsidRPr="005B21FD">
        <w:rPr>
          <w:color w:val="000000" w:themeColor="text1"/>
        </w:rPr>
        <w:t>tandardised nominal value of transactions</w:t>
      </w:r>
      <w:r>
        <w:rPr>
          <w:color w:val="000000" w:themeColor="text1"/>
        </w:rPr>
        <w:t xml:space="preserve"> cleared through BankservAfrica</w:t>
      </w:r>
      <w:r w:rsidR="0095308F" w:rsidRPr="005B21FD">
        <w:rPr>
          <w:color w:val="000000" w:themeColor="text1"/>
        </w:rPr>
        <w:t xml:space="preserve"> </w:t>
      </w:r>
      <w:r>
        <w:rPr>
          <w:color w:val="000000" w:themeColor="text1"/>
        </w:rPr>
        <w:t xml:space="preserve">in June 2022 </w:t>
      </w:r>
      <w:proofErr w:type="gramStart"/>
      <w:r>
        <w:rPr>
          <w:color w:val="000000" w:themeColor="text1"/>
        </w:rPr>
        <w:t>were recorded</w:t>
      </w:r>
      <w:proofErr w:type="gramEnd"/>
      <w:r w:rsidRPr="005B21FD">
        <w:rPr>
          <w:color w:val="000000" w:themeColor="text1"/>
        </w:rPr>
        <w:t xml:space="preserve"> </w:t>
      </w:r>
      <w:r>
        <w:rPr>
          <w:color w:val="000000" w:themeColor="text1"/>
        </w:rPr>
        <w:t xml:space="preserve">at </w:t>
      </w:r>
      <w:r w:rsidR="0095308F" w:rsidRPr="005B21FD">
        <w:rPr>
          <w:color w:val="000000" w:themeColor="text1"/>
        </w:rPr>
        <w:t>R1</w:t>
      </w:r>
      <w:r w:rsidR="00015A70">
        <w:rPr>
          <w:color w:val="000000" w:themeColor="text1"/>
        </w:rPr>
        <w:t>.</w:t>
      </w:r>
      <w:r w:rsidR="002C609B">
        <w:rPr>
          <w:color w:val="000000" w:themeColor="text1"/>
        </w:rPr>
        <w:t>121</w:t>
      </w:r>
      <w:r w:rsidR="0095308F" w:rsidRPr="005B21FD">
        <w:rPr>
          <w:color w:val="000000" w:themeColor="text1"/>
        </w:rPr>
        <w:t xml:space="preserve"> trillion</w:t>
      </w:r>
      <w:r w:rsidR="002E2B5E">
        <w:rPr>
          <w:color w:val="000000" w:themeColor="text1"/>
        </w:rPr>
        <w:t>, while</w:t>
      </w:r>
      <w:r w:rsidR="00AE7881">
        <w:rPr>
          <w:color w:val="000000" w:themeColor="text1"/>
        </w:rPr>
        <w:t xml:space="preserve"> the</w:t>
      </w:r>
      <w:r w:rsidR="0095308F" w:rsidRPr="005B21FD">
        <w:rPr>
          <w:color w:val="000000" w:themeColor="text1"/>
        </w:rPr>
        <w:t xml:space="preserve"> number of transactions remain</w:t>
      </w:r>
      <w:r w:rsidR="0095308F">
        <w:rPr>
          <w:color w:val="000000" w:themeColor="text1"/>
        </w:rPr>
        <w:t>ed</w:t>
      </w:r>
      <w:r w:rsidR="0095308F" w:rsidRPr="005B21FD">
        <w:rPr>
          <w:color w:val="000000" w:themeColor="text1"/>
        </w:rPr>
        <w:t xml:space="preserve"> elevated at </w:t>
      </w:r>
      <w:r w:rsidR="00EC513B">
        <w:rPr>
          <w:color w:val="000000" w:themeColor="text1"/>
        </w:rPr>
        <w:t>127.57</w:t>
      </w:r>
      <w:r w:rsidR="00184D16">
        <w:rPr>
          <w:color w:val="000000" w:themeColor="text1"/>
        </w:rPr>
        <w:t xml:space="preserve"> </w:t>
      </w:r>
      <w:r w:rsidR="0095308F" w:rsidRPr="005B21FD">
        <w:rPr>
          <w:color w:val="000000" w:themeColor="text1"/>
        </w:rPr>
        <w:t xml:space="preserve">million, </w:t>
      </w:r>
      <w:r>
        <w:rPr>
          <w:color w:val="000000" w:themeColor="text1"/>
        </w:rPr>
        <w:t>10</w:t>
      </w:r>
      <w:r w:rsidR="0095308F">
        <w:rPr>
          <w:color w:val="000000" w:themeColor="text1"/>
        </w:rPr>
        <w:t xml:space="preserve">% higher </w:t>
      </w:r>
      <w:r w:rsidR="00184D16">
        <w:rPr>
          <w:color w:val="000000" w:themeColor="text1"/>
        </w:rPr>
        <w:t>than a year ago</w:t>
      </w:r>
      <w:r w:rsidR="0095308F">
        <w:rPr>
          <w:color w:val="000000" w:themeColor="text1"/>
        </w:rPr>
        <w:t xml:space="preserve">. </w:t>
      </w:r>
    </w:p>
    <w:bookmarkEnd w:id="11"/>
    <w:p w14:paraId="7532C9A8" w14:textId="77777777" w:rsidR="00AE7881" w:rsidRPr="001C2CF4" w:rsidRDefault="00AE7881" w:rsidP="00AE7881">
      <w:pPr>
        <w:spacing w:after="0"/>
        <w:jc w:val="both"/>
        <w:rPr>
          <w:rFonts w:cstheme="minorHAnsi"/>
          <w:b/>
          <w:bCs/>
          <w:color w:val="000000" w:themeColor="text1"/>
        </w:rPr>
      </w:pPr>
      <w:r w:rsidRPr="001C2CF4">
        <w:rPr>
          <w:rFonts w:cstheme="minorHAnsi"/>
          <w:b/>
          <w:bCs/>
          <w:color w:val="000000" w:themeColor="text1"/>
        </w:rPr>
        <w:t>Graph 1: BETI vs real GDP growth rate (q/q seasonally adjusted)</w:t>
      </w:r>
    </w:p>
    <w:p w14:paraId="04F1CC73" w14:textId="050C1F92" w:rsidR="0095308F" w:rsidRDefault="008778E7" w:rsidP="0095308F">
      <w:pPr>
        <w:rPr>
          <w:b/>
          <w:bCs/>
        </w:rPr>
      </w:pPr>
      <w:r>
        <w:rPr>
          <w:b/>
          <w:bCs/>
          <w:noProof/>
        </w:rPr>
        <w:drawing>
          <wp:inline distT="0" distB="0" distL="0" distR="0" wp14:anchorId="74CB426F" wp14:editId="469CB658">
            <wp:extent cx="5852795" cy="3736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52795" cy="3736975"/>
                    </a:xfrm>
                    <a:prstGeom prst="rect">
                      <a:avLst/>
                    </a:prstGeom>
                    <a:noFill/>
                  </pic:spPr>
                </pic:pic>
              </a:graphicData>
            </a:graphic>
          </wp:inline>
        </w:drawing>
      </w:r>
    </w:p>
    <w:bookmarkEnd w:id="10"/>
    <w:p w14:paraId="69F6BBB0" w14:textId="77777777" w:rsidR="00AE7881" w:rsidRPr="00782FED" w:rsidRDefault="00AE7881" w:rsidP="00AE7881">
      <w:r w:rsidRPr="00476742">
        <w:rPr>
          <w:i/>
        </w:rPr>
        <w:t xml:space="preserve">Source: BankservAfrica and </w:t>
      </w:r>
      <w:r>
        <w:rPr>
          <w:i/>
        </w:rPr>
        <w:t>E</w:t>
      </w:r>
      <w:r w:rsidRPr="00476742">
        <w:rPr>
          <w:i/>
        </w:rPr>
        <w:t>conomists</w:t>
      </w:r>
      <w:r>
        <w:rPr>
          <w:i/>
        </w:rPr>
        <w:t>.</w:t>
      </w:r>
      <w:r w:rsidRPr="00476742">
        <w:rPr>
          <w:i/>
        </w:rPr>
        <w:t>co</w:t>
      </w:r>
      <w:r>
        <w:rPr>
          <w:i/>
        </w:rPr>
        <w:t>.</w:t>
      </w:r>
      <w:r w:rsidRPr="00476742">
        <w:rPr>
          <w:i/>
        </w:rPr>
        <w:t>za</w:t>
      </w:r>
    </w:p>
    <w:p w14:paraId="4CFAF1AA" w14:textId="11E9823D" w:rsidR="009E6F22" w:rsidRDefault="00B5479F" w:rsidP="009E6F22">
      <w:pPr>
        <w:pStyle w:val="Heading3"/>
        <w:spacing w:before="0" w:line="240" w:lineRule="auto"/>
        <w:rPr>
          <w:rFonts w:asciiTheme="minorHAnsi" w:eastAsiaTheme="minorHAnsi" w:hAnsiTheme="minorHAnsi" w:cstheme="minorBidi"/>
          <w:b/>
          <w:color w:val="auto"/>
          <w:sz w:val="22"/>
          <w:szCs w:val="22"/>
        </w:rPr>
      </w:pPr>
      <w:r w:rsidRPr="00D3348B">
        <w:rPr>
          <w:rFonts w:asciiTheme="minorHAnsi" w:eastAsiaTheme="minorHAnsi" w:hAnsiTheme="minorHAnsi" w:cstheme="minorBidi"/>
          <w:b/>
          <w:color w:val="auto"/>
          <w:sz w:val="22"/>
          <w:szCs w:val="22"/>
        </w:rPr>
        <w:t>Table 1: The BankservAfrica Economic Transaction Index</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2"/>
        <w:gridCol w:w="1758"/>
        <w:gridCol w:w="2105"/>
        <w:gridCol w:w="1981"/>
        <w:gridCol w:w="1932"/>
      </w:tblGrid>
      <w:tr w:rsidR="00733CD7" w:rsidRPr="00733CD7" w14:paraId="0A962FAC" w14:textId="77777777" w:rsidTr="00733CD7">
        <w:trPr>
          <w:trHeight w:val="300"/>
        </w:trPr>
        <w:tc>
          <w:tcPr>
            <w:tcW w:w="1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A4AA82" w14:textId="77777777" w:rsidR="00733CD7" w:rsidRPr="00733CD7" w:rsidRDefault="00733CD7" w:rsidP="00733CD7">
            <w:pPr>
              <w:spacing w:after="0" w:line="240" w:lineRule="auto"/>
              <w:rPr>
                <w:rFonts w:eastAsia="Times New Roman" w:cstheme="minorHAnsi"/>
                <w:lang w:eastAsia="en-ZA"/>
              </w:rPr>
            </w:pPr>
          </w:p>
        </w:tc>
        <w:tc>
          <w:tcPr>
            <w:tcW w:w="1758" w:type="dxa"/>
            <w:tcBorders>
              <w:top w:val="single" w:sz="4" w:space="0" w:color="auto"/>
              <w:left w:val="single" w:sz="4" w:space="0" w:color="auto"/>
              <w:bottom w:val="single" w:sz="4" w:space="0" w:color="auto"/>
              <w:right w:val="single" w:sz="4" w:space="0" w:color="auto"/>
            </w:tcBorders>
            <w:shd w:val="clear" w:color="auto" w:fill="BFD730" w:themeFill="accent3"/>
            <w:vAlign w:val="bottom"/>
          </w:tcPr>
          <w:p w14:paraId="6D6F7142" w14:textId="77777777" w:rsidR="00733CD7" w:rsidRDefault="00733CD7" w:rsidP="00733CD7">
            <w:pPr>
              <w:spacing w:after="0" w:line="240" w:lineRule="auto"/>
              <w:jc w:val="center"/>
              <w:rPr>
                <w:rFonts w:eastAsia="Times New Roman" w:cstheme="minorHAnsi"/>
                <w:b/>
                <w:bCs/>
                <w:lang w:eastAsia="en-ZA"/>
              </w:rPr>
            </w:pPr>
            <w:r w:rsidRPr="00733CD7">
              <w:rPr>
                <w:rFonts w:eastAsia="Times New Roman" w:cstheme="minorHAnsi"/>
                <w:b/>
                <w:bCs/>
                <w:lang w:eastAsia="en-ZA"/>
              </w:rPr>
              <w:t>The BETI Index</w:t>
            </w:r>
          </w:p>
          <w:p w14:paraId="5782E1FA" w14:textId="77777777" w:rsidR="007C1828" w:rsidRDefault="007C1828" w:rsidP="00733CD7">
            <w:pPr>
              <w:spacing w:after="0" w:line="240" w:lineRule="auto"/>
              <w:jc w:val="center"/>
              <w:rPr>
                <w:rFonts w:eastAsia="Times New Roman" w:cstheme="minorHAnsi"/>
                <w:b/>
                <w:bCs/>
                <w:lang w:eastAsia="en-ZA"/>
              </w:rPr>
            </w:pPr>
          </w:p>
          <w:p w14:paraId="342E1C29" w14:textId="6758DF7E" w:rsidR="007C1828" w:rsidRPr="00733CD7" w:rsidRDefault="007C1828" w:rsidP="00733CD7">
            <w:pPr>
              <w:spacing w:after="0" w:line="240" w:lineRule="auto"/>
              <w:jc w:val="center"/>
              <w:rPr>
                <w:rFonts w:eastAsia="Times New Roman" w:cstheme="minorHAnsi"/>
                <w:b/>
                <w:bCs/>
                <w:lang w:eastAsia="en-ZA"/>
              </w:rPr>
            </w:pPr>
          </w:p>
        </w:tc>
        <w:tc>
          <w:tcPr>
            <w:tcW w:w="2105" w:type="dxa"/>
            <w:tcBorders>
              <w:top w:val="single" w:sz="4" w:space="0" w:color="auto"/>
              <w:left w:val="single" w:sz="4" w:space="0" w:color="auto"/>
              <w:bottom w:val="single" w:sz="4" w:space="0" w:color="auto"/>
              <w:right w:val="single" w:sz="4" w:space="0" w:color="auto"/>
            </w:tcBorders>
            <w:shd w:val="clear" w:color="auto" w:fill="F58220" w:themeFill="accent1"/>
            <w:vAlign w:val="bottom"/>
          </w:tcPr>
          <w:p w14:paraId="2C2C5B8A" w14:textId="7CFF2B44" w:rsidR="00733CD7" w:rsidRDefault="00733CD7" w:rsidP="00733CD7">
            <w:pPr>
              <w:spacing w:after="0" w:line="240" w:lineRule="auto"/>
              <w:jc w:val="center"/>
              <w:rPr>
                <w:rFonts w:eastAsia="Times New Roman" w:cstheme="minorHAnsi"/>
                <w:b/>
                <w:bCs/>
                <w:lang w:eastAsia="en-ZA"/>
              </w:rPr>
            </w:pPr>
            <w:r w:rsidRPr="00733CD7">
              <w:rPr>
                <w:rFonts w:eastAsia="Times New Roman" w:cstheme="minorHAnsi"/>
                <w:b/>
                <w:bCs/>
                <w:lang w:eastAsia="en-ZA"/>
              </w:rPr>
              <w:t xml:space="preserve">The </w:t>
            </w:r>
            <w:proofErr w:type="gramStart"/>
            <w:r w:rsidR="007C1828">
              <w:rPr>
                <w:rFonts w:eastAsia="Times New Roman" w:cstheme="minorHAnsi"/>
                <w:b/>
                <w:bCs/>
                <w:lang w:eastAsia="en-ZA"/>
              </w:rPr>
              <w:t>h</w:t>
            </w:r>
            <w:r w:rsidRPr="00733CD7">
              <w:rPr>
                <w:rFonts w:eastAsia="Times New Roman" w:cstheme="minorHAnsi"/>
                <w:b/>
                <w:bCs/>
                <w:lang w:eastAsia="en-ZA"/>
              </w:rPr>
              <w:t>eadline  BETI</w:t>
            </w:r>
            <w:proofErr w:type="gramEnd"/>
            <w:r w:rsidRPr="00733CD7">
              <w:rPr>
                <w:rFonts w:eastAsia="Times New Roman" w:cstheme="minorHAnsi"/>
                <w:b/>
                <w:bCs/>
                <w:lang w:eastAsia="en-ZA"/>
              </w:rPr>
              <w:t xml:space="preserve"> </w:t>
            </w:r>
            <w:r w:rsidR="007C1828">
              <w:rPr>
                <w:rFonts w:eastAsia="Times New Roman" w:cstheme="minorHAnsi"/>
                <w:b/>
                <w:bCs/>
                <w:lang w:eastAsia="en-ZA"/>
              </w:rPr>
              <w:t xml:space="preserve">% change </w:t>
            </w:r>
          </w:p>
          <w:p w14:paraId="67FB300D" w14:textId="532421AA" w:rsidR="007C1828" w:rsidRPr="00733CD7" w:rsidRDefault="007C1828" w:rsidP="00733CD7">
            <w:pPr>
              <w:spacing w:after="0" w:line="240" w:lineRule="auto"/>
              <w:jc w:val="center"/>
              <w:rPr>
                <w:rFonts w:eastAsia="Times New Roman" w:cstheme="minorHAnsi"/>
                <w:b/>
                <w:bCs/>
                <w:lang w:eastAsia="en-ZA"/>
              </w:rPr>
            </w:pPr>
          </w:p>
        </w:tc>
        <w:tc>
          <w:tcPr>
            <w:tcW w:w="1981" w:type="dxa"/>
            <w:tcBorders>
              <w:top w:val="single" w:sz="4" w:space="0" w:color="auto"/>
              <w:left w:val="single" w:sz="4" w:space="0" w:color="auto"/>
              <w:bottom w:val="single" w:sz="4" w:space="0" w:color="auto"/>
              <w:right w:val="single" w:sz="4" w:space="0" w:color="auto"/>
            </w:tcBorders>
            <w:shd w:val="clear" w:color="auto" w:fill="BFD730" w:themeFill="accent3"/>
            <w:vAlign w:val="bottom"/>
          </w:tcPr>
          <w:p w14:paraId="5B9F783A" w14:textId="0CF2400C" w:rsidR="00733CD7" w:rsidRDefault="00733CD7" w:rsidP="00733CD7">
            <w:pPr>
              <w:spacing w:after="0" w:line="240" w:lineRule="auto"/>
              <w:jc w:val="center"/>
              <w:rPr>
                <w:rFonts w:eastAsia="Times New Roman" w:cstheme="minorHAnsi"/>
                <w:b/>
                <w:bCs/>
                <w:lang w:eastAsia="en-ZA"/>
              </w:rPr>
            </w:pPr>
            <w:r w:rsidRPr="00733CD7">
              <w:rPr>
                <w:rFonts w:eastAsia="Times New Roman" w:cstheme="minorHAnsi"/>
                <w:b/>
                <w:bCs/>
                <w:lang w:eastAsia="en-ZA"/>
              </w:rPr>
              <w:t xml:space="preserve">BETI </w:t>
            </w:r>
            <w:r w:rsidR="007C1828">
              <w:rPr>
                <w:rFonts w:eastAsia="Times New Roman" w:cstheme="minorHAnsi"/>
                <w:b/>
                <w:bCs/>
                <w:lang w:eastAsia="en-ZA"/>
              </w:rPr>
              <w:t>q</w:t>
            </w:r>
            <w:r w:rsidRPr="00733CD7">
              <w:rPr>
                <w:rFonts w:eastAsia="Times New Roman" w:cstheme="minorHAnsi"/>
                <w:b/>
                <w:bCs/>
                <w:lang w:eastAsia="en-ZA"/>
              </w:rPr>
              <w:t xml:space="preserve">uarterly </w:t>
            </w:r>
            <w:r w:rsidR="007C1828">
              <w:rPr>
                <w:rFonts w:eastAsia="Times New Roman" w:cstheme="minorHAnsi"/>
                <w:b/>
                <w:bCs/>
                <w:lang w:eastAsia="en-ZA"/>
              </w:rPr>
              <w:t xml:space="preserve">% change </w:t>
            </w:r>
          </w:p>
          <w:p w14:paraId="2A6F56CA" w14:textId="4FC5356D" w:rsidR="007C1828" w:rsidRPr="00733CD7" w:rsidRDefault="007C1828" w:rsidP="00733CD7">
            <w:pPr>
              <w:spacing w:after="0" w:line="240" w:lineRule="auto"/>
              <w:jc w:val="center"/>
              <w:rPr>
                <w:rFonts w:eastAsia="Times New Roman" w:cstheme="minorHAnsi"/>
                <w:b/>
                <w:bCs/>
                <w:lang w:eastAsia="en-ZA"/>
              </w:rPr>
            </w:pPr>
          </w:p>
        </w:tc>
        <w:tc>
          <w:tcPr>
            <w:tcW w:w="1932" w:type="dxa"/>
            <w:tcBorders>
              <w:top w:val="single" w:sz="4" w:space="0" w:color="auto"/>
              <w:left w:val="single" w:sz="4" w:space="0" w:color="auto"/>
              <w:bottom w:val="single" w:sz="4" w:space="0" w:color="auto"/>
              <w:right w:val="single" w:sz="4" w:space="0" w:color="auto"/>
            </w:tcBorders>
            <w:shd w:val="clear" w:color="auto" w:fill="BFD730" w:themeFill="accent3"/>
            <w:vAlign w:val="bottom"/>
          </w:tcPr>
          <w:p w14:paraId="16FAB608" w14:textId="77777777" w:rsidR="00733CD7" w:rsidRDefault="00733CD7" w:rsidP="00733CD7">
            <w:pPr>
              <w:spacing w:after="0" w:line="240" w:lineRule="auto"/>
              <w:jc w:val="center"/>
              <w:rPr>
                <w:rFonts w:eastAsia="Times New Roman" w:cstheme="minorHAnsi"/>
                <w:b/>
                <w:bCs/>
                <w:lang w:eastAsia="en-ZA"/>
              </w:rPr>
            </w:pPr>
            <w:r w:rsidRPr="00733CD7">
              <w:rPr>
                <w:rFonts w:eastAsia="Times New Roman" w:cstheme="minorHAnsi"/>
                <w:b/>
                <w:bCs/>
                <w:lang w:eastAsia="en-ZA"/>
              </w:rPr>
              <w:t xml:space="preserve">BETI </w:t>
            </w:r>
            <w:r w:rsidR="007C1828">
              <w:rPr>
                <w:rFonts w:eastAsia="Times New Roman" w:cstheme="minorHAnsi"/>
                <w:b/>
                <w:bCs/>
                <w:lang w:eastAsia="en-ZA"/>
              </w:rPr>
              <w:t>m</w:t>
            </w:r>
            <w:r w:rsidRPr="00733CD7">
              <w:rPr>
                <w:rFonts w:eastAsia="Times New Roman" w:cstheme="minorHAnsi"/>
                <w:b/>
                <w:bCs/>
                <w:lang w:eastAsia="en-ZA"/>
              </w:rPr>
              <w:t xml:space="preserve">onthly </w:t>
            </w:r>
            <w:r w:rsidR="007C1828">
              <w:rPr>
                <w:rFonts w:eastAsia="Times New Roman" w:cstheme="minorHAnsi"/>
                <w:b/>
                <w:bCs/>
                <w:lang w:eastAsia="en-ZA"/>
              </w:rPr>
              <w:t xml:space="preserve">% change </w:t>
            </w:r>
          </w:p>
          <w:p w14:paraId="0C6144B9" w14:textId="5C3FCF25" w:rsidR="007C1828" w:rsidRPr="00733CD7" w:rsidRDefault="007C1828" w:rsidP="00733CD7">
            <w:pPr>
              <w:spacing w:after="0" w:line="240" w:lineRule="auto"/>
              <w:jc w:val="center"/>
              <w:rPr>
                <w:rFonts w:eastAsia="Times New Roman" w:cstheme="minorHAnsi"/>
                <w:b/>
                <w:bCs/>
                <w:lang w:eastAsia="en-ZA"/>
              </w:rPr>
            </w:pPr>
          </w:p>
        </w:tc>
      </w:tr>
      <w:tr w:rsidR="00733CD7" w:rsidRPr="00733CD7" w14:paraId="462B883A" w14:textId="77777777" w:rsidTr="00733CD7">
        <w:trPr>
          <w:trHeight w:val="300"/>
        </w:trPr>
        <w:tc>
          <w:tcPr>
            <w:tcW w:w="1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AF9162" w14:textId="77777777" w:rsidR="00733CD7" w:rsidRPr="00733CD7" w:rsidRDefault="00733CD7" w:rsidP="00733CD7">
            <w:pPr>
              <w:spacing w:after="0" w:line="240" w:lineRule="auto"/>
              <w:rPr>
                <w:rFonts w:eastAsia="Times New Roman" w:cstheme="minorHAnsi"/>
                <w:b/>
                <w:bCs/>
                <w:lang w:eastAsia="en-ZA"/>
              </w:rPr>
            </w:pPr>
            <w:r w:rsidRPr="00733CD7">
              <w:rPr>
                <w:rFonts w:eastAsia="Times New Roman" w:cstheme="minorHAnsi"/>
                <w:b/>
                <w:bCs/>
                <w:lang w:eastAsia="en-ZA"/>
              </w:rPr>
              <w:t>Jan-21</w:t>
            </w:r>
          </w:p>
        </w:tc>
        <w:tc>
          <w:tcPr>
            <w:tcW w:w="1758" w:type="dxa"/>
            <w:tcBorders>
              <w:top w:val="single" w:sz="4" w:space="0" w:color="auto"/>
              <w:left w:val="single" w:sz="4" w:space="0" w:color="auto"/>
              <w:bottom w:val="single" w:sz="4" w:space="0" w:color="auto"/>
              <w:right w:val="single" w:sz="4" w:space="0" w:color="auto"/>
            </w:tcBorders>
            <w:shd w:val="clear" w:color="auto" w:fill="BFD730" w:themeFill="accent3"/>
            <w:vAlign w:val="bottom"/>
          </w:tcPr>
          <w:p w14:paraId="70692368" w14:textId="4218E140" w:rsidR="00733CD7" w:rsidRPr="00733CD7" w:rsidRDefault="00733CD7" w:rsidP="00733CD7">
            <w:pPr>
              <w:spacing w:after="0" w:line="240" w:lineRule="auto"/>
              <w:jc w:val="center"/>
              <w:rPr>
                <w:rFonts w:eastAsia="Times New Roman" w:cstheme="minorHAnsi"/>
                <w:b/>
                <w:bCs/>
                <w:lang w:eastAsia="en-ZA"/>
              </w:rPr>
            </w:pPr>
            <w:r w:rsidRPr="00733CD7">
              <w:rPr>
                <w:rFonts w:eastAsia="Times New Roman" w:cstheme="minorHAnsi"/>
                <w:b/>
                <w:bCs/>
                <w:lang w:eastAsia="en-ZA"/>
              </w:rPr>
              <w:t xml:space="preserve">124.4 </w:t>
            </w:r>
          </w:p>
        </w:tc>
        <w:tc>
          <w:tcPr>
            <w:tcW w:w="2105" w:type="dxa"/>
            <w:tcBorders>
              <w:top w:val="single" w:sz="4" w:space="0" w:color="auto"/>
              <w:left w:val="single" w:sz="4" w:space="0" w:color="auto"/>
              <w:bottom w:val="single" w:sz="4" w:space="0" w:color="auto"/>
              <w:right w:val="single" w:sz="4" w:space="0" w:color="auto"/>
            </w:tcBorders>
            <w:shd w:val="clear" w:color="auto" w:fill="F58220" w:themeFill="accent1"/>
            <w:vAlign w:val="bottom"/>
          </w:tcPr>
          <w:p w14:paraId="0C803F93" w14:textId="77777777" w:rsidR="00733CD7" w:rsidRPr="00733CD7" w:rsidRDefault="00733CD7" w:rsidP="00733CD7">
            <w:pPr>
              <w:spacing w:after="0" w:line="240" w:lineRule="auto"/>
              <w:jc w:val="center"/>
              <w:rPr>
                <w:rFonts w:eastAsia="Times New Roman" w:cstheme="minorHAnsi"/>
                <w:b/>
                <w:bCs/>
                <w:lang w:eastAsia="en-ZA"/>
              </w:rPr>
            </w:pPr>
            <w:r w:rsidRPr="00733CD7">
              <w:rPr>
                <w:rFonts w:eastAsia="Times New Roman" w:cstheme="minorHAnsi"/>
                <w:b/>
                <w:bCs/>
                <w:lang w:eastAsia="en-ZA"/>
              </w:rPr>
              <w:t>-1.2%</w:t>
            </w:r>
          </w:p>
        </w:tc>
        <w:tc>
          <w:tcPr>
            <w:tcW w:w="1981" w:type="dxa"/>
            <w:tcBorders>
              <w:top w:val="single" w:sz="4" w:space="0" w:color="auto"/>
              <w:left w:val="single" w:sz="4" w:space="0" w:color="auto"/>
              <w:bottom w:val="single" w:sz="4" w:space="0" w:color="auto"/>
              <w:right w:val="single" w:sz="4" w:space="0" w:color="auto"/>
            </w:tcBorders>
            <w:shd w:val="clear" w:color="auto" w:fill="BFD730" w:themeFill="accent3"/>
            <w:vAlign w:val="bottom"/>
          </w:tcPr>
          <w:p w14:paraId="2F13A85F" w14:textId="77777777" w:rsidR="00733CD7" w:rsidRPr="00733CD7" w:rsidRDefault="00733CD7" w:rsidP="00733CD7">
            <w:pPr>
              <w:spacing w:after="0" w:line="240" w:lineRule="auto"/>
              <w:jc w:val="center"/>
              <w:rPr>
                <w:rFonts w:eastAsia="Times New Roman" w:cstheme="minorHAnsi"/>
                <w:b/>
                <w:bCs/>
                <w:lang w:eastAsia="en-ZA"/>
              </w:rPr>
            </w:pPr>
            <w:r w:rsidRPr="00733CD7">
              <w:rPr>
                <w:rFonts w:eastAsia="Times New Roman" w:cstheme="minorHAnsi"/>
                <w:b/>
                <w:bCs/>
                <w:lang w:eastAsia="en-ZA"/>
              </w:rPr>
              <w:t>2.8%</w:t>
            </w:r>
          </w:p>
        </w:tc>
        <w:tc>
          <w:tcPr>
            <w:tcW w:w="1932" w:type="dxa"/>
            <w:tcBorders>
              <w:top w:val="single" w:sz="4" w:space="0" w:color="auto"/>
              <w:left w:val="single" w:sz="4" w:space="0" w:color="auto"/>
              <w:bottom w:val="single" w:sz="4" w:space="0" w:color="auto"/>
              <w:right w:val="single" w:sz="4" w:space="0" w:color="auto"/>
            </w:tcBorders>
            <w:shd w:val="clear" w:color="auto" w:fill="BFD730" w:themeFill="accent3"/>
            <w:vAlign w:val="bottom"/>
          </w:tcPr>
          <w:p w14:paraId="202F004F" w14:textId="77777777" w:rsidR="00733CD7" w:rsidRPr="00733CD7" w:rsidRDefault="00733CD7" w:rsidP="00733CD7">
            <w:pPr>
              <w:spacing w:after="0" w:line="240" w:lineRule="auto"/>
              <w:jc w:val="center"/>
              <w:rPr>
                <w:rFonts w:eastAsia="Times New Roman" w:cstheme="minorHAnsi"/>
                <w:b/>
                <w:bCs/>
                <w:lang w:eastAsia="en-ZA"/>
              </w:rPr>
            </w:pPr>
            <w:r w:rsidRPr="00733CD7">
              <w:rPr>
                <w:rFonts w:eastAsia="Times New Roman" w:cstheme="minorHAnsi"/>
                <w:b/>
                <w:bCs/>
                <w:lang w:eastAsia="en-ZA"/>
              </w:rPr>
              <w:t>-0.6%</w:t>
            </w:r>
          </w:p>
        </w:tc>
      </w:tr>
      <w:tr w:rsidR="00733CD7" w:rsidRPr="00733CD7" w14:paraId="0B9D92A1" w14:textId="77777777" w:rsidTr="00733CD7">
        <w:trPr>
          <w:trHeight w:val="300"/>
        </w:trPr>
        <w:tc>
          <w:tcPr>
            <w:tcW w:w="1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15F563" w14:textId="77777777" w:rsidR="00733CD7" w:rsidRPr="00733CD7" w:rsidRDefault="00733CD7" w:rsidP="00733CD7">
            <w:pPr>
              <w:spacing w:after="0" w:line="240" w:lineRule="auto"/>
              <w:rPr>
                <w:rFonts w:eastAsia="Times New Roman" w:cstheme="minorHAnsi"/>
                <w:b/>
                <w:bCs/>
                <w:lang w:eastAsia="en-ZA"/>
              </w:rPr>
            </w:pPr>
            <w:r w:rsidRPr="00733CD7">
              <w:rPr>
                <w:rFonts w:eastAsia="Times New Roman" w:cstheme="minorHAnsi"/>
                <w:b/>
                <w:bCs/>
                <w:lang w:eastAsia="en-ZA"/>
              </w:rPr>
              <w:t>Feb-21</w:t>
            </w:r>
          </w:p>
        </w:tc>
        <w:tc>
          <w:tcPr>
            <w:tcW w:w="1758" w:type="dxa"/>
            <w:tcBorders>
              <w:top w:val="single" w:sz="4" w:space="0" w:color="auto"/>
              <w:left w:val="single" w:sz="4" w:space="0" w:color="auto"/>
              <w:bottom w:val="single" w:sz="4" w:space="0" w:color="auto"/>
              <w:right w:val="single" w:sz="4" w:space="0" w:color="auto"/>
            </w:tcBorders>
            <w:shd w:val="clear" w:color="auto" w:fill="BFD730" w:themeFill="accent3"/>
            <w:vAlign w:val="bottom"/>
          </w:tcPr>
          <w:p w14:paraId="5873820C" w14:textId="4F8635BB" w:rsidR="00733CD7" w:rsidRPr="00733CD7" w:rsidRDefault="00733CD7" w:rsidP="00733CD7">
            <w:pPr>
              <w:spacing w:after="0" w:line="240" w:lineRule="auto"/>
              <w:jc w:val="center"/>
              <w:rPr>
                <w:rFonts w:eastAsia="Times New Roman" w:cstheme="minorHAnsi"/>
                <w:b/>
                <w:bCs/>
                <w:lang w:eastAsia="en-ZA"/>
              </w:rPr>
            </w:pPr>
            <w:r w:rsidRPr="00733CD7">
              <w:rPr>
                <w:rFonts w:eastAsia="Times New Roman" w:cstheme="minorHAnsi"/>
                <w:b/>
                <w:bCs/>
                <w:lang w:eastAsia="en-ZA"/>
              </w:rPr>
              <w:t xml:space="preserve">126.1 </w:t>
            </w:r>
          </w:p>
        </w:tc>
        <w:tc>
          <w:tcPr>
            <w:tcW w:w="2105" w:type="dxa"/>
            <w:tcBorders>
              <w:top w:val="single" w:sz="4" w:space="0" w:color="auto"/>
              <w:left w:val="single" w:sz="4" w:space="0" w:color="auto"/>
              <w:bottom w:val="single" w:sz="4" w:space="0" w:color="auto"/>
              <w:right w:val="single" w:sz="4" w:space="0" w:color="auto"/>
            </w:tcBorders>
            <w:shd w:val="clear" w:color="auto" w:fill="F58220" w:themeFill="accent1"/>
            <w:vAlign w:val="bottom"/>
          </w:tcPr>
          <w:p w14:paraId="6250F135" w14:textId="77777777" w:rsidR="00733CD7" w:rsidRPr="00733CD7" w:rsidRDefault="00733CD7" w:rsidP="00733CD7">
            <w:pPr>
              <w:spacing w:after="0" w:line="240" w:lineRule="auto"/>
              <w:jc w:val="center"/>
              <w:rPr>
                <w:rFonts w:eastAsia="Times New Roman" w:cstheme="minorHAnsi"/>
                <w:b/>
                <w:bCs/>
                <w:lang w:eastAsia="en-ZA"/>
              </w:rPr>
            </w:pPr>
            <w:r w:rsidRPr="00733CD7">
              <w:rPr>
                <w:rFonts w:eastAsia="Times New Roman" w:cstheme="minorHAnsi"/>
                <w:b/>
                <w:bCs/>
                <w:lang w:eastAsia="en-ZA"/>
              </w:rPr>
              <w:t>1.6%</w:t>
            </w:r>
          </w:p>
        </w:tc>
        <w:tc>
          <w:tcPr>
            <w:tcW w:w="1981" w:type="dxa"/>
            <w:tcBorders>
              <w:top w:val="single" w:sz="4" w:space="0" w:color="auto"/>
              <w:left w:val="single" w:sz="4" w:space="0" w:color="auto"/>
              <w:bottom w:val="single" w:sz="4" w:space="0" w:color="auto"/>
              <w:right w:val="single" w:sz="4" w:space="0" w:color="auto"/>
            </w:tcBorders>
            <w:shd w:val="clear" w:color="auto" w:fill="BFD730" w:themeFill="accent3"/>
            <w:vAlign w:val="bottom"/>
          </w:tcPr>
          <w:p w14:paraId="564258D7" w14:textId="77777777" w:rsidR="00733CD7" w:rsidRPr="00733CD7" w:rsidRDefault="00733CD7" w:rsidP="00733CD7">
            <w:pPr>
              <w:spacing w:after="0" w:line="240" w:lineRule="auto"/>
              <w:jc w:val="center"/>
              <w:rPr>
                <w:rFonts w:eastAsia="Times New Roman" w:cstheme="minorHAnsi"/>
                <w:b/>
                <w:bCs/>
                <w:lang w:eastAsia="en-ZA"/>
              </w:rPr>
            </w:pPr>
            <w:r w:rsidRPr="00733CD7">
              <w:rPr>
                <w:rFonts w:eastAsia="Times New Roman" w:cstheme="minorHAnsi"/>
                <w:b/>
                <w:bCs/>
                <w:lang w:eastAsia="en-ZA"/>
              </w:rPr>
              <w:t>1.6%</w:t>
            </w:r>
          </w:p>
        </w:tc>
        <w:tc>
          <w:tcPr>
            <w:tcW w:w="1932" w:type="dxa"/>
            <w:tcBorders>
              <w:top w:val="single" w:sz="4" w:space="0" w:color="auto"/>
              <w:left w:val="single" w:sz="4" w:space="0" w:color="auto"/>
              <w:bottom w:val="single" w:sz="4" w:space="0" w:color="auto"/>
              <w:right w:val="single" w:sz="4" w:space="0" w:color="auto"/>
            </w:tcBorders>
            <w:shd w:val="clear" w:color="auto" w:fill="BFD730" w:themeFill="accent3"/>
            <w:vAlign w:val="bottom"/>
          </w:tcPr>
          <w:p w14:paraId="4A572119" w14:textId="77777777" w:rsidR="00733CD7" w:rsidRPr="00733CD7" w:rsidRDefault="00733CD7" w:rsidP="00733CD7">
            <w:pPr>
              <w:spacing w:after="0" w:line="240" w:lineRule="auto"/>
              <w:jc w:val="center"/>
              <w:rPr>
                <w:rFonts w:eastAsia="Times New Roman" w:cstheme="minorHAnsi"/>
                <w:b/>
                <w:bCs/>
                <w:lang w:eastAsia="en-ZA"/>
              </w:rPr>
            </w:pPr>
            <w:r w:rsidRPr="00733CD7">
              <w:rPr>
                <w:rFonts w:eastAsia="Times New Roman" w:cstheme="minorHAnsi"/>
                <w:b/>
                <w:bCs/>
                <w:lang w:eastAsia="en-ZA"/>
              </w:rPr>
              <w:t>1.4%</w:t>
            </w:r>
          </w:p>
        </w:tc>
      </w:tr>
      <w:tr w:rsidR="00733CD7" w:rsidRPr="00733CD7" w14:paraId="24116580" w14:textId="77777777" w:rsidTr="00733CD7">
        <w:trPr>
          <w:trHeight w:val="300"/>
        </w:trPr>
        <w:tc>
          <w:tcPr>
            <w:tcW w:w="1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0ED619" w14:textId="77777777" w:rsidR="00733CD7" w:rsidRPr="00733CD7" w:rsidRDefault="00733CD7" w:rsidP="00733CD7">
            <w:pPr>
              <w:spacing w:after="0" w:line="240" w:lineRule="auto"/>
              <w:rPr>
                <w:rFonts w:eastAsia="Times New Roman" w:cstheme="minorHAnsi"/>
                <w:b/>
                <w:bCs/>
                <w:lang w:eastAsia="en-ZA"/>
              </w:rPr>
            </w:pPr>
            <w:r w:rsidRPr="00733CD7">
              <w:rPr>
                <w:rFonts w:eastAsia="Times New Roman" w:cstheme="minorHAnsi"/>
                <w:b/>
                <w:bCs/>
                <w:lang w:eastAsia="en-ZA"/>
              </w:rPr>
              <w:t>Mar-21</w:t>
            </w:r>
          </w:p>
        </w:tc>
        <w:tc>
          <w:tcPr>
            <w:tcW w:w="1758" w:type="dxa"/>
            <w:tcBorders>
              <w:top w:val="single" w:sz="4" w:space="0" w:color="auto"/>
              <w:left w:val="single" w:sz="4" w:space="0" w:color="auto"/>
              <w:bottom w:val="single" w:sz="4" w:space="0" w:color="auto"/>
              <w:right w:val="single" w:sz="4" w:space="0" w:color="auto"/>
            </w:tcBorders>
            <w:shd w:val="clear" w:color="auto" w:fill="BFD730" w:themeFill="accent3"/>
            <w:vAlign w:val="bottom"/>
          </w:tcPr>
          <w:p w14:paraId="4F384BFB" w14:textId="6AC82CD5" w:rsidR="00733CD7" w:rsidRPr="00733CD7" w:rsidRDefault="00733CD7" w:rsidP="00733CD7">
            <w:pPr>
              <w:spacing w:after="0" w:line="240" w:lineRule="auto"/>
              <w:jc w:val="center"/>
              <w:rPr>
                <w:rFonts w:eastAsia="Times New Roman" w:cstheme="minorHAnsi"/>
                <w:b/>
                <w:bCs/>
                <w:lang w:eastAsia="en-ZA"/>
              </w:rPr>
            </w:pPr>
            <w:r w:rsidRPr="00733CD7">
              <w:rPr>
                <w:rFonts w:eastAsia="Times New Roman" w:cstheme="minorHAnsi"/>
                <w:b/>
                <w:bCs/>
                <w:lang w:eastAsia="en-ZA"/>
              </w:rPr>
              <w:t xml:space="preserve">127.7 </w:t>
            </w:r>
          </w:p>
        </w:tc>
        <w:tc>
          <w:tcPr>
            <w:tcW w:w="2105" w:type="dxa"/>
            <w:tcBorders>
              <w:top w:val="single" w:sz="4" w:space="0" w:color="auto"/>
              <w:left w:val="single" w:sz="4" w:space="0" w:color="auto"/>
              <w:bottom w:val="single" w:sz="4" w:space="0" w:color="auto"/>
              <w:right w:val="single" w:sz="4" w:space="0" w:color="auto"/>
            </w:tcBorders>
            <w:shd w:val="clear" w:color="auto" w:fill="F58220" w:themeFill="accent1"/>
            <w:vAlign w:val="bottom"/>
          </w:tcPr>
          <w:p w14:paraId="3DC7C04A" w14:textId="77777777" w:rsidR="00733CD7" w:rsidRPr="00733CD7" w:rsidRDefault="00733CD7" w:rsidP="00733CD7">
            <w:pPr>
              <w:spacing w:after="0" w:line="240" w:lineRule="auto"/>
              <w:jc w:val="center"/>
              <w:rPr>
                <w:rFonts w:eastAsia="Times New Roman" w:cstheme="minorHAnsi"/>
                <w:b/>
                <w:bCs/>
                <w:lang w:eastAsia="en-ZA"/>
              </w:rPr>
            </w:pPr>
            <w:r w:rsidRPr="00733CD7">
              <w:rPr>
                <w:rFonts w:eastAsia="Times New Roman" w:cstheme="minorHAnsi"/>
                <w:b/>
                <w:bCs/>
                <w:lang w:eastAsia="en-ZA"/>
              </w:rPr>
              <w:t>5.8%</w:t>
            </w:r>
          </w:p>
        </w:tc>
        <w:tc>
          <w:tcPr>
            <w:tcW w:w="1981" w:type="dxa"/>
            <w:tcBorders>
              <w:top w:val="single" w:sz="4" w:space="0" w:color="auto"/>
              <w:left w:val="single" w:sz="4" w:space="0" w:color="auto"/>
              <w:bottom w:val="single" w:sz="4" w:space="0" w:color="auto"/>
              <w:right w:val="single" w:sz="4" w:space="0" w:color="auto"/>
            </w:tcBorders>
            <w:shd w:val="clear" w:color="auto" w:fill="BFD730" w:themeFill="accent3"/>
            <w:vAlign w:val="bottom"/>
          </w:tcPr>
          <w:p w14:paraId="3328A423" w14:textId="77777777" w:rsidR="00733CD7" w:rsidRPr="00733CD7" w:rsidRDefault="00733CD7" w:rsidP="00733CD7">
            <w:pPr>
              <w:spacing w:after="0" w:line="240" w:lineRule="auto"/>
              <w:jc w:val="center"/>
              <w:rPr>
                <w:rFonts w:eastAsia="Times New Roman" w:cstheme="minorHAnsi"/>
                <w:b/>
                <w:bCs/>
                <w:lang w:eastAsia="en-ZA"/>
              </w:rPr>
            </w:pPr>
            <w:r w:rsidRPr="00733CD7">
              <w:rPr>
                <w:rFonts w:eastAsia="Times New Roman" w:cstheme="minorHAnsi"/>
                <w:b/>
                <w:bCs/>
                <w:lang w:eastAsia="en-ZA"/>
              </w:rPr>
              <w:t>1.3%</w:t>
            </w:r>
          </w:p>
        </w:tc>
        <w:tc>
          <w:tcPr>
            <w:tcW w:w="1932" w:type="dxa"/>
            <w:tcBorders>
              <w:top w:val="single" w:sz="4" w:space="0" w:color="auto"/>
              <w:left w:val="single" w:sz="4" w:space="0" w:color="auto"/>
              <w:bottom w:val="single" w:sz="4" w:space="0" w:color="auto"/>
              <w:right w:val="single" w:sz="4" w:space="0" w:color="auto"/>
            </w:tcBorders>
            <w:shd w:val="clear" w:color="auto" w:fill="BFD730" w:themeFill="accent3"/>
            <w:vAlign w:val="bottom"/>
          </w:tcPr>
          <w:p w14:paraId="392D909B" w14:textId="77777777" w:rsidR="00733CD7" w:rsidRPr="00733CD7" w:rsidRDefault="00733CD7" w:rsidP="00733CD7">
            <w:pPr>
              <w:spacing w:after="0" w:line="240" w:lineRule="auto"/>
              <w:jc w:val="center"/>
              <w:rPr>
                <w:rFonts w:eastAsia="Times New Roman" w:cstheme="minorHAnsi"/>
                <w:b/>
                <w:bCs/>
                <w:lang w:eastAsia="en-ZA"/>
              </w:rPr>
            </w:pPr>
            <w:r w:rsidRPr="00733CD7">
              <w:rPr>
                <w:rFonts w:eastAsia="Times New Roman" w:cstheme="minorHAnsi"/>
                <w:b/>
                <w:bCs/>
                <w:lang w:eastAsia="en-ZA"/>
              </w:rPr>
              <w:t>1.2%</w:t>
            </w:r>
          </w:p>
        </w:tc>
      </w:tr>
      <w:tr w:rsidR="00733CD7" w:rsidRPr="00733CD7" w14:paraId="4A1832BD" w14:textId="77777777" w:rsidTr="00733CD7">
        <w:trPr>
          <w:trHeight w:val="300"/>
        </w:trPr>
        <w:tc>
          <w:tcPr>
            <w:tcW w:w="1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6F9526" w14:textId="77777777" w:rsidR="00733CD7" w:rsidRPr="00733CD7" w:rsidRDefault="00733CD7" w:rsidP="00733CD7">
            <w:pPr>
              <w:spacing w:after="0" w:line="240" w:lineRule="auto"/>
              <w:rPr>
                <w:rFonts w:eastAsia="Times New Roman" w:cstheme="minorHAnsi"/>
                <w:b/>
                <w:bCs/>
                <w:lang w:eastAsia="en-ZA"/>
              </w:rPr>
            </w:pPr>
            <w:r w:rsidRPr="00733CD7">
              <w:rPr>
                <w:rFonts w:eastAsia="Times New Roman" w:cstheme="minorHAnsi"/>
                <w:b/>
                <w:bCs/>
                <w:lang w:eastAsia="en-ZA"/>
              </w:rPr>
              <w:t>Apr-21</w:t>
            </w:r>
          </w:p>
        </w:tc>
        <w:tc>
          <w:tcPr>
            <w:tcW w:w="1758" w:type="dxa"/>
            <w:tcBorders>
              <w:top w:val="single" w:sz="4" w:space="0" w:color="auto"/>
              <w:left w:val="single" w:sz="4" w:space="0" w:color="auto"/>
              <w:bottom w:val="single" w:sz="4" w:space="0" w:color="auto"/>
              <w:right w:val="single" w:sz="4" w:space="0" w:color="auto"/>
            </w:tcBorders>
            <w:shd w:val="clear" w:color="auto" w:fill="BFD730" w:themeFill="accent3"/>
            <w:vAlign w:val="bottom"/>
          </w:tcPr>
          <w:p w14:paraId="35B9AEBE" w14:textId="1C6CE8C8" w:rsidR="00733CD7" w:rsidRPr="00733CD7" w:rsidRDefault="00733CD7" w:rsidP="00733CD7">
            <w:pPr>
              <w:spacing w:after="0" w:line="240" w:lineRule="auto"/>
              <w:jc w:val="center"/>
              <w:rPr>
                <w:rFonts w:eastAsia="Times New Roman" w:cstheme="minorHAnsi"/>
                <w:b/>
                <w:bCs/>
                <w:lang w:eastAsia="en-ZA"/>
              </w:rPr>
            </w:pPr>
            <w:r w:rsidRPr="00733CD7">
              <w:rPr>
                <w:rFonts w:eastAsia="Times New Roman" w:cstheme="minorHAnsi"/>
                <w:b/>
                <w:bCs/>
                <w:lang w:eastAsia="en-ZA"/>
              </w:rPr>
              <w:t xml:space="preserve">131.3 </w:t>
            </w:r>
          </w:p>
        </w:tc>
        <w:tc>
          <w:tcPr>
            <w:tcW w:w="2105" w:type="dxa"/>
            <w:tcBorders>
              <w:top w:val="single" w:sz="4" w:space="0" w:color="auto"/>
              <w:left w:val="single" w:sz="4" w:space="0" w:color="auto"/>
              <w:bottom w:val="single" w:sz="4" w:space="0" w:color="auto"/>
              <w:right w:val="single" w:sz="4" w:space="0" w:color="auto"/>
            </w:tcBorders>
            <w:shd w:val="clear" w:color="auto" w:fill="F58220" w:themeFill="accent1"/>
            <w:vAlign w:val="bottom"/>
          </w:tcPr>
          <w:p w14:paraId="2F7183FE" w14:textId="77777777" w:rsidR="00733CD7" w:rsidRPr="00733CD7" w:rsidRDefault="00733CD7" w:rsidP="00733CD7">
            <w:pPr>
              <w:spacing w:after="0" w:line="240" w:lineRule="auto"/>
              <w:jc w:val="center"/>
              <w:rPr>
                <w:rFonts w:eastAsia="Times New Roman" w:cstheme="minorHAnsi"/>
                <w:b/>
                <w:bCs/>
                <w:lang w:eastAsia="en-ZA"/>
              </w:rPr>
            </w:pPr>
            <w:r w:rsidRPr="00733CD7">
              <w:rPr>
                <w:rFonts w:eastAsia="Times New Roman" w:cstheme="minorHAnsi"/>
                <w:b/>
                <w:bCs/>
                <w:lang w:eastAsia="en-ZA"/>
              </w:rPr>
              <w:t>26.5%</w:t>
            </w:r>
          </w:p>
        </w:tc>
        <w:tc>
          <w:tcPr>
            <w:tcW w:w="1981" w:type="dxa"/>
            <w:tcBorders>
              <w:top w:val="single" w:sz="4" w:space="0" w:color="auto"/>
              <w:left w:val="single" w:sz="4" w:space="0" w:color="auto"/>
              <w:bottom w:val="single" w:sz="4" w:space="0" w:color="auto"/>
              <w:right w:val="single" w:sz="4" w:space="0" w:color="auto"/>
            </w:tcBorders>
            <w:shd w:val="clear" w:color="auto" w:fill="BFD730" w:themeFill="accent3"/>
            <w:vAlign w:val="bottom"/>
          </w:tcPr>
          <w:p w14:paraId="30E1805D" w14:textId="77777777" w:rsidR="00733CD7" w:rsidRPr="00733CD7" w:rsidRDefault="00733CD7" w:rsidP="00733CD7">
            <w:pPr>
              <w:spacing w:after="0" w:line="240" w:lineRule="auto"/>
              <w:jc w:val="center"/>
              <w:rPr>
                <w:rFonts w:eastAsia="Times New Roman" w:cstheme="minorHAnsi"/>
                <w:b/>
                <w:bCs/>
                <w:lang w:eastAsia="en-ZA"/>
              </w:rPr>
            </w:pPr>
            <w:r w:rsidRPr="00733CD7">
              <w:rPr>
                <w:rFonts w:eastAsia="Times New Roman" w:cstheme="minorHAnsi"/>
                <w:b/>
                <w:bCs/>
                <w:lang w:eastAsia="en-ZA"/>
              </w:rPr>
              <w:t>3.0%</w:t>
            </w:r>
          </w:p>
        </w:tc>
        <w:tc>
          <w:tcPr>
            <w:tcW w:w="1932" w:type="dxa"/>
            <w:tcBorders>
              <w:top w:val="single" w:sz="4" w:space="0" w:color="auto"/>
              <w:left w:val="single" w:sz="4" w:space="0" w:color="auto"/>
              <w:bottom w:val="single" w:sz="4" w:space="0" w:color="auto"/>
              <w:right w:val="single" w:sz="4" w:space="0" w:color="auto"/>
            </w:tcBorders>
            <w:shd w:val="clear" w:color="auto" w:fill="BFD730" w:themeFill="accent3"/>
            <w:vAlign w:val="bottom"/>
          </w:tcPr>
          <w:p w14:paraId="56064880" w14:textId="77777777" w:rsidR="00733CD7" w:rsidRPr="00733CD7" w:rsidRDefault="00733CD7" w:rsidP="00733CD7">
            <w:pPr>
              <w:spacing w:after="0" w:line="240" w:lineRule="auto"/>
              <w:jc w:val="center"/>
              <w:rPr>
                <w:rFonts w:eastAsia="Times New Roman" w:cstheme="minorHAnsi"/>
                <w:b/>
                <w:bCs/>
                <w:lang w:eastAsia="en-ZA"/>
              </w:rPr>
            </w:pPr>
            <w:r w:rsidRPr="00733CD7">
              <w:rPr>
                <w:rFonts w:eastAsia="Times New Roman" w:cstheme="minorHAnsi"/>
                <w:b/>
                <w:bCs/>
                <w:lang w:eastAsia="en-ZA"/>
              </w:rPr>
              <w:t>2.9%</w:t>
            </w:r>
          </w:p>
        </w:tc>
      </w:tr>
      <w:tr w:rsidR="00733CD7" w:rsidRPr="00733CD7" w14:paraId="634175AF" w14:textId="77777777" w:rsidTr="00733CD7">
        <w:trPr>
          <w:trHeight w:val="300"/>
        </w:trPr>
        <w:tc>
          <w:tcPr>
            <w:tcW w:w="1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5F4724" w14:textId="77777777" w:rsidR="00733CD7" w:rsidRPr="00733CD7" w:rsidRDefault="00733CD7" w:rsidP="00733CD7">
            <w:pPr>
              <w:spacing w:after="0" w:line="240" w:lineRule="auto"/>
              <w:rPr>
                <w:rFonts w:eastAsia="Times New Roman" w:cstheme="minorHAnsi"/>
                <w:b/>
                <w:bCs/>
                <w:lang w:eastAsia="en-ZA"/>
              </w:rPr>
            </w:pPr>
            <w:r w:rsidRPr="00733CD7">
              <w:rPr>
                <w:rFonts w:eastAsia="Times New Roman" w:cstheme="minorHAnsi"/>
                <w:b/>
                <w:bCs/>
                <w:lang w:eastAsia="en-ZA"/>
              </w:rPr>
              <w:t>May-21</w:t>
            </w:r>
          </w:p>
        </w:tc>
        <w:tc>
          <w:tcPr>
            <w:tcW w:w="1758" w:type="dxa"/>
            <w:tcBorders>
              <w:top w:val="single" w:sz="4" w:space="0" w:color="auto"/>
              <w:left w:val="single" w:sz="4" w:space="0" w:color="auto"/>
              <w:bottom w:val="single" w:sz="4" w:space="0" w:color="auto"/>
              <w:right w:val="single" w:sz="4" w:space="0" w:color="auto"/>
            </w:tcBorders>
            <w:shd w:val="clear" w:color="auto" w:fill="BFD730" w:themeFill="accent3"/>
            <w:vAlign w:val="bottom"/>
          </w:tcPr>
          <w:p w14:paraId="6B38F8AE" w14:textId="192B0ECF" w:rsidR="00733CD7" w:rsidRPr="00733CD7" w:rsidRDefault="00733CD7" w:rsidP="00733CD7">
            <w:pPr>
              <w:spacing w:after="0" w:line="240" w:lineRule="auto"/>
              <w:jc w:val="center"/>
              <w:rPr>
                <w:rFonts w:eastAsia="Times New Roman" w:cstheme="minorHAnsi"/>
                <w:b/>
                <w:bCs/>
                <w:lang w:eastAsia="en-ZA"/>
              </w:rPr>
            </w:pPr>
            <w:r w:rsidRPr="00733CD7">
              <w:rPr>
                <w:rFonts w:eastAsia="Times New Roman" w:cstheme="minorHAnsi"/>
                <w:b/>
                <w:bCs/>
                <w:lang w:eastAsia="en-ZA"/>
              </w:rPr>
              <w:t xml:space="preserve">130.6 </w:t>
            </w:r>
          </w:p>
        </w:tc>
        <w:tc>
          <w:tcPr>
            <w:tcW w:w="2105" w:type="dxa"/>
            <w:tcBorders>
              <w:top w:val="single" w:sz="4" w:space="0" w:color="auto"/>
              <w:left w:val="single" w:sz="4" w:space="0" w:color="auto"/>
              <w:bottom w:val="single" w:sz="4" w:space="0" w:color="auto"/>
              <w:right w:val="single" w:sz="4" w:space="0" w:color="auto"/>
            </w:tcBorders>
            <w:shd w:val="clear" w:color="auto" w:fill="F58220" w:themeFill="accent1"/>
            <w:vAlign w:val="bottom"/>
          </w:tcPr>
          <w:p w14:paraId="03A92BCB" w14:textId="77777777" w:rsidR="00733CD7" w:rsidRPr="00733CD7" w:rsidRDefault="00733CD7" w:rsidP="00733CD7">
            <w:pPr>
              <w:spacing w:after="0" w:line="240" w:lineRule="auto"/>
              <w:jc w:val="center"/>
              <w:rPr>
                <w:rFonts w:eastAsia="Times New Roman" w:cstheme="minorHAnsi"/>
                <w:b/>
                <w:bCs/>
                <w:lang w:eastAsia="en-ZA"/>
              </w:rPr>
            </w:pPr>
            <w:r w:rsidRPr="00733CD7">
              <w:rPr>
                <w:rFonts w:eastAsia="Times New Roman" w:cstheme="minorHAnsi"/>
                <w:b/>
                <w:bCs/>
                <w:lang w:eastAsia="en-ZA"/>
              </w:rPr>
              <w:t>31.4%</w:t>
            </w:r>
          </w:p>
        </w:tc>
        <w:tc>
          <w:tcPr>
            <w:tcW w:w="1981" w:type="dxa"/>
            <w:tcBorders>
              <w:top w:val="single" w:sz="4" w:space="0" w:color="auto"/>
              <w:left w:val="single" w:sz="4" w:space="0" w:color="auto"/>
              <w:bottom w:val="single" w:sz="4" w:space="0" w:color="auto"/>
              <w:right w:val="single" w:sz="4" w:space="0" w:color="auto"/>
            </w:tcBorders>
            <w:shd w:val="clear" w:color="auto" w:fill="BFD730" w:themeFill="accent3"/>
            <w:vAlign w:val="bottom"/>
          </w:tcPr>
          <w:p w14:paraId="0C01B289" w14:textId="77777777" w:rsidR="00733CD7" w:rsidRPr="00733CD7" w:rsidRDefault="00733CD7" w:rsidP="00733CD7">
            <w:pPr>
              <w:spacing w:after="0" w:line="240" w:lineRule="auto"/>
              <w:jc w:val="center"/>
              <w:rPr>
                <w:rFonts w:eastAsia="Times New Roman" w:cstheme="minorHAnsi"/>
                <w:b/>
                <w:bCs/>
                <w:lang w:eastAsia="en-ZA"/>
              </w:rPr>
            </w:pPr>
            <w:r w:rsidRPr="00733CD7">
              <w:rPr>
                <w:rFonts w:eastAsia="Times New Roman" w:cstheme="minorHAnsi"/>
                <w:b/>
                <w:bCs/>
                <w:lang w:eastAsia="en-ZA"/>
              </w:rPr>
              <w:t>3.7%</w:t>
            </w:r>
          </w:p>
        </w:tc>
        <w:tc>
          <w:tcPr>
            <w:tcW w:w="1932" w:type="dxa"/>
            <w:tcBorders>
              <w:top w:val="single" w:sz="4" w:space="0" w:color="auto"/>
              <w:left w:val="single" w:sz="4" w:space="0" w:color="auto"/>
              <w:bottom w:val="single" w:sz="4" w:space="0" w:color="auto"/>
              <w:right w:val="single" w:sz="4" w:space="0" w:color="auto"/>
            </w:tcBorders>
            <w:shd w:val="clear" w:color="auto" w:fill="BFD730" w:themeFill="accent3"/>
            <w:vAlign w:val="bottom"/>
          </w:tcPr>
          <w:p w14:paraId="382AF68E" w14:textId="77777777" w:rsidR="00733CD7" w:rsidRPr="00733CD7" w:rsidRDefault="00733CD7" w:rsidP="00733CD7">
            <w:pPr>
              <w:spacing w:after="0" w:line="240" w:lineRule="auto"/>
              <w:jc w:val="center"/>
              <w:rPr>
                <w:rFonts w:eastAsia="Times New Roman" w:cstheme="minorHAnsi"/>
                <w:b/>
                <w:bCs/>
                <w:lang w:eastAsia="en-ZA"/>
              </w:rPr>
            </w:pPr>
            <w:r w:rsidRPr="00733CD7">
              <w:rPr>
                <w:rFonts w:eastAsia="Times New Roman" w:cstheme="minorHAnsi"/>
                <w:b/>
                <w:bCs/>
                <w:lang w:eastAsia="en-ZA"/>
              </w:rPr>
              <w:t>-0.5%</w:t>
            </w:r>
          </w:p>
        </w:tc>
      </w:tr>
      <w:tr w:rsidR="00733CD7" w:rsidRPr="00733CD7" w14:paraId="23D875D0" w14:textId="77777777" w:rsidTr="00733CD7">
        <w:trPr>
          <w:trHeight w:val="300"/>
        </w:trPr>
        <w:tc>
          <w:tcPr>
            <w:tcW w:w="1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4C9B15" w14:textId="77777777" w:rsidR="00733CD7" w:rsidRPr="00733CD7" w:rsidRDefault="00733CD7" w:rsidP="00733CD7">
            <w:pPr>
              <w:spacing w:after="0" w:line="240" w:lineRule="auto"/>
              <w:rPr>
                <w:rFonts w:eastAsia="Times New Roman" w:cstheme="minorHAnsi"/>
                <w:b/>
                <w:bCs/>
                <w:lang w:eastAsia="en-ZA"/>
              </w:rPr>
            </w:pPr>
            <w:r w:rsidRPr="00733CD7">
              <w:rPr>
                <w:rFonts w:eastAsia="Times New Roman" w:cstheme="minorHAnsi"/>
                <w:b/>
                <w:bCs/>
                <w:lang w:eastAsia="en-ZA"/>
              </w:rPr>
              <w:t>Jun-21</w:t>
            </w:r>
          </w:p>
        </w:tc>
        <w:tc>
          <w:tcPr>
            <w:tcW w:w="1758" w:type="dxa"/>
            <w:tcBorders>
              <w:top w:val="single" w:sz="4" w:space="0" w:color="auto"/>
              <w:left w:val="single" w:sz="4" w:space="0" w:color="auto"/>
              <w:bottom w:val="single" w:sz="4" w:space="0" w:color="auto"/>
              <w:right w:val="single" w:sz="4" w:space="0" w:color="auto"/>
            </w:tcBorders>
            <w:shd w:val="clear" w:color="auto" w:fill="BFD730" w:themeFill="accent3"/>
            <w:vAlign w:val="bottom"/>
          </w:tcPr>
          <w:p w14:paraId="52E64CAB" w14:textId="23E3DFFC" w:rsidR="00733CD7" w:rsidRPr="00733CD7" w:rsidRDefault="00733CD7" w:rsidP="00733CD7">
            <w:pPr>
              <w:spacing w:after="0" w:line="240" w:lineRule="auto"/>
              <w:jc w:val="center"/>
              <w:rPr>
                <w:rFonts w:eastAsia="Times New Roman" w:cstheme="minorHAnsi"/>
                <w:b/>
                <w:bCs/>
                <w:lang w:eastAsia="en-ZA"/>
              </w:rPr>
            </w:pPr>
            <w:r w:rsidRPr="00733CD7">
              <w:rPr>
                <w:rFonts w:eastAsia="Times New Roman" w:cstheme="minorHAnsi"/>
                <w:b/>
                <w:bCs/>
                <w:lang w:eastAsia="en-ZA"/>
              </w:rPr>
              <w:t xml:space="preserve">129.8 </w:t>
            </w:r>
          </w:p>
        </w:tc>
        <w:tc>
          <w:tcPr>
            <w:tcW w:w="2105" w:type="dxa"/>
            <w:tcBorders>
              <w:top w:val="single" w:sz="4" w:space="0" w:color="auto"/>
              <w:left w:val="single" w:sz="4" w:space="0" w:color="auto"/>
              <w:bottom w:val="single" w:sz="4" w:space="0" w:color="auto"/>
              <w:right w:val="single" w:sz="4" w:space="0" w:color="auto"/>
            </w:tcBorders>
            <w:shd w:val="clear" w:color="auto" w:fill="F58220" w:themeFill="accent1"/>
            <w:vAlign w:val="bottom"/>
          </w:tcPr>
          <w:p w14:paraId="6818265E" w14:textId="77777777" w:rsidR="00733CD7" w:rsidRPr="00733CD7" w:rsidRDefault="00733CD7" w:rsidP="00733CD7">
            <w:pPr>
              <w:spacing w:after="0" w:line="240" w:lineRule="auto"/>
              <w:jc w:val="center"/>
              <w:rPr>
                <w:rFonts w:eastAsia="Times New Roman" w:cstheme="minorHAnsi"/>
                <w:b/>
                <w:bCs/>
                <w:lang w:eastAsia="en-ZA"/>
              </w:rPr>
            </w:pPr>
            <w:r w:rsidRPr="00733CD7">
              <w:rPr>
                <w:rFonts w:eastAsia="Times New Roman" w:cstheme="minorHAnsi"/>
                <w:b/>
                <w:bCs/>
                <w:lang w:eastAsia="en-ZA"/>
              </w:rPr>
              <w:t>26.1%</w:t>
            </w:r>
          </w:p>
        </w:tc>
        <w:tc>
          <w:tcPr>
            <w:tcW w:w="1981" w:type="dxa"/>
            <w:tcBorders>
              <w:top w:val="single" w:sz="4" w:space="0" w:color="auto"/>
              <w:left w:val="single" w:sz="4" w:space="0" w:color="auto"/>
              <w:bottom w:val="single" w:sz="4" w:space="0" w:color="auto"/>
              <w:right w:val="single" w:sz="4" w:space="0" w:color="auto"/>
            </w:tcBorders>
            <w:shd w:val="clear" w:color="auto" w:fill="BFD730" w:themeFill="accent3"/>
            <w:vAlign w:val="bottom"/>
          </w:tcPr>
          <w:p w14:paraId="0184D3B9" w14:textId="77777777" w:rsidR="00733CD7" w:rsidRPr="00733CD7" w:rsidRDefault="00733CD7" w:rsidP="00733CD7">
            <w:pPr>
              <w:spacing w:after="0" w:line="240" w:lineRule="auto"/>
              <w:jc w:val="center"/>
              <w:rPr>
                <w:rFonts w:eastAsia="Times New Roman" w:cstheme="minorHAnsi"/>
                <w:b/>
                <w:bCs/>
                <w:lang w:eastAsia="en-ZA"/>
              </w:rPr>
            </w:pPr>
            <w:r w:rsidRPr="00733CD7">
              <w:rPr>
                <w:rFonts w:eastAsia="Times New Roman" w:cstheme="minorHAnsi"/>
                <w:b/>
                <w:bCs/>
                <w:lang w:eastAsia="en-ZA"/>
              </w:rPr>
              <w:t>3.6%</w:t>
            </w:r>
          </w:p>
        </w:tc>
        <w:tc>
          <w:tcPr>
            <w:tcW w:w="1932" w:type="dxa"/>
            <w:tcBorders>
              <w:top w:val="single" w:sz="4" w:space="0" w:color="auto"/>
              <w:left w:val="single" w:sz="4" w:space="0" w:color="auto"/>
              <w:bottom w:val="single" w:sz="4" w:space="0" w:color="auto"/>
              <w:right w:val="single" w:sz="4" w:space="0" w:color="auto"/>
            </w:tcBorders>
            <w:shd w:val="clear" w:color="auto" w:fill="BFD730" w:themeFill="accent3"/>
            <w:vAlign w:val="bottom"/>
          </w:tcPr>
          <w:p w14:paraId="5FBAFF13" w14:textId="77777777" w:rsidR="00733CD7" w:rsidRPr="00733CD7" w:rsidRDefault="00733CD7" w:rsidP="00733CD7">
            <w:pPr>
              <w:spacing w:after="0" w:line="240" w:lineRule="auto"/>
              <w:jc w:val="center"/>
              <w:rPr>
                <w:rFonts w:eastAsia="Times New Roman" w:cstheme="minorHAnsi"/>
                <w:b/>
                <w:bCs/>
                <w:lang w:eastAsia="en-ZA"/>
              </w:rPr>
            </w:pPr>
            <w:r w:rsidRPr="00733CD7">
              <w:rPr>
                <w:rFonts w:eastAsia="Times New Roman" w:cstheme="minorHAnsi"/>
                <w:b/>
                <w:bCs/>
                <w:lang w:eastAsia="en-ZA"/>
              </w:rPr>
              <w:t>-0.6%</w:t>
            </w:r>
          </w:p>
        </w:tc>
      </w:tr>
      <w:tr w:rsidR="00733CD7" w:rsidRPr="00733CD7" w14:paraId="71230697" w14:textId="77777777" w:rsidTr="00733CD7">
        <w:trPr>
          <w:trHeight w:val="300"/>
        </w:trPr>
        <w:tc>
          <w:tcPr>
            <w:tcW w:w="1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2C7FCF" w14:textId="77777777" w:rsidR="00733CD7" w:rsidRPr="00733CD7" w:rsidRDefault="00733CD7" w:rsidP="00733CD7">
            <w:pPr>
              <w:spacing w:after="0" w:line="240" w:lineRule="auto"/>
              <w:rPr>
                <w:rFonts w:eastAsia="Times New Roman" w:cstheme="minorHAnsi"/>
                <w:b/>
                <w:bCs/>
                <w:lang w:eastAsia="en-ZA"/>
              </w:rPr>
            </w:pPr>
            <w:r w:rsidRPr="00733CD7">
              <w:rPr>
                <w:rFonts w:eastAsia="Times New Roman" w:cstheme="minorHAnsi"/>
                <w:b/>
                <w:bCs/>
                <w:lang w:eastAsia="en-ZA"/>
              </w:rPr>
              <w:t>Jul-21</w:t>
            </w:r>
          </w:p>
        </w:tc>
        <w:tc>
          <w:tcPr>
            <w:tcW w:w="1758" w:type="dxa"/>
            <w:tcBorders>
              <w:top w:val="single" w:sz="4" w:space="0" w:color="auto"/>
              <w:left w:val="single" w:sz="4" w:space="0" w:color="auto"/>
              <w:bottom w:val="single" w:sz="4" w:space="0" w:color="auto"/>
              <w:right w:val="single" w:sz="4" w:space="0" w:color="auto"/>
            </w:tcBorders>
            <w:shd w:val="clear" w:color="auto" w:fill="BFD730" w:themeFill="accent3"/>
            <w:vAlign w:val="bottom"/>
          </w:tcPr>
          <w:p w14:paraId="402FFA79" w14:textId="781496A4" w:rsidR="00733CD7" w:rsidRPr="00733CD7" w:rsidRDefault="00733CD7" w:rsidP="00733CD7">
            <w:pPr>
              <w:spacing w:after="0" w:line="240" w:lineRule="auto"/>
              <w:jc w:val="center"/>
              <w:rPr>
                <w:rFonts w:eastAsia="Times New Roman" w:cstheme="minorHAnsi"/>
                <w:b/>
                <w:bCs/>
                <w:lang w:eastAsia="en-ZA"/>
              </w:rPr>
            </w:pPr>
            <w:r w:rsidRPr="00733CD7">
              <w:rPr>
                <w:rFonts w:eastAsia="Times New Roman" w:cstheme="minorHAnsi"/>
                <w:b/>
                <w:bCs/>
                <w:lang w:eastAsia="en-ZA"/>
              </w:rPr>
              <w:t xml:space="preserve">127.9 </w:t>
            </w:r>
          </w:p>
        </w:tc>
        <w:tc>
          <w:tcPr>
            <w:tcW w:w="2105" w:type="dxa"/>
            <w:tcBorders>
              <w:top w:val="single" w:sz="4" w:space="0" w:color="auto"/>
              <w:left w:val="single" w:sz="4" w:space="0" w:color="auto"/>
              <w:bottom w:val="single" w:sz="4" w:space="0" w:color="auto"/>
              <w:right w:val="single" w:sz="4" w:space="0" w:color="auto"/>
            </w:tcBorders>
            <w:shd w:val="clear" w:color="auto" w:fill="F58220" w:themeFill="accent1"/>
            <w:vAlign w:val="bottom"/>
          </w:tcPr>
          <w:p w14:paraId="0BA8B85F" w14:textId="77777777" w:rsidR="00733CD7" w:rsidRPr="00733CD7" w:rsidRDefault="00733CD7" w:rsidP="00733CD7">
            <w:pPr>
              <w:spacing w:after="0" w:line="240" w:lineRule="auto"/>
              <w:jc w:val="center"/>
              <w:rPr>
                <w:rFonts w:eastAsia="Times New Roman" w:cstheme="minorHAnsi"/>
                <w:b/>
                <w:bCs/>
                <w:lang w:eastAsia="en-ZA"/>
              </w:rPr>
            </w:pPr>
            <w:r w:rsidRPr="00733CD7">
              <w:rPr>
                <w:rFonts w:eastAsia="Times New Roman" w:cstheme="minorHAnsi"/>
                <w:b/>
                <w:bCs/>
                <w:lang w:eastAsia="en-ZA"/>
              </w:rPr>
              <w:t>15.0%</w:t>
            </w:r>
          </w:p>
        </w:tc>
        <w:tc>
          <w:tcPr>
            <w:tcW w:w="1981" w:type="dxa"/>
            <w:tcBorders>
              <w:top w:val="single" w:sz="4" w:space="0" w:color="auto"/>
              <w:left w:val="single" w:sz="4" w:space="0" w:color="auto"/>
              <w:bottom w:val="single" w:sz="4" w:space="0" w:color="auto"/>
              <w:right w:val="single" w:sz="4" w:space="0" w:color="auto"/>
            </w:tcBorders>
            <w:shd w:val="clear" w:color="auto" w:fill="BFD730" w:themeFill="accent3"/>
            <w:vAlign w:val="bottom"/>
          </w:tcPr>
          <w:p w14:paraId="62B5C1C4" w14:textId="77777777" w:rsidR="00733CD7" w:rsidRPr="00733CD7" w:rsidRDefault="00733CD7" w:rsidP="00733CD7">
            <w:pPr>
              <w:spacing w:after="0" w:line="240" w:lineRule="auto"/>
              <w:jc w:val="center"/>
              <w:rPr>
                <w:rFonts w:eastAsia="Times New Roman" w:cstheme="minorHAnsi"/>
                <w:b/>
                <w:bCs/>
                <w:lang w:eastAsia="en-ZA"/>
              </w:rPr>
            </w:pPr>
            <w:r w:rsidRPr="00733CD7">
              <w:rPr>
                <w:rFonts w:eastAsia="Times New Roman" w:cstheme="minorHAnsi"/>
                <w:b/>
                <w:bCs/>
                <w:lang w:eastAsia="en-ZA"/>
              </w:rPr>
              <w:t>0.8%</w:t>
            </w:r>
          </w:p>
        </w:tc>
        <w:tc>
          <w:tcPr>
            <w:tcW w:w="1932" w:type="dxa"/>
            <w:tcBorders>
              <w:top w:val="single" w:sz="4" w:space="0" w:color="auto"/>
              <w:left w:val="single" w:sz="4" w:space="0" w:color="auto"/>
              <w:bottom w:val="single" w:sz="4" w:space="0" w:color="auto"/>
              <w:right w:val="single" w:sz="4" w:space="0" w:color="auto"/>
            </w:tcBorders>
            <w:shd w:val="clear" w:color="auto" w:fill="BFD730" w:themeFill="accent3"/>
            <w:vAlign w:val="bottom"/>
          </w:tcPr>
          <w:p w14:paraId="71D77150" w14:textId="77777777" w:rsidR="00733CD7" w:rsidRPr="00733CD7" w:rsidRDefault="00733CD7" w:rsidP="00733CD7">
            <w:pPr>
              <w:spacing w:after="0" w:line="240" w:lineRule="auto"/>
              <w:jc w:val="center"/>
              <w:rPr>
                <w:rFonts w:eastAsia="Times New Roman" w:cstheme="minorHAnsi"/>
                <w:b/>
                <w:bCs/>
                <w:lang w:eastAsia="en-ZA"/>
              </w:rPr>
            </w:pPr>
            <w:r w:rsidRPr="00733CD7">
              <w:rPr>
                <w:rFonts w:eastAsia="Times New Roman" w:cstheme="minorHAnsi"/>
                <w:b/>
                <w:bCs/>
                <w:lang w:eastAsia="en-ZA"/>
              </w:rPr>
              <w:t>-1.5%</w:t>
            </w:r>
          </w:p>
        </w:tc>
      </w:tr>
      <w:tr w:rsidR="00733CD7" w:rsidRPr="00733CD7" w14:paraId="3E5EDE80" w14:textId="77777777" w:rsidTr="00733CD7">
        <w:trPr>
          <w:trHeight w:val="300"/>
        </w:trPr>
        <w:tc>
          <w:tcPr>
            <w:tcW w:w="1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C0CADC" w14:textId="77777777" w:rsidR="00733CD7" w:rsidRPr="00733CD7" w:rsidRDefault="00733CD7" w:rsidP="00733CD7">
            <w:pPr>
              <w:spacing w:after="0" w:line="240" w:lineRule="auto"/>
              <w:rPr>
                <w:rFonts w:eastAsia="Times New Roman" w:cstheme="minorHAnsi"/>
                <w:b/>
                <w:bCs/>
                <w:lang w:eastAsia="en-ZA"/>
              </w:rPr>
            </w:pPr>
            <w:r w:rsidRPr="00733CD7">
              <w:rPr>
                <w:rFonts w:eastAsia="Times New Roman" w:cstheme="minorHAnsi"/>
                <w:b/>
                <w:bCs/>
                <w:lang w:eastAsia="en-ZA"/>
              </w:rPr>
              <w:t>Aug-21</w:t>
            </w:r>
          </w:p>
        </w:tc>
        <w:tc>
          <w:tcPr>
            <w:tcW w:w="1758" w:type="dxa"/>
            <w:tcBorders>
              <w:top w:val="single" w:sz="4" w:space="0" w:color="auto"/>
              <w:left w:val="single" w:sz="4" w:space="0" w:color="auto"/>
              <w:bottom w:val="single" w:sz="4" w:space="0" w:color="auto"/>
              <w:right w:val="single" w:sz="4" w:space="0" w:color="auto"/>
            </w:tcBorders>
            <w:shd w:val="clear" w:color="auto" w:fill="BFD730" w:themeFill="accent3"/>
            <w:vAlign w:val="bottom"/>
          </w:tcPr>
          <w:p w14:paraId="6A334B70" w14:textId="48E41873" w:rsidR="00733CD7" w:rsidRPr="00733CD7" w:rsidRDefault="00733CD7" w:rsidP="00733CD7">
            <w:pPr>
              <w:spacing w:after="0" w:line="240" w:lineRule="auto"/>
              <w:jc w:val="center"/>
              <w:rPr>
                <w:rFonts w:eastAsia="Times New Roman" w:cstheme="minorHAnsi"/>
                <w:b/>
                <w:bCs/>
                <w:lang w:eastAsia="en-ZA"/>
              </w:rPr>
            </w:pPr>
            <w:r w:rsidRPr="00733CD7">
              <w:rPr>
                <w:rFonts w:eastAsia="Times New Roman" w:cstheme="minorHAnsi"/>
                <w:b/>
                <w:bCs/>
                <w:lang w:eastAsia="en-ZA"/>
              </w:rPr>
              <w:t xml:space="preserve">133.6 </w:t>
            </w:r>
          </w:p>
        </w:tc>
        <w:tc>
          <w:tcPr>
            <w:tcW w:w="2105" w:type="dxa"/>
            <w:tcBorders>
              <w:top w:val="single" w:sz="4" w:space="0" w:color="auto"/>
              <w:left w:val="single" w:sz="4" w:space="0" w:color="auto"/>
              <w:bottom w:val="single" w:sz="4" w:space="0" w:color="auto"/>
              <w:right w:val="single" w:sz="4" w:space="0" w:color="auto"/>
            </w:tcBorders>
            <w:shd w:val="clear" w:color="auto" w:fill="F58220" w:themeFill="accent1"/>
            <w:vAlign w:val="bottom"/>
          </w:tcPr>
          <w:p w14:paraId="4CE1E8A5" w14:textId="77777777" w:rsidR="00733CD7" w:rsidRPr="00733CD7" w:rsidRDefault="00733CD7" w:rsidP="00733CD7">
            <w:pPr>
              <w:spacing w:after="0" w:line="240" w:lineRule="auto"/>
              <w:jc w:val="center"/>
              <w:rPr>
                <w:rFonts w:eastAsia="Times New Roman" w:cstheme="minorHAnsi"/>
                <w:b/>
                <w:bCs/>
                <w:lang w:eastAsia="en-ZA"/>
              </w:rPr>
            </w:pPr>
            <w:r w:rsidRPr="00733CD7">
              <w:rPr>
                <w:rFonts w:eastAsia="Times New Roman" w:cstheme="minorHAnsi"/>
                <w:b/>
                <w:bCs/>
                <w:lang w:eastAsia="en-ZA"/>
              </w:rPr>
              <w:t>13.5%</w:t>
            </w:r>
          </w:p>
        </w:tc>
        <w:tc>
          <w:tcPr>
            <w:tcW w:w="1981" w:type="dxa"/>
            <w:tcBorders>
              <w:top w:val="single" w:sz="4" w:space="0" w:color="auto"/>
              <w:left w:val="single" w:sz="4" w:space="0" w:color="auto"/>
              <w:bottom w:val="single" w:sz="4" w:space="0" w:color="auto"/>
              <w:right w:val="single" w:sz="4" w:space="0" w:color="auto"/>
            </w:tcBorders>
            <w:shd w:val="clear" w:color="auto" w:fill="BFD730" w:themeFill="accent3"/>
            <w:vAlign w:val="bottom"/>
          </w:tcPr>
          <w:p w14:paraId="11A6DD6F" w14:textId="77777777" w:rsidR="00733CD7" w:rsidRPr="00733CD7" w:rsidRDefault="00733CD7" w:rsidP="00733CD7">
            <w:pPr>
              <w:spacing w:after="0" w:line="240" w:lineRule="auto"/>
              <w:jc w:val="center"/>
              <w:rPr>
                <w:rFonts w:eastAsia="Times New Roman" w:cstheme="minorHAnsi"/>
                <w:b/>
                <w:bCs/>
                <w:lang w:eastAsia="en-ZA"/>
              </w:rPr>
            </w:pPr>
            <w:r w:rsidRPr="00733CD7">
              <w:rPr>
                <w:rFonts w:eastAsia="Times New Roman" w:cstheme="minorHAnsi"/>
                <w:b/>
                <w:bCs/>
                <w:lang w:eastAsia="en-ZA"/>
              </w:rPr>
              <w:t>0.4%</w:t>
            </w:r>
          </w:p>
        </w:tc>
        <w:tc>
          <w:tcPr>
            <w:tcW w:w="1932" w:type="dxa"/>
            <w:tcBorders>
              <w:top w:val="single" w:sz="4" w:space="0" w:color="auto"/>
              <w:left w:val="single" w:sz="4" w:space="0" w:color="auto"/>
              <w:bottom w:val="single" w:sz="4" w:space="0" w:color="auto"/>
              <w:right w:val="single" w:sz="4" w:space="0" w:color="auto"/>
            </w:tcBorders>
            <w:shd w:val="clear" w:color="auto" w:fill="BFD730" w:themeFill="accent3"/>
            <w:vAlign w:val="bottom"/>
          </w:tcPr>
          <w:p w14:paraId="4989967C" w14:textId="77777777" w:rsidR="00733CD7" w:rsidRPr="00733CD7" w:rsidRDefault="00733CD7" w:rsidP="00733CD7">
            <w:pPr>
              <w:spacing w:after="0" w:line="240" w:lineRule="auto"/>
              <w:jc w:val="center"/>
              <w:rPr>
                <w:rFonts w:eastAsia="Times New Roman" w:cstheme="minorHAnsi"/>
                <w:b/>
                <w:bCs/>
                <w:lang w:eastAsia="en-ZA"/>
              </w:rPr>
            </w:pPr>
            <w:r w:rsidRPr="00733CD7">
              <w:rPr>
                <w:rFonts w:eastAsia="Times New Roman" w:cstheme="minorHAnsi"/>
                <w:b/>
                <w:bCs/>
                <w:lang w:eastAsia="en-ZA"/>
              </w:rPr>
              <w:t>4.5%</w:t>
            </w:r>
          </w:p>
        </w:tc>
      </w:tr>
      <w:tr w:rsidR="00733CD7" w:rsidRPr="00733CD7" w14:paraId="09EF7CC3" w14:textId="77777777" w:rsidTr="00733CD7">
        <w:trPr>
          <w:trHeight w:val="300"/>
        </w:trPr>
        <w:tc>
          <w:tcPr>
            <w:tcW w:w="1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8AAAF7" w14:textId="77777777" w:rsidR="00733CD7" w:rsidRPr="00733CD7" w:rsidRDefault="00733CD7" w:rsidP="00733CD7">
            <w:pPr>
              <w:spacing w:after="0" w:line="240" w:lineRule="auto"/>
              <w:rPr>
                <w:rFonts w:eastAsia="Times New Roman" w:cstheme="minorHAnsi"/>
                <w:b/>
                <w:bCs/>
                <w:lang w:eastAsia="en-ZA"/>
              </w:rPr>
            </w:pPr>
            <w:r w:rsidRPr="00733CD7">
              <w:rPr>
                <w:rFonts w:eastAsia="Times New Roman" w:cstheme="minorHAnsi"/>
                <w:b/>
                <w:bCs/>
                <w:lang w:eastAsia="en-ZA"/>
              </w:rPr>
              <w:t>Sep-21</w:t>
            </w:r>
          </w:p>
        </w:tc>
        <w:tc>
          <w:tcPr>
            <w:tcW w:w="1758" w:type="dxa"/>
            <w:tcBorders>
              <w:top w:val="single" w:sz="4" w:space="0" w:color="auto"/>
              <w:left w:val="single" w:sz="4" w:space="0" w:color="auto"/>
              <w:bottom w:val="single" w:sz="4" w:space="0" w:color="auto"/>
              <w:right w:val="single" w:sz="4" w:space="0" w:color="auto"/>
            </w:tcBorders>
            <w:shd w:val="clear" w:color="auto" w:fill="BFD730" w:themeFill="accent3"/>
            <w:vAlign w:val="bottom"/>
          </w:tcPr>
          <w:p w14:paraId="5ACDB718" w14:textId="718ACBD1" w:rsidR="00733CD7" w:rsidRPr="00733CD7" w:rsidRDefault="00733CD7" w:rsidP="00733CD7">
            <w:pPr>
              <w:spacing w:after="0" w:line="240" w:lineRule="auto"/>
              <w:jc w:val="center"/>
              <w:rPr>
                <w:rFonts w:eastAsia="Times New Roman" w:cstheme="minorHAnsi"/>
                <w:b/>
                <w:bCs/>
                <w:lang w:eastAsia="en-ZA"/>
              </w:rPr>
            </w:pPr>
            <w:r w:rsidRPr="00733CD7">
              <w:rPr>
                <w:rFonts w:eastAsia="Times New Roman" w:cstheme="minorHAnsi"/>
                <w:b/>
                <w:bCs/>
                <w:lang w:eastAsia="en-ZA"/>
              </w:rPr>
              <w:t xml:space="preserve">129.7 </w:t>
            </w:r>
          </w:p>
        </w:tc>
        <w:tc>
          <w:tcPr>
            <w:tcW w:w="2105" w:type="dxa"/>
            <w:tcBorders>
              <w:top w:val="single" w:sz="4" w:space="0" w:color="auto"/>
              <w:left w:val="single" w:sz="4" w:space="0" w:color="auto"/>
              <w:bottom w:val="single" w:sz="4" w:space="0" w:color="auto"/>
              <w:right w:val="single" w:sz="4" w:space="0" w:color="auto"/>
            </w:tcBorders>
            <w:shd w:val="clear" w:color="auto" w:fill="F58220" w:themeFill="accent1"/>
            <w:vAlign w:val="bottom"/>
          </w:tcPr>
          <w:p w14:paraId="20F60D1B" w14:textId="77777777" w:rsidR="00733CD7" w:rsidRPr="00733CD7" w:rsidRDefault="00733CD7" w:rsidP="00733CD7">
            <w:pPr>
              <w:spacing w:after="0" w:line="240" w:lineRule="auto"/>
              <w:jc w:val="center"/>
              <w:rPr>
                <w:rFonts w:eastAsia="Times New Roman" w:cstheme="minorHAnsi"/>
                <w:b/>
                <w:bCs/>
                <w:lang w:eastAsia="en-ZA"/>
              </w:rPr>
            </w:pPr>
            <w:r w:rsidRPr="00733CD7">
              <w:rPr>
                <w:rFonts w:eastAsia="Times New Roman" w:cstheme="minorHAnsi"/>
                <w:b/>
                <w:bCs/>
                <w:lang w:eastAsia="en-ZA"/>
              </w:rPr>
              <w:t>6.7%</w:t>
            </w:r>
          </w:p>
        </w:tc>
        <w:tc>
          <w:tcPr>
            <w:tcW w:w="1981" w:type="dxa"/>
            <w:tcBorders>
              <w:top w:val="single" w:sz="4" w:space="0" w:color="auto"/>
              <w:left w:val="single" w:sz="4" w:space="0" w:color="auto"/>
              <w:bottom w:val="single" w:sz="4" w:space="0" w:color="auto"/>
              <w:right w:val="single" w:sz="4" w:space="0" w:color="auto"/>
            </w:tcBorders>
            <w:shd w:val="clear" w:color="auto" w:fill="BFD730" w:themeFill="accent3"/>
            <w:vAlign w:val="bottom"/>
          </w:tcPr>
          <w:p w14:paraId="1A61822D" w14:textId="77777777" w:rsidR="00733CD7" w:rsidRPr="00733CD7" w:rsidRDefault="00733CD7" w:rsidP="00733CD7">
            <w:pPr>
              <w:spacing w:after="0" w:line="240" w:lineRule="auto"/>
              <w:jc w:val="center"/>
              <w:rPr>
                <w:rFonts w:eastAsia="Times New Roman" w:cstheme="minorHAnsi"/>
                <w:b/>
                <w:bCs/>
                <w:lang w:eastAsia="en-ZA"/>
              </w:rPr>
            </w:pPr>
            <w:r w:rsidRPr="00733CD7">
              <w:rPr>
                <w:rFonts w:eastAsia="Times New Roman" w:cstheme="minorHAnsi"/>
                <w:b/>
                <w:bCs/>
                <w:lang w:eastAsia="en-ZA"/>
              </w:rPr>
              <w:t>-0.2%</w:t>
            </w:r>
          </w:p>
        </w:tc>
        <w:tc>
          <w:tcPr>
            <w:tcW w:w="1932" w:type="dxa"/>
            <w:tcBorders>
              <w:top w:val="single" w:sz="4" w:space="0" w:color="auto"/>
              <w:left w:val="single" w:sz="4" w:space="0" w:color="auto"/>
              <w:bottom w:val="single" w:sz="4" w:space="0" w:color="auto"/>
              <w:right w:val="single" w:sz="4" w:space="0" w:color="auto"/>
            </w:tcBorders>
            <w:shd w:val="clear" w:color="auto" w:fill="BFD730" w:themeFill="accent3"/>
            <w:vAlign w:val="bottom"/>
          </w:tcPr>
          <w:p w14:paraId="29CBC91F" w14:textId="77777777" w:rsidR="00733CD7" w:rsidRPr="00733CD7" w:rsidRDefault="00733CD7" w:rsidP="00733CD7">
            <w:pPr>
              <w:spacing w:after="0" w:line="240" w:lineRule="auto"/>
              <w:jc w:val="center"/>
              <w:rPr>
                <w:rFonts w:eastAsia="Times New Roman" w:cstheme="minorHAnsi"/>
                <w:b/>
                <w:bCs/>
                <w:lang w:eastAsia="en-ZA"/>
              </w:rPr>
            </w:pPr>
            <w:r w:rsidRPr="00733CD7">
              <w:rPr>
                <w:rFonts w:eastAsia="Times New Roman" w:cstheme="minorHAnsi"/>
                <w:b/>
                <w:bCs/>
                <w:lang w:eastAsia="en-ZA"/>
              </w:rPr>
              <w:t>-2.9%</w:t>
            </w:r>
          </w:p>
        </w:tc>
      </w:tr>
      <w:tr w:rsidR="00733CD7" w:rsidRPr="00733CD7" w14:paraId="7B1F5F84" w14:textId="77777777" w:rsidTr="00733CD7">
        <w:trPr>
          <w:trHeight w:val="300"/>
        </w:trPr>
        <w:tc>
          <w:tcPr>
            <w:tcW w:w="1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91F7CB" w14:textId="77777777" w:rsidR="00733CD7" w:rsidRPr="00733CD7" w:rsidRDefault="00733CD7" w:rsidP="00733CD7">
            <w:pPr>
              <w:spacing w:after="0" w:line="240" w:lineRule="auto"/>
              <w:rPr>
                <w:rFonts w:eastAsia="Times New Roman" w:cstheme="minorHAnsi"/>
                <w:b/>
                <w:bCs/>
                <w:lang w:eastAsia="en-ZA"/>
              </w:rPr>
            </w:pPr>
            <w:r w:rsidRPr="00733CD7">
              <w:rPr>
                <w:rFonts w:eastAsia="Times New Roman" w:cstheme="minorHAnsi"/>
                <w:b/>
                <w:bCs/>
                <w:lang w:eastAsia="en-ZA"/>
              </w:rPr>
              <w:t>Oct-21</w:t>
            </w:r>
          </w:p>
        </w:tc>
        <w:tc>
          <w:tcPr>
            <w:tcW w:w="1758" w:type="dxa"/>
            <w:tcBorders>
              <w:top w:val="single" w:sz="4" w:space="0" w:color="auto"/>
              <w:left w:val="single" w:sz="4" w:space="0" w:color="auto"/>
              <w:bottom w:val="single" w:sz="4" w:space="0" w:color="auto"/>
              <w:right w:val="single" w:sz="4" w:space="0" w:color="auto"/>
            </w:tcBorders>
            <w:shd w:val="clear" w:color="auto" w:fill="BFD730" w:themeFill="accent3"/>
            <w:vAlign w:val="bottom"/>
          </w:tcPr>
          <w:p w14:paraId="51DBEE01" w14:textId="74B9FB2C" w:rsidR="00733CD7" w:rsidRPr="00733CD7" w:rsidRDefault="00733CD7" w:rsidP="00733CD7">
            <w:pPr>
              <w:spacing w:after="0" w:line="240" w:lineRule="auto"/>
              <w:jc w:val="center"/>
              <w:rPr>
                <w:rFonts w:eastAsia="Times New Roman" w:cstheme="minorHAnsi"/>
                <w:b/>
                <w:bCs/>
                <w:lang w:eastAsia="en-ZA"/>
              </w:rPr>
            </w:pPr>
            <w:r w:rsidRPr="00733CD7">
              <w:rPr>
                <w:rFonts w:eastAsia="Times New Roman" w:cstheme="minorHAnsi"/>
                <w:b/>
                <w:bCs/>
                <w:lang w:eastAsia="en-ZA"/>
              </w:rPr>
              <w:t xml:space="preserve">130.0 </w:t>
            </w:r>
          </w:p>
        </w:tc>
        <w:tc>
          <w:tcPr>
            <w:tcW w:w="2105" w:type="dxa"/>
            <w:tcBorders>
              <w:top w:val="single" w:sz="4" w:space="0" w:color="auto"/>
              <w:left w:val="single" w:sz="4" w:space="0" w:color="auto"/>
              <w:bottom w:val="single" w:sz="4" w:space="0" w:color="auto"/>
              <w:right w:val="single" w:sz="4" w:space="0" w:color="auto"/>
            </w:tcBorders>
            <w:shd w:val="clear" w:color="auto" w:fill="F58220" w:themeFill="accent1"/>
            <w:vAlign w:val="bottom"/>
          </w:tcPr>
          <w:p w14:paraId="7D466C3C" w14:textId="77777777" w:rsidR="00733CD7" w:rsidRPr="00733CD7" w:rsidRDefault="00733CD7" w:rsidP="00733CD7">
            <w:pPr>
              <w:spacing w:after="0" w:line="240" w:lineRule="auto"/>
              <w:jc w:val="center"/>
              <w:rPr>
                <w:rFonts w:eastAsia="Times New Roman" w:cstheme="minorHAnsi"/>
                <w:b/>
                <w:bCs/>
                <w:lang w:eastAsia="en-ZA"/>
              </w:rPr>
            </w:pPr>
            <w:r w:rsidRPr="00733CD7">
              <w:rPr>
                <w:rFonts w:eastAsia="Times New Roman" w:cstheme="minorHAnsi"/>
                <w:b/>
                <w:bCs/>
                <w:lang w:eastAsia="en-ZA"/>
              </w:rPr>
              <w:t>4.7%</w:t>
            </w:r>
          </w:p>
        </w:tc>
        <w:tc>
          <w:tcPr>
            <w:tcW w:w="1981" w:type="dxa"/>
            <w:tcBorders>
              <w:top w:val="single" w:sz="4" w:space="0" w:color="auto"/>
              <w:left w:val="single" w:sz="4" w:space="0" w:color="auto"/>
              <w:bottom w:val="single" w:sz="4" w:space="0" w:color="auto"/>
              <w:right w:val="single" w:sz="4" w:space="0" w:color="auto"/>
            </w:tcBorders>
            <w:shd w:val="clear" w:color="auto" w:fill="BFD730" w:themeFill="accent3"/>
            <w:vAlign w:val="bottom"/>
          </w:tcPr>
          <w:p w14:paraId="11B32BC4" w14:textId="77777777" w:rsidR="00733CD7" w:rsidRPr="00733CD7" w:rsidRDefault="00733CD7" w:rsidP="00733CD7">
            <w:pPr>
              <w:spacing w:after="0" w:line="240" w:lineRule="auto"/>
              <w:jc w:val="center"/>
              <w:rPr>
                <w:rFonts w:eastAsia="Times New Roman" w:cstheme="minorHAnsi"/>
                <w:b/>
                <w:bCs/>
                <w:lang w:eastAsia="en-ZA"/>
              </w:rPr>
            </w:pPr>
            <w:r w:rsidRPr="00733CD7">
              <w:rPr>
                <w:rFonts w:eastAsia="Times New Roman" w:cstheme="minorHAnsi"/>
                <w:b/>
                <w:bCs/>
                <w:lang w:eastAsia="en-ZA"/>
              </w:rPr>
              <w:t>1.3%</w:t>
            </w:r>
          </w:p>
        </w:tc>
        <w:tc>
          <w:tcPr>
            <w:tcW w:w="1932" w:type="dxa"/>
            <w:tcBorders>
              <w:top w:val="single" w:sz="4" w:space="0" w:color="auto"/>
              <w:left w:val="single" w:sz="4" w:space="0" w:color="auto"/>
              <w:bottom w:val="single" w:sz="4" w:space="0" w:color="auto"/>
              <w:right w:val="single" w:sz="4" w:space="0" w:color="auto"/>
            </w:tcBorders>
            <w:shd w:val="clear" w:color="auto" w:fill="BFD730" w:themeFill="accent3"/>
            <w:vAlign w:val="bottom"/>
          </w:tcPr>
          <w:p w14:paraId="21A2BC52" w14:textId="77777777" w:rsidR="00733CD7" w:rsidRPr="00733CD7" w:rsidRDefault="00733CD7" w:rsidP="00733CD7">
            <w:pPr>
              <w:spacing w:after="0" w:line="240" w:lineRule="auto"/>
              <w:jc w:val="center"/>
              <w:rPr>
                <w:rFonts w:eastAsia="Times New Roman" w:cstheme="minorHAnsi"/>
                <w:b/>
                <w:bCs/>
                <w:lang w:eastAsia="en-ZA"/>
              </w:rPr>
            </w:pPr>
            <w:r w:rsidRPr="00733CD7">
              <w:rPr>
                <w:rFonts w:eastAsia="Times New Roman" w:cstheme="minorHAnsi"/>
                <w:b/>
                <w:bCs/>
                <w:lang w:eastAsia="en-ZA"/>
              </w:rPr>
              <w:t>0.2%</w:t>
            </w:r>
          </w:p>
        </w:tc>
      </w:tr>
      <w:tr w:rsidR="00733CD7" w:rsidRPr="00733CD7" w14:paraId="32BC8555" w14:textId="77777777" w:rsidTr="00733CD7">
        <w:trPr>
          <w:trHeight w:val="300"/>
        </w:trPr>
        <w:tc>
          <w:tcPr>
            <w:tcW w:w="1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A040F6" w14:textId="77777777" w:rsidR="00733CD7" w:rsidRPr="00733CD7" w:rsidRDefault="00733CD7" w:rsidP="00733CD7">
            <w:pPr>
              <w:spacing w:after="0" w:line="240" w:lineRule="auto"/>
              <w:rPr>
                <w:rFonts w:eastAsia="Times New Roman" w:cstheme="minorHAnsi"/>
                <w:b/>
                <w:bCs/>
                <w:lang w:eastAsia="en-ZA"/>
              </w:rPr>
            </w:pPr>
            <w:r w:rsidRPr="00733CD7">
              <w:rPr>
                <w:rFonts w:eastAsia="Times New Roman" w:cstheme="minorHAnsi"/>
                <w:b/>
                <w:bCs/>
                <w:lang w:eastAsia="en-ZA"/>
              </w:rPr>
              <w:t>Nov-21</w:t>
            </w:r>
          </w:p>
        </w:tc>
        <w:tc>
          <w:tcPr>
            <w:tcW w:w="1758" w:type="dxa"/>
            <w:tcBorders>
              <w:top w:val="single" w:sz="4" w:space="0" w:color="auto"/>
              <w:left w:val="single" w:sz="4" w:space="0" w:color="auto"/>
              <w:bottom w:val="single" w:sz="4" w:space="0" w:color="auto"/>
              <w:right w:val="single" w:sz="4" w:space="0" w:color="auto"/>
            </w:tcBorders>
            <w:shd w:val="clear" w:color="auto" w:fill="BFD730" w:themeFill="accent3"/>
            <w:vAlign w:val="bottom"/>
          </w:tcPr>
          <w:p w14:paraId="07E920DF" w14:textId="1DE5B6B4" w:rsidR="00733CD7" w:rsidRPr="00733CD7" w:rsidRDefault="00733CD7" w:rsidP="00733CD7">
            <w:pPr>
              <w:spacing w:after="0" w:line="240" w:lineRule="auto"/>
              <w:jc w:val="center"/>
              <w:rPr>
                <w:rFonts w:eastAsia="Times New Roman" w:cstheme="minorHAnsi"/>
                <w:b/>
                <w:bCs/>
                <w:lang w:eastAsia="en-ZA"/>
              </w:rPr>
            </w:pPr>
            <w:r w:rsidRPr="00733CD7">
              <w:rPr>
                <w:rFonts w:eastAsia="Times New Roman" w:cstheme="minorHAnsi"/>
                <w:b/>
                <w:bCs/>
                <w:lang w:eastAsia="en-ZA"/>
              </w:rPr>
              <w:t xml:space="preserve">131.9 </w:t>
            </w:r>
          </w:p>
        </w:tc>
        <w:tc>
          <w:tcPr>
            <w:tcW w:w="2105" w:type="dxa"/>
            <w:tcBorders>
              <w:top w:val="single" w:sz="4" w:space="0" w:color="auto"/>
              <w:left w:val="single" w:sz="4" w:space="0" w:color="auto"/>
              <w:bottom w:val="single" w:sz="4" w:space="0" w:color="auto"/>
              <w:right w:val="single" w:sz="4" w:space="0" w:color="auto"/>
            </w:tcBorders>
            <w:shd w:val="clear" w:color="auto" w:fill="F58220" w:themeFill="accent1"/>
            <w:vAlign w:val="bottom"/>
          </w:tcPr>
          <w:p w14:paraId="159EB619" w14:textId="77777777" w:rsidR="00733CD7" w:rsidRPr="00733CD7" w:rsidRDefault="00733CD7" w:rsidP="00733CD7">
            <w:pPr>
              <w:spacing w:after="0" w:line="240" w:lineRule="auto"/>
              <w:jc w:val="center"/>
              <w:rPr>
                <w:rFonts w:eastAsia="Times New Roman" w:cstheme="minorHAnsi"/>
                <w:b/>
                <w:bCs/>
                <w:lang w:eastAsia="en-ZA"/>
              </w:rPr>
            </w:pPr>
            <w:r w:rsidRPr="00733CD7">
              <w:rPr>
                <w:rFonts w:eastAsia="Times New Roman" w:cstheme="minorHAnsi"/>
                <w:b/>
                <w:bCs/>
                <w:lang w:eastAsia="en-ZA"/>
              </w:rPr>
              <w:t>6.2%</w:t>
            </w:r>
          </w:p>
        </w:tc>
        <w:tc>
          <w:tcPr>
            <w:tcW w:w="1981" w:type="dxa"/>
            <w:tcBorders>
              <w:top w:val="single" w:sz="4" w:space="0" w:color="auto"/>
              <w:left w:val="single" w:sz="4" w:space="0" w:color="auto"/>
              <w:bottom w:val="single" w:sz="4" w:space="0" w:color="auto"/>
              <w:right w:val="single" w:sz="4" w:space="0" w:color="auto"/>
            </w:tcBorders>
            <w:shd w:val="clear" w:color="auto" w:fill="BFD730" w:themeFill="accent3"/>
            <w:vAlign w:val="bottom"/>
          </w:tcPr>
          <w:p w14:paraId="04BCA192" w14:textId="77777777" w:rsidR="00733CD7" w:rsidRPr="00733CD7" w:rsidRDefault="00733CD7" w:rsidP="00733CD7">
            <w:pPr>
              <w:spacing w:after="0" w:line="240" w:lineRule="auto"/>
              <w:jc w:val="center"/>
              <w:rPr>
                <w:rFonts w:eastAsia="Times New Roman" w:cstheme="minorHAnsi"/>
                <w:b/>
                <w:bCs/>
                <w:lang w:eastAsia="en-ZA"/>
              </w:rPr>
            </w:pPr>
            <w:r w:rsidRPr="00733CD7">
              <w:rPr>
                <w:rFonts w:eastAsia="Times New Roman" w:cstheme="minorHAnsi"/>
                <w:b/>
                <w:bCs/>
                <w:lang w:eastAsia="en-ZA"/>
              </w:rPr>
              <w:t>0.1%</w:t>
            </w:r>
          </w:p>
        </w:tc>
        <w:tc>
          <w:tcPr>
            <w:tcW w:w="1932" w:type="dxa"/>
            <w:tcBorders>
              <w:top w:val="single" w:sz="4" w:space="0" w:color="auto"/>
              <w:left w:val="single" w:sz="4" w:space="0" w:color="auto"/>
              <w:bottom w:val="single" w:sz="4" w:space="0" w:color="auto"/>
              <w:right w:val="single" w:sz="4" w:space="0" w:color="auto"/>
            </w:tcBorders>
            <w:shd w:val="clear" w:color="auto" w:fill="BFD730" w:themeFill="accent3"/>
            <w:vAlign w:val="bottom"/>
          </w:tcPr>
          <w:p w14:paraId="538F1243" w14:textId="77777777" w:rsidR="00733CD7" w:rsidRPr="00733CD7" w:rsidRDefault="00733CD7" w:rsidP="00733CD7">
            <w:pPr>
              <w:spacing w:after="0" w:line="240" w:lineRule="auto"/>
              <w:jc w:val="center"/>
              <w:rPr>
                <w:rFonts w:eastAsia="Times New Roman" w:cstheme="minorHAnsi"/>
                <w:b/>
                <w:bCs/>
                <w:lang w:eastAsia="en-ZA"/>
              </w:rPr>
            </w:pPr>
            <w:r w:rsidRPr="00733CD7">
              <w:rPr>
                <w:rFonts w:eastAsia="Times New Roman" w:cstheme="minorHAnsi"/>
                <w:b/>
                <w:bCs/>
                <w:lang w:eastAsia="en-ZA"/>
              </w:rPr>
              <w:t>1.5%</w:t>
            </w:r>
          </w:p>
        </w:tc>
      </w:tr>
      <w:tr w:rsidR="00733CD7" w:rsidRPr="00733CD7" w14:paraId="1DFA643B" w14:textId="77777777" w:rsidTr="00733CD7">
        <w:trPr>
          <w:trHeight w:val="300"/>
        </w:trPr>
        <w:tc>
          <w:tcPr>
            <w:tcW w:w="1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53E46D" w14:textId="77777777" w:rsidR="00733CD7" w:rsidRPr="00733CD7" w:rsidRDefault="00733CD7" w:rsidP="00733CD7">
            <w:pPr>
              <w:spacing w:after="0" w:line="240" w:lineRule="auto"/>
              <w:rPr>
                <w:rFonts w:eastAsia="Times New Roman" w:cstheme="minorHAnsi"/>
                <w:b/>
                <w:bCs/>
                <w:lang w:eastAsia="en-ZA"/>
              </w:rPr>
            </w:pPr>
            <w:r w:rsidRPr="00733CD7">
              <w:rPr>
                <w:rFonts w:eastAsia="Times New Roman" w:cstheme="minorHAnsi"/>
                <w:b/>
                <w:bCs/>
                <w:lang w:eastAsia="en-ZA"/>
              </w:rPr>
              <w:t>Dec-21</w:t>
            </w:r>
          </w:p>
        </w:tc>
        <w:tc>
          <w:tcPr>
            <w:tcW w:w="1758" w:type="dxa"/>
            <w:tcBorders>
              <w:top w:val="single" w:sz="4" w:space="0" w:color="auto"/>
              <w:left w:val="single" w:sz="4" w:space="0" w:color="auto"/>
              <w:bottom w:val="single" w:sz="4" w:space="0" w:color="auto"/>
              <w:right w:val="single" w:sz="4" w:space="0" w:color="auto"/>
            </w:tcBorders>
            <w:shd w:val="clear" w:color="auto" w:fill="BFD730" w:themeFill="accent3"/>
            <w:vAlign w:val="bottom"/>
          </w:tcPr>
          <w:p w14:paraId="7E6ED534" w14:textId="109EEAA4" w:rsidR="00733CD7" w:rsidRPr="00733CD7" w:rsidRDefault="00733CD7" w:rsidP="00733CD7">
            <w:pPr>
              <w:spacing w:after="0" w:line="240" w:lineRule="auto"/>
              <w:jc w:val="center"/>
              <w:rPr>
                <w:rFonts w:eastAsia="Times New Roman" w:cstheme="minorHAnsi"/>
                <w:b/>
                <w:bCs/>
                <w:lang w:eastAsia="en-ZA"/>
              </w:rPr>
            </w:pPr>
            <w:r w:rsidRPr="00733CD7">
              <w:rPr>
                <w:rFonts w:eastAsia="Times New Roman" w:cstheme="minorHAnsi"/>
                <w:b/>
                <w:bCs/>
                <w:lang w:eastAsia="en-ZA"/>
              </w:rPr>
              <w:t xml:space="preserve">130.4 </w:t>
            </w:r>
          </w:p>
        </w:tc>
        <w:tc>
          <w:tcPr>
            <w:tcW w:w="2105" w:type="dxa"/>
            <w:tcBorders>
              <w:top w:val="single" w:sz="4" w:space="0" w:color="auto"/>
              <w:left w:val="single" w:sz="4" w:space="0" w:color="auto"/>
              <w:bottom w:val="single" w:sz="4" w:space="0" w:color="auto"/>
              <w:right w:val="single" w:sz="4" w:space="0" w:color="auto"/>
            </w:tcBorders>
            <w:shd w:val="clear" w:color="auto" w:fill="F58220" w:themeFill="accent1"/>
            <w:vAlign w:val="bottom"/>
          </w:tcPr>
          <w:p w14:paraId="7CF62126" w14:textId="77777777" w:rsidR="00733CD7" w:rsidRPr="00733CD7" w:rsidRDefault="00733CD7" w:rsidP="00733CD7">
            <w:pPr>
              <w:spacing w:after="0" w:line="240" w:lineRule="auto"/>
              <w:jc w:val="center"/>
              <w:rPr>
                <w:rFonts w:eastAsia="Times New Roman" w:cstheme="minorHAnsi"/>
                <w:b/>
                <w:bCs/>
                <w:lang w:eastAsia="en-ZA"/>
              </w:rPr>
            </w:pPr>
            <w:r w:rsidRPr="00733CD7">
              <w:rPr>
                <w:rFonts w:eastAsia="Times New Roman" w:cstheme="minorHAnsi"/>
                <w:b/>
                <w:bCs/>
                <w:lang w:eastAsia="en-ZA"/>
              </w:rPr>
              <w:t>4.2%</w:t>
            </w:r>
          </w:p>
        </w:tc>
        <w:tc>
          <w:tcPr>
            <w:tcW w:w="1981" w:type="dxa"/>
            <w:tcBorders>
              <w:top w:val="single" w:sz="4" w:space="0" w:color="auto"/>
              <w:left w:val="single" w:sz="4" w:space="0" w:color="auto"/>
              <w:bottom w:val="single" w:sz="4" w:space="0" w:color="auto"/>
              <w:right w:val="single" w:sz="4" w:space="0" w:color="auto"/>
            </w:tcBorders>
            <w:shd w:val="clear" w:color="auto" w:fill="BFD730" w:themeFill="accent3"/>
            <w:vAlign w:val="bottom"/>
          </w:tcPr>
          <w:p w14:paraId="0962B95A" w14:textId="77777777" w:rsidR="00733CD7" w:rsidRPr="00733CD7" w:rsidRDefault="00733CD7" w:rsidP="00733CD7">
            <w:pPr>
              <w:spacing w:after="0" w:line="240" w:lineRule="auto"/>
              <w:jc w:val="center"/>
              <w:rPr>
                <w:rFonts w:eastAsia="Times New Roman" w:cstheme="minorHAnsi"/>
                <w:b/>
                <w:bCs/>
                <w:lang w:eastAsia="en-ZA"/>
              </w:rPr>
            </w:pPr>
            <w:r w:rsidRPr="00733CD7">
              <w:rPr>
                <w:rFonts w:eastAsia="Times New Roman" w:cstheme="minorHAnsi"/>
                <w:b/>
                <w:bCs/>
                <w:lang w:eastAsia="en-ZA"/>
              </w:rPr>
              <w:t>0.3%</w:t>
            </w:r>
          </w:p>
        </w:tc>
        <w:tc>
          <w:tcPr>
            <w:tcW w:w="1932" w:type="dxa"/>
            <w:tcBorders>
              <w:top w:val="single" w:sz="4" w:space="0" w:color="auto"/>
              <w:left w:val="single" w:sz="4" w:space="0" w:color="auto"/>
              <w:bottom w:val="single" w:sz="4" w:space="0" w:color="auto"/>
              <w:right w:val="single" w:sz="4" w:space="0" w:color="auto"/>
            </w:tcBorders>
            <w:shd w:val="clear" w:color="auto" w:fill="BFD730" w:themeFill="accent3"/>
            <w:vAlign w:val="bottom"/>
          </w:tcPr>
          <w:p w14:paraId="2B6D5FA1" w14:textId="77777777" w:rsidR="00733CD7" w:rsidRPr="00733CD7" w:rsidRDefault="00733CD7" w:rsidP="00733CD7">
            <w:pPr>
              <w:spacing w:after="0" w:line="240" w:lineRule="auto"/>
              <w:jc w:val="center"/>
              <w:rPr>
                <w:rFonts w:eastAsia="Times New Roman" w:cstheme="minorHAnsi"/>
                <w:b/>
                <w:bCs/>
                <w:lang w:eastAsia="en-ZA"/>
              </w:rPr>
            </w:pPr>
            <w:r w:rsidRPr="00733CD7">
              <w:rPr>
                <w:rFonts w:eastAsia="Times New Roman" w:cstheme="minorHAnsi"/>
                <w:b/>
                <w:bCs/>
                <w:lang w:eastAsia="en-ZA"/>
              </w:rPr>
              <w:t>-1.1%</w:t>
            </w:r>
          </w:p>
        </w:tc>
      </w:tr>
      <w:tr w:rsidR="00733CD7" w:rsidRPr="00733CD7" w14:paraId="1B9A11B5" w14:textId="77777777" w:rsidTr="00733CD7">
        <w:trPr>
          <w:trHeight w:val="300"/>
        </w:trPr>
        <w:tc>
          <w:tcPr>
            <w:tcW w:w="1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E3DC83" w14:textId="77777777" w:rsidR="00733CD7" w:rsidRPr="00733CD7" w:rsidRDefault="00733CD7" w:rsidP="00733CD7">
            <w:pPr>
              <w:spacing w:after="0" w:line="240" w:lineRule="auto"/>
              <w:rPr>
                <w:rFonts w:eastAsia="Times New Roman" w:cstheme="minorHAnsi"/>
                <w:b/>
                <w:bCs/>
                <w:lang w:eastAsia="en-ZA"/>
              </w:rPr>
            </w:pPr>
            <w:r w:rsidRPr="00733CD7">
              <w:rPr>
                <w:rFonts w:eastAsia="Times New Roman" w:cstheme="minorHAnsi"/>
                <w:b/>
                <w:bCs/>
                <w:lang w:eastAsia="en-ZA"/>
              </w:rPr>
              <w:t>Jan-22</w:t>
            </w:r>
          </w:p>
        </w:tc>
        <w:tc>
          <w:tcPr>
            <w:tcW w:w="1758" w:type="dxa"/>
            <w:tcBorders>
              <w:top w:val="single" w:sz="4" w:space="0" w:color="auto"/>
              <w:left w:val="single" w:sz="4" w:space="0" w:color="auto"/>
              <w:bottom w:val="single" w:sz="4" w:space="0" w:color="auto"/>
              <w:right w:val="single" w:sz="4" w:space="0" w:color="auto"/>
            </w:tcBorders>
            <w:shd w:val="clear" w:color="auto" w:fill="BFD730" w:themeFill="accent3"/>
            <w:vAlign w:val="bottom"/>
          </w:tcPr>
          <w:p w14:paraId="258F6675" w14:textId="3B9C417D" w:rsidR="00733CD7" w:rsidRPr="00733CD7" w:rsidRDefault="00733CD7" w:rsidP="00733CD7">
            <w:pPr>
              <w:spacing w:after="0" w:line="240" w:lineRule="auto"/>
              <w:jc w:val="center"/>
              <w:rPr>
                <w:rFonts w:eastAsia="Times New Roman" w:cstheme="minorHAnsi"/>
                <w:b/>
                <w:bCs/>
                <w:lang w:eastAsia="en-ZA"/>
              </w:rPr>
            </w:pPr>
            <w:r w:rsidRPr="00733CD7">
              <w:rPr>
                <w:rFonts w:eastAsia="Times New Roman" w:cstheme="minorHAnsi"/>
                <w:b/>
                <w:bCs/>
                <w:lang w:eastAsia="en-ZA"/>
              </w:rPr>
              <w:t xml:space="preserve">132.7 </w:t>
            </w:r>
          </w:p>
        </w:tc>
        <w:tc>
          <w:tcPr>
            <w:tcW w:w="2105" w:type="dxa"/>
            <w:tcBorders>
              <w:top w:val="single" w:sz="4" w:space="0" w:color="auto"/>
              <w:left w:val="single" w:sz="4" w:space="0" w:color="auto"/>
              <w:bottom w:val="single" w:sz="4" w:space="0" w:color="auto"/>
              <w:right w:val="single" w:sz="4" w:space="0" w:color="auto"/>
            </w:tcBorders>
            <w:shd w:val="clear" w:color="auto" w:fill="F58220" w:themeFill="accent1"/>
            <w:vAlign w:val="bottom"/>
          </w:tcPr>
          <w:p w14:paraId="095A5A51" w14:textId="77777777" w:rsidR="00733CD7" w:rsidRPr="00733CD7" w:rsidRDefault="00733CD7" w:rsidP="00733CD7">
            <w:pPr>
              <w:spacing w:after="0" w:line="240" w:lineRule="auto"/>
              <w:jc w:val="center"/>
              <w:rPr>
                <w:rFonts w:eastAsia="Times New Roman" w:cstheme="minorHAnsi"/>
                <w:b/>
                <w:bCs/>
                <w:lang w:eastAsia="en-ZA"/>
              </w:rPr>
            </w:pPr>
            <w:r w:rsidRPr="00733CD7">
              <w:rPr>
                <w:rFonts w:eastAsia="Times New Roman" w:cstheme="minorHAnsi"/>
                <w:b/>
                <w:bCs/>
                <w:lang w:eastAsia="en-ZA"/>
              </w:rPr>
              <w:t>6.7%</w:t>
            </w:r>
          </w:p>
        </w:tc>
        <w:tc>
          <w:tcPr>
            <w:tcW w:w="1981" w:type="dxa"/>
            <w:tcBorders>
              <w:top w:val="single" w:sz="4" w:space="0" w:color="auto"/>
              <w:left w:val="single" w:sz="4" w:space="0" w:color="auto"/>
              <w:bottom w:val="single" w:sz="4" w:space="0" w:color="auto"/>
              <w:right w:val="single" w:sz="4" w:space="0" w:color="auto"/>
            </w:tcBorders>
            <w:shd w:val="clear" w:color="auto" w:fill="BFD730" w:themeFill="accent3"/>
            <w:vAlign w:val="bottom"/>
          </w:tcPr>
          <w:p w14:paraId="6A4797A9" w14:textId="77777777" w:rsidR="00733CD7" w:rsidRPr="00733CD7" w:rsidRDefault="00733CD7" w:rsidP="00733CD7">
            <w:pPr>
              <w:spacing w:after="0" w:line="240" w:lineRule="auto"/>
              <w:jc w:val="center"/>
              <w:rPr>
                <w:rFonts w:eastAsia="Times New Roman" w:cstheme="minorHAnsi"/>
                <w:b/>
                <w:bCs/>
                <w:lang w:eastAsia="en-ZA"/>
              </w:rPr>
            </w:pPr>
            <w:r w:rsidRPr="00733CD7">
              <w:rPr>
                <w:rFonts w:eastAsia="Times New Roman" w:cstheme="minorHAnsi"/>
                <w:b/>
                <w:bCs/>
                <w:lang w:eastAsia="en-ZA"/>
              </w:rPr>
              <w:t>0.5%</w:t>
            </w:r>
          </w:p>
        </w:tc>
        <w:tc>
          <w:tcPr>
            <w:tcW w:w="1932" w:type="dxa"/>
            <w:tcBorders>
              <w:top w:val="single" w:sz="4" w:space="0" w:color="auto"/>
              <w:left w:val="single" w:sz="4" w:space="0" w:color="auto"/>
              <w:bottom w:val="single" w:sz="4" w:space="0" w:color="auto"/>
              <w:right w:val="single" w:sz="4" w:space="0" w:color="auto"/>
            </w:tcBorders>
            <w:shd w:val="clear" w:color="auto" w:fill="BFD730" w:themeFill="accent3"/>
            <w:vAlign w:val="bottom"/>
          </w:tcPr>
          <w:p w14:paraId="57921E1D" w14:textId="77777777" w:rsidR="00733CD7" w:rsidRPr="00733CD7" w:rsidRDefault="00733CD7" w:rsidP="00733CD7">
            <w:pPr>
              <w:spacing w:after="0" w:line="240" w:lineRule="auto"/>
              <w:jc w:val="center"/>
              <w:rPr>
                <w:rFonts w:eastAsia="Times New Roman" w:cstheme="minorHAnsi"/>
                <w:b/>
                <w:bCs/>
                <w:lang w:eastAsia="en-ZA"/>
              </w:rPr>
            </w:pPr>
            <w:r w:rsidRPr="00733CD7">
              <w:rPr>
                <w:rFonts w:eastAsia="Times New Roman" w:cstheme="minorHAnsi"/>
                <w:b/>
                <w:bCs/>
                <w:lang w:eastAsia="en-ZA"/>
              </w:rPr>
              <w:t>1.8%</w:t>
            </w:r>
          </w:p>
        </w:tc>
      </w:tr>
      <w:tr w:rsidR="00733CD7" w:rsidRPr="00733CD7" w14:paraId="35F8B8ED" w14:textId="77777777" w:rsidTr="00733CD7">
        <w:trPr>
          <w:trHeight w:val="300"/>
        </w:trPr>
        <w:tc>
          <w:tcPr>
            <w:tcW w:w="1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A61810" w14:textId="77777777" w:rsidR="00733CD7" w:rsidRPr="00733CD7" w:rsidRDefault="00733CD7" w:rsidP="00733CD7">
            <w:pPr>
              <w:spacing w:after="0" w:line="240" w:lineRule="auto"/>
              <w:rPr>
                <w:rFonts w:eastAsia="Times New Roman" w:cstheme="minorHAnsi"/>
                <w:b/>
                <w:bCs/>
                <w:lang w:eastAsia="en-ZA"/>
              </w:rPr>
            </w:pPr>
            <w:r w:rsidRPr="00733CD7">
              <w:rPr>
                <w:rFonts w:eastAsia="Times New Roman" w:cstheme="minorHAnsi"/>
                <w:b/>
                <w:bCs/>
                <w:lang w:eastAsia="en-ZA"/>
              </w:rPr>
              <w:t>Feb-22</w:t>
            </w:r>
          </w:p>
        </w:tc>
        <w:tc>
          <w:tcPr>
            <w:tcW w:w="1758" w:type="dxa"/>
            <w:tcBorders>
              <w:top w:val="single" w:sz="4" w:space="0" w:color="auto"/>
              <w:left w:val="single" w:sz="4" w:space="0" w:color="auto"/>
              <w:bottom w:val="single" w:sz="4" w:space="0" w:color="auto"/>
              <w:right w:val="single" w:sz="4" w:space="0" w:color="auto"/>
            </w:tcBorders>
            <w:shd w:val="clear" w:color="auto" w:fill="BFD730" w:themeFill="accent3"/>
            <w:vAlign w:val="bottom"/>
          </w:tcPr>
          <w:p w14:paraId="7EF5BFFA" w14:textId="74891CD1" w:rsidR="00733CD7" w:rsidRPr="00733CD7" w:rsidRDefault="00733CD7" w:rsidP="00733CD7">
            <w:pPr>
              <w:spacing w:after="0" w:line="240" w:lineRule="auto"/>
              <w:jc w:val="center"/>
              <w:rPr>
                <w:rFonts w:eastAsia="Times New Roman" w:cstheme="minorHAnsi"/>
                <w:b/>
                <w:bCs/>
                <w:lang w:eastAsia="en-ZA"/>
              </w:rPr>
            </w:pPr>
            <w:r w:rsidRPr="00733CD7">
              <w:rPr>
                <w:rFonts w:eastAsia="Times New Roman" w:cstheme="minorHAnsi"/>
                <w:b/>
                <w:bCs/>
                <w:lang w:eastAsia="en-ZA"/>
              </w:rPr>
              <w:t xml:space="preserve">133.7 </w:t>
            </w:r>
          </w:p>
        </w:tc>
        <w:tc>
          <w:tcPr>
            <w:tcW w:w="2105" w:type="dxa"/>
            <w:tcBorders>
              <w:top w:val="single" w:sz="4" w:space="0" w:color="auto"/>
              <w:left w:val="single" w:sz="4" w:space="0" w:color="auto"/>
              <w:bottom w:val="single" w:sz="4" w:space="0" w:color="auto"/>
              <w:right w:val="single" w:sz="4" w:space="0" w:color="auto"/>
            </w:tcBorders>
            <w:shd w:val="clear" w:color="auto" w:fill="F58220" w:themeFill="accent1"/>
            <w:vAlign w:val="bottom"/>
          </w:tcPr>
          <w:p w14:paraId="34D2D36E" w14:textId="77777777" w:rsidR="00733CD7" w:rsidRPr="00733CD7" w:rsidRDefault="00733CD7" w:rsidP="00733CD7">
            <w:pPr>
              <w:spacing w:after="0" w:line="240" w:lineRule="auto"/>
              <w:jc w:val="center"/>
              <w:rPr>
                <w:rFonts w:eastAsia="Times New Roman" w:cstheme="minorHAnsi"/>
                <w:b/>
                <w:bCs/>
                <w:lang w:eastAsia="en-ZA"/>
              </w:rPr>
            </w:pPr>
            <w:r w:rsidRPr="00733CD7">
              <w:rPr>
                <w:rFonts w:eastAsia="Times New Roman" w:cstheme="minorHAnsi"/>
                <w:b/>
                <w:bCs/>
                <w:lang w:eastAsia="en-ZA"/>
              </w:rPr>
              <w:t>6.1%</w:t>
            </w:r>
          </w:p>
        </w:tc>
        <w:tc>
          <w:tcPr>
            <w:tcW w:w="1981" w:type="dxa"/>
            <w:tcBorders>
              <w:top w:val="single" w:sz="4" w:space="0" w:color="auto"/>
              <w:left w:val="single" w:sz="4" w:space="0" w:color="auto"/>
              <w:bottom w:val="single" w:sz="4" w:space="0" w:color="auto"/>
              <w:right w:val="single" w:sz="4" w:space="0" w:color="auto"/>
            </w:tcBorders>
            <w:shd w:val="clear" w:color="auto" w:fill="BFD730" w:themeFill="accent3"/>
            <w:vAlign w:val="bottom"/>
          </w:tcPr>
          <w:p w14:paraId="170600D9" w14:textId="77777777" w:rsidR="00733CD7" w:rsidRPr="00733CD7" w:rsidRDefault="00733CD7" w:rsidP="00733CD7">
            <w:pPr>
              <w:spacing w:after="0" w:line="240" w:lineRule="auto"/>
              <w:jc w:val="center"/>
              <w:rPr>
                <w:rFonts w:eastAsia="Times New Roman" w:cstheme="minorHAnsi"/>
                <w:b/>
                <w:bCs/>
                <w:lang w:eastAsia="en-ZA"/>
              </w:rPr>
            </w:pPr>
            <w:r w:rsidRPr="00733CD7">
              <w:rPr>
                <w:rFonts w:eastAsia="Times New Roman" w:cstheme="minorHAnsi"/>
                <w:b/>
                <w:bCs/>
                <w:lang w:eastAsia="en-ZA"/>
              </w:rPr>
              <w:t>1.4%</w:t>
            </w:r>
          </w:p>
        </w:tc>
        <w:tc>
          <w:tcPr>
            <w:tcW w:w="1932" w:type="dxa"/>
            <w:tcBorders>
              <w:top w:val="single" w:sz="4" w:space="0" w:color="auto"/>
              <w:left w:val="single" w:sz="4" w:space="0" w:color="auto"/>
              <w:bottom w:val="single" w:sz="4" w:space="0" w:color="auto"/>
              <w:right w:val="single" w:sz="4" w:space="0" w:color="auto"/>
            </w:tcBorders>
            <w:shd w:val="clear" w:color="auto" w:fill="BFD730" w:themeFill="accent3"/>
            <w:vAlign w:val="bottom"/>
          </w:tcPr>
          <w:p w14:paraId="5C5B4F29" w14:textId="77777777" w:rsidR="00733CD7" w:rsidRPr="00733CD7" w:rsidRDefault="00733CD7" w:rsidP="00733CD7">
            <w:pPr>
              <w:spacing w:after="0" w:line="240" w:lineRule="auto"/>
              <w:jc w:val="center"/>
              <w:rPr>
                <w:rFonts w:eastAsia="Times New Roman" w:cstheme="minorHAnsi"/>
                <w:b/>
                <w:bCs/>
                <w:lang w:eastAsia="en-ZA"/>
              </w:rPr>
            </w:pPr>
            <w:r w:rsidRPr="00733CD7">
              <w:rPr>
                <w:rFonts w:eastAsia="Times New Roman" w:cstheme="minorHAnsi"/>
                <w:b/>
                <w:bCs/>
                <w:lang w:eastAsia="en-ZA"/>
              </w:rPr>
              <w:t>0.8%</w:t>
            </w:r>
          </w:p>
        </w:tc>
      </w:tr>
      <w:tr w:rsidR="00733CD7" w:rsidRPr="00733CD7" w14:paraId="4FF93295" w14:textId="77777777" w:rsidTr="00733CD7">
        <w:trPr>
          <w:trHeight w:val="300"/>
        </w:trPr>
        <w:tc>
          <w:tcPr>
            <w:tcW w:w="1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DB3E8E" w14:textId="77777777" w:rsidR="00733CD7" w:rsidRPr="00733CD7" w:rsidRDefault="00733CD7" w:rsidP="00733CD7">
            <w:pPr>
              <w:spacing w:after="0" w:line="240" w:lineRule="auto"/>
              <w:rPr>
                <w:rFonts w:eastAsia="Times New Roman" w:cstheme="minorHAnsi"/>
                <w:b/>
                <w:bCs/>
                <w:lang w:eastAsia="en-ZA"/>
              </w:rPr>
            </w:pPr>
            <w:r w:rsidRPr="00733CD7">
              <w:rPr>
                <w:rFonts w:eastAsia="Times New Roman" w:cstheme="minorHAnsi"/>
                <w:b/>
                <w:bCs/>
                <w:lang w:eastAsia="en-ZA"/>
              </w:rPr>
              <w:t>Mar-22</w:t>
            </w:r>
          </w:p>
        </w:tc>
        <w:tc>
          <w:tcPr>
            <w:tcW w:w="1758" w:type="dxa"/>
            <w:tcBorders>
              <w:top w:val="single" w:sz="4" w:space="0" w:color="auto"/>
              <w:left w:val="single" w:sz="4" w:space="0" w:color="auto"/>
              <w:bottom w:val="single" w:sz="4" w:space="0" w:color="auto"/>
              <w:right w:val="single" w:sz="4" w:space="0" w:color="auto"/>
            </w:tcBorders>
            <w:shd w:val="clear" w:color="auto" w:fill="BFD730" w:themeFill="accent3"/>
            <w:vAlign w:val="bottom"/>
          </w:tcPr>
          <w:p w14:paraId="72FB9AFC" w14:textId="4B2377E9" w:rsidR="00733CD7" w:rsidRPr="00733CD7" w:rsidRDefault="00733CD7" w:rsidP="00733CD7">
            <w:pPr>
              <w:spacing w:after="0" w:line="240" w:lineRule="auto"/>
              <w:jc w:val="center"/>
              <w:rPr>
                <w:rFonts w:eastAsia="Times New Roman" w:cstheme="minorHAnsi"/>
                <w:b/>
                <w:bCs/>
                <w:lang w:eastAsia="en-ZA"/>
              </w:rPr>
            </w:pPr>
            <w:r w:rsidRPr="00733CD7">
              <w:rPr>
                <w:rFonts w:eastAsia="Times New Roman" w:cstheme="minorHAnsi"/>
                <w:b/>
                <w:bCs/>
                <w:lang w:eastAsia="en-ZA"/>
              </w:rPr>
              <w:t xml:space="preserve">135.1 </w:t>
            </w:r>
          </w:p>
        </w:tc>
        <w:tc>
          <w:tcPr>
            <w:tcW w:w="2105" w:type="dxa"/>
            <w:tcBorders>
              <w:top w:val="single" w:sz="4" w:space="0" w:color="auto"/>
              <w:left w:val="single" w:sz="4" w:space="0" w:color="auto"/>
              <w:bottom w:val="single" w:sz="4" w:space="0" w:color="auto"/>
              <w:right w:val="single" w:sz="4" w:space="0" w:color="auto"/>
            </w:tcBorders>
            <w:shd w:val="clear" w:color="auto" w:fill="F58220" w:themeFill="accent1"/>
            <w:vAlign w:val="bottom"/>
          </w:tcPr>
          <w:p w14:paraId="3975A7BD" w14:textId="77777777" w:rsidR="00733CD7" w:rsidRPr="00733CD7" w:rsidRDefault="00733CD7" w:rsidP="00733CD7">
            <w:pPr>
              <w:spacing w:after="0" w:line="240" w:lineRule="auto"/>
              <w:jc w:val="center"/>
              <w:rPr>
                <w:rFonts w:eastAsia="Times New Roman" w:cstheme="minorHAnsi"/>
                <w:b/>
                <w:bCs/>
                <w:lang w:eastAsia="en-ZA"/>
              </w:rPr>
            </w:pPr>
            <w:r w:rsidRPr="00733CD7">
              <w:rPr>
                <w:rFonts w:eastAsia="Times New Roman" w:cstheme="minorHAnsi"/>
                <w:b/>
                <w:bCs/>
                <w:lang w:eastAsia="en-ZA"/>
              </w:rPr>
              <w:t>5.8%</w:t>
            </w:r>
          </w:p>
        </w:tc>
        <w:tc>
          <w:tcPr>
            <w:tcW w:w="1981" w:type="dxa"/>
            <w:tcBorders>
              <w:top w:val="single" w:sz="4" w:space="0" w:color="auto"/>
              <w:left w:val="single" w:sz="4" w:space="0" w:color="auto"/>
              <w:bottom w:val="single" w:sz="4" w:space="0" w:color="auto"/>
              <w:right w:val="single" w:sz="4" w:space="0" w:color="auto"/>
            </w:tcBorders>
            <w:shd w:val="clear" w:color="auto" w:fill="BFD730" w:themeFill="accent3"/>
            <w:vAlign w:val="bottom"/>
          </w:tcPr>
          <w:p w14:paraId="71B0D09A" w14:textId="77777777" w:rsidR="00733CD7" w:rsidRPr="00733CD7" w:rsidRDefault="00733CD7" w:rsidP="00733CD7">
            <w:pPr>
              <w:spacing w:after="0" w:line="240" w:lineRule="auto"/>
              <w:jc w:val="center"/>
              <w:rPr>
                <w:rFonts w:eastAsia="Times New Roman" w:cstheme="minorHAnsi"/>
                <w:b/>
                <w:bCs/>
                <w:lang w:eastAsia="en-ZA"/>
              </w:rPr>
            </w:pPr>
            <w:r w:rsidRPr="00733CD7">
              <w:rPr>
                <w:rFonts w:eastAsia="Times New Roman" w:cstheme="minorHAnsi"/>
                <w:b/>
                <w:bCs/>
                <w:lang w:eastAsia="en-ZA"/>
              </w:rPr>
              <w:t>2.4%</w:t>
            </w:r>
          </w:p>
        </w:tc>
        <w:tc>
          <w:tcPr>
            <w:tcW w:w="1932" w:type="dxa"/>
            <w:tcBorders>
              <w:top w:val="single" w:sz="4" w:space="0" w:color="auto"/>
              <w:left w:val="single" w:sz="4" w:space="0" w:color="auto"/>
              <w:bottom w:val="single" w:sz="4" w:space="0" w:color="auto"/>
              <w:right w:val="single" w:sz="4" w:space="0" w:color="auto"/>
            </w:tcBorders>
            <w:shd w:val="clear" w:color="auto" w:fill="BFD730" w:themeFill="accent3"/>
            <w:vAlign w:val="bottom"/>
          </w:tcPr>
          <w:p w14:paraId="273FA712" w14:textId="77777777" w:rsidR="00733CD7" w:rsidRPr="00733CD7" w:rsidRDefault="00733CD7" w:rsidP="00733CD7">
            <w:pPr>
              <w:spacing w:after="0" w:line="240" w:lineRule="auto"/>
              <w:jc w:val="center"/>
              <w:rPr>
                <w:rFonts w:eastAsia="Times New Roman" w:cstheme="minorHAnsi"/>
                <w:b/>
                <w:bCs/>
                <w:lang w:eastAsia="en-ZA"/>
              </w:rPr>
            </w:pPr>
            <w:r w:rsidRPr="00733CD7">
              <w:rPr>
                <w:rFonts w:eastAsia="Times New Roman" w:cstheme="minorHAnsi"/>
                <w:b/>
                <w:bCs/>
                <w:lang w:eastAsia="en-ZA"/>
              </w:rPr>
              <w:t>1.0%</w:t>
            </w:r>
          </w:p>
        </w:tc>
      </w:tr>
      <w:tr w:rsidR="00733CD7" w:rsidRPr="00733CD7" w14:paraId="446016B4" w14:textId="77777777" w:rsidTr="00733CD7">
        <w:trPr>
          <w:trHeight w:val="300"/>
        </w:trPr>
        <w:tc>
          <w:tcPr>
            <w:tcW w:w="1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165E30" w14:textId="77777777" w:rsidR="00733CD7" w:rsidRPr="00733CD7" w:rsidRDefault="00733CD7" w:rsidP="00733CD7">
            <w:pPr>
              <w:spacing w:after="0" w:line="240" w:lineRule="auto"/>
              <w:rPr>
                <w:rFonts w:eastAsia="Times New Roman" w:cstheme="minorHAnsi"/>
                <w:b/>
                <w:bCs/>
                <w:lang w:eastAsia="en-ZA"/>
              </w:rPr>
            </w:pPr>
            <w:r w:rsidRPr="00733CD7">
              <w:rPr>
                <w:rFonts w:eastAsia="Times New Roman" w:cstheme="minorHAnsi"/>
                <w:b/>
                <w:bCs/>
                <w:lang w:eastAsia="en-ZA"/>
              </w:rPr>
              <w:lastRenderedPageBreak/>
              <w:t>Apr-22</w:t>
            </w:r>
          </w:p>
        </w:tc>
        <w:tc>
          <w:tcPr>
            <w:tcW w:w="1758" w:type="dxa"/>
            <w:tcBorders>
              <w:top w:val="single" w:sz="4" w:space="0" w:color="auto"/>
              <w:left w:val="single" w:sz="4" w:space="0" w:color="auto"/>
              <w:bottom w:val="single" w:sz="4" w:space="0" w:color="auto"/>
              <w:right w:val="single" w:sz="4" w:space="0" w:color="auto"/>
            </w:tcBorders>
            <w:shd w:val="clear" w:color="auto" w:fill="BFD730" w:themeFill="accent3"/>
            <w:vAlign w:val="bottom"/>
          </w:tcPr>
          <w:p w14:paraId="43282C08" w14:textId="2ABBF465" w:rsidR="00733CD7" w:rsidRPr="00733CD7" w:rsidRDefault="00733CD7" w:rsidP="00733CD7">
            <w:pPr>
              <w:spacing w:after="0" w:line="240" w:lineRule="auto"/>
              <w:jc w:val="center"/>
              <w:rPr>
                <w:rFonts w:eastAsia="Times New Roman" w:cstheme="minorHAnsi"/>
                <w:b/>
                <w:bCs/>
                <w:lang w:eastAsia="en-ZA"/>
              </w:rPr>
            </w:pPr>
            <w:r w:rsidRPr="00733CD7">
              <w:rPr>
                <w:rFonts w:eastAsia="Times New Roman" w:cstheme="minorHAnsi"/>
                <w:b/>
                <w:bCs/>
                <w:lang w:eastAsia="en-ZA"/>
              </w:rPr>
              <w:t xml:space="preserve">137.7 </w:t>
            </w:r>
          </w:p>
        </w:tc>
        <w:tc>
          <w:tcPr>
            <w:tcW w:w="2105" w:type="dxa"/>
            <w:tcBorders>
              <w:top w:val="single" w:sz="4" w:space="0" w:color="auto"/>
              <w:left w:val="single" w:sz="4" w:space="0" w:color="auto"/>
              <w:bottom w:val="single" w:sz="4" w:space="0" w:color="auto"/>
              <w:right w:val="single" w:sz="4" w:space="0" w:color="auto"/>
            </w:tcBorders>
            <w:shd w:val="clear" w:color="auto" w:fill="F58220" w:themeFill="accent1"/>
            <w:vAlign w:val="bottom"/>
          </w:tcPr>
          <w:p w14:paraId="772E0B84" w14:textId="77777777" w:rsidR="00733CD7" w:rsidRPr="00733CD7" w:rsidRDefault="00733CD7" w:rsidP="00733CD7">
            <w:pPr>
              <w:spacing w:after="0" w:line="240" w:lineRule="auto"/>
              <w:jc w:val="center"/>
              <w:rPr>
                <w:rFonts w:eastAsia="Times New Roman" w:cstheme="minorHAnsi"/>
                <w:b/>
                <w:bCs/>
                <w:lang w:eastAsia="en-ZA"/>
              </w:rPr>
            </w:pPr>
            <w:r w:rsidRPr="00733CD7">
              <w:rPr>
                <w:rFonts w:eastAsia="Times New Roman" w:cstheme="minorHAnsi"/>
                <w:b/>
                <w:bCs/>
                <w:lang w:eastAsia="en-ZA"/>
              </w:rPr>
              <w:t>4.9%</w:t>
            </w:r>
          </w:p>
        </w:tc>
        <w:tc>
          <w:tcPr>
            <w:tcW w:w="1981" w:type="dxa"/>
            <w:tcBorders>
              <w:top w:val="single" w:sz="4" w:space="0" w:color="auto"/>
              <w:left w:val="single" w:sz="4" w:space="0" w:color="auto"/>
              <w:bottom w:val="single" w:sz="4" w:space="0" w:color="auto"/>
              <w:right w:val="single" w:sz="4" w:space="0" w:color="auto"/>
            </w:tcBorders>
            <w:shd w:val="clear" w:color="auto" w:fill="BFD730" w:themeFill="accent3"/>
            <w:vAlign w:val="bottom"/>
          </w:tcPr>
          <w:p w14:paraId="3C7CB446" w14:textId="77777777" w:rsidR="00733CD7" w:rsidRPr="00733CD7" w:rsidRDefault="00733CD7" w:rsidP="00733CD7">
            <w:pPr>
              <w:spacing w:after="0" w:line="240" w:lineRule="auto"/>
              <w:jc w:val="center"/>
              <w:rPr>
                <w:rFonts w:eastAsia="Times New Roman" w:cstheme="minorHAnsi"/>
                <w:b/>
                <w:bCs/>
                <w:lang w:eastAsia="en-ZA"/>
              </w:rPr>
            </w:pPr>
            <w:r w:rsidRPr="00733CD7">
              <w:rPr>
                <w:rFonts w:eastAsia="Times New Roman" w:cstheme="minorHAnsi"/>
                <w:b/>
                <w:bCs/>
                <w:lang w:eastAsia="en-ZA"/>
              </w:rPr>
              <w:t>2.9%</w:t>
            </w:r>
          </w:p>
        </w:tc>
        <w:tc>
          <w:tcPr>
            <w:tcW w:w="1932" w:type="dxa"/>
            <w:tcBorders>
              <w:top w:val="single" w:sz="4" w:space="0" w:color="auto"/>
              <w:left w:val="single" w:sz="4" w:space="0" w:color="auto"/>
              <w:bottom w:val="single" w:sz="4" w:space="0" w:color="auto"/>
              <w:right w:val="single" w:sz="4" w:space="0" w:color="auto"/>
            </w:tcBorders>
            <w:shd w:val="clear" w:color="auto" w:fill="BFD730" w:themeFill="accent3"/>
            <w:vAlign w:val="bottom"/>
          </w:tcPr>
          <w:p w14:paraId="171CBBDF" w14:textId="77777777" w:rsidR="00733CD7" w:rsidRPr="00733CD7" w:rsidRDefault="00733CD7" w:rsidP="00733CD7">
            <w:pPr>
              <w:spacing w:after="0" w:line="240" w:lineRule="auto"/>
              <w:jc w:val="center"/>
              <w:rPr>
                <w:rFonts w:eastAsia="Times New Roman" w:cstheme="minorHAnsi"/>
                <w:b/>
                <w:bCs/>
                <w:lang w:eastAsia="en-ZA"/>
              </w:rPr>
            </w:pPr>
            <w:r w:rsidRPr="00733CD7">
              <w:rPr>
                <w:rFonts w:eastAsia="Times New Roman" w:cstheme="minorHAnsi"/>
                <w:b/>
                <w:bCs/>
                <w:lang w:eastAsia="en-ZA"/>
              </w:rPr>
              <w:t>1.9%</w:t>
            </w:r>
          </w:p>
        </w:tc>
      </w:tr>
      <w:tr w:rsidR="00733CD7" w:rsidRPr="00733CD7" w14:paraId="1359A67F" w14:textId="77777777" w:rsidTr="00733CD7">
        <w:trPr>
          <w:trHeight w:val="300"/>
        </w:trPr>
        <w:tc>
          <w:tcPr>
            <w:tcW w:w="1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53D62D" w14:textId="77777777" w:rsidR="00733CD7" w:rsidRPr="00733CD7" w:rsidRDefault="00733CD7" w:rsidP="00733CD7">
            <w:pPr>
              <w:spacing w:after="0" w:line="240" w:lineRule="auto"/>
              <w:rPr>
                <w:rFonts w:eastAsia="Times New Roman" w:cstheme="minorHAnsi"/>
                <w:b/>
                <w:bCs/>
                <w:lang w:eastAsia="en-ZA"/>
              </w:rPr>
            </w:pPr>
            <w:r w:rsidRPr="00733CD7">
              <w:rPr>
                <w:rFonts w:eastAsia="Times New Roman" w:cstheme="minorHAnsi"/>
                <w:b/>
                <w:bCs/>
                <w:lang w:eastAsia="en-ZA"/>
              </w:rPr>
              <w:t>May-22</w:t>
            </w:r>
          </w:p>
        </w:tc>
        <w:tc>
          <w:tcPr>
            <w:tcW w:w="1758" w:type="dxa"/>
            <w:tcBorders>
              <w:top w:val="single" w:sz="4" w:space="0" w:color="auto"/>
              <w:left w:val="single" w:sz="4" w:space="0" w:color="auto"/>
              <w:bottom w:val="single" w:sz="4" w:space="0" w:color="auto"/>
              <w:right w:val="single" w:sz="4" w:space="0" w:color="auto"/>
            </w:tcBorders>
            <w:shd w:val="clear" w:color="auto" w:fill="BFD730" w:themeFill="accent3"/>
            <w:vAlign w:val="bottom"/>
          </w:tcPr>
          <w:p w14:paraId="6C4C4D91" w14:textId="079B9CDD" w:rsidR="00733CD7" w:rsidRPr="00733CD7" w:rsidRDefault="00733CD7" w:rsidP="00733CD7">
            <w:pPr>
              <w:spacing w:after="0" w:line="240" w:lineRule="auto"/>
              <w:jc w:val="center"/>
              <w:rPr>
                <w:rFonts w:eastAsia="Times New Roman" w:cstheme="minorHAnsi"/>
                <w:b/>
                <w:bCs/>
                <w:lang w:eastAsia="en-ZA"/>
              </w:rPr>
            </w:pPr>
            <w:r w:rsidRPr="00733CD7">
              <w:rPr>
                <w:rFonts w:eastAsia="Times New Roman" w:cstheme="minorHAnsi"/>
                <w:b/>
                <w:bCs/>
                <w:lang w:eastAsia="en-ZA"/>
              </w:rPr>
              <w:t xml:space="preserve">143.0 </w:t>
            </w:r>
          </w:p>
        </w:tc>
        <w:tc>
          <w:tcPr>
            <w:tcW w:w="2105" w:type="dxa"/>
            <w:tcBorders>
              <w:top w:val="single" w:sz="4" w:space="0" w:color="auto"/>
              <w:left w:val="single" w:sz="4" w:space="0" w:color="auto"/>
              <w:bottom w:val="single" w:sz="4" w:space="0" w:color="auto"/>
              <w:right w:val="single" w:sz="4" w:space="0" w:color="auto"/>
            </w:tcBorders>
            <w:shd w:val="clear" w:color="auto" w:fill="F58220" w:themeFill="accent1"/>
            <w:vAlign w:val="bottom"/>
          </w:tcPr>
          <w:p w14:paraId="4648AFFB" w14:textId="77777777" w:rsidR="00733CD7" w:rsidRPr="00733CD7" w:rsidRDefault="00733CD7" w:rsidP="00733CD7">
            <w:pPr>
              <w:spacing w:after="0" w:line="240" w:lineRule="auto"/>
              <w:jc w:val="center"/>
              <w:rPr>
                <w:rFonts w:eastAsia="Times New Roman" w:cstheme="minorHAnsi"/>
                <w:b/>
                <w:bCs/>
                <w:lang w:eastAsia="en-ZA"/>
              </w:rPr>
            </w:pPr>
            <w:r w:rsidRPr="00733CD7">
              <w:rPr>
                <w:rFonts w:eastAsia="Times New Roman" w:cstheme="minorHAnsi"/>
                <w:b/>
                <w:bCs/>
                <w:lang w:eastAsia="en-ZA"/>
              </w:rPr>
              <w:t>9.4%</w:t>
            </w:r>
          </w:p>
        </w:tc>
        <w:tc>
          <w:tcPr>
            <w:tcW w:w="1981" w:type="dxa"/>
            <w:tcBorders>
              <w:top w:val="single" w:sz="4" w:space="0" w:color="auto"/>
              <w:left w:val="single" w:sz="4" w:space="0" w:color="auto"/>
              <w:bottom w:val="single" w:sz="4" w:space="0" w:color="auto"/>
              <w:right w:val="single" w:sz="4" w:space="0" w:color="auto"/>
            </w:tcBorders>
            <w:shd w:val="clear" w:color="auto" w:fill="BFD730" w:themeFill="accent3"/>
            <w:vAlign w:val="bottom"/>
          </w:tcPr>
          <w:p w14:paraId="6D941735" w14:textId="77777777" w:rsidR="00733CD7" w:rsidRPr="00733CD7" w:rsidRDefault="00733CD7" w:rsidP="00733CD7">
            <w:pPr>
              <w:spacing w:after="0" w:line="240" w:lineRule="auto"/>
              <w:jc w:val="center"/>
              <w:rPr>
                <w:rFonts w:eastAsia="Times New Roman" w:cstheme="minorHAnsi"/>
                <w:b/>
                <w:bCs/>
                <w:lang w:eastAsia="en-ZA"/>
              </w:rPr>
            </w:pPr>
            <w:r w:rsidRPr="00733CD7">
              <w:rPr>
                <w:rFonts w:eastAsia="Times New Roman" w:cstheme="minorHAnsi"/>
                <w:b/>
                <w:bCs/>
                <w:lang w:eastAsia="en-ZA"/>
              </w:rPr>
              <w:t>4.7%</w:t>
            </w:r>
          </w:p>
        </w:tc>
        <w:tc>
          <w:tcPr>
            <w:tcW w:w="1932" w:type="dxa"/>
            <w:tcBorders>
              <w:top w:val="single" w:sz="4" w:space="0" w:color="auto"/>
              <w:left w:val="single" w:sz="4" w:space="0" w:color="auto"/>
              <w:bottom w:val="single" w:sz="4" w:space="0" w:color="auto"/>
              <w:right w:val="single" w:sz="4" w:space="0" w:color="auto"/>
            </w:tcBorders>
            <w:shd w:val="clear" w:color="auto" w:fill="BFD730" w:themeFill="accent3"/>
            <w:vAlign w:val="bottom"/>
          </w:tcPr>
          <w:p w14:paraId="654B4317" w14:textId="77777777" w:rsidR="00733CD7" w:rsidRPr="00733CD7" w:rsidRDefault="00733CD7" w:rsidP="00733CD7">
            <w:pPr>
              <w:spacing w:after="0" w:line="240" w:lineRule="auto"/>
              <w:jc w:val="center"/>
              <w:rPr>
                <w:rFonts w:eastAsia="Times New Roman" w:cstheme="minorHAnsi"/>
                <w:b/>
                <w:bCs/>
                <w:lang w:eastAsia="en-ZA"/>
              </w:rPr>
            </w:pPr>
            <w:r w:rsidRPr="00733CD7">
              <w:rPr>
                <w:rFonts w:eastAsia="Times New Roman" w:cstheme="minorHAnsi"/>
                <w:b/>
                <w:bCs/>
                <w:lang w:eastAsia="en-ZA"/>
              </w:rPr>
              <w:t>3.8%</w:t>
            </w:r>
          </w:p>
        </w:tc>
      </w:tr>
      <w:tr w:rsidR="00733CD7" w:rsidRPr="00733CD7" w14:paraId="3003EF21" w14:textId="77777777" w:rsidTr="00733CD7">
        <w:trPr>
          <w:trHeight w:val="300"/>
        </w:trPr>
        <w:tc>
          <w:tcPr>
            <w:tcW w:w="18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550125" w14:textId="77777777" w:rsidR="00733CD7" w:rsidRPr="00733CD7" w:rsidRDefault="00733CD7" w:rsidP="00733CD7">
            <w:pPr>
              <w:spacing w:after="0" w:line="240" w:lineRule="auto"/>
              <w:rPr>
                <w:rFonts w:eastAsia="Times New Roman" w:cstheme="minorHAnsi"/>
                <w:b/>
                <w:bCs/>
                <w:lang w:eastAsia="en-ZA"/>
              </w:rPr>
            </w:pPr>
            <w:r w:rsidRPr="00733CD7">
              <w:rPr>
                <w:rFonts w:eastAsia="Times New Roman" w:cstheme="minorHAnsi"/>
                <w:b/>
                <w:bCs/>
                <w:lang w:eastAsia="en-ZA"/>
              </w:rPr>
              <w:t>Jun-22</w:t>
            </w:r>
          </w:p>
        </w:tc>
        <w:tc>
          <w:tcPr>
            <w:tcW w:w="1758" w:type="dxa"/>
            <w:tcBorders>
              <w:top w:val="single" w:sz="4" w:space="0" w:color="auto"/>
              <w:left w:val="single" w:sz="4" w:space="0" w:color="auto"/>
              <w:bottom w:val="single" w:sz="4" w:space="0" w:color="auto"/>
              <w:right w:val="single" w:sz="4" w:space="0" w:color="auto"/>
            </w:tcBorders>
            <w:shd w:val="clear" w:color="auto" w:fill="BFD730" w:themeFill="accent3"/>
            <w:vAlign w:val="bottom"/>
          </w:tcPr>
          <w:p w14:paraId="6519CC52" w14:textId="77DD7969" w:rsidR="00733CD7" w:rsidRPr="00733CD7" w:rsidRDefault="00733CD7" w:rsidP="00733CD7">
            <w:pPr>
              <w:spacing w:after="0" w:line="240" w:lineRule="auto"/>
              <w:jc w:val="center"/>
              <w:rPr>
                <w:rFonts w:eastAsia="Times New Roman" w:cstheme="minorHAnsi"/>
                <w:b/>
                <w:bCs/>
                <w:lang w:eastAsia="en-ZA"/>
              </w:rPr>
            </w:pPr>
            <w:r w:rsidRPr="00733CD7">
              <w:rPr>
                <w:rFonts w:eastAsia="Times New Roman" w:cstheme="minorHAnsi"/>
                <w:b/>
                <w:bCs/>
                <w:lang w:eastAsia="en-ZA"/>
              </w:rPr>
              <w:t xml:space="preserve">136.7 </w:t>
            </w:r>
          </w:p>
        </w:tc>
        <w:tc>
          <w:tcPr>
            <w:tcW w:w="2105" w:type="dxa"/>
            <w:tcBorders>
              <w:top w:val="single" w:sz="4" w:space="0" w:color="auto"/>
              <w:left w:val="single" w:sz="4" w:space="0" w:color="auto"/>
              <w:bottom w:val="single" w:sz="4" w:space="0" w:color="auto"/>
              <w:right w:val="single" w:sz="4" w:space="0" w:color="auto"/>
            </w:tcBorders>
            <w:shd w:val="clear" w:color="auto" w:fill="F58220" w:themeFill="accent1"/>
            <w:vAlign w:val="bottom"/>
          </w:tcPr>
          <w:p w14:paraId="29C04493" w14:textId="77777777" w:rsidR="00733CD7" w:rsidRPr="00733CD7" w:rsidRDefault="00733CD7" w:rsidP="00733CD7">
            <w:pPr>
              <w:spacing w:after="0" w:line="240" w:lineRule="auto"/>
              <w:jc w:val="center"/>
              <w:rPr>
                <w:rFonts w:eastAsia="Times New Roman" w:cstheme="minorHAnsi"/>
                <w:b/>
                <w:bCs/>
                <w:lang w:eastAsia="en-ZA"/>
              </w:rPr>
            </w:pPr>
            <w:r w:rsidRPr="00733CD7">
              <w:rPr>
                <w:rFonts w:eastAsia="Times New Roman" w:cstheme="minorHAnsi"/>
                <w:b/>
                <w:bCs/>
                <w:lang w:eastAsia="en-ZA"/>
              </w:rPr>
              <w:t>5.3%</w:t>
            </w:r>
          </w:p>
        </w:tc>
        <w:tc>
          <w:tcPr>
            <w:tcW w:w="1981" w:type="dxa"/>
            <w:tcBorders>
              <w:top w:val="single" w:sz="4" w:space="0" w:color="auto"/>
              <w:left w:val="single" w:sz="4" w:space="0" w:color="auto"/>
              <w:bottom w:val="single" w:sz="4" w:space="0" w:color="auto"/>
              <w:right w:val="single" w:sz="4" w:space="0" w:color="auto"/>
            </w:tcBorders>
            <w:shd w:val="clear" w:color="auto" w:fill="BFD730" w:themeFill="accent3"/>
            <w:vAlign w:val="bottom"/>
          </w:tcPr>
          <w:p w14:paraId="50138CA0" w14:textId="77777777" w:rsidR="00733CD7" w:rsidRPr="00733CD7" w:rsidRDefault="00733CD7" w:rsidP="00733CD7">
            <w:pPr>
              <w:spacing w:after="0" w:line="240" w:lineRule="auto"/>
              <w:jc w:val="center"/>
              <w:rPr>
                <w:rFonts w:eastAsia="Times New Roman" w:cstheme="minorHAnsi"/>
                <w:b/>
                <w:bCs/>
                <w:lang w:eastAsia="en-ZA"/>
              </w:rPr>
            </w:pPr>
            <w:r w:rsidRPr="00733CD7">
              <w:rPr>
                <w:rFonts w:eastAsia="Times New Roman" w:cstheme="minorHAnsi"/>
                <w:b/>
                <w:bCs/>
                <w:lang w:eastAsia="en-ZA"/>
              </w:rPr>
              <w:t>3.9%</w:t>
            </w:r>
          </w:p>
        </w:tc>
        <w:tc>
          <w:tcPr>
            <w:tcW w:w="1932" w:type="dxa"/>
            <w:tcBorders>
              <w:top w:val="single" w:sz="4" w:space="0" w:color="auto"/>
              <w:left w:val="single" w:sz="4" w:space="0" w:color="auto"/>
              <w:bottom w:val="single" w:sz="4" w:space="0" w:color="auto"/>
              <w:right w:val="single" w:sz="4" w:space="0" w:color="auto"/>
            </w:tcBorders>
            <w:shd w:val="clear" w:color="auto" w:fill="BFD730" w:themeFill="accent3"/>
            <w:vAlign w:val="bottom"/>
          </w:tcPr>
          <w:p w14:paraId="1906AC12" w14:textId="77777777" w:rsidR="00733CD7" w:rsidRPr="00733CD7" w:rsidRDefault="00733CD7" w:rsidP="00733CD7">
            <w:pPr>
              <w:spacing w:after="0" w:line="240" w:lineRule="auto"/>
              <w:jc w:val="center"/>
              <w:rPr>
                <w:rFonts w:eastAsia="Times New Roman" w:cstheme="minorHAnsi"/>
                <w:b/>
                <w:bCs/>
                <w:lang w:eastAsia="en-ZA"/>
              </w:rPr>
            </w:pPr>
            <w:r w:rsidRPr="00733CD7">
              <w:rPr>
                <w:rFonts w:eastAsia="Times New Roman" w:cstheme="minorHAnsi"/>
                <w:b/>
                <w:bCs/>
                <w:lang w:eastAsia="en-ZA"/>
              </w:rPr>
              <w:t>-4.4%</w:t>
            </w:r>
          </w:p>
        </w:tc>
      </w:tr>
    </w:tbl>
    <w:p w14:paraId="15A73E37" w14:textId="6025DE2A" w:rsidR="002A6335" w:rsidRPr="009E6F22" w:rsidRDefault="002A6335" w:rsidP="002A6335">
      <w:pPr>
        <w:rPr>
          <w:i/>
        </w:rPr>
      </w:pPr>
      <w:r w:rsidRPr="00476742">
        <w:rPr>
          <w:i/>
        </w:rPr>
        <w:t xml:space="preserve">Source: BankservAfrica and </w:t>
      </w:r>
      <w:r>
        <w:rPr>
          <w:i/>
        </w:rPr>
        <w:t>E</w:t>
      </w:r>
      <w:r w:rsidRPr="00476742">
        <w:rPr>
          <w:i/>
        </w:rPr>
        <w:t>conomists</w:t>
      </w:r>
      <w:r>
        <w:rPr>
          <w:i/>
        </w:rPr>
        <w:t>.</w:t>
      </w:r>
      <w:r w:rsidRPr="00476742">
        <w:rPr>
          <w:i/>
        </w:rPr>
        <w:t>co</w:t>
      </w:r>
      <w:r>
        <w:rPr>
          <w:i/>
        </w:rPr>
        <w:t>.</w:t>
      </w:r>
      <w:r w:rsidRPr="00476742">
        <w:rPr>
          <w:i/>
        </w:rPr>
        <w:t>za</w:t>
      </w:r>
    </w:p>
    <w:p w14:paraId="0BAFA71B" w14:textId="77777777" w:rsidR="002A6335" w:rsidRDefault="002A6335" w:rsidP="007E3BFC">
      <w:pPr>
        <w:spacing w:after="0" w:line="240" w:lineRule="auto"/>
        <w:rPr>
          <w:b/>
        </w:rPr>
      </w:pPr>
    </w:p>
    <w:p w14:paraId="63123F8F" w14:textId="2EB236F7" w:rsidR="00F16372" w:rsidRDefault="007E3BFC" w:rsidP="007E3BFC">
      <w:pPr>
        <w:spacing w:after="0" w:line="240" w:lineRule="auto"/>
        <w:rPr>
          <w:b/>
        </w:rPr>
      </w:pPr>
      <w:r w:rsidRPr="002E23DD">
        <w:rPr>
          <w:b/>
        </w:rPr>
        <w:t xml:space="preserve">Table 2: The </w:t>
      </w:r>
      <w:r>
        <w:rPr>
          <w:b/>
        </w:rPr>
        <w:t xml:space="preserve">volume and average value of transactions and the standardised BETI in nominal terms </w:t>
      </w:r>
    </w:p>
    <w:tbl>
      <w:tblPr>
        <w:tblW w:w="9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2504"/>
        <w:gridCol w:w="2040"/>
        <w:gridCol w:w="1901"/>
        <w:gridCol w:w="1901"/>
      </w:tblGrid>
      <w:tr w:rsidR="009E6F22" w:rsidRPr="009E6F22" w14:paraId="20A58945" w14:textId="77777777" w:rsidTr="006673C7">
        <w:trPr>
          <w:trHeight w:val="1106"/>
        </w:trPr>
        <w:tc>
          <w:tcPr>
            <w:tcW w:w="1600" w:type="dxa"/>
            <w:shd w:val="clear" w:color="auto" w:fill="auto"/>
            <w:noWrap/>
            <w:vAlign w:val="bottom"/>
            <w:hideMark/>
          </w:tcPr>
          <w:p w14:paraId="0E86756F" w14:textId="77777777" w:rsidR="009E6F22" w:rsidRPr="009E6F22" w:rsidRDefault="009E6F22" w:rsidP="009E6F22">
            <w:pPr>
              <w:spacing w:after="0" w:line="240" w:lineRule="auto"/>
              <w:rPr>
                <w:rFonts w:ascii="Times New Roman" w:eastAsia="Times New Roman" w:hAnsi="Times New Roman" w:cs="Times New Roman"/>
                <w:sz w:val="24"/>
                <w:szCs w:val="24"/>
                <w:lang w:eastAsia="en-ZA"/>
              </w:rPr>
            </w:pPr>
          </w:p>
        </w:tc>
        <w:tc>
          <w:tcPr>
            <w:tcW w:w="2504" w:type="dxa"/>
            <w:shd w:val="clear" w:color="auto" w:fill="F58220" w:themeFill="accent1"/>
            <w:vAlign w:val="bottom"/>
            <w:hideMark/>
          </w:tcPr>
          <w:p w14:paraId="779BB236" w14:textId="2B26007D" w:rsidR="009E6F22" w:rsidRDefault="009E6F22" w:rsidP="009E6F22">
            <w:pPr>
              <w:spacing w:after="0" w:line="240" w:lineRule="auto"/>
              <w:jc w:val="center"/>
              <w:rPr>
                <w:rFonts w:ascii="Calibri" w:eastAsia="Times New Roman" w:hAnsi="Calibri" w:cs="Calibri"/>
                <w:b/>
                <w:bCs/>
                <w:lang w:eastAsia="en-ZA"/>
              </w:rPr>
            </w:pPr>
            <w:r w:rsidRPr="009E6F22">
              <w:rPr>
                <w:rFonts w:ascii="Calibri" w:eastAsia="Times New Roman" w:hAnsi="Calibri" w:cs="Calibri"/>
                <w:b/>
                <w:bCs/>
                <w:lang w:eastAsia="en-ZA"/>
              </w:rPr>
              <w:t xml:space="preserve">Nominal </w:t>
            </w:r>
            <w:r>
              <w:rPr>
                <w:rFonts w:ascii="Calibri" w:eastAsia="Times New Roman" w:hAnsi="Calibri" w:cs="Calibri"/>
                <w:b/>
                <w:bCs/>
                <w:lang w:eastAsia="en-ZA"/>
              </w:rPr>
              <w:t>s</w:t>
            </w:r>
            <w:r w:rsidRPr="009E6F22">
              <w:rPr>
                <w:rFonts w:ascii="Calibri" w:eastAsia="Times New Roman" w:hAnsi="Calibri" w:cs="Calibri"/>
                <w:b/>
                <w:bCs/>
                <w:lang w:eastAsia="en-ZA"/>
              </w:rPr>
              <w:t>tandardi</w:t>
            </w:r>
            <w:r>
              <w:rPr>
                <w:rFonts w:ascii="Calibri" w:eastAsia="Times New Roman" w:hAnsi="Calibri" w:cs="Calibri"/>
                <w:b/>
                <w:bCs/>
                <w:lang w:eastAsia="en-ZA"/>
              </w:rPr>
              <w:t>s</w:t>
            </w:r>
            <w:r w:rsidRPr="009E6F22">
              <w:rPr>
                <w:rFonts w:ascii="Calibri" w:eastAsia="Times New Roman" w:hAnsi="Calibri" w:cs="Calibri"/>
                <w:b/>
                <w:bCs/>
                <w:lang w:eastAsia="en-ZA"/>
              </w:rPr>
              <w:t xml:space="preserve">ed </w:t>
            </w:r>
            <w:r>
              <w:rPr>
                <w:rFonts w:ascii="Calibri" w:eastAsia="Times New Roman" w:hAnsi="Calibri" w:cs="Calibri"/>
                <w:b/>
                <w:bCs/>
                <w:lang w:eastAsia="en-ZA"/>
              </w:rPr>
              <w:t>v</w:t>
            </w:r>
            <w:r w:rsidRPr="009E6F22">
              <w:rPr>
                <w:rFonts w:ascii="Calibri" w:eastAsia="Times New Roman" w:hAnsi="Calibri" w:cs="Calibri"/>
                <w:b/>
                <w:bCs/>
                <w:lang w:eastAsia="en-ZA"/>
              </w:rPr>
              <w:t xml:space="preserve">alue of </w:t>
            </w:r>
            <w:r>
              <w:rPr>
                <w:rFonts w:ascii="Calibri" w:eastAsia="Times New Roman" w:hAnsi="Calibri" w:cs="Calibri"/>
                <w:b/>
                <w:bCs/>
                <w:lang w:eastAsia="en-ZA"/>
              </w:rPr>
              <w:t>t</w:t>
            </w:r>
            <w:r w:rsidRPr="009E6F22">
              <w:rPr>
                <w:rFonts w:ascii="Calibri" w:eastAsia="Times New Roman" w:hAnsi="Calibri" w:cs="Calibri"/>
                <w:b/>
                <w:bCs/>
                <w:lang w:eastAsia="en-ZA"/>
              </w:rPr>
              <w:t>ransactions</w:t>
            </w:r>
          </w:p>
          <w:p w14:paraId="6BED7BFF" w14:textId="10BAD582" w:rsidR="007C1828" w:rsidRDefault="007C1828" w:rsidP="009E6F22">
            <w:pPr>
              <w:spacing w:after="0" w:line="240" w:lineRule="auto"/>
              <w:jc w:val="center"/>
              <w:rPr>
                <w:rFonts w:ascii="Calibri" w:eastAsia="Times New Roman" w:hAnsi="Calibri" w:cs="Calibri"/>
                <w:b/>
                <w:bCs/>
                <w:lang w:eastAsia="en-ZA"/>
              </w:rPr>
            </w:pPr>
          </w:p>
          <w:p w14:paraId="6A9D970B" w14:textId="77777777" w:rsidR="007C1828" w:rsidRDefault="007C1828" w:rsidP="009E6F22">
            <w:pPr>
              <w:spacing w:after="0" w:line="240" w:lineRule="auto"/>
              <w:jc w:val="center"/>
              <w:rPr>
                <w:rFonts w:ascii="Calibri" w:eastAsia="Times New Roman" w:hAnsi="Calibri" w:cs="Calibri"/>
                <w:b/>
                <w:bCs/>
                <w:lang w:eastAsia="en-ZA"/>
              </w:rPr>
            </w:pPr>
          </w:p>
          <w:p w14:paraId="5753E3D6" w14:textId="2B10CB1D" w:rsidR="009E6F22" w:rsidRPr="009E6F22" w:rsidRDefault="009E6F22" w:rsidP="009E6F22">
            <w:pPr>
              <w:spacing w:after="0" w:line="240" w:lineRule="auto"/>
              <w:jc w:val="center"/>
              <w:rPr>
                <w:rFonts w:ascii="Calibri" w:eastAsia="Times New Roman" w:hAnsi="Calibri" w:cs="Calibri"/>
                <w:b/>
                <w:bCs/>
                <w:lang w:eastAsia="en-ZA"/>
              </w:rPr>
            </w:pPr>
          </w:p>
        </w:tc>
        <w:tc>
          <w:tcPr>
            <w:tcW w:w="2040" w:type="dxa"/>
            <w:shd w:val="clear" w:color="auto" w:fill="BFD730"/>
            <w:vAlign w:val="bottom"/>
            <w:hideMark/>
          </w:tcPr>
          <w:p w14:paraId="644057BC" w14:textId="3AB87164" w:rsidR="009E6F22" w:rsidRDefault="009E6F22" w:rsidP="009E6F22">
            <w:pPr>
              <w:spacing w:after="0" w:line="240" w:lineRule="auto"/>
              <w:jc w:val="center"/>
              <w:rPr>
                <w:rFonts w:ascii="Calibri" w:eastAsia="Times New Roman" w:hAnsi="Calibri" w:cs="Calibri"/>
                <w:b/>
                <w:bCs/>
                <w:lang w:eastAsia="en-ZA"/>
              </w:rPr>
            </w:pPr>
            <w:r w:rsidRPr="009E6F22">
              <w:rPr>
                <w:rFonts w:ascii="Calibri" w:eastAsia="Times New Roman" w:hAnsi="Calibri" w:cs="Calibri"/>
                <w:b/>
                <w:bCs/>
                <w:lang w:eastAsia="en-ZA"/>
              </w:rPr>
              <w:t xml:space="preserve">Number of </w:t>
            </w:r>
            <w:r>
              <w:rPr>
                <w:rFonts w:ascii="Calibri" w:eastAsia="Times New Roman" w:hAnsi="Calibri" w:cs="Calibri"/>
                <w:b/>
                <w:bCs/>
                <w:lang w:eastAsia="en-ZA"/>
              </w:rPr>
              <w:t>t</w:t>
            </w:r>
            <w:r w:rsidRPr="009E6F22">
              <w:rPr>
                <w:rFonts w:ascii="Calibri" w:eastAsia="Times New Roman" w:hAnsi="Calibri" w:cs="Calibri"/>
                <w:b/>
                <w:bCs/>
                <w:lang w:eastAsia="en-ZA"/>
              </w:rPr>
              <w:t>ransactions</w:t>
            </w:r>
          </w:p>
          <w:p w14:paraId="50E2CE7C" w14:textId="28185DFD" w:rsidR="007C1828" w:rsidRDefault="007C1828" w:rsidP="009E6F22">
            <w:pPr>
              <w:spacing w:after="0" w:line="240" w:lineRule="auto"/>
              <w:jc w:val="center"/>
              <w:rPr>
                <w:rFonts w:ascii="Calibri" w:eastAsia="Times New Roman" w:hAnsi="Calibri" w:cs="Calibri"/>
                <w:b/>
                <w:bCs/>
                <w:lang w:eastAsia="en-ZA"/>
              </w:rPr>
            </w:pPr>
          </w:p>
          <w:p w14:paraId="49DA7ED0" w14:textId="77777777" w:rsidR="007C1828" w:rsidRDefault="007C1828" w:rsidP="009E6F22">
            <w:pPr>
              <w:spacing w:after="0" w:line="240" w:lineRule="auto"/>
              <w:jc w:val="center"/>
              <w:rPr>
                <w:rFonts w:ascii="Calibri" w:eastAsia="Times New Roman" w:hAnsi="Calibri" w:cs="Calibri"/>
                <w:b/>
                <w:bCs/>
                <w:lang w:eastAsia="en-ZA"/>
              </w:rPr>
            </w:pPr>
          </w:p>
          <w:p w14:paraId="485871A4" w14:textId="1372AB1B" w:rsidR="009E6F22" w:rsidRPr="009E6F22" w:rsidRDefault="009E6F22" w:rsidP="009E6F22">
            <w:pPr>
              <w:spacing w:after="0" w:line="240" w:lineRule="auto"/>
              <w:jc w:val="center"/>
              <w:rPr>
                <w:rFonts w:ascii="Calibri" w:eastAsia="Times New Roman" w:hAnsi="Calibri" w:cs="Calibri"/>
                <w:b/>
                <w:bCs/>
                <w:lang w:eastAsia="en-ZA"/>
              </w:rPr>
            </w:pPr>
          </w:p>
        </w:tc>
        <w:tc>
          <w:tcPr>
            <w:tcW w:w="1901" w:type="dxa"/>
            <w:shd w:val="clear" w:color="auto" w:fill="BFD730"/>
            <w:vAlign w:val="bottom"/>
            <w:hideMark/>
          </w:tcPr>
          <w:p w14:paraId="6FCC6440" w14:textId="5E3FCB7A" w:rsidR="009E6F22" w:rsidRDefault="009E6F22" w:rsidP="009E6F22">
            <w:pPr>
              <w:spacing w:after="0" w:line="240" w:lineRule="auto"/>
              <w:jc w:val="center"/>
              <w:rPr>
                <w:rFonts w:ascii="Calibri" w:eastAsia="Times New Roman" w:hAnsi="Calibri" w:cs="Calibri"/>
                <w:b/>
                <w:bCs/>
                <w:lang w:eastAsia="en-ZA"/>
              </w:rPr>
            </w:pPr>
            <w:r w:rsidRPr="009E6F22">
              <w:rPr>
                <w:rFonts w:ascii="Calibri" w:eastAsia="Times New Roman" w:hAnsi="Calibri" w:cs="Calibri"/>
                <w:b/>
                <w:bCs/>
                <w:lang w:eastAsia="en-ZA"/>
              </w:rPr>
              <w:t xml:space="preserve">Average </w:t>
            </w:r>
            <w:r>
              <w:rPr>
                <w:rFonts w:ascii="Calibri" w:eastAsia="Times New Roman" w:hAnsi="Calibri" w:cs="Calibri"/>
                <w:b/>
                <w:bCs/>
                <w:lang w:eastAsia="en-ZA"/>
              </w:rPr>
              <w:t>t</w:t>
            </w:r>
            <w:r w:rsidRPr="009E6F22">
              <w:rPr>
                <w:rFonts w:ascii="Calibri" w:eastAsia="Times New Roman" w:hAnsi="Calibri" w:cs="Calibri"/>
                <w:b/>
                <w:bCs/>
                <w:lang w:eastAsia="en-ZA"/>
              </w:rPr>
              <w:t xml:space="preserve">ransaction </w:t>
            </w:r>
            <w:r>
              <w:rPr>
                <w:rFonts w:ascii="Calibri" w:eastAsia="Times New Roman" w:hAnsi="Calibri" w:cs="Calibri"/>
                <w:b/>
                <w:bCs/>
                <w:lang w:eastAsia="en-ZA"/>
              </w:rPr>
              <w:t>v</w:t>
            </w:r>
            <w:r w:rsidRPr="009E6F22">
              <w:rPr>
                <w:rFonts w:ascii="Calibri" w:eastAsia="Times New Roman" w:hAnsi="Calibri" w:cs="Calibri"/>
                <w:b/>
                <w:bCs/>
                <w:lang w:eastAsia="en-ZA"/>
              </w:rPr>
              <w:t>alue</w:t>
            </w:r>
          </w:p>
          <w:p w14:paraId="506DDFF6" w14:textId="2235B5A3" w:rsidR="007C1828" w:rsidRDefault="007C1828" w:rsidP="009E6F22">
            <w:pPr>
              <w:spacing w:after="0" w:line="240" w:lineRule="auto"/>
              <w:jc w:val="center"/>
              <w:rPr>
                <w:rFonts w:ascii="Calibri" w:eastAsia="Times New Roman" w:hAnsi="Calibri" w:cs="Calibri"/>
                <w:b/>
                <w:bCs/>
                <w:lang w:eastAsia="en-ZA"/>
              </w:rPr>
            </w:pPr>
          </w:p>
          <w:p w14:paraId="0185FCD2" w14:textId="77777777" w:rsidR="007C1828" w:rsidRDefault="007C1828" w:rsidP="009E6F22">
            <w:pPr>
              <w:spacing w:after="0" w:line="240" w:lineRule="auto"/>
              <w:jc w:val="center"/>
              <w:rPr>
                <w:rFonts w:ascii="Calibri" w:eastAsia="Times New Roman" w:hAnsi="Calibri" w:cs="Calibri"/>
                <w:b/>
                <w:bCs/>
                <w:lang w:eastAsia="en-ZA"/>
              </w:rPr>
            </w:pPr>
          </w:p>
          <w:p w14:paraId="040C85CF" w14:textId="0F2ED56D" w:rsidR="009E6F22" w:rsidRPr="009E6F22" w:rsidRDefault="009E6F22" w:rsidP="009E6F22">
            <w:pPr>
              <w:spacing w:after="0" w:line="240" w:lineRule="auto"/>
              <w:jc w:val="center"/>
              <w:rPr>
                <w:rFonts w:ascii="Calibri" w:eastAsia="Times New Roman" w:hAnsi="Calibri" w:cs="Calibri"/>
                <w:b/>
                <w:bCs/>
                <w:lang w:eastAsia="en-ZA"/>
              </w:rPr>
            </w:pPr>
          </w:p>
        </w:tc>
        <w:tc>
          <w:tcPr>
            <w:tcW w:w="1901" w:type="dxa"/>
            <w:shd w:val="clear" w:color="auto" w:fill="BFD730"/>
            <w:vAlign w:val="bottom"/>
            <w:hideMark/>
          </w:tcPr>
          <w:p w14:paraId="27332A45" w14:textId="77777777" w:rsidR="009E6F22" w:rsidRDefault="009E6F22" w:rsidP="00852EFF">
            <w:pPr>
              <w:spacing w:after="0" w:line="240" w:lineRule="auto"/>
              <w:jc w:val="center"/>
              <w:rPr>
                <w:rFonts w:ascii="Calibri" w:eastAsia="Times New Roman" w:hAnsi="Calibri" w:cs="Calibri"/>
                <w:b/>
                <w:bCs/>
                <w:lang w:eastAsia="en-ZA"/>
              </w:rPr>
            </w:pPr>
            <w:r w:rsidRPr="009E6F22">
              <w:rPr>
                <w:rFonts w:ascii="Calibri" w:eastAsia="Times New Roman" w:hAnsi="Calibri" w:cs="Calibri"/>
                <w:b/>
                <w:bCs/>
                <w:lang w:eastAsia="en-ZA"/>
              </w:rPr>
              <w:t xml:space="preserve">Change in </w:t>
            </w:r>
            <w:r>
              <w:rPr>
                <w:rFonts w:ascii="Calibri" w:eastAsia="Times New Roman" w:hAnsi="Calibri" w:cs="Calibri"/>
                <w:b/>
                <w:bCs/>
                <w:lang w:eastAsia="en-ZA"/>
              </w:rPr>
              <w:t>t</w:t>
            </w:r>
            <w:r w:rsidRPr="009E6F22">
              <w:rPr>
                <w:rFonts w:ascii="Calibri" w:eastAsia="Times New Roman" w:hAnsi="Calibri" w:cs="Calibri"/>
                <w:b/>
                <w:bCs/>
                <w:lang w:eastAsia="en-ZA"/>
              </w:rPr>
              <w:t xml:space="preserve">ransaction </w:t>
            </w:r>
            <w:r>
              <w:rPr>
                <w:rFonts w:ascii="Calibri" w:eastAsia="Times New Roman" w:hAnsi="Calibri" w:cs="Calibri"/>
                <w:b/>
                <w:bCs/>
                <w:lang w:eastAsia="en-ZA"/>
              </w:rPr>
              <w:t>v</w:t>
            </w:r>
            <w:r w:rsidRPr="009E6F22">
              <w:rPr>
                <w:rFonts w:ascii="Calibri" w:eastAsia="Times New Roman" w:hAnsi="Calibri" w:cs="Calibri"/>
                <w:b/>
                <w:bCs/>
                <w:lang w:eastAsia="en-ZA"/>
              </w:rPr>
              <w:t>olume</w:t>
            </w:r>
          </w:p>
          <w:p w14:paraId="6F7618E2" w14:textId="0C40A629" w:rsidR="007C1828" w:rsidRPr="009E6F22" w:rsidRDefault="007C1828" w:rsidP="00852EFF">
            <w:pPr>
              <w:spacing w:after="0" w:line="240" w:lineRule="auto"/>
              <w:jc w:val="center"/>
              <w:rPr>
                <w:rFonts w:ascii="Calibri" w:eastAsia="Times New Roman" w:hAnsi="Calibri" w:cs="Calibri"/>
                <w:b/>
                <w:bCs/>
                <w:lang w:eastAsia="en-ZA"/>
              </w:rPr>
            </w:pPr>
          </w:p>
        </w:tc>
      </w:tr>
      <w:tr w:rsidR="00255192" w:rsidRPr="009E6F22" w14:paraId="333627C9" w14:textId="77777777" w:rsidTr="00B04DD1">
        <w:trPr>
          <w:trHeight w:val="289"/>
        </w:trPr>
        <w:tc>
          <w:tcPr>
            <w:tcW w:w="1600" w:type="dxa"/>
            <w:shd w:val="clear" w:color="auto" w:fill="auto"/>
            <w:vAlign w:val="bottom"/>
            <w:hideMark/>
          </w:tcPr>
          <w:p w14:paraId="098FD697" w14:textId="77777777" w:rsidR="00255192" w:rsidRPr="009E6F22" w:rsidRDefault="00255192" w:rsidP="00255192">
            <w:pPr>
              <w:spacing w:after="0" w:line="240" w:lineRule="auto"/>
              <w:rPr>
                <w:rFonts w:ascii="Calibri" w:eastAsia="Times New Roman" w:hAnsi="Calibri" w:cs="Calibri"/>
                <w:b/>
                <w:bCs/>
                <w:color w:val="000000"/>
                <w:lang w:eastAsia="en-ZA"/>
              </w:rPr>
            </w:pPr>
            <w:r w:rsidRPr="009E6F22">
              <w:rPr>
                <w:rFonts w:ascii="Calibri" w:eastAsia="Times New Roman" w:hAnsi="Calibri" w:cs="Calibri"/>
                <w:b/>
                <w:bCs/>
                <w:color w:val="000000"/>
                <w:lang w:eastAsia="en-ZA"/>
              </w:rPr>
              <w:t>Jan-21</w:t>
            </w:r>
          </w:p>
        </w:tc>
        <w:tc>
          <w:tcPr>
            <w:tcW w:w="2504" w:type="dxa"/>
            <w:shd w:val="clear" w:color="auto" w:fill="F58220" w:themeFill="accent1"/>
            <w:noWrap/>
            <w:vAlign w:val="bottom"/>
          </w:tcPr>
          <w:p w14:paraId="6E280D02" w14:textId="458E735C" w:rsidR="00255192" w:rsidRPr="009E6F22" w:rsidRDefault="00255192" w:rsidP="00852EFF">
            <w:pPr>
              <w:spacing w:after="0" w:line="240" w:lineRule="auto"/>
              <w:jc w:val="center"/>
              <w:rPr>
                <w:rFonts w:ascii="Calibri" w:eastAsia="Times New Roman" w:hAnsi="Calibri" w:cs="Calibri"/>
                <w:b/>
                <w:bCs/>
                <w:lang w:eastAsia="en-ZA"/>
              </w:rPr>
            </w:pPr>
            <w:r>
              <w:rPr>
                <w:rFonts w:ascii="Calibri" w:hAnsi="Calibri" w:cs="Calibri"/>
                <w:b/>
                <w:bCs/>
              </w:rPr>
              <w:t>830 431 229 519</w:t>
            </w:r>
          </w:p>
        </w:tc>
        <w:tc>
          <w:tcPr>
            <w:tcW w:w="2040" w:type="dxa"/>
            <w:shd w:val="clear" w:color="auto" w:fill="BFD730"/>
            <w:noWrap/>
            <w:vAlign w:val="bottom"/>
          </w:tcPr>
          <w:p w14:paraId="118801BC" w14:textId="1548AF2A" w:rsidR="00255192" w:rsidRPr="009E6F22" w:rsidRDefault="00255192" w:rsidP="00255192">
            <w:pPr>
              <w:spacing w:after="0" w:line="240" w:lineRule="auto"/>
              <w:jc w:val="center"/>
              <w:rPr>
                <w:rFonts w:ascii="Calibri" w:eastAsia="Times New Roman" w:hAnsi="Calibri" w:cs="Calibri"/>
                <w:b/>
                <w:bCs/>
                <w:lang w:eastAsia="en-ZA"/>
              </w:rPr>
            </w:pPr>
            <w:r>
              <w:rPr>
                <w:rFonts w:ascii="Calibri" w:hAnsi="Calibri" w:cs="Calibri"/>
                <w:b/>
                <w:bCs/>
              </w:rPr>
              <w:t xml:space="preserve">99 046 275 </w:t>
            </w:r>
          </w:p>
        </w:tc>
        <w:tc>
          <w:tcPr>
            <w:tcW w:w="1901" w:type="dxa"/>
            <w:shd w:val="clear" w:color="auto" w:fill="BFD730"/>
            <w:noWrap/>
            <w:vAlign w:val="bottom"/>
          </w:tcPr>
          <w:p w14:paraId="29B75474" w14:textId="54135D1D" w:rsidR="00255192" w:rsidRPr="009E6F22" w:rsidRDefault="00255192" w:rsidP="00255192">
            <w:pPr>
              <w:spacing w:after="0" w:line="240" w:lineRule="auto"/>
              <w:jc w:val="center"/>
              <w:rPr>
                <w:rFonts w:ascii="Calibri" w:eastAsia="Times New Roman" w:hAnsi="Calibri" w:cs="Calibri"/>
                <w:b/>
                <w:bCs/>
                <w:lang w:eastAsia="en-ZA"/>
              </w:rPr>
            </w:pPr>
            <w:r>
              <w:rPr>
                <w:rFonts w:ascii="Calibri" w:hAnsi="Calibri" w:cs="Calibri"/>
                <w:b/>
                <w:bCs/>
              </w:rPr>
              <w:t>8084</w:t>
            </w:r>
          </w:p>
        </w:tc>
        <w:tc>
          <w:tcPr>
            <w:tcW w:w="1901" w:type="dxa"/>
            <w:shd w:val="clear" w:color="auto" w:fill="BFD730"/>
            <w:noWrap/>
            <w:vAlign w:val="bottom"/>
          </w:tcPr>
          <w:p w14:paraId="792FA0BB" w14:textId="05E80A41" w:rsidR="00255192" w:rsidRPr="009E6F22" w:rsidRDefault="00255192" w:rsidP="00255192">
            <w:pPr>
              <w:spacing w:after="0" w:line="240" w:lineRule="auto"/>
              <w:jc w:val="center"/>
              <w:rPr>
                <w:rFonts w:ascii="Calibri" w:eastAsia="Times New Roman" w:hAnsi="Calibri" w:cs="Calibri"/>
                <w:b/>
                <w:bCs/>
                <w:lang w:eastAsia="en-ZA"/>
              </w:rPr>
            </w:pPr>
            <w:r>
              <w:rPr>
                <w:rFonts w:ascii="Calibri" w:hAnsi="Calibri" w:cs="Calibri"/>
                <w:b/>
                <w:bCs/>
              </w:rPr>
              <w:t>0.5%</w:t>
            </w:r>
          </w:p>
        </w:tc>
      </w:tr>
      <w:tr w:rsidR="00255192" w:rsidRPr="009E6F22" w14:paraId="3B7CB7C9" w14:textId="77777777" w:rsidTr="00B04DD1">
        <w:trPr>
          <w:trHeight w:val="289"/>
        </w:trPr>
        <w:tc>
          <w:tcPr>
            <w:tcW w:w="1600" w:type="dxa"/>
            <w:shd w:val="clear" w:color="auto" w:fill="auto"/>
            <w:vAlign w:val="bottom"/>
            <w:hideMark/>
          </w:tcPr>
          <w:p w14:paraId="3FA11B9E" w14:textId="77777777" w:rsidR="00255192" w:rsidRPr="009E6F22" w:rsidRDefault="00255192" w:rsidP="00255192">
            <w:pPr>
              <w:spacing w:after="0" w:line="240" w:lineRule="auto"/>
              <w:rPr>
                <w:rFonts w:ascii="Calibri" w:eastAsia="Times New Roman" w:hAnsi="Calibri" w:cs="Calibri"/>
                <w:b/>
                <w:bCs/>
                <w:color w:val="000000"/>
                <w:lang w:eastAsia="en-ZA"/>
              </w:rPr>
            </w:pPr>
            <w:r w:rsidRPr="009E6F22">
              <w:rPr>
                <w:rFonts w:ascii="Calibri" w:eastAsia="Times New Roman" w:hAnsi="Calibri" w:cs="Calibri"/>
                <w:b/>
                <w:bCs/>
                <w:color w:val="000000"/>
                <w:lang w:eastAsia="en-ZA"/>
              </w:rPr>
              <w:t>Feb-21</w:t>
            </w:r>
          </w:p>
        </w:tc>
        <w:tc>
          <w:tcPr>
            <w:tcW w:w="2504" w:type="dxa"/>
            <w:shd w:val="clear" w:color="auto" w:fill="F58220" w:themeFill="accent1"/>
            <w:noWrap/>
            <w:vAlign w:val="bottom"/>
          </w:tcPr>
          <w:p w14:paraId="22AD4ED2" w14:textId="04EC60D3" w:rsidR="00255192" w:rsidRPr="009E6F22" w:rsidRDefault="00255192" w:rsidP="00852EFF">
            <w:pPr>
              <w:spacing w:after="0" w:line="240" w:lineRule="auto"/>
              <w:jc w:val="center"/>
              <w:rPr>
                <w:rFonts w:ascii="Calibri" w:eastAsia="Times New Roman" w:hAnsi="Calibri" w:cs="Calibri"/>
                <w:b/>
                <w:bCs/>
                <w:lang w:eastAsia="en-ZA"/>
              </w:rPr>
            </w:pPr>
            <w:r>
              <w:rPr>
                <w:rFonts w:ascii="Calibri" w:hAnsi="Calibri" w:cs="Calibri"/>
                <w:b/>
                <w:bCs/>
              </w:rPr>
              <w:t>985 568 635 898</w:t>
            </w:r>
          </w:p>
        </w:tc>
        <w:tc>
          <w:tcPr>
            <w:tcW w:w="2040" w:type="dxa"/>
            <w:shd w:val="clear" w:color="auto" w:fill="BFD730"/>
            <w:noWrap/>
            <w:vAlign w:val="bottom"/>
          </w:tcPr>
          <w:p w14:paraId="6DB5A0A2" w14:textId="34F334DB" w:rsidR="00255192" w:rsidRPr="009E6F22" w:rsidRDefault="00255192" w:rsidP="00255192">
            <w:pPr>
              <w:spacing w:after="0" w:line="240" w:lineRule="auto"/>
              <w:jc w:val="center"/>
              <w:rPr>
                <w:rFonts w:ascii="Calibri" w:eastAsia="Times New Roman" w:hAnsi="Calibri" w:cs="Calibri"/>
                <w:b/>
                <w:bCs/>
                <w:lang w:eastAsia="en-ZA"/>
              </w:rPr>
            </w:pPr>
            <w:r>
              <w:rPr>
                <w:rFonts w:ascii="Calibri" w:hAnsi="Calibri" w:cs="Calibri"/>
                <w:b/>
                <w:bCs/>
              </w:rPr>
              <w:t xml:space="preserve">105 369 295 </w:t>
            </w:r>
          </w:p>
        </w:tc>
        <w:tc>
          <w:tcPr>
            <w:tcW w:w="1901" w:type="dxa"/>
            <w:shd w:val="clear" w:color="auto" w:fill="BFD730"/>
            <w:noWrap/>
            <w:vAlign w:val="bottom"/>
          </w:tcPr>
          <w:p w14:paraId="6BE05897" w14:textId="36321C37" w:rsidR="00255192" w:rsidRPr="009E6F22" w:rsidRDefault="00255192" w:rsidP="00255192">
            <w:pPr>
              <w:spacing w:after="0" w:line="240" w:lineRule="auto"/>
              <w:jc w:val="center"/>
              <w:rPr>
                <w:rFonts w:ascii="Calibri" w:eastAsia="Times New Roman" w:hAnsi="Calibri" w:cs="Calibri"/>
                <w:b/>
                <w:bCs/>
                <w:lang w:eastAsia="en-ZA"/>
              </w:rPr>
            </w:pPr>
            <w:r>
              <w:rPr>
                <w:rFonts w:ascii="Calibri" w:hAnsi="Calibri" w:cs="Calibri"/>
                <w:b/>
                <w:bCs/>
              </w:rPr>
              <w:t>8671</w:t>
            </w:r>
          </w:p>
        </w:tc>
        <w:tc>
          <w:tcPr>
            <w:tcW w:w="1901" w:type="dxa"/>
            <w:shd w:val="clear" w:color="auto" w:fill="BFD730"/>
            <w:noWrap/>
            <w:vAlign w:val="bottom"/>
          </w:tcPr>
          <w:p w14:paraId="18B38EDF" w14:textId="3B712CF8" w:rsidR="00255192" w:rsidRPr="009E6F22" w:rsidRDefault="00255192" w:rsidP="00255192">
            <w:pPr>
              <w:spacing w:after="0" w:line="240" w:lineRule="auto"/>
              <w:jc w:val="center"/>
              <w:rPr>
                <w:rFonts w:ascii="Calibri" w:eastAsia="Times New Roman" w:hAnsi="Calibri" w:cs="Calibri"/>
                <w:b/>
                <w:bCs/>
                <w:lang w:eastAsia="en-ZA"/>
              </w:rPr>
            </w:pPr>
            <w:r>
              <w:rPr>
                <w:rFonts w:ascii="Calibri" w:hAnsi="Calibri" w:cs="Calibri"/>
                <w:b/>
                <w:bCs/>
              </w:rPr>
              <w:t>3.6%</w:t>
            </w:r>
          </w:p>
        </w:tc>
      </w:tr>
      <w:tr w:rsidR="00255192" w:rsidRPr="009E6F22" w14:paraId="56283F3F" w14:textId="77777777" w:rsidTr="00B04DD1">
        <w:trPr>
          <w:trHeight w:val="289"/>
        </w:trPr>
        <w:tc>
          <w:tcPr>
            <w:tcW w:w="1600" w:type="dxa"/>
            <w:shd w:val="clear" w:color="auto" w:fill="auto"/>
            <w:vAlign w:val="bottom"/>
            <w:hideMark/>
          </w:tcPr>
          <w:p w14:paraId="3AA36B64" w14:textId="77777777" w:rsidR="00255192" w:rsidRPr="009E6F22" w:rsidRDefault="00255192" w:rsidP="00255192">
            <w:pPr>
              <w:spacing w:after="0" w:line="240" w:lineRule="auto"/>
              <w:rPr>
                <w:rFonts w:ascii="Calibri" w:eastAsia="Times New Roman" w:hAnsi="Calibri" w:cs="Calibri"/>
                <w:b/>
                <w:bCs/>
                <w:color w:val="000000"/>
                <w:lang w:eastAsia="en-ZA"/>
              </w:rPr>
            </w:pPr>
            <w:r w:rsidRPr="009E6F22">
              <w:rPr>
                <w:rFonts w:ascii="Calibri" w:eastAsia="Times New Roman" w:hAnsi="Calibri" w:cs="Calibri"/>
                <w:b/>
                <w:bCs/>
                <w:color w:val="000000"/>
                <w:lang w:eastAsia="en-ZA"/>
              </w:rPr>
              <w:t>Mar-21</w:t>
            </w:r>
          </w:p>
        </w:tc>
        <w:tc>
          <w:tcPr>
            <w:tcW w:w="2504" w:type="dxa"/>
            <w:shd w:val="clear" w:color="auto" w:fill="F58220" w:themeFill="accent1"/>
            <w:noWrap/>
            <w:vAlign w:val="bottom"/>
          </w:tcPr>
          <w:p w14:paraId="2A5BBF36" w14:textId="7B4B2E4E" w:rsidR="00255192" w:rsidRPr="009E6F22" w:rsidRDefault="00255192" w:rsidP="00852EFF">
            <w:pPr>
              <w:spacing w:after="0" w:line="240" w:lineRule="auto"/>
              <w:jc w:val="center"/>
              <w:rPr>
                <w:rFonts w:ascii="Calibri" w:eastAsia="Times New Roman" w:hAnsi="Calibri" w:cs="Calibri"/>
                <w:b/>
                <w:bCs/>
                <w:lang w:eastAsia="en-ZA"/>
              </w:rPr>
            </w:pPr>
            <w:r>
              <w:rPr>
                <w:rFonts w:ascii="Calibri" w:hAnsi="Calibri" w:cs="Calibri"/>
                <w:b/>
                <w:bCs/>
              </w:rPr>
              <w:t>1 016 197 489 145</w:t>
            </w:r>
          </w:p>
        </w:tc>
        <w:tc>
          <w:tcPr>
            <w:tcW w:w="2040" w:type="dxa"/>
            <w:shd w:val="clear" w:color="auto" w:fill="BFD730"/>
            <w:noWrap/>
            <w:vAlign w:val="bottom"/>
          </w:tcPr>
          <w:p w14:paraId="1CC332F7" w14:textId="713F80C9" w:rsidR="00255192" w:rsidRPr="009E6F22" w:rsidRDefault="00255192" w:rsidP="00255192">
            <w:pPr>
              <w:spacing w:after="0" w:line="240" w:lineRule="auto"/>
              <w:jc w:val="center"/>
              <w:rPr>
                <w:rFonts w:ascii="Calibri" w:eastAsia="Times New Roman" w:hAnsi="Calibri" w:cs="Calibri"/>
                <w:b/>
                <w:bCs/>
                <w:lang w:eastAsia="en-ZA"/>
              </w:rPr>
            </w:pPr>
            <w:r>
              <w:rPr>
                <w:rFonts w:ascii="Calibri" w:hAnsi="Calibri" w:cs="Calibri"/>
                <w:b/>
                <w:bCs/>
              </w:rPr>
              <w:t xml:space="preserve">121 094 342 </w:t>
            </w:r>
          </w:p>
        </w:tc>
        <w:tc>
          <w:tcPr>
            <w:tcW w:w="1901" w:type="dxa"/>
            <w:shd w:val="clear" w:color="auto" w:fill="BFD730"/>
            <w:noWrap/>
            <w:vAlign w:val="bottom"/>
          </w:tcPr>
          <w:p w14:paraId="0786F7FD" w14:textId="4C8A10DC" w:rsidR="00255192" w:rsidRPr="009E6F22" w:rsidRDefault="00255192" w:rsidP="00255192">
            <w:pPr>
              <w:spacing w:after="0" w:line="240" w:lineRule="auto"/>
              <w:jc w:val="center"/>
              <w:rPr>
                <w:rFonts w:ascii="Calibri" w:eastAsia="Times New Roman" w:hAnsi="Calibri" w:cs="Calibri"/>
                <w:b/>
                <w:bCs/>
                <w:lang w:eastAsia="en-ZA"/>
              </w:rPr>
            </w:pPr>
            <w:r>
              <w:rPr>
                <w:rFonts w:ascii="Calibri" w:hAnsi="Calibri" w:cs="Calibri"/>
                <w:b/>
                <w:bCs/>
              </w:rPr>
              <w:t>8603</w:t>
            </w:r>
          </w:p>
        </w:tc>
        <w:tc>
          <w:tcPr>
            <w:tcW w:w="1901" w:type="dxa"/>
            <w:shd w:val="clear" w:color="auto" w:fill="BFD730"/>
            <w:noWrap/>
            <w:vAlign w:val="bottom"/>
          </w:tcPr>
          <w:p w14:paraId="5FE4589C" w14:textId="67B593AC" w:rsidR="00255192" w:rsidRPr="009E6F22" w:rsidRDefault="00255192" w:rsidP="00255192">
            <w:pPr>
              <w:spacing w:after="0" w:line="240" w:lineRule="auto"/>
              <w:jc w:val="center"/>
              <w:rPr>
                <w:rFonts w:ascii="Calibri" w:eastAsia="Times New Roman" w:hAnsi="Calibri" w:cs="Calibri"/>
                <w:b/>
                <w:bCs/>
                <w:lang w:eastAsia="en-ZA"/>
              </w:rPr>
            </w:pPr>
            <w:r>
              <w:rPr>
                <w:rFonts w:ascii="Calibri" w:hAnsi="Calibri" w:cs="Calibri"/>
                <w:b/>
                <w:bCs/>
              </w:rPr>
              <w:t>17.2%</w:t>
            </w:r>
          </w:p>
        </w:tc>
      </w:tr>
      <w:tr w:rsidR="00255192" w:rsidRPr="009E6F22" w14:paraId="1CA1014C" w14:textId="77777777" w:rsidTr="00B04DD1">
        <w:trPr>
          <w:trHeight w:val="289"/>
        </w:trPr>
        <w:tc>
          <w:tcPr>
            <w:tcW w:w="1600" w:type="dxa"/>
            <w:shd w:val="clear" w:color="auto" w:fill="auto"/>
            <w:vAlign w:val="bottom"/>
            <w:hideMark/>
          </w:tcPr>
          <w:p w14:paraId="610F4746" w14:textId="77777777" w:rsidR="00255192" w:rsidRPr="009E6F22" w:rsidRDefault="00255192" w:rsidP="00255192">
            <w:pPr>
              <w:spacing w:after="0" w:line="240" w:lineRule="auto"/>
              <w:rPr>
                <w:rFonts w:ascii="Calibri" w:eastAsia="Times New Roman" w:hAnsi="Calibri" w:cs="Calibri"/>
                <w:b/>
                <w:bCs/>
                <w:color w:val="000000"/>
                <w:lang w:eastAsia="en-ZA"/>
              </w:rPr>
            </w:pPr>
            <w:r w:rsidRPr="009E6F22">
              <w:rPr>
                <w:rFonts w:ascii="Calibri" w:eastAsia="Times New Roman" w:hAnsi="Calibri" w:cs="Calibri"/>
                <w:b/>
                <w:bCs/>
                <w:color w:val="000000"/>
                <w:lang w:eastAsia="en-ZA"/>
              </w:rPr>
              <w:t>Apr-21</w:t>
            </w:r>
          </w:p>
        </w:tc>
        <w:tc>
          <w:tcPr>
            <w:tcW w:w="2504" w:type="dxa"/>
            <w:shd w:val="clear" w:color="auto" w:fill="F58220" w:themeFill="accent1"/>
            <w:noWrap/>
            <w:vAlign w:val="bottom"/>
          </w:tcPr>
          <w:p w14:paraId="222E3E25" w14:textId="0E3C5442" w:rsidR="00255192" w:rsidRPr="009E6F22" w:rsidRDefault="00255192" w:rsidP="00852EFF">
            <w:pPr>
              <w:spacing w:after="0" w:line="240" w:lineRule="auto"/>
              <w:jc w:val="center"/>
              <w:rPr>
                <w:rFonts w:ascii="Calibri" w:eastAsia="Times New Roman" w:hAnsi="Calibri" w:cs="Calibri"/>
                <w:b/>
                <w:bCs/>
                <w:lang w:eastAsia="en-ZA"/>
              </w:rPr>
            </w:pPr>
            <w:r>
              <w:rPr>
                <w:rFonts w:ascii="Calibri" w:hAnsi="Calibri" w:cs="Calibri"/>
                <w:b/>
                <w:bCs/>
              </w:rPr>
              <w:t>1 034 989 208 808</w:t>
            </w:r>
          </w:p>
        </w:tc>
        <w:tc>
          <w:tcPr>
            <w:tcW w:w="2040" w:type="dxa"/>
            <w:shd w:val="clear" w:color="auto" w:fill="BFD730"/>
            <w:noWrap/>
            <w:vAlign w:val="bottom"/>
          </w:tcPr>
          <w:p w14:paraId="6312D2A1" w14:textId="2C3C86F2" w:rsidR="00255192" w:rsidRPr="009E6F22" w:rsidRDefault="00255192" w:rsidP="00255192">
            <w:pPr>
              <w:spacing w:after="0" w:line="240" w:lineRule="auto"/>
              <w:jc w:val="center"/>
              <w:rPr>
                <w:rFonts w:ascii="Calibri" w:eastAsia="Times New Roman" w:hAnsi="Calibri" w:cs="Calibri"/>
                <w:b/>
                <w:bCs/>
                <w:lang w:eastAsia="en-ZA"/>
              </w:rPr>
            </w:pPr>
            <w:r>
              <w:rPr>
                <w:rFonts w:ascii="Calibri" w:hAnsi="Calibri" w:cs="Calibri"/>
                <w:b/>
                <w:bCs/>
              </w:rPr>
              <w:t xml:space="preserve">114 992 885 </w:t>
            </w:r>
          </w:p>
        </w:tc>
        <w:tc>
          <w:tcPr>
            <w:tcW w:w="1901" w:type="dxa"/>
            <w:shd w:val="clear" w:color="auto" w:fill="BFD730"/>
            <w:noWrap/>
            <w:vAlign w:val="bottom"/>
          </w:tcPr>
          <w:p w14:paraId="64274560" w14:textId="4EC7D64A" w:rsidR="00255192" w:rsidRPr="009E6F22" w:rsidRDefault="00255192" w:rsidP="00255192">
            <w:pPr>
              <w:spacing w:after="0" w:line="240" w:lineRule="auto"/>
              <w:jc w:val="center"/>
              <w:rPr>
                <w:rFonts w:ascii="Calibri" w:eastAsia="Times New Roman" w:hAnsi="Calibri" w:cs="Calibri"/>
                <w:b/>
                <w:bCs/>
                <w:lang w:eastAsia="en-ZA"/>
              </w:rPr>
            </w:pPr>
            <w:r>
              <w:rPr>
                <w:rFonts w:ascii="Calibri" w:hAnsi="Calibri" w:cs="Calibri"/>
                <w:b/>
                <w:bCs/>
              </w:rPr>
              <w:t>8301</w:t>
            </w:r>
          </w:p>
        </w:tc>
        <w:tc>
          <w:tcPr>
            <w:tcW w:w="1901" w:type="dxa"/>
            <w:shd w:val="clear" w:color="auto" w:fill="BFD730"/>
            <w:noWrap/>
            <w:vAlign w:val="bottom"/>
          </w:tcPr>
          <w:p w14:paraId="519D5A60" w14:textId="6374AA86" w:rsidR="00255192" w:rsidRPr="009E6F22" w:rsidRDefault="00255192" w:rsidP="00255192">
            <w:pPr>
              <w:spacing w:after="0" w:line="240" w:lineRule="auto"/>
              <w:jc w:val="center"/>
              <w:rPr>
                <w:rFonts w:ascii="Calibri" w:eastAsia="Times New Roman" w:hAnsi="Calibri" w:cs="Calibri"/>
                <w:b/>
                <w:bCs/>
                <w:lang w:eastAsia="en-ZA"/>
              </w:rPr>
            </w:pPr>
            <w:r>
              <w:rPr>
                <w:rFonts w:ascii="Calibri" w:hAnsi="Calibri" w:cs="Calibri"/>
                <w:b/>
                <w:bCs/>
              </w:rPr>
              <w:t>27.7%</w:t>
            </w:r>
          </w:p>
        </w:tc>
      </w:tr>
      <w:tr w:rsidR="00255192" w:rsidRPr="009E6F22" w14:paraId="4EAC2E6C" w14:textId="77777777" w:rsidTr="00B04DD1">
        <w:trPr>
          <w:trHeight w:val="289"/>
        </w:trPr>
        <w:tc>
          <w:tcPr>
            <w:tcW w:w="1600" w:type="dxa"/>
            <w:shd w:val="clear" w:color="auto" w:fill="auto"/>
            <w:vAlign w:val="bottom"/>
            <w:hideMark/>
          </w:tcPr>
          <w:p w14:paraId="67BB9414" w14:textId="77777777" w:rsidR="00255192" w:rsidRPr="009E6F22" w:rsidRDefault="00255192" w:rsidP="00255192">
            <w:pPr>
              <w:spacing w:after="0" w:line="240" w:lineRule="auto"/>
              <w:rPr>
                <w:rFonts w:ascii="Calibri" w:eastAsia="Times New Roman" w:hAnsi="Calibri" w:cs="Calibri"/>
                <w:b/>
                <w:bCs/>
                <w:color w:val="000000"/>
                <w:lang w:eastAsia="en-ZA"/>
              </w:rPr>
            </w:pPr>
            <w:r w:rsidRPr="009E6F22">
              <w:rPr>
                <w:rFonts w:ascii="Calibri" w:eastAsia="Times New Roman" w:hAnsi="Calibri" w:cs="Calibri"/>
                <w:b/>
                <w:bCs/>
                <w:color w:val="000000"/>
                <w:lang w:eastAsia="en-ZA"/>
              </w:rPr>
              <w:t>May-21</w:t>
            </w:r>
          </w:p>
        </w:tc>
        <w:tc>
          <w:tcPr>
            <w:tcW w:w="2504" w:type="dxa"/>
            <w:shd w:val="clear" w:color="auto" w:fill="F58220" w:themeFill="accent1"/>
            <w:noWrap/>
            <w:vAlign w:val="bottom"/>
          </w:tcPr>
          <w:p w14:paraId="222CAA72" w14:textId="3B792D70" w:rsidR="00255192" w:rsidRPr="009E6F22" w:rsidRDefault="00255192" w:rsidP="00852EFF">
            <w:pPr>
              <w:spacing w:after="0" w:line="240" w:lineRule="auto"/>
              <w:jc w:val="center"/>
              <w:rPr>
                <w:rFonts w:ascii="Calibri" w:eastAsia="Times New Roman" w:hAnsi="Calibri" w:cs="Calibri"/>
                <w:b/>
                <w:bCs/>
                <w:lang w:eastAsia="en-ZA"/>
              </w:rPr>
            </w:pPr>
            <w:r>
              <w:rPr>
                <w:rFonts w:ascii="Calibri" w:hAnsi="Calibri" w:cs="Calibri"/>
                <w:b/>
                <w:bCs/>
              </w:rPr>
              <w:t>999 971 999 135</w:t>
            </w:r>
          </w:p>
        </w:tc>
        <w:tc>
          <w:tcPr>
            <w:tcW w:w="2040" w:type="dxa"/>
            <w:shd w:val="clear" w:color="auto" w:fill="BFD730"/>
            <w:noWrap/>
            <w:vAlign w:val="bottom"/>
          </w:tcPr>
          <w:p w14:paraId="26938F76" w14:textId="2911C95B" w:rsidR="00255192" w:rsidRPr="009E6F22" w:rsidRDefault="00255192" w:rsidP="00255192">
            <w:pPr>
              <w:spacing w:after="0" w:line="240" w:lineRule="auto"/>
              <w:jc w:val="center"/>
              <w:rPr>
                <w:rFonts w:ascii="Calibri" w:eastAsia="Times New Roman" w:hAnsi="Calibri" w:cs="Calibri"/>
                <w:b/>
                <w:bCs/>
                <w:lang w:eastAsia="en-ZA"/>
              </w:rPr>
            </w:pPr>
            <w:r>
              <w:rPr>
                <w:rFonts w:ascii="Calibri" w:hAnsi="Calibri" w:cs="Calibri"/>
                <w:b/>
                <w:bCs/>
              </w:rPr>
              <w:t xml:space="preserve">114 860 839 </w:t>
            </w:r>
          </w:p>
        </w:tc>
        <w:tc>
          <w:tcPr>
            <w:tcW w:w="1901" w:type="dxa"/>
            <w:shd w:val="clear" w:color="auto" w:fill="BFD730"/>
            <w:noWrap/>
            <w:vAlign w:val="bottom"/>
          </w:tcPr>
          <w:p w14:paraId="05F3769D" w14:textId="65BEA1DB" w:rsidR="00255192" w:rsidRPr="009E6F22" w:rsidRDefault="00255192" w:rsidP="00255192">
            <w:pPr>
              <w:spacing w:after="0" w:line="240" w:lineRule="auto"/>
              <w:jc w:val="center"/>
              <w:rPr>
                <w:rFonts w:ascii="Calibri" w:eastAsia="Times New Roman" w:hAnsi="Calibri" w:cs="Calibri"/>
                <w:b/>
                <w:bCs/>
                <w:lang w:eastAsia="en-ZA"/>
              </w:rPr>
            </w:pPr>
            <w:r>
              <w:rPr>
                <w:rFonts w:ascii="Calibri" w:hAnsi="Calibri" w:cs="Calibri"/>
                <w:b/>
                <w:bCs/>
              </w:rPr>
              <w:t>8652</w:t>
            </w:r>
          </w:p>
        </w:tc>
        <w:tc>
          <w:tcPr>
            <w:tcW w:w="1901" w:type="dxa"/>
            <w:shd w:val="clear" w:color="auto" w:fill="BFD730"/>
            <w:noWrap/>
            <w:vAlign w:val="bottom"/>
          </w:tcPr>
          <w:p w14:paraId="681A2938" w14:textId="5D544611" w:rsidR="00255192" w:rsidRPr="009E6F22" w:rsidRDefault="00255192" w:rsidP="00255192">
            <w:pPr>
              <w:spacing w:after="0" w:line="240" w:lineRule="auto"/>
              <w:jc w:val="center"/>
              <w:rPr>
                <w:rFonts w:ascii="Calibri" w:eastAsia="Times New Roman" w:hAnsi="Calibri" w:cs="Calibri"/>
                <w:b/>
                <w:bCs/>
                <w:lang w:eastAsia="en-ZA"/>
              </w:rPr>
            </w:pPr>
            <w:r>
              <w:rPr>
                <w:rFonts w:ascii="Calibri" w:hAnsi="Calibri" w:cs="Calibri"/>
                <w:b/>
                <w:bCs/>
              </w:rPr>
              <w:t>24.4%</w:t>
            </w:r>
          </w:p>
        </w:tc>
      </w:tr>
      <w:tr w:rsidR="00255192" w:rsidRPr="009E6F22" w14:paraId="6D5BF2A7" w14:textId="77777777" w:rsidTr="00B04DD1">
        <w:trPr>
          <w:trHeight w:val="289"/>
        </w:trPr>
        <w:tc>
          <w:tcPr>
            <w:tcW w:w="1600" w:type="dxa"/>
            <w:shd w:val="clear" w:color="auto" w:fill="auto"/>
            <w:vAlign w:val="bottom"/>
            <w:hideMark/>
          </w:tcPr>
          <w:p w14:paraId="3E7DC059" w14:textId="77777777" w:rsidR="00255192" w:rsidRPr="009E6F22" w:rsidRDefault="00255192" w:rsidP="00255192">
            <w:pPr>
              <w:spacing w:after="0" w:line="240" w:lineRule="auto"/>
              <w:rPr>
                <w:rFonts w:ascii="Calibri" w:eastAsia="Times New Roman" w:hAnsi="Calibri" w:cs="Calibri"/>
                <w:b/>
                <w:bCs/>
                <w:color w:val="000000"/>
                <w:lang w:eastAsia="en-ZA"/>
              </w:rPr>
            </w:pPr>
            <w:r w:rsidRPr="009E6F22">
              <w:rPr>
                <w:rFonts w:ascii="Calibri" w:eastAsia="Times New Roman" w:hAnsi="Calibri" w:cs="Calibri"/>
                <w:b/>
                <w:bCs/>
                <w:color w:val="000000"/>
                <w:lang w:eastAsia="en-ZA"/>
              </w:rPr>
              <w:t>Jun-21</w:t>
            </w:r>
          </w:p>
        </w:tc>
        <w:tc>
          <w:tcPr>
            <w:tcW w:w="2504" w:type="dxa"/>
            <w:shd w:val="clear" w:color="auto" w:fill="F58220" w:themeFill="accent1"/>
            <w:noWrap/>
            <w:vAlign w:val="bottom"/>
          </w:tcPr>
          <w:p w14:paraId="7948EB5F" w14:textId="32D0E3C6" w:rsidR="00255192" w:rsidRPr="009E6F22" w:rsidRDefault="00255192" w:rsidP="00852EFF">
            <w:pPr>
              <w:spacing w:after="0" w:line="240" w:lineRule="auto"/>
              <w:jc w:val="center"/>
              <w:rPr>
                <w:rFonts w:ascii="Calibri" w:eastAsia="Times New Roman" w:hAnsi="Calibri" w:cs="Calibri"/>
                <w:b/>
                <w:bCs/>
                <w:lang w:eastAsia="en-ZA"/>
              </w:rPr>
            </w:pPr>
            <w:r>
              <w:rPr>
                <w:rFonts w:ascii="Calibri" w:hAnsi="Calibri" w:cs="Calibri"/>
                <w:b/>
                <w:bCs/>
              </w:rPr>
              <w:t>1 000 598 759 677</w:t>
            </w:r>
          </w:p>
        </w:tc>
        <w:tc>
          <w:tcPr>
            <w:tcW w:w="2040" w:type="dxa"/>
            <w:shd w:val="clear" w:color="auto" w:fill="BFD730"/>
            <w:noWrap/>
            <w:vAlign w:val="bottom"/>
          </w:tcPr>
          <w:p w14:paraId="7D7AA1EE" w14:textId="2A6680ED" w:rsidR="00255192" w:rsidRPr="009E6F22" w:rsidRDefault="00255192" w:rsidP="00255192">
            <w:pPr>
              <w:spacing w:after="0" w:line="240" w:lineRule="auto"/>
              <w:jc w:val="center"/>
              <w:rPr>
                <w:rFonts w:ascii="Calibri" w:eastAsia="Times New Roman" w:hAnsi="Calibri" w:cs="Calibri"/>
                <w:b/>
                <w:bCs/>
                <w:lang w:eastAsia="en-ZA"/>
              </w:rPr>
            </w:pPr>
            <w:r>
              <w:rPr>
                <w:rFonts w:ascii="Calibri" w:hAnsi="Calibri" w:cs="Calibri"/>
                <w:b/>
                <w:bCs/>
              </w:rPr>
              <w:t xml:space="preserve">115 994 019 </w:t>
            </w:r>
          </w:p>
        </w:tc>
        <w:tc>
          <w:tcPr>
            <w:tcW w:w="1901" w:type="dxa"/>
            <w:shd w:val="clear" w:color="auto" w:fill="BFD730"/>
            <w:noWrap/>
            <w:vAlign w:val="bottom"/>
          </w:tcPr>
          <w:p w14:paraId="64A32291" w14:textId="167FC5E4" w:rsidR="00255192" w:rsidRPr="009E6F22" w:rsidRDefault="00255192" w:rsidP="00255192">
            <w:pPr>
              <w:spacing w:after="0" w:line="240" w:lineRule="auto"/>
              <w:jc w:val="center"/>
              <w:rPr>
                <w:rFonts w:ascii="Calibri" w:eastAsia="Times New Roman" w:hAnsi="Calibri" w:cs="Calibri"/>
                <w:b/>
                <w:bCs/>
                <w:lang w:eastAsia="en-ZA"/>
              </w:rPr>
            </w:pPr>
            <w:r>
              <w:rPr>
                <w:rFonts w:ascii="Calibri" w:hAnsi="Calibri" w:cs="Calibri"/>
                <w:b/>
                <w:bCs/>
              </w:rPr>
              <w:t>8464</w:t>
            </w:r>
          </w:p>
        </w:tc>
        <w:tc>
          <w:tcPr>
            <w:tcW w:w="1901" w:type="dxa"/>
            <w:shd w:val="clear" w:color="auto" w:fill="BFD730"/>
            <w:noWrap/>
            <w:vAlign w:val="bottom"/>
          </w:tcPr>
          <w:p w14:paraId="6171FF4C" w14:textId="3ED77A18" w:rsidR="00255192" w:rsidRPr="009E6F22" w:rsidRDefault="00255192" w:rsidP="00255192">
            <w:pPr>
              <w:spacing w:after="0" w:line="240" w:lineRule="auto"/>
              <w:jc w:val="center"/>
              <w:rPr>
                <w:rFonts w:ascii="Calibri" w:eastAsia="Times New Roman" w:hAnsi="Calibri" w:cs="Calibri"/>
                <w:b/>
                <w:bCs/>
                <w:lang w:eastAsia="en-ZA"/>
              </w:rPr>
            </w:pPr>
            <w:r>
              <w:rPr>
                <w:rFonts w:ascii="Calibri" w:hAnsi="Calibri" w:cs="Calibri"/>
                <w:b/>
                <w:bCs/>
              </w:rPr>
              <w:t>16.3%</w:t>
            </w:r>
          </w:p>
        </w:tc>
      </w:tr>
      <w:tr w:rsidR="00255192" w:rsidRPr="009E6F22" w14:paraId="1E87F095" w14:textId="77777777" w:rsidTr="00B04DD1">
        <w:trPr>
          <w:trHeight w:val="289"/>
        </w:trPr>
        <w:tc>
          <w:tcPr>
            <w:tcW w:w="1600" w:type="dxa"/>
            <w:shd w:val="clear" w:color="auto" w:fill="auto"/>
            <w:vAlign w:val="bottom"/>
            <w:hideMark/>
          </w:tcPr>
          <w:p w14:paraId="7B78EE05" w14:textId="77777777" w:rsidR="00255192" w:rsidRPr="009E6F22" w:rsidRDefault="00255192" w:rsidP="00255192">
            <w:pPr>
              <w:spacing w:after="0" w:line="240" w:lineRule="auto"/>
              <w:rPr>
                <w:rFonts w:ascii="Calibri" w:eastAsia="Times New Roman" w:hAnsi="Calibri" w:cs="Calibri"/>
                <w:b/>
                <w:bCs/>
                <w:color w:val="000000"/>
                <w:lang w:eastAsia="en-ZA"/>
              </w:rPr>
            </w:pPr>
            <w:r w:rsidRPr="009E6F22">
              <w:rPr>
                <w:rFonts w:ascii="Calibri" w:eastAsia="Times New Roman" w:hAnsi="Calibri" w:cs="Calibri"/>
                <w:b/>
                <w:bCs/>
                <w:color w:val="000000"/>
                <w:lang w:eastAsia="en-ZA"/>
              </w:rPr>
              <w:t>Jul-21</w:t>
            </w:r>
          </w:p>
        </w:tc>
        <w:tc>
          <w:tcPr>
            <w:tcW w:w="2504" w:type="dxa"/>
            <w:shd w:val="clear" w:color="auto" w:fill="F58220" w:themeFill="accent1"/>
            <w:noWrap/>
            <w:vAlign w:val="bottom"/>
          </w:tcPr>
          <w:p w14:paraId="695031AC" w14:textId="12BF04B7" w:rsidR="00255192" w:rsidRPr="009E6F22" w:rsidRDefault="00255192" w:rsidP="00852EFF">
            <w:pPr>
              <w:spacing w:after="0" w:line="240" w:lineRule="auto"/>
              <w:jc w:val="center"/>
              <w:rPr>
                <w:rFonts w:ascii="Calibri" w:eastAsia="Times New Roman" w:hAnsi="Calibri" w:cs="Calibri"/>
                <w:b/>
                <w:bCs/>
                <w:lang w:eastAsia="en-ZA"/>
              </w:rPr>
            </w:pPr>
            <w:r>
              <w:rPr>
                <w:rFonts w:ascii="Calibri" w:hAnsi="Calibri" w:cs="Calibri"/>
                <w:b/>
                <w:bCs/>
              </w:rPr>
              <w:t>971 405 321 598</w:t>
            </w:r>
          </w:p>
        </w:tc>
        <w:tc>
          <w:tcPr>
            <w:tcW w:w="2040" w:type="dxa"/>
            <w:shd w:val="clear" w:color="auto" w:fill="BFD730"/>
            <w:noWrap/>
            <w:vAlign w:val="bottom"/>
          </w:tcPr>
          <w:p w14:paraId="448E7710" w14:textId="396CC7E9" w:rsidR="00255192" w:rsidRPr="009E6F22" w:rsidRDefault="00255192" w:rsidP="00255192">
            <w:pPr>
              <w:spacing w:after="0" w:line="240" w:lineRule="auto"/>
              <w:jc w:val="center"/>
              <w:rPr>
                <w:rFonts w:ascii="Calibri" w:eastAsia="Times New Roman" w:hAnsi="Calibri" w:cs="Calibri"/>
                <w:b/>
                <w:bCs/>
                <w:lang w:eastAsia="en-ZA"/>
              </w:rPr>
            </w:pPr>
            <w:r>
              <w:rPr>
                <w:rFonts w:ascii="Calibri" w:hAnsi="Calibri" w:cs="Calibri"/>
                <w:b/>
                <w:bCs/>
              </w:rPr>
              <w:t xml:space="preserve">122 534 840 </w:t>
            </w:r>
          </w:p>
        </w:tc>
        <w:tc>
          <w:tcPr>
            <w:tcW w:w="1901" w:type="dxa"/>
            <w:shd w:val="clear" w:color="auto" w:fill="BFD730"/>
            <w:noWrap/>
            <w:vAlign w:val="bottom"/>
          </w:tcPr>
          <w:p w14:paraId="287A8A03" w14:textId="1F8E7566" w:rsidR="00255192" w:rsidRPr="009E6F22" w:rsidRDefault="00255192" w:rsidP="00255192">
            <w:pPr>
              <w:spacing w:after="0" w:line="240" w:lineRule="auto"/>
              <w:jc w:val="center"/>
              <w:rPr>
                <w:rFonts w:ascii="Calibri" w:eastAsia="Times New Roman" w:hAnsi="Calibri" w:cs="Calibri"/>
                <w:b/>
                <w:bCs/>
                <w:lang w:eastAsia="en-ZA"/>
              </w:rPr>
            </w:pPr>
            <w:r>
              <w:rPr>
                <w:rFonts w:ascii="Calibri" w:hAnsi="Calibri" w:cs="Calibri"/>
                <w:b/>
                <w:bCs/>
              </w:rPr>
              <w:t>8083</w:t>
            </w:r>
          </w:p>
        </w:tc>
        <w:tc>
          <w:tcPr>
            <w:tcW w:w="1901" w:type="dxa"/>
            <w:shd w:val="clear" w:color="auto" w:fill="BFD730"/>
            <w:noWrap/>
            <w:vAlign w:val="bottom"/>
          </w:tcPr>
          <w:p w14:paraId="000D6FD5" w14:textId="373A9462" w:rsidR="00255192" w:rsidRPr="009E6F22" w:rsidRDefault="00255192" w:rsidP="00255192">
            <w:pPr>
              <w:spacing w:after="0" w:line="240" w:lineRule="auto"/>
              <w:jc w:val="center"/>
              <w:rPr>
                <w:rFonts w:ascii="Calibri" w:eastAsia="Times New Roman" w:hAnsi="Calibri" w:cs="Calibri"/>
                <w:b/>
                <w:bCs/>
                <w:lang w:eastAsia="en-ZA"/>
              </w:rPr>
            </w:pPr>
            <w:r>
              <w:rPr>
                <w:rFonts w:ascii="Calibri" w:hAnsi="Calibri" w:cs="Calibri"/>
                <w:b/>
                <w:bCs/>
              </w:rPr>
              <w:t>14.3%</w:t>
            </w:r>
          </w:p>
        </w:tc>
      </w:tr>
      <w:tr w:rsidR="00255192" w:rsidRPr="009E6F22" w14:paraId="505AF12A" w14:textId="77777777" w:rsidTr="00B04DD1">
        <w:trPr>
          <w:trHeight w:val="289"/>
        </w:trPr>
        <w:tc>
          <w:tcPr>
            <w:tcW w:w="1600" w:type="dxa"/>
            <w:shd w:val="clear" w:color="auto" w:fill="auto"/>
            <w:vAlign w:val="bottom"/>
            <w:hideMark/>
          </w:tcPr>
          <w:p w14:paraId="6025526E" w14:textId="77777777" w:rsidR="00255192" w:rsidRPr="009E6F22" w:rsidRDefault="00255192" w:rsidP="00255192">
            <w:pPr>
              <w:spacing w:after="0" w:line="240" w:lineRule="auto"/>
              <w:rPr>
                <w:rFonts w:ascii="Calibri" w:eastAsia="Times New Roman" w:hAnsi="Calibri" w:cs="Calibri"/>
                <w:b/>
                <w:bCs/>
                <w:color w:val="000000"/>
                <w:lang w:eastAsia="en-ZA"/>
              </w:rPr>
            </w:pPr>
            <w:r w:rsidRPr="009E6F22">
              <w:rPr>
                <w:rFonts w:ascii="Calibri" w:eastAsia="Times New Roman" w:hAnsi="Calibri" w:cs="Calibri"/>
                <w:b/>
                <w:bCs/>
                <w:color w:val="000000"/>
                <w:lang w:eastAsia="en-ZA"/>
              </w:rPr>
              <w:t>Aug-21</w:t>
            </w:r>
          </w:p>
        </w:tc>
        <w:tc>
          <w:tcPr>
            <w:tcW w:w="2504" w:type="dxa"/>
            <w:shd w:val="clear" w:color="auto" w:fill="F58220" w:themeFill="accent1"/>
            <w:noWrap/>
            <w:vAlign w:val="bottom"/>
          </w:tcPr>
          <w:p w14:paraId="12D82652" w14:textId="45249588" w:rsidR="00255192" w:rsidRPr="009E6F22" w:rsidRDefault="00255192" w:rsidP="00852EFF">
            <w:pPr>
              <w:spacing w:after="0" w:line="240" w:lineRule="auto"/>
              <w:jc w:val="center"/>
              <w:rPr>
                <w:rFonts w:ascii="Calibri" w:eastAsia="Times New Roman" w:hAnsi="Calibri" w:cs="Calibri"/>
                <w:b/>
                <w:bCs/>
                <w:lang w:eastAsia="en-ZA"/>
              </w:rPr>
            </w:pPr>
            <w:r>
              <w:rPr>
                <w:rFonts w:ascii="Calibri" w:hAnsi="Calibri" w:cs="Calibri"/>
                <w:b/>
                <w:bCs/>
              </w:rPr>
              <w:t>1 079 970 334 333</w:t>
            </w:r>
          </w:p>
        </w:tc>
        <w:tc>
          <w:tcPr>
            <w:tcW w:w="2040" w:type="dxa"/>
            <w:shd w:val="clear" w:color="auto" w:fill="BFD730"/>
            <w:noWrap/>
            <w:vAlign w:val="bottom"/>
          </w:tcPr>
          <w:p w14:paraId="0942E1E6" w14:textId="1D3DF7E2" w:rsidR="00255192" w:rsidRPr="009E6F22" w:rsidRDefault="00255192" w:rsidP="00255192">
            <w:pPr>
              <w:spacing w:after="0" w:line="240" w:lineRule="auto"/>
              <w:jc w:val="center"/>
              <w:rPr>
                <w:rFonts w:ascii="Calibri" w:eastAsia="Times New Roman" w:hAnsi="Calibri" w:cs="Calibri"/>
                <w:b/>
                <w:bCs/>
                <w:lang w:eastAsia="en-ZA"/>
              </w:rPr>
            </w:pPr>
            <w:r>
              <w:rPr>
                <w:rFonts w:ascii="Calibri" w:hAnsi="Calibri" w:cs="Calibri"/>
                <w:b/>
                <w:bCs/>
              </w:rPr>
              <w:t xml:space="preserve">139 115 440 </w:t>
            </w:r>
          </w:p>
        </w:tc>
        <w:tc>
          <w:tcPr>
            <w:tcW w:w="1901" w:type="dxa"/>
            <w:shd w:val="clear" w:color="auto" w:fill="BFD730"/>
            <w:noWrap/>
            <w:vAlign w:val="bottom"/>
          </w:tcPr>
          <w:p w14:paraId="65E0DA51" w14:textId="61677D19" w:rsidR="00255192" w:rsidRPr="009E6F22" w:rsidRDefault="00255192" w:rsidP="00255192">
            <w:pPr>
              <w:spacing w:after="0" w:line="240" w:lineRule="auto"/>
              <w:jc w:val="center"/>
              <w:rPr>
                <w:rFonts w:ascii="Calibri" w:eastAsia="Times New Roman" w:hAnsi="Calibri" w:cs="Calibri"/>
                <w:b/>
                <w:bCs/>
                <w:lang w:eastAsia="en-ZA"/>
              </w:rPr>
            </w:pPr>
            <w:r>
              <w:rPr>
                <w:rFonts w:ascii="Calibri" w:hAnsi="Calibri" w:cs="Calibri"/>
                <w:b/>
                <w:bCs/>
              </w:rPr>
              <w:t>7738</w:t>
            </w:r>
          </w:p>
        </w:tc>
        <w:tc>
          <w:tcPr>
            <w:tcW w:w="1901" w:type="dxa"/>
            <w:shd w:val="clear" w:color="auto" w:fill="BFD730"/>
            <w:noWrap/>
            <w:vAlign w:val="bottom"/>
          </w:tcPr>
          <w:p w14:paraId="7E24443E" w14:textId="5A371A45" w:rsidR="00255192" w:rsidRPr="009E6F22" w:rsidRDefault="00255192" w:rsidP="00255192">
            <w:pPr>
              <w:spacing w:after="0" w:line="240" w:lineRule="auto"/>
              <w:jc w:val="center"/>
              <w:rPr>
                <w:rFonts w:ascii="Calibri" w:eastAsia="Times New Roman" w:hAnsi="Calibri" w:cs="Calibri"/>
                <w:b/>
                <w:bCs/>
                <w:lang w:eastAsia="en-ZA"/>
              </w:rPr>
            </w:pPr>
            <w:r>
              <w:rPr>
                <w:rFonts w:ascii="Calibri" w:hAnsi="Calibri" w:cs="Calibri"/>
                <w:b/>
                <w:bCs/>
              </w:rPr>
              <w:t>34.3%</w:t>
            </w:r>
          </w:p>
        </w:tc>
      </w:tr>
      <w:tr w:rsidR="00255192" w:rsidRPr="009E6F22" w14:paraId="0D6FB245" w14:textId="77777777" w:rsidTr="00B04DD1">
        <w:trPr>
          <w:trHeight w:val="289"/>
        </w:trPr>
        <w:tc>
          <w:tcPr>
            <w:tcW w:w="1600" w:type="dxa"/>
            <w:shd w:val="clear" w:color="auto" w:fill="auto"/>
            <w:vAlign w:val="bottom"/>
            <w:hideMark/>
          </w:tcPr>
          <w:p w14:paraId="4BE2AECD" w14:textId="77777777" w:rsidR="00255192" w:rsidRPr="009E6F22" w:rsidRDefault="00255192" w:rsidP="00255192">
            <w:pPr>
              <w:spacing w:after="0" w:line="240" w:lineRule="auto"/>
              <w:rPr>
                <w:rFonts w:ascii="Calibri" w:eastAsia="Times New Roman" w:hAnsi="Calibri" w:cs="Calibri"/>
                <w:b/>
                <w:bCs/>
                <w:color w:val="000000"/>
                <w:lang w:eastAsia="en-ZA"/>
              </w:rPr>
            </w:pPr>
            <w:r w:rsidRPr="009E6F22">
              <w:rPr>
                <w:rFonts w:ascii="Calibri" w:eastAsia="Times New Roman" w:hAnsi="Calibri" w:cs="Calibri"/>
                <w:b/>
                <w:bCs/>
                <w:color w:val="000000"/>
                <w:lang w:eastAsia="en-ZA"/>
              </w:rPr>
              <w:t>Sep-21</w:t>
            </w:r>
          </w:p>
        </w:tc>
        <w:tc>
          <w:tcPr>
            <w:tcW w:w="2504" w:type="dxa"/>
            <w:shd w:val="clear" w:color="auto" w:fill="F58220" w:themeFill="accent1"/>
            <w:noWrap/>
            <w:vAlign w:val="bottom"/>
          </w:tcPr>
          <w:p w14:paraId="5258C072" w14:textId="27894CF6" w:rsidR="00255192" w:rsidRPr="009E6F22" w:rsidRDefault="00255192" w:rsidP="00852EFF">
            <w:pPr>
              <w:spacing w:after="0" w:line="240" w:lineRule="auto"/>
              <w:jc w:val="center"/>
              <w:rPr>
                <w:rFonts w:ascii="Calibri" w:eastAsia="Times New Roman" w:hAnsi="Calibri" w:cs="Calibri"/>
                <w:b/>
                <w:bCs/>
                <w:lang w:eastAsia="en-ZA"/>
              </w:rPr>
            </w:pPr>
            <w:r>
              <w:rPr>
                <w:rFonts w:ascii="Calibri" w:hAnsi="Calibri" w:cs="Calibri"/>
                <w:b/>
                <w:bCs/>
              </w:rPr>
              <w:t>1 016 856 555 771</w:t>
            </w:r>
          </w:p>
        </w:tc>
        <w:tc>
          <w:tcPr>
            <w:tcW w:w="2040" w:type="dxa"/>
            <w:shd w:val="clear" w:color="auto" w:fill="BFD730"/>
            <w:noWrap/>
            <w:vAlign w:val="bottom"/>
          </w:tcPr>
          <w:p w14:paraId="31DBA451" w14:textId="6D5B6274" w:rsidR="00255192" w:rsidRPr="009E6F22" w:rsidRDefault="00255192" w:rsidP="00255192">
            <w:pPr>
              <w:spacing w:after="0" w:line="240" w:lineRule="auto"/>
              <w:jc w:val="center"/>
              <w:rPr>
                <w:rFonts w:ascii="Calibri" w:eastAsia="Times New Roman" w:hAnsi="Calibri" w:cs="Calibri"/>
                <w:b/>
                <w:bCs/>
                <w:lang w:eastAsia="en-ZA"/>
              </w:rPr>
            </w:pPr>
            <w:r>
              <w:rPr>
                <w:rFonts w:ascii="Calibri" w:hAnsi="Calibri" w:cs="Calibri"/>
                <w:b/>
                <w:bCs/>
              </w:rPr>
              <w:t xml:space="preserve">122 463 947 </w:t>
            </w:r>
          </w:p>
        </w:tc>
        <w:tc>
          <w:tcPr>
            <w:tcW w:w="1901" w:type="dxa"/>
            <w:shd w:val="clear" w:color="auto" w:fill="BFD730"/>
            <w:noWrap/>
            <w:vAlign w:val="bottom"/>
          </w:tcPr>
          <w:p w14:paraId="523B752A" w14:textId="6826771B" w:rsidR="00255192" w:rsidRPr="009E6F22" w:rsidRDefault="00255192" w:rsidP="00255192">
            <w:pPr>
              <w:spacing w:after="0" w:line="240" w:lineRule="auto"/>
              <w:jc w:val="center"/>
              <w:rPr>
                <w:rFonts w:ascii="Calibri" w:eastAsia="Times New Roman" w:hAnsi="Calibri" w:cs="Calibri"/>
                <w:b/>
                <w:bCs/>
                <w:lang w:eastAsia="en-ZA"/>
              </w:rPr>
            </w:pPr>
            <w:r>
              <w:rPr>
                <w:rFonts w:ascii="Calibri" w:hAnsi="Calibri" w:cs="Calibri"/>
                <w:b/>
                <w:bCs/>
              </w:rPr>
              <w:t>8379</w:t>
            </w:r>
          </w:p>
        </w:tc>
        <w:tc>
          <w:tcPr>
            <w:tcW w:w="1901" w:type="dxa"/>
            <w:shd w:val="clear" w:color="auto" w:fill="BFD730"/>
            <w:noWrap/>
            <w:vAlign w:val="bottom"/>
          </w:tcPr>
          <w:p w14:paraId="4E0ABFDF" w14:textId="26B43F4C" w:rsidR="00255192" w:rsidRPr="009E6F22" w:rsidRDefault="00255192" w:rsidP="00255192">
            <w:pPr>
              <w:spacing w:after="0" w:line="240" w:lineRule="auto"/>
              <w:jc w:val="center"/>
              <w:rPr>
                <w:rFonts w:ascii="Calibri" w:eastAsia="Times New Roman" w:hAnsi="Calibri" w:cs="Calibri"/>
                <w:b/>
                <w:bCs/>
                <w:lang w:eastAsia="en-ZA"/>
              </w:rPr>
            </w:pPr>
            <w:r>
              <w:rPr>
                <w:rFonts w:ascii="Calibri" w:hAnsi="Calibri" w:cs="Calibri"/>
                <w:b/>
                <w:bCs/>
              </w:rPr>
              <w:t>16.0%</w:t>
            </w:r>
          </w:p>
        </w:tc>
      </w:tr>
      <w:tr w:rsidR="00255192" w:rsidRPr="009E6F22" w14:paraId="74A1E214" w14:textId="77777777" w:rsidTr="00B04DD1">
        <w:trPr>
          <w:trHeight w:val="289"/>
        </w:trPr>
        <w:tc>
          <w:tcPr>
            <w:tcW w:w="1600" w:type="dxa"/>
            <w:shd w:val="clear" w:color="auto" w:fill="auto"/>
            <w:vAlign w:val="bottom"/>
            <w:hideMark/>
          </w:tcPr>
          <w:p w14:paraId="1116B5E5" w14:textId="77777777" w:rsidR="00255192" w:rsidRPr="009E6F22" w:rsidRDefault="00255192" w:rsidP="00255192">
            <w:pPr>
              <w:spacing w:after="0" w:line="240" w:lineRule="auto"/>
              <w:rPr>
                <w:rFonts w:ascii="Calibri" w:eastAsia="Times New Roman" w:hAnsi="Calibri" w:cs="Calibri"/>
                <w:b/>
                <w:bCs/>
                <w:color w:val="000000"/>
                <w:lang w:eastAsia="en-ZA"/>
              </w:rPr>
            </w:pPr>
            <w:r w:rsidRPr="009E6F22">
              <w:rPr>
                <w:rFonts w:ascii="Calibri" w:eastAsia="Times New Roman" w:hAnsi="Calibri" w:cs="Calibri"/>
                <w:b/>
                <w:bCs/>
                <w:color w:val="000000"/>
                <w:lang w:eastAsia="en-ZA"/>
              </w:rPr>
              <w:t>Oct-21</w:t>
            </w:r>
          </w:p>
        </w:tc>
        <w:tc>
          <w:tcPr>
            <w:tcW w:w="2504" w:type="dxa"/>
            <w:shd w:val="clear" w:color="auto" w:fill="F58220" w:themeFill="accent1"/>
            <w:noWrap/>
            <w:vAlign w:val="bottom"/>
          </w:tcPr>
          <w:p w14:paraId="2F4CC7D7" w14:textId="595A48F1" w:rsidR="00255192" w:rsidRPr="009E6F22" w:rsidRDefault="00255192" w:rsidP="00852EFF">
            <w:pPr>
              <w:spacing w:after="0" w:line="240" w:lineRule="auto"/>
              <w:jc w:val="center"/>
              <w:rPr>
                <w:rFonts w:ascii="Calibri" w:eastAsia="Times New Roman" w:hAnsi="Calibri" w:cs="Calibri"/>
                <w:b/>
                <w:bCs/>
                <w:lang w:eastAsia="en-ZA"/>
              </w:rPr>
            </w:pPr>
            <w:r>
              <w:rPr>
                <w:rFonts w:ascii="Calibri" w:hAnsi="Calibri" w:cs="Calibri"/>
                <w:b/>
                <w:bCs/>
              </w:rPr>
              <w:t>1 036 674 654 205</w:t>
            </w:r>
          </w:p>
        </w:tc>
        <w:tc>
          <w:tcPr>
            <w:tcW w:w="2040" w:type="dxa"/>
            <w:shd w:val="clear" w:color="auto" w:fill="BFD730"/>
            <w:noWrap/>
            <w:vAlign w:val="bottom"/>
          </w:tcPr>
          <w:p w14:paraId="2F9B5F0B" w14:textId="65DCF5AC" w:rsidR="00255192" w:rsidRPr="009E6F22" w:rsidRDefault="00255192" w:rsidP="00255192">
            <w:pPr>
              <w:spacing w:after="0" w:line="240" w:lineRule="auto"/>
              <w:jc w:val="center"/>
              <w:rPr>
                <w:rFonts w:ascii="Calibri" w:eastAsia="Times New Roman" w:hAnsi="Calibri" w:cs="Calibri"/>
                <w:b/>
                <w:bCs/>
                <w:lang w:eastAsia="en-ZA"/>
              </w:rPr>
            </w:pPr>
            <w:r>
              <w:rPr>
                <w:rFonts w:ascii="Calibri" w:hAnsi="Calibri" w:cs="Calibri"/>
                <w:b/>
                <w:bCs/>
              </w:rPr>
              <w:t xml:space="preserve">126 082 582 </w:t>
            </w:r>
          </w:p>
        </w:tc>
        <w:tc>
          <w:tcPr>
            <w:tcW w:w="1901" w:type="dxa"/>
            <w:shd w:val="clear" w:color="auto" w:fill="BFD730"/>
            <w:noWrap/>
            <w:vAlign w:val="bottom"/>
          </w:tcPr>
          <w:p w14:paraId="7699FDF6" w14:textId="46F1B1EC" w:rsidR="00255192" w:rsidRPr="009E6F22" w:rsidRDefault="00255192" w:rsidP="00255192">
            <w:pPr>
              <w:spacing w:after="0" w:line="240" w:lineRule="auto"/>
              <w:jc w:val="center"/>
              <w:rPr>
                <w:rFonts w:ascii="Calibri" w:eastAsia="Times New Roman" w:hAnsi="Calibri" w:cs="Calibri"/>
                <w:b/>
                <w:bCs/>
                <w:lang w:eastAsia="en-ZA"/>
              </w:rPr>
            </w:pPr>
            <w:r>
              <w:rPr>
                <w:rFonts w:ascii="Calibri" w:hAnsi="Calibri" w:cs="Calibri"/>
                <w:b/>
                <w:bCs/>
              </w:rPr>
              <w:t>8171</w:t>
            </w:r>
          </w:p>
        </w:tc>
        <w:tc>
          <w:tcPr>
            <w:tcW w:w="1901" w:type="dxa"/>
            <w:shd w:val="clear" w:color="auto" w:fill="BFD730"/>
            <w:noWrap/>
            <w:vAlign w:val="bottom"/>
          </w:tcPr>
          <w:p w14:paraId="0CB0C5D3" w14:textId="414395F5" w:rsidR="00255192" w:rsidRPr="009E6F22" w:rsidRDefault="00255192" w:rsidP="00255192">
            <w:pPr>
              <w:spacing w:after="0" w:line="240" w:lineRule="auto"/>
              <w:jc w:val="center"/>
              <w:rPr>
                <w:rFonts w:ascii="Calibri" w:eastAsia="Times New Roman" w:hAnsi="Calibri" w:cs="Calibri"/>
                <w:b/>
                <w:bCs/>
                <w:lang w:eastAsia="en-ZA"/>
              </w:rPr>
            </w:pPr>
            <w:r>
              <w:rPr>
                <w:rFonts w:ascii="Calibri" w:hAnsi="Calibri" w:cs="Calibri"/>
                <w:b/>
                <w:bCs/>
              </w:rPr>
              <w:t>11.1%</w:t>
            </w:r>
          </w:p>
        </w:tc>
      </w:tr>
      <w:tr w:rsidR="00255192" w:rsidRPr="009E6F22" w14:paraId="4564353F" w14:textId="77777777" w:rsidTr="00B04DD1">
        <w:trPr>
          <w:trHeight w:val="289"/>
        </w:trPr>
        <w:tc>
          <w:tcPr>
            <w:tcW w:w="1600" w:type="dxa"/>
            <w:shd w:val="clear" w:color="auto" w:fill="auto"/>
            <w:vAlign w:val="bottom"/>
            <w:hideMark/>
          </w:tcPr>
          <w:p w14:paraId="016AFC7A" w14:textId="77777777" w:rsidR="00255192" w:rsidRPr="009E6F22" w:rsidRDefault="00255192" w:rsidP="00255192">
            <w:pPr>
              <w:spacing w:after="0" w:line="240" w:lineRule="auto"/>
              <w:rPr>
                <w:rFonts w:ascii="Calibri" w:eastAsia="Times New Roman" w:hAnsi="Calibri" w:cs="Calibri"/>
                <w:b/>
                <w:bCs/>
                <w:color w:val="000000"/>
                <w:lang w:eastAsia="en-ZA"/>
              </w:rPr>
            </w:pPr>
            <w:r w:rsidRPr="009E6F22">
              <w:rPr>
                <w:rFonts w:ascii="Calibri" w:eastAsia="Times New Roman" w:hAnsi="Calibri" w:cs="Calibri"/>
                <w:b/>
                <w:bCs/>
                <w:color w:val="000000"/>
                <w:lang w:eastAsia="en-ZA"/>
              </w:rPr>
              <w:t>Nov-21</w:t>
            </w:r>
          </w:p>
        </w:tc>
        <w:tc>
          <w:tcPr>
            <w:tcW w:w="2504" w:type="dxa"/>
            <w:shd w:val="clear" w:color="auto" w:fill="F58220" w:themeFill="accent1"/>
            <w:noWrap/>
            <w:vAlign w:val="bottom"/>
          </w:tcPr>
          <w:p w14:paraId="00647452" w14:textId="77AD1BA4" w:rsidR="00255192" w:rsidRPr="009E6F22" w:rsidRDefault="00255192" w:rsidP="00852EFF">
            <w:pPr>
              <w:spacing w:after="0" w:line="240" w:lineRule="auto"/>
              <w:jc w:val="center"/>
              <w:rPr>
                <w:rFonts w:ascii="Calibri" w:eastAsia="Times New Roman" w:hAnsi="Calibri" w:cs="Calibri"/>
                <w:b/>
                <w:bCs/>
                <w:lang w:eastAsia="en-ZA"/>
              </w:rPr>
            </w:pPr>
            <w:r>
              <w:rPr>
                <w:rFonts w:ascii="Calibri" w:hAnsi="Calibri" w:cs="Calibri"/>
                <w:b/>
                <w:bCs/>
              </w:rPr>
              <w:t>1 129 846 454 138</w:t>
            </w:r>
          </w:p>
        </w:tc>
        <w:tc>
          <w:tcPr>
            <w:tcW w:w="2040" w:type="dxa"/>
            <w:shd w:val="clear" w:color="auto" w:fill="BFD730"/>
            <w:noWrap/>
            <w:vAlign w:val="bottom"/>
          </w:tcPr>
          <w:p w14:paraId="28CF1069" w14:textId="68C9B94C" w:rsidR="00255192" w:rsidRPr="009E6F22" w:rsidRDefault="00255192" w:rsidP="00255192">
            <w:pPr>
              <w:spacing w:after="0" w:line="240" w:lineRule="auto"/>
              <w:jc w:val="center"/>
              <w:rPr>
                <w:rFonts w:ascii="Calibri" w:eastAsia="Times New Roman" w:hAnsi="Calibri" w:cs="Calibri"/>
                <w:b/>
                <w:bCs/>
                <w:lang w:eastAsia="en-ZA"/>
              </w:rPr>
            </w:pPr>
            <w:r>
              <w:rPr>
                <w:rFonts w:ascii="Calibri" w:hAnsi="Calibri" w:cs="Calibri"/>
                <w:b/>
                <w:bCs/>
              </w:rPr>
              <w:t xml:space="preserve">127 206 375 </w:t>
            </w:r>
          </w:p>
        </w:tc>
        <w:tc>
          <w:tcPr>
            <w:tcW w:w="1901" w:type="dxa"/>
            <w:shd w:val="clear" w:color="auto" w:fill="BFD730"/>
            <w:noWrap/>
            <w:vAlign w:val="bottom"/>
          </w:tcPr>
          <w:p w14:paraId="2AB547F9" w14:textId="02635984" w:rsidR="00255192" w:rsidRPr="009E6F22" w:rsidRDefault="00255192" w:rsidP="00255192">
            <w:pPr>
              <w:spacing w:after="0" w:line="240" w:lineRule="auto"/>
              <w:jc w:val="center"/>
              <w:rPr>
                <w:rFonts w:ascii="Calibri" w:eastAsia="Times New Roman" w:hAnsi="Calibri" w:cs="Calibri"/>
                <w:b/>
                <w:bCs/>
                <w:lang w:eastAsia="en-ZA"/>
              </w:rPr>
            </w:pPr>
            <w:r>
              <w:rPr>
                <w:rFonts w:ascii="Calibri" w:hAnsi="Calibri" w:cs="Calibri"/>
                <w:b/>
                <w:bCs/>
              </w:rPr>
              <w:t>8715</w:t>
            </w:r>
          </w:p>
        </w:tc>
        <w:tc>
          <w:tcPr>
            <w:tcW w:w="1901" w:type="dxa"/>
            <w:shd w:val="clear" w:color="auto" w:fill="BFD730"/>
            <w:noWrap/>
            <w:vAlign w:val="bottom"/>
          </w:tcPr>
          <w:p w14:paraId="0796F5E6" w14:textId="386DDD51" w:rsidR="00255192" w:rsidRPr="009E6F22" w:rsidRDefault="00255192" w:rsidP="00255192">
            <w:pPr>
              <w:spacing w:after="0" w:line="240" w:lineRule="auto"/>
              <w:jc w:val="center"/>
              <w:rPr>
                <w:rFonts w:ascii="Calibri" w:eastAsia="Times New Roman" w:hAnsi="Calibri" w:cs="Calibri"/>
                <w:b/>
                <w:bCs/>
                <w:lang w:eastAsia="en-ZA"/>
              </w:rPr>
            </w:pPr>
            <w:r>
              <w:rPr>
                <w:rFonts w:ascii="Calibri" w:hAnsi="Calibri" w:cs="Calibri"/>
                <w:b/>
                <w:bCs/>
              </w:rPr>
              <w:t>20.6%</w:t>
            </w:r>
          </w:p>
        </w:tc>
      </w:tr>
      <w:tr w:rsidR="00255192" w:rsidRPr="009E6F22" w14:paraId="39822807" w14:textId="77777777" w:rsidTr="00B04DD1">
        <w:trPr>
          <w:trHeight w:val="289"/>
        </w:trPr>
        <w:tc>
          <w:tcPr>
            <w:tcW w:w="1600" w:type="dxa"/>
            <w:shd w:val="clear" w:color="auto" w:fill="auto"/>
            <w:vAlign w:val="bottom"/>
            <w:hideMark/>
          </w:tcPr>
          <w:p w14:paraId="305B90AC" w14:textId="77777777" w:rsidR="00255192" w:rsidRPr="009E6F22" w:rsidRDefault="00255192" w:rsidP="00255192">
            <w:pPr>
              <w:spacing w:after="0" w:line="240" w:lineRule="auto"/>
              <w:rPr>
                <w:rFonts w:ascii="Calibri" w:eastAsia="Times New Roman" w:hAnsi="Calibri" w:cs="Calibri"/>
                <w:b/>
                <w:bCs/>
                <w:color w:val="000000"/>
                <w:lang w:eastAsia="en-ZA"/>
              </w:rPr>
            </w:pPr>
            <w:r w:rsidRPr="009E6F22">
              <w:rPr>
                <w:rFonts w:ascii="Calibri" w:eastAsia="Times New Roman" w:hAnsi="Calibri" w:cs="Calibri"/>
                <w:b/>
                <w:bCs/>
                <w:color w:val="000000"/>
                <w:lang w:eastAsia="en-ZA"/>
              </w:rPr>
              <w:t>Dec-21</w:t>
            </w:r>
          </w:p>
        </w:tc>
        <w:tc>
          <w:tcPr>
            <w:tcW w:w="2504" w:type="dxa"/>
            <w:shd w:val="clear" w:color="auto" w:fill="F58220" w:themeFill="accent1"/>
            <w:noWrap/>
            <w:vAlign w:val="bottom"/>
          </w:tcPr>
          <w:p w14:paraId="43C9E7B5" w14:textId="470A5777" w:rsidR="00255192" w:rsidRPr="009E6F22" w:rsidRDefault="00255192" w:rsidP="00852EFF">
            <w:pPr>
              <w:spacing w:after="0" w:line="240" w:lineRule="auto"/>
              <w:jc w:val="center"/>
              <w:rPr>
                <w:rFonts w:ascii="Calibri" w:eastAsia="Times New Roman" w:hAnsi="Calibri" w:cs="Calibri"/>
                <w:b/>
                <w:bCs/>
                <w:lang w:eastAsia="en-ZA"/>
              </w:rPr>
            </w:pPr>
            <w:r>
              <w:rPr>
                <w:rFonts w:ascii="Calibri" w:hAnsi="Calibri" w:cs="Calibri"/>
                <w:b/>
                <w:bCs/>
              </w:rPr>
              <w:t>1 147 364 076 089</w:t>
            </w:r>
          </w:p>
        </w:tc>
        <w:tc>
          <w:tcPr>
            <w:tcW w:w="2040" w:type="dxa"/>
            <w:shd w:val="clear" w:color="auto" w:fill="BFD730"/>
            <w:noWrap/>
            <w:vAlign w:val="bottom"/>
          </w:tcPr>
          <w:p w14:paraId="33CAE0B3" w14:textId="1DD69571" w:rsidR="00255192" w:rsidRPr="009E6F22" w:rsidRDefault="00255192" w:rsidP="00255192">
            <w:pPr>
              <w:spacing w:after="0" w:line="240" w:lineRule="auto"/>
              <w:jc w:val="center"/>
              <w:rPr>
                <w:rFonts w:ascii="Calibri" w:eastAsia="Times New Roman" w:hAnsi="Calibri" w:cs="Calibri"/>
                <w:b/>
                <w:bCs/>
                <w:lang w:eastAsia="en-ZA"/>
              </w:rPr>
            </w:pPr>
            <w:r>
              <w:rPr>
                <w:rFonts w:ascii="Calibri" w:hAnsi="Calibri" w:cs="Calibri"/>
                <w:b/>
                <w:bCs/>
              </w:rPr>
              <w:t xml:space="preserve">128 960 377 </w:t>
            </w:r>
          </w:p>
        </w:tc>
        <w:tc>
          <w:tcPr>
            <w:tcW w:w="1901" w:type="dxa"/>
            <w:shd w:val="clear" w:color="auto" w:fill="BFD730"/>
            <w:noWrap/>
            <w:vAlign w:val="bottom"/>
          </w:tcPr>
          <w:p w14:paraId="091AF39F" w14:textId="688A98EB" w:rsidR="00255192" w:rsidRPr="009E6F22" w:rsidRDefault="00255192" w:rsidP="00255192">
            <w:pPr>
              <w:spacing w:after="0" w:line="240" w:lineRule="auto"/>
              <w:jc w:val="center"/>
              <w:rPr>
                <w:rFonts w:ascii="Calibri" w:eastAsia="Times New Roman" w:hAnsi="Calibri" w:cs="Calibri"/>
                <w:b/>
                <w:bCs/>
                <w:lang w:eastAsia="en-ZA"/>
              </w:rPr>
            </w:pPr>
            <w:r>
              <w:rPr>
                <w:rFonts w:ascii="Calibri" w:hAnsi="Calibri" w:cs="Calibri"/>
                <w:b/>
                <w:bCs/>
              </w:rPr>
              <w:t>8842</w:t>
            </w:r>
          </w:p>
        </w:tc>
        <w:tc>
          <w:tcPr>
            <w:tcW w:w="1901" w:type="dxa"/>
            <w:shd w:val="clear" w:color="auto" w:fill="BFD730"/>
            <w:noWrap/>
            <w:vAlign w:val="bottom"/>
          </w:tcPr>
          <w:p w14:paraId="6A00BDE7" w14:textId="28196A7B" w:rsidR="00255192" w:rsidRPr="009E6F22" w:rsidRDefault="00255192" w:rsidP="00255192">
            <w:pPr>
              <w:spacing w:after="0" w:line="240" w:lineRule="auto"/>
              <w:jc w:val="center"/>
              <w:rPr>
                <w:rFonts w:ascii="Calibri" w:eastAsia="Times New Roman" w:hAnsi="Calibri" w:cs="Calibri"/>
                <w:b/>
                <w:bCs/>
                <w:lang w:eastAsia="en-ZA"/>
              </w:rPr>
            </w:pPr>
            <w:r>
              <w:rPr>
                <w:rFonts w:ascii="Calibri" w:hAnsi="Calibri" w:cs="Calibri"/>
                <w:b/>
                <w:bCs/>
              </w:rPr>
              <w:t>9.6%</w:t>
            </w:r>
          </w:p>
        </w:tc>
      </w:tr>
      <w:tr w:rsidR="00255192" w:rsidRPr="009E6F22" w14:paraId="43CCAA2C" w14:textId="77777777" w:rsidTr="00B04DD1">
        <w:trPr>
          <w:trHeight w:val="289"/>
        </w:trPr>
        <w:tc>
          <w:tcPr>
            <w:tcW w:w="1600" w:type="dxa"/>
            <w:shd w:val="clear" w:color="auto" w:fill="auto"/>
            <w:vAlign w:val="bottom"/>
            <w:hideMark/>
          </w:tcPr>
          <w:p w14:paraId="5146579A" w14:textId="77777777" w:rsidR="00255192" w:rsidRPr="009E6F22" w:rsidRDefault="00255192" w:rsidP="00255192">
            <w:pPr>
              <w:spacing w:after="0" w:line="240" w:lineRule="auto"/>
              <w:rPr>
                <w:rFonts w:ascii="Calibri" w:eastAsia="Times New Roman" w:hAnsi="Calibri" w:cs="Calibri"/>
                <w:b/>
                <w:bCs/>
                <w:color w:val="000000"/>
                <w:lang w:eastAsia="en-ZA"/>
              </w:rPr>
            </w:pPr>
            <w:r w:rsidRPr="009E6F22">
              <w:rPr>
                <w:rFonts w:ascii="Calibri" w:eastAsia="Times New Roman" w:hAnsi="Calibri" w:cs="Calibri"/>
                <w:b/>
                <w:bCs/>
                <w:color w:val="000000"/>
                <w:lang w:eastAsia="en-ZA"/>
              </w:rPr>
              <w:t>Jan-22</w:t>
            </w:r>
          </w:p>
        </w:tc>
        <w:tc>
          <w:tcPr>
            <w:tcW w:w="2504" w:type="dxa"/>
            <w:shd w:val="clear" w:color="auto" w:fill="F58220" w:themeFill="accent1"/>
            <w:noWrap/>
            <w:vAlign w:val="bottom"/>
          </w:tcPr>
          <w:p w14:paraId="129B9E97" w14:textId="72CA57DB" w:rsidR="00255192" w:rsidRPr="009E6F22" w:rsidRDefault="00255192" w:rsidP="00852EFF">
            <w:pPr>
              <w:spacing w:after="0" w:line="240" w:lineRule="auto"/>
              <w:jc w:val="center"/>
              <w:rPr>
                <w:rFonts w:ascii="Calibri" w:eastAsia="Times New Roman" w:hAnsi="Calibri" w:cs="Calibri"/>
                <w:b/>
                <w:bCs/>
                <w:lang w:eastAsia="en-ZA"/>
              </w:rPr>
            </w:pPr>
            <w:r>
              <w:rPr>
                <w:rFonts w:ascii="Calibri" w:hAnsi="Calibri" w:cs="Calibri"/>
                <w:b/>
                <w:bCs/>
              </w:rPr>
              <w:t>960 782 863 732</w:t>
            </w:r>
          </w:p>
        </w:tc>
        <w:tc>
          <w:tcPr>
            <w:tcW w:w="2040" w:type="dxa"/>
            <w:shd w:val="clear" w:color="auto" w:fill="BFD730"/>
            <w:noWrap/>
            <w:vAlign w:val="bottom"/>
          </w:tcPr>
          <w:p w14:paraId="771FD30E" w14:textId="4C2FDB0E" w:rsidR="00255192" w:rsidRPr="009E6F22" w:rsidRDefault="00255192" w:rsidP="00255192">
            <w:pPr>
              <w:spacing w:after="0" w:line="240" w:lineRule="auto"/>
              <w:jc w:val="center"/>
              <w:rPr>
                <w:rFonts w:ascii="Calibri" w:eastAsia="Times New Roman" w:hAnsi="Calibri" w:cs="Calibri"/>
                <w:b/>
                <w:bCs/>
                <w:lang w:eastAsia="en-ZA"/>
              </w:rPr>
            </w:pPr>
            <w:r>
              <w:rPr>
                <w:rFonts w:ascii="Calibri" w:hAnsi="Calibri" w:cs="Calibri"/>
                <w:b/>
                <w:bCs/>
              </w:rPr>
              <w:t xml:space="preserve">114 988 683 </w:t>
            </w:r>
          </w:p>
        </w:tc>
        <w:tc>
          <w:tcPr>
            <w:tcW w:w="1901" w:type="dxa"/>
            <w:shd w:val="clear" w:color="auto" w:fill="BFD730"/>
            <w:noWrap/>
            <w:vAlign w:val="bottom"/>
          </w:tcPr>
          <w:p w14:paraId="1AF0B5E0" w14:textId="77BAF3C1" w:rsidR="00255192" w:rsidRPr="009E6F22" w:rsidRDefault="00255192" w:rsidP="00255192">
            <w:pPr>
              <w:spacing w:after="0" w:line="240" w:lineRule="auto"/>
              <w:jc w:val="center"/>
              <w:rPr>
                <w:rFonts w:ascii="Calibri" w:eastAsia="Times New Roman" w:hAnsi="Calibri" w:cs="Calibri"/>
                <w:b/>
                <w:bCs/>
                <w:lang w:eastAsia="en-ZA"/>
              </w:rPr>
            </w:pPr>
            <w:r>
              <w:rPr>
                <w:rFonts w:ascii="Calibri" w:hAnsi="Calibri" w:cs="Calibri"/>
                <w:b/>
                <w:bCs/>
              </w:rPr>
              <w:t>8304</w:t>
            </w:r>
          </w:p>
        </w:tc>
        <w:tc>
          <w:tcPr>
            <w:tcW w:w="1901" w:type="dxa"/>
            <w:shd w:val="clear" w:color="auto" w:fill="BFD730"/>
            <w:noWrap/>
            <w:vAlign w:val="bottom"/>
          </w:tcPr>
          <w:p w14:paraId="1F7E1A89" w14:textId="5A263590" w:rsidR="00255192" w:rsidRPr="009E6F22" w:rsidRDefault="00255192" w:rsidP="00255192">
            <w:pPr>
              <w:spacing w:after="0" w:line="240" w:lineRule="auto"/>
              <w:jc w:val="center"/>
              <w:rPr>
                <w:rFonts w:ascii="Calibri" w:eastAsia="Times New Roman" w:hAnsi="Calibri" w:cs="Calibri"/>
                <w:b/>
                <w:bCs/>
                <w:lang w:eastAsia="en-ZA"/>
              </w:rPr>
            </w:pPr>
            <w:r>
              <w:rPr>
                <w:rFonts w:ascii="Calibri" w:hAnsi="Calibri" w:cs="Calibri"/>
                <w:b/>
                <w:bCs/>
              </w:rPr>
              <w:t>16.1%</w:t>
            </w:r>
          </w:p>
        </w:tc>
      </w:tr>
      <w:tr w:rsidR="00255192" w:rsidRPr="009E6F22" w14:paraId="18B3296E" w14:textId="77777777" w:rsidTr="00B04DD1">
        <w:trPr>
          <w:trHeight w:val="289"/>
        </w:trPr>
        <w:tc>
          <w:tcPr>
            <w:tcW w:w="1600" w:type="dxa"/>
            <w:shd w:val="clear" w:color="auto" w:fill="auto"/>
            <w:vAlign w:val="bottom"/>
            <w:hideMark/>
          </w:tcPr>
          <w:p w14:paraId="1DA940DD" w14:textId="77777777" w:rsidR="00255192" w:rsidRPr="009E6F22" w:rsidRDefault="00255192" w:rsidP="00255192">
            <w:pPr>
              <w:spacing w:after="0" w:line="240" w:lineRule="auto"/>
              <w:rPr>
                <w:rFonts w:ascii="Calibri" w:eastAsia="Times New Roman" w:hAnsi="Calibri" w:cs="Calibri"/>
                <w:b/>
                <w:bCs/>
                <w:color w:val="000000"/>
                <w:lang w:eastAsia="en-ZA"/>
              </w:rPr>
            </w:pPr>
            <w:r w:rsidRPr="009E6F22">
              <w:rPr>
                <w:rFonts w:ascii="Calibri" w:eastAsia="Times New Roman" w:hAnsi="Calibri" w:cs="Calibri"/>
                <w:b/>
                <w:bCs/>
                <w:color w:val="000000"/>
                <w:lang w:eastAsia="en-ZA"/>
              </w:rPr>
              <w:t>Feb-22</w:t>
            </w:r>
          </w:p>
        </w:tc>
        <w:tc>
          <w:tcPr>
            <w:tcW w:w="2504" w:type="dxa"/>
            <w:shd w:val="clear" w:color="auto" w:fill="F58220" w:themeFill="accent1"/>
            <w:noWrap/>
            <w:vAlign w:val="bottom"/>
          </w:tcPr>
          <w:p w14:paraId="012A20D3" w14:textId="57994E6A" w:rsidR="00255192" w:rsidRPr="009E6F22" w:rsidRDefault="00255192" w:rsidP="00852EFF">
            <w:pPr>
              <w:spacing w:after="0" w:line="240" w:lineRule="auto"/>
              <w:jc w:val="center"/>
              <w:rPr>
                <w:rFonts w:ascii="Calibri" w:eastAsia="Times New Roman" w:hAnsi="Calibri" w:cs="Calibri"/>
                <w:b/>
                <w:bCs/>
                <w:lang w:eastAsia="en-ZA"/>
              </w:rPr>
            </w:pPr>
            <w:r>
              <w:rPr>
                <w:rFonts w:ascii="Calibri" w:hAnsi="Calibri" w:cs="Calibri"/>
                <w:b/>
                <w:bCs/>
              </w:rPr>
              <w:t>1 122 350 186 710</w:t>
            </w:r>
          </w:p>
        </w:tc>
        <w:tc>
          <w:tcPr>
            <w:tcW w:w="2040" w:type="dxa"/>
            <w:shd w:val="clear" w:color="auto" w:fill="BFD730"/>
            <w:noWrap/>
            <w:vAlign w:val="bottom"/>
          </w:tcPr>
          <w:p w14:paraId="4839FD84" w14:textId="62F37B1B" w:rsidR="00255192" w:rsidRPr="009E6F22" w:rsidRDefault="00255192" w:rsidP="00255192">
            <w:pPr>
              <w:spacing w:after="0" w:line="240" w:lineRule="auto"/>
              <w:jc w:val="center"/>
              <w:rPr>
                <w:rFonts w:ascii="Calibri" w:eastAsia="Times New Roman" w:hAnsi="Calibri" w:cs="Calibri"/>
                <w:b/>
                <w:bCs/>
                <w:lang w:eastAsia="en-ZA"/>
              </w:rPr>
            </w:pPr>
            <w:r>
              <w:rPr>
                <w:rFonts w:ascii="Calibri" w:hAnsi="Calibri" w:cs="Calibri"/>
                <w:b/>
                <w:bCs/>
              </w:rPr>
              <w:t xml:space="preserve">118 715 952 </w:t>
            </w:r>
          </w:p>
        </w:tc>
        <w:tc>
          <w:tcPr>
            <w:tcW w:w="1901" w:type="dxa"/>
            <w:shd w:val="clear" w:color="auto" w:fill="BFD730"/>
            <w:noWrap/>
            <w:vAlign w:val="bottom"/>
          </w:tcPr>
          <w:p w14:paraId="73BF9A00" w14:textId="59FE5428" w:rsidR="00255192" w:rsidRPr="009E6F22" w:rsidRDefault="00255192" w:rsidP="00255192">
            <w:pPr>
              <w:spacing w:after="0" w:line="240" w:lineRule="auto"/>
              <w:jc w:val="center"/>
              <w:rPr>
                <w:rFonts w:ascii="Calibri" w:eastAsia="Times New Roman" w:hAnsi="Calibri" w:cs="Calibri"/>
                <w:b/>
                <w:bCs/>
                <w:lang w:eastAsia="en-ZA"/>
              </w:rPr>
            </w:pPr>
            <w:r>
              <w:rPr>
                <w:rFonts w:ascii="Calibri" w:hAnsi="Calibri" w:cs="Calibri"/>
                <w:b/>
                <w:bCs/>
              </w:rPr>
              <w:t>8765</w:t>
            </w:r>
          </w:p>
        </w:tc>
        <w:tc>
          <w:tcPr>
            <w:tcW w:w="1901" w:type="dxa"/>
            <w:shd w:val="clear" w:color="auto" w:fill="BFD730"/>
            <w:noWrap/>
            <w:vAlign w:val="bottom"/>
          </w:tcPr>
          <w:p w14:paraId="1883F0A2" w14:textId="0CEF581A" w:rsidR="00255192" w:rsidRPr="009E6F22" w:rsidRDefault="00255192" w:rsidP="00255192">
            <w:pPr>
              <w:spacing w:after="0" w:line="240" w:lineRule="auto"/>
              <w:jc w:val="center"/>
              <w:rPr>
                <w:rFonts w:ascii="Calibri" w:eastAsia="Times New Roman" w:hAnsi="Calibri" w:cs="Calibri"/>
                <w:b/>
                <w:bCs/>
                <w:lang w:eastAsia="en-ZA"/>
              </w:rPr>
            </w:pPr>
            <w:r>
              <w:rPr>
                <w:rFonts w:ascii="Calibri" w:hAnsi="Calibri" w:cs="Calibri"/>
                <w:b/>
                <w:bCs/>
              </w:rPr>
              <w:t>12.7%</w:t>
            </w:r>
          </w:p>
        </w:tc>
      </w:tr>
      <w:tr w:rsidR="00255192" w:rsidRPr="009E6F22" w14:paraId="50644877" w14:textId="77777777" w:rsidTr="00B04DD1">
        <w:trPr>
          <w:trHeight w:val="289"/>
        </w:trPr>
        <w:tc>
          <w:tcPr>
            <w:tcW w:w="1600" w:type="dxa"/>
            <w:shd w:val="clear" w:color="auto" w:fill="auto"/>
            <w:vAlign w:val="bottom"/>
            <w:hideMark/>
          </w:tcPr>
          <w:p w14:paraId="2C492BBE" w14:textId="77777777" w:rsidR="00255192" w:rsidRPr="009E6F22" w:rsidRDefault="00255192" w:rsidP="00255192">
            <w:pPr>
              <w:spacing w:after="0" w:line="240" w:lineRule="auto"/>
              <w:rPr>
                <w:rFonts w:ascii="Calibri" w:eastAsia="Times New Roman" w:hAnsi="Calibri" w:cs="Calibri"/>
                <w:b/>
                <w:bCs/>
                <w:color w:val="000000"/>
                <w:lang w:eastAsia="en-ZA"/>
              </w:rPr>
            </w:pPr>
            <w:r w:rsidRPr="009E6F22">
              <w:rPr>
                <w:rFonts w:ascii="Calibri" w:eastAsia="Times New Roman" w:hAnsi="Calibri" w:cs="Calibri"/>
                <w:b/>
                <w:bCs/>
                <w:color w:val="000000"/>
                <w:lang w:eastAsia="en-ZA"/>
              </w:rPr>
              <w:t>Mar-22</w:t>
            </w:r>
          </w:p>
        </w:tc>
        <w:tc>
          <w:tcPr>
            <w:tcW w:w="2504" w:type="dxa"/>
            <w:shd w:val="clear" w:color="auto" w:fill="F58220" w:themeFill="accent1"/>
            <w:noWrap/>
            <w:vAlign w:val="bottom"/>
          </w:tcPr>
          <w:p w14:paraId="0E1FD624" w14:textId="2F621B0A" w:rsidR="00255192" w:rsidRPr="009E6F22" w:rsidRDefault="00255192" w:rsidP="00852EFF">
            <w:pPr>
              <w:spacing w:after="0" w:line="240" w:lineRule="auto"/>
              <w:jc w:val="center"/>
              <w:rPr>
                <w:rFonts w:ascii="Calibri" w:eastAsia="Times New Roman" w:hAnsi="Calibri" w:cs="Calibri"/>
                <w:b/>
                <w:bCs/>
                <w:lang w:eastAsia="en-ZA"/>
              </w:rPr>
            </w:pPr>
            <w:r>
              <w:rPr>
                <w:rFonts w:ascii="Calibri" w:hAnsi="Calibri" w:cs="Calibri"/>
                <w:b/>
                <w:bCs/>
              </w:rPr>
              <w:t>1 150 548 182 261</w:t>
            </w:r>
          </w:p>
        </w:tc>
        <w:tc>
          <w:tcPr>
            <w:tcW w:w="2040" w:type="dxa"/>
            <w:shd w:val="clear" w:color="auto" w:fill="BFD730"/>
            <w:noWrap/>
            <w:vAlign w:val="bottom"/>
          </w:tcPr>
          <w:p w14:paraId="7666ECCE" w14:textId="31C69E8A" w:rsidR="00255192" w:rsidRPr="009E6F22" w:rsidRDefault="00255192" w:rsidP="00255192">
            <w:pPr>
              <w:spacing w:after="0" w:line="240" w:lineRule="auto"/>
              <w:jc w:val="center"/>
              <w:rPr>
                <w:rFonts w:ascii="Calibri" w:eastAsia="Times New Roman" w:hAnsi="Calibri" w:cs="Calibri"/>
                <w:b/>
                <w:bCs/>
                <w:lang w:eastAsia="en-ZA"/>
              </w:rPr>
            </w:pPr>
            <w:r>
              <w:rPr>
                <w:rFonts w:ascii="Calibri" w:hAnsi="Calibri" w:cs="Calibri"/>
                <w:b/>
                <w:bCs/>
              </w:rPr>
              <w:t xml:space="preserve">131 212 659 </w:t>
            </w:r>
          </w:p>
        </w:tc>
        <w:tc>
          <w:tcPr>
            <w:tcW w:w="1901" w:type="dxa"/>
            <w:shd w:val="clear" w:color="auto" w:fill="BFD730"/>
            <w:noWrap/>
            <w:vAlign w:val="bottom"/>
          </w:tcPr>
          <w:p w14:paraId="659790D9" w14:textId="715365E5" w:rsidR="00255192" w:rsidRPr="009E6F22" w:rsidRDefault="00255192" w:rsidP="00255192">
            <w:pPr>
              <w:spacing w:after="0" w:line="240" w:lineRule="auto"/>
              <w:jc w:val="center"/>
              <w:rPr>
                <w:rFonts w:ascii="Calibri" w:eastAsia="Times New Roman" w:hAnsi="Calibri" w:cs="Calibri"/>
                <w:b/>
                <w:bCs/>
                <w:lang w:eastAsia="en-ZA"/>
              </w:rPr>
            </w:pPr>
            <w:r>
              <w:rPr>
                <w:rFonts w:ascii="Calibri" w:hAnsi="Calibri" w:cs="Calibri"/>
                <w:b/>
                <w:bCs/>
              </w:rPr>
              <w:t>8965</w:t>
            </w:r>
          </w:p>
        </w:tc>
        <w:tc>
          <w:tcPr>
            <w:tcW w:w="1901" w:type="dxa"/>
            <w:shd w:val="clear" w:color="auto" w:fill="BFD730"/>
            <w:noWrap/>
            <w:vAlign w:val="bottom"/>
          </w:tcPr>
          <w:p w14:paraId="029CB1F9" w14:textId="2778FD4D" w:rsidR="00255192" w:rsidRPr="009E6F22" w:rsidRDefault="00255192" w:rsidP="00255192">
            <w:pPr>
              <w:spacing w:after="0" w:line="240" w:lineRule="auto"/>
              <w:jc w:val="center"/>
              <w:rPr>
                <w:rFonts w:ascii="Calibri" w:eastAsia="Times New Roman" w:hAnsi="Calibri" w:cs="Calibri"/>
                <w:b/>
                <w:bCs/>
                <w:lang w:eastAsia="en-ZA"/>
              </w:rPr>
            </w:pPr>
            <w:r>
              <w:rPr>
                <w:rFonts w:ascii="Calibri" w:hAnsi="Calibri" w:cs="Calibri"/>
                <w:b/>
                <w:bCs/>
              </w:rPr>
              <w:t>8.4%</w:t>
            </w:r>
          </w:p>
        </w:tc>
      </w:tr>
      <w:tr w:rsidR="00255192" w:rsidRPr="009E6F22" w14:paraId="2645946A" w14:textId="77777777" w:rsidTr="00B04DD1">
        <w:trPr>
          <w:trHeight w:val="289"/>
        </w:trPr>
        <w:tc>
          <w:tcPr>
            <w:tcW w:w="1600" w:type="dxa"/>
            <w:shd w:val="clear" w:color="auto" w:fill="auto"/>
            <w:vAlign w:val="bottom"/>
            <w:hideMark/>
          </w:tcPr>
          <w:p w14:paraId="323CE11D" w14:textId="77777777" w:rsidR="00255192" w:rsidRPr="009E6F22" w:rsidRDefault="00255192" w:rsidP="00255192">
            <w:pPr>
              <w:spacing w:after="0" w:line="240" w:lineRule="auto"/>
              <w:rPr>
                <w:rFonts w:ascii="Calibri" w:eastAsia="Times New Roman" w:hAnsi="Calibri" w:cs="Calibri"/>
                <w:b/>
                <w:bCs/>
                <w:color w:val="000000"/>
                <w:lang w:eastAsia="en-ZA"/>
              </w:rPr>
            </w:pPr>
            <w:r w:rsidRPr="009E6F22">
              <w:rPr>
                <w:rFonts w:ascii="Calibri" w:eastAsia="Times New Roman" w:hAnsi="Calibri" w:cs="Calibri"/>
                <w:b/>
                <w:bCs/>
                <w:color w:val="000000"/>
                <w:lang w:eastAsia="en-ZA"/>
              </w:rPr>
              <w:t>Apr-22</w:t>
            </w:r>
          </w:p>
        </w:tc>
        <w:tc>
          <w:tcPr>
            <w:tcW w:w="2504" w:type="dxa"/>
            <w:shd w:val="clear" w:color="auto" w:fill="F58220" w:themeFill="accent1"/>
            <w:noWrap/>
            <w:vAlign w:val="bottom"/>
          </w:tcPr>
          <w:p w14:paraId="6494E4E2" w14:textId="61B42300" w:rsidR="00255192" w:rsidRPr="009E6F22" w:rsidRDefault="00255192" w:rsidP="00852EFF">
            <w:pPr>
              <w:spacing w:after="0" w:line="240" w:lineRule="auto"/>
              <w:jc w:val="center"/>
              <w:rPr>
                <w:rFonts w:ascii="Calibri" w:eastAsia="Times New Roman" w:hAnsi="Calibri" w:cs="Calibri"/>
                <w:b/>
                <w:bCs/>
                <w:lang w:eastAsia="en-ZA"/>
              </w:rPr>
            </w:pPr>
            <w:r>
              <w:rPr>
                <w:rFonts w:ascii="Calibri" w:hAnsi="Calibri" w:cs="Calibri"/>
                <w:b/>
                <w:bCs/>
              </w:rPr>
              <w:t>1 168 029 601 917</w:t>
            </w:r>
          </w:p>
        </w:tc>
        <w:tc>
          <w:tcPr>
            <w:tcW w:w="2040" w:type="dxa"/>
            <w:shd w:val="clear" w:color="auto" w:fill="BFD730"/>
            <w:noWrap/>
            <w:vAlign w:val="bottom"/>
          </w:tcPr>
          <w:p w14:paraId="3F1D99A7" w14:textId="2BBCE4E8" w:rsidR="00255192" w:rsidRPr="009E6F22" w:rsidRDefault="00255192" w:rsidP="00255192">
            <w:pPr>
              <w:spacing w:after="0" w:line="240" w:lineRule="auto"/>
              <w:jc w:val="center"/>
              <w:rPr>
                <w:rFonts w:ascii="Calibri" w:eastAsia="Times New Roman" w:hAnsi="Calibri" w:cs="Calibri"/>
                <w:b/>
                <w:bCs/>
                <w:lang w:eastAsia="en-ZA"/>
              </w:rPr>
            </w:pPr>
            <w:r>
              <w:rPr>
                <w:rFonts w:ascii="Calibri" w:hAnsi="Calibri" w:cs="Calibri"/>
                <w:b/>
                <w:bCs/>
              </w:rPr>
              <w:t xml:space="preserve">126 214 672 </w:t>
            </w:r>
          </w:p>
        </w:tc>
        <w:tc>
          <w:tcPr>
            <w:tcW w:w="1901" w:type="dxa"/>
            <w:shd w:val="clear" w:color="auto" w:fill="BFD730"/>
            <w:noWrap/>
            <w:vAlign w:val="bottom"/>
          </w:tcPr>
          <w:p w14:paraId="6D9C768E" w14:textId="68A94BAC" w:rsidR="00255192" w:rsidRPr="009E6F22" w:rsidRDefault="00255192" w:rsidP="00255192">
            <w:pPr>
              <w:spacing w:after="0" w:line="240" w:lineRule="auto"/>
              <w:jc w:val="center"/>
              <w:rPr>
                <w:rFonts w:ascii="Calibri" w:eastAsia="Times New Roman" w:hAnsi="Calibri" w:cs="Calibri"/>
                <w:b/>
                <w:bCs/>
                <w:lang w:eastAsia="en-ZA"/>
              </w:rPr>
            </w:pPr>
            <w:r>
              <w:rPr>
                <w:rFonts w:ascii="Calibri" w:hAnsi="Calibri" w:cs="Calibri"/>
                <w:b/>
                <w:bCs/>
              </w:rPr>
              <w:t>8246</w:t>
            </w:r>
          </w:p>
        </w:tc>
        <w:tc>
          <w:tcPr>
            <w:tcW w:w="1901" w:type="dxa"/>
            <w:shd w:val="clear" w:color="auto" w:fill="BFD730"/>
            <w:noWrap/>
            <w:vAlign w:val="bottom"/>
          </w:tcPr>
          <w:p w14:paraId="267D0C17" w14:textId="41C90144" w:rsidR="00255192" w:rsidRPr="009E6F22" w:rsidRDefault="00255192" w:rsidP="00255192">
            <w:pPr>
              <w:spacing w:after="0" w:line="240" w:lineRule="auto"/>
              <w:jc w:val="center"/>
              <w:rPr>
                <w:rFonts w:ascii="Calibri" w:eastAsia="Times New Roman" w:hAnsi="Calibri" w:cs="Calibri"/>
                <w:b/>
                <w:bCs/>
                <w:lang w:eastAsia="en-ZA"/>
              </w:rPr>
            </w:pPr>
            <w:r>
              <w:rPr>
                <w:rFonts w:ascii="Calibri" w:hAnsi="Calibri" w:cs="Calibri"/>
                <w:b/>
                <w:bCs/>
              </w:rPr>
              <w:t>9.8%</w:t>
            </w:r>
          </w:p>
        </w:tc>
      </w:tr>
      <w:tr w:rsidR="00255192" w:rsidRPr="009E6F22" w14:paraId="4DDCEC5A" w14:textId="77777777" w:rsidTr="00B04DD1">
        <w:trPr>
          <w:trHeight w:val="289"/>
        </w:trPr>
        <w:tc>
          <w:tcPr>
            <w:tcW w:w="1600" w:type="dxa"/>
            <w:shd w:val="clear" w:color="auto" w:fill="auto"/>
            <w:vAlign w:val="bottom"/>
            <w:hideMark/>
          </w:tcPr>
          <w:p w14:paraId="565B79FA" w14:textId="625C3678" w:rsidR="00255192" w:rsidRPr="009E6F22" w:rsidRDefault="00255192" w:rsidP="00255192">
            <w:pPr>
              <w:spacing w:after="0" w:line="240" w:lineRule="auto"/>
              <w:rPr>
                <w:rFonts w:ascii="Calibri" w:eastAsia="Times New Roman" w:hAnsi="Calibri" w:cs="Calibri"/>
                <w:b/>
                <w:bCs/>
                <w:color w:val="000000"/>
                <w:lang w:eastAsia="en-ZA"/>
              </w:rPr>
            </w:pPr>
            <w:r>
              <w:rPr>
                <w:rFonts w:ascii="Calibri" w:eastAsia="Times New Roman" w:hAnsi="Calibri" w:cs="Calibri"/>
                <w:b/>
                <w:bCs/>
                <w:color w:val="000000"/>
                <w:lang w:eastAsia="en-ZA"/>
              </w:rPr>
              <w:t>May</w:t>
            </w:r>
            <w:r w:rsidRPr="009E6F22">
              <w:rPr>
                <w:rFonts w:ascii="Calibri" w:eastAsia="Times New Roman" w:hAnsi="Calibri" w:cs="Calibri"/>
                <w:b/>
                <w:bCs/>
                <w:color w:val="000000"/>
                <w:lang w:eastAsia="en-ZA"/>
              </w:rPr>
              <w:t>-22</w:t>
            </w:r>
          </w:p>
        </w:tc>
        <w:tc>
          <w:tcPr>
            <w:tcW w:w="2504" w:type="dxa"/>
            <w:shd w:val="clear" w:color="auto" w:fill="F58220" w:themeFill="accent1"/>
            <w:noWrap/>
            <w:vAlign w:val="bottom"/>
          </w:tcPr>
          <w:p w14:paraId="0E635300" w14:textId="56AFA512" w:rsidR="00255192" w:rsidRPr="009E6F22" w:rsidRDefault="00255192" w:rsidP="00852EFF">
            <w:pPr>
              <w:spacing w:after="0" w:line="240" w:lineRule="auto"/>
              <w:jc w:val="center"/>
              <w:rPr>
                <w:rFonts w:ascii="Calibri" w:eastAsia="Times New Roman" w:hAnsi="Calibri" w:cs="Calibri"/>
                <w:b/>
                <w:bCs/>
                <w:lang w:eastAsia="en-ZA"/>
              </w:rPr>
            </w:pPr>
            <w:r>
              <w:rPr>
                <w:rFonts w:ascii="Calibri" w:hAnsi="Calibri" w:cs="Calibri"/>
                <w:b/>
                <w:bCs/>
              </w:rPr>
              <w:t>1 229 315 269 279</w:t>
            </w:r>
          </w:p>
        </w:tc>
        <w:tc>
          <w:tcPr>
            <w:tcW w:w="2040" w:type="dxa"/>
            <w:shd w:val="clear" w:color="auto" w:fill="BFD730"/>
            <w:noWrap/>
            <w:vAlign w:val="bottom"/>
          </w:tcPr>
          <w:p w14:paraId="1373DF0D" w14:textId="08A66AC8" w:rsidR="00255192" w:rsidRPr="009E6F22" w:rsidRDefault="00255192" w:rsidP="00255192">
            <w:pPr>
              <w:spacing w:after="0" w:line="240" w:lineRule="auto"/>
              <w:jc w:val="center"/>
              <w:rPr>
                <w:rFonts w:ascii="Calibri" w:eastAsia="Times New Roman" w:hAnsi="Calibri" w:cs="Calibri"/>
                <w:b/>
                <w:bCs/>
                <w:lang w:eastAsia="en-ZA"/>
              </w:rPr>
            </w:pPr>
            <w:r>
              <w:rPr>
                <w:rFonts w:ascii="Calibri" w:hAnsi="Calibri" w:cs="Calibri"/>
                <w:b/>
                <w:bCs/>
              </w:rPr>
              <w:t xml:space="preserve">127 591 161 </w:t>
            </w:r>
          </w:p>
        </w:tc>
        <w:tc>
          <w:tcPr>
            <w:tcW w:w="1901" w:type="dxa"/>
            <w:shd w:val="clear" w:color="auto" w:fill="BFD730"/>
            <w:noWrap/>
            <w:vAlign w:val="bottom"/>
          </w:tcPr>
          <w:p w14:paraId="5F40A41A" w14:textId="59055C13" w:rsidR="00255192" w:rsidRPr="009E6F22" w:rsidRDefault="00255192" w:rsidP="00255192">
            <w:pPr>
              <w:spacing w:after="0" w:line="240" w:lineRule="auto"/>
              <w:jc w:val="center"/>
              <w:rPr>
                <w:rFonts w:ascii="Calibri" w:eastAsia="Times New Roman" w:hAnsi="Calibri" w:cs="Calibri"/>
                <w:b/>
                <w:bCs/>
                <w:lang w:eastAsia="en-ZA"/>
              </w:rPr>
            </w:pPr>
            <w:r>
              <w:rPr>
                <w:rFonts w:ascii="Calibri" w:hAnsi="Calibri" w:cs="Calibri"/>
                <w:b/>
                <w:bCs/>
              </w:rPr>
              <w:t>8585</w:t>
            </w:r>
          </w:p>
        </w:tc>
        <w:tc>
          <w:tcPr>
            <w:tcW w:w="1901" w:type="dxa"/>
            <w:shd w:val="clear" w:color="auto" w:fill="BFD730"/>
            <w:noWrap/>
            <w:vAlign w:val="bottom"/>
          </w:tcPr>
          <w:p w14:paraId="4DE463FE" w14:textId="3DAA209D" w:rsidR="00255192" w:rsidRPr="009E6F22" w:rsidRDefault="00255192" w:rsidP="00255192">
            <w:pPr>
              <w:spacing w:after="0" w:line="240" w:lineRule="auto"/>
              <w:jc w:val="center"/>
              <w:rPr>
                <w:rFonts w:ascii="Calibri" w:eastAsia="Times New Roman" w:hAnsi="Calibri" w:cs="Calibri"/>
                <w:b/>
                <w:bCs/>
                <w:lang w:eastAsia="en-ZA"/>
              </w:rPr>
            </w:pPr>
            <w:r>
              <w:rPr>
                <w:rFonts w:ascii="Calibri" w:hAnsi="Calibri" w:cs="Calibri"/>
                <w:b/>
                <w:bCs/>
              </w:rPr>
              <w:t>11.1%</w:t>
            </w:r>
          </w:p>
        </w:tc>
      </w:tr>
      <w:tr w:rsidR="00255192" w:rsidRPr="009E6F22" w14:paraId="203DFE80" w14:textId="77777777" w:rsidTr="00B04DD1">
        <w:trPr>
          <w:trHeight w:val="289"/>
        </w:trPr>
        <w:tc>
          <w:tcPr>
            <w:tcW w:w="1600" w:type="dxa"/>
            <w:shd w:val="clear" w:color="auto" w:fill="auto"/>
            <w:vAlign w:val="bottom"/>
          </w:tcPr>
          <w:p w14:paraId="215A4756" w14:textId="67CAD3A7" w:rsidR="00255192" w:rsidRDefault="00B04DD1" w:rsidP="00255192">
            <w:pPr>
              <w:spacing w:after="0" w:line="240" w:lineRule="auto"/>
              <w:rPr>
                <w:rFonts w:ascii="Calibri" w:eastAsia="Times New Roman" w:hAnsi="Calibri" w:cs="Calibri"/>
                <w:b/>
                <w:bCs/>
                <w:color w:val="000000"/>
                <w:lang w:eastAsia="en-ZA"/>
              </w:rPr>
            </w:pPr>
            <w:r>
              <w:rPr>
                <w:rFonts w:ascii="Calibri" w:eastAsia="Times New Roman" w:hAnsi="Calibri" w:cs="Calibri"/>
                <w:b/>
                <w:bCs/>
                <w:color w:val="000000"/>
                <w:lang w:eastAsia="en-ZA"/>
              </w:rPr>
              <w:t>Jun</w:t>
            </w:r>
            <w:r w:rsidR="00F867B7">
              <w:rPr>
                <w:rFonts w:ascii="Calibri" w:eastAsia="Times New Roman" w:hAnsi="Calibri" w:cs="Calibri"/>
                <w:b/>
                <w:bCs/>
                <w:color w:val="000000"/>
                <w:lang w:eastAsia="en-ZA"/>
              </w:rPr>
              <w:t>-22</w:t>
            </w:r>
          </w:p>
        </w:tc>
        <w:tc>
          <w:tcPr>
            <w:tcW w:w="2504" w:type="dxa"/>
            <w:shd w:val="clear" w:color="auto" w:fill="F58220" w:themeFill="accent1"/>
            <w:noWrap/>
            <w:vAlign w:val="bottom"/>
          </w:tcPr>
          <w:p w14:paraId="1F6F768D" w14:textId="2B5C76DC" w:rsidR="00255192" w:rsidRPr="009E6F22" w:rsidRDefault="00255192" w:rsidP="00852EFF">
            <w:pPr>
              <w:spacing w:after="0" w:line="240" w:lineRule="auto"/>
              <w:jc w:val="center"/>
              <w:rPr>
                <w:rFonts w:ascii="Calibri" w:eastAsia="Times New Roman" w:hAnsi="Calibri" w:cs="Calibri"/>
                <w:b/>
                <w:bCs/>
                <w:lang w:eastAsia="en-ZA"/>
              </w:rPr>
            </w:pPr>
            <w:r>
              <w:rPr>
                <w:rFonts w:ascii="Calibri" w:hAnsi="Calibri" w:cs="Calibri"/>
                <w:b/>
                <w:bCs/>
              </w:rPr>
              <w:t>1 121 151 326 630</w:t>
            </w:r>
          </w:p>
        </w:tc>
        <w:tc>
          <w:tcPr>
            <w:tcW w:w="2040" w:type="dxa"/>
            <w:shd w:val="clear" w:color="auto" w:fill="BFD730"/>
            <w:noWrap/>
            <w:vAlign w:val="bottom"/>
          </w:tcPr>
          <w:p w14:paraId="1223BD91" w14:textId="735B2D9B" w:rsidR="00255192" w:rsidRPr="009E6F22" w:rsidRDefault="00255192" w:rsidP="00255192">
            <w:pPr>
              <w:spacing w:after="0" w:line="240" w:lineRule="auto"/>
              <w:jc w:val="center"/>
              <w:rPr>
                <w:rFonts w:ascii="Calibri" w:eastAsia="Times New Roman" w:hAnsi="Calibri" w:cs="Calibri"/>
                <w:b/>
                <w:bCs/>
                <w:lang w:eastAsia="en-ZA"/>
              </w:rPr>
            </w:pPr>
            <w:r>
              <w:rPr>
                <w:rFonts w:ascii="Calibri" w:hAnsi="Calibri" w:cs="Calibri"/>
                <w:b/>
                <w:bCs/>
              </w:rPr>
              <w:t xml:space="preserve">127 572 169 </w:t>
            </w:r>
          </w:p>
        </w:tc>
        <w:tc>
          <w:tcPr>
            <w:tcW w:w="1901" w:type="dxa"/>
            <w:shd w:val="clear" w:color="auto" w:fill="BFD730"/>
            <w:noWrap/>
            <w:vAlign w:val="bottom"/>
          </w:tcPr>
          <w:p w14:paraId="002C1BF3" w14:textId="03921A62" w:rsidR="00255192" w:rsidRPr="009E6F22" w:rsidRDefault="00255192" w:rsidP="00255192">
            <w:pPr>
              <w:spacing w:after="0" w:line="240" w:lineRule="auto"/>
              <w:jc w:val="center"/>
              <w:rPr>
                <w:rFonts w:ascii="Calibri" w:eastAsia="Times New Roman" w:hAnsi="Calibri" w:cs="Calibri"/>
                <w:b/>
                <w:bCs/>
                <w:lang w:eastAsia="en-ZA"/>
              </w:rPr>
            </w:pPr>
            <w:r>
              <w:rPr>
                <w:rFonts w:ascii="Calibri" w:hAnsi="Calibri" w:cs="Calibri"/>
                <w:b/>
                <w:bCs/>
              </w:rPr>
              <w:t>8623</w:t>
            </w:r>
          </w:p>
        </w:tc>
        <w:tc>
          <w:tcPr>
            <w:tcW w:w="1901" w:type="dxa"/>
            <w:shd w:val="clear" w:color="auto" w:fill="BFD730"/>
            <w:noWrap/>
            <w:vAlign w:val="bottom"/>
          </w:tcPr>
          <w:p w14:paraId="3738FC90" w14:textId="170AE20B" w:rsidR="00255192" w:rsidRPr="009E6F22" w:rsidRDefault="00255192" w:rsidP="00255192">
            <w:pPr>
              <w:spacing w:after="0" w:line="240" w:lineRule="auto"/>
              <w:jc w:val="center"/>
              <w:rPr>
                <w:rFonts w:ascii="Calibri" w:eastAsia="Times New Roman" w:hAnsi="Calibri" w:cs="Calibri"/>
                <w:b/>
                <w:bCs/>
                <w:lang w:eastAsia="en-ZA"/>
              </w:rPr>
            </w:pPr>
            <w:r>
              <w:rPr>
                <w:rFonts w:ascii="Calibri" w:hAnsi="Calibri" w:cs="Calibri"/>
                <w:b/>
                <w:bCs/>
              </w:rPr>
              <w:t>10.0%</w:t>
            </w:r>
          </w:p>
        </w:tc>
      </w:tr>
    </w:tbl>
    <w:p w14:paraId="260F7E0F" w14:textId="17E9B50F" w:rsidR="00E66A09" w:rsidRDefault="00E66A09" w:rsidP="00E66A09">
      <w:pPr>
        <w:rPr>
          <w:i/>
        </w:rPr>
      </w:pPr>
      <w:r w:rsidRPr="00476742">
        <w:rPr>
          <w:i/>
        </w:rPr>
        <w:t xml:space="preserve">Source: BankservAfrica and </w:t>
      </w:r>
      <w:r>
        <w:rPr>
          <w:i/>
        </w:rPr>
        <w:t>E</w:t>
      </w:r>
      <w:r w:rsidRPr="00476742">
        <w:rPr>
          <w:i/>
        </w:rPr>
        <w:t>conomists</w:t>
      </w:r>
      <w:r>
        <w:rPr>
          <w:i/>
        </w:rPr>
        <w:t>.</w:t>
      </w:r>
      <w:r w:rsidRPr="00476742">
        <w:rPr>
          <w:i/>
        </w:rPr>
        <w:t>co</w:t>
      </w:r>
      <w:r>
        <w:rPr>
          <w:i/>
        </w:rPr>
        <w:t>.</w:t>
      </w:r>
      <w:r w:rsidRPr="00476742">
        <w:rPr>
          <w:i/>
        </w:rPr>
        <w:t>za</w:t>
      </w:r>
      <w:bookmarkEnd w:id="1"/>
      <w:bookmarkEnd w:id="2"/>
    </w:p>
    <w:p w14:paraId="44A1AB93" w14:textId="29FA4157" w:rsidR="00AE7881" w:rsidRPr="00EF1A12" w:rsidRDefault="00AE7881" w:rsidP="00AE7881">
      <w:pPr>
        <w:rPr>
          <w:b/>
          <w:bCs/>
          <w:sz w:val="24"/>
          <w:szCs w:val="24"/>
        </w:rPr>
      </w:pPr>
      <w:bookmarkStart w:id="12" w:name="_Hlk108519848"/>
      <w:r w:rsidRPr="00EF1A12">
        <w:rPr>
          <w:b/>
          <w:bCs/>
        </w:rPr>
        <w:t>*</w:t>
      </w:r>
      <w:r w:rsidRPr="00EF1A12">
        <w:rPr>
          <w:b/>
          <w:bCs/>
          <w:sz w:val="24"/>
          <w:szCs w:val="24"/>
        </w:rPr>
        <w:t xml:space="preserve">A note on the revisions </w:t>
      </w:r>
    </w:p>
    <w:p w14:paraId="093FF694" w14:textId="6626D5E6" w:rsidR="00AE7881" w:rsidRDefault="00AE7881" w:rsidP="00AE7881">
      <w:bookmarkStart w:id="13" w:name="_Hlk106195532"/>
      <w:r>
        <w:t xml:space="preserve">The </w:t>
      </w:r>
      <w:r w:rsidRPr="00EA65A2">
        <w:t xml:space="preserve">BETI </w:t>
      </w:r>
      <w:r>
        <w:t xml:space="preserve">reflects the </w:t>
      </w:r>
      <w:r w:rsidRPr="00EA65A2">
        <w:t>standardi</w:t>
      </w:r>
      <w:r>
        <w:t>s</w:t>
      </w:r>
      <w:r w:rsidRPr="00EA65A2">
        <w:t>ed value</w:t>
      </w:r>
      <w:r>
        <w:t xml:space="preserve"> of all economic transactions in the South Africa economy at seasonally adjusted </w:t>
      </w:r>
      <w:r w:rsidRPr="00EA65A2">
        <w:t>real</w:t>
      </w:r>
      <w:r>
        <w:t xml:space="preserve"> </w:t>
      </w:r>
      <w:r w:rsidRPr="00EA65A2">
        <w:t xml:space="preserve">constant prices </w:t>
      </w:r>
      <w:r>
        <w:t>(</w:t>
      </w:r>
      <w:r w:rsidRPr="00EA65A2">
        <w:t>2005=100</w:t>
      </w:r>
      <w:r>
        <w:t xml:space="preserve">). On an ongoing basis, there are always small differences between previously published index numbers and most recent, given the processes of deflating (to strip out the impact of inflation from the data) and seasonally adjustment (to strip out any seasonal behaviour in the data). </w:t>
      </w:r>
    </w:p>
    <w:p w14:paraId="75E34CE0" w14:textId="19EAE9D3" w:rsidR="00AE7881" w:rsidRDefault="00AE7881" w:rsidP="00AE7881">
      <w:r>
        <w:t xml:space="preserve">The </w:t>
      </w:r>
      <w:r w:rsidR="008A58B6">
        <w:t>June</w:t>
      </w:r>
      <w:r>
        <w:t xml:space="preserve"> 2022 BETI release has been subjected to </w:t>
      </w:r>
      <w:proofErr w:type="gramStart"/>
      <w:r>
        <w:t>a number of</w:t>
      </w:r>
      <w:proofErr w:type="gramEnd"/>
      <w:r>
        <w:t xml:space="preserve"> adjustments that resulted in revised index and growth numbers. </w:t>
      </w:r>
    </w:p>
    <w:p w14:paraId="2C0927A9" w14:textId="074E9F57" w:rsidR="00AE7881" w:rsidRDefault="00AE7881" w:rsidP="00AE7881">
      <w:pPr>
        <w:pStyle w:val="ListParagraph"/>
        <w:numPr>
          <w:ilvl w:val="0"/>
          <w:numId w:val="6"/>
        </w:numPr>
        <w:spacing w:before="240" w:after="240"/>
        <w:ind w:left="714" w:hanging="357"/>
      </w:pPr>
      <w:r>
        <w:t xml:space="preserve">Inflation forecasts have been updated with actuals to </w:t>
      </w:r>
      <w:r w:rsidR="008A58B6">
        <w:t>May</w:t>
      </w:r>
      <w:r>
        <w:t xml:space="preserve"> 2022</w:t>
      </w:r>
    </w:p>
    <w:p w14:paraId="764342A7" w14:textId="13DA6FF5" w:rsidR="00AE7881" w:rsidRDefault="00AE7881" w:rsidP="00AE7881">
      <w:pPr>
        <w:pStyle w:val="ListParagraph"/>
        <w:numPr>
          <w:ilvl w:val="0"/>
          <w:numId w:val="6"/>
        </w:numPr>
        <w:spacing w:before="240" w:after="240"/>
        <w:ind w:left="714" w:hanging="357"/>
      </w:pPr>
      <w:r>
        <w:t xml:space="preserve">Seasonal factors were revised and updated to </w:t>
      </w:r>
      <w:r w:rsidR="008A58B6">
        <w:t>June</w:t>
      </w:r>
      <w:r>
        <w:t xml:space="preserve"> 2022</w:t>
      </w:r>
    </w:p>
    <w:p w14:paraId="5A65FF9F" w14:textId="4460B82D" w:rsidR="00AE7881" w:rsidRDefault="00AE7881" w:rsidP="00AE7881">
      <w:r w:rsidRPr="00130964">
        <w:rPr>
          <w:b/>
          <w:bCs/>
        </w:rPr>
        <w:t>Deflating nominal values</w:t>
      </w:r>
      <w:r>
        <w:t xml:space="preserve">:  The total PPI </w:t>
      </w:r>
      <w:r w:rsidR="007C1828">
        <w:t xml:space="preserve">- </w:t>
      </w:r>
      <w:r>
        <w:t>or otherwise defined as the PPI for final manufactured goods (25% weighting) in combination with the CPI for all urban areas excluding homeowners rent (75% weighting)</w:t>
      </w:r>
      <w:r w:rsidR="007C1828">
        <w:t xml:space="preserve"> -</w:t>
      </w:r>
      <w:r>
        <w:t xml:space="preserve"> </w:t>
      </w:r>
      <w:proofErr w:type="gramStart"/>
      <w:r>
        <w:t>are used</w:t>
      </w:r>
      <w:proofErr w:type="gramEnd"/>
      <w:r>
        <w:t xml:space="preserve"> to deflate the nominal values to reflect real values. There is a one-month lag period before the inflation data gets released for a certain month, which has the implication that the most recent BETI data point gets deflated by forecast numbers for PPI and CPI excluding homeowners rent. Then in the next month, when the actual PPI and CPI data are available, it impacts the BETI in so far as there are discrepancies between the forecasts used and the actual outcomes of the relevant inflation numbers. </w:t>
      </w:r>
    </w:p>
    <w:p w14:paraId="160C5A1F" w14:textId="401F4CC1" w:rsidR="00AE7881" w:rsidRDefault="00AE7881" w:rsidP="00AE7881">
      <w:r w:rsidRPr="00264659">
        <w:lastRenderedPageBreak/>
        <w:t xml:space="preserve">Inflation numbers have been updated to </w:t>
      </w:r>
      <w:r w:rsidR="000B34B4">
        <w:t xml:space="preserve">May </w:t>
      </w:r>
      <w:r w:rsidRPr="00264659">
        <w:t xml:space="preserve">2022. The </w:t>
      </w:r>
      <w:r w:rsidR="000B34B4">
        <w:t>May</w:t>
      </w:r>
      <w:r w:rsidRPr="00264659">
        <w:t xml:space="preserve"> PPI figure came out notably higher than expected at </w:t>
      </w:r>
      <w:r w:rsidR="000B34B4">
        <w:t>14.7</w:t>
      </w:r>
      <w:r w:rsidRPr="00264659">
        <w:t xml:space="preserve">% y/y (vs </w:t>
      </w:r>
      <w:r w:rsidR="000B34B4">
        <w:t>13.1</w:t>
      </w:r>
      <w:r w:rsidRPr="00264659">
        <w:t xml:space="preserve">% in March); market consensus </w:t>
      </w:r>
      <w:r>
        <w:t xml:space="preserve">on the day </w:t>
      </w:r>
      <w:r w:rsidRPr="00264659">
        <w:t>was 1</w:t>
      </w:r>
      <w:r w:rsidR="0062607B">
        <w:t>4</w:t>
      </w:r>
      <w:r w:rsidRPr="00264659">
        <w:t xml:space="preserve">%. </w:t>
      </w:r>
      <w:r w:rsidR="0062607B" w:rsidRPr="0062607B">
        <w:t xml:space="preserve">The May </w:t>
      </w:r>
      <w:r w:rsidR="0062607B">
        <w:t>headline C</w:t>
      </w:r>
      <w:r w:rsidR="0062607B" w:rsidRPr="0062607B">
        <w:t xml:space="preserve">PI figure </w:t>
      </w:r>
      <w:r w:rsidR="0062607B">
        <w:t xml:space="preserve">also </w:t>
      </w:r>
      <w:r w:rsidR="0062607B" w:rsidRPr="0062607B">
        <w:t xml:space="preserve">came out higher than expected at </w:t>
      </w:r>
      <w:r w:rsidR="0062607B">
        <w:t>6.5</w:t>
      </w:r>
      <w:r w:rsidR="0062607B" w:rsidRPr="0062607B">
        <w:t xml:space="preserve">% y/y (vs </w:t>
      </w:r>
      <w:r w:rsidR="0062607B">
        <w:t>5.9</w:t>
      </w:r>
      <w:r w:rsidR="0062607B" w:rsidRPr="0062607B">
        <w:t xml:space="preserve">% in March); market consensus on the day was </w:t>
      </w:r>
      <w:r w:rsidR="0062607B">
        <w:t>6.2</w:t>
      </w:r>
      <w:r w:rsidR="0062607B" w:rsidRPr="0062607B">
        <w:t xml:space="preserve">%. </w:t>
      </w:r>
      <w:r w:rsidRPr="00264659">
        <w:t xml:space="preserve">The higher-than-expected </w:t>
      </w:r>
      <w:r w:rsidR="0062607B">
        <w:t>inflation outcomes</w:t>
      </w:r>
      <w:r w:rsidRPr="00264659">
        <w:t xml:space="preserve"> had an impact on the deflator used in the BETI </w:t>
      </w:r>
      <w:r>
        <w:t>calculation for</w:t>
      </w:r>
      <w:r w:rsidRPr="00264659">
        <w:t xml:space="preserve"> </w:t>
      </w:r>
      <w:r w:rsidR="0062607B">
        <w:t>May</w:t>
      </w:r>
      <w:r>
        <w:t>.</w:t>
      </w:r>
    </w:p>
    <w:p w14:paraId="72EA0531" w14:textId="77777777" w:rsidR="00AE7881" w:rsidRDefault="00AE7881" w:rsidP="00AE7881">
      <w:r w:rsidRPr="00D801CC">
        <w:rPr>
          <w:b/>
          <w:bCs/>
        </w:rPr>
        <w:t>Revised seasonal factors</w:t>
      </w:r>
      <w:r>
        <w:t>: Seasonal adjustment takes place monthly, with seasonal factors been adjusting slightly with each new actual data point becoming available. Revisions impact marginally on historical index values.</w:t>
      </w:r>
    </w:p>
    <w:bookmarkEnd w:id="12"/>
    <w:p w14:paraId="2D2CE85C" w14:textId="77777777" w:rsidR="00AE7881" w:rsidRDefault="00AE7881" w:rsidP="00AE7881"/>
    <w:bookmarkEnd w:id="13"/>
    <w:p w14:paraId="4F713240" w14:textId="77777777" w:rsidR="00AE7881" w:rsidRPr="00AE7881" w:rsidRDefault="00AE7881" w:rsidP="00AE7881">
      <w:pPr>
        <w:rPr>
          <w:b/>
          <w:bCs/>
          <w:u w:val="single"/>
        </w:rPr>
      </w:pPr>
    </w:p>
    <w:sectPr w:rsidR="00AE7881" w:rsidRPr="00AE7881" w:rsidSect="003B201F">
      <w:pgSz w:w="11906" w:h="16838"/>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D046C"/>
    <w:multiLevelType w:val="hybridMultilevel"/>
    <w:tmpl w:val="B36CAFF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8C91A10"/>
    <w:multiLevelType w:val="hybridMultilevel"/>
    <w:tmpl w:val="42C622A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51795615"/>
    <w:multiLevelType w:val="hybridMultilevel"/>
    <w:tmpl w:val="6434A2E6"/>
    <w:lvl w:ilvl="0" w:tplc="3432DC50">
      <w:numFmt w:val="bullet"/>
      <w:lvlText w:val="-"/>
      <w:lvlJc w:val="left"/>
      <w:pPr>
        <w:ind w:left="410" w:hanging="360"/>
      </w:pPr>
      <w:rPr>
        <w:rFonts w:ascii="Calibri" w:eastAsiaTheme="minorHAnsi" w:hAnsi="Calibri" w:cs="Calibri" w:hint="default"/>
      </w:rPr>
    </w:lvl>
    <w:lvl w:ilvl="1" w:tplc="1C090003" w:tentative="1">
      <w:start w:val="1"/>
      <w:numFmt w:val="bullet"/>
      <w:lvlText w:val="o"/>
      <w:lvlJc w:val="left"/>
      <w:pPr>
        <w:ind w:left="1130" w:hanging="360"/>
      </w:pPr>
      <w:rPr>
        <w:rFonts w:ascii="Courier New" w:hAnsi="Courier New" w:cs="Courier New" w:hint="default"/>
      </w:rPr>
    </w:lvl>
    <w:lvl w:ilvl="2" w:tplc="1C090005" w:tentative="1">
      <w:start w:val="1"/>
      <w:numFmt w:val="bullet"/>
      <w:lvlText w:val=""/>
      <w:lvlJc w:val="left"/>
      <w:pPr>
        <w:ind w:left="1850" w:hanging="360"/>
      </w:pPr>
      <w:rPr>
        <w:rFonts w:ascii="Wingdings" w:hAnsi="Wingdings" w:hint="default"/>
      </w:rPr>
    </w:lvl>
    <w:lvl w:ilvl="3" w:tplc="1C090001" w:tentative="1">
      <w:start w:val="1"/>
      <w:numFmt w:val="bullet"/>
      <w:lvlText w:val=""/>
      <w:lvlJc w:val="left"/>
      <w:pPr>
        <w:ind w:left="2570" w:hanging="360"/>
      </w:pPr>
      <w:rPr>
        <w:rFonts w:ascii="Symbol" w:hAnsi="Symbol" w:hint="default"/>
      </w:rPr>
    </w:lvl>
    <w:lvl w:ilvl="4" w:tplc="1C090003" w:tentative="1">
      <w:start w:val="1"/>
      <w:numFmt w:val="bullet"/>
      <w:lvlText w:val="o"/>
      <w:lvlJc w:val="left"/>
      <w:pPr>
        <w:ind w:left="3290" w:hanging="360"/>
      </w:pPr>
      <w:rPr>
        <w:rFonts w:ascii="Courier New" w:hAnsi="Courier New" w:cs="Courier New" w:hint="default"/>
      </w:rPr>
    </w:lvl>
    <w:lvl w:ilvl="5" w:tplc="1C090005" w:tentative="1">
      <w:start w:val="1"/>
      <w:numFmt w:val="bullet"/>
      <w:lvlText w:val=""/>
      <w:lvlJc w:val="left"/>
      <w:pPr>
        <w:ind w:left="4010" w:hanging="360"/>
      </w:pPr>
      <w:rPr>
        <w:rFonts w:ascii="Wingdings" w:hAnsi="Wingdings" w:hint="default"/>
      </w:rPr>
    </w:lvl>
    <w:lvl w:ilvl="6" w:tplc="1C090001" w:tentative="1">
      <w:start w:val="1"/>
      <w:numFmt w:val="bullet"/>
      <w:lvlText w:val=""/>
      <w:lvlJc w:val="left"/>
      <w:pPr>
        <w:ind w:left="4730" w:hanging="360"/>
      </w:pPr>
      <w:rPr>
        <w:rFonts w:ascii="Symbol" w:hAnsi="Symbol" w:hint="default"/>
      </w:rPr>
    </w:lvl>
    <w:lvl w:ilvl="7" w:tplc="1C090003" w:tentative="1">
      <w:start w:val="1"/>
      <w:numFmt w:val="bullet"/>
      <w:lvlText w:val="o"/>
      <w:lvlJc w:val="left"/>
      <w:pPr>
        <w:ind w:left="5450" w:hanging="360"/>
      </w:pPr>
      <w:rPr>
        <w:rFonts w:ascii="Courier New" w:hAnsi="Courier New" w:cs="Courier New" w:hint="default"/>
      </w:rPr>
    </w:lvl>
    <w:lvl w:ilvl="8" w:tplc="1C090005" w:tentative="1">
      <w:start w:val="1"/>
      <w:numFmt w:val="bullet"/>
      <w:lvlText w:val=""/>
      <w:lvlJc w:val="left"/>
      <w:pPr>
        <w:ind w:left="6170" w:hanging="360"/>
      </w:pPr>
      <w:rPr>
        <w:rFonts w:ascii="Wingdings" w:hAnsi="Wingdings" w:hint="default"/>
      </w:rPr>
    </w:lvl>
  </w:abstractNum>
  <w:abstractNum w:abstractNumId="3" w15:restartNumberingAfterBreak="0">
    <w:nsid w:val="599330A4"/>
    <w:multiLevelType w:val="hybridMultilevel"/>
    <w:tmpl w:val="960480E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5B2865B3"/>
    <w:multiLevelType w:val="hybridMultilevel"/>
    <w:tmpl w:val="B2D4E3A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614141AC"/>
    <w:multiLevelType w:val="hybridMultilevel"/>
    <w:tmpl w:val="3D00B45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4"/>
  </w:num>
  <w:num w:numId="2">
    <w:abstractNumId w:val="5"/>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MytDAwNjAzMzUyNjJT0lEKTi0uzszPAykwqgUAR8K5PiwAAAA="/>
  </w:docVars>
  <w:rsids>
    <w:rsidRoot w:val="005E72DA"/>
    <w:rsid w:val="000005E1"/>
    <w:rsid w:val="0000273D"/>
    <w:rsid w:val="00007F3A"/>
    <w:rsid w:val="000122CF"/>
    <w:rsid w:val="000130F7"/>
    <w:rsid w:val="00015A70"/>
    <w:rsid w:val="00017142"/>
    <w:rsid w:val="000213C7"/>
    <w:rsid w:val="00023CF6"/>
    <w:rsid w:val="00026E87"/>
    <w:rsid w:val="00031F6D"/>
    <w:rsid w:val="00032D81"/>
    <w:rsid w:val="000356A7"/>
    <w:rsid w:val="000401E9"/>
    <w:rsid w:val="000403DF"/>
    <w:rsid w:val="00043C39"/>
    <w:rsid w:val="000479E4"/>
    <w:rsid w:val="000510F7"/>
    <w:rsid w:val="000535A5"/>
    <w:rsid w:val="000545B7"/>
    <w:rsid w:val="00056C11"/>
    <w:rsid w:val="000602F1"/>
    <w:rsid w:val="000617AE"/>
    <w:rsid w:val="000619FC"/>
    <w:rsid w:val="000668FD"/>
    <w:rsid w:val="00072509"/>
    <w:rsid w:val="00074674"/>
    <w:rsid w:val="0007493A"/>
    <w:rsid w:val="00075776"/>
    <w:rsid w:val="00081495"/>
    <w:rsid w:val="00085CF4"/>
    <w:rsid w:val="00090A47"/>
    <w:rsid w:val="00091552"/>
    <w:rsid w:val="000923BF"/>
    <w:rsid w:val="00092BBE"/>
    <w:rsid w:val="000935E1"/>
    <w:rsid w:val="00094911"/>
    <w:rsid w:val="00094A3A"/>
    <w:rsid w:val="00095137"/>
    <w:rsid w:val="000A085F"/>
    <w:rsid w:val="000B14F7"/>
    <w:rsid w:val="000B1B20"/>
    <w:rsid w:val="000B1F49"/>
    <w:rsid w:val="000B34A7"/>
    <w:rsid w:val="000B34B4"/>
    <w:rsid w:val="000B3598"/>
    <w:rsid w:val="000B4B3B"/>
    <w:rsid w:val="000C0CC8"/>
    <w:rsid w:val="000C1FEA"/>
    <w:rsid w:val="000C2863"/>
    <w:rsid w:val="000C2A99"/>
    <w:rsid w:val="000C5438"/>
    <w:rsid w:val="000D1740"/>
    <w:rsid w:val="000D2C90"/>
    <w:rsid w:val="000D3370"/>
    <w:rsid w:val="000D3600"/>
    <w:rsid w:val="000D4159"/>
    <w:rsid w:val="000D5D2E"/>
    <w:rsid w:val="000D5E38"/>
    <w:rsid w:val="000D66E3"/>
    <w:rsid w:val="000D6C47"/>
    <w:rsid w:val="000E428E"/>
    <w:rsid w:val="000E575E"/>
    <w:rsid w:val="000E6D56"/>
    <w:rsid w:val="000E6D71"/>
    <w:rsid w:val="000F157D"/>
    <w:rsid w:val="000F2782"/>
    <w:rsid w:val="000F5E0D"/>
    <w:rsid w:val="000F78D7"/>
    <w:rsid w:val="001022E1"/>
    <w:rsid w:val="00102457"/>
    <w:rsid w:val="00102A28"/>
    <w:rsid w:val="00103F26"/>
    <w:rsid w:val="001046A1"/>
    <w:rsid w:val="00104EC5"/>
    <w:rsid w:val="00105E65"/>
    <w:rsid w:val="00111F16"/>
    <w:rsid w:val="00112E55"/>
    <w:rsid w:val="0011486A"/>
    <w:rsid w:val="001152B6"/>
    <w:rsid w:val="001166F3"/>
    <w:rsid w:val="001171AD"/>
    <w:rsid w:val="00133663"/>
    <w:rsid w:val="0013397D"/>
    <w:rsid w:val="00134125"/>
    <w:rsid w:val="00134140"/>
    <w:rsid w:val="00141FC6"/>
    <w:rsid w:val="001460D5"/>
    <w:rsid w:val="00152603"/>
    <w:rsid w:val="00155485"/>
    <w:rsid w:val="00157AE2"/>
    <w:rsid w:val="0016746E"/>
    <w:rsid w:val="00170E64"/>
    <w:rsid w:val="001732AC"/>
    <w:rsid w:val="00173F66"/>
    <w:rsid w:val="00174E2A"/>
    <w:rsid w:val="001770A0"/>
    <w:rsid w:val="001837FA"/>
    <w:rsid w:val="00184D16"/>
    <w:rsid w:val="00185051"/>
    <w:rsid w:val="00185980"/>
    <w:rsid w:val="00191B8B"/>
    <w:rsid w:val="00195130"/>
    <w:rsid w:val="00195780"/>
    <w:rsid w:val="001963A7"/>
    <w:rsid w:val="00197F36"/>
    <w:rsid w:val="001A04DE"/>
    <w:rsid w:val="001A326C"/>
    <w:rsid w:val="001A5407"/>
    <w:rsid w:val="001A7945"/>
    <w:rsid w:val="001A7A0A"/>
    <w:rsid w:val="001B5571"/>
    <w:rsid w:val="001B60CC"/>
    <w:rsid w:val="001B62B1"/>
    <w:rsid w:val="001C30C0"/>
    <w:rsid w:val="001D0DAA"/>
    <w:rsid w:val="001D3F1C"/>
    <w:rsid w:val="001E1619"/>
    <w:rsid w:val="001E2F39"/>
    <w:rsid w:val="001E3E12"/>
    <w:rsid w:val="001E660D"/>
    <w:rsid w:val="001E66A0"/>
    <w:rsid w:val="001F4A84"/>
    <w:rsid w:val="001F4AB4"/>
    <w:rsid w:val="001F72AD"/>
    <w:rsid w:val="00203E02"/>
    <w:rsid w:val="00204034"/>
    <w:rsid w:val="0021154F"/>
    <w:rsid w:val="00212A34"/>
    <w:rsid w:val="002203BB"/>
    <w:rsid w:val="00226D46"/>
    <w:rsid w:val="0022703A"/>
    <w:rsid w:val="0022772A"/>
    <w:rsid w:val="0023028B"/>
    <w:rsid w:val="0023643F"/>
    <w:rsid w:val="00241E2E"/>
    <w:rsid w:val="002423FD"/>
    <w:rsid w:val="00243F3C"/>
    <w:rsid w:val="002507F6"/>
    <w:rsid w:val="00251AE5"/>
    <w:rsid w:val="00251ECC"/>
    <w:rsid w:val="002526BB"/>
    <w:rsid w:val="00254D7F"/>
    <w:rsid w:val="00255192"/>
    <w:rsid w:val="002560EE"/>
    <w:rsid w:val="0026023A"/>
    <w:rsid w:val="00263C41"/>
    <w:rsid w:val="00271250"/>
    <w:rsid w:val="00275DA7"/>
    <w:rsid w:val="00275DBA"/>
    <w:rsid w:val="00276121"/>
    <w:rsid w:val="00281B22"/>
    <w:rsid w:val="00282600"/>
    <w:rsid w:val="00287C16"/>
    <w:rsid w:val="0029034B"/>
    <w:rsid w:val="00290E03"/>
    <w:rsid w:val="00292818"/>
    <w:rsid w:val="00292A5A"/>
    <w:rsid w:val="00293520"/>
    <w:rsid w:val="002944E2"/>
    <w:rsid w:val="00295532"/>
    <w:rsid w:val="00296889"/>
    <w:rsid w:val="0029708B"/>
    <w:rsid w:val="002A0259"/>
    <w:rsid w:val="002A08FA"/>
    <w:rsid w:val="002A279A"/>
    <w:rsid w:val="002A4DB8"/>
    <w:rsid w:val="002A5732"/>
    <w:rsid w:val="002A5E71"/>
    <w:rsid w:val="002A6335"/>
    <w:rsid w:val="002B026B"/>
    <w:rsid w:val="002B4210"/>
    <w:rsid w:val="002B44A0"/>
    <w:rsid w:val="002B5AD3"/>
    <w:rsid w:val="002B6DB8"/>
    <w:rsid w:val="002C49F6"/>
    <w:rsid w:val="002C609B"/>
    <w:rsid w:val="002C645E"/>
    <w:rsid w:val="002D3479"/>
    <w:rsid w:val="002D6714"/>
    <w:rsid w:val="002D6E28"/>
    <w:rsid w:val="002D7B12"/>
    <w:rsid w:val="002E044B"/>
    <w:rsid w:val="002E23DD"/>
    <w:rsid w:val="002E2B5E"/>
    <w:rsid w:val="002E3176"/>
    <w:rsid w:val="002E4A2A"/>
    <w:rsid w:val="002E6A19"/>
    <w:rsid w:val="002E785D"/>
    <w:rsid w:val="002F1AB5"/>
    <w:rsid w:val="002F3453"/>
    <w:rsid w:val="002F3873"/>
    <w:rsid w:val="002F4E21"/>
    <w:rsid w:val="002F7A20"/>
    <w:rsid w:val="002F7B2B"/>
    <w:rsid w:val="00300391"/>
    <w:rsid w:val="00301E4C"/>
    <w:rsid w:val="0030379C"/>
    <w:rsid w:val="00304456"/>
    <w:rsid w:val="00304D9E"/>
    <w:rsid w:val="00311BEC"/>
    <w:rsid w:val="00311D26"/>
    <w:rsid w:val="0031392E"/>
    <w:rsid w:val="00314603"/>
    <w:rsid w:val="00314AE2"/>
    <w:rsid w:val="003153AA"/>
    <w:rsid w:val="00315C65"/>
    <w:rsid w:val="0031689D"/>
    <w:rsid w:val="003200AA"/>
    <w:rsid w:val="00320C4A"/>
    <w:rsid w:val="0032237C"/>
    <w:rsid w:val="0032267E"/>
    <w:rsid w:val="00327375"/>
    <w:rsid w:val="00327A4B"/>
    <w:rsid w:val="00332EB6"/>
    <w:rsid w:val="00334FB7"/>
    <w:rsid w:val="00335501"/>
    <w:rsid w:val="00335884"/>
    <w:rsid w:val="00336955"/>
    <w:rsid w:val="0034302E"/>
    <w:rsid w:val="00344273"/>
    <w:rsid w:val="00344A7A"/>
    <w:rsid w:val="00344B51"/>
    <w:rsid w:val="00355DE3"/>
    <w:rsid w:val="00356CDD"/>
    <w:rsid w:val="00356F59"/>
    <w:rsid w:val="0036134E"/>
    <w:rsid w:val="0036266E"/>
    <w:rsid w:val="00362F60"/>
    <w:rsid w:val="003637FC"/>
    <w:rsid w:val="00363B1C"/>
    <w:rsid w:val="00363D89"/>
    <w:rsid w:val="00366471"/>
    <w:rsid w:val="00370548"/>
    <w:rsid w:val="003714F5"/>
    <w:rsid w:val="0037367F"/>
    <w:rsid w:val="00374129"/>
    <w:rsid w:val="003820C2"/>
    <w:rsid w:val="00382D26"/>
    <w:rsid w:val="00383E1D"/>
    <w:rsid w:val="00385D81"/>
    <w:rsid w:val="00390870"/>
    <w:rsid w:val="003921F5"/>
    <w:rsid w:val="003923B9"/>
    <w:rsid w:val="00393AFF"/>
    <w:rsid w:val="00395BFE"/>
    <w:rsid w:val="003A08CD"/>
    <w:rsid w:val="003A0D5C"/>
    <w:rsid w:val="003A137C"/>
    <w:rsid w:val="003A1D15"/>
    <w:rsid w:val="003A5987"/>
    <w:rsid w:val="003A678B"/>
    <w:rsid w:val="003B172E"/>
    <w:rsid w:val="003B201F"/>
    <w:rsid w:val="003B2962"/>
    <w:rsid w:val="003B2ACF"/>
    <w:rsid w:val="003B4137"/>
    <w:rsid w:val="003B50DC"/>
    <w:rsid w:val="003B7FBB"/>
    <w:rsid w:val="003C23E2"/>
    <w:rsid w:val="003C4D9B"/>
    <w:rsid w:val="003C7FBD"/>
    <w:rsid w:val="003D3266"/>
    <w:rsid w:val="003D7AE4"/>
    <w:rsid w:val="003E37EF"/>
    <w:rsid w:val="003E4966"/>
    <w:rsid w:val="003E5FBE"/>
    <w:rsid w:val="003E69D6"/>
    <w:rsid w:val="003F25E6"/>
    <w:rsid w:val="003F33B3"/>
    <w:rsid w:val="003F5D6B"/>
    <w:rsid w:val="00400D15"/>
    <w:rsid w:val="004023CE"/>
    <w:rsid w:val="00403678"/>
    <w:rsid w:val="004055C8"/>
    <w:rsid w:val="00406130"/>
    <w:rsid w:val="004066EE"/>
    <w:rsid w:val="0040692C"/>
    <w:rsid w:val="00412047"/>
    <w:rsid w:val="00413C32"/>
    <w:rsid w:val="00416135"/>
    <w:rsid w:val="004200AB"/>
    <w:rsid w:val="00420687"/>
    <w:rsid w:val="004209BB"/>
    <w:rsid w:val="00420F3A"/>
    <w:rsid w:val="0042104D"/>
    <w:rsid w:val="00424D84"/>
    <w:rsid w:val="00432212"/>
    <w:rsid w:val="004407FB"/>
    <w:rsid w:val="00441BFA"/>
    <w:rsid w:val="00441F8A"/>
    <w:rsid w:val="0044200B"/>
    <w:rsid w:val="004468C8"/>
    <w:rsid w:val="00446948"/>
    <w:rsid w:val="00447108"/>
    <w:rsid w:val="004517FC"/>
    <w:rsid w:val="004519DE"/>
    <w:rsid w:val="0045201B"/>
    <w:rsid w:val="00455B48"/>
    <w:rsid w:val="004567F8"/>
    <w:rsid w:val="00457356"/>
    <w:rsid w:val="00457403"/>
    <w:rsid w:val="00460BED"/>
    <w:rsid w:val="00460C33"/>
    <w:rsid w:val="0046238F"/>
    <w:rsid w:val="004626ED"/>
    <w:rsid w:val="00466051"/>
    <w:rsid w:val="004722FE"/>
    <w:rsid w:val="0047376D"/>
    <w:rsid w:val="00476742"/>
    <w:rsid w:val="00476FC6"/>
    <w:rsid w:val="00477CDD"/>
    <w:rsid w:val="00477E8B"/>
    <w:rsid w:val="00481137"/>
    <w:rsid w:val="0048279D"/>
    <w:rsid w:val="004829E6"/>
    <w:rsid w:val="00482CB8"/>
    <w:rsid w:val="00487B9F"/>
    <w:rsid w:val="00487F16"/>
    <w:rsid w:val="004908C1"/>
    <w:rsid w:val="0049198D"/>
    <w:rsid w:val="00491F4C"/>
    <w:rsid w:val="004926E1"/>
    <w:rsid w:val="00495304"/>
    <w:rsid w:val="004A4E9F"/>
    <w:rsid w:val="004A6768"/>
    <w:rsid w:val="004B0289"/>
    <w:rsid w:val="004B03A7"/>
    <w:rsid w:val="004B2F37"/>
    <w:rsid w:val="004B507F"/>
    <w:rsid w:val="004B74FE"/>
    <w:rsid w:val="004C0442"/>
    <w:rsid w:val="004C2698"/>
    <w:rsid w:val="004C3A92"/>
    <w:rsid w:val="004C7822"/>
    <w:rsid w:val="004D6249"/>
    <w:rsid w:val="004E0772"/>
    <w:rsid w:val="004E3106"/>
    <w:rsid w:val="004E56A8"/>
    <w:rsid w:val="004E75ED"/>
    <w:rsid w:val="004E7C2B"/>
    <w:rsid w:val="004F10E8"/>
    <w:rsid w:val="004F4161"/>
    <w:rsid w:val="004F4C37"/>
    <w:rsid w:val="004F68BE"/>
    <w:rsid w:val="004F6F2C"/>
    <w:rsid w:val="004F70FA"/>
    <w:rsid w:val="004F727C"/>
    <w:rsid w:val="00502020"/>
    <w:rsid w:val="00502FF1"/>
    <w:rsid w:val="00503FEF"/>
    <w:rsid w:val="00505AA8"/>
    <w:rsid w:val="00506D2B"/>
    <w:rsid w:val="0051107D"/>
    <w:rsid w:val="00514BD2"/>
    <w:rsid w:val="00515EDB"/>
    <w:rsid w:val="00516F29"/>
    <w:rsid w:val="005218D6"/>
    <w:rsid w:val="00525BA3"/>
    <w:rsid w:val="0053249B"/>
    <w:rsid w:val="00534756"/>
    <w:rsid w:val="0053484A"/>
    <w:rsid w:val="0053574E"/>
    <w:rsid w:val="00536244"/>
    <w:rsid w:val="005371E6"/>
    <w:rsid w:val="0054199F"/>
    <w:rsid w:val="00541A76"/>
    <w:rsid w:val="005465FD"/>
    <w:rsid w:val="005549B4"/>
    <w:rsid w:val="00561A35"/>
    <w:rsid w:val="00565670"/>
    <w:rsid w:val="00570EDF"/>
    <w:rsid w:val="00575A0D"/>
    <w:rsid w:val="00575AA9"/>
    <w:rsid w:val="00582176"/>
    <w:rsid w:val="00584B72"/>
    <w:rsid w:val="00596283"/>
    <w:rsid w:val="005A46DA"/>
    <w:rsid w:val="005A48EB"/>
    <w:rsid w:val="005A4CF7"/>
    <w:rsid w:val="005B1428"/>
    <w:rsid w:val="005B2706"/>
    <w:rsid w:val="005B5809"/>
    <w:rsid w:val="005B6C89"/>
    <w:rsid w:val="005C1F00"/>
    <w:rsid w:val="005C30E8"/>
    <w:rsid w:val="005C3175"/>
    <w:rsid w:val="005D1123"/>
    <w:rsid w:val="005D55BC"/>
    <w:rsid w:val="005D642E"/>
    <w:rsid w:val="005D6598"/>
    <w:rsid w:val="005D6A50"/>
    <w:rsid w:val="005D6B46"/>
    <w:rsid w:val="005D742F"/>
    <w:rsid w:val="005E654B"/>
    <w:rsid w:val="005E6DDA"/>
    <w:rsid w:val="005E72DA"/>
    <w:rsid w:val="005F07B3"/>
    <w:rsid w:val="00603B1D"/>
    <w:rsid w:val="006046F8"/>
    <w:rsid w:val="00606969"/>
    <w:rsid w:val="006112CF"/>
    <w:rsid w:val="00612BC8"/>
    <w:rsid w:val="00613D5B"/>
    <w:rsid w:val="00614B6A"/>
    <w:rsid w:val="0062607B"/>
    <w:rsid w:val="00627321"/>
    <w:rsid w:val="00631EC6"/>
    <w:rsid w:val="00634479"/>
    <w:rsid w:val="006415C2"/>
    <w:rsid w:val="00641AEA"/>
    <w:rsid w:val="00644B8D"/>
    <w:rsid w:val="006551F3"/>
    <w:rsid w:val="00655974"/>
    <w:rsid w:val="00655BF3"/>
    <w:rsid w:val="00657E83"/>
    <w:rsid w:val="006610FA"/>
    <w:rsid w:val="006673C7"/>
    <w:rsid w:val="00670BF5"/>
    <w:rsid w:val="00687256"/>
    <w:rsid w:val="0069223E"/>
    <w:rsid w:val="0069330C"/>
    <w:rsid w:val="0069402F"/>
    <w:rsid w:val="006A3147"/>
    <w:rsid w:val="006A3417"/>
    <w:rsid w:val="006A56E1"/>
    <w:rsid w:val="006B6AC3"/>
    <w:rsid w:val="006B7307"/>
    <w:rsid w:val="006C2D01"/>
    <w:rsid w:val="006C4D60"/>
    <w:rsid w:val="006C77D0"/>
    <w:rsid w:val="006D2E28"/>
    <w:rsid w:val="006D4E8A"/>
    <w:rsid w:val="006E0180"/>
    <w:rsid w:val="006E46B1"/>
    <w:rsid w:val="006E5960"/>
    <w:rsid w:val="006E6111"/>
    <w:rsid w:val="006E7F27"/>
    <w:rsid w:val="006F77A7"/>
    <w:rsid w:val="006F7F0B"/>
    <w:rsid w:val="007013C6"/>
    <w:rsid w:val="007060BD"/>
    <w:rsid w:val="00706815"/>
    <w:rsid w:val="00712BE0"/>
    <w:rsid w:val="00713AF1"/>
    <w:rsid w:val="00715CBE"/>
    <w:rsid w:val="00715FC3"/>
    <w:rsid w:val="00723702"/>
    <w:rsid w:val="007257E7"/>
    <w:rsid w:val="007262B4"/>
    <w:rsid w:val="00731B35"/>
    <w:rsid w:val="0073230A"/>
    <w:rsid w:val="00733CD7"/>
    <w:rsid w:val="007340CE"/>
    <w:rsid w:val="007342AC"/>
    <w:rsid w:val="00736B23"/>
    <w:rsid w:val="00741E0F"/>
    <w:rsid w:val="00744882"/>
    <w:rsid w:val="00745651"/>
    <w:rsid w:val="0074663C"/>
    <w:rsid w:val="00751411"/>
    <w:rsid w:val="007528E2"/>
    <w:rsid w:val="00760A68"/>
    <w:rsid w:val="00761CA5"/>
    <w:rsid w:val="0076218A"/>
    <w:rsid w:val="007650BF"/>
    <w:rsid w:val="007714E5"/>
    <w:rsid w:val="00771E42"/>
    <w:rsid w:val="00774AB6"/>
    <w:rsid w:val="00777FD6"/>
    <w:rsid w:val="00781B79"/>
    <w:rsid w:val="0078217A"/>
    <w:rsid w:val="00782FED"/>
    <w:rsid w:val="00785619"/>
    <w:rsid w:val="00785787"/>
    <w:rsid w:val="007929DF"/>
    <w:rsid w:val="007A02B4"/>
    <w:rsid w:val="007A469A"/>
    <w:rsid w:val="007A7A8D"/>
    <w:rsid w:val="007B176B"/>
    <w:rsid w:val="007B2414"/>
    <w:rsid w:val="007B3708"/>
    <w:rsid w:val="007B5453"/>
    <w:rsid w:val="007C07D1"/>
    <w:rsid w:val="007C1828"/>
    <w:rsid w:val="007D5BC1"/>
    <w:rsid w:val="007E20A0"/>
    <w:rsid w:val="007E2EAE"/>
    <w:rsid w:val="007E309B"/>
    <w:rsid w:val="007E3155"/>
    <w:rsid w:val="007E3BFC"/>
    <w:rsid w:val="007F172C"/>
    <w:rsid w:val="0080600C"/>
    <w:rsid w:val="008061FF"/>
    <w:rsid w:val="00807F51"/>
    <w:rsid w:val="00807FD4"/>
    <w:rsid w:val="0081367C"/>
    <w:rsid w:val="00813818"/>
    <w:rsid w:val="0082751C"/>
    <w:rsid w:val="00830D21"/>
    <w:rsid w:val="0083150B"/>
    <w:rsid w:val="00833CE3"/>
    <w:rsid w:val="00840FAF"/>
    <w:rsid w:val="0084120E"/>
    <w:rsid w:val="00845F49"/>
    <w:rsid w:val="0084781B"/>
    <w:rsid w:val="00852EFF"/>
    <w:rsid w:val="00853791"/>
    <w:rsid w:val="00853E52"/>
    <w:rsid w:val="00856002"/>
    <w:rsid w:val="008601BB"/>
    <w:rsid w:val="00864513"/>
    <w:rsid w:val="00864BF5"/>
    <w:rsid w:val="00864C8A"/>
    <w:rsid w:val="00866479"/>
    <w:rsid w:val="00866E0D"/>
    <w:rsid w:val="0087033C"/>
    <w:rsid w:val="008709EB"/>
    <w:rsid w:val="008725FB"/>
    <w:rsid w:val="008743F3"/>
    <w:rsid w:val="008778E7"/>
    <w:rsid w:val="00877948"/>
    <w:rsid w:val="008841A9"/>
    <w:rsid w:val="0088437E"/>
    <w:rsid w:val="00892E09"/>
    <w:rsid w:val="008945DB"/>
    <w:rsid w:val="0089717B"/>
    <w:rsid w:val="008A0ADD"/>
    <w:rsid w:val="008A1DAA"/>
    <w:rsid w:val="008A20C2"/>
    <w:rsid w:val="008A4F48"/>
    <w:rsid w:val="008A58B6"/>
    <w:rsid w:val="008A5EDA"/>
    <w:rsid w:val="008A5F3E"/>
    <w:rsid w:val="008B1662"/>
    <w:rsid w:val="008B2C23"/>
    <w:rsid w:val="008B3EBC"/>
    <w:rsid w:val="008B5D49"/>
    <w:rsid w:val="008B6494"/>
    <w:rsid w:val="008C35C3"/>
    <w:rsid w:val="008C61D2"/>
    <w:rsid w:val="008C67F3"/>
    <w:rsid w:val="008C6EEF"/>
    <w:rsid w:val="008D154B"/>
    <w:rsid w:val="008D5675"/>
    <w:rsid w:val="008D74F7"/>
    <w:rsid w:val="008D7D7B"/>
    <w:rsid w:val="008E016F"/>
    <w:rsid w:val="008E082E"/>
    <w:rsid w:val="008E15FB"/>
    <w:rsid w:val="008E4583"/>
    <w:rsid w:val="008F0764"/>
    <w:rsid w:val="008F2E05"/>
    <w:rsid w:val="00901454"/>
    <w:rsid w:val="009015B4"/>
    <w:rsid w:val="00902F76"/>
    <w:rsid w:val="00903484"/>
    <w:rsid w:val="00904119"/>
    <w:rsid w:val="009046CA"/>
    <w:rsid w:val="00904BE5"/>
    <w:rsid w:val="00910146"/>
    <w:rsid w:val="0091076A"/>
    <w:rsid w:val="009112A9"/>
    <w:rsid w:val="00912565"/>
    <w:rsid w:val="00914563"/>
    <w:rsid w:val="00915605"/>
    <w:rsid w:val="00924000"/>
    <w:rsid w:val="00926A2C"/>
    <w:rsid w:val="00927AE1"/>
    <w:rsid w:val="009326A9"/>
    <w:rsid w:val="00935FA2"/>
    <w:rsid w:val="00936DF4"/>
    <w:rsid w:val="00940854"/>
    <w:rsid w:val="00942353"/>
    <w:rsid w:val="009444CD"/>
    <w:rsid w:val="009475AF"/>
    <w:rsid w:val="009513F0"/>
    <w:rsid w:val="009514D6"/>
    <w:rsid w:val="0095308F"/>
    <w:rsid w:val="0095490B"/>
    <w:rsid w:val="00956B46"/>
    <w:rsid w:val="00962BBE"/>
    <w:rsid w:val="009632CF"/>
    <w:rsid w:val="00965A1B"/>
    <w:rsid w:val="00965D64"/>
    <w:rsid w:val="00972AD7"/>
    <w:rsid w:val="009743B6"/>
    <w:rsid w:val="0097556E"/>
    <w:rsid w:val="00981F0B"/>
    <w:rsid w:val="009864F4"/>
    <w:rsid w:val="0099110C"/>
    <w:rsid w:val="0099609F"/>
    <w:rsid w:val="00997FCE"/>
    <w:rsid w:val="009A1CD3"/>
    <w:rsid w:val="009A43DE"/>
    <w:rsid w:val="009A45A4"/>
    <w:rsid w:val="009A6A9E"/>
    <w:rsid w:val="009B122D"/>
    <w:rsid w:val="009B7767"/>
    <w:rsid w:val="009C229C"/>
    <w:rsid w:val="009C449F"/>
    <w:rsid w:val="009C44C6"/>
    <w:rsid w:val="009C4D14"/>
    <w:rsid w:val="009C605C"/>
    <w:rsid w:val="009C736F"/>
    <w:rsid w:val="009D0335"/>
    <w:rsid w:val="009D4C3B"/>
    <w:rsid w:val="009D7FC2"/>
    <w:rsid w:val="009E0177"/>
    <w:rsid w:val="009E19E8"/>
    <w:rsid w:val="009E329A"/>
    <w:rsid w:val="009E4302"/>
    <w:rsid w:val="009E54C3"/>
    <w:rsid w:val="009E5D90"/>
    <w:rsid w:val="009E650B"/>
    <w:rsid w:val="009E6F22"/>
    <w:rsid w:val="009F1073"/>
    <w:rsid w:val="009F5CC0"/>
    <w:rsid w:val="009F7BDB"/>
    <w:rsid w:val="00A00835"/>
    <w:rsid w:val="00A02F72"/>
    <w:rsid w:val="00A033A6"/>
    <w:rsid w:val="00A036F3"/>
    <w:rsid w:val="00A0527F"/>
    <w:rsid w:val="00A125B4"/>
    <w:rsid w:val="00A12772"/>
    <w:rsid w:val="00A20300"/>
    <w:rsid w:val="00A2318A"/>
    <w:rsid w:val="00A2488A"/>
    <w:rsid w:val="00A26635"/>
    <w:rsid w:val="00A3777D"/>
    <w:rsid w:val="00A40396"/>
    <w:rsid w:val="00A4289C"/>
    <w:rsid w:val="00A42C4E"/>
    <w:rsid w:val="00A46852"/>
    <w:rsid w:val="00A5237F"/>
    <w:rsid w:val="00A52BD3"/>
    <w:rsid w:val="00A52D99"/>
    <w:rsid w:val="00A5676B"/>
    <w:rsid w:val="00A60039"/>
    <w:rsid w:val="00A60DF6"/>
    <w:rsid w:val="00A6397D"/>
    <w:rsid w:val="00A67545"/>
    <w:rsid w:val="00A71B87"/>
    <w:rsid w:val="00A765D0"/>
    <w:rsid w:val="00A817DD"/>
    <w:rsid w:val="00A86B99"/>
    <w:rsid w:val="00A90C60"/>
    <w:rsid w:val="00A913F8"/>
    <w:rsid w:val="00A92F41"/>
    <w:rsid w:val="00A9594F"/>
    <w:rsid w:val="00A971F0"/>
    <w:rsid w:val="00A97A39"/>
    <w:rsid w:val="00AA0702"/>
    <w:rsid w:val="00AA07C2"/>
    <w:rsid w:val="00AA2418"/>
    <w:rsid w:val="00AA7802"/>
    <w:rsid w:val="00AB2715"/>
    <w:rsid w:val="00AB3C14"/>
    <w:rsid w:val="00AB3E5B"/>
    <w:rsid w:val="00AB6107"/>
    <w:rsid w:val="00AB7B06"/>
    <w:rsid w:val="00AC3BD5"/>
    <w:rsid w:val="00AC47F2"/>
    <w:rsid w:val="00AC771B"/>
    <w:rsid w:val="00AD3EAB"/>
    <w:rsid w:val="00AD482A"/>
    <w:rsid w:val="00AD5510"/>
    <w:rsid w:val="00AE1A0D"/>
    <w:rsid w:val="00AE244F"/>
    <w:rsid w:val="00AE3C89"/>
    <w:rsid w:val="00AE4814"/>
    <w:rsid w:val="00AE74F3"/>
    <w:rsid w:val="00AE76FE"/>
    <w:rsid w:val="00AE7881"/>
    <w:rsid w:val="00AF4A51"/>
    <w:rsid w:val="00AF55B7"/>
    <w:rsid w:val="00AF6207"/>
    <w:rsid w:val="00B0039E"/>
    <w:rsid w:val="00B0182F"/>
    <w:rsid w:val="00B04DD1"/>
    <w:rsid w:val="00B0592A"/>
    <w:rsid w:val="00B075C9"/>
    <w:rsid w:val="00B0799C"/>
    <w:rsid w:val="00B13336"/>
    <w:rsid w:val="00B134B3"/>
    <w:rsid w:val="00B15422"/>
    <w:rsid w:val="00B17F0B"/>
    <w:rsid w:val="00B22A0F"/>
    <w:rsid w:val="00B30226"/>
    <w:rsid w:val="00B30E53"/>
    <w:rsid w:val="00B32015"/>
    <w:rsid w:val="00B3555D"/>
    <w:rsid w:val="00B3564C"/>
    <w:rsid w:val="00B361B4"/>
    <w:rsid w:val="00B40C53"/>
    <w:rsid w:val="00B423A9"/>
    <w:rsid w:val="00B4399E"/>
    <w:rsid w:val="00B44C80"/>
    <w:rsid w:val="00B476E0"/>
    <w:rsid w:val="00B4793A"/>
    <w:rsid w:val="00B506F6"/>
    <w:rsid w:val="00B513F2"/>
    <w:rsid w:val="00B53D7B"/>
    <w:rsid w:val="00B53DF7"/>
    <w:rsid w:val="00B5479F"/>
    <w:rsid w:val="00B54E23"/>
    <w:rsid w:val="00B550B9"/>
    <w:rsid w:val="00B57820"/>
    <w:rsid w:val="00B60CE4"/>
    <w:rsid w:val="00B61650"/>
    <w:rsid w:val="00B62456"/>
    <w:rsid w:val="00B65964"/>
    <w:rsid w:val="00B70BC9"/>
    <w:rsid w:val="00B717F0"/>
    <w:rsid w:val="00B77375"/>
    <w:rsid w:val="00B81581"/>
    <w:rsid w:val="00B81B58"/>
    <w:rsid w:val="00B81ECF"/>
    <w:rsid w:val="00B84CF4"/>
    <w:rsid w:val="00B86DBB"/>
    <w:rsid w:val="00B876DF"/>
    <w:rsid w:val="00B9526D"/>
    <w:rsid w:val="00B97139"/>
    <w:rsid w:val="00B973BF"/>
    <w:rsid w:val="00BA0DDD"/>
    <w:rsid w:val="00BA12D9"/>
    <w:rsid w:val="00BA42E9"/>
    <w:rsid w:val="00BA4505"/>
    <w:rsid w:val="00BA6720"/>
    <w:rsid w:val="00BB07CE"/>
    <w:rsid w:val="00BB2921"/>
    <w:rsid w:val="00BB2CB1"/>
    <w:rsid w:val="00BB6974"/>
    <w:rsid w:val="00BB7593"/>
    <w:rsid w:val="00BB7714"/>
    <w:rsid w:val="00BB7DD1"/>
    <w:rsid w:val="00BC1167"/>
    <w:rsid w:val="00BC2ACC"/>
    <w:rsid w:val="00BC3AAA"/>
    <w:rsid w:val="00BC4C09"/>
    <w:rsid w:val="00BC50AF"/>
    <w:rsid w:val="00BD1426"/>
    <w:rsid w:val="00BD31AE"/>
    <w:rsid w:val="00BD5553"/>
    <w:rsid w:val="00BE05B9"/>
    <w:rsid w:val="00BE311F"/>
    <w:rsid w:val="00BE3C88"/>
    <w:rsid w:val="00BE7413"/>
    <w:rsid w:val="00BE7879"/>
    <w:rsid w:val="00BF549D"/>
    <w:rsid w:val="00C000B2"/>
    <w:rsid w:val="00C02A4B"/>
    <w:rsid w:val="00C067B5"/>
    <w:rsid w:val="00C16C62"/>
    <w:rsid w:val="00C2125D"/>
    <w:rsid w:val="00C21F7D"/>
    <w:rsid w:val="00C22A47"/>
    <w:rsid w:val="00C2388C"/>
    <w:rsid w:val="00C27A5D"/>
    <w:rsid w:val="00C40E43"/>
    <w:rsid w:val="00C42410"/>
    <w:rsid w:val="00C4616C"/>
    <w:rsid w:val="00C5042C"/>
    <w:rsid w:val="00C5181B"/>
    <w:rsid w:val="00C51983"/>
    <w:rsid w:val="00C526EF"/>
    <w:rsid w:val="00C6073A"/>
    <w:rsid w:val="00C610B4"/>
    <w:rsid w:val="00C61282"/>
    <w:rsid w:val="00C62D65"/>
    <w:rsid w:val="00C6344E"/>
    <w:rsid w:val="00C6533A"/>
    <w:rsid w:val="00C70A0F"/>
    <w:rsid w:val="00C717F3"/>
    <w:rsid w:val="00C7495D"/>
    <w:rsid w:val="00C7539C"/>
    <w:rsid w:val="00C766B2"/>
    <w:rsid w:val="00C812F8"/>
    <w:rsid w:val="00C83BFE"/>
    <w:rsid w:val="00C842F0"/>
    <w:rsid w:val="00C85DB2"/>
    <w:rsid w:val="00C8652D"/>
    <w:rsid w:val="00C87FF9"/>
    <w:rsid w:val="00C952BC"/>
    <w:rsid w:val="00CA2D86"/>
    <w:rsid w:val="00CA376E"/>
    <w:rsid w:val="00CA3F23"/>
    <w:rsid w:val="00CA40A7"/>
    <w:rsid w:val="00CA40A8"/>
    <w:rsid w:val="00CA4A32"/>
    <w:rsid w:val="00CA67DC"/>
    <w:rsid w:val="00CA6DAF"/>
    <w:rsid w:val="00CB4BE9"/>
    <w:rsid w:val="00CC03F9"/>
    <w:rsid w:val="00CC498F"/>
    <w:rsid w:val="00CC5CAB"/>
    <w:rsid w:val="00CC6655"/>
    <w:rsid w:val="00CD3950"/>
    <w:rsid w:val="00CD4DA8"/>
    <w:rsid w:val="00CE1078"/>
    <w:rsid w:val="00CE23DE"/>
    <w:rsid w:val="00CE377A"/>
    <w:rsid w:val="00CF1D23"/>
    <w:rsid w:val="00D0073F"/>
    <w:rsid w:val="00D05A27"/>
    <w:rsid w:val="00D1255D"/>
    <w:rsid w:val="00D13D04"/>
    <w:rsid w:val="00D13D35"/>
    <w:rsid w:val="00D14FBB"/>
    <w:rsid w:val="00D15E59"/>
    <w:rsid w:val="00D16363"/>
    <w:rsid w:val="00D16464"/>
    <w:rsid w:val="00D16E45"/>
    <w:rsid w:val="00D208FC"/>
    <w:rsid w:val="00D20E92"/>
    <w:rsid w:val="00D22974"/>
    <w:rsid w:val="00D250FE"/>
    <w:rsid w:val="00D30069"/>
    <w:rsid w:val="00D3348B"/>
    <w:rsid w:val="00D33D24"/>
    <w:rsid w:val="00D3487B"/>
    <w:rsid w:val="00D366B3"/>
    <w:rsid w:val="00D435BA"/>
    <w:rsid w:val="00D44AA4"/>
    <w:rsid w:val="00D4529D"/>
    <w:rsid w:val="00D5308B"/>
    <w:rsid w:val="00D557CC"/>
    <w:rsid w:val="00D56368"/>
    <w:rsid w:val="00D579F2"/>
    <w:rsid w:val="00D62A92"/>
    <w:rsid w:val="00D64975"/>
    <w:rsid w:val="00D65AD9"/>
    <w:rsid w:val="00D65DDA"/>
    <w:rsid w:val="00D66649"/>
    <w:rsid w:val="00D7073A"/>
    <w:rsid w:val="00D750C3"/>
    <w:rsid w:val="00D76058"/>
    <w:rsid w:val="00D7630E"/>
    <w:rsid w:val="00D83A56"/>
    <w:rsid w:val="00D909A7"/>
    <w:rsid w:val="00D96ECB"/>
    <w:rsid w:val="00DA1D11"/>
    <w:rsid w:val="00DA3ADD"/>
    <w:rsid w:val="00DB021F"/>
    <w:rsid w:val="00DB0E96"/>
    <w:rsid w:val="00DB1D77"/>
    <w:rsid w:val="00DB3727"/>
    <w:rsid w:val="00DB5422"/>
    <w:rsid w:val="00DB5E29"/>
    <w:rsid w:val="00DC0D78"/>
    <w:rsid w:val="00DC3997"/>
    <w:rsid w:val="00DC702E"/>
    <w:rsid w:val="00DD06F0"/>
    <w:rsid w:val="00DD518A"/>
    <w:rsid w:val="00DD55C3"/>
    <w:rsid w:val="00DE0719"/>
    <w:rsid w:val="00DE12B2"/>
    <w:rsid w:val="00DF0208"/>
    <w:rsid w:val="00DF0783"/>
    <w:rsid w:val="00DF23DA"/>
    <w:rsid w:val="00DF462B"/>
    <w:rsid w:val="00DF62C0"/>
    <w:rsid w:val="00DF696E"/>
    <w:rsid w:val="00E022D6"/>
    <w:rsid w:val="00E073F7"/>
    <w:rsid w:val="00E07B75"/>
    <w:rsid w:val="00E107E1"/>
    <w:rsid w:val="00E16162"/>
    <w:rsid w:val="00E2143F"/>
    <w:rsid w:val="00E23E2E"/>
    <w:rsid w:val="00E25035"/>
    <w:rsid w:val="00E27A97"/>
    <w:rsid w:val="00E31651"/>
    <w:rsid w:val="00E31F5A"/>
    <w:rsid w:val="00E33BFB"/>
    <w:rsid w:val="00E37EB7"/>
    <w:rsid w:val="00E51776"/>
    <w:rsid w:val="00E52D03"/>
    <w:rsid w:val="00E55770"/>
    <w:rsid w:val="00E55841"/>
    <w:rsid w:val="00E5686E"/>
    <w:rsid w:val="00E601B4"/>
    <w:rsid w:val="00E606F0"/>
    <w:rsid w:val="00E63BAF"/>
    <w:rsid w:val="00E63F9F"/>
    <w:rsid w:val="00E66A09"/>
    <w:rsid w:val="00E66E17"/>
    <w:rsid w:val="00E67465"/>
    <w:rsid w:val="00E721C5"/>
    <w:rsid w:val="00E726B2"/>
    <w:rsid w:val="00E75888"/>
    <w:rsid w:val="00E8014B"/>
    <w:rsid w:val="00E80A36"/>
    <w:rsid w:val="00E821FE"/>
    <w:rsid w:val="00E8232B"/>
    <w:rsid w:val="00E85EC6"/>
    <w:rsid w:val="00E86C5A"/>
    <w:rsid w:val="00E876C2"/>
    <w:rsid w:val="00E907A5"/>
    <w:rsid w:val="00E93777"/>
    <w:rsid w:val="00E93AB3"/>
    <w:rsid w:val="00E94D30"/>
    <w:rsid w:val="00EA0686"/>
    <w:rsid w:val="00EA58CE"/>
    <w:rsid w:val="00EB2EAB"/>
    <w:rsid w:val="00EB3E88"/>
    <w:rsid w:val="00EB49DF"/>
    <w:rsid w:val="00EB5173"/>
    <w:rsid w:val="00EB555A"/>
    <w:rsid w:val="00EC132A"/>
    <w:rsid w:val="00EC2B6F"/>
    <w:rsid w:val="00EC4BEE"/>
    <w:rsid w:val="00EC513B"/>
    <w:rsid w:val="00EC6175"/>
    <w:rsid w:val="00ED0F0A"/>
    <w:rsid w:val="00ED1821"/>
    <w:rsid w:val="00ED2FB2"/>
    <w:rsid w:val="00ED41FC"/>
    <w:rsid w:val="00EE2018"/>
    <w:rsid w:val="00EE3E27"/>
    <w:rsid w:val="00EE408D"/>
    <w:rsid w:val="00EE6419"/>
    <w:rsid w:val="00EF1A12"/>
    <w:rsid w:val="00EF1CEE"/>
    <w:rsid w:val="00EF27DD"/>
    <w:rsid w:val="00EF3D94"/>
    <w:rsid w:val="00EF5D35"/>
    <w:rsid w:val="00F01C24"/>
    <w:rsid w:val="00F01F54"/>
    <w:rsid w:val="00F065DA"/>
    <w:rsid w:val="00F1031A"/>
    <w:rsid w:val="00F10A65"/>
    <w:rsid w:val="00F12157"/>
    <w:rsid w:val="00F13A5C"/>
    <w:rsid w:val="00F16372"/>
    <w:rsid w:val="00F17AA9"/>
    <w:rsid w:val="00F2319B"/>
    <w:rsid w:val="00F272F9"/>
    <w:rsid w:val="00F34258"/>
    <w:rsid w:val="00F35A42"/>
    <w:rsid w:val="00F36508"/>
    <w:rsid w:val="00F371FE"/>
    <w:rsid w:val="00F44AC5"/>
    <w:rsid w:val="00F45162"/>
    <w:rsid w:val="00F4524C"/>
    <w:rsid w:val="00F46421"/>
    <w:rsid w:val="00F46D19"/>
    <w:rsid w:val="00F47838"/>
    <w:rsid w:val="00F47E8E"/>
    <w:rsid w:val="00F543B7"/>
    <w:rsid w:val="00F54550"/>
    <w:rsid w:val="00F5565E"/>
    <w:rsid w:val="00F56C9F"/>
    <w:rsid w:val="00F60825"/>
    <w:rsid w:val="00F6120F"/>
    <w:rsid w:val="00F61799"/>
    <w:rsid w:val="00F61DB7"/>
    <w:rsid w:val="00F63C74"/>
    <w:rsid w:val="00F6502C"/>
    <w:rsid w:val="00F70167"/>
    <w:rsid w:val="00F81280"/>
    <w:rsid w:val="00F822CE"/>
    <w:rsid w:val="00F84134"/>
    <w:rsid w:val="00F867B7"/>
    <w:rsid w:val="00F87FB8"/>
    <w:rsid w:val="00F92FC6"/>
    <w:rsid w:val="00F95677"/>
    <w:rsid w:val="00F96EEC"/>
    <w:rsid w:val="00FA2061"/>
    <w:rsid w:val="00FA63F5"/>
    <w:rsid w:val="00FB04EE"/>
    <w:rsid w:val="00FB1101"/>
    <w:rsid w:val="00FB11D9"/>
    <w:rsid w:val="00FB33CD"/>
    <w:rsid w:val="00FB7B53"/>
    <w:rsid w:val="00FC1773"/>
    <w:rsid w:val="00FC3E1C"/>
    <w:rsid w:val="00FC40F3"/>
    <w:rsid w:val="00FC5904"/>
    <w:rsid w:val="00FC6840"/>
    <w:rsid w:val="00FD2513"/>
    <w:rsid w:val="00FE4562"/>
    <w:rsid w:val="00FE5B9F"/>
    <w:rsid w:val="00FE77E7"/>
    <w:rsid w:val="00FF00B7"/>
    <w:rsid w:val="00FF4116"/>
    <w:rsid w:val="00FF6CEC"/>
    <w:rsid w:val="00FF757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98968"/>
  <w15:docId w15:val="{3D891C18-5A86-4FA5-A0EB-5029F77CC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5E71"/>
    <w:pPr>
      <w:keepNext/>
      <w:keepLines/>
      <w:spacing w:before="480" w:after="0"/>
      <w:outlineLvl w:val="0"/>
    </w:pPr>
    <w:rPr>
      <w:rFonts w:asciiTheme="majorHAnsi" w:eastAsiaTheme="majorEastAsia" w:hAnsiTheme="majorHAnsi" w:cstheme="majorBidi"/>
      <w:b/>
      <w:bCs/>
      <w:color w:val="C65F09" w:themeColor="accent1" w:themeShade="BF"/>
      <w:sz w:val="28"/>
      <w:szCs w:val="28"/>
    </w:rPr>
  </w:style>
  <w:style w:type="paragraph" w:styleId="Heading2">
    <w:name w:val="heading 2"/>
    <w:basedOn w:val="Normal"/>
    <w:next w:val="Normal"/>
    <w:link w:val="Heading2Char"/>
    <w:uiPriority w:val="9"/>
    <w:unhideWhenUsed/>
    <w:qFormat/>
    <w:rsid w:val="005E72DA"/>
    <w:pPr>
      <w:keepNext/>
      <w:keepLines/>
      <w:spacing w:before="200" w:after="0"/>
      <w:outlineLvl w:val="1"/>
    </w:pPr>
    <w:rPr>
      <w:rFonts w:asciiTheme="majorHAnsi" w:eastAsiaTheme="majorEastAsia" w:hAnsiTheme="majorHAnsi" w:cstheme="majorBidi"/>
      <w:b/>
      <w:bCs/>
      <w:color w:val="F58220" w:themeColor="accent1"/>
      <w:sz w:val="26"/>
      <w:szCs w:val="26"/>
    </w:rPr>
  </w:style>
  <w:style w:type="paragraph" w:styleId="Heading3">
    <w:name w:val="heading 3"/>
    <w:basedOn w:val="Normal"/>
    <w:next w:val="Normal"/>
    <w:link w:val="Heading3Char"/>
    <w:uiPriority w:val="9"/>
    <w:unhideWhenUsed/>
    <w:qFormat/>
    <w:rsid w:val="00094911"/>
    <w:pPr>
      <w:keepNext/>
      <w:keepLines/>
      <w:spacing w:before="40" w:after="0" w:line="259" w:lineRule="auto"/>
      <w:outlineLvl w:val="2"/>
    </w:pPr>
    <w:rPr>
      <w:rFonts w:asciiTheme="majorHAnsi" w:eastAsiaTheme="majorEastAsia" w:hAnsiTheme="majorHAnsi" w:cstheme="majorBidi"/>
      <w:color w:val="833F06"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E72DA"/>
    <w:rPr>
      <w:rFonts w:asciiTheme="majorHAnsi" w:eastAsiaTheme="majorEastAsia" w:hAnsiTheme="majorHAnsi" w:cstheme="majorBidi"/>
      <w:b/>
      <w:bCs/>
      <w:color w:val="F58220" w:themeColor="accent1"/>
      <w:sz w:val="26"/>
      <w:szCs w:val="26"/>
    </w:rPr>
  </w:style>
  <w:style w:type="paragraph" w:styleId="Subtitle">
    <w:name w:val="Subtitle"/>
    <w:basedOn w:val="Normal"/>
    <w:next w:val="Normal"/>
    <w:link w:val="SubtitleChar"/>
    <w:uiPriority w:val="11"/>
    <w:qFormat/>
    <w:rsid w:val="005E72DA"/>
    <w:pPr>
      <w:numPr>
        <w:ilvl w:val="1"/>
      </w:numPr>
    </w:pPr>
    <w:rPr>
      <w:rFonts w:asciiTheme="majorHAnsi" w:eastAsiaTheme="majorEastAsia" w:hAnsiTheme="majorHAnsi" w:cstheme="majorBidi"/>
      <w:i/>
      <w:iCs/>
      <w:color w:val="F58220" w:themeColor="accent1"/>
      <w:spacing w:val="15"/>
      <w:sz w:val="24"/>
      <w:szCs w:val="24"/>
    </w:rPr>
  </w:style>
  <w:style w:type="character" w:customStyle="1" w:styleId="SubtitleChar">
    <w:name w:val="Subtitle Char"/>
    <w:basedOn w:val="DefaultParagraphFont"/>
    <w:link w:val="Subtitle"/>
    <w:uiPriority w:val="11"/>
    <w:rsid w:val="005E72DA"/>
    <w:rPr>
      <w:rFonts w:asciiTheme="majorHAnsi" w:eastAsiaTheme="majorEastAsia" w:hAnsiTheme="majorHAnsi" w:cstheme="majorBidi"/>
      <w:i/>
      <w:iCs/>
      <w:color w:val="F58220" w:themeColor="accent1"/>
      <w:spacing w:val="15"/>
      <w:sz w:val="24"/>
      <w:szCs w:val="24"/>
    </w:rPr>
  </w:style>
  <w:style w:type="paragraph" w:styleId="BalloonText">
    <w:name w:val="Balloon Text"/>
    <w:basedOn w:val="Normal"/>
    <w:link w:val="BalloonTextChar"/>
    <w:uiPriority w:val="99"/>
    <w:semiHidden/>
    <w:unhideWhenUsed/>
    <w:rsid w:val="005E7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2DA"/>
    <w:rPr>
      <w:rFonts w:ascii="Tahoma" w:hAnsi="Tahoma" w:cs="Tahoma"/>
      <w:sz w:val="16"/>
      <w:szCs w:val="16"/>
    </w:rPr>
  </w:style>
  <w:style w:type="character" w:customStyle="1" w:styleId="Heading1Char">
    <w:name w:val="Heading 1 Char"/>
    <w:basedOn w:val="DefaultParagraphFont"/>
    <w:link w:val="Heading1"/>
    <w:uiPriority w:val="9"/>
    <w:rsid w:val="002A5E71"/>
    <w:rPr>
      <w:rFonts w:asciiTheme="majorHAnsi" w:eastAsiaTheme="majorEastAsia" w:hAnsiTheme="majorHAnsi" w:cstheme="majorBidi"/>
      <w:b/>
      <w:bCs/>
      <w:color w:val="C65F09" w:themeColor="accent1" w:themeShade="BF"/>
      <w:sz w:val="28"/>
      <w:szCs w:val="28"/>
    </w:rPr>
  </w:style>
  <w:style w:type="paragraph" w:styleId="ListParagraph">
    <w:name w:val="List Paragraph"/>
    <w:basedOn w:val="Normal"/>
    <w:link w:val="ListParagraphChar"/>
    <w:uiPriority w:val="34"/>
    <w:qFormat/>
    <w:rsid w:val="00441BFA"/>
    <w:pPr>
      <w:ind w:left="720"/>
      <w:contextualSpacing/>
    </w:pPr>
  </w:style>
  <w:style w:type="character" w:styleId="CommentReference">
    <w:name w:val="annotation reference"/>
    <w:basedOn w:val="DefaultParagraphFont"/>
    <w:uiPriority w:val="99"/>
    <w:semiHidden/>
    <w:unhideWhenUsed/>
    <w:rsid w:val="00781B79"/>
    <w:rPr>
      <w:sz w:val="16"/>
      <w:szCs w:val="16"/>
    </w:rPr>
  </w:style>
  <w:style w:type="paragraph" w:styleId="CommentText">
    <w:name w:val="annotation text"/>
    <w:basedOn w:val="Normal"/>
    <w:link w:val="CommentTextChar"/>
    <w:uiPriority w:val="99"/>
    <w:unhideWhenUsed/>
    <w:rsid w:val="00781B79"/>
    <w:pPr>
      <w:spacing w:line="240" w:lineRule="auto"/>
    </w:pPr>
    <w:rPr>
      <w:sz w:val="20"/>
      <w:szCs w:val="20"/>
    </w:rPr>
  </w:style>
  <w:style w:type="character" w:customStyle="1" w:styleId="CommentTextChar">
    <w:name w:val="Comment Text Char"/>
    <w:basedOn w:val="DefaultParagraphFont"/>
    <w:link w:val="CommentText"/>
    <w:uiPriority w:val="99"/>
    <w:rsid w:val="00781B79"/>
    <w:rPr>
      <w:sz w:val="20"/>
      <w:szCs w:val="20"/>
    </w:rPr>
  </w:style>
  <w:style w:type="paragraph" w:styleId="CommentSubject">
    <w:name w:val="annotation subject"/>
    <w:basedOn w:val="CommentText"/>
    <w:next w:val="CommentText"/>
    <w:link w:val="CommentSubjectChar"/>
    <w:uiPriority w:val="99"/>
    <w:semiHidden/>
    <w:unhideWhenUsed/>
    <w:rsid w:val="00781B79"/>
    <w:rPr>
      <w:b/>
      <w:bCs/>
    </w:rPr>
  </w:style>
  <w:style w:type="character" w:customStyle="1" w:styleId="CommentSubjectChar">
    <w:name w:val="Comment Subject Char"/>
    <w:basedOn w:val="CommentTextChar"/>
    <w:link w:val="CommentSubject"/>
    <w:uiPriority w:val="99"/>
    <w:semiHidden/>
    <w:rsid w:val="00781B79"/>
    <w:rPr>
      <w:b/>
      <w:bCs/>
      <w:sz w:val="20"/>
      <w:szCs w:val="20"/>
    </w:rPr>
  </w:style>
  <w:style w:type="paragraph" w:styleId="NoSpacing">
    <w:name w:val="No Spacing"/>
    <w:uiPriority w:val="1"/>
    <w:qFormat/>
    <w:rsid w:val="009F1073"/>
    <w:pPr>
      <w:spacing w:after="0" w:line="240" w:lineRule="auto"/>
    </w:pPr>
    <w:rPr>
      <w:rFonts w:ascii="Calibri" w:eastAsia="Calibri" w:hAnsi="Calibri" w:cs="Times New Roman"/>
    </w:rPr>
  </w:style>
  <w:style w:type="character" w:customStyle="1" w:styleId="Heading3Char">
    <w:name w:val="Heading 3 Char"/>
    <w:basedOn w:val="DefaultParagraphFont"/>
    <w:link w:val="Heading3"/>
    <w:uiPriority w:val="9"/>
    <w:rsid w:val="00094911"/>
    <w:rPr>
      <w:rFonts w:asciiTheme="majorHAnsi" w:eastAsiaTheme="majorEastAsia" w:hAnsiTheme="majorHAnsi" w:cstheme="majorBidi"/>
      <w:color w:val="833F06" w:themeColor="accent1" w:themeShade="7F"/>
      <w:sz w:val="24"/>
      <w:szCs w:val="24"/>
    </w:rPr>
  </w:style>
  <w:style w:type="character" w:customStyle="1" w:styleId="ListParagraphChar">
    <w:name w:val="List Paragraph Char"/>
    <w:link w:val="ListParagraph"/>
    <w:uiPriority w:val="34"/>
    <w:rsid w:val="005465FD"/>
  </w:style>
  <w:style w:type="paragraph" w:styleId="NormalWeb">
    <w:name w:val="Normal (Web)"/>
    <w:basedOn w:val="Normal"/>
    <w:uiPriority w:val="99"/>
    <w:unhideWhenUsed/>
    <w:rsid w:val="00B9526D"/>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Emphasis">
    <w:name w:val="Emphasis"/>
    <w:basedOn w:val="DefaultParagraphFont"/>
    <w:uiPriority w:val="20"/>
    <w:qFormat/>
    <w:rsid w:val="006E5960"/>
    <w:rPr>
      <w:i/>
      <w:iCs/>
    </w:rPr>
  </w:style>
  <w:style w:type="character" w:styleId="Strong">
    <w:name w:val="Strong"/>
    <w:basedOn w:val="DefaultParagraphFont"/>
    <w:uiPriority w:val="22"/>
    <w:qFormat/>
    <w:rsid w:val="006E5960"/>
    <w:rPr>
      <w:b/>
      <w:bCs/>
    </w:rPr>
  </w:style>
  <w:style w:type="paragraph" w:styleId="Revision">
    <w:name w:val="Revision"/>
    <w:hidden/>
    <w:uiPriority w:val="99"/>
    <w:semiHidden/>
    <w:rsid w:val="00F45162"/>
    <w:pPr>
      <w:spacing w:after="0" w:line="240" w:lineRule="auto"/>
    </w:pPr>
  </w:style>
  <w:style w:type="paragraph" w:customStyle="1" w:styleId="paragraph">
    <w:name w:val="paragraph"/>
    <w:basedOn w:val="Normal"/>
    <w:rsid w:val="000D4159"/>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normaltextrun">
    <w:name w:val="normaltextrun"/>
    <w:basedOn w:val="DefaultParagraphFont"/>
    <w:rsid w:val="000D4159"/>
  </w:style>
  <w:style w:type="character" w:customStyle="1" w:styleId="eop">
    <w:name w:val="eop"/>
    <w:basedOn w:val="DefaultParagraphFont"/>
    <w:rsid w:val="000D41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67438">
      <w:bodyDiv w:val="1"/>
      <w:marLeft w:val="0"/>
      <w:marRight w:val="0"/>
      <w:marTop w:val="0"/>
      <w:marBottom w:val="0"/>
      <w:divBdr>
        <w:top w:val="none" w:sz="0" w:space="0" w:color="auto"/>
        <w:left w:val="none" w:sz="0" w:space="0" w:color="auto"/>
        <w:bottom w:val="none" w:sz="0" w:space="0" w:color="auto"/>
        <w:right w:val="none" w:sz="0" w:space="0" w:color="auto"/>
      </w:divBdr>
    </w:div>
    <w:div w:id="367681412">
      <w:bodyDiv w:val="1"/>
      <w:marLeft w:val="0"/>
      <w:marRight w:val="0"/>
      <w:marTop w:val="0"/>
      <w:marBottom w:val="0"/>
      <w:divBdr>
        <w:top w:val="none" w:sz="0" w:space="0" w:color="auto"/>
        <w:left w:val="none" w:sz="0" w:space="0" w:color="auto"/>
        <w:bottom w:val="none" w:sz="0" w:space="0" w:color="auto"/>
        <w:right w:val="none" w:sz="0" w:space="0" w:color="auto"/>
      </w:divBdr>
    </w:div>
    <w:div w:id="380323532">
      <w:bodyDiv w:val="1"/>
      <w:marLeft w:val="0"/>
      <w:marRight w:val="0"/>
      <w:marTop w:val="0"/>
      <w:marBottom w:val="0"/>
      <w:divBdr>
        <w:top w:val="none" w:sz="0" w:space="0" w:color="auto"/>
        <w:left w:val="none" w:sz="0" w:space="0" w:color="auto"/>
        <w:bottom w:val="none" w:sz="0" w:space="0" w:color="auto"/>
        <w:right w:val="none" w:sz="0" w:space="0" w:color="auto"/>
      </w:divBdr>
    </w:div>
    <w:div w:id="540092588">
      <w:bodyDiv w:val="1"/>
      <w:marLeft w:val="0"/>
      <w:marRight w:val="0"/>
      <w:marTop w:val="0"/>
      <w:marBottom w:val="0"/>
      <w:divBdr>
        <w:top w:val="none" w:sz="0" w:space="0" w:color="auto"/>
        <w:left w:val="none" w:sz="0" w:space="0" w:color="auto"/>
        <w:bottom w:val="none" w:sz="0" w:space="0" w:color="auto"/>
        <w:right w:val="none" w:sz="0" w:space="0" w:color="auto"/>
      </w:divBdr>
    </w:div>
    <w:div w:id="673340831">
      <w:bodyDiv w:val="1"/>
      <w:marLeft w:val="0"/>
      <w:marRight w:val="0"/>
      <w:marTop w:val="0"/>
      <w:marBottom w:val="0"/>
      <w:divBdr>
        <w:top w:val="none" w:sz="0" w:space="0" w:color="auto"/>
        <w:left w:val="none" w:sz="0" w:space="0" w:color="auto"/>
        <w:bottom w:val="none" w:sz="0" w:space="0" w:color="auto"/>
        <w:right w:val="none" w:sz="0" w:space="0" w:color="auto"/>
      </w:divBdr>
      <w:divsChild>
        <w:div w:id="1478716970">
          <w:marLeft w:val="0"/>
          <w:marRight w:val="0"/>
          <w:marTop w:val="0"/>
          <w:marBottom w:val="0"/>
          <w:divBdr>
            <w:top w:val="none" w:sz="0" w:space="0" w:color="auto"/>
            <w:left w:val="none" w:sz="0" w:space="0" w:color="auto"/>
            <w:bottom w:val="none" w:sz="0" w:space="0" w:color="auto"/>
            <w:right w:val="none" w:sz="0" w:space="0" w:color="auto"/>
          </w:divBdr>
        </w:div>
        <w:div w:id="1796750452">
          <w:marLeft w:val="0"/>
          <w:marRight w:val="0"/>
          <w:marTop w:val="0"/>
          <w:marBottom w:val="0"/>
          <w:divBdr>
            <w:top w:val="none" w:sz="0" w:space="0" w:color="auto"/>
            <w:left w:val="none" w:sz="0" w:space="0" w:color="auto"/>
            <w:bottom w:val="none" w:sz="0" w:space="0" w:color="auto"/>
            <w:right w:val="none" w:sz="0" w:space="0" w:color="auto"/>
          </w:divBdr>
        </w:div>
        <w:div w:id="1289358473">
          <w:marLeft w:val="0"/>
          <w:marRight w:val="0"/>
          <w:marTop w:val="0"/>
          <w:marBottom w:val="0"/>
          <w:divBdr>
            <w:top w:val="none" w:sz="0" w:space="0" w:color="auto"/>
            <w:left w:val="none" w:sz="0" w:space="0" w:color="auto"/>
            <w:bottom w:val="none" w:sz="0" w:space="0" w:color="auto"/>
            <w:right w:val="none" w:sz="0" w:space="0" w:color="auto"/>
          </w:divBdr>
        </w:div>
        <w:div w:id="1936282361">
          <w:marLeft w:val="0"/>
          <w:marRight w:val="0"/>
          <w:marTop w:val="0"/>
          <w:marBottom w:val="0"/>
          <w:divBdr>
            <w:top w:val="none" w:sz="0" w:space="0" w:color="auto"/>
            <w:left w:val="none" w:sz="0" w:space="0" w:color="auto"/>
            <w:bottom w:val="none" w:sz="0" w:space="0" w:color="auto"/>
            <w:right w:val="none" w:sz="0" w:space="0" w:color="auto"/>
          </w:divBdr>
        </w:div>
        <w:div w:id="814488213">
          <w:marLeft w:val="0"/>
          <w:marRight w:val="0"/>
          <w:marTop w:val="0"/>
          <w:marBottom w:val="0"/>
          <w:divBdr>
            <w:top w:val="none" w:sz="0" w:space="0" w:color="auto"/>
            <w:left w:val="none" w:sz="0" w:space="0" w:color="auto"/>
            <w:bottom w:val="none" w:sz="0" w:space="0" w:color="auto"/>
            <w:right w:val="none" w:sz="0" w:space="0" w:color="auto"/>
          </w:divBdr>
        </w:div>
        <w:div w:id="1757051267">
          <w:marLeft w:val="0"/>
          <w:marRight w:val="0"/>
          <w:marTop w:val="0"/>
          <w:marBottom w:val="0"/>
          <w:divBdr>
            <w:top w:val="none" w:sz="0" w:space="0" w:color="auto"/>
            <w:left w:val="none" w:sz="0" w:space="0" w:color="auto"/>
            <w:bottom w:val="none" w:sz="0" w:space="0" w:color="auto"/>
            <w:right w:val="none" w:sz="0" w:space="0" w:color="auto"/>
          </w:divBdr>
        </w:div>
        <w:div w:id="1328484764">
          <w:marLeft w:val="0"/>
          <w:marRight w:val="0"/>
          <w:marTop w:val="0"/>
          <w:marBottom w:val="0"/>
          <w:divBdr>
            <w:top w:val="none" w:sz="0" w:space="0" w:color="auto"/>
            <w:left w:val="none" w:sz="0" w:space="0" w:color="auto"/>
            <w:bottom w:val="none" w:sz="0" w:space="0" w:color="auto"/>
            <w:right w:val="none" w:sz="0" w:space="0" w:color="auto"/>
          </w:divBdr>
        </w:div>
        <w:div w:id="277370959">
          <w:marLeft w:val="0"/>
          <w:marRight w:val="0"/>
          <w:marTop w:val="0"/>
          <w:marBottom w:val="0"/>
          <w:divBdr>
            <w:top w:val="none" w:sz="0" w:space="0" w:color="auto"/>
            <w:left w:val="none" w:sz="0" w:space="0" w:color="auto"/>
            <w:bottom w:val="none" w:sz="0" w:space="0" w:color="auto"/>
            <w:right w:val="none" w:sz="0" w:space="0" w:color="auto"/>
          </w:divBdr>
        </w:div>
        <w:div w:id="1963075960">
          <w:marLeft w:val="0"/>
          <w:marRight w:val="0"/>
          <w:marTop w:val="0"/>
          <w:marBottom w:val="0"/>
          <w:divBdr>
            <w:top w:val="none" w:sz="0" w:space="0" w:color="auto"/>
            <w:left w:val="none" w:sz="0" w:space="0" w:color="auto"/>
            <w:bottom w:val="none" w:sz="0" w:space="0" w:color="auto"/>
            <w:right w:val="none" w:sz="0" w:space="0" w:color="auto"/>
          </w:divBdr>
        </w:div>
        <w:div w:id="93483479">
          <w:marLeft w:val="0"/>
          <w:marRight w:val="0"/>
          <w:marTop w:val="0"/>
          <w:marBottom w:val="0"/>
          <w:divBdr>
            <w:top w:val="none" w:sz="0" w:space="0" w:color="auto"/>
            <w:left w:val="none" w:sz="0" w:space="0" w:color="auto"/>
            <w:bottom w:val="none" w:sz="0" w:space="0" w:color="auto"/>
            <w:right w:val="none" w:sz="0" w:space="0" w:color="auto"/>
          </w:divBdr>
        </w:div>
        <w:div w:id="2067099482">
          <w:marLeft w:val="0"/>
          <w:marRight w:val="0"/>
          <w:marTop w:val="0"/>
          <w:marBottom w:val="0"/>
          <w:divBdr>
            <w:top w:val="none" w:sz="0" w:space="0" w:color="auto"/>
            <w:left w:val="none" w:sz="0" w:space="0" w:color="auto"/>
            <w:bottom w:val="none" w:sz="0" w:space="0" w:color="auto"/>
            <w:right w:val="none" w:sz="0" w:space="0" w:color="auto"/>
          </w:divBdr>
        </w:div>
        <w:div w:id="1793399827">
          <w:marLeft w:val="0"/>
          <w:marRight w:val="0"/>
          <w:marTop w:val="0"/>
          <w:marBottom w:val="0"/>
          <w:divBdr>
            <w:top w:val="none" w:sz="0" w:space="0" w:color="auto"/>
            <w:left w:val="none" w:sz="0" w:space="0" w:color="auto"/>
            <w:bottom w:val="none" w:sz="0" w:space="0" w:color="auto"/>
            <w:right w:val="none" w:sz="0" w:space="0" w:color="auto"/>
          </w:divBdr>
        </w:div>
      </w:divsChild>
    </w:div>
    <w:div w:id="753477147">
      <w:bodyDiv w:val="1"/>
      <w:marLeft w:val="0"/>
      <w:marRight w:val="0"/>
      <w:marTop w:val="0"/>
      <w:marBottom w:val="0"/>
      <w:divBdr>
        <w:top w:val="none" w:sz="0" w:space="0" w:color="auto"/>
        <w:left w:val="none" w:sz="0" w:space="0" w:color="auto"/>
        <w:bottom w:val="none" w:sz="0" w:space="0" w:color="auto"/>
        <w:right w:val="none" w:sz="0" w:space="0" w:color="auto"/>
      </w:divBdr>
    </w:div>
    <w:div w:id="1158770563">
      <w:bodyDiv w:val="1"/>
      <w:marLeft w:val="0"/>
      <w:marRight w:val="0"/>
      <w:marTop w:val="0"/>
      <w:marBottom w:val="0"/>
      <w:divBdr>
        <w:top w:val="none" w:sz="0" w:space="0" w:color="auto"/>
        <w:left w:val="none" w:sz="0" w:space="0" w:color="auto"/>
        <w:bottom w:val="none" w:sz="0" w:space="0" w:color="auto"/>
        <w:right w:val="none" w:sz="0" w:space="0" w:color="auto"/>
      </w:divBdr>
    </w:div>
    <w:div w:id="1293709265">
      <w:bodyDiv w:val="1"/>
      <w:marLeft w:val="0"/>
      <w:marRight w:val="0"/>
      <w:marTop w:val="0"/>
      <w:marBottom w:val="0"/>
      <w:divBdr>
        <w:top w:val="none" w:sz="0" w:space="0" w:color="auto"/>
        <w:left w:val="none" w:sz="0" w:space="0" w:color="auto"/>
        <w:bottom w:val="none" w:sz="0" w:space="0" w:color="auto"/>
        <w:right w:val="none" w:sz="0" w:space="0" w:color="auto"/>
      </w:divBdr>
    </w:div>
    <w:div w:id="1358190361">
      <w:bodyDiv w:val="1"/>
      <w:marLeft w:val="0"/>
      <w:marRight w:val="0"/>
      <w:marTop w:val="0"/>
      <w:marBottom w:val="0"/>
      <w:divBdr>
        <w:top w:val="none" w:sz="0" w:space="0" w:color="auto"/>
        <w:left w:val="none" w:sz="0" w:space="0" w:color="auto"/>
        <w:bottom w:val="none" w:sz="0" w:space="0" w:color="auto"/>
        <w:right w:val="none" w:sz="0" w:space="0" w:color="auto"/>
      </w:divBdr>
    </w:div>
    <w:div w:id="1484157859">
      <w:bodyDiv w:val="1"/>
      <w:marLeft w:val="0"/>
      <w:marRight w:val="0"/>
      <w:marTop w:val="0"/>
      <w:marBottom w:val="0"/>
      <w:divBdr>
        <w:top w:val="none" w:sz="0" w:space="0" w:color="auto"/>
        <w:left w:val="none" w:sz="0" w:space="0" w:color="auto"/>
        <w:bottom w:val="none" w:sz="0" w:space="0" w:color="auto"/>
        <w:right w:val="none" w:sz="0" w:space="0" w:color="auto"/>
      </w:divBdr>
    </w:div>
    <w:div w:id="1537737089">
      <w:bodyDiv w:val="1"/>
      <w:marLeft w:val="0"/>
      <w:marRight w:val="0"/>
      <w:marTop w:val="0"/>
      <w:marBottom w:val="0"/>
      <w:divBdr>
        <w:top w:val="none" w:sz="0" w:space="0" w:color="auto"/>
        <w:left w:val="none" w:sz="0" w:space="0" w:color="auto"/>
        <w:bottom w:val="none" w:sz="0" w:space="0" w:color="auto"/>
        <w:right w:val="none" w:sz="0" w:space="0" w:color="auto"/>
      </w:divBdr>
    </w:div>
    <w:div w:id="1628511130">
      <w:bodyDiv w:val="1"/>
      <w:marLeft w:val="0"/>
      <w:marRight w:val="0"/>
      <w:marTop w:val="0"/>
      <w:marBottom w:val="0"/>
      <w:divBdr>
        <w:top w:val="none" w:sz="0" w:space="0" w:color="auto"/>
        <w:left w:val="none" w:sz="0" w:space="0" w:color="auto"/>
        <w:bottom w:val="none" w:sz="0" w:space="0" w:color="auto"/>
        <w:right w:val="none" w:sz="0" w:space="0" w:color="auto"/>
      </w:divBdr>
    </w:div>
    <w:div w:id="1650790823">
      <w:bodyDiv w:val="1"/>
      <w:marLeft w:val="0"/>
      <w:marRight w:val="0"/>
      <w:marTop w:val="0"/>
      <w:marBottom w:val="0"/>
      <w:divBdr>
        <w:top w:val="none" w:sz="0" w:space="0" w:color="auto"/>
        <w:left w:val="none" w:sz="0" w:space="0" w:color="auto"/>
        <w:bottom w:val="none" w:sz="0" w:space="0" w:color="auto"/>
        <w:right w:val="none" w:sz="0" w:space="0" w:color="auto"/>
      </w:divBdr>
    </w:div>
    <w:div w:id="1780947606">
      <w:bodyDiv w:val="1"/>
      <w:marLeft w:val="0"/>
      <w:marRight w:val="0"/>
      <w:marTop w:val="0"/>
      <w:marBottom w:val="0"/>
      <w:divBdr>
        <w:top w:val="none" w:sz="0" w:space="0" w:color="auto"/>
        <w:left w:val="none" w:sz="0" w:space="0" w:color="auto"/>
        <w:bottom w:val="none" w:sz="0" w:space="0" w:color="auto"/>
        <w:right w:val="none" w:sz="0" w:space="0" w:color="auto"/>
      </w:divBdr>
    </w:div>
    <w:div w:id="1789155901">
      <w:bodyDiv w:val="1"/>
      <w:marLeft w:val="0"/>
      <w:marRight w:val="0"/>
      <w:marTop w:val="0"/>
      <w:marBottom w:val="0"/>
      <w:divBdr>
        <w:top w:val="none" w:sz="0" w:space="0" w:color="auto"/>
        <w:left w:val="none" w:sz="0" w:space="0" w:color="auto"/>
        <w:bottom w:val="none" w:sz="0" w:space="0" w:color="auto"/>
        <w:right w:val="none" w:sz="0" w:space="0" w:color="auto"/>
      </w:divBdr>
    </w:div>
    <w:div w:id="1854221457">
      <w:bodyDiv w:val="1"/>
      <w:marLeft w:val="0"/>
      <w:marRight w:val="0"/>
      <w:marTop w:val="0"/>
      <w:marBottom w:val="0"/>
      <w:divBdr>
        <w:top w:val="none" w:sz="0" w:space="0" w:color="auto"/>
        <w:left w:val="none" w:sz="0" w:space="0" w:color="auto"/>
        <w:bottom w:val="none" w:sz="0" w:space="0" w:color="auto"/>
        <w:right w:val="none" w:sz="0" w:space="0" w:color="auto"/>
      </w:divBdr>
    </w:div>
    <w:div w:id="1862695336">
      <w:bodyDiv w:val="1"/>
      <w:marLeft w:val="0"/>
      <w:marRight w:val="0"/>
      <w:marTop w:val="0"/>
      <w:marBottom w:val="0"/>
      <w:divBdr>
        <w:top w:val="none" w:sz="0" w:space="0" w:color="auto"/>
        <w:left w:val="none" w:sz="0" w:space="0" w:color="auto"/>
        <w:bottom w:val="none" w:sz="0" w:space="0" w:color="auto"/>
        <w:right w:val="none" w:sz="0" w:space="0" w:color="auto"/>
      </w:divBdr>
    </w:div>
    <w:div w:id="1869105808">
      <w:bodyDiv w:val="1"/>
      <w:marLeft w:val="0"/>
      <w:marRight w:val="0"/>
      <w:marTop w:val="0"/>
      <w:marBottom w:val="0"/>
      <w:divBdr>
        <w:top w:val="none" w:sz="0" w:space="0" w:color="auto"/>
        <w:left w:val="none" w:sz="0" w:space="0" w:color="auto"/>
        <w:bottom w:val="none" w:sz="0" w:space="0" w:color="auto"/>
        <w:right w:val="none" w:sz="0" w:space="0" w:color="auto"/>
      </w:divBdr>
    </w:div>
    <w:div w:id="1895462935">
      <w:bodyDiv w:val="1"/>
      <w:marLeft w:val="0"/>
      <w:marRight w:val="0"/>
      <w:marTop w:val="0"/>
      <w:marBottom w:val="0"/>
      <w:divBdr>
        <w:top w:val="none" w:sz="0" w:space="0" w:color="auto"/>
        <w:left w:val="none" w:sz="0" w:space="0" w:color="auto"/>
        <w:bottom w:val="none" w:sz="0" w:space="0" w:color="auto"/>
        <w:right w:val="none" w:sz="0" w:space="0" w:color="auto"/>
      </w:divBdr>
    </w:div>
    <w:div w:id="1958372710">
      <w:bodyDiv w:val="1"/>
      <w:marLeft w:val="0"/>
      <w:marRight w:val="0"/>
      <w:marTop w:val="0"/>
      <w:marBottom w:val="0"/>
      <w:divBdr>
        <w:top w:val="none" w:sz="0" w:space="0" w:color="auto"/>
        <w:left w:val="none" w:sz="0" w:space="0" w:color="auto"/>
        <w:bottom w:val="none" w:sz="0" w:space="0" w:color="auto"/>
        <w:right w:val="none" w:sz="0" w:space="0" w:color="auto"/>
      </w:divBdr>
    </w:div>
    <w:div w:id="2053652164">
      <w:bodyDiv w:val="1"/>
      <w:marLeft w:val="0"/>
      <w:marRight w:val="0"/>
      <w:marTop w:val="0"/>
      <w:marBottom w:val="0"/>
      <w:divBdr>
        <w:top w:val="none" w:sz="0" w:space="0" w:color="auto"/>
        <w:left w:val="none" w:sz="0" w:space="0" w:color="auto"/>
        <w:bottom w:val="none" w:sz="0" w:space="0" w:color="auto"/>
        <w:right w:val="none" w:sz="0" w:space="0" w:color="auto"/>
      </w:divBdr>
    </w:div>
    <w:div w:id="2056197143">
      <w:bodyDiv w:val="1"/>
      <w:marLeft w:val="0"/>
      <w:marRight w:val="0"/>
      <w:marTop w:val="0"/>
      <w:marBottom w:val="0"/>
      <w:divBdr>
        <w:top w:val="none" w:sz="0" w:space="0" w:color="auto"/>
        <w:left w:val="none" w:sz="0" w:space="0" w:color="auto"/>
        <w:bottom w:val="none" w:sz="0" w:space="0" w:color="auto"/>
        <w:right w:val="none" w:sz="0" w:space="0" w:color="auto"/>
      </w:divBdr>
    </w:div>
    <w:div w:id="211119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BankservAfrica_Excel">
      <a:dk1>
        <a:srgbClr val="000000"/>
      </a:dk1>
      <a:lt1>
        <a:srgbClr val="FFFFFF"/>
      </a:lt1>
      <a:dk2>
        <a:srgbClr val="000000"/>
      </a:dk2>
      <a:lt2>
        <a:srgbClr val="FFFFFF"/>
      </a:lt2>
      <a:accent1>
        <a:srgbClr val="F58220"/>
      </a:accent1>
      <a:accent2>
        <a:srgbClr val="FAA620"/>
      </a:accent2>
      <a:accent3>
        <a:srgbClr val="BFD730"/>
      </a:accent3>
      <a:accent4>
        <a:srgbClr val="E1E31C"/>
      </a:accent4>
      <a:accent5>
        <a:srgbClr val="808080"/>
      </a:accent5>
      <a:accent6>
        <a:srgbClr val="624C41"/>
      </a:accent6>
      <a:hlink>
        <a:srgbClr val="F58220"/>
      </a:hlink>
      <a:folHlink>
        <a:srgbClr val="808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46706-545A-4951-A69D-3B64EAFDA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1212</Words>
  <Characters>6912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Leigh-AnneS@Bankservafrica.com</dc:creator>
  <cp:lastModifiedBy>Leigh-Anne Sa Joe</cp:lastModifiedBy>
  <cp:revision>2</cp:revision>
  <cp:lastPrinted>2020-08-11T05:50:00Z</cp:lastPrinted>
  <dcterms:created xsi:type="dcterms:W3CDTF">2022-07-13T06:11:00Z</dcterms:created>
  <dcterms:modified xsi:type="dcterms:W3CDTF">2022-07-13T06:11:00Z</dcterms:modified>
</cp:coreProperties>
</file>