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41762" w14:textId="08CF5B97" w:rsidR="00382ADA" w:rsidRDefault="00281835" w:rsidP="006666EF">
      <w:pPr>
        <w:spacing w:after="240"/>
      </w:pPr>
      <w:r w:rsidRPr="00281835">
        <w:rPr>
          <w:noProof/>
        </w:rPr>
        <mc:AlternateContent>
          <mc:Choice Requires="wps">
            <w:drawing>
              <wp:anchor distT="0" distB="0" distL="114300" distR="114300" simplePos="0" relativeHeight="251683840" behindDoc="0" locked="0" layoutInCell="1" allowOverlap="1" wp14:anchorId="0D5126C6" wp14:editId="01EA22E0">
                <wp:simplePos x="0" y="0"/>
                <wp:positionH relativeFrom="column">
                  <wp:posOffset>37465</wp:posOffset>
                </wp:positionH>
                <wp:positionV relativeFrom="paragraph">
                  <wp:posOffset>24765</wp:posOffset>
                </wp:positionV>
                <wp:extent cx="4034790" cy="895350"/>
                <wp:effectExtent l="0" t="0" r="0" b="0"/>
                <wp:wrapNone/>
                <wp:docPr id="9"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4790" cy="895350"/>
                        </a:xfrm>
                        <a:prstGeom prst="rect">
                          <a:avLst/>
                        </a:prstGeom>
                        <a:noFill/>
                        <a:ln>
                          <a:noFill/>
                        </a:ln>
                      </wps:spPr>
                      <wps:txbx>
                        <w:txbxContent>
                          <w:p w14:paraId="4A219302" w14:textId="396074C0" w:rsidR="00281835" w:rsidRPr="00281835" w:rsidRDefault="00281835" w:rsidP="00281835">
                            <w:pPr>
                              <w:ind w:left="115"/>
                              <w:rPr>
                                <w:rFonts w:ascii="Arial" w:eastAsia="Verdana" w:hAnsi="Arial" w:cs="Arial"/>
                                <w:b/>
                                <w:bCs/>
                                <w:color w:val="FFFFFF" w:themeColor="background1"/>
                                <w:kern w:val="24"/>
                                <w:sz w:val="72"/>
                                <w:szCs w:val="72"/>
                                <w:lang w:val="en-US"/>
                              </w:rPr>
                            </w:pPr>
                            <w:r w:rsidRPr="00281835">
                              <w:rPr>
                                <w:rFonts w:ascii="Arial" w:eastAsia="Verdana" w:hAnsi="Arial" w:cs="Arial"/>
                                <w:b/>
                                <w:bCs/>
                                <w:color w:val="FFFFFF" w:themeColor="background1"/>
                                <w:kern w:val="24"/>
                                <w:sz w:val="72"/>
                                <w:szCs w:val="72"/>
                                <w:lang w:val="en-US"/>
                              </w:rPr>
                              <w:t>etfSA.co.za</w:t>
                            </w:r>
                            <w:r w:rsidRPr="00281835">
                              <w:rPr>
                                <w:rFonts w:ascii="Arial" w:eastAsia="Verdana" w:hAnsi="Arial" w:cs="Arial"/>
                                <w:b/>
                                <w:bCs/>
                                <w:color w:val="FFFFFF" w:themeColor="background1"/>
                                <w:kern w:val="24"/>
                                <w:sz w:val="72"/>
                                <w:szCs w:val="72"/>
                                <w:lang w:val="en-US"/>
                              </w:rPr>
                              <w:tab/>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0D5126C6" id="_x0000_t202" coordsize="21600,21600" o:spt="202" path="m,l,21600r21600,l21600,xe">
                <v:stroke joinstyle="miter"/>
                <v:path gradientshapeok="t" o:connecttype="rect"/>
              </v:shapetype>
              <v:shape id="Title 1" o:spid="_x0000_s1026" type="#_x0000_t202" style="position:absolute;margin-left:2.95pt;margin-top:1.95pt;width:317.7pt;height: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" filled="f" stroked="f">
                <v:textbox>
                  <w:txbxContent>
                    <w:p w14:paraId="4A219302" w14:textId="396074C0" w:rsidR="00281835" w:rsidRPr="00281835" w:rsidRDefault="00281835" w:rsidP="00281835">
                      <w:pPr>
                        <w:ind w:left="115"/>
                        <w:rPr>
                          <w:rFonts w:ascii="Arial" w:eastAsia="Verdana" w:hAnsi="Arial" w:cs="Arial"/>
                          <w:b/>
                          <w:bCs/>
                          <w:color w:val="FFFFFF" w:themeColor="background1"/>
                          <w:kern w:val="24"/>
                          <w:sz w:val="72"/>
                          <w:szCs w:val="72"/>
                          <w:lang w:val="en-US"/>
                        </w:rPr>
                      </w:pPr>
                      <w:r w:rsidRPr="00281835">
                        <w:rPr>
                          <w:rFonts w:ascii="Arial" w:eastAsia="Verdana" w:hAnsi="Arial" w:cs="Arial"/>
                          <w:b/>
                          <w:bCs/>
                          <w:color w:val="FFFFFF" w:themeColor="background1"/>
                          <w:kern w:val="24"/>
                          <w:sz w:val="72"/>
                          <w:szCs w:val="72"/>
                          <w:lang w:val="en-US"/>
                        </w:rPr>
                        <w:t>etfSA.co.za</w:t>
                      </w:r>
                      <w:r w:rsidRPr="00281835">
                        <w:rPr>
                          <w:rFonts w:ascii="Arial" w:eastAsia="Verdana" w:hAnsi="Arial" w:cs="Arial"/>
                          <w:b/>
                          <w:bCs/>
                          <w:color w:val="FFFFFF" w:themeColor="background1"/>
                          <w:kern w:val="24"/>
                          <w:sz w:val="72"/>
                          <w:szCs w:val="72"/>
                          <w:lang w:val="en-US"/>
                        </w:rPr>
                        <w:tab/>
                      </w:r>
                    </w:p>
                  </w:txbxContent>
                </v:textbox>
              </v:shape>
            </w:pict>
          </mc:Fallback>
        </mc:AlternateContent>
      </w:r>
      <w:r w:rsidRPr="00281835">
        <w:rPr>
          <w:noProof/>
        </w:rPr>
        <w:drawing>
          <wp:inline distT="0" distB="0" distL="0" distR="0" wp14:anchorId="2666B2A7" wp14:editId="453673B6">
            <wp:extent cx="6508750" cy="935355"/>
            <wp:effectExtent l="0" t="0" r="6350" b="0"/>
            <wp:docPr id="11" name="Picture 10" descr="Background pattern&#10;&#10;Description automatically generated">
              <a:extLst xmlns:a="http://schemas.openxmlformats.org/drawingml/2006/main">
                <a:ext uri="{FF2B5EF4-FFF2-40B4-BE49-F238E27FC236}">
                  <a16:creationId xmlns:a16="http://schemas.microsoft.com/office/drawing/2014/main" id="{9BB31A5B-233C-4D49-82FD-8217F3E497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Background pattern&#10;&#10;Description automatically generated">
                      <a:extLst>
                        <a:ext uri="{FF2B5EF4-FFF2-40B4-BE49-F238E27FC236}">
                          <a16:creationId xmlns:a16="http://schemas.microsoft.com/office/drawing/2014/main" id="{9BB31A5B-233C-4D49-82FD-8217F3E497E8}"/>
                        </a:ext>
                      </a:extLst>
                    </pic:cNvPr>
                    <pic:cNvPicPr>
                      <a:picLocks noChangeAspect="1"/>
                    </pic:cNvPicPr>
                  </pic:nvPicPr>
                  <pic:blipFill rotWithShape="1">
                    <a:blip r:embed="rId8"/>
                    <a:srcRect t="991" r="1495" b="57833"/>
                    <a:stretch/>
                  </pic:blipFill>
                  <pic:spPr>
                    <a:xfrm>
                      <a:off x="0" y="0"/>
                      <a:ext cx="6508750" cy="935355"/>
                    </a:xfrm>
                    <a:prstGeom prst="rect">
                      <a:avLst/>
                    </a:prstGeom>
                  </pic:spPr>
                </pic:pic>
              </a:graphicData>
            </a:graphic>
          </wp:inline>
        </w:drawing>
      </w:r>
    </w:p>
    <w:tbl>
      <w:tblPr>
        <w:tblStyle w:val="TableGrid"/>
        <w:tblW w:w="10201" w:type="dxa"/>
        <w:tblLook w:val="04A0" w:firstRow="1" w:lastRow="0" w:firstColumn="1" w:lastColumn="0" w:noHBand="0" w:noVBand="1"/>
      </w:tblPr>
      <w:tblGrid>
        <w:gridCol w:w="10201"/>
      </w:tblGrid>
      <w:tr w:rsidR="00281835" w14:paraId="5254EF6A" w14:textId="77777777" w:rsidTr="00EF5C86">
        <w:tc>
          <w:tcPr>
            <w:tcW w:w="10201" w:type="dxa"/>
            <w:tcBorders>
              <w:top w:val="nil"/>
              <w:left w:val="nil"/>
              <w:bottom w:val="nil"/>
              <w:right w:val="nil"/>
            </w:tcBorders>
            <w:shd w:val="clear" w:color="auto" w:fill="D9D9D9" w:themeFill="background1" w:themeFillShade="D9"/>
          </w:tcPr>
          <w:p w14:paraId="3BC82964" w14:textId="73CD02FB" w:rsidR="00281835" w:rsidRPr="004E60C8" w:rsidRDefault="00281835" w:rsidP="00281835">
            <w:pPr>
              <w:pStyle w:val="Heading1"/>
              <w:spacing w:before="0" w:after="0" w:line="360" w:lineRule="atLeast"/>
              <w:outlineLvl w:val="0"/>
              <w:rPr>
                <w:rFonts w:ascii="Verdana" w:hAnsi="Verdana"/>
                <w:color w:val="000000" w:themeColor="text1"/>
                <w:sz w:val="24"/>
                <w:szCs w:val="24"/>
              </w:rPr>
            </w:pPr>
            <w:r w:rsidRPr="004E60C8">
              <w:rPr>
                <w:rFonts w:ascii="Verdana" w:hAnsi="Verdana"/>
                <w:color w:val="000000" w:themeColor="text1"/>
                <w:sz w:val="24"/>
                <w:szCs w:val="24"/>
              </w:rPr>
              <w:t>State of the South African Exchange Traded Product (ETP) Industry – as at 31 March 202</w:t>
            </w:r>
            <w:r w:rsidR="000A2715" w:rsidRPr="004E60C8">
              <w:rPr>
                <w:rFonts w:ascii="Verdana" w:hAnsi="Verdana"/>
                <w:color w:val="000000" w:themeColor="text1"/>
                <w:sz w:val="24"/>
                <w:szCs w:val="24"/>
              </w:rPr>
              <w:t>2</w:t>
            </w:r>
          </w:p>
          <w:p w14:paraId="402E7BEC" w14:textId="2F6A4DD3" w:rsidR="00281835" w:rsidRDefault="00281835" w:rsidP="000A2715">
            <w:pPr>
              <w:pStyle w:val="Heading1"/>
              <w:spacing w:before="0" w:after="120" w:line="360" w:lineRule="atLeast"/>
              <w:outlineLvl w:val="0"/>
              <w:rPr>
                <w:rFonts w:ascii="Verdana" w:hAnsi="Verdana"/>
                <w:sz w:val="22"/>
                <w:szCs w:val="22"/>
              </w:rPr>
            </w:pPr>
            <w:r w:rsidRPr="004E60C8">
              <w:rPr>
                <w:rFonts w:ascii="Verdana" w:hAnsi="Verdana"/>
                <w:color w:val="000000" w:themeColor="text1"/>
                <w:sz w:val="22"/>
                <w:szCs w:val="22"/>
              </w:rPr>
              <w:t>Mike Brown, Managing Director, etfSA.co.za</w:t>
            </w:r>
          </w:p>
        </w:tc>
      </w:tr>
    </w:tbl>
    <w:p w14:paraId="70EF2D12" w14:textId="0A04FFF3" w:rsidR="00F70B89" w:rsidRDefault="00F70B89" w:rsidP="006666EF">
      <w:pPr>
        <w:spacing w:after="120" w:line="320" w:lineRule="atLeast"/>
        <w:jc w:val="center"/>
        <w:rPr>
          <w:rFonts w:ascii="Verdana" w:hAnsi="Verdana"/>
          <w:sz w:val="21"/>
          <w:szCs w:val="21"/>
        </w:rPr>
      </w:pPr>
    </w:p>
    <w:p w14:paraId="7CDBBA02" w14:textId="7CFC08F8" w:rsidR="00E159E7" w:rsidRPr="00E159E7" w:rsidRDefault="00E159E7" w:rsidP="001976A7">
      <w:pPr>
        <w:spacing w:after="0" w:line="320" w:lineRule="atLeast"/>
        <w:jc w:val="both"/>
        <w:rPr>
          <w:rFonts w:ascii="Verdana" w:hAnsi="Verdana"/>
          <w:b/>
          <w:bCs/>
          <w:color w:val="C00000"/>
          <w:sz w:val="21"/>
          <w:szCs w:val="21"/>
        </w:rPr>
      </w:pPr>
      <w:r w:rsidRPr="00E159E7">
        <w:rPr>
          <w:rFonts w:ascii="Verdana" w:hAnsi="Verdana"/>
          <w:b/>
          <w:bCs/>
          <w:color w:val="C00000"/>
          <w:sz w:val="21"/>
          <w:szCs w:val="21"/>
        </w:rPr>
        <w:t>INDUSTRY OVERVIEW</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819"/>
        <w:gridCol w:w="284"/>
        <w:gridCol w:w="4394"/>
        <w:gridCol w:w="425"/>
      </w:tblGrid>
      <w:tr w:rsidR="00E159E7" w14:paraId="3415E687" w14:textId="77777777" w:rsidTr="005269C6">
        <w:tc>
          <w:tcPr>
            <w:tcW w:w="5103" w:type="dxa"/>
            <w:gridSpan w:val="2"/>
          </w:tcPr>
          <w:p w14:paraId="4555DCEA" w14:textId="77777777" w:rsidR="00E159E7" w:rsidRDefault="00E159E7" w:rsidP="000B1900">
            <w:pPr>
              <w:spacing w:before="80" w:line="320" w:lineRule="atLeast"/>
              <w:jc w:val="both"/>
              <w:rPr>
                <w:rFonts w:ascii="Verdana" w:hAnsi="Verdana"/>
                <w:sz w:val="21"/>
                <w:szCs w:val="21"/>
              </w:rPr>
            </w:pPr>
            <w:r>
              <w:rPr>
                <w:rFonts w:ascii="Verdana" w:hAnsi="Verdana"/>
                <w:sz w:val="21"/>
                <w:szCs w:val="21"/>
              </w:rPr>
              <w:t xml:space="preserve">The total market capitalisation </w:t>
            </w:r>
            <w:r w:rsidR="00E00161">
              <w:rPr>
                <w:rFonts w:ascii="Verdana" w:hAnsi="Verdana"/>
                <w:sz w:val="21"/>
                <w:szCs w:val="21"/>
              </w:rPr>
              <w:t xml:space="preserve">of all ETFs and ETNs, listed on the JSE, at the end of March 2022, amounted to R130 479,9 million, a drop of R5 569 million, or 4,1%, on the market capitalisation of the ETF industry at the end of 2021. </w:t>
            </w:r>
          </w:p>
          <w:p w14:paraId="0D94D21F" w14:textId="77777777" w:rsidR="00E00161" w:rsidRDefault="00E00161" w:rsidP="000B1900">
            <w:pPr>
              <w:spacing w:before="80" w:line="320" w:lineRule="atLeast"/>
              <w:jc w:val="both"/>
              <w:rPr>
                <w:rFonts w:ascii="Verdana" w:hAnsi="Verdana"/>
                <w:sz w:val="21"/>
                <w:szCs w:val="21"/>
              </w:rPr>
            </w:pPr>
          </w:p>
          <w:p w14:paraId="45ED3D42" w14:textId="15639BAE" w:rsidR="00E00161" w:rsidRPr="00E159E7" w:rsidRDefault="00E00161" w:rsidP="000B1900">
            <w:pPr>
              <w:spacing w:before="80" w:after="240" w:line="320" w:lineRule="atLeast"/>
              <w:jc w:val="both"/>
              <w:rPr>
                <w:rFonts w:ascii="Verdana" w:hAnsi="Verdana"/>
                <w:sz w:val="21"/>
                <w:szCs w:val="21"/>
              </w:rPr>
            </w:pPr>
            <w:r>
              <w:rPr>
                <w:rFonts w:ascii="Verdana" w:hAnsi="Verdana"/>
                <w:sz w:val="21"/>
                <w:szCs w:val="21"/>
              </w:rPr>
              <w:t xml:space="preserve">The drop in the total value of the Exchange Traded Product industry in South Africa was due to the fall in prices of </w:t>
            </w:r>
            <w:r w:rsidR="00C623CC">
              <w:rPr>
                <w:rFonts w:ascii="Verdana" w:hAnsi="Verdana"/>
                <w:sz w:val="21"/>
                <w:szCs w:val="21"/>
              </w:rPr>
              <w:t>notably offshore ETFs and ETNs listed on the local stock exchange.  Over the 3-month period to end-March 2022, the MSCI World index (in rands) fell by 13,4%, reflecting the global equity market d</w:t>
            </w:r>
            <w:r w:rsidR="000B1900">
              <w:rPr>
                <w:rFonts w:ascii="Verdana" w:hAnsi="Verdana"/>
                <w:sz w:val="21"/>
                <w:szCs w:val="21"/>
              </w:rPr>
              <w:t>ecline</w:t>
            </w:r>
            <w:r w:rsidR="00C623CC">
              <w:rPr>
                <w:rFonts w:ascii="Verdana" w:hAnsi="Verdana"/>
                <w:sz w:val="21"/>
                <w:szCs w:val="21"/>
              </w:rPr>
              <w:t xml:space="preserve">, faced by unexpectedly high rises in inflation and the impact of the Russia/Ukraine War, both on economic growth and on the world inflation rates. </w:t>
            </w:r>
          </w:p>
        </w:tc>
        <w:tc>
          <w:tcPr>
            <w:tcW w:w="284" w:type="dxa"/>
          </w:tcPr>
          <w:p w14:paraId="3953F9A0" w14:textId="265BA484" w:rsidR="00E159E7" w:rsidRDefault="005269C6" w:rsidP="000B1900">
            <w:pPr>
              <w:spacing w:before="80" w:line="320" w:lineRule="atLeast"/>
              <w:jc w:val="both"/>
              <w:rPr>
                <w:rFonts w:ascii="Verdana" w:hAnsi="Verdana"/>
                <w:sz w:val="21"/>
                <w:szCs w:val="21"/>
              </w:rPr>
            </w:pPr>
            <w:r w:rsidRPr="00C72345">
              <w:rPr>
                <w:rFonts w:ascii="Verdana" w:hAnsi="Verdana"/>
                <w:noProof/>
                <w:sz w:val="21"/>
                <w:szCs w:val="21"/>
              </w:rPr>
              <mc:AlternateContent>
                <mc:Choice Requires="wps">
                  <w:drawing>
                    <wp:anchor distT="0" distB="0" distL="114300" distR="114300" simplePos="0" relativeHeight="251687936" behindDoc="0" locked="0" layoutInCell="1" allowOverlap="1" wp14:anchorId="24C32DED" wp14:editId="2DC21BA5">
                      <wp:simplePos x="0" y="0"/>
                      <wp:positionH relativeFrom="column">
                        <wp:posOffset>-635</wp:posOffset>
                      </wp:positionH>
                      <wp:positionV relativeFrom="paragraph">
                        <wp:posOffset>123825</wp:posOffset>
                      </wp:positionV>
                      <wp:extent cx="19050" cy="3632200"/>
                      <wp:effectExtent l="0" t="0" r="19050" b="25400"/>
                      <wp:wrapNone/>
                      <wp:docPr id="2" name="Straight Connector 2"/>
                      <wp:cNvGraphicFramePr/>
                      <a:graphic xmlns:a="http://schemas.openxmlformats.org/drawingml/2006/main">
                        <a:graphicData uri="http://schemas.microsoft.com/office/word/2010/wordprocessingShape">
                          <wps:wsp>
                            <wps:cNvCnPr/>
                            <wps:spPr>
                              <a:xfrm flipH="1">
                                <a:off x="0" y="0"/>
                                <a:ext cx="19050" cy="36322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7F168" id="Straight Connector 2"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9.75pt" to="1.45pt,2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" strokecolor="#c00000" strokeweight=".5pt">
                      <v:stroke joinstyle="miter"/>
                    </v:line>
                  </w:pict>
                </mc:Fallback>
              </mc:AlternateContent>
            </w:r>
          </w:p>
        </w:tc>
        <w:tc>
          <w:tcPr>
            <w:tcW w:w="4819" w:type="dxa"/>
            <w:gridSpan w:val="2"/>
          </w:tcPr>
          <w:p w14:paraId="18891F1D" w14:textId="5A09FFE0" w:rsidR="00E159E7" w:rsidRDefault="00C623CC" w:rsidP="000B1900">
            <w:pPr>
              <w:spacing w:before="80" w:line="320" w:lineRule="atLeast"/>
              <w:jc w:val="both"/>
              <w:rPr>
                <w:rFonts w:ascii="Verdana" w:hAnsi="Verdana"/>
                <w:sz w:val="21"/>
                <w:szCs w:val="21"/>
              </w:rPr>
            </w:pPr>
            <w:r>
              <w:rPr>
                <w:rFonts w:ascii="Verdana" w:hAnsi="Verdana"/>
                <w:sz w:val="21"/>
                <w:szCs w:val="21"/>
              </w:rPr>
              <w:t>As the m</w:t>
            </w:r>
            <w:r w:rsidR="000B1900">
              <w:rPr>
                <w:rFonts w:ascii="Verdana" w:hAnsi="Verdana"/>
                <w:sz w:val="21"/>
                <w:szCs w:val="21"/>
              </w:rPr>
              <w:t xml:space="preserve">ajority </w:t>
            </w:r>
            <w:r>
              <w:rPr>
                <w:rFonts w:ascii="Verdana" w:hAnsi="Verdana"/>
                <w:sz w:val="21"/>
                <w:szCs w:val="21"/>
              </w:rPr>
              <w:t xml:space="preserve">of the </w:t>
            </w:r>
            <w:r w:rsidR="000B1900">
              <w:rPr>
                <w:rFonts w:ascii="Verdana" w:hAnsi="Verdana"/>
                <w:sz w:val="21"/>
                <w:szCs w:val="21"/>
              </w:rPr>
              <w:t>bigger</w:t>
            </w:r>
            <w:r>
              <w:rPr>
                <w:rFonts w:ascii="Verdana" w:hAnsi="Verdana"/>
                <w:sz w:val="21"/>
                <w:szCs w:val="21"/>
              </w:rPr>
              <w:t xml:space="preserve"> ETPs </w:t>
            </w:r>
            <w:r w:rsidR="000B1900">
              <w:rPr>
                <w:rFonts w:ascii="Verdana" w:hAnsi="Verdana"/>
                <w:sz w:val="21"/>
                <w:szCs w:val="21"/>
              </w:rPr>
              <w:t xml:space="preserve">listed </w:t>
            </w:r>
            <w:r>
              <w:rPr>
                <w:rFonts w:ascii="Verdana" w:hAnsi="Verdana"/>
                <w:sz w:val="21"/>
                <w:szCs w:val="21"/>
              </w:rPr>
              <w:t xml:space="preserve">on the JSE reference foreign assets, this has had a negative impact on the </w:t>
            </w:r>
            <w:r w:rsidR="000B1900">
              <w:rPr>
                <w:rFonts w:ascii="Verdana" w:hAnsi="Verdana"/>
                <w:sz w:val="21"/>
                <w:szCs w:val="21"/>
              </w:rPr>
              <w:t>total market value of many ETPs</w:t>
            </w:r>
            <w:r>
              <w:rPr>
                <w:rFonts w:ascii="Verdana" w:hAnsi="Verdana"/>
                <w:sz w:val="21"/>
                <w:szCs w:val="21"/>
              </w:rPr>
              <w:t xml:space="preserve"> over the past three months. </w:t>
            </w:r>
          </w:p>
          <w:p w14:paraId="1A6A628E" w14:textId="77777777" w:rsidR="00C623CC" w:rsidRDefault="00C623CC" w:rsidP="000B1900">
            <w:pPr>
              <w:spacing w:before="80" w:line="320" w:lineRule="atLeast"/>
              <w:jc w:val="both"/>
              <w:rPr>
                <w:rFonts w:ascii="Verdana" w:hAnsi="Verdana"/>
                <w:sz w:val="21"/>
                <w:szCs w:val="21"/>
              </w:rPr>
            </w:pPr>
          </w:p>
          <w:p w14:paraId="359BCC13" w14:textId="65C12C2F" w:rsidR="00C623CC" w:rsidRDefault="00C623CC" w:rsidP="000B1900">
            <w:pPr>
              <w:spacing w:before="80" w:line="320" w:lineRule="atLeast"/>
              <w:jc w:val="both"/>
              <w:rPr>
                <w:rFonts w:ascii="Verdana" w:hAnsi="Verdana"/>
                <w:sz w:val="21"/>
                <w:szCs w:val="21"/>
              </w:rPr>
            </w:pPr>
            <w:r>
              <w:rPr>
                <w:rFonts w:ascii="Verdana" w:hAnsi="Verdana"/>
                <w:sz w:val="21"/>
                <w:szCs w:val="21"/>
              </w:rPr>
              <w:t xml:space="preserve">By contrast, the South African equity market has provided positive </w:t>
            </w:r>
            <w:r w:rsidR="0090660B">
              <w:rPr>
                <w:rFonts w:ascii="Verdana" w:hAnsi="Verdana"/>
                <w:sz w:val="21"/>
                <w:szCs w:val="21"/>
              </w:rPr>
              <w:t>returns</w:t>
            </w:r>
            <w:r>
              <w:rPr>
                <w:rFonts w:ascii="Verdana" w:hAnsi="Verdana"/>
                <w:sz w:val="21"/>
                <w:szCs w:val="21"/>
              </w:rPr>
              <w:t xml:space="preserve"> over the </w:t>
            </w:r>
            <w:r w:rsidR="000B1900">
              <w:rPr>
                <w:rFonts w:ascii="Verdana" w:hAnsi="Verdana"/>
                <w:sz w:val="21"/>
                <w:szCs w:val="21"/>
              </w:rPr>
              <w:t xml:space="preserve">last </w:t>
            </w:r>
            <w:r>
              <w:rPr>
                <w:rFonts w:ascii="Verdana" w:hAnsi="Verdana"/>
                <w:sz w:val="21"/>
                <w:szCs w:val="21"/>
              </w:rPr>
              <w:t xml:space="preserve">3 month period, helped by good corporate earnings and dividend growth by most major SA companies. </w:t>
            </w:r>
          </w:p>
          <w:p w14:paraId="139FF310" w14:textId="77777777" w:rsidR="00C623CC" w:rsidRDefault="00C623CC" w:rsidP="000B1900">
            <w:pPr>
              <w:spacing w:before="80" w:line="320" w:lineRule="atLeast"/>
              <w:jc w:val="both"/>
              <w:rPr>
                <w:rFonts w:ascii="Verdana" w:hAnsi="Verdana"/>
                <w:sz w:val="21"/>
                <w:szCs w:val="21"/>
              </w:rPr>
            </w:pPr>
          </w:p>
          <w:p w14:paraId="659C3123" w14:textId="2F723C87" w:rsidR="00C623CC" w:rsidRDefault="000B1900" w:rsidP="000B1900">
            <w:pPr>
              <w:spacing w:before="80" w:line="320" w:lineRule="atLeast"/>
              <w:jc w:val="both"/>
              <w:rPr>
                <w:rFonts w:ascii="Verdana" w:hAnsi="Verdana"/>
                <w:sz w:val="21"/>
                <w:szCs w:val="21"/>
              </w:rPr>
            </w:pPr>
            <w:r>
              <w:rPr>
                <w:rFonts w:ascii="Verdana" w:hAnsi="Verdana"/>
                <w:sz w:val="21"/>
                <w:szCs w:val="21"/>
              </w:rPr>
              <w:t>T</w:t>
            </w:r>
            <w:r w:rsidR="00C623CC">
              <w:rPr>
                <w:rFonts w:ascii="Verdana" w:hAnsi="Verdana"/>
                <w:sz w:val="21"/>
                <w:szCs w:val="21"/>
              </w:rPr>
              <w:t xml:space="preserve">he </w:t>
            </w:r>
            <w:r>
              <w:rPr>
                <w:rFonts w:ascii="Verdana" w:hAnsi="Verdana"/>
                <w:sz w:val="21"/>
                <w:szCs w:val="21"/>
              </w:rPr>
              <w:t xml:space="preserve">fact that the SA </w:t>
            </w:r>
            <w:r w:rsidR="00C623CC">
              <w:rPr>
                <w:rFonts w:ascii="Verdana" w:hAnsi="Verdana"/>
                <w:sz w:val="21"/>
                <w:szCs w:val="21"/>
              </w:rPr>
              <w:t xml:space="preserve">ETP industry is skewed in favour of foreign rather than local markets, </w:t>
            </w:r>
            <w:r>
              <w:rPr>
                <w:rFonts w:ascii="Verdana" w:hAnsi="Verdana"/>
                <w:sz w:val="21"/>
                <w:szCs w:val="21"/>
              </w:rPr>
              <w:t>explains</w:t>
            </w:r>
            <w:r w:rsidR="00C623CC">
              <w:rPr>
                <w:rFonts w:ascii="Verdana" w:hAnsi="Verdana"/>
                <w:sz w:val="21"/>
                <w:szCs w:val="21"/>
              </w:rPr>
              <w:t xml:space="preserve"> the </w:t>
            </w:r>
            <w:r w:rsidR="008B0AC5">
              <w:rPr>
                <w:rFonts w:ascii="Verdana" w:hAnsi="Verdana"/>
                <w:sz w:val="21"/>
                <w:szCs w:val="21"/>
              </w:rPr>
              <w:t>decline in total market capitalisation of the industry over the las</w:t>
            </w:r>
            <w:r>
              <w:rPr>
                <w:rFonts w:ascii="Verdana" w:hAnsi="Verdana"/>
                <w:sz w:val="21"/>
                <w:szCs w:val="21"/>
              </w:rPr>
              <w:t>t</w:t>
            </w:r>
            <w:r w:rsidR="008B0AC5">
              <w:rPr>
                <w:rFonts w:ascii="Verdana" w:hAnsi="Verdana"/>
                <w:sz w:val="21"/>
                <w:szCs w:val="21"/>
              </w:rPr>
              <w:t xml:space="preserve"> quarter. </w:t>
            </w:r>
          </w:p>
        </w:tc>
      </w:tr>
      <w:tr w:rsidR="00E00161" w14:paraId="1F965989" w14:textId="77777777" w:rsidTr="005269C6">
        <w:trPr>
          <w:gridAfter w:val="1"/>
          <w:wAfter w:w="425" w:type="dxa"/>
        </w:trPr>
        <w:tc>
          <w:tcPr>
            <w:tcW w:w="284" w:type="dxa"/>
          </w:tcPr>
          <w:p w14:paraId="1F293369" w14:textId="6ED72F79" w:rsidR="00E00161" w:rsidRDefault="00E00161" w:rsidP="00467DA9">
            <w:pPr>
              <w:spacing w:line="360" w:lineRule="atLeast"/>
              <w:jc w:val="both"/>
              <w:rPr>
                <w:rFonts w:ascii="Verdana" w:hAnsi="Verdana"/>
                <w:sz w:val="21"/>
                <w:szCs w:val="21"/>
              </w:rPr>
            </w:pPr>
          </w:p>
        </w:tc>
        <w:tc>
          <w:tcPr>
            <w:tcW w:w="9497" w:type="dxa"/>
            <w:gridSpan w:val="3"/>
          </w:tcPr>
          <w:p w14:paraId="0AA60EE7" w14:textId="367932E7" w:rsidR="00E00161" w:rsidRDefault="006726E7" w:rsidP="00DF3BA1">
            <w:pPr>
              <w:spacing w:line="360" w:lineRule="atLeast"/>
              <w:jc w:val="center"/>
              <w:rPr>
                <w:rFonts w:ascii="Verdana" w:hAnsi="Verdana"/>
                <w:sz w:val="21"/>
                <w:szCs w:val="21"/>
              </w:rPr>
            </w:pPr>
            <w:r>
              <w:rPr>
                <w:noProof/>
              </w:rPr>
              <w:drawing>
                <wp:inline distT="0" distB="0" distL="0" distR="0" wp14:anchorId="62A2A3A1" wp14:editId="146C3DEB">
                  <wp:extent cx="4924426" cy="3114675"/>
                  <wp:effectExtent l="0" t="0" r="9525" b="9525"/>
                  <wp:docPr id="1" name="Chart 1">
                    <a:extLst xmlns:a="http://schemas.openxmlformats.org/drawingml/2006/main">
                      <a:ext uri="{FF2B5EF4-FFF2-40B4-BE49-F238E27FC236}">
                        <a16:creationId xmlns:a16="http://schemas.microsoft.com/office/drawing/2014/main" id="{A6D53289-DBFE-40C9-AB8D-05167AAB5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D0853EC" w14:textId="77777777" w:rsidR="006666EF" w:rsidRDefault="006666EF" w:rsidP="006726E7">
      <w:pPr>
        <w:spacing w:after="0" w:line="240" w:lineRule="auto"/>
        <w:jc w:val="both"/>
        <w:rPr>
          <w:rFonts w:ascii="Verdana" w:hAnsi="Verdana"/>
          <w:b/>
          <w:color w:val="C00000"/>
          <w:sz w:val="24"/>
          <w:szCs w:val="24"/>
        </w:rPr>
      </w:pPr>
    </w:p>
    <w:p w14:paraId="0F2A783F" w14:textId="5388532F" w:rsidR="004F60D3" w:rsidRPr="003A3D19" w:rsidRDefault="004F60D3" w:rsidP="006726E7">
      <w:pPr>
        <w:spacing w:after="0" w:line="240" w:lineRule="auto"/>
        <w:jc w:val="both"/>
        <w:rPr>
          <w:rFonts w:ascii="Verdana" w:hAnsi="Verdana"/>
          <w:b/>
          <w:color w:val="C00000"/>
          <w:sz w:val="24"/>
          <w:szCs w:val="24"/>
        </w:rPr>
      </w:pPr>
      <w:r>
        <w:rPr>
          <w:rFonts w:ascii="Verdana" w:hAnsi="Verdana"/>
          <w:b/>
          <w:color w:val="C00000"/>
          <w:sz w:val="24"/>
          <w:szCs w:val="24"/>
        </w:rPr>
        <w:lastRenderedPageBreak/>
        <w:t>New Capital Raised</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3"/>
        <w:gridCol w:w="4820"/>
      </w:tblGrid>
      <w:tr w:rsidR="00892847" w:rsidRPr="00C72345" w14:paraId="254E5817" w14:textId="77777777" w:rsidTr="005269C6">
        <w:tc>
          <w:tcPr>
            <w:tcW w:w="4962" w:type="dxa"/>
          </w:tcPr>
          <w:p w14:paraId="7532BB2D" w14:textId="42D366C7" w:rsidR="00892847" w:rsidRPr="00892847" w:rsidRDefault="00892847" w:rsidP="00E923F2">
            <w:pPr>
              <w:spacing w:before="80" w:line="320" w:lineRule="atLeast"/>
              <w:jc w:val="both"/>
              <w:rPr>
                <w:rFonts w:ascii="Verdana" w:hAnsi="Verdana"/>
                <w:b/>
                <w:bCs/>
                <w:sz w:val="21"/>
                <w:szCs w:val="21"/>
              </w:rPr>
            </w:pPr>
            <w:r w:rsidRPr="00892847">
              <w:rPr>
                <w:rFonts w:ascii="Verdana" w:hAnsi="Verdana"/>
                <w:color w:val="000000"/>
                <w:sz w:val="21"/>
                <w:szCs w:val="21"/>
              </w:rPr>
              <w:t xml:space="preserve">The decline in the overall market capitalisation of all ETFs/ETNs in the first quarter of 2022, was not due to delistings </w:t>
            </w:r>
            <w:r w:rsidR="00525AD3">
              <w:rPr>
                <w:rFonts w:ascii="Verdana" w:hAnsi="Verdana"/>
                <w:color w:val="000000"/>
                <w:sz w:val="21"/>
                <w:szCs w:val="21"/>
              </w:rPr>
              <w:t>or</w:t>
            </w:r>
            <w:r w:rsidRPr="00892847">
              <w:rPr>
                <w:rFonts w:ascii="Verdana" w:hAnsi="Verdana"/>
                <w:color w:val="000000"/>
                <w:sz w:val="21"/>
                <w:szCs w:val="21"/>
              </w:rPr>
              <w:t xml:space="preserve"> redemptions of these produc</w:t>
            </w:r>
            <w:r w:rsidR="00525AD3">
              <w:rPr>
                <w:rFonts w:ascii="Verdana" w:hAnsi="Verdana"/>
                <w:color w:val="000000"/>
                <w:sz w:val="21"/>
                <w:szCs w:val="21"/>
              </w:rPr>
              <w:t>ts</w:t>
            </w:r>
            <w:r w:rsidRPr="00892847">
              <w:rPr>
                <w:rFonts w:ascii="Verdana" w:hAnsi="Verdana"/>
                <w:color w:val="000000"/>
                <w:sz w:val="21"/>
                <w:szCs w:val="21"/>
              </w:rPr>
              <w:t xml:space="preserve"> o</w:t>
            </w:r>
            <w:r w:rsidR="00525AD3">
              <w:rPr>
                <w:rFonts w:ascii="Verdana" w:hAnsi="Verdana"/>
                <w:color w:val="000000"/>
                <w:sz w:val="21"/>
                <w:szCs w:val="21"/>
              </w:rPr>
              <w:t>n</w:t>
            </w:r>
            <w:r w:rsidRPr="00892847">
              <w:rPr>
                <w:rFonts w:ascii="Verdana" w:hAnsi="Verdana"/>
                <w:color w:val="000000"/>
                <w:sz w:val="21"/>
                <w:szCs w:val="21"/>
              </w:rPr>
              <w:t xml:space="preserve"> the JSE.  To the contrary, total new issues of ETPs in the past three months amounted to R2 451,9 million. </w:t>
            </w:r>
          </w:p>
        </w:tc>
        <w:tc>
          <w:tcPr>
            <w:tcW w:w="283" w:type="dxa"/>
          </w:tcPr>
          <w:p w14:paraId="3643B113" w14:textId="1FFF3838" w:rsidR="00892847" w:rsidRPr="00892847" w:rsidRDefault="00892847" w:rsidP="00E923F2">
            <w:pPr>
              <w:spacing w:before="80" w:line="320" w:lineRule="atLeast"/>
              <w:jc w:val="both"/>
              <w:rPr>
                <w:rFonts w:ascii="Verdana" w:hAnsi="Verdana"/>
                <w:sz w:val="21"/>
                <w:szCs w:val="21"/>
              </w:rPr>
            </w:pPr>
            <w:r w:rsidRPr="00C72345">
              <w:rPr>
                <w:rFonts w:ascii="Verdana" w:hAnsi="Verdana"/>
                <w:noProof/>
                <w:sz w:val="21"/>
                <w:szCs w:val="21"/>
              </w:rPr>
              <mc:AlternateContent>
                <mc:Choice Requires="wps">
                  <w:drawing>
                    <wp:anchor distT="0" distB="0" distL="114300" distR="114300" simplePos="0" relativeHeight="251685888" behindDoc="0" locked="0" layoutInCell="1" allowOverlap="1" wp14:anchorId="1D1C7704" wp14:editId="2FFC6F21">
                      <wp:simplePos x="0" y="0"/>
                      <wp:positionH relativeFrom="column">
                        <wp:posOffset>22860</wp:posOffset>
                      </wp:positionH>
                      <wp:positionV relativeFrom="paragraph">
                        <wp:posOffset>118745</wp:posOffset>
                      </wp:positionV>
                      <wp:extent cx="12700" cy="1549400"/>
                      <wp:effectExtent l="0" t="0" r="25400" b="31750"/>
                      <wp:wrapNone/>
                      <wp:docPr id="10" name="Straight Connector 10"/>
                      <wp:cNvGraphicFramePr/>
                      <a:graphic xmlns:a="http://schemas.openxmlformats.org/drawingml/2006/main">
                        <a:graphicData uri="http://schemas.microsoft.com/office/word/2010/wordprocessingShape">
                          <wps:wsp>
                            <wps:cNvCnPr/>
                            <wps:spPr>
                              <a:xfrm flipH="1">
                                <a:off x="0" y="0"/>
                                <a:ext cx="12700" cy="15494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0B51B" id="Straight Connector 10"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9.35pt" to="2.8pt,1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" strokecolor="#c00000" strokeweight=".5pt">
                      <v:stroke joinstyle="miter"/>
                    </v:line>
                  </w:pict>
                </mc:Fallback>
              </mc:AlternateContent>
            </w:r>
          </w:p>
        </w:tc>
        <w:tc>
          <w:tcPr>
            <w:tcW w:w="4820" w:type="dxa"/>
          </w:tcPr>
          <w:p w14:paraId="685523E1" w14:textId="48DD4C60" w:rsidR="00892847" w:rsidRPr="00892847" w:rsidRDefault="00892847" w:rsidP="00E923F2">
            <w:pPr>
              <w:spacing w:before="80" w:line="320" w:lineRule="atLeast"/>
              <w:jc w:val="both"/>
              <w:rPr>
                <w:rFonts w:ascii="Verdana" w:hAnsi="Verdana"/>
                <w:sz w:val="21"/>
                <w:szCs w:val="21"/>
              </w:rPr>
            </w:pPr>
            <w:r w:rsidRPr="00892847">
              <w:rPr>
                <w:rFonts w:ascii="Verdana" w:hAnsi="Verdana"/>
                <w:sz w:val="21"/>
                <w:szCs w:val="21"/>
              </w:rPr>
              <w:t>This indicates continued demand for ETPs in the local market, sufficient to re</w:t>
            </w:r>
            <w:r>
              <w:rPr>
                <w:rFonts w:ascii="Verdana" w:hAnsi="Verdana"/>
                <w:sz w:val="21"/>
                <w:szCs w:val="21"/>
              </w:rPr>
              <w:t xml:space="preserve">quire new listings of existing products.  The only new ETP issued during the quarter, was the Satrix MSCI India ETF.  The table below shows the net </w:t>
            </w:r>
            <w:r w:rsidR="00525AD3">
              <w:rPr>
                <w:rFonts w:ascii="Verdana" w:hAnsi="Verdana"/>
                <w:sz w:val="21"/>
                <w:szCs w:val="21"/>
              </w:rPr>
              <w:t xml:space="preserve">total </w:t>
            </w:r>
            <w:r>
              <w:rPr>
                <w:rFonts w:ascii="Verdana" w:hAnsi="Verdana"/>
                <w:sz w:val="21"/>
                <w:szCs w:val="21"/>
              </w:rPr>
              <w:t xml:space="preserve">new capital raised, or redeemed, for all products </w:t>
            </w:r>
            <w:r w:rsidR="00525AD3">
              <w:rPr>
                <w:rFonts w:ascii="Verdana" w:hAnsi="Verdana"/>
                <w:sz w:val="21"/>
                <w:szCs w:val="21"/>
              </w:rPr>
              <w:t xml:space="preserve">issued </w:t>
            </w:r>
            <w:r w:rsidR="00C01B7D">
              <w:rPr>
                <w:rFonts w:ascii="Verdana" w:hAnsi="Verdana"/>
                <w:sz w:val="21"/>
                <w:szCs w:val="21"/>
              </w:rPr>
              <w:t>by</w:t>
            </w:r>
            <w:r w:rsidR="00525AD3">
              <w:rPr>
                <w:rFonts w:ascii="Verdana" w:hAnsi="Verdana"/>
                <w:sz w:val="21"/>
                <w:szCs w:val="21"/>
              </w:rPr>
              <w:t xml:space="preserve"> local issuing houses</w:t>
            </w:r>
            <w:r>
              <w:rPr>
                <w:rFonts w:ascii="Verdana" w:hAnsi="Verdana"/>
                <w:sz w:val="21"/>
                <w:szCs w:val="21"/>
              </w:rPr>
              <w:t xml:space="preserve">. </w:t>
            </w:r>
          </w:p>
        </w:tc>
      </w:tr>
    </w:tbl>
    <w:p w14:paraId="0751233E" w14:textId="77777777" w:rsidR="004F60D3" w:rsidRDefault="004F60D3" w:rsidP="00E923F2">
      <w:pPr>
        <w:spacing w:after="0" w:line="280" w:lineRule="atLeast"/>
        <w:rPr>
          <w:rFonts w:ascii="Verdana" w:hAnsi="Verdana"/>
          <w:color w:val="000000"/>
          <w:sz w:val="21"/>
          <w:szCs w:val="21"/>
        </w:rPr>
      </w:pPr>
    </w:p>
    <w:tbl>
      <w:tblPr>
        <w:tblW w:w="765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678"/>
        <w:gridCol w:w="2268"/>
      </w:tblGrid>
      <w:tr w:rsidR="004F60D3" w:rsidRPr="00AB6CBE" w14:paraId="374698FD" w14:textId="77777777" w:rsidTr="006666EF">
        <w:tc>
          <w:tcPr>
            <w:tcW w:w="7654" w:type="dxa"/>
            <w:gridSpan w:val="3"/>
            <w:shd w:val="clear" w:color="auto" w:fill="C00000"/>
          </w:tcPr>
          <w:p w14:paraId="78AE8BFD" w14:textId="151CF886" w:rsidR="004F60D3" w:rsidRDefault="004F60D3" w:rsidP="001F137C">
            <w:pPr>
              <w:spacing w:before="40" w:after="20" w:line="280" w:lineRule="atLeast"/>
              <w:jc w:val="center"/>
              <w:rPr>
                <w:rFonts w:ascii="Verdana" w:hAnsi="Verdana"/>
                <w:b/>
                <w:color w:val="FFFFFF"/>
                <w:sz w:val="18"/>
                <w:szCs w:val="18"/>
              </w:rPr>
            </w:pPr>
            <w:r>
              <w:rPr>
                <w:rFonts w:ascii="Verdana" w:hAnsi="Verdana"/>
                <w:b/>
                <w:color w:val="FFFFFF"/>
                <w:sz w:val="18"/>
                <w:szCs w:val="18"/>
              </w:rPr>
              <w:t>New Capital Raised / Redeemed</w:t>
            </w:r>
            <w:r w:rsidR="001D53A8">
              <w:rPr>
                <w:rFonts w:ascii="Verdana" w:hAnsi="Verdana"/>
                <w:b/>
                <w:color w:val="FFFFFF"/>
                <w:sz w:val="18"/>
                <w:szCs w:val="18"/>
              </w:rPr>
              <w:t xml:space="preserve"> - South African ETP</w:t>
            </w:r>
            <w:r>
              <w:rPr>
                <w:rFonts w:ascii="Verdana" w:hAnsi="Verdana"/>
                <w:b/>
                <w:color w:val="FFFFFF"/>
                <w:sz w:val="18"/>
                <w:szCs w:val="18"/>
              </w:rPr>
              <w:t xml:space="preserve"> Issuing House</w:t>
            </w:r>
            <w:r w:rsidR="001D53A8">
              <w:rPr>
                <w:rFonts w:ascii="Verdana" w:hAnsi="Verdana"/>
                <w:b/>
                <w:color w:val="FFFFFF"/>
                <w:sz w:val="18"/>
                <w:szCs w:val="18"/>
              </w:rPr>
              <w:t>s</w:t>
            </w:r>
          </w:p>
          <w:p w14:paraId="5C8361AA" w14:textId="22DAEB1D" w:rsidR="001D53A8" w:rsidRPr="003B4F95" w:rsidRDefault="001D53A8" w:rsidP="001F137C">
            <w:pPr>
              <w:spacing w:before="40" w:after="20" w:line="280" w:lineRule="atLeast"/>
              <w:jc w:val="center"/>
              <w:rPr>
                <w:rFonts w:ascii="Verdana" w:hAnsi="Verdana"/>
                <w:b/>
                <w:color w:val="FFFFFF"/>
                <w:sz w:val="18"/>
                <w:szCs w:val="18"/>
              </w:rPr>
            </w:pPr>
            <w:r>
              <w:rPr>
                <w:rFonts w:ascii="Verdana" w:hAnsi="Verdana"/>
                <w:b/>
                <w:color w:val="FFFFFF"/>
                <w:sz w:val="18"/>
                <w:szCs w:val="18"/>
              </w:rPr>
              <w:t>For First Quarter 2022</w:t>
            </w:r>
          </w:p>
        </w:tc>
      </w:tr>
      <w:tr w:rsidR="004F60D3" w:rsidRPr="00AB6CBE" w14:paraId="5703AD4C" w14:textId="77777777" w:rsidTr="006666EF">
        <w:trPr>
          <w:trHeight w:val="360"/>
        </w:trPr>
        <w:tc>
          <w:tcPr>
            <w:tcW w:w="5386" w:type="dxa"/>
            <w:gridSpan w:val="2"/>
            <w:shd w:val="clear" w:color="auto" w:fill="4C4C4C"/>
          </w:tcPr>
          <w:p w14:paraId="2A6800C5" w14:textId="127D1062" w:rsidR="004F60D3" w:rsidRPr="003B4F95" w:rsidRDefault="004F60D3" w:rsidP="001F137C">
            <w:pPr>
              <w:spacing w:before="40" w:after="20" w:line="280" w:lineRule="atLeast"/>
              <w:rPr>
                <w:rFonts w:ascii="Verdana" w:hAnsi="Verdana"/>
                <w:b/>
                <w:color w:val="FFFFFF"/>
                <w:sz w:val="18"/>
                <w:szCs w:val="18"/>
              </w:rPr>
            </w:pPr>
            <w:r>
              <w:rPr>
                <w:rFonts w:ascii="Verdana" w:hAnsi="Verdana"/>
                <w:b/>
                <w:color w:val="FFFFFF"/>
                <w:sz w:val="18"/>
                <w:szCs w:val="18"/>
              </w:rPr>
              <w:t xml:space="preserve">Issuing </w:t>
            </w:r>
            <w:r w:rsidR="001D53A8">
              <w:rPr>
                <w:rFonts w:ascii="Verdana" w:hAnsi="Verdana"/>
                <w:b/>
                <w:color w:val="FFFFFF"/>
                <w:sz w:val="18"/>
                <w:szCs w:val="18"/>
              </w:rPr>
              <w:t>House</w:t>
            </w:r>
          </w:p>
        </w:tc>
        <w:tc>
          <w:tcPr>
            <w:tcW w:w="2268" w:type="dxa"/>
            <w:shd w:val="clear" w:color="auto" w:fill="4C4C4C"/>
            <w:vAlign w:val="center"/>
          </w:tcPr>
          <w:p w14:paraId="72F25DC1" w14:textId="211D93B5" w:rsidR="004F60D3" w:rsidRPr="003B4F95" w:rsidRDefault="001D53A8" w:rsidP="001F137C">
            <w:pPr>
              <w:spacing w:before="40" w:after="20" w:line="280" w:lineRule="atLeast"/>
              <w:jc w:val="right"/>
              <w:rPr>
                <w:rFonts w:ascii="Verdana" w:hAnsi="Verdana"/>
                <w:b/>
                <w:color w:val="FFFFFF"/>
                <w:sz w:val="18"/>
                <w:szCs w:val="18"/>
              </w:rPr>
            </w:pPr>
            <w:r>
              <w:rPr>
                <w:rFonts w:ascii="Verdana" w:hAnsi="Verdana"/>
                <w:b/>
                <w:color w:val="FFFFFF"/>
                <w:sz w:val="18"/>
                <w:szCs w:val="18"/>
              </w:rPr>
              <w:t xml:space="preserve">Total Capital </w:t>
            </w:r>
            <w:r w:rsidR="004F60D3">
              <w:rPr>
                <w:rFonts w:ascii="Verdana" w:hAnsi="Verdana"/>
                <w:b/>
                <w:color w:val="FFFFFF"/>
                <w:sz w:val="18"/>
                <w:szCs w:val="18"/>
              </w:rPr>
              <w:t>(R million)</w:t>
            </w:r>
          </w:p>
        </w:tc>
      </w:tr>
      <w:tr w:rsidR="004F60D3" w:rsidRPr="00AB6CBE" w14:paraId="4DB4E858" w14:textId="77777777" w:rsidTr="006666EF">
        <w:tc>
          <w:tcPr>
            <w:tcW w:w="708" w:type="dxa"/>
            <w:shd w:val="clear" w:color="auto" w:fill="auto"/>
          </w:tcPr>
          <w:p w14:paraId="431C23F0" w14:textId="77777777" w:rsidR="004F60D3" w:rsidRPr="00DD1C15" w:rsidRDefault="004F60D3"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678" w:type="dxa"/>
            <w:shd w:val="clear" w:color="auto" w:fill="auto"/>
          </w:tcPr>
          <w:p w14:paraId="299B742C" w14:textId="77777777" w:rsidR="004F60D3" w:rsidRDefault="004F60D3" w:rsidP="001F137C">
            <w:pPr>
              <w:spacing w:before="40" w:after="20" w:line="280" w:lineRule="atLeast"/>
              <w:rPr>
                <w:rFonts w:ascii="Verdana" w:hAnsi="Verdana"/>
                <w:color w:val="000000"/>
                <w:sz w:val="18"/>
                <w:szCs w:val="18"/>
              </w:rPr>
            </w:pPr>
            <w:r>
              <w:rPr>
                <w:rFonts w:ascii="Verdana" w:hAnsi="Verdana"/>
                <w:color w:val="000000"/>
                <w:sz w:val="18"/>
                <w:szCs w:val="18"/>
              </w:rPr>
              <w:t>Satrix Managers (ETFs)</w:t>
            </w:r>
          </w:p>
        </w:tc>
        <w:tc>
          <w:tcPr>
            <w:tcW w:w="2268" w:type="dxa"/>
            <w:vAlign w:val="center"/>
          </w:tcPr>
          <w:p w14:paraId="4BC4887C" w14:textId="13044F3C" w:rsidR="004F60D3" w:rsidRDefault="001D53A8" w:rsidP="001F137C">
            <w:pPr>
              <w:spacing w:before="40" w:after="20" w:line="280" w:lineRule="atLeast"/>
              <w:jc w:val="right"/>
              <w:rPr>
                <w:rFonts w:ascii="Verdana" w:hAnsi="Verdana"/>
                <w:color w:val="000000"/>
                <w:sz w:val="18"/>
                <w:szCs w:val="18"/>
              </w:rPr>
            </w:pPr>
            <w:r>
              <w:rPr>
                <w:rFonts w:ascii="Verdana" w:hAnsi="Verdana"/>
                <w:color w:val="000000"/>
                <w:sz w:val="18"/>
                <w:szCs w:val="18"/>
              </w:rPr>
              <w:t>1 828,2</w:t>
            </w:r>
          </w:p>
        </w:tc>
      </w:tr>
      <w:tr w:rsidR="004F60D3" w:rsidRPr="00AB6CBE" w14:paraId="71B11812" w14:textId="77777777" w:rsidTr="006666EF">
        <w:tc>
          <w:tcPr>
            <w:tcW w:w="708" w:type="dxa"/>
            <w:shd w:val="clear" w:color="auto" w:fill="auto"/>
          </w:tcPr>
          <w:p w14:paraId="30425601" w14:textId="77777777" w:rsidR="004F60D3" w:rsidRPr="00DD1C15" w:rsidRDefault="004F60D3"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678" w:type="dxa"/>
            <w:shd w:val="clear" w:color="auto" w:fill="auto"/>
          </w:tcPr>
          <w:p w14:paraId="7BEA3CA0" w14:textId="77777777" w:rsidR="004F60D3" w:rsidRDefault="004F60D3" w:rsidP="001F137C">
            <w:pPr>
              <w:spacing w:before="40" w:after="20" w:line="280" w:lineRule="atLeast"/>
              <w:rPr>
                <w:rFonts w:ascii="Verdana" w:hAnsi="Verdana"/>
                <w:color w:val="000000"/>
                <w:sz w:val="18"/>
                <w:szCs w:val="18"/>
              </w:rPr>
            </w:pPr>
            <w:r>
              <w:rPr>
                <w:rFonts w:ascii="Verdana" w:hAnsi="Verdana"/>
                <w:color w:val="000000"/>
                <w:sz w:val="18"/>
                <w:szCs w:val="18"/>
              </w:rPr>
              <w:t>Sygnia Itrix (ETFs)</w:t>
            </w:r>
          </w:p>
        </w:tc>
        <w:tc>
          <w:tcPr>
            <w:tcW w:w="2268" w:type="dxa"/>
            <w:vAlign w:val="center"/>
          </w:tcPr>
          <w:p w14:paraId="6424C547" w14:textId="4C0F39B9" w:rsidR="004F60D3" w:rsidRDefault="001D53A8" w:rsidP="001F137C">
            <w:pPr>
              <w:spacing w:before="40" w:after="20" w:line="280" w:lineRule="atLeast"/>
              <w:jc w:val="right"/>
              <w:rPr>
                <w:rFonts w:ascii="Verdana" w:hAnsi="Verdana"/>
                <w:color w:val="000000"/>
                <w:sz w:val="18"/>
                <w:szCs w:val="18"/>
              </w:rPr>
            </w:pPr>
            <w:r>
              <w:rPr>
                <w:rFonts w:ascii="Verdana" w:hAnsi="Verdana"/>
                <w:color w:val="000000"/>
                <w:sz w:val="18"/>
                <w:szCs w:val="18"/>
              </w:rPr>
              <w:t>1 769,6</w:t>
            </w:r>
          </w:p>
        </w:tc>
      </w:tr>
      <w:tr w:rsidR="001D53A8" w:rsidRPr="00AB6CBE" w14:paraId="6F58AECD" w14:textId="77777777" w:rsidTr="006666EF">
        <w:tc>
          <w:tcPr>
            <w:tcW w:w="708" w:type="dxa"/>
            <w:shd w:val="clear" w:color="auto" w:fill="auto"/>
          </w:tcPr>
          <w:p w14:paraId="39033FAD" w14:textId="77777777" w:rsidR="001D53A8" w:rsidRPr="00DD1C15" w:rsidRDefault="001D53A8"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678" w:type="dxa"/>
            <w:shd w:val="clear" w:color="auto" w:fill="auto"/>
          </w:tcPr>
          <w:p w14:paraId="4CAE9A1A" w14:textId="1307E1BA" w:rsidR="001D53A8" w:rsidRDefault="001D53A8" w:rsidP="001F137C">
            <w:pPr>
              <w:spacing w:before="40" w:after="20" w:line="280" w:lineRule="atLeast"/>
              <w:rPr>
                <w:rFonts w:ascii="Verdana" w:hAnsi="Verdana"/>
                <w:color w:val="000000"/>
                <w:sz w:val="18"/>
                <w:szCs w:val="18"/>
              </w:rPr>
            </w:pPr>
            <w:r>
              <w:rPr>
                <w:rFonts w:ascii="Verdana" w:hAnsi="Verdana"/>
                <w:color w:val="000000"/>
                <w:sz w:val="18"/>
                <w:szCs w:val="18"/>
              </w:rPr>
              <w:t>FNB (ETFs)</w:t>
            </w:r>
          </w:p>
        </w:tc>
        <w:tc>
          <w:tcPr>
            <w:tcW w:w="2268" w:type="dxa"/>
            <w:vAlign w:val="center"/>
          </w:tcPr>
          <w:p w14:paraId="615AB182" w14:textId="5B64D5C1" w:rsidR="001D53A8" w:rsidRDefault="001D53A8" w:rsidP="001F137C">
            <w:pPr>
              <w:spacing w:before="40" w:after="20" w:line="280" w:lineRule="atLeast"/>
              <w:jc w:val="right"/>
              <w:rPr>
                <w:rFonts w:ascii="Verdana" w:hAnsi="Verdana"/>
                <w:color w:val="000000"/>
                <w:sz w:val="18"/>
                <w:szCs w:val="18"/>
              </w:rPr>
            </w:pPr>
            <w:r>
              <w:rPr>
                <w:rFonts w:ascii="Verdana" w:hAnsi="Verdana"/>
                <w:color w:val="000000"/>
                <w:sz w:val="18"/>
                <w:szCs w:val="18"/>
              </w:rPr>
              <w:t>179,6</w:t>
            </w:r>
          </w:p>
        </w:tc>
      </w:tr>
      <w:tr w:rsidR="001D53A8" w:rsidRPr="00AB6CBE" w14:paraId="0331B35F" w14:textId="77777777" w:rsidTr="006666EF">
        <w:tc>
          <w:tcPr>
            <w:tcW w:w="708" w:type="dxa"/>
            <w:shd w:val="clear" w:color="auto" w:fill="auto"/>
          </w:tcPr>
          <w:p w14:paraId="52C7CDE6" w14:textId="77777777" w:rsidR="001D53A8" w:rsidRPr="00DD1C15" w:rsidRDefault="001D53A8"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678" w:type="dxa"/>
            <w:shd w:val="clear" w:color="auto" w:fill="auto"/>
          </w:tcPr>
          <w:p w14:paraId="5632D27C" w14:textId="2D4EC1A6" w:rsidR="001D53A8" w:rsidRDefault="001D53A8" w:rsidP="001F137C">
            <w:pPr>
              <w:spacing w:before="40" w:after="20" w:line="280" w:lineRule="atLeast"/>
              <w:rPr>
                <w:rFonts w:ascii="Verdana" w:hAnsi="Verdana"/>
                <w:color w:val="000000"/>
                <w:sz w:val="18"/>
                <w:szCs w:val="18"/>
              </w:rPr>
            </w:pPr>
            <w:r>
              <w:rPr>
                <w:rFonts w:ascii="Verdana" w:hAnsi="Verdana"/>
                <w:color w:val="000000"/>
                <w:sz w:val="18"/>
                <w:szCs w:val="18"/>
              </w:rPr>
              <w:t>FNB (ETNs)</w:t>
            </w:r>
          </w:p>
        </w:tc>
        <w:tc>
          <w:tcPr>
            <w:tcW w:w="2268" w:type="dxa"/>
            <w:vAlign w:val="center"/>
          </w:tcPr>
          <w:p w14:paraId="76C1C865" w14:textId="5C800AD4" w:rsidR="001D53A8" w:rsidRDefault="001D53A8" w:rsidP="001F137C">
            <w:pPr>
              <w:spacing w:before="40" w:after="20" w:line="280" w:lineRule="atLeast"/>
              <w:jc w:val="right"/>
              <w:rPr>
                <w:rFonts w:ascii="Verdana" w:hAnsi="Verdana"/>
                <w:color w:val="000000"/>
                <w:sz w:val="18"/>
                <w:szCs w:val="18"/>
              </w:rPr>
            </w:pPr>
            <w:r>
              <w:rPr>
                <w:rFonts w:ascii="Verdana" w:hAnsi="Verdana"/>
                <w:color w:val="000000"/>
                <w:sz w:val="18"/>
                <w:szCs w:val="18"/>
              </w:rPr>
              <w:t>175,0</w:t>
            </w:r>
          </w:p>
        </w:tc>
      </w:tr>
      <w:tr w:rsidR="001D53A8" w:rsidRPr="00AB6CBE" w14:paraId="033417FA" w14:textId="77777777" w:rsidTr="006666EF">
        <w:tc>
          <w:tcPr>
            <w:tcW w:w="708" w:type="dxa"/>
            <w:shd w:val="clear" w:color="auto" w:fill="auto"/>
          </w:tcPr>
          <w:p w14:paraId="6986F1F2" w14:textId="77777777" w:rsidR="001D53A8" w:rsidRPr="00DD1C15" w:rsidRDefault="001D53A8"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678" w:type="dxa"/>
            <w:shd w:val="clear" w:color="auto" w:fill="auto"/>
          </w:tcPr>
          <w:p w14:paraId="78FCB145" w14:textId="5484E6EC" w:rsidR="001D53A8" w:rsidRDefault="001D53A8" w:rsidP="001F137C">
            <w:pPr>
              <w:spacing w:before="40" w:after="20" w:line="280" w:lineRule="atLeast"/>
              <w:rPr>
                <w:rFonts w:ascii="Verdana" w:hAnsi="Verdana"/>
                <w:color w:val="000000"/>
                <w:sz w:val="18"/>
                <w:szCs w:val="18"/>
              </w:rPr>
            </w:pPr>
            <w:r>
              <w:rPr>
                <w:rFonts w:ascii="Verdana" w:hAnsi="Verdana"/>
                <w:color w:val="000000"/>
                <w:sz w:val="18"/>
                <w:szCs w:val="18"/>
              </w:rPr>
              <w:t>Absa Capital (NewWave ETNs)</w:t>
            </w:r>
          </w:p>
        </w:tc>
        <w:tc>
          <w:tcPr>
            <w:tcW w:w="2268" w:type="dxa"/>
            <w:vAlign w:val="center"/>
          </w:tcPr>
          <w:p w14:paraId="11299489" w14:textId="2AFB35F2" w:rsidR="001D53A8" w:rsidRDefault="001D53A8" w:rsidP="001F137C">
            <w:pPr>
              <w:spacing w:before="40" w:after="20" w:line="280" w:lineRule="atLeast"/>
              <w:jc w:val="right"/>
              <w:rPr>
                <w:rFonts w:ascii="Verdana" w:hAnsi="Verdana"/>
                <w:color w:val="000000"/>
                <w:sz w:val="18"/>
                <w:szCs w:val="18"/>
              </w:rPr>
            </w:pPr>
            <w:r>
              <w:rPr>
                <w:rFonts w:ascii="Verdana" w:hAnsi="Verdana"/>
                <w:color w:val="000000"/>
                <w:sz w:val="18"/>
                <w:szCs w:val="18"/>
              </w:rPr>
              <w:t>32,5</w:t>
            </w:r>
          </w:p>
        </w:tc>
      </w:tr>
      <w:tr w:rsidR="001D53A8" w:rsidRPr="00AB6CBE" w14:paraId="65ABC918" w14:textId="77777777" w:rsidTr="006666EF">
        <w:tc>
          <w:tcPr>
            <w:tcW w:w="708" w:type="dxa"/>
            <w:shd w:val="clear" w:color="auto" w:fill="auto"/>
          </w:tcPr>
          <w:p w14:paraId="51805001" w14:textId="77777777" w:rsidR="001D53A8" w:rsidRPr="00DD1C15" w:rsidRDefault="001D53A8"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678" w:type="dxa"/>
            <w:shd w:val="clear" w:color="auto" w:fill="auto"/>
          </w:tcPr>
          <w:p w14:paraId="428A1778" w14:textId="5659AC4F" w:rsidR="001D53A8" w:rsidRDefault="001D53A8" w:rsidP="001F137C">
            <w:pPr>
              <w:spacing w:before="40" w:after="20" w:line="280" w:lineRule="atLeast"/>
              <w:rPr>
                <w:rFonts w:ascii="Verdana" w:hAnsi="Verdana"/>
                <w:color w:val="000000"/>
                <w:sz w:val="18"/>
                <w:szCs w:val="18"/>
              </w:rPr>
            </w:pPr>
            <w:r>
              <w:rPr>
                <w:rFonts w:ascii="Verdana" w:hAnsi="Verdana"/>
                <w:color w:val="000000"/>
                <w:sz w:val="18"/>
                <w:szCs w:val="18"/>
              </w:rPr>
              <w:t>CoreShares (ETFs)</w:t>
            </w:r>
          </w:p>
        </w:tc>
        <w:tc>
          <w:tcPr>
            <w:tcW w:w="2268" w:type="dxa"/>
            <w:vAlign w:val="center"/>
          </w:tcPr>
          <w:p w14:paraId="46B34005" w14:textId="6BA83AC3" w:rsidR="001D53A8" w:rsidRDefault="001D53A8" w:rsidP="001F137C">
            <w:pPr>
              <w:spacing w:before="40" w:after="20" w:line="280" w:lineRule="atLeast"/>
              <w:jc w:val="right"/>
              <w:rPr>
                <w:rFonts w:ascii="Verdana" w:hAnsi="Verdana"/>
                <w:color w:val="000000"/>
                <w:sz w:val="18"/>
                <w:szCs w:val="18"/>
              </w:rPr>
            </w:pPr>
            <w:r>
              <w:rPr>
                <w:rFonts w:ascii="Verdana" w:hAnsi="Verdana"/>
                <w:color w:val="000000"/>
                <w:sz w:val="18"/>
                <w:szCs w:val="18"/>
              </w:rPr>
              <w:t>24,4</w:t>
            </w:r>
          </w:p>
        </w:tc>
      </w:tr>
      <w:tr w:rsidR="00DD487F" w:rsidRPr="00AB6CBE" w14:paraId="16D91074" w14:textId="77777777" w:rsidTr="006666EF">
        <w:tc>
          <w:tcPr>
            <w:tcW w:w="708" w:type="dxa"/>
            <w:shd w:val="clear" w:color="auto" w:fill="auto"/>
          </w:tcPr>
          <w:p w14:paraId="045BDB9F" w14:textId="77777777" w:rsidR="00DD487F" w:rsidRPr="00DD1C15" w:rsidRDefault="00DD487F"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678" w:type="dxa"/>
            <w:shd w:val="clear" w:color="auto" w:fill="auto"/>
          </w:tcPr>
          <w:p w14:paraId="53050D8C" w14:textId="3EC6B2CB" w:rsidR="00DD487F" w:rsidRDefault="001D53A8" w:rsidP="001F137C">
            <w:pPr>
              <w:spacing w:before="40" w:after="20" w:line="280" w:lineRule="atLeast"/>
              <w:rPr>
                <w:rFonts w:ascii="Verdana" w:hAnsi="Verdana"/>
                <w:color w:val="000000"/>
                <w:sz w:val="18"/>
                <w:szCs w:val="18"/>
              </w:rPr>
            </w:pPr>
            <w:r>
              <w:rPr>
                <w:rFonts w:ascii="Verdana" w:hAnsi="Verdana"/>
                <w:color w:val="000000"/>
                <w:sz w:val="18"/>
                <w:szCs w:val="18"/>
              </w:rPr>
              <w:t>Cloud Atlas</w:t>
            </w:r>
          </w:p>
        </w:tc>
        <w:tc>
          <w:tcPr>
            <w:tcW w:w="2268" w:type="dxa"/>
            <w:vAlign w:val="center"/>
          </w:tcPr>
          <w:p w14:paraId="03E582D6" w14:textId="3FB35B2F" w:rsidR="00DD487F" w:rsidRDefault="001D53A8" w:rsidP="001F137C">
            <w:pPr>
              <w:spacing w:before="40" w:after="20" w:line="280" w:lineRule="atLeast"/>
              <w:jc w:val="right"/>
              <w:rPr>
                <w:rFonts w:ascii="Verdana" w:hAnsi="Verdana"/>
                <w:color w:val="000000"/>
                <w:sz w:val="18"/>
                <w:szCs w:val="18"/>
              </w:rPr>
            </w:pPr>
            <w:r>
              <w:rPr>
                <w:rFonts w:ascii="Verdana" w:hAnsi="Verdana"/>
                <w:color w:val="000000"/>
                <w:sz w:val="18"/>
                <w:szCs w:val="18"/>
              </w:rPr>
              <w:t>(0,5)</w:t>
            </w:r>
          </w:p>
        </w:tc>
      </w:tr>
      <w:tr w:rsidR="00DD487F" w:rsidRPr="00AB6CBE" w14:paraId="2F67B1D1" w14:textId="77777777" w:rsidTr="006666EF">
        <w:tc>
          <w:tcPr>
            <w:tcW w:w="708" w:type="dxa"/>
            <w:shd w:val="clear" w:color="auto" w:fill="auto"/>
          </w:tcPr>
          <w:p w14:paraId="6FF74B0D" w14:textId="77777777" w:rsidR="00DD487F" w:rsidRPr="00DD1C15" w:rsidRDefault="00DD487F"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678" w:type="dxa"/>
            <w:shd w:val="clear" w:color="auto" w:fill="auto"/>
          </w:tcPr>
          <w:p w14:paraId="7D072A5B" w14:textId="5B4639F0" w:rsidR="00DD487F" w:rsidRDefault="00DD487F" w:rsidP="001F137C">
            <w:pPr>
              <w:spacing w:before="40" w:after="20" w:line="280" w:lineRule="atLeast"/>
              <w:rPr>
                <w:rFonts w:ascii="Verdana" w:hAnsi="Verdana"/>
                <w:color w:val="000000"/>
                <w:sz w:val="18"/>
                <w:szCs w:val="18"/>
              </w:rPr>
            </w:pPr>
            <w:r>
              <w:rPr>
                <w:rFonts w:ascii="Verdana" w:hAnsi="Verdana"/>
                <w:color w:val="000000"/>
                <w:sz w:val="18"/>
                <w:szCs w:val="18"/>
              </w:rPr>
              <w:t>A</w:t>
            </w:r>
            <w:r w:rsidR="001D53A8">
              <w:rPr>
                <w:rFonts w:ascii="Verdana" w:hAnsi="Verdana"/>
                <w:color w:val="000000"/>
                <w:sz w:val="18"/>
                <w:szCs w:val="18"/>
              </w:rPr>
              <w:t>bsa Capital (NewFunds, NewGold ETFs)</w:t>
            </w:r>
          </w:p>
        </w:tc>
        <w:tc>
          <w:tcPr>
            <w:tcW w:w="2268" w:type="dxa"/>
            <w:vAlign w:val="center"/>
          </w:tcPr>
          <w:p w14:paraId="16F0CFFC" w14:textId="5549EF20" w:rsidR="00DD487F" w:rsidRDefault="001D53A8" w:rsidP="001F137C">
            <w:pPr>
              <w:spacing w:before="40" w:after="20" w:line="280" w:lineRule="atLeast"/>
              <w:jc w:val="right"/>
              <w:rPr>
                <w:rFonts w:ascii="Verdana" w:hAnsi="Verdana"/>
                <w:color w:val="000000"/>
                <w:sz w:val="18"/>
                <w:szCs w:val="18"/>
              </w:rPr>
            </w:pPr>
            <w:r>
              <w:rPr>
                <w:rFonts w:ascii="Verdana" w:hAnsi="Verdana"/>
                <w:color w:val="000000"/>
                <w:sz w:val="18"/>
                <w:szCs w:val="18"/>
              </w:rPr>
              <w:t>(412,4)</w:t>
            </w:r>
          </w:p>
        </w:tc>
      </w:tr>
      <w:tr w:rsidR="00DD487F" w:rsidRPr="00AB6CBE" w14:paraId="472E6F73" w14:textId="77777777" w:rsidTr="006666EF">
        <w:tc>
          <w:tcPr>
            <w:tcW w:w="708" w:type="dxa"/>
            <w:shd w:val="clear" w:color="auto" w:fill="auto"/>
          </w:tcPr>
          <w:p w14:paraId="31F55E3B" w14:textId="77777777" w:rsidR="00DD487F" w:rsidRPr="00DD1C15" w:rsidRDefault="00DD487F"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678" w:type="dxa"/>
            <w:shd w:val="clear" w:color="auto" w:fill="auto"/>
          </w:tcPr>
          <w:p w14:paraId="2D2CC24B" w14:textId="0FFA1916" w:rsidR="00DD487F" w:rsidRDefault="001D53A8" w:rsidP="001F137C">
            <w:pPr>
              <w:spacing w:before="40" w:after="20" w:line="280" w:lineRule="atLeast"/>
              <w:rPr>
                <w:rFonts w:ascii="Verdana" w:hAnsi="Verdana"/>
                <w:color w:val="000000"/>
                <w:sz w:val="18"/>
                <w:szCs w:val="18"/>
              </w:rPr>
            </w:pPr>
            <w:r>
              <w:rPr>
                <w:rFonts w:ascii="Verdana" w:hAnsi="Verdana"/>
                <w:color w:val="000000"/>
                <w:sz w:val="18"/>
                <w:szCs w:val="18"/>
              </w:rPr>
              <w:t>1nvest</w:t>
            </w:r>
          </w:p>
        </w:tc>
        <w:tc>
          <w:tcPr>
            <w:tcW w:w="2268" w:type="dxa"/>
            <w:vAlign w:val="center"/>
          </w:tcPr>
          <w:p w14:paraId="29268E51" w14:textId="2EF5FC80" w:rsidR="00DD487F" w:rsidRDefault="001D53A8" w:rsidP="001F137C">
            <w:pPr>
              <w:spacing w:before="40" w:after="20" w:line="280" w:lineRule="atLeast"/>
              <w:jc w:val="right"/>
              <w:rPr>
                <w:rFonts w:ascii="Verdana" w:hAnsi="Verdana"/>
                <w:color w:val="000000"/>
                <w:sz w:val="18"/>
                <w:szCs w:val="18"/>
              </w:rPr>
            </w:pPr>
            <w:r>
              <w:rPr>
                <w:rFonts w:ascii="Verdana" w:hAnsi="Verdana"/>
                <w:color w:val="000000"/>
                <w:sz w:val="18"/>
                <w:szCs w:val="18"/>
              </w:rPr>
              <w:t>(1 145,0)</w:t>
            </w:r>
          </w:p>
        </w:tc>
      </w:tr>
      <w:tr w:rsidR="001F137C" w:rsidRPr="00DD1C15" w14:paraId="37C1C93E" w14:textId="77777777" w:rsidTr="006666EF">
        <w:tc>
          <w:tcPr>
            <w:tcW w:w="5386" w:type="dxa"/>
            <w:gridSpan w:val="2"/>
            <w:shd w:val="clear" w:color="auto" w:fill="auto"/>
          </w:tcPr>
          <w:p w14:paraId="0BD42997" w14:textId="77777777" w:rsidR="001F137C" w:rsidRPr="00DD1C15" w:rsidRDefault="001F137C" w:rsidP="001F137C">
            <w:pPr>
              <w:spacing w:before="40" w:after="20" w:line="280" w:lineRule="atLeast"/>
              <w:rPr>
                <w:rFonts w:ascii="Verdana" w:hAnsi="Verdana"/>
                <w:b/>
                <w:bCs/>
                <w:color w:val="000000"/>
                <w:sz w:val="18"/>
                <w:szCs w:val="18"/>
              </w:rPr>
            </w:pPr>
            <w:r>
              <w:rPr>
                <w:rFonts w:ascii="Verdana" w:hAnsi="Verdana"/>
                <w:b/>
                <w:bCs/>
                <w:color w:val="000000"/>
                <w:sz w:val="18"/>
                <w:szCs w:val="18"/>
              </w:rPr>
              <w:t>Total</w:t>
            </w:r>
          </w:p>
        </w:tc>
        <w:tc>
          <w:tcPr>
            <w:tcW w:w="2268" w:type="dxa"/>
            <w:vAlign w:val="center"/>
          </w:tcPr>
          <w:p w14:paraId="654C3608" w14:textId="6A9885AE" w:rsidR="001F137C" w:rsidRPr="00DD1C15" w:rsidRDefault="001D53A8" w:rsidP="001F137C">
            <w:pPr>
              <w:spacing w:before="40" w:after="20" w:line="280" w:lineRule="atLeast"/>
              <w:jc w:val="right"/>
              <w:rPr>
                <w:rFonts w:ascii="Verdana" w:hAnsi="Verdana"/>
                <w:b/>
                <w:bCs/>
                <w:color w:val="000000"/>
                <w:sz w:val="18"/>
                <w:szCs w:val="18"/>
              </w:rPr>
            </w:pPr>
            <w:r>
              <w:rPr>
                <w:rFonts w:ascii="Verdana" w:hAnsi="Verdana"/>
                <w:b/>
                <w:bCs/>
                <w:color w:val="000000"/>
                <w:sz w:val="18"/>
                <w:szCs w:val="18"/>
              </w:rPr>
              <w:t>2 451,9</w:t>
            </w:r>
          </w:p>
        </w:tc>
      </w:tr>
      <w:tr w:rsidR="00DD487F" w:rsidRPr="006015AB" w14:paraId="0965F958" w14:textId="77777777" w:rsidTr="006666EF">
        <w:trPr>
          <w:trHeight w:val="217"/>
        </w:trPr>
        <w:tc>
          <w:tcPr>
            <w:tcW w:w="7654" w:type="dxa"/>
            <w:gridSpan w:val="3"/>
            <w:shd w:val="clear" w:color="auto" w:fill="auto"/>
            <w:vAlign w:val="center"/>
          </w:tcPr>
          <w:p w14:paraId="20521E6D" w14:textId="3BC65875" w:rsidR="00DD487F" w:rsidRPr="006015AB" w:rsidRDefault="00DD487F" w:rsidP="00DD487F">
            <w:pPr>
              <w:spacing w:after="40" w:line="280" w:lineRule="atLeast"/>
              <w:rPr>
                <w:rFonts w:ascii="Verdana" w:hAnsi="Verdana"/>
                <w:i/>
                <w:color w:val="000000"/>
                <w:sz w:val="14"/>
                <w:szCs w:val="14"/>
              </w:rPr>
            </w:pPr>
            <w:r w:rsidRPr="006015AB">
              <w:rPr>
                <w:rFonts w:ascii="Verdana" w:hAnsi="Verdana"/>
                <w:i/>
                <w:color w:val="000000"/>
                <w:sz w:val="14"/>
                <w:szCs w:val="14"/>
              </w:rPr>
              <w:t>Source: etfSA.co.za Quarterly S</w:t>
            </w:r>
            <w:r>
              <w:rPr>
                <w:rFonts w:ascii="Verdana" w:hAnsi="Verdana"/>
                <w:i/>
                <w:color w:val="000000"/>
                <w:sz w:val="14"/>
                <w:szCs w:val="14"/>
              </w:rPr>
              <w:t xml:space="preserve">ecurities in Issue and New Capital Raised Survey </w:t>
            </w:r>
            <w:r w:rsidR="001D53A8">
              <w:rPr>
                <w:rFonts w:ascii="Verdana" w:hAnsi="Verdana"/>
                <w:i/>
                <w:color w:val="000000"/>
                <w:sz w:val="14"/>
                <w:szCs w:val="14"/>
              </w:rPr>
              <w:t>March</w:t>
            </w:r>
            <w:r>
              <w:rPr>
                <w:rFonts w:ascii="Verdana" w:hAnsi="Verdana"/>
                <w:i/>
                <w:color w:val="000000"/>
                <w:sz w:val="14"/>
                <w:szCs w:val="14"/>
              </w:rPr>
              <w:t xml:space="preserve"> 202</w:t>
            </w:r>
            <w:r w:rsidR="001D53A8">
              <w:rPr>
                <w:rFonts w:ascii="Verdana" w:hAnsi="Verdana"/>
                <w:i/>
                <w:color w:val="000000"/>
                <w:sz w:val="14"/>
                <w:szCs w:val="14"/>
              </w:rPr>
              <w:t>2</w:t>
            </w:r>
            <w:r>
              <w:rPr>
                <w:rFonts w:ascii="Verdana" w:hAnsi="Verdana"/>
                <w:i/>
                <w:color w:val="000000"/>
                <w:sz w:val="14"/>
                <w:szCs w:val="14"/>
              </w:rPr>
              <w:t>).</w:t>
            </w:r>
          </w:p>
        </w:tc>
      </w:tr>
    </w:tbl>
    <w:p w14:paraId="480176FF" w14:textId="2BF2767E" w:rsidR="001D53A8" w:rsidRPr="006108AD" w:rsidRDefault="006108AD" w:rsidP="00C6310E">
      <w:pPr>
        <w:spacing w:before="120" w:after="0" w:line="320" w:lineRule="atLeast"/>
        <w:jc w:val="both"/>
        <w:rPr>
          <w:rFonts w:ascii="Verdana" w:hAnsi="Verdana"/>
          <w:sz w:val="21"/>
          <w:szCs w:val="21"/>
        </w:rPr>
      </w:pPr>
      <w:r w:rsidRPr="006108AD">
        <w:rPr>
          <w:rFonts w:ascii="Verdana" w:hAnsi="Verdana"/>
          <w:sz w:val="21"/>
          <w:szCs w:val="21"/>
        </w:rPr>
        <w:t xml:space="preserve">Satrix and Sygnia Itrix had </w:t>
      </w:r>
      <w:r>
        <w:rPr>
          <w:rFonts w:ascii="Verdana" w:hAnsi="Verdana"/>
          <w:sz w:val="21"/>
          <w:szCs w:val="21"/>
        </w:rPr>
        <w:t>a close tussle to be the t</w:t>
      </w:r>
      <w:r w:rsidR="00525AD3">
        <w:rPr>
          <w:rFonts w:ascii="Verdana" w:hAnsi="Verdana"/>
          <w:sz w:val="21"/>
          <w:szCs w:val="21"/>
        </w:rPr>
        <w:t>op</w:t>
      </w:r>
      <w:r>
        <w:rPr>
          <w:rFonts w:ascii="Verdana" w:hAnsi="Verdana"/>
          <w:sz w:val="21"/>
          <w:szCs w:val="21"/>
        </w:rPr>
        <w:t xml:space="preserve"> issuing house for the first three months of this year, raising R1,83 </w:t>
      </w:r>
      <w:r w:rsidR="00525AD3">
        <w:rPr>
          <w:rFonts w:ascii="Verdana" w:hAnsi="Verdana"/>
          <w:sz w:val="21"/>
          <w:szCs w:val="21"/>
        </w:rPr>
        <w:t>b</w:t>
      </w:r>
      <w:r>
        <w:rPr>
          <w:rFonts w:ascii="Verdana" w:hAnsi="Verdana"/>
          <w:sz w:val="21"/>
          <w:szCs w:val="21"/>
        </w:rPr>
        <w:t xml:space="preserve">illion and R1,77 </w:t>
      </w:r>
      <w:r w:rsidR="00525AD3">
        <w:rPr>
          <w:rFonts w:ascii="Verdana" w:hAnsi="Verdana"/>
          <w:sz w:val="21"/>
          <w:szCs w:val="21"/>
        </w:rPr>
        <w:t>b</w:t>
      </w:r>
      <w:r>
        <w:rPr>
          <w:rFonts w:ascii="Verdana" w:hAnsi="Verdana"/>
          <w:sz w:val="21"/>
          <w:szCs w:val="21"/>
        </w:rPr>
        <w:t xml:space="preserve">illion new capital respectively,  </w:t>
      </w:r>
    </w:p>
    <w:p w14:paraId="37979845" w14:textId="61EABF83" w:rsidR="001D53A8" w:rsidRPr="006108AD" w:rsidRDefault="006108AD" w:rsidP="006666EF">
      <w:pPr>
        <w:spacing w:before="120" w:line="320" w:lineRule="atLeast"/>
        <w:jc w:val="both"/>
        <w:rPr>
          <w:rFonts w:ascii="Verdana" w:hAnsi="Verdana"/>
          <w:sz w:val="21"/>
          <w:szCs w:val="21"/>
        </w:rPr>
      </w:pPr>
      <w:r>
        <w:rPr>
          <w:rFonts w:ascii="Verdana" w:hAnsi="Verdana"/>
          <w:sz w:val="21"/>
          <w:szCs w:val="21"/>
        </w:rPr>
        <w:t>Brin</w:t>
      </w:r>
      <w:r w:rsidR="00525AD3">
        <w:rPr>
          <w:rFonts w:ascii="Verdana" w:hAnsi="Verdana"/>
          <w:sz w:val="21"/>
          <w:szCs w:val="21"/>
        </w:rPr>
        <w:t>g</w:t>
      </w:r>
      <w:r>
        <w:rPr>
          <w:rFonts w:ascii="Verdana" w:hAnsi="Verdana"/>
          <w:sz w:val="21"/>
          <w:szCs w:val="21"/>
        </w:rPr>
        <w:t xml:space="preserve">ing up the </w:t>
      </w:r>
      <w:r w:rsidR="00525AD3">
        <w:rPr>
          <w:rFonts w:ascii="Verdana" w:hAnsi="Verdana"/>
          <w:sz w:val="21"/>
          <w:szCs w:val="21"/>
        </w:rPr>
        <w:t>rear</w:t>
      </w:r>
      <w:r>
        <w:rPr>
          <w:rFonts w:ascii="Verdana" w:hAnsi="Verdana"/>
          <w:sz w:val="21"/>
          <w:szCs w:val="21"/>
        </w:rPr>
        <w:t xml:space="preserve">, were 1nvest and NewFunds, who both registered significant delistings of commodity ETFs during this period. </w:t>
      </w:r>
    </w:p>
    <w:tbl>
      <w:tblPr>
        <w:tblW w:w="751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2126"/>
      </w:tblGrid>
      <w:tr w:rsidR="00E923F2" w:rsidRPr="00AB6CBE" w14:paraId="78894AEC" w14:textId="77777777" w:rsidTr="006666EF">
        <w:tc>
          <w:tcPr>
            <w:tcW w:w="7512" w:type="dxa"/>
            <w:gridSpan w:val="2"/>
            <w:shd w:val="clear" w:color="auto" w:fill="C00000"/>
          </w:tcPr>
          <w:p w14:paraId="2D56D4BE" w14:textId="6D11C492" w:rsidR="00E923F2" w:rsidRDefault="00E923F2" w:rsidP="00812F0C">
            <w:pPr>
              <w:spacing w:before="40" w:after="20" w:line="280" w:lineRule="atLeast"/>
              <w:jc w:val="center"/>
              <w:rPr>
                <w:rFonts w:ascii="Verdana" w:hAnsi="Verdana"/>
                <w:b/>
                <w:color w:val="FFFFFF"/>
                <w:sz w:val="18"/>
                <w:szCs w:val="18"/>
              </w:rPr>
            </w:pPr>
            <w:r>
              <w:rPr>
                <w:rFonts w:ascii="Verdana" w:hAnsi="Verdana"/>
                <w:b/>
                <w:color w:val="FFFFFF"/>
                <w:sz w:val="18"/>
                <w:szCs w:val="18"/>
              </w:rPr>
              <w:t>Individual ETF/ETN Listings</w:t>
            </w:r>
          </w:p>
          <w:p w14:paraId="772C4613" w14:textId="57847AF9" w:rsidR="00E923F2" w:rsidRPr="003B4F95" w:rsidRDefault="00E923F2" w:rsidP="00812F0C">
            <w:pPr>
              <w:spacing w:before="40" w:after="20" w:line="280" w:lineRule="atLeast"/>
              <w:jc w:val="center"/>
              <w:rPr>
                <w:rFonts w:ascii="Verdana" w:hAnsi="Verdana"/>
                <w:b/>
                <w:color w:val="FFFFFF"/>
                <w:sz w:val="18"/>
                <w:szCs w:val="18"/>
              </w:rPr>
            </w:pPr>
            <w:r>
              <w:rPr>
                <w:rFonts w:ascii="Verdana" w:hAnsi="Verdana"/>
                <w:b/>
                <w:color w:val="FFFFFF"/>
                <w:sz w:val="18"/>
                <w:szCs w:val="18"/>
              </w:rPr>
              <w:t>For First 3 Months of 2022</w:t>
            </w:r>
          </w:p>
        </w:tc>
      </w:tr>
      <w:tr w:rsidR="00E923F2" w:rsidRPr="00AB6CBE" w14:paraId="546D651F" w14:textId="77777777" w:rsidTr="006666EF">
        <w:trPr>
          <w:trHeight w:val="360"/>
        </w:trPr>
        <w:tc>
          <w:tcPr>
            <w:tcW w:w="5386" w:type="dxa"/>
            <w:shd w:val="clear" w:color="auto" w:fill="4C4C4C"/>
          </w:tcPr>
          <w:p w14:paraId="460C4209" w14:textId="37D8FDA8" w:rsidR="00E923F2" w:rsidRPr="003B4F95" w:rsidRDefault="00E923F2" w:rsidP="00812F0C">
            <w:pPr>
              <w:spacing w:before="40" w:after="20" w:line="280" w:lineRule="atLeast"/>
              <w:rPr>
                <w:rFonts w:ascii="Verdana" w:hAnsi="Verdana"/>
                <w:b/>
                <w:color w:val="FFFFFF"/>
                <w:sz w:val="18"/>
                <w:szCs w:val="18"/>
              </w:rPr>
            </w:pPr>
            <w:r>
              <w:rPr>
                <w:rFonts w:ascii="Verdana" w:hAnsi="Verdana"/>
                <w:b/>
                <w:color w:val="FFFFFF"/>
                <w:sz w:val="18"/>
                <w:szCs w:val="18"/>
              </w:rPr>
              <w:t>ETF/ETN</w:t>
            </w:r>
          </w:p>
        </w:tc>
        <w:tc>
          <w:tcPr>
            <w:tcW w:w="2126" w:type="dxa"/>
            <w:shd w:val="clear" w:color="auto" w:fill="4C4C4C"/>
            <w:vAlign w:val="center"/>
          </w:tcPr>
          <w:p w14:paraId="5F4E2850" w14:textId="6050FA15" w:rsidR="00E923F2" w:rsidRPr="003B4F95" w:rsidRDefault="00E923F2" w:rsidP="00812F0C">
            <w:pPr>
              <w:spacing w:before="40" w:after="20" w:line="280" w:lineRule="atLeast"/>
              <w:jc w:val="right"/>
              <w:rPr>
                <w:rFonts w:ascii="Verdana" w:hAnsi="Verdana"/>
                <w:b/>
                <w:color w:val="FFFFFF"/>
                <w:sz w:val="18"/>
                <w:szCs w:val="18"/>
              </w:rPr>
            </w:pPr>
            <w:r>
              <w:rPr>
                <w:rFonts w:ascii="Verdana" w:hAnsi="Verdana"/>
                <w:b/>
                <w:color w:val="FFFFFF"/>
                <w:sz w:val="18"/>
                <w:szCs w:val="18"/>
              </w:rPr>
              <w:t>Amount (R million)</w:t>
            </w:r>
          </w:p>
        </w:tc>
      </w:tr>
      <w:tr w:rsidR="00E923F2" w:rsidRPr="00AB6CBE" w14:paraId="2D538DFE" w14:textId="77777777" w:rsidTr="006666EF">
        <w:tc>
          <w:tcPr>
            <w:tcW w:w="5386" w:type="dxa"/>
            <w:shd w:val="clear" w:color="auto" w:fill="auto"/>
          </w:tcPr>
          <w:p w14:paraId="70F1F02B" w14:textId="33039A60" w:rsidR="00E923F2" w:rsidRDefault="00E923F2" w:rsidP="00812F0C">
            <w:pPr>
              <w:spacing w:before="40" w:after="20" w:line="280" w:lineRule="atLeast"/>
              <w:rPr>
                <w:rFonts w:ascii="Verdana" w:hAnsi="Verdana"/>
                <w:color w:val="000000"/>
                <w:sz w:val="18"/>
                <w:szCs w:val="18"/>
              </w:rPr>
            </w:pPr>
            <w:r>
              <w:rPr>
                <w:rFonts w:ascii="Verdana" w:hAnsi="Verdana"/>
                <w:color w:val="000000"/>
                <w:sz w:val="18"/>
                <w:szCs w:val="18"/>
              </w:rPr>
              <w:t>Satrix MSCI World ETF</w:t>
            </w:r>
          </w:p>
        </w:tc>
        <w:tc>
          <w:tcPr>
            <w:tcW w:w="2126" w:type="dxa"/>
            <w:vAlign w:val="center"/>
          </w:tcPr>
          <w:p w14:paraId="0C978EF2" w14:textId="02DD64EC" w:rsidR="00E923F2" w:rsidRDefault="00E923F2" w:rsidP="00812F0C">
            <w:pPr>
              <w:spacing w:before="40" w:after="20" w:line="280" w:lineRule="atLeast"/>
              <w:jc w:val="right"/>
              <w:rPr>
                <w:rFonts w:ascii="Verdana" w:hAnsi="Verdana"/>
                <w:color w:val="000000"/>
                <w:sz w:val="18"/>
                <w:szCs w:val="18"/>
              </w:rPr>
            </w:pPr>
            <w:r>
              <w:rPr>
                <w:rFonts w:ascii="Verdana" w:hAnsi="Verdana"/>
                <w:color w:val="000000"/>
                <w:sz w:val="18"/>
                <w:szCs w:val="18"/>
              </w:rPr>
              <w:t>825,7</w:t>
            </w:r>
          </w:p>
        </w:tc>
      </w:tr>
      <w:tr w:rsidR="00E923F2" w:rsidRPr="00AB6CBE" w14:paraId="09DF947B" w14:textId="77777777" w:rsidTr="006666EF">
        <w:tc>
          <w:tcPr>
            <w:tcW w:w="5386" w:type="dxa"/>
            <w:shd w:val="clear" w:color="auto" w:fill="auto"/>
          </w:tcPr>
          <w:p w14:paraId="670641D1" w14:textId="16F6B0A3" w:rsidR="00E923F2" w:rsidRDefault="00E923F2" w:rsidP="00812F0C">
            <w:pPr>
              <w:spacing w:before="40" w:after="20" w:line="280" w:lineRule="atLeast"/>
              <w:rPr>
                <w:rFonts w:ascii="Verdana" w:hAnsi="Verdana"/>
                <w:color w:val="000000"/>
                <w:sz w:val="18"/>
                <w:szCs w:val="18"/>
              </w:rPr>
            </w:pPr>
            <w:r>
              <w:rPr>
                <w:rFonts w:ascii="Verdana" w:hAnsi="Verdana"/>
                <w:color w:val="000000"/>
                <w:sz w:val="18"/>
                <w:szCs w:val="18"/>
              </w:rPr>
              <w:t>Satrix S&amp;P 500 ETF</w:t>
            </w:r>
          </w:p>
        </w:tc>
        <w:tc>
          <w:tcPr>
            <w:tcW w:w="2126" w:type="dxa"/>
            <w:vAlign w:val="center"/>
          </w:tcPr>
          <w:p w14:paraId="7617CB4F" w14:textId="242D8A06" w:rsidR="00E923F2" w:rsidRDefault="00E923F2" w:rsidP="00812F0C">
            <w:pPr>
              <w:spacing w:before="40" w:after="20" w:line="280" w:lineRule="atLeast"/>
              <w:jc w:val="right"/>
              <w:rPr>
                <w:rFonts w:ascii="Verdana" w:hAnsi="Verdana"/>
                <w:color w:val="000000"/>
                <w:sz w:val="18"/>
                <w:szCs w:val="18"/>
              </w:rPr>
            </w:pPr>
            <w:r>
              <w:rPr>
                <w:rFonts w:ascii="Verdana" w:hAnsi="Verdana"/>
                <w:color w:val="000000"/>
                <w:sz w:val="18"/>
                <w:szCs w:val="18"/>
              </w:rPr>
              <w:t>544,2</w:t>
            </w:r>
          </w:p>
        </w:tc>
      </w:tr>
      <w:tr w:rsidR="00E923F2" w:rsidRPr="00E923F2" w14:paraId="5DDA68A3" w14:textId="77777777" w:rsidTr="006666EF">
        <w:tc>
          <w:tcPr>
            <w:tcW w:w="5386" w:type="dxa"/>
            <w:shd w:val="clear" w:color="auto" w:fill="auto"/>
          </w:tcPr>
          <w:p w14:paraId="5762AD42" w14:textId="0583E2FB" w:rsidR="00E923F2" w:rsidRPr="00E923F2" w:rsidRDefault="00E923F2" w:rsidP="00812F0C">
            <w:pPr>
              <w:spacing w:before="40" w:after="20" w:line="280" w:lineRule="atLeast"/>
              <w:rPr>
                <w:rFonts w:ascii="Verdana" w:hAnsi="Verdana"/>
                <w:color w:val="000000"/>
                <w:sz w:val="18"/>
                <w:szCs w:val="18"/>
              </w:rPr>
            </w:pPr>
            <w:r w:rsidRPr="00E923F2">
              <w:rPr>
                <w:rFonts w:ascii="Verdana" w:hAnsi="Verdana"/>
                <w:color w:val="000000"/>
                <w:sz w:val="18"/>
                <w:szCs w:val="18"/>
              </w:rPr>
              <w:t>Sygnia Itrix Emerging Markets 50 ETF</w:t>
            </w:r>
          </w:p>
        </w:tc>
        <w:tc>
          <w:tcPr>
            <w:tcW w:w="2126" w:type="dxa"/>
            <w:vAlign w:val="center"/>
          </w:tcPr>
          <w:p w14:paraId="7F9DA546" w14:textId="4E08B40D" w:rsidR="00E923F2" w:rsidRPr="00E923F2" w:rsidRDefault="00E923F2" w:rsidP="00812F0C">
            <w:pPr>
              <w:spacing w:before="40" w:after="20" w:line="280" w:lineRule="atLeast"/>
              <w:jc w:val="right"/>
              <w:rPr>
                <w:rFonts w:ascii="Verdana" w:hAnsi="Verdana"/>
                <w:color w:val="000000"/>
                <w:sz w:val="18"/>
                <w:szCs w:val="18"/>
              </w:rPr>
            </w:pPr>
            <w:r>
              <w:rPr>
                <w:rFonts w:ascii="Verdana" w:hAnsi="Verdana"/>
                <w:color w:val="000000"/>
                <w:sz w:val="18"/>
                <w:szCs w:val="18"/>
              </w:rPr>
              <w:t>474,8</w:t>
            </w:r>
          </w:p>
        </w:tc>
      </w:tr>
      <w:tr w:rsidR="00E923F2" w:rsidRPr="00E923F2" w14:paraId="649B47D5" w14:textId="77777777" w:rsidTr="006666EF">
        <w:tc>
          <w:tcPr>
            <w:tcW w:w="5386" w:type="dxa"/>
            <w:shd w:val="clear" w:color="auto" w:fill="auto"/>
          </w:tcPr>
          <w:p w14:paraId="7FD34E6E" w14:textId="639D7148" w:rsidR="00E923F2" w:rsidRPr="00E923F2" w:rsidRDefault="00E923F2" w:rsidP="00812F0C">
            <w:pPr>
              <w:spacing w:before="40" w:after="20" w:line="280" w:lineRule="atLeast"/>
              <w:rPr>
                <w:rFonts w:ascii="Verdana" w:hAnsi="Verdana"/>
                <w:color w:val="000000"/>
                <w:sz w:val="18"/>
                <w:szCs w:val="18"/>
                <w:lang w:val="fr-FR"/>
              </w:rPr>
            </w:pPr>
            <w:r>
              <w:rPr>
                <w:rFonts w:ascii="Verdana" w:hAnsi="Verdana"/>
                <w:color w:val="000000"/>
                <w:sz w:val="18"/>
                <w:szCs w:val="18"/>
                <w:lang w:val="fr-FR"/>
              </w:rPr>
              <w:t>Sygnia Itrix Eurostoxx 50 ETF</w:t>
            </w:r>
          </w:p>
        </w:tc>
        <w:tc>
          <w:tcPr>
            <w:tcW w:w="2126" w:type="dxa"/>
            <w:vAlign w:val="center"/>
          </w:tcPr>
          <w:p w14:paraId="6874D1A3" w14:textId="53A004D1" w:rsidR="00E923F2" w:rsidRPr="00E923F2" w:rsidRDefault="00E923F2" w:rsidP="00812F0C">
            <w:pPr>
              <w:spacing w:before="40" w:after="20" w:line="280" w:lineRule="atLeast"/>
              <w:jc w:val="right"/>
              <w:rPr>
                <w:rFonts w:ascii="Verdana" w:hAnsi="Verdana"/>
                <w:color w:val="000000"/>
                <w:sz w:val="18"/>
                <w:szCs w:val="18"/>
                <w:lang w:val="fr-FR"/>
              </w:rPr>
            </w:pPr>
            <w:r>
              <w:rPr>
                <w:rFonts w:ascii="Verdana" w:hAnsi="Verdana"/>
                <w:color w:val="000000"/>
                <w:sz w:val="18"/>
                <w:szCs w:val="18"/>
                <w:lang w:val="fr-FR"/>
              </w:rPr>
              <w:t>466,9</w:t>
            </w:r>
          </w:p>
        </w:tc>
      </w:tr>
      <w:tr w:rsidR="00E923F2" w:rsidRPr="00E923F2" w14:paraId="143E6D45" w14:textId="77777777" w:rsidTr="006666EF">
        <w:tc>
          <w:tcPr>
            <w:tcW w:w="5386" w:type="dxa"/>
            <w:shd w:val="clear" w:color="auto" w:fill="auto"/>
          </w:tcPr>
          <w:p w14:paraId="041CE568" w14:textId="7AC5B1E7" w:rsidR="00E923F2" w:rsidRPr="00E923F2" w:rsidRDefault="00E923F2" w:rsidP="00812F0C">
            <w:pPr>
              <w:spacing w:before="40" w:after="20" w:line="280" w:lineRule="atLeast"/>
              <w:rPr>
                <w:rFonts w:ascii="Verdana" w:hAnsi="Verdana"/>
                <w:color w:val="000000"/>
                <w:sz w:val="18"/>
                <w:szCs w:val="18"/>
              </w:rPr>
            </w:pPr>
            <w:r w:rsidRPr="00E923F2">
              <w:rPr>
                <w:rFonts w:ascii="Verdana" w:hAnsi="Verdana"/>
                <w:color w:val="000000"/>
                <w:sz w:val="18"/>
                <w:szCs w:val="18"/>
              </w:rPr>
              <w:t>Satrix Capped SA All Share ETF</w:t>
            </w:r>
          </w:p>
        </w:tc>
        <w:tc>
          <w:tcPr>
            <w:tcW w:w="2126" w:type="dxa"/>
            <w:vAlign w:val="center"/>
          </w:tcPr>
          <w:p w14:paraId="6399898A" w14:textId="04E54C72" w:rsidR="00E923F2" w:rsidRPr="00E923F2" w:rsidRDefault="00E923F2" w:rsidP="00812F0C">
            <w:pPr>
              <w:spacing w:before="40" w:after="20" w:line="280" w:lineRule="atLeast"/>
              <w:jc w:val="right"/>
              <w:rPr>
                <w:rFonts w:ascii="Verdana" w:hAnsi="Verdana"/>
                <w:color w:val="000000"/>
                <w:sz w:val="18"/>
                <w:szCs w:val="18"/>
              </w:rPr>
            </w:pPr>
            <w:r>
              <w:rPr>
                <w:rFonts w:ascii="Verdana" w:hAnsi="Verdana"/>
                <w:color w:val="000000"/>
                <w:sz w:val="18"/>
                <w:szCs w:val="18"/>
              </w:rPr>
              <w:t>267,5</w:t>
            </w:r>
          </w:p>
        </w:tc>
      </w:tr>
      <w:tr w:rsidR="00E923F2" w:rsidRPr="00E923F2" w14:paraId="49F8B833" w14:textId="77777777" w:rsidTr="006666EF">
        <w:tc>
          <w:tcPr>
            <w:tcW w:w="5386" w:type="dxa"/>
            <w:shd w:val="clear" w:color="auto" w:fill="auto"/>
          </w:tcPr>
          <w:p w14:paraId="123D4BDC" w14:textId="294BEAE5" w:rsidR="00E923F2" w:rsidRPr="00E923F2" w:rsidRDefault="00E923F2" w:rsidP="00812F0C">
            <w:pPr>
              <w:spacing w:before="40" w:after="20" w:line="280" w:lineRule="atLeast"/>
              <w:rPr>
                <w:rFonts w:ascii="Verdana" w:hAnsi="Verdana"/>
                <w:color w:val="000000"/>
                <w:sz w:val="18"/>
                <w:szCs w:val="18"/>
              </w:rPr>
            </w:pPr>
            <w:r w:rsidRPr="00E923F2">
              <w:rPr>
                <w:rFonts w:ascii="Verdana" w:hAnsi="Verdana"/>
                <w:color w:val="000000"/>
                <w:sz w:val="18"/>
                <w:szCs w:val="18"/>
              </w:rPr>
              <w:t>Sygnia Itrix S&amp;P 500 ETF</w:t>
            </w:r>
          </w:p>
        </w:tc>
        <w:tc>
          <w:tcPr>
            <w:tcW w:w="2126" w:type="dxa"/>
            <w:vAlign w:val="center"/>
          </w:tcPr>
          <w:p w14:paraId="5493ED05" w14:textId="5DA86411" w:rsidR="00E923F2" w:rsidRPr="00E923F2" w:rsidRDefault="00E923F2" w:rsidP="00812F0C">
            <w:pPr>
              <w:spacing w:before="40" w:after="20" w:line="280" w:lineRule="atLeast"/>
              <w:jc w:val="right"/>
              <w:rPr>
                <w:rFonts w:ascii="Verdana" w:hAnsi="Verdana"/>
                <w:color w:val="000000"/>
                <w:sz w:val="18"/>
                <w:szCs w:val="18"/>
              </w:rPr>
            </w:pPr>
            <w:r>
              <w:rPr>
                <w:rFonts w:ascii="Verdana" w:hAnsi="Verdana"/>
                <w:color w:val="000000"/>
                <w:sz w:val="18"/>
                <w:szCs w:val="18"/>
              </w:rPr>
              <w:t>232,1</w:t>
            </w:r>
          </w:p>
        </w:tc>
      </w:tr>
      <w:tr w:rsidR="00E923F2" w:rsidRPr="00E923F2" w14:paraId="7F91D15A" w14:textId="77777777" w:rsidTr="006666EF">
        <w:tc>
          <w:tcPr>
            <w:tcW w:w="5386" w:type="dxa"/>
            <w:shd w:val="clear" w:color="auto" w:fill="auto"/>
          </w:tcPr>
          <w:p w14:paraId="282327E3" w14:textId="04868DBB" w:rsidR="00E923F2" w:rsidRPr="00E923F2" w:rsidRDefault="00E923F2" w:rsidP="00812F0C">
            <w:pPr>
              <w:spacing w:before="40" w:after="20" w:line="280" w:lineRule="atLeast"/>
              <w:rPr>
                <w:rFonts w:ascii="Verdana" w:hAnsi="Verdana"/>
                <w:color w:val="000000"/>
                <w:sz w:val="18"/>
                <w:szCs w:val="18"/>
              </w:rPr>
            </w:pPr>
            <w:r>
              <w:rPr>
                <w:rFonts w:ascii="Verdana" w:hAnsi="Verdana"/>
                <w:color w:val="000000"/>
                <w:sz w:val="18"/>
                <w:szCs w:val="18"/>
              </w:rPr>
              <w:t>1nvest SA Property ETF</w:t>
            </w:r>
          </w:p>
        </w:tc>
        <w:tc>
          <w:tcPr>
            <w:tcW w:w="2126" w:type="dxa"/>
            <w:vAlign w:val="center"/>
          </w:tcPr>
          <w:p w14:paraId="67BE034F" w14:textId="2FF19FC6" w:rsidR="00E923F2" w:rsidRPr="00E923F2" w:rsidRDefault="00E923F2" w:rsidP="00812F0C">
            <w:pPr>
              <w:spacing w:before="40" w:after="20" w:line="280" w:lineRule="atLeast"/>
              <w:jc w:val="right"/>
              <w:rPr>
                <w:rFonts w:ascii="Verdana" w:hAnsi="Verdana"/>
                <w:color w:val="000000"/>
                <w:sz w:val="18"/>
                <w:szCs w:val="18"/>
              </w:rPr>
            </w:pPr>
            <w:r>
              <w:rPr>
                <w:rFonts w:ascii="Verdana" w:hAnsi="Verdana"/>
                <w:color w:val="000000"/>
                <w:sz w:val="18"/>
                <w:szCs w:val="18"/>
              </w:rPr>
              <w:t>(242,6)</w:t>
            </w:r>
          </w:p>
        </w:tc>
      </w:tr>
      <w:tr w:rsidR="00E923F2" w:rsidRPr="00E923F2" w14:paraId="3F4794B6" w14:textId="77777777" w:rsidTr="006666EF">
        <w:tc>
          <w:tcPr>
            <w:tcW w:w="5386" w:type="dxa"/>
            <w:shd w:val="clear" w:color="auto" w:fill="auto"/>
          </w:tcPr>
          <w:p w14:paraId="56B7DBBA" w14:textId="7A53AA0F" w:rsidR="00E923F2" w:rsidRPr="00E923F2" w:rsidRDefault="00E923F2" w:rsidP="00812F0C">
            <w:pPr>
              <w:spacing w:before="40" w:after="20" w:line="280" w:lineRule="atLeast"/>
              <w:rPr>
                <w:rFonts w:ascii="Verdana" w:hAnsi="Verdana"/>
                <w:color w:val="000000"/>
                <w:sz w:val="18"/>
                <w:szCs w:val="18"/>
              </w:rPr>
            </w:pPr>
            <w:r>
              <w:rPr>
                <w:rFonts w:ascii="Verdana" w:hAnsi="Verdana"/>
                <w:color w:val="000000"/>
                <w:sz w:val="18"/>
                <w:szCs w:val="18"/>
              </w:rPr>
              <w:t>Satrix Capped INDI</w:t>
            </w:r>
            <w:r w:rsidR="00525AD3">
              <w:rPr>
                <w:rFonts w:ascii="Verdana" w:hAnsi="Verdana"/>
                <w:color w:val="000000"/>
                <w:sz w:val="18"/>
                <w:szCs w:val="18"/>
              </w:rPr>
              <w:t xml:space="preserve"> </w:t>
            </w:r>
            <w:r>
              <w:rPr>
                <w:rFonts w:ascii="Verdana" w:hAnsi="Verdana"/>
                <w:color w:val="000000"/>
                <w:sz w:val="18"/>
                <w:szCs w:val="18"/>
              </w:rPr>
              <w:t>ETF</w:t>
            </w:r>
          </w:p>
        </w:tc>
        <w:tc>
          <w:tcPr>
            <w:tcW w:w="2126" w:type="dxa"/>
            <w:vAlign w:val="center"/>
          </w:tcPr>
          <w:p w14:paraId="66755B97" w14:textId="76B00326" w:rsidR="00E923F2" w:rsidRPr="00E923F2" w:rsidRDefault="00525AD3" w:rsidP="00812F0C">
            <w:pPr>
              <w:spacing w:before="40" w:after="20" w:line="280" w:lineRule="atLeast"/>
              <w:jc w:val="right"/>
              <w:rPr>
                <w:rFonts w:ascii="Verdana" w:hAnsi="Verdana"/>
                <w:color w:val="000000"/>
                <w:sz w:val="18"/>
                <w:szCs w:val="18"/>
              </w:rPr>
            </w:pPr>
            <w:r>
              <w:rPr>
                <w:rFonts w:ascii="Verdana" w:hAnsi="Verdana"/>
                <w:color w:val="000000"/>
                <w:sz w:val="18"/>
                <w:szCs w:val="18"/>
              </w:rPr>
              <w:t>(</w:t>
            </w:r>
            <w:r w:rsidR="00E923F2">
              <w:rPr>
                <w:rFonts w:ascii="Verdana" w:hAnsi="Verdana"/>
                <w:color w:val="000000"/>
                <w:sz w:val="18"/>
                <w:szCs w:val="18"/>
              </w:rPr>
              <w:t>295,5)</w:t>
            </w:r>
          </w:p>
        </w:tc>
      </w:tr>
      <w:tr w:rsidR="00E923F2" w:rsidRPr="00E923F2" w14:paraId="5769920A" w14:textId="77777777" w:rsidTr="006666EF">
        <w:tc>
          <w:tcPr>
            <w:tcW w:w="5386" w:type="dxa"/>
            <w:shd w:val="clear" w:color="auto" w:fill="auto"/>
          </w:tcPr>
          <w:p w14:paraId="30AE09E2" w14:textId="7920F1C2" w:rsidR="00E923F2" w:rsidRPr="00E923F2" w:rsidRDefault="00E923F2" w:rsidP="00812F0C">
            <w:pPr>
              <w:spacing w:before="40" w:after="20" w:line="280" w:lineRule="atLeast"/>
              <w:rPr>
                <w:rFonts w:ascii="Verdana" w:hAnsi="Verdana"/>
                <w:color w:val="000000"/>
                <w:sz w:val="18"/>
                <w:szCs w:val="18"/>
              </w:rPr>
            </w:pPr>
            <w:r>
              <w:rPr>
                <w:rFonts w:ascii="Verdana" w:hAnsi="Verdana"/>
                <w:color w:val="000000"/>
                <w:sz w:val="18"/>
                <w:szCs w:val="18"/>
              </w:rPr>
              <w:t>1nvest Platinum ETF</w:t>
            </w:r>
          </w:p>
        </w:tc>
        <w:tc>
          <w:tcPr>
            <w:tcW w:w="2126" w:type="dxa"/>
            <w:vAlign w:val="center"/>
          </w:tcPr>
          <w:p w14:paraId="1FBE0243" w14:textId="5975B2D4" w:rsidR="00E923F2" w:rsidRPr="00E923F2" w:rsidRDefault="00525AD3" w:rsidP="00812F0C">
            <w:pPr>
              <w:spacing w:before="40" w:after="20" w:line="280" w:lineRule="atLeast"/>
              <w:jc w:val="right"/>
              <w:rPr>
                <w:rFonts w:ascii="Verdana" w:hAnsi="Verdana"/>
                <w:color w:val="000000"/>
                <w:sz w:val="18"/>
                <w:szCs w:val="18"/>
              </w:rPr>
            </w:pPr>
            <w:r>
              <w:rPr>
                <w:rFonts w:ascii="Verdana" w:hAnsi="Verdana"/>
                <w:color w:val="000000"/>
                <w:sz w:val="18"/>
                <w:szCs w:val="18"/>
              </w:rPr>
              <w:t>(</w:t>
            </w:r>
            <w:r w:rsidR="00E923F2">
              <w:rPr>
                <w:rFonts w:ascii="Verdana" w:hAnsi="Verdana"/>
                <w:color w:val="000000"/>
                <w:sz w:val="18"/>
                <w:szCs w:val="18"/>
              </w:rPr>
              <w:t>976,8)</w:t>
            </w:r>
          </w:p>
        </w:tc>
      </w:tr>
      <w:tr w:rsidR="00E923F2" w:rsidRPr="00E923F2" w14:paraId="3ADAD6C0" w14:textId="77777777" w:rsidTr="006666EF">
        <w:tc>
          <w:tcPr>
            <w:tcW w:w="5386" w:type="dxa"/>
            <w:shd w:val="clear" w:color="auto" w:fill="auto"/>
          </w:tcPr>
          <w:p w14:paraId="007081A8" w14:textId="304F3271" w:rsidR="00E923F2" w:rsidRPr="00E923F2" w:rsidRDefault="00E923F2" w:rsidP="00812F0C">
            <w:pPr>
              <w:spacing w:before="40" w:after="20" w:line="280" w:lineRule="atLeast"/>
              <w:rPr>
                <w:rFonts w:ascii="Verdana" w:hAnsi="Verdana"/>
                <w:color w:val="000000"/>
                <w:sz w:val="18"/>
                <w:szCs w:val="18"/>
              </w:rPr>
            </w:pPr>
            <w:r>
              <w:rPr>
                <w:rFonts w:ascii="Verdana" w:hAnsi="Verdana"/>
                <w:color w:val="000000"/>
                <w:sz w:val="18"/>
                <w:szCs w:val="18"/>
              </w:rPr>
              <w:t>NewGold Platinum ETF</w:t>
            </w:r>
          </w:p>
        </w:tc>
        <w:tc>
          <w:tcPr>
            <w:tcW w:w="2126" w:type="dxa"/>
            <w:vAlign w:val="center"/>
          </w:tcPr>
          <w:p w14:paraId="772AAA79" w14:textId="5E5B0AA4" w:rsidR="00E923F2" w:rsidRPr="00E923F2" w:rsidRDefault="00E923F2" w:rsidP="00812F0C">
            <w:pPr>
              <w:spacing w:before="40" w:after="20" w:line="280" w:lineRule="atLeast"/>
              <w:jc w:val="right"/>
              <w:rPr>
                <w:rFonts w:ascii="Verdana" w:hAnsi="Verdana"/>
                <w:color w:val="000000"/>
                <w:sz w:val="18"/>
                <w:szCs w:val="18"/>
              </w:rPr>
            </w:pPr>
            <w:r>
              <w:rPr>
                <w:rFonts w:ascii="Verdana" w:hAnsi="Verdana"/>
                <w:color w:val="000000"/>
                <w:sz w:val="18"/>
                <w:szCs w:val="18"/>
              </w:rPr>
              <w:t>(987,2)</w:t>
            </w:r>
          </w:p>
        </w:tc>
      </w:tr>
      <w:tr w:rsidR="00E923F2" w:rsidRPr="006015AB" w14:paraId="48B0DE1C" w14:textId="77777777" w:rsidTr="006666EF">
        <w:trPr>
          <w:trHeight w:val="217"/>
        </w:trPr>
        <w:tc>
          <w:tcPr>
            <w:tcW w:w="7512" w:type="dxa"/>
            <w:gridSpan w:val="2"/>
            <w:shd w:val="clear" w:color="auto" w:fill="auto"/>
            <w:vAlign w:val="center"/>
          </w:tcPr>
          <w:p w14:paraId="71AE599D" w14:textId="77777777" w:rsidR="00E923F2" w:rsidRPr="006015AB" w:rsidRDefault="00E923F2" w:rsidP="00812F0C">
            <w:pPr>
              <w:spacing w:after="40" w:line="280" w:lineRule="atLeast"/>
              <w:rPr>
                <w:rFonts w:ascii="Verdana" w:hAnsi="Verdana"/>
                <w:i/>
                <w:color w:val="000000"/>
                <w:sz w:val="14"/>
                <w:szCs w:val="14"/>
              </w:rPr>
            </w:pPr>
            <w:r w:rsidRPr="006015AB">
              <w:rPr>
                <w:rFonts w:ascii="Verdana" w:hAnsi="Verdana"/>
                <w:i/>
                <w:color w:val="000000"/>
                <w:sz w:val="14"/>
                <w:szCs w:val="14"/>
              </w:rPr>
              <w:t>Source: etfSA.co.za Quarterly S</w:t>
            </w:r>
            <w:r>
              <w:rPr>
                <w:rFonts w:ascii="Verdana" w:hAnsi="Verdana"/>
                <w:i/>
                <w:color w:val="000000"/>
                <w:sz w:val="14"/>
                <w:szCs w:val="14"/>
              </w:rPr>
              <w:t>ecurities in Issue and New Capital Raised Survey March 2022).</w:t>
            </w:r>
          </w:p>
        </w:tc>
      </w:tr>
    </w:tbl>
    <w:p w14:paraId="5F80AF60" w14:textId="77777777" w:rsidR="00DD5A08" w:rsidRDefault="00DD5A08" w:rsidP="0075479F">
      <w:pPr>
        <w:spacing w:before="120" w:after="0" w:line="340" w:lineRule="atLeast"/>
        <w:jc w:val="both"/>
        <w:rPr>
          <w:rFonts w:ascii="Verdana" w:hAnsi="Verdana"/>
          <w:sz w:val="21"/>
          <w:szCs w:val="21"/>
        </w:rPr>
      </w:pPr>
    </w:p>
    <w:p w14:paraId="434D4F03" w14:textId="7140F3D5" w:rsidR="001F137C" w:rsidRDefault="00C6310E" w:rsidP="0075479F">
      <w:pPr>
        <w:spacing w:before="120" w:after="0" w:line="340" w:lineRule="atLeast"/>
        <w:jc w:val="both"/>
        <w:rPr>
          <w:rFonts w:ascii="Verdana" w:hAnsi="Verdana"/>
          <w:sz w:val="21"/>
          <w:szCs w:val="21"/>
        </w:rPr>
      </w:pPr>
      <w:r>
        <w:rPr>
          <w:rFonts w:ascii="Verdana" w:hAnsi="Verdana"/>
          <w:sz w:val="21"/>
          <w:szCs w:val="21"/>
        </w:rPr>
        <w:t>The overview of the best, and worst, individual ETPs, in terms of raising or redeeming new capital in the markets in the above Table, is in</w:t>
      </w:r>
      <w:r w:rsidR="00937453">
        <w:rPr>
          <w:rFonts w:ascii="Verdana" w:hAnsi="Verdana"/>
          <w:sz w:val="21"/>
          <w:szCs w:val="21"/>
        </w:rPr>
        <w:t>structive</w:t>
      </w:r>
      <w:r>
        <w:rPr>
          <w:rFonts w:ascii="Verdana" w:hAnsi="Verdana"/>
          <w:sz w:val="21"/>
          <w:szCs w:val="21"/>
        </w:rPr>
        <w:t>.  Most new capital was raised f</w:t>
      </w:r>
      <w:r w:rsidR="00937453">
        <w:rPr>
          <w:rFonts w:ascii="Verdana" w:hAnsi="Verdana"/>
          <w:sz w:val="21"/>
          <w:szCs w:val="21"/>
        </w:rPr>
        <w:t>o</w:t>
      </w:r>
      <w:r>
        <w:rPr>
          <w:rFonts w:ascii="Verdana" w:hAnsi="Verdana"/>
          <w:sz w:val="21"/>
          <w:szCs w:val="21"/>
        </w:rPr>
        <w:t xml:space="preserve">r foreign referenced general equity market ETFs and </w:t>
      </w:r>
      <w:r w:rsidR="00937453">
        <w:rPr>
          <w:rFonts w:ascii="Verdana" w:hAnsi="Verdana"/>
          <w:sz w:val="21"/>
          <w:szCs w:val="21"/>
        </w:rPr>
        <w:t>the biggest redemption</w:t>
      </w:r>
      <w:r w:rsidR="00C01B7D">
        <w:rPr>
          <w:rFonts w:ascii="Verdana" w:hAnsi="Verdana"/>
          <w:sz w:val="21"/>
          <w:szCs w:val="21"/>
        </w:rPr>
        <w:t>s</w:t>
      </w:r>
      <w:r w:rsidR="00937453">
        <w:rPr>
          <w:rFonts w:ascii="Verdana" w:hAnsi="Verdana"/>
          <w:sz w:val="21"/>
          <w:szCs w:val="21"/>
        </w:rPr>
        <w:t xml:space="preserve"> came</w:t>
      </w:r>
      <w:r>
        <w:rPr>
          <w:rFonts w:ascii="Verdana" w:hAnsi="Verdana"/>
          <w:sz w:val="21"/>
          <w:szCs w:val="21"/>
        </w:rPr>
        <w:t xml:space="preserve"> from precious metal ETFs.  The </w:t>
      </w:r>
      <w:r w:rsidR="00937453">
        <w:rPr>
          <w:rFonts w:ascii="Verdana" w:hAnsi="Verdana"/>
          <w:sz w:val="21"/>
          <w:szCs w:val="21"/>
        </w:rPr>
        <w:t xml:space="preserve">investment </w:t>
      </w:r>
      <w:r w:rsidR="00C01B7D">
        <w:rPr>
          <w:rFonts w:ascii="Verdana" w:hAnsi="Verdana"/>
          <w:sz w:val="21"/>
          <w:szCs w:val="21"/>
        </w:rPr>
        <w:t>performance</w:t>
      </w:r>
      <w:r w:rsidR="00937453">
        <w:rPr>
          <w:rFonts w:ascii="Verdana" w:hAnsi="Verdana"/>
          <w:sz w:val="21"/>
          <w:szCs w:val="21"/>
        </w:rPr>
        <w:t xml:space="preserve"> </w:t>
      </w:r>
      <w:r>
        <w:rPr>
          <w:rFonts w:ascii="Verdana" w:hAnsi="Verdana"/>
          <w:sz w:val="21"/>
          <w:szCs w:val="21"/>
        </w:rPr>
        <w:t xml:space="preserve">actual returns were the exact opposite, which indicates, as has been shown in the past, that the </w:t>
      </w:r>
      <w:r w:rsidR="00937453">
        <w:rPr>
          <w:rFonts w:ascii="Verdana" w:hAnsi="Verdana"/>
          <w:sz w:val="21"/>
          <w:szCs w:val="21"/>
        </w:rPr>
        <w:t xml:space="preserve">local </w:t>
      </w:r>
      <w:r>
        <w:rPr>
          <w:rFonts w:ascii="Verdana" w:hAnsi="Verdana"/>
          <w:sz w:val="21"/>
          <w:szCs w:val="21"/>
        </w:rPr>
        <w:t xml:space="preserve">market is not </w:t>
      </w:r>
      <w:r w:rsidR="00C01B7D">
        <w:rPr>
          <w:rFonts w:ascii="Verdana" w:hAnsi="Verdana"/>
          <w:sz w:val="21"/>
          <w:szCs w:val="21"/>
        </w:rPr>
        <w:t xml:space="preserve">particularly </w:t>
      </w:r>
      <w:r>
        <w:rPr>
          <w:rFonts w:ascii="Verdana" w:hAnsi="Verdana"/>
          <w:sz w:val="21"/>
          <w:szCs w:val="21"/>
        </w:rPr>
        <w:t>good a</w:t>
      </w:r>
      <w:r w:rsidR="00937453">
        <w:rPr>
          <w:rFonts w:ascii="Verdana" w:hAnsi="Verdana"/>
          <w:sz w:val="21"/>
          <w:szCs w:val="21"/>
        </w:rPr>
        <w:t>t</w:t>
      </w:r>
      <w:r>
        <w:rPr>
          <w:rFonts w:ascii="Verdana" w:hAnsi="Verdana"/>
          <w:sz w:val="21"/>
          <w:szCs w:val="21"/>
        </w:rPr>
        <w:t xml:space="preserve"> “top down” investment </w:t>
      </w:r>
      <w:r w:rsidR="00937453">
        <w:rPr>
          <w:rFonts w:ascii="Verdana" w:hAnsi="Verdana"/>
          <w:sz w:val="21"/>
          <w:szCs w:val="21"/>
        </w:rPr>
        <w:t>strategies</w:t>
      </w:r>
      <w:r>
        <w:rPr>
          <w:rFonts w:ascii="Verdana" w:hAnsi="Verdana"/>
          <w:sz w:val="21"/>
          <w:szCs w:val="21"/>
        </w:rPr>
        <w:t xml:space="preserve">. </w:t>
      </w:r>
    </w:p>
    <w:p w14:paraId="14C62321" w14:textId="5CE8EF0D" w:rsidR="00C6310E" w:rsidRPr="00C6310E" w:rsidRDefault="00937453" w:rsidP="0075479F">
      <w:pPr>
        <w:spacing w:before="120" w:after="0" w:line="340" w:lineRule="atLeast"/>
        <w:jc w:val="both"/>
        <w:rPr>
          <w:rFonts w:ascii="Verdana" w:hAnsi="Verdana"/>
          <w:sz w:val="21"/>
          <w:szCs w:val="21"/>
        </w:rPr>
      </w:pPr>
      <w:r>
        <w:rPr>
          <w:rFonts w:ascii="Verdana" w:hAnsi="Verdana"/>
          <w:sz w:val="21"/>
          <w:szCs w:val="21"/>
        </w:rPr>
        <w:t>I</w:t>
      </w:r>
      <w:r w:rsidR="00C6310E">
        <w:rPr>
          <w:rFonts w:ascii="Verdana" w:hAnsi="Verdana"/>
          <w:sz w:val="21"/>
          <w:szCs w:val="21"/>
        </w:rPr>
        <w:t xml:space="preserve">nvestment in passive investment products is typically </w:t>
      </w:r>
      <w:r>
        <w:rPr>
          <w:rFonts w:ascii="Verdana" w:hAnsi="Verdana"/>
          <w:sz w:val="21"/>
          <w:szCs w:val="21"/>
        </w:rPr>
        <w:t>enhanced</w:t>
      </w:r>
      <w:r w:rsidR="00C6310E">
        <w:rPr>
          <w:rFonts w:ascii="Verdana" w:hAnsi="Verdana"/>
          <w:sz w:val="21"/>
          <w:szCs w:val="21"/>
        </w:rPr>
        <w:t xml:space="preserve"> by “big picture” choices as an </w:t>
      </w:r>
      <w:r>
        <w:rPr>
          <w:rFonts w:ascii="Verdana" w:hAnsi="Verdana"/>
          <w:sz w:val="21"/>
          <w:szCs w:val="21"/>
        </w:rPr>
        <w:t xml:space="preserve">essential element </w:t>
      </w:r>
      <w:r w:rsidR="00A143F4">
        <w:rPr>
          <w:rFonts w:ascii="Verdana" w:hAnsi="Verdana"/>
          <w:sz w:val="21"/>
          <w:szCs w:val="21"/>
        </w:rPr>
        <w:t>of a strategic asset allocation strategy</w:t>
      </w:r>
      <w:r>
        <w:rPr>
          <w:rFonts w:ascii="Verdana" w:hAnsi="Verdana"/>
          <w:sz w:val="21"/>
          <w:szCs w:val="21"/>
        </w:rPr>
        <w:t xml:space="preserve">.  Large </w:t>
      </w:r>
      <w:r w:rsidR="0075479F">
        <w:rPr>
          <w:rFonts w:ascii="Verdana" w:hAnsi="Verdana"/>
          <w:sz w:val="21"/>
          <w:szCs w:val="21"/>
        </w:rPr>
        <w:t>market cap index tracking ETFs are ideal for top down driven asset allocation tactics.  T</w:t>
      </w:r>
      <w:r w:rsidR="00A143F4">
        <w:rPr>
          <w:rFonts w:ascii="Verdana" w:hAnsi="Verdana"/>
          <w:sz w:val="21"/>
          <w:szCs w:val="21"/>
        </w:rPr>
        <w:t>he South African asset management industry</w:t>
      </w:r>
      <w:r w:rsidR="0075479F">
        <w:rPr>
          <w:rFonts w:ascii="Verdana" w:hAnsi="Verdana"/>
          <w:sz w:val="21"/>
          <w:szCs w:val="21"/>
        </w:rPr>
        <w:t xml:space="preserve">, as evidenced by the </w:t>
      </w:r>
      <w:r w:rsidR="00C01B7D">
        <w:rPr>
          <w:rFonts w:ascii="Verdana" w:hAnsi="Verdana"/>
          <w:sz w:val="21"/>
          <w:szCs w:val="21"/>
        </w:rPr>
        <w:t>creations and redemptions of</w:t>
      </w:r>
      <w:r w:rsidR="0075479F">
        <w:rPr>
          <w:rFonts w:ascii="Verdana" w:hAnsi="Verdana"/>
          <w:sz w:val="21"/>
          <w:szCs w:val="21"/>
        </w:rPr>
        <w:t xml:space="preserve"> Exchange Traded Products, continues to  miss major big picture changes in markets</w:t>
      </w:r>
      <w:r w:rsidR="00A143F4">
        <w:rPr>
          <w:rFonts w:ascii="Verdana" w:hAnsi="Verdana"/>
          <w:sz w:val="21"/>
          <w:szCs w:val="21"/>
        </w:rPr>
        <w:t xml:space="preserve">. </w:t>
      </w:r>
    </w:p>
    <w:p w14:paraId="7AF34A1E" w14:textId="700447B3" w:rsidR="006015AB" w:rsidRPr="00617B74" w:rsidRDefault="003F5A9C" w:rsidP="00A143F4">
      <w:pPr>
        <w:spacing w:before="120" w:after="240" w:line="320" w:lineRule="atLeast"/>
        <w:rPr>
          <w:rFonts w:ascii="Verdana" w:hAnsi="Verdana"/>
          <w:b/>
          <w:bCs/>
          <w:color w:val="C00000"/>
        </w:rPr>
      </w:pPr>
      <w:r w:rsidRPr="007A7050">
        <w:rPr>
          <w:rFonts w:ascii="Verdana" w:hAnsi="Verdana"/>
          <w:b/>
          <w:bCs/>
          <w:color w:val="C00000"/>
        </w:rPr>
        <w:t>Snapshot of the SA ETP Industry as at 3</w:t>
      </w:r>
      <w:r w:rsidR="00BE1EE9">
        <w:rPr>
          <w:rFonts w:ascii="Verdana" w:hAnsi="Verdana"/>
          <w:b/>
          <w:bCs/>
          <w:color w:val="C00000"/>
        </w:rPr>
        <w:t>1</w:t>
      </w:r>
      <w:r w:rsidRPr="007A7050">
        <w:rPr>
          <w:rFonts w:ascii="Verdana" w:hAnsi="Verdana"/>
          <w:b/>
          <w:bCs/>
          <w:color w:val="C00000"/>
        </w:rPr>
        <w:t xml:space="preserve"> </w:t>
      </w:r>
      <w:r w:rsidR="00A143F4">
        <w:rPr>
          <w:rFonts w:ascii="Verdana" w:hAnsi="Verdana"/>
          <w:b/>
          <w:bCs/>
          <w:color w:val="C00000"/>
        </w:rPr>
        <w:t>March</w:t>
      </w:r>
      <w:r w:rsidRPr="007A7050">
        <w:rPr>
          <w:rFonts w:ascii="Verdana" w:hAnsi="Verdana"/>
          <w:b/>
          <w:bCs/>
          <w:color w:val="C00000"/>
        </w:rPr>
        <w:t xml:space="preserve"> 20</w:t>
      </w:r>
      <w:r>
        <w:rPr>
          <w:rFonts w:ascii="Verdana" w:hAnsi="Verdana"/>
          <w:b/>
          <w:bCs/>
          <w:color w:val="C00000"/>
        </w:rPr>
        <w:t>2</w:t>
      </w:r>
      <w:r w:rsidR="00A143F4">
        <w:rPr>
          <w:rFonts w:ascii="Verdana" w:hAnsi="Verdana"/>
          <w:b/>
          <w:bCs/>
          <w:color w:val="C00000"/>
        </w:rPr>
        <w:t>2</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
        <w:gridCol w:w="1701"/>
        <w:gridCol w:w="993"/>
        <w:gridCol w:w="992"/>
        <w:gridCol w:w="1417"/>
        <w:gridCol w:w="1418"/>
        <w:gridCol w:w="1843"/>
      </w:tblGrid>
      <w:tr w:rsidR="006015AB" w:rsidRPr="00AB6CBE" w14:paraId="1D20FF11" w14:textId="77777777" w:rsidTr="001C1A83">
        <w:tc>
          <w:tcPr>
            <w:tcW w:w="9214" w:type="dxa"/>
            <w:gridSpan w:val="8"/>
            <w:shd w:val="clear" w:color="auto" w:fill="C00000"/>
            <w:vAlign w:val="center"/>
          </w:tcPr>
          <w:p w14:paraId="626F61D9" w14:textId="77777777" w:rsidR="006015AB" w:rsidRPr="003B4F95" w:rsidRDefault="006015AB" w:rsidP="00420382">
            <w:pPr>
              <w:spacing w:before="40" w:after="40" w:line="300" w:lineRule="atLeast"/>
              <w:jc w:val="center"/>
              <w:rPr>
                <w:rFonts w:ascii="Verdana" w:hAnsi="Verdana"/>
                <w:b/>
                <w:color w:val="FFFFFF"/>
                <w:sz w:val="18"/>
                <w:szCs w:val="18"/>
              </w:rPr>
            </w:pPr>
            <w:r w:rsidRPr="003B4F95">
              <w:rPr>
                <w:rFonts w:ascii="Verdana" w:hAnsi="Verdana"/>
                <w:b/>
                <w:color w:val="FFFFFF"/>
                <w:sz w:val="18"/>
                <w:szCs w:val="18"/>
              </w:rPr>
              <w:t>The South African Exchange Traded Product Industry</w:t>
            </w:r>
          </w:p>
          <w:p w14:paraId="6609B2E6" w14:textId="6CCCD7BF" w:rsidR="006015AB" w:rsidRPr="003B4F95" w:rsidRDefault="006015AB" w:rsidP="00420382">
            <w:pPr>
              <w:spacing w:before="40" w:after="40" w:line="300" w:lineRule="atLeast"/>
              <w:jc w:val="center"/>
              <w:rPr>
                <w:rFonts w:ascii="Verdana" w:hAnsi="Verdana"/>
                <w:b/>
                <w:color w:val="FFFFFF"/>
                <w:sz w:val="18"/>
                <w:szCs w:val="18"/>
              </w:rPr>
            </w:pPr>
            <w:r w:rsidRPr="003B4F95">
              <w:rPr>
                <w:rFonts w:ascii="Verdana" w:hAnsi="Verdana"/>
                <w:b/>
                <w:color w:val="FFFFFF"/>
                <w:sz w:val="18"/>
                <w:szCs w:val="18"/>
              </w:rPr>
              <w:t xml:space="preserve">(as at </w:t>
            </w:r>
            <w:r>
              <w:rPr>
                <w:rFonts w:ascii="Verdana" w:hAnsi="Verdana"/>
                <w:b/>
                <w:color w:val="FFFFFF"/>
                <w:sz w:val="18"/>
                <w:szCs w:val="18"/>
              </w:rPr>
              <w:t>3</w:t>
            </w:r>
            <w:r w:rsidR="00BE1EE9">
              <w:rPr>
                <w:rFonts w:ascii="Verdana" w:hAnsi="Verdana"/>
                <w:b/>
                <w:color w:val="FFFFFF"/>
                <w:sz w:val="18"/>
                <w:szCs w:val="18"/>
              </w:rPr>
              <w:t>1</w:t>
            </w:r>
            <w:r>
              <w:rPr>
                <w:rFonts w:ascii="Verdana" w:hAnsi="Verdana"/>
                <w:b/>
                <w:color w:val="FFFFFF"/>
                <w:sz w:val="18"/>
                <w:szCs w:val="18"/>
              </w:rPr>
              <w:t xml:space="preserve"> </w:t>
            </w:r>
            <w:r w:rsidR="00A143F4">
              <w:rPr>
                <w:rFonts w:ascii="Verdana" w:hAnsi="Verdana"/>
                <w:b/>
                <w:color w:val="FFFFFF"/>
                <w:sz w:val="18"/>
                <w:szCs w:val="18"/>
              </w:rPr>
              <w:t>March</w:t>
            </w:r>
            <w:r w:rsidRPr="003B4F95">
              <w:rPr>
                <w:rFonts w:ascii="Verdana" w:hAnsi="Verdana"/>
                <w:b/>
                <w:color w:val="FFFFFF"/>
                <w:sz w:val="18"/>
                <w:szCs w:val="18"/>
              </w:rPr>
              <w:t xml:space="preserve"> 20</w:t>
            </w:r>
            <w:r>
              <w:rPr>
                <w:rFonts w:ascii="Verdana" w:hAnsi="Verdana"/>
                <w:b/>
                <w:color w:val="FFFFFF"/>
                <w:sz w:val="18"/>
                <w:szCs w:val="18"/>
              </w:rPr>
              <w:t>21</w:t>
            </w:r>
            <w:r w:rsidRPr="003B4F95">
              <w:rPr>
                <w:rFonts w:ascii="Verdana" w:hAnsi="Verdana"/>
                <w:b/>
                <w:color w:val="FFFFFF"/>
                <w:sz w:val="18"/>
                <w:szCs w:val="18"/>
              </w:rPr>
              <w:t>)</w:t>
            </w:r>
          </w:p>
        </w:tc>
      </w:tr>
      <w:tr w:rsidR="006015AB" w:rsidRPr="00AB6CBE" w14:paraId="76BF6CAD" w14:textId="77777777" w:rsidTr="001C1A83">
        <w:trPr>
          <w:trHeight w:val="311"/>
        </w:trPr>
        <w:tc>
          <w:tcPr>
            <w:tcW w:w="567" w:type="dxa"/>
            <w:vMerge w:val="restart"/>
            <w:shd w:val="clear" w:color="auto" w:fill="4C4C4C"/>
            <w:vAlign w:val="center"/>
          </w:tcPr>
          <w:p w14:paraId="15E5FD07" w14:textId="77777777" w:rsidR="006015AB" w:rsidRPr="003B4F95" w:rsidRDefault="006015AB" w:rsidP="00420382">
            <w:pPr>
              <w:spacing w:before="40" w:after="40" w:line="300" w:lineRule="atLeast"/>
              <w:rPr>
                <w:rFonts w:ascii="Verdana" w:hAnsi="Verdana"/>
                <w:b/>
                <w:color w:val="FFFFFF"/>
                <w:sz w:val="18"/>
                <w:szCs w:val="18"/>
              </w:rPr>
            </w:pPr>
          </w:p>
        </w:tc>
        <w:tc>
          <w:tcPr>
            <w:tcW w:w="1984" w:type="dxa"/>
            <w:gridSpan w:val="2"/>
            <w:vMerge w:val="restart"/>
            <w:shd w:val="clear" w:color="auto" w:fill="4C4C4C"/>
            <w:vAlign w:val="center"/>
          </w:tcPr>
          <w:p w14:paraId="3328C4D1" w14:textId="77777777" w:rsidR="006015AB" w:rsidRPr="003B4F95" w:rsidRDefault="006015AB" w:rsidP="00420382">
            <w:pPr>
              <w:spacing w:before="40" w:after="40" w:line="300" w:lineRule="atLeast"/>
              <w:rPr>
                <w:rFonts w:ascii="Verdana" w:hAnsi="Verdana"/>
                <w:b/>
                <w:color w:val="FFFFFF"/>
                <w:sz w:val="18"/>
                <w:szCs w:val="18"/>
              </w:rPr>
            </w:pPr>
            <w:r w:rsidRPr="003B4F95">
              <w:rPr>
                <w:rFonts w:ascii="Verdana" w:hAnsi="Verdana"/>
                <w:b/>
                <w:color w:val="FFFFFF"/>
                <w:sz w:val="18"/>
                <w:szCs w:val="18"/>
              </w:rPr>
              <w:t>Issuer</w:t>
            </w:r>
          </w:p>
        </w:tc>
        <w:tc>
          <w:tcPr>
            <w:tcW w:w="1985" w:type="dxa"/>
            <w:gridSpan w:val="2"/>
            <w:shd w:val="clear" w:color="auto" w:fill="4C4C4C"/>
            <w:vAlign w:val="center"/>
          </w:tcPr>
          <w:p w14:paraId="3E136682" w14:textId="77777777" w:rsidR="006015AB" w:rsidRPr="003B4F95" w:rsidRDefault="006015AB" w:rsidP="00420382">
            <w:pPr>
              <w:spacing w:before="40" w:after="40" w:line="300" w:lineRule="atLeast"/>
              <w:jc w:val="center"/>
              <w:rPr>
                <w:rFonts w:ascii="Verdana" w:hAnsi="Verdana"/>
                <w:b/>
                <w:color w:val="FFFFFF"/>
                <w:sz w:val="18"/>
                <w:szCs w:val="18"/>
              </w:rPr>
            </w:pPr>
            <w:r>
              <w:rPr>
                <w:rFonts w:ascii="Verdana" w:hAnsi="Verdana"/>
                <w:b/>
                <w:color w:val="FFFFFF"/>
                <w:sz w:val="18"/>
                <w:szCs w:val="18"/>
              </w:rPr>
              <w:t>Number of Products</w:t>
            </w:r>
          </w:p>
        </w:tc>
        <w:tc>
          <w:tcPr>
            <w:tcW w:w="2835" w:type="dxa"/>
            <w:gridSpan w:val="2"/>
            <w:shd w:val="clear" w:color="auto" w:fill="4C4C4C"/>
            <w:vAlign w:val="center"/>
          </w:tcPr>
          <w:p w14:paraId="0950683D" w14:textId="77777777" w:rsidR="006015AB" w:rsidRPr="003B4F95" w:rsidRDefault="006015AB" w:rsidP="00420382">
            <w:pPr>
              <w:spacing w:before="40" w:after="40" w:line="300" w:lineRule="atLeast"/>
              <w:jc w:val="center"/>
              <w:rPr>
                <w:rFonts w:ascii="Verdana" w:hAnsi="Verdana"/>
                <w:b/>
                <w:color w:val="FFFFFF"/>
                <w:sz w:val="18"/>
                <w:szCs w:val="18"/>
              </w:rPr>
            </w:pPr>
            <w:r w:rsidRPr="003B4F95">
              <w:rPr>
                <w:rFonts w:ascii="Verdana" w:hAnsi="Verdana"/>
                <w:b/>
                <w:color w:val="FFFFFF"/>
                <w:sz w:val="18"/>
                <w:szCs w:val="18"/>
              </w:rPr>
              <w:t>Value (Market Cap) of Shares in Issue (Rm)</w:t>
            </w:r>
          </w:p>
        </w:tc>
        <w:tc>
          <w:tcPr>
            <w:tcW w:w="1843" w:type="dxa"/>
            <w:vMerge w:val="restart"/>
            <w:shd w:val="clear" w:color="auto" w:fill="4C4C4C"/>
            <w:vAlign w:val="center"/>
          </w:tcPr>
          <w:p w14:paraId="6CBBABEC" w14:textId="77777777" w:rsidR="006015AB" w:rsidRPr="003B4F95" w:rsidRDefault="006015AB" w:rsidP="00420382">
            <w:pPr>
              <w:spacing w:before="40" w:after="40" w:line="300" w:lineRule="atLeast"/>
              <w:jc w:val="right"/>
              <w:rPr>
                <w:rFonts w:ascii="Verdana" w:hAnsi="Verdana"/>
                <w:b/>
                <w:color w:val="FFFFFF"/>
                <w:sz w:val="18"/>
                <w:szCs w:val="18"/>
              </w:rPr>
            </w:pPr>
            <w:r>
              <w:rPr>
                <w:rFonts w:ascii="Verdana" w:hAnsi="Verdana"/>
                <w:b/>
                <w:color w:val="FFFFFF"/>
                <w:sz w:val="18"/>
                <w:szCs w:val="18"/>
              </w:rPr>
              <w:t>Total Market Capitalisation</w:t>
            </w:r>
            <w:r w:rsidRPr="003B4F95">
              <w:rPr>
                <w:rFonts w:ascii="Verdana" w:hAnsi="Verdana"/>
                <w:b/>
                <w:color w:val="FFFFFF"/>
                <w:sz w:val="18"/>
                <w:szCs w:val="18"/>
              </w:rPr>
              <w:t xml:space="preserve"> (Rm)</w:t>
            </w:r>
          </w:p>
        </w:tc>
      </w:tr>
      <w:tr w:rsidR="006015AB" w:rsidRPr="00AB6CBE" w14:paraId="17CB071B" w14:textId="77777777" w:rsidTr="001C1A83">
        <w:trPr>
          <w:trHeight w:val="311"/>
        </w:trPr>
        <w:tc>
          <w:tcPr>
            <w:tcW w:w="567" w:type="dxa"/>
            <w:vMerge/>
            <w:shd w:val="clear" w:color="auto" w:fill="4C4C4C"/>
            <w:vAlign w:val="center"/>
          </w:tcPr>
          <w:p w14:paraId="28B91113" w14:textId="77777777" w:rsidR="006015AB" w:rsidRPr="003B4F95" w:rsidRDefault="006015AB" w:rsidP="00420382">
            <w:pPr>
              <w:spacing w:before="40" w:after="40" w:line="300" w:lineRule="atLeast"/>
              <w:rPr>
                <w:rFonts w:ascii="Verdana" w:hAnsi="Verdana"/>
                <w:b/>
                <w:color w:val="FFFFFF"/>
                <w:sz w:val="18"/>
                <w:szCs w:val="18"/>
              </w:rPr>
            </w:pPr>
          </w:p>
        </w:tc>
        <w:tc>
          <w:tcPr>
            <w:tcW w:w="1984" w:type="dxa"/>
            <w:gridSpan w:val="2"/>
            <w:vMerge/>
            <w:shd w:val="clear" w:color="auto" w:fill="4C4C4C"/>
          </w:tcPr>
          <w:p w14:paraId="5ED0D2DA" w14:textId="77777777" w:rsidR="006015AB" w:rsidRPr="003B4F95" w:rsidRDefault="006015AB" w:rsidP="00420382">
            <w:pPr>
              <w:spacing w:before="40" w:after="40" w:line="300" w:lineRule="atLeast"/>
              <w:rPr>
                <w:rFonts w:ascii="Verdana" w:hAnsi="Verdana"/>
                <w:b/>
                <w:color w:val="FFFFFF"/>
                <w:sz w:val="18"/>
                <w:szCs w:val="18"/>
              </w:rPr>
            </w:pPr>
          </w:p>
        </w:tc>
        <w:tc>
          <w:tcPr>
            <w:tcW w:w="993" w:type="dxa"/>
            <w:shd w:val="clear" w:color="auto" w:fill="4C4C4C"/>
            <w:vAlign w:val="center"/>
          </w:tcPr>
          <w:p w14:paraId="0C35E3F1" w14:textId="77777777" w:rsidR="006015AB" w:rsidRPr="003B4F95" w:rsidRDefault="006015AB" w:rsidP="00420382">
            <w:pPr>
              <w:spacing w:before="40" w:after="40" w:line="300" w:lineRule="atLeast"/>
              <w:jc w:val="center"/>
              <w:rPr>
                <w:rFonts w:ascii="Verdana" w:hAnsi="Verdana"/>
                <w:b/>
                <w:color w:val="FFFFFF"/>
                <w:sz w:val="18"/>
                <w:szCs w:val="18"/>
              </w:rPr>
            </w:pPr>
            <w:r w:rsidRPr="003B4F95">
              <w:rPr>
                <w:rFonts w:ascii="Verdana" w:hAnsi="Verdana"/>
                <w:b/>
                <w:color w:val="FFFFFF"/>
                <w:sz w:val="18"/>
                <w:szCs w:val="18"/>
              </w:rPr>
              <w:t>ETFs</w:t>
            </w:r>
          </w:p>
        </w:tc>
        <w:tc>
          <w:tcPr>
            <w:tcW w:w="992" w:type="dxa"/>
            <w:shd w:val="clear" w:color="auto" w:fill="4C4C4C"/>
            <w:vAlign w:val="center"/>
          </w:tcPr>
          <w:p w14:paraId="0A7659DD" w14:textId="77777777" w:rsidR="006015AB" w:rsidRPr="003B4F95" w:rsidRDefault="006015AB" w:rsidP="00420382">
            <w:pPr>
              <w:spacing w:before="40" w:after="40" w:line="300" w:lineRule="atLeast"/>
              <w:jc w:val="center"/>
              <w:rPr>
                <w:rFonts w:ascii="Verdana" w:hAnsi="Verdana"/>
                <w:b/>
                <w:color w:val="FFFFFF"/>
                <w:sz w:val="18"/>
                <w:szCs w:val="18"/>
              </w:rPr>
            </w:pPr>
            <w:r>
              <w:rPr>
                <w:rFonts w:ascii="Verdana" w:hAnsi="Verdana"/>
                <w:b/>
                <w:color w:val="FFFFFF"/>
                <w:sz w:val="18"/>
                <w:szCs w:val="18"/>
              </w:rPr>
              <w:t>ETN</w:t>
            </w:r>
            <w:r w:rsidRPr="003B4F95">
              <w:rPr>
                <w:rFonts w:ascii="Verdana" w:hAnsi="Verdana"/>
                <w:b/>
                <w:color w:val="FFFFFF"/>
                <w:sz w:val="18"/>
                <w:szCs w:val="18"/>
              </w:rPr>
              <w:t>s</w:t>
            </w:r>
          </w:p>
        </w:tc>
        <w:tc>
          <w:tcPr>
            <w:tcW w:w="1417" w:type="dxa"/>
            <w:shd w:val="clear" w:color="auto" w:fill="4C4C4C"/>
            <w:vAlign w:val="center"/>
          </w:tcPr>
          <w:p w14:paraId="7962276F" w14:textId="77777777" w:rsidR="006015AB" w:rsidRPr="003B4F95" w:rsidRDefault="006015AB" w:rsidP="00420382">
            <w:pPr>
              <w:spacing w:before="40" w:after="40" w:line="300" w:lineRule="atLeast"/>
              <w:jc w:val="right"/>
              <w:rPr>
                <w:rFonts w:ascii="Verdana" w:hAnsi="Verdana"/>
                <w:b/>
                <w:color w:val="FFFFFF"/>
                <w:sz w:val="18"/>
                <w:szCs w:val="18"/>
              </w:rPr>
            </w:pPr>
            <w:r w:rsidRPr="003B4F95">
              <w:rPr>
                <w:rFonts w:ascii="Verdana" w:hAnsi="Verdana"/>
                <w:b/>
                <w:color w:val="FFFFFF"/>
                <w:sz w:val="18"/>
                <w:szCs w:val="18"/>
              </w:rPr>
              <w:t>ETFs</w:t>
            </w:r>
          </w:p>
        </w:tc>
        <w:tc>
          <w:tcPr>
            <w:tcW w:w="1418" w:type="dxa"/>
            <w:shd w:val="clear" w:color="auto" w:fill="4C4C4C"/>
            <w:vAlign w:val="center"/>
          </w:tcPr>
          <w:p w14:paraId="458FB759" w14:textId="77777777" w:rsidR="006015AB" w:rsidRPr="003B4F95" w:rsidRDefault="006015AB" w:rsidP="00420382">
            <w:pPr>
              <w:spacing w:before="40" w:after="40" w:line="300" w:lineRule="atLeast"/>
              <w:jc w:val="right"/>
              <w:rPr>
                <w:rFonts w:ascii="Verdana" w:hAnsi="Verdana"/>
                <w:b/>
                <w:color w:val="FFFFFF"/>
                <w:sz w:val="18"/>
                <w:szCs w:val="18"/>
              </w:rPr>
            </w:pPr>
            <w:r w:rsidRPr="003B4F95">
              <w:rPr>
                <w:rFonts w:ascii="Verdana" w:hAnsi="Verdana"/>
                <w:b/>
                <w:color w:val="FFFFFF"/>
                <w:sz w:val="18"/>
                <w:szCs w:val="18"/>
              </w:rPr>
              <w:t>ETNs</w:t>
            </w:r>
          </w:p>
        </w:tc>
        <w:tc>
          <w:tcPr>
            <w:tcW w:w="1843" w:type="dxa"/>
            <w:vMerge/>
            <w:shd w:val="clear" w:color="auto" w:fill="4C4C4C"/>
            <w:vAlign w:val="center"/>
          </w:tcPr>
          <w:p w14:paraId="3579AC12" w14:textId="77777777" w:rsidR="006015AB" w:rsidRPr="003B4F95" w:rsidRDefault="006015AB" w:rsidP="00420382">
            <w:pPr>
              <w:spacing w:before="40" w:after="40" w:line="300" w:lineRule="atLeast"/>
              <w:jc w:val="right"/>
              <w:rPr>
                <w:rFonts w:ascii="Verdana" w:hAnsi="Verdana"/>
                <w:b/>
                <w:color w:val="FFFFFF"/>
                <w:sz w:val="18"/>
                <w:szCs w:val="18"/>
              </w:rPr>
            </w:pPr>
          </w:p>
        </w:tc>
      </w:tr>
      <w:tr w:rsidR="003C4C24" w:rsidRPr="00AB6CBE" w14:paraId="4B891F5E" w14:textId="77777777" w:rsidTr="001C1A83">
        <w:tc>
          <w:tcPr>
            <w:tcW w:w="567" w:type="dxa"/>
            <w:shd w:val="clear" w:color="auto" w:fill="auto"/>
          </w:tcPr>
          <w:p w14:paraId="4B77F61A" w14:textId="77777777" w:rsidR="003C4C24" w:rsidRPr="00771D6F" w:rsidRDefault="003C4C24" w:rsidP="003C4C24">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54291318" w14:textId="2CB37C84" w:rsidR="003C4C24" w:rsidRPr="003B4F95" w:rsidRDefault="003C4C24" w:rsidP="003C4C24">
            <w:pPr>
              <w:spacing w:before="40" w:after="40" w:line="300" w:lineRule="atLeast"/>
              <w:rPr>
                <w:rFonts w:ascii="Verdana" w:hAnsi="Verdana"/>
                <w:color w:val="000000"/>
                <w:sz w:val="18"/>
                <w:szCs w:val="18"/>
              </w:rPr>
            </w:pPr>
            <w:r w:rsidRPr="003B4F95">
              <w:rPr>
                <w:rFonts w:ascii="Verdana" w:hAnsi="Verdana"/>
                <w:color w:val="000000"/>
                <w:sz w:val="18"/>
                <w:szCs w:val="18"/>
              </w:rPr>
              <w:t>Satrix Managers</w:t>
            </w:r>
          </w:p>
        </w:tc>
        <w:tc>
          <w:tcPr>
            <w:tcW w:w="993" w:type="dxa"/>
            <w:shd w:val="clear" w:color="auto" w:fill="auto"/>
            <w:vAlign w:val="center"/>
          </w:tcPr>
          <w:p w14:paraId="46CE5CC8" w14:textId="0CB9B9E9" w:rsidR="003C4C24" w:rsidRDefault="003C4C24" w:rsidP="003C4C24">
            <w:pPr>
              <w:spacing w:before="40" w:after="40" w:line="300" w:lineRule="atLeast"/>
              <w:jc w:val="center"/>
              <w:rPr>
                <w:rFonts w:ascii="Verdana" w:hAnsi="Verdana"/>
                <w:color w:val="000000"/>
                <w:sz w:val="18"/>
                <w:szCs w:val="18"/>
              </w:rPr>
            </w:pPr>
            <w:r>
              <w:rPr>
                <w:rFonts w:ascii="Verdana" w:hAnsi="Verdana"/>
                <w:color w:val="000000"/>
                <w:sz w:val="18"/>
                <w:szCs w:val="18"/>
              </w:rPr>
              <w:t>24</w:t>
            </w:r>
          </w:p>
        </w:tc>
        <w:tc>
          <w:tcPr>
            <w:tcW w:w="992" w:type="dxa"/>
            <w:shd w:val="clear" w:color="auto" w:fill="auto"/>
            <w:vAlign w:val="center"/>
          </w:tcPr>
          <w:p w14:paraId="75CA2F0F" w14:textId="25DAB28B" w:rsidR="003C4C24" w:rsidRDefault="003C4C24" w:rsidP="003C4C24">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687C3A73" w14:textId="0B713DE9" w:rsidR="003C4C24" w:rsidRDefault="003C4C24" w:rsidP="003C4C24">
            <w:pPr>
              <w:spacing w:before="40" w:after="40" w:line="300" w:lineRule="atLeast"/>
              <w:jc w:val="right"/>
              <w:rPr>
                <w:rFonts w:ascii="Verdana" w:hAnsi="Verdana"/>
                <w:color w:val="000000"/>
                <w:sz w:val="18"/>
                <w:szCs w:val="18"/>
              </w:rPr>
            </w:pPr>
            <w:r>
              <w:rPr>
                <w:rFonts w:ascii="Verdana" w:hAnsi="Verdana"/>
                <w:color w:val="000000"/>
                <w:sz w:val="18"/>
                <w:szCs w:val="18"/>
              </w:rPr>
              <w:t>37 520,8</w:t>
            </w:r>
          </w:p>
        </w:tc>
        <w:tc>
          <w:tcPr>
            <w:tcW w:w="1418" w:type="dxa"/>
            <w:vAlign w:val="center"/>
          </w:tcPr>
          <w:p w14:paraId="00DB2C1E" w14:textId="46B70B36" w:rsidR="003C4C24" w:rsidRDefault="003C4C24" w:rsidP="003C4C24">
            <w:pPr>
              <w:spacing w:before="40" w:after="40" w:line="30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7338224F" w14:textId="27F8F436" w:rsidR="003C4C24" w:rsidRDefault="003C4C24" w:rsidP="003C4C24">
            <w:pPr>
              <w:spacing w:before="40" w:after="40" w:line="300" w:lineRule="atLeast"/>
              <w:jc w:val="right"/>
              <w:rPr>
                <w:rFonts w:ascii="Verdana" w:hAnsi="Verdana"/>
                <w:color w:val="000000"/>
                <w:sz w:val="18"/>
                <w:szCs w:val="18"/>
              </w:rPr>
            </w:pPr>
            <w:r>
              <w:rPr>
                <w:rFonts w:ascii="Verdana" w:hAnsi="Verdana"/>
                <w:color w:val="000000"/>
                <w:sz w:val="18"/>
                <w:szCs w:val="18"/>
              </w:rPr>
              <w:t>37 520,8</w:t>
            </w:r>
          </w:p>
        </w:tc>
      </w:tr>
      <w:tr w:rsidR="003C4C24" w:rsidRPr="00AB6CBE" w14:paraId="0FE5F3BE" w14:textId="77777777" w:rsidTr="001C1A83">
        <w:tc>
          <w:tcPr>
            <w:tcW w:w="567" w:type="dxa"/>
            <w:shd w:val="clear" w:color="auto" w:fill="auto"/>
          </w:tcPr>
          <w:p w14:paraId="3512065C" w14:textId="77777777" w:rsidR="003C4C24" w:rsidRPr="00771D6F" w:rsidRDefault="003C4C24" w:rsidP="003C4C24">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0F8AB803" w14:textId="34697103" w:rsidR="003C4C24" w:rsidRPr="003B4F95" w:rsidRDefault="003C4C24" w:rsidP="003C4C24">
            <w:pPr>
              <w:spacing w:before="40" w:after="40" w:line="300" w:lineRule="atLeast"/>
              <w:rPr>
                <w:rFonts w:ascii="Verdana" w:hAnsi="Verdana"/>
                <w:color w:val="000000"/>
                <w:sz w:val="18"/>
                <w:szCs w:val="18"/>
              </w:rPr>
            </w:pPr>
            <w:r>
              <w:rPr>
                <w:rFonts w:ascii="Verdana" w:hAnsi="Verdana"/>
                <w:color w:val="000000"/>
                <w:sz w:val="18"/>
                <w:szCs w:val="18"/>
              </w:rPr>
              <w:t>Sygnia Itrix</w:t>
            </w:r>
          </w:p>
        </w:tc>
        <w:tc>
          <w:tcPr>
            <w:tcW w:w="993" w:type="dxa"/>
            <w:shd w:val="clear" w:color="auto" w:fill="auto"/>
            <w:vAlign w:val="center"/>
          </w:tcPr>
          <w:p w14:paraId="57C21498" w14:textId="6C832D2F" w:rsidR="003C4C24" w:rsidRPr="003B4F95" w:rsidRDefault="003C4C24" w:rsidP="003C4C24">
            <w:pPr>
              <w:spacing w:before="40" w:after="40" w:line="300" w:lineRule="atLeast"/>
              <w:jc w:val="center"/>
              <w:rPr>
                <w:rFonts w:ascii="Verdana" w:hAnsi="Verdana"/>
                <w:color w:val="000000"/>
                <w:sz w:val="18"/>
                <w:szCs w:val="18"/>
              </w:rPr>
            </w:pPr>
            <w:r>
              <w:rPr>
                <w:rFonts w:ascii="Verdana" w:hAnsi="Verdana"/>
                <w:color w:val="000000"/>
                <w:sz w:val="18"/>
                <w:szCs w:val="18"/>
              </w:rPr>
              <w:t>13</w:t>
            </w:r>
          </w:p>
        </w:tc>
        <w:tc>
          <w:tcPr>
            <w:tcW w:w="992" w:type="dxa"/>
            <w:shd w:val="clear" w:color="auto" w:fill="auto"/>
            <w:vAlign w:val="center"/>
          </w:tcPr>
          <w:p w14:paraId="4B9CEC53" w14:textId="52004DEB" w:rsidR="003C4C24" w:rsidRPr="003B4F95" w:rsidRDefault="003C4C24" w:rsidP="003C4C24">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5E231593" w14:textId="1D223B5F" w:rsidR="003C4C24" w:rsidRPr="003B4F95" w:rsidRDefault="003C4C24" w:rsidP="003C4C24">
            <w:pPr>
              <w:spacing w:before="40" w:after="40" w:line="300" w:lineRule="atLeast"/>
              <w:jc w:val="right"/>
              <w:rPr>
                <w:rFonts w:ascii="Verdana" w:hAnsi="Verdana"/>
                <w:color w:val="000000"/>
                <w:sz w:val="18"/>
                <w:szCs w:val="18"/>
              </w:rPr>
            </w:pPr>
            <w:r>
              <w:rPr>
                <w:rFonts w:ascii="Verdana" w:hAnsi="Verdana"/>
                <w:color w:val="000000"/>
                <w:sz w:val="18"/>
                <w:szCs w:val="18"/>
              </w:rPr>
              <w:t>32 043,7</w:t>
            </w:r>
          </w:p>
        </w:tc>
        <w:tc>
          <w:tcPr>
            <w:tcW w:w="1418" w:type="dxa"/>
            <w:vAlign w:val="center"/>
          </w:tcPr>
          <w:p w14:paraId="02FF980D" w14:textId="7735FC4B" w:rsidR="003C4C24" w:rsidRPr="003B4F95" w:rsidRDefault="003C4C24" w:rsidP="003C4C24">
            <w:pPr>
              <w:spacing w:before="40" w:after="40" w:line="30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2278D090" w14:textId="14BD8C2B" w:rsidR="003C4C24" w:rsidRPr="003B4F95" w:rsidRDefault="003C4C24" w:rsidP="003C4C24">
            <w:pPr>
              <w:spacing w:before="40" w:after="40" w:line="300" w:lineRule="atLeast"/>
              <w:jc w:val="right"/>
              <w:rPr>
                <w:rFonts w:ascii="Verdana" w:hAnsi="Verdana"/>
                <w:color w:val="000000"/>
                <w:sz w:val="18"/>
                <w:szCs w:val="18"/>
              </w:rPr>
            </w:pPr>
            <w:r>
              <w:rPr>
                <w:rFonts w:ascii="Verdana" w:hAnsi="Verdana"/>
                <w:color w:val="000000"/>
                <w:sz w:val="18"/>
                <w:szCs w:val="18"/>
              </w:rPr>
              <w:t>32 043,7</w:t>
            </w:r>
          </w:p>
        </w:tc>
      </w:tr>
      <w:tr w:rsidR="003C4C24" w:rsidRPr="00AB6CBE" w14:paraId="3E5AB5DE" w14:textId="77777777" w:rsidTr="001C1A83">
        <w:tc>
          <w:tcPr>
            <w:tcW w:w="567" w:type="dxa"/>
            <w:shd w:val="clear" w:color="auto" w:fill="auto"/>
          </w:tcPr>
          <w:p w14:paraId="62DC651B" w14:textId="77777777" w:rsidR="003C4C24" w:rsidRPr="00771D6F" w:rsidRDefault="003C4C24" w:rsidP="003C4C24">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3C1FB5E5" w14:textId="77777777" w:rsidR="003C4C24" w:rsidRPr="003B4F95" w:rsidRDefault="003C4C24" w:rsidP="003C4C24">
            <w:pPr>
              <w:spacing w:before="40" w:after="40" w:line="300" w:lineRule="atLeast"/>
              <w:rPr>
                <w:rFonts w:ascii="Verdana" w:hAnsi="Verdana"/>
                <w:color w:val="000000"/>
                <w:sz w:val="18"/>
                <w:szCs w:val="18"/>
              </w:rPr>
            </w:pPr>
            <w:r w:rsidRPr="003B4F95">
              <w:rPr>
                <w:rFonts w:ascii="Verdana" w:hAnsi="Verdana"/>
                <w:color w:val="000000"/>
                <w:sz w:val="18"/>
                <w:szCs w:val="18"/>
              </w:rPr>
              <w:t xml:space="preserve">Absa </w:t>
            </w:r>
            <w:r>
              <w:rPr>
                <w:rFonts w:ascii="Verdana" w:hAnsi="Verdana"/>
                <w:color w:val="000000"/>
                <w:sz w:val="18"/>
                <w:szCs w:val="18"/>
              </w:rPr>
              <w:t>Capital</w:t>
            </w:r>
          </w:p>
        </w:tc>
        <w:tc>
          <w:tcPr>
            <w:tcW w:w="993" w:type="dxa"/>
            <w:shd w:val="clear" w:color="auto" w:fill="auto"/>
            <w:vAlign w:val="center"/>
          </w:tcPr>
          <w:p w14:paraId="2791DA0D" w14:textId="078F5CAF" w:rsidR="003C4C24" w:rsidRPr="003B4F95" w:rsidRDefault="003C4C24" w:rsidP="003C4C24">
            <w:pPr>
              <w:spacing w:before="40" w:after="40" w:line="300" w:lineRule="atLeast"/>
              <w:jc w:val="center"/>
              <w:rPr>
                <w:rFonts w:ascii="Verdana" w:hAnsi="Verdana"/>
                <w:color w:val="000000"/>
                <w:sz w:val="18"/>
                <w:szCs w:val="18"/>
              </w:rPr>
            </w:pPr>
            <w:r>
              <w:rPr>
                <w:rFonts w:ascii="Verdana" w:hAnsi="Verdana"/>
                <w:color w:val="000000"/>
                <w:sz w:val="18"/>
                <w:szCs w:val="18"/>
              </w:rPr>
              <w:t>18</w:t>
            </w:r>
          </w:p>
        </w:tc>
        <w:tc>
          <w:tcPr>
            <w:tcW w:w="992" w:type="dxa"/>
            <w:shd w:val="clear" w:color="auto" w:fill="auto"/>
            <w:vAlign w:val="center"/>
          </w:tcPr>
          <w:p w14:paraId="2166DF9E" w14:textId="70BA1EE3" w:rsidR="003C4C24" w:rsidRPr="003B4F95" w:rsidRDefault="003C4C24" w:rsidP="003C4C24">
            <w:pPr>
              <w:spacing w:before="40" w:after="40" w:line="300" w:lineRule="atLeast"/>
              <w:jc w:val="center"/>
              <w:rPr>
                <w:rFonts w:ascii="Verdana" w:hAnsi="Verdana"/>
                <w:color w:val="000000"/>
                <w:sz w:val="18"/>
                <w:szCs w:val="18"/>
              </w:rPr>
            </w:pPr>
            <w:r>
              <w:rPr>
                <w:rFonts w:ascii="Verdana" w:hAnsi="Verdana"/>
                <w:color w:val="000000"/>
                <w:sz w:val="18"/>
                <w:szCs w:val="18"/>
              </w:rPr>
              <w:t>5</w:t>
            </w:r>
          </w:p>
        </w:tc>
        <w:tc>
          <w:tcPr>
            <w:tcW w:w="1417" w:type="dxa"/>
            <w:vAlign w:val="center"/>
          </w:tcPr>
          <w:p w14:paraId="029D8166" w14:textId="67B86A58" w:rsidR="003C4C24" w:rsidRPr="003B4F95" w:rsidRDefault="003C4C24" w:rsidP="003C4C24">
            <w:pPr>
              <w:spacing w:before="40" w:after="40" w:line="300" w:lineRule="atLeast"/>
              <w:jc w:val="right"/>
              <w:rPr>
                <w:rFonts w:ascii="Verdana" w:hAnsi="Verdana"/>
                <w:color w:val="000000"/>
                <w:sz w:val="18"/>
                <w:szCs w:val="18"/>
              </w:rPr>
            </w:pPr>
            <w:r>
              <w:rPr>
                <w:rFonts w:ascii="Verdana" w:hAnsi="Verdana"/>
                <w:color w:val="000000"/>
                <w:sz w:val="18"/>
                <w:szCs w:val="18"/>
              </w:rPr>
              <w:t>27 899,5</w:t>
            </w:r>
          </w:p>
        </w:tc>
        <w:tc>
          <w:tcPr>
            <w:tcW w:w="1418" w:type="dxa"/>
            <w:vAlign w:val="center"/>
          </w:tcPr>
          <w:p w14:paraId="6F79E717" w14:textId="57D4BC99" w:rsidR="003C4C24" w:rsidRPr="003B4F95" w:rsidRDefault="003C4C24" w:rsidP="003C4C24">
            <w:pPr>
              <w:spacing w:before="40" w:after="40" w:line="300" w:lineRule="atLeast"/>
              <w:jc w:val="right"/>
              <w:rPr>
                <w:rFonts w:ascii="Verdana" w:hAnsi="Verdana"/>
                <w:color w:val="000000"/>
                <w:sz w:val="18"/>
                <w:szCs w:val="18"/>
              </w:rPr>
            </w:pPr>
            <w:r>
              <w:rPr>
                <w:rFonts w:ascii="Verdana" w:hAnsi="Verdana"/>
                <w:color w:val="000000"/>
                <w:sz w:val="18"/>
                <w:szCs w:val="18"/>
              </w:rPr>
              <w:t>1 537,7</w:t>
            </w:r>
          </w:p>
        </w:tc>
        <w:tc>
          <w:tcPr>
            <w:tcW w:w="1843" w:type="dxa"/>
            <w:vAlign w:val="center"/>
          </w:tcPr>
          <w:p w14:paraId="32A350AC" w14:textId="748F1A98" w:rsidR="003C4C24" w:rsidRPr="003B4F95" w:rsidRDefault="003C4C24" w:rsidP="003C4C24">
            <w:pPr>
              <w:spacing w:before="40" w:after="40" w:line="300" w:lineRule="atLeast"/>
              <w:jc w:val="right"/>
              <w:rPr>
                <w:rFonts w:ascii="Verdana" w:hAnsi="Verdana"/>
                <w:color w:val="000000"/>
                <w:sz w:val="18"/>
                <w:szCs w:val="18"/>
              </w:rPr>
            </w:pPr>
            <w:r>
              <w:rPr>
                <w:rFonts w:ascii="Verdana" w:hAnsi="Verdana"/>
                <w:color w:val="000000"/>
                <w:sz w:val="18"/>
                <w:szCs w:val="18"/>
              </w:rPr>
              <w:t>29 437,2</w:t>
            </w:r>
          </w:p>
        </w:tc>
      </w:tr>
      <w:tr w:rsidR="003C4C24" w:rsidRPr="00AB6CBE" w14:paraId="2E0F4F01" w14:textId="77777777" w:rsidTr="001C1A83">
        <w:tc>
          <w:tcPr>
            <w:tcW w:w="567" w:type="dxa"/>
            <w:shd w:val="clear" w:color="auto" w:fill="auto"/>
          </w:tcPr>
          <w:p w14:paraId="10150557" w14:textId="77777777" w:rsidR="003C4C24" w:rsidRPr="00771D6F" w:rsidRDefault="003C4C24" w:rsidP="003C4C24">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117A9919" w14:textId="24AF28B0" w:rsidR="003C4C24" w:rsidRPr="003B4F95" w:rsidRDefault="003C4C24" w:rsidP="003C4C24">
            <w:pPr>
              <w:spacing w:before="40" w:after="40" w:line="300" w:lineRule="atLeast"/>
              <w:rPr>
                <w:rFonts w:ascii="Verdana" w:hAnsi="Verdana"/>
                <w:color w:val="000000"/>
                <w:sz w:val="18"/>
                <w:szCs w:val="18"/>
              </w:rPr>
            </w:pPr>
            <w:r>
              <w:rPr>
                <w:rFonts w:ascii="Verdana" w:hAnsi="Verdana"/>
                <w:color w:val="000000"/>
                <w:sz w:val="18"/>
                <w:szCs w:val="18"/>
              </w:rPr>
              <w:t>FNB/FirstRand</w:t>
            </w:r>
          </w:p>
        </w:tc>
        <w:tc>
          <w:tcPr>
            <w:tcW w:w="993" w:type="dxa"/>
            <w:shd w:val="clear" w:color="auto" w:fill="auto"/>
            <w:vAlign w:val="center"/>
          </w:tcPr>
          <w:p w14:paraId="27501A4B" w14:textId="4C1DCAE1" w:rsidR="003C4C24" w:rsidRDefault="003C4C24" w:rsidP="003C4C24">
            <w:pPr>
              <w:spacing w:before="40" w:after="40" w:line="300" w:lineRule="atLeast"/>
              <w:jc w:val="center"/>
              <w:rPr>
                <w:rFonts w:ascii="Verdana" w:hAnsi="Verdana"/>
                <w:color w:val="000000"/>
                <w:sz w:val="18"/>
                <w:szCs w:val="18"/>
              </w:rPr>
            </w:pPr>
            <w:r>
              <w:rPr>
                <w:rFonts w:ascii="Verdana" w:hAnsi="Verdana"/>
                <w:color w:val="000000"/>
                <w:sz w:val="18"/>
                <w:szCs w:val="18"/>
              </w:rPr>
              <w:t>8</w:t>
            </w:r>
          </w:p>
        </w:tc>
        <w:tc>
          <w:tcPr>
            <w:tcW w:w="992" w:type="dxa"/>
            <w:shd w:val="clear" w:color="auto" w:fill="auto"/>
            <w:vAlign w:val="center"/>
          </w:tcPr>
          <w:p w14:paraId="470D6A4A" w14:textId="7E246CFE" w:rsidR="003C4C24" w:rsidRDefault="003C4C24" w:rsidP="003C4C24">
            <w:pPr>
              <w:spacing w:before="40" w:after="40" w:line="300" w:lineRule="atLeast"/>
              <w:jc w:val="center"/>
              <w:rPr>
                <w:rFonts w:ascii="Verdana" w:hAnsi="Verdana"/>
                <w:color w:val="000000"/>
                <w:sz w:val="18"/>
                <w:szCs w:val="18"/>
              </w:rPr>
            </w:pPr>
            <w:r>
              <w:rPr>
                <w:rFonts w:ascii="Verdana" w:hAnsi="Verdana"/>
                <w:color w:val="000000"/>
                <w:sz w:val="18"/>
                <w:szCs w:val="18"/>
              </w:rPr>
              <w:t>42</w:t>
            </w:r>
          </w:p>
        </w:tc>
        <w:tc>
          <w:tcPr>
            <w:tcW w:w="1417" w:type="dxa"/>
            <w:vAlign w:val="center"/>
          </w:tcPr>
          <w:p w14:paraId="68B377D1" w14:textId="15B9C979" w:rsidR="003C4C24" w:rsidRDefault="003C4C24" w:rsidP="003C4C24">
            <w:pPr>
              <w:spacing w:before="40" w:after="40" w:line="300" w:lineRule="atLeast"/>
              <w:jc w:val="right"/>
              <w:rPr>
                <w:rFonts w:ascii="Verdana" w:hAnsi="Verdana"/>
                <w:color w:val="000000"/>
                <w:sz w:val="18"/>
                <w:szCs w:val="18"/>
              </w:rPr>
            </w:pPr>
            <w:r>
              <w:rPr>
                <w:rFonts w:ascii="Verdana" w:hAnsi="Verdana"/>
                <w:color w:val="000000"/>
                <w:sz w:val="18"/>
                <w:szCs w:val="18"/>
              </w:rPr>
              <w:t>6 363,4</w:t>
            </w:r>
          </w:p>
        </w:tc>
        <w:tc>
          <w:tcPr>
            <w:tcW w:w="1418" w:type="dxa"/>
            <w:vAlign w:val="center"/>
          </w:tcPr>
          <w:p w14:paraId="48086C16" w14:textId="72C9A60F" w:rsidR="003C4C24" w:rsidRDefault="003C4C24" w:rsidP="003C4C24">
            <w:pPr>
              <w:spacing w:before="40" w:after="40" w:line="300" w:lineRule="atLeast"/>
              <w:jc w:val="right"/>
              <w:rPr>
                <w:rFonts w:ascii="Verdana" w:hAnsi="Verdana"/>
                <w:color w:val="000000"/>
                <w:sz w:val="18"/>
                <w:szCs w:val="18"/>
              </w:rPr>
            </w:pPr>
            <w:r>
              <w:rPr>
                <w:rFonts w:ascii="Verdana" w:hAnsi="Verdana"/>
                <w:color w:val="000000"/>
                <w:sz w:val="18"/>
                <w:szCs w:val="18"/>
              </w:rPr>
              <w:t>3 294,6</w:t>
            </w:r>
          </w:p>
        </w:tc>
        <w:tc>
          <w:tcPr>
            <w:tcW w:w="1843" w:type="dxa"/>
            <w:vAlign w:val="center"/>
          </w:tcPr>
          <w:p w14:paraId="062755B2" w14:textId="4B8B2A3A" w:rsidR="003C4C24" w:rsidRDefault="003C4C24" w:rsidP="003C4C24">
            <w:pPr>
              <w:spacing w:before="40" w:after="40" w:line="300" w:lineRule="atLeast"/>
              <w:jc w:val="right"/>
              <w:rPr>
                <w:rFonts w:ascii="Verdana" w:hAnsi="Verdana"/>
                <w:color w:val="000000"/>
                <w:sz w:val="18"/>
                <w:szCs w:val="18"/>
              </w:rPr>
            </w:pPr>
            <w:r>
              <w:rPr>
                <w:rFonts w:ascii="Verdana" w:hAnsi="Verdana"/>
                <w:color w:val="000000"/>
                <w:sz w:val="18"/>
                <w:szCs w:val="18"/>
              </w:rPr>
              <w:t>9 658,0</w:t>
            </w:r>
          </w:p>
        </w:tc>
      </w:tr>
      <w:tr w:rsidR="003C4C24" w:rsidRPr="000435BE" w14:paraId="56CF23E8" w14:textId="77777777" w:rsidTr="001C1A83">
        <w:tc>
          <w:tcPr>
            <w:tcW w:w="567" w:type="dxa"/>
            <w:shd w:val="clear" w:color="auto" w:fill="auto"/>
          </w:tcPr>
          <w:p w14:paraId="7FD80757" w14:textId="77777777" w:rsidR="003C4C24" w:rsidRPr="00771D6F" w:rsidRDefault="003C4C24" w:rsidP="003C4C24">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1D9E85AD" w14:textId="77777777" w:rsidR="003C4C24" w:rsidRPr="003B4F95" w:rsidRDefault="003C4C24" w:rsidP="003C4C24">
            <w:pPr>
              <w:spacing w:before="40" w:after="40" w:line="300" w:lineRule="atLeast"/>
              <w:rPr>
                <w:rFonts w:ascii="Verdana" w:hAnsi="Verdana"/>
                <w:color w:val="000000"/>
                <w:sz w:val="18"/>
                <w:szCs w:val="18"/>
              </w:rPr>
            </w:pPr>
            <w:r>
              <w:rPr>
                <w:rFonts w:ascii="Verdana" w:hAnsi="Verdana"/>
                <w:color w:val="000000"/>
                <w:sz w:val="18"/>
                <w:szCs w:val="18"/>
              </w:rPr>
              <w:t>1nvest</w:t>
            </w:r>
          </w:p>
        </w:tc>
        <w:tc>
          <w:tcPr>
            <w:tcW w:w="993" w:type="dxa"/>
            <w:shd w:val="clear" w:color="auto" w:fill="auto"/>
            <w:vAlign w:val="center"/>
          </w:tcPr>
          <w:p w14:paraId="657AF511" w14:textId="2A4394BE" w:rsidR="003C4C24" w:rsidRPr="003B4F95" w:rsidRDefault="003C4C24" w:rsidP="003C4C24">
            <w:pPr>
              <w:spacing w:before="40" w:after="40" w:line="300" w:lineRule="atLeast"/>
              <w:jc w:val="center"/>
              <w:rPr>
                <w:rFonts w:ascii="Verdana" w:hAnsi="Verdana"/>
                <w:color w:val="000000"/>
                <w:sz w:val="18"/>
                <w:szCs w:val="18"/>
              </w:rPr>
            </w:pPr>
            <w:r>
              <w:rPr>
                <w:rFonts w:ascii="Verdana" w:hAnsi="Verdana"/>
                <w:color w:val="000000"/>
                <w:sz w:val="18"/>
                <w:szCs w:val="18"/>
              </w:rPr>
              <w:t>13</w:t>
            </w:r>
          </w:p>
        </w:tc>
        <w:tc>
          <w:tcPr>
            <w:tcW w:w="992" w:type="dxa"/>
            <w:shd w:val="clear" w:color="auto" w:fill="auto"/>
            <w:vAlign w:val="center"/>
          </w:tcPr>
          <w:p w14:paraId="3918885C" w14:textId="2F3FE799" w:rsidR="003C4C24" w:rsidRPr="003B4F95" w:rsidRDefault="003C4C24" w:rsidP="003C4C24">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7D33FC92" w14:textId="568A4983" w:rsidR="003C4C24" w:rsidRPr="003B4F95" w:rsidRDefault="004545BB" w:rsidP="003C4C24">
            <w:pPr>
              <w:spacing w:before="40" w:after="40" w:line="300" w:lineRule="atLeast"/>
              <w:jc w:val="right"/>
              <w:rPr>
                <w:rFonts w:ascii="Verdana" w:hAnsi="Verdana"/>
                <w:color w:val="000000"/>
                <w:sz w:val="18"/>
                <w:szCs w:val="18"/>
              </w:rPr>
            </w:pPr>
            <w:r>
              <w:rPr>
                <w:rFonts w:ascii="Verdana" w:hAnsi="Verdana"/>
                <w:color w:val="000000"/>
                <w:sz w:val="18"/>
                <w:szCs w:val="18"/>
              </w:rPr>
              <w:t>7 032,4</w:t>
            </w:r>
          </w:p>
        </w:tc>
        <w:tc>
          <w:tcPr>
            <w:tcW w:w="1418" w:type="dxa"/>
            <w:vAlign w:val="center"/>
          </w:tcPr>
          <w:p w14:paraId="4E6D745C" w14:textId="1232FD83" w:rsidR="003C4C24" w:rsidRPr="003B4F95" w:rsidRDefault="004545BB" w:rsidP="003C4C24">
            <w:pPr>
              <w:spacing w:before="40" w:after="40" w:line="30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815C90F" w14:textId="0070B693" w:rsidR="003C4C24" w:rsidRPr="003B4F95" w:rsidRDefault="004545BB" w:rsidP="003C4C24">
            <w:pPr>
              <w:spacing w:before="40" w:after="40" w:line="300" w:lineRule="atLeast"/>
              <w:jc w:val="right"/>
              <w:rPr>
                <w:rFonts w:ascii="Verdana" w:hAnsi="Verdana"/>
                <w:color w:val="000000"/>
                <w:sz w:val="18"/>
                <w:szCs w:val="18"/>
              </w:rPr>
            </w:pPr>
            <w:r>
              <w:rPr>
                <w:rFonts w:ascii="Verdana" w:hAnsi="Verdana"/>
                <w:color w:val="000000"/>
                <w:sz w:val="18"/>
                <w:szCs w:val="18"/>
              </w:rPr>
              <w:t>7 032,4</w:t>
            </w:r>
          </w:p>
        </w:tc>
      </w:tr>
      <w:tr w:rsidR="003C4C24" w:rsidRPr="000435BE" w14:paraId="65A0B9ED" w14:textId="77777777" w:rsidTr="001C1A83">
        <w:tc>
          <w:tcPr>
            <w:tcW w:w="567" w:type="dxa"/>
            <w:shd w:val="clear" w:color="auto" w:fill="auto"/>
          </w:tcPr>
          <w:p w14:paraId="57A8D2C5" w14:textId="77777777" w:rsidR="003C4C24" w:rsidRPr="00771D6F" w:rsidRDefault="003C4C24" w:rsidP="003C4C24">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02AAA5AA" w14:textId="66754C1A" w:rsidR="003C4C24" w:rsidRDefault="003C4C24" w:rsidP="003C4C24">
            <w:pPr>
              <w:spacing w:before="40" w:after="40" w:line="300" w:lineRule="atLeast"/>
              <w:rPr>
                <w:rFonts w:ascii="Verdana" w:hAnsi="Verdana"/>
                <w:color w:val="000000"/>
                <w:sz w:val="18"/>
                <w:szCs w:val="18"/>
              </w:rPr>
            </w:pPr>
            <w:r w:rsidRPr="003B4F95">
              <w:rPr>
                <w:rFonts w:ascii="Verdana" w:hAnsi="Verdana"/>
                <w:color w:val="000000"/>
                <w:sz w:val="18"/>
                <w:szCs w:val="18"/>
              </w:rPr>
              <w:t>CoreShares</w:t>
            </w:r>
          </w:p>
        </w:tc>
        <w:tc>
          <w:tcPr>
            <w:tcW w:w="993" w:type="dxa"/>
            <w:shd w:val="clear" w:color="auto" w:fill="auto"/>
            <w:vAlign w:val="center"/>
          </w:tcPr>
          <w:p w14:paraId="67A212EB" w14:textId="2DFCEC29" w:rsidR="003C4C24" w:rsidRDefault="003C4C24" w:rsidP="003C4C24">
            <w:pPr>
              <w:spacing w:before="40" w:after="40" w:line="300" w:lineRule="atLeast"/>
              <w:jc w:val="center"/>
              <w:rPr>
                <w:rFonts w:ascii="Verdana" w:hAnsi="Verdana"/>
                <w:color w:val="000000"/>
                <w:sz w:val="18"/>
                <w:szCs w:val="18"/>
              </w:rPr>
            </w:pPr>
            <w:r>
              <w:rPr>
                <w:rFonts w:ascii="Verdana" w:hAnsi="Verdana"/>
                <w:color w:val="000000"/>
                <w:sz w:val="18"/>
                <w:szCs w:val="18"/>
              </w:rPr>
              <w:t>9</w:t>
            </w:r>
          </w:p>
        </w:tc>
        <w:tc>
          <w:tcPr>
            <w:tcW w:w="992" w:type="dxa"/>
            <w:shd w:val="clear" w:color="auto" w:fill="auto"/>
            <w:vAlign w:val="center"/>
          </w:tcPr>
          <w:p w14:paraId="4FBCA900" w14:textId="77777777" w:rsidR="003C4C24" w:rsidRDefault="003C4C24" w:rsidP="003C4C24">
            <w:pPr>
              <w:spacing w:before="40" w:after="40" w:line="300" w:lineRule="atLeast"/>
              <w:jc w:val="center"/>
              <w:rPr>
                <w:rFonts w:ascii="Verdana" w:hAnsi="Verdana"/>
                <w:color w:val="000000"/>
                <w:sz w:val="18"/>
                <w:szCs w:val="18"/>
              </w:rPr>
            </w:pPr>
          </w:p>
        </w:tc>
        <w:tc>
          <w:tcPr>
            <w:tcW w:w="1417" w:type="dxa"/>
            <w:vAlign w:val="center"/>
          </w:tcPr>
          <w:p w14:paraId="13AC3780" w14:textId="1F3E2F57" w:rsidR="003C4C24" w:rsidRDefault="004545BB" w:rsidP="003C4C24">
            <w:pPr>
              <w:spacing w:before="40" w:after="40" w:line="300" w:lineRule="atLeast"/>
              <w:jc w:val="right"/>
              <w:rPr>
                <w:rFonts w:ascii="Verdana" w:hAnsi="Verdana"/>
                <w:color w:val="000000"/>
                <w:sz w:val="18"/>
                <w:szCs w:val="18"/>
              </w:rPr>
            </w:pPr>
            <w:r>
              <w:rPr>
                <w:rFonts w:ascii="Verdana" w:hAnsi="Verdana"/>
                <w:color w:val="000000"/>
                <w:sz w:val="18"/>
                <w:szCs w:val="18"/>
              </w:rPr>
              <w:t>5 640,9</w:t>
            </w:r>
          </w:p>
        </w:tc>
        <w:tc>
          <w:tcPr>
            <w:tcW w:w="1418" w:type="dxa"/>
            <w:vAlign w:val="center"/>
          </w:tcPr>
          <w:p w14:paraId="50D9DC73" w14:textId="7F18C684" w:rsidR="003C4C24" w:rsidRDefault="004545BB" w:rsidP="003C4C24">
            <w:pPr>
              <w:spacing w:before="40" w:after="40" w:line="30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0EB1566" w14:textId="65676870" w:rsidR="003C4C24" w:rsidRDefault="004545BB" w:rsidP="003C4C24">
            <w:pPr>
              <w:spacing w:before="40" w:after="40" w:line="300" w:lineRule="atLeast"/>
              <w:jc w:val="right"/>
              <w:rPr>
                <w:rFonts w:ascii="Verdana" w:hAnsi="Verdana"/>
                <w:color w:val="000000"/>
                <w:sz w:val="18"/>
                <w:szCs w:val="18"/>
              </w:rPr>
            </w:pPr>
            <w:r>
              <w:rPr>
                <w:rFonts w:ascii="Verdana" w:hAnsi="Verdana"/>
                <w:color w:val="000000"/>
                <w:sz w:val="18"/>
                <w:szCs w:val="18"/>
              </w:rPr>
              <w:t>5 640,9</w:t>
            </w:r>
          </w:p>
        </w:tc>
      </w:tr>
      <w:tr w:rsidR="003C4C24" w:rsidRPr="000435BE" w14:paraId="3D3E6270" w14:textId="77777777" w:rsidTr="001C1A83">
        <w:tc>
          <w:tcPr>
            <w:tcW w:w="567" w:type="dxa"/>
            <w:shd w:val="clear" w:color="auto" w:fill="auto"/>
          </w:tcPr>
          <w:p w14:paraId="2F3AB2CF" w14:textId="77777777" w:rsidR="003C4C24" w:rsidRPr="00771D6F" w:rsidRDefault="003C4C24" w:rsidP="003C4C24">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79EA6E23" w14:textId="25F732CB" w:rsidR="003C4C24" w:rsidRPr="003B4F95" w:rsidRDefault="003C4C24" w:rsidP="003C4C24">
            <w:pPr>
              <w:spacing w:before="40" w:after="40" w:line="300" w:lineRule="atLeast"/>
              <w:rPr>
                <w:rFonts w:ascii="Verdana" w:hAnsi="Verdana"/>
                <w:color w:val="000000"/>
                <w:sz w:val="18"/>
                <w:szCs w:val="18"/>
              </w:rPr>
            </w:pPr>
            <w:r>
              <w:rPr>
                <w:rFonts w:ascii="Verdana" w:hAnsi="Verdana"/>
                <w:color w:val="000000"/>
                <w:sz w:val="18"/>
                <w:szCs w:val="18"/>
              </w:rPr>
              <w:t>UBS</w:t>
            </w:r>
          </w:p>
        </w:tc>
        <w:tc>
          <w:tcPr>
            <w:tcW w:w="993" w:type="dxa"/>
            <w:shd w:val="clear" w:color="auto" w:fill="auto"/>
            <w:vAlign w:val="center"/>
          </w:tcPr>
          <w:p w14:paraId="319024BC" w14:textId="17645643" w:rsidR="003C4C24" w:rsidRDefault="003C4C24" w:rsidP="003C4C24">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01DE090E" w14:textId="7F4E0ADF" w:rsidR="003C4C24" w:rsidRDefault="003C4C24" w:rsidP="003C4C24">
            <w:pPr>
              <w:spacing w:before="40" w:after="40" w:line="300" w:lineRule="atLeast"/>
              <w:jc w:val="center"/>
              <w:rPr>
                <w:rFonts w:ascii="Verdana" w:hAnsi="Verdana"/>
                <w:color w:val="000000"/>
                <w:sz w:val="18"/>
                <w:szCs w:val="18"/>
              </w:rPr>
            </w:pPr>
            <w:r>
              <w:rPr>
                <w:rFonts w:ascii="Verdana" w:hAnsi="Verdana"/>
                <w:color w:val="000000"/>
                <w:sz w:val="18"/>
                <w:szCs w:val="18"/>
              </w:rPr>
              <w:t>31</w:t>
            </w:r>
          </w:p>
        </w:tc>
        <w:tc>
          <w:tcPr>
            <w:tcW w:w="1417" w:type="dxa"/>
            <w:vAlign w:val="center"/>
          </w:tcPr>
          <w:p w14:paraId="3E0E1FE0" w14:textId="4B1E74B7" w:rsidR="003C4C24" w:rsidRPr="003B4F95" w:rsidRDefault="004545BB" w:rsidP="003C4C24">
            <w:pPr>
              <w:spacing w:before="40" w:after="40" w:line="30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3EE99A49" w14:textId="09F748D3" w:rsidR="003C4C24" w:rsidRPr="003B4F95" w:rsidRDefault="004545BB" w:rsidP="003C4C24">
            <w:pPr>
              <w:spacing w:before="40" w:after="40" w:line="300" w:lineRule="atLeast"/>
              <w:jc w:val="right"/>
              <w:rPr>
                <w:rFonts w:ascii="Verdana" w:hAnsi="Verdana"/>
                <w:color w:val="000000"/>
                <w:sz w:val="18"/>
                <w:szCs w:val="18"/>
              </w:rPr>
            </w:pPr>
            <w:r>
              <w:rPr>
                <w:rFonts w:ascii="Verdana" w:hAnsi="Verdana"/>
                <w:color w:val="000000"/>
                <w:sz w:val="18"/>
                <w:szCs w:val="18"/>
              </w:rPr>
              <w:t>5 366,7</w:t>
            </w:r>
          </w:p>
        </w:tc>
        <w:tc>
          <w:tcPr>
            <w:tcW w:w="1843" w:type="dxa"/>
            <w:vAlign w:val="center"/>
          </w:tcPr>
          <w:p w14:paraId="22D0BF0F" w14:textId="26B0FFFE" w:rsidR="003C4C24" w:rsidRPr="003B4F95" w:rsidRDefault="004545BB" w:rsidP="003C4C24">
            <w:pPr>
              <w:spacing w:before="40" w:after="40" w:line="300" w:lineRule="atLeast"/>
              <w:jc w:val="right"/>
              <w:rPr>
                <w:rFonts w:ascii="Verdana" w:hAnsi="Verdana"/>
                <w:color w:val="000000"/>
                <w:sz w:val="18"/>
                <w:szCs w:val="18"/>
              </w:rPr>
            </w:pPr>
            <w:r>
              <w:rPr>
                <w:rFonts w:ascii="Verdana" w:hAnsi="Verdana"/>
                <w:color w:val="000000"/>
                <w:sz w:val="18"/>
                <w:szCs w:val="18"/>
              </w:rPr>
              <w:t>5 366,7</w:t>
            </w:r>
          </w:p>
        </w:tc>
      </w:tr>
      <w:tr w:rsidR="003C4C24" w:rsidRPr="000435BE" w14:paraId="74FFBACF" w14:textId="77777777" w:rsidTr="001C1A83">
        <w:tc>
          <w:tcPr>
            <w:tcW w:w="567" w:type="dxa"/>
            <w:shd w:val="clear" w:color="auto" w:fill="auto"/>
          </w:tcPr>
          <w:p w14:paraId="115A2173" w14:textId="77777777" w:rsidR="003C4C24" w:rsidRPr="00771D6F" w:rsidRDefault="003C4C24" w:rsidP="003C4C24">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49C1F41F" w14:textId="77777777" w:rsidR="003C4C24" w:rsidRPr="003B4F95" w:rsidRDefault="003C4C24" w:rsidP="003C4C24">
            <w:pPr>
              <w:spacing w:before="40" w:after="40" w:line="300" w:lineRule="atLeast"/>
              <w:rPr>
                <w:rFonts w:ascii="Verdana" w:hAnsi="Verdana"/>
                <w:color w:val="000000"/>
                <w:sz w:val="18"/>
                <w:szCs w:val="18"/>
              </w:rPr>
            </w:pPr>
            <w:r w:rsidRPr="003B4F95">
              <w:rPr>
                <w:rFonts w:ascii="Verdana" w:hAnsi="Verdana"/>
                <w:color w:val="000000"/>
                <w:sz w:val="18"/>
                <w:szCs w:val="18"/>
              </w:rPr>
              <w:t>Investec</w:t>
            </w:r>
          </w:p>
        </w:tc>
        <w:tc>
          <w:tcPr>
            <w:tcW w:w="993" w:type="dxa"/>
            <w:shd w:val="clear" w:color="auto" w:fill="auto"/>
            <w:vAlign w:val="center"/>
          </w:tcPr>
          <w:p w14:paraId="30BF1DB5" w14:textId="06BE0E53" w:rsidR="003C4C24" w:rsidRDefault="003C4C24" w:rsidP="003C4C24">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2EE3776E" w14:textId="1CC0010C" w:rsidR="003C4C24" w:rsidRDefault="003C4C24" w:rsidP="003C4C24">
            <w:pPr>
              <w:spacing w:before="40" w:after="40" w:line="300" w:lineRule="atLeast"/>
              <w:jc w:val="center"/>
              <w:rPr>
                <w:rFonts w:ascii="Verdana" w:hAnsi="Verdana"/>
                <w:color w:val="000000"/>
                <w:sz w:val="18"/>
                <w:szCs w:val="18"/>
              </w:rPr>
            </w:pPr>
            <w:r>
              <w:rPr>
                <w:rFonts w:ascii="Verdana" w:hAnsi="Verdana"/>
                <w:color w:val="000000"/>
                <w:sz w:val="18"/>
                <w:szCs w:val="18"/>
              </w:rPr>
              <w:t>2</w:t>
            </w:r>
          </w:p>
        </w:tc>
        <w:tc>
          <w:tcPr>
            <w:tcW w:w="1417" w:type="dxa"/>
            <w:vAlign w:val="center"/>
          </w:tcPr>
          <w:p w14:paraId="67698628" w14:textId="6F59895D" w:rsidR="003C4C24" w:rsidRDefault="004545BB" w:rsidP="003C4C24">
            <w:pPr>
              <w:spacing w:before="40" w:after="40" w:line="30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564CAC82" w14:textId="19535B70" w:rsidR="003C4C24" w:rsidRDefault="004545BB" w:rsidP="003C4C24">
            <w:pPr>
              <w:spacing w:before="40" w:after="40" w:line="300" w:lineRule="atLeast"/>
              <w:jc w:val="right"/>
              <w:rPr>
                <w:rFonts w:ascii="Verdana" w:hAnsi="Verdana"/>
                <w:color w:val="000000"/>
                <w:sz w:val="18"/>
                <w:szCs w:val="18"/>
              </w:rPr>
            </w:pPr>
            <w:r>
              <w:rPr>
                <w:rFonts w:ascii="Verdana" w:hAnsi="Verdana"/>
                <w:color w:val="000000"/>
                <w:sz w:val="18"/>
                <w:szCs w:val="18"/>
              </w:rPr>
              <w:t>2 653,9</w:t>
            </w:r>
          </w:p>
        </w:tc>
        <w:tc>
          <w:tcPr>
            <w:tcW w:w="1843" w:type="dxa"/>
            <w:vAlign w:val="center"/>
          </w:tcPr>
          <w:p w14:paraId="5682DA5B" w14:textId="09EB7182" w:rsidR="003C4C24" w:rsidRDefault="004545BB" w:rsidP="003C4C24">
            <w:pPr>
              <w:spacing w:before="40" w:after="40" w:line="300" w:lineRule="atLeast"/>
              <w:jc w:val="right"/>
              <w:rPr>
                <w:rFonts w:ascii="Verdana" w:hAnsi="Verdana"/>
                <w:color w:val="000000"/>
                <w:sz w:val="18"/>
                <w:szCs w:val="18"/>
              </w:rPr>
            </w:pPr>
            <w:r>
              <w:rPr>
                <w:rFonts w:ascii="Verdana" w:hAnsi="Verdana"/>
                <w:color w:val="000000"/>
                <w:sz w:val="18"/>
                <w:szCs w:val="18"/>
              </w:rPr>
              <w:t>2 653,9</w:t>
            </w:r>
          </w:p>
        </w:tc>
      </w:tr>
      <w:tr w:rsidR="003C4C24" w:rsidRPr="000435BE" w14:paraId="5FB42103" w14:textId="77777777" w:rsidTr="001C1A83">
        <w:tc>
          <w:tcPr>
            <w:tcW w:w="567" w:type="dxa"/>
            <w:shd w:val="clear" w:color="auto" w:fill="auto"/>
          </w:tcPr>
          <w:p w14:paraId="11AE8AAB" w14:textId="77777777" w:rsidR="003C4C24" w:rsidRPr="00771D6F" w:rsidRDefault="003C4C24" w:rsidP="003C4C24">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700A7226" w14:textId="77777777" w:rsidR="003C4C24" w:rsidRPr="003B4F95" w:rsidRDefault="003C4C24" w:rsidP="003C4C24">
            <w:pPr>
              <w:spacing w:before="40" w:after="40" w:line="300" w:lineRule="atLeast"/>
              <w:rPr>
                <w:rFonts w:ascii="Verdana" w:hAnsi="Verdana"/>
                <w:color w:val="000000"/>
                <w:sz w:val="18"/>
                <w:szCs w:val="18"/>
              </w:rPr>
            </w:pPr>
            <w:r w:rsidRPr="003B4F95">
              <w:rPr>
                <w:rFonts w:ascii="Verdana" w:hAnsi="Verdana"/>
                <w:color w:val="000000"/>
                <w:sz w:val="18"/>
                <w:szCs w:val="18"/>
              </w:rPr>
              <w:t>Stan</w:t>
            </w:r>
            <w:r>
              <w:rPr>
                <w:rFonts w:ascii="Verdana" w:hAnsi="Verdana"/>
                <w:color w:val="000000"/>
                <w:sz w:val="18"/>
                <w:szCs w:val="18"/>
              </w:rPr>
              <w:t>dard Bank</w:t>
            </w:r>
          </w:p>
        </w:tc>
        <w:tc>
          <w:tcPr>
            <w:tcW w:w="993" w:type="dxa"/>
            <w:shd w:val="clear" w:color="auto" w:fill="auto"/>
            <w:vAlign w:val="center"/>
          </w:tcPr>
          <w:p w14:paraId="5BCA0634" w14:textId="44384937" w:rsidR="003C4C24" w:rsidRDefault="003C4C24" w:rsidP="003C4C24">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705CD008" w14:textId="0CF4EDD9" w:rsidR="003C4C24" w:rsidRDefault="003C4C24" w:rsidP="003C4C24">
            <w:pPr>
              <w:spacing w:before="40" w:after="40" w:line="300" w:lineRule="atLeast"/>
              <w:jc w:val="center"/>
              <w:rPr>
                <w:rFonts w:ascii="Verdana" w:hAnsi="Verdana"/>
                <w:color w:val="000000"/>
                <w:sz w:val="18"/>
                <w:szCs w:val="18"/>
              </w:rPr>
            </w:pPr>
            <w:r>
              <w:rPr>
                <w:rFonts w:ascii="Verdana" w:hAnsi="Verdana"/>
                <w:color w:val="000000"/>
                <w:sz w:val="18"/>
                <w:szCs w:val="18"/>
              </w:rPr>
              <w:t>2</w:t>
            </w:r>
          </w:p>
        </w:tc>
        <w:tc>
          <w:tcPr>
            <w:tcW w:w="1417" w:type="dxa"/>
            <w:vAlign w:val="center"/>
          </w:tcPr>
          <w:p w14:paraId="33A5A643" w14:textId="286E3CE7" w:rsidR="003C4C24" w:rsidRDefault="004545BB" w:rsidP="003C4C24">
            <w:pPr>
              <w:spacing w:before="40" w:after="40" w:line="30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74E82CC8" w14:textId="08DD232D" w:rsidR="003C4C24" w:rsidRDefault="004545BB" w:rsidP="003C4C24">
            <w:pPr>
              <w:spacing w:before="40" w:after="40" w:line="300" w:lineRule="atLeast"/>
              <w:jc w:val="right"/>
              <w:rPr>
                <w:rFonts w:ascii="Verdana" w:hAnsi="Verdana"/>
                <w:color w:val="000000"/>
                <w:sz w:val="18"/>
                <w:szCs w:val="18"/>
              </w:rPr>
            </w:pPr>
            <w:r>
              <w:rPr>
                <w:rFonts w:ascii="Verdana" w:hAnsi="Verdana"/>
                <w:color w:val="000000"/>
                <w:sz w:val="18"/>
                <w:szCs w:val="18"/>
              </w:rPr>
              <w:t>1 119,8</w:t>
            </w:r>
          </w:p>
        </w:tc>
        <w:tc>
          <w:tcPr>
            <w:tcW w:w="1843" w:type="dxa"/>
            <w:vAlign w:val="center"/>
          </w:tcPr>
          <w:p w14:paraId="0A0AE9B3" w14:textId="74215333" w:rsidR="003C4C24" w:rsidRDefault="004545BB" w:rsidP="003C4C24">
            <w:pPr>
              <w:spacing w:before="40" w:after="40" w:line="300" w:lineRule="atLeast"/>
              <w:jc w:val="right"/>
              <w:rPr>
                <w:rFonts w:ascii="Verdana" w:hAnsi="Verdana"/>
                <w:color w:val="000000"/>
                <w:sz w:val="18"/>
                <w:szCs w:val="18"/>
              </w:rPr>
            </w:pPr>
            <w:r>
              <w:rPr>
                <w:rFonts w:ascii="Verdana" w:hAnsi="Verdana"/>
                <w:color w:val="000000"/>
                <w:sz w:val="18"/>
                <w:szCs w:val="18"/>
              </w:rPr>
              <w:t>1 119,8</w:t>
            </w:r>
          </w:p>
        </w:tc>
      </w:tr>
      <w:tr w:rsidR="003C4C24" w:rsidRPr="000435BE" w14:paraId="0F1A63F0" w14:textId="77777777" w:rsidTr="001C1A83">
        <w:tc>
          <w:tcPr>
            <w:tcW w:w="567" w:type="dxa"/>
            <w:shd w:val="clear" w:color="auto" w:fill="auto"/>
          </w:tcPr>
          <w:p w14:paraId="1C6357A5" w14:textId="77777777" w:rsidR="003C4C24" w:rsidRPr="00771D6F" w:rsidRDefault="003C4C24" w:rsidP="003C4C24">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2A260978" w14:textId="77777777" w:rsidR="003C4C24" w:rsidRPr="003B4F95" w:rsidRDefault="003C4C24" w:rsidP="003C4C24">
            <w:pPr>
              <w:spacing w:before="40" w:after="40" w:line="300" w:lineRule="atLeast"/>
              <w:rPr>
                <w:rFonts w:ascii="Verdana" w:hAnsi="Verdana"/>
                <w:color w:val="000000"/>
                <w:sz w:val="18"/>
                <w:szCs w:val="18"/>
              </w:rPr>
            </w:pPr>
            <w:r w:rsidRPr="003B4F95">
              <w:rPr>
                <w:rFonts w:ascii="Verdana" w:hAnsi="Verdana"/>
                <w:color w:val="000000"/>
                <w:sz w:val="18"/>
                <w:szCs w:val="18"/>
              </w:rPr>
              <w:t>Cloud Atlas</w:t>
            </w:r>
          </w:p>
        </w:tc>
        <w:tc>
          <w:tcPr>
            <w:tcW w:w="993" w:type="dxa"/>
            <w:shd w:val="clear" w:color="auto" w:fill="auto"/>
            <w:vAlign w:val="center"/>
          </w:tcPr>
          <w:p w14:paraId="104600BC" w14:textId="3E5D8C43" w:rsidR="003C4C24" w:rsidRPr="003B4F95" w:rsidRDefault="003C4C24" w:rsidP="003C4C24">
            <w:pPr>
              <w:spacing w:before="40" w:after="40" w:line="300" w:lineRule="atLeast"/>
              <w:jc w:val="center"/>
              <w:rPr>
                <w:rFonts w:ascii="Verdana" w:hAnsi="Verdana"/>
                <w:color w:val="000000"/>
                <w:sz w:val="18"/>
                <w:szCs w:val="18"/>
              </w:rPr>
            </w:pPr>
            <w:r>
              <w:rPr>
                <w:rFonts w:ascii="Verdana" w:hAnsi="Verdana"/>
                <w:color w:val="000000"/>
                <w:sz w:val="18"/>
                <w:szCs w:val="18"/>
              </w:rPr>
              <w:t>2</w:t>
            </w:r>
          </w:p>
        </w:tc>
        <w:tc>
          <w:tcPr>
            <w:tcW w:w="992" w:type="dxa"/>
            <w:shd w:val="clear" w:color="auto" w:fill="auto"/>
            <w:vAlign w:val="center"/>
          </w:tcPr>
          <w:p w14:paraId="6896F25A" w14:textId="2B55520F" w:rsidR="003C4C24" w:rsidRPr="003B4F95" w:rsidRDefault="003C4C24" w:rsidP="003C4C24">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01DC6088" w14:textId="78797F90" w:rsidR="003C4C24" w:rsidRPr="003B4F95" w:rsidRDefault="004545BB" w:rsidP="003C4C24">
            <w:pPr>
              <w:spacing w:before="40" w:after="40" w:line="300" w:lineRule="atLeast"/>
              <w:jc w:val="right"/>
              <w:rPr>
                <w:rFonts w:ascii="Verdana" w:hAnsi="Verdana"/>
                <w:color w:val="000000"/>
                <w:sz w:val="18"/>
                <w:szCs w:val="18"/>
              </w:rPr>
            </w:pPr>
            <w:r>
              <w:rPr>
                <w:rFonts w:ascii="Verdana" w:hAnsi="Verdana"/>
                <w:color w:val="000000"/>
                <w:sz w:val="18"/>
                <w:szCs w:val="18"/>
              </w:rPr>
              <w:t>6,5</w:t>
            </w:r>
          </w:p>
        </w:tc>
        <w:tc>
          <w:tcPr>
            <w:tcW w:w="1418" w:type="dxa"/>
            <w:vAlign w:val="center"/>
          </w:tcPr>
          <w:p w14:paraId="7E700237" w14:textId="681F9E30" w:rsidR="003C4C24" w:rsidRPr="003B4F95" w:rsidRDefault="004545BB" w:rsidP="003C4C24">
            <w:pPr>
              <w:spacing w:before="40" w:after="40" w:line="30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2A11FCC2" w14:textId="2B7B7689" w:rsidR="003C4C24" w:rsidRPr="003B4F95" w:rsidRDefault="004545BB" w:rsidP="003C4C24">
            <w:pPr>
              <w:spacing w:before="40" w:after="40" w:line="300" w:lineRule="atLeast"/>
              <w:jc w:val="right"/>
              <w:rPr>
                <w:rFonts w:ascii="Verdana" w:hAnsi="Verdana"/>
                <w:color w:val="000000"/>
                <w:sz w:val="18"/>
                <w:szCs w:val="18"/>
              </w:rPr>
            </w:pPr>
            <w:r>
              <w:rPr>
                <w:rFonts w:ascii="Verdana" w:hAnsi="Verdana"/>
                <w:color w:val="000000"/>
                <w:sz w:val="18"/>
                <w:szCs w:val="18"/>
              </w:rPr>
              <w:t>6,5</w:t>
            </w:r>
          </w:p>
        </w:tc>
      </w:tr>
      <w:tr w:rsidR="003C4C24" w:rsidRPr="000435BE" w14:paraId="1AE5CE6C" w14:textId="77777777" w:rsidTr="001C1A83">
        <w:tc>
          <w:tcPr>
            <w:tcW w:w="2551" w:type="dxa"/>
            <w:gridSpan w:val="3"/>
            <w:shd w:val="clear" w:color="auto" w:fill="auto"/>
          </w:tcPr>
          <w:p w14:paraId="0278B047" w14:textId="77777777" w:rsidR="003C4C24" w:rsidRPr="003B4F95" w:rsidRDefault="003C4C24" w:rsidP="003C4C24">
            <w:pPr>
              <w:spacing w:before="40" w:after="40" w:line="300" w:lineRule="atLeast"/>
              <w:rPr>
                <w:rFonts w:ascii="Verdana" w:hAnsi="Verdana"/>
                <w:b/>
                <w:color w:val="000000"/>
                <w:sz w:val="18"/>
                <w:szCs w:val="18"/>
              </w:rPr>
            </w:pPr>
            <w:r w:rsidRPr="003B4F95">
              <w:rPr>
                <w:rFonts w:ascii="Verdana" w:hAnsi="Verdana"/>
                <w:b/>
                <w:color w:val="000000"/>
                <w:sz w:val="18"/>
                <w:szCs w:val="18"/>
              </w:rPr>
              <w:t>Totals</w:t>
            </w:r>
          </w:p>
        </w:tc>
        <w:tc>
          <w:tcPr>
            <w:tcW w:w="993" w:type="dxa"/>
            <w:shd w:val="clear" w:color="auto" w:fill="auto"/>
            <w:vAlign w:val="center"/>
          </w:tcPr>
          <w:p w14:paraId="6B0F4F35" w14:textId="2B751CE7" w:rsidR="003C4C24" w:rsidRPr="003B4F95" w:rsidRDefault="003C4C24" w:rsidP="003C4C24">
            <w:pPr>
              <w:spacing w:before="40" w:after="40" w:line="300" w:lineRule="atLeast"/>
              <w:jc w:val="center"/>
              <w:rPr>
                <w:rFonts w:ascii="Verdana" w:hAnsi="Verdana"/>
                <w:b/>
                <w:color w:val="000000"/>
                <w:sz w:val="18"/>
                <w:szCs w:val="18"/>
              </w:rPr>
            </w:pPr>
            <w:r>
              <w:rPr>
                <w:rFonts w:ascii="Verdana" w:hAnsi="Verdana"/>
                <w:b/>
                <w:color w:val="000000"/>
                <w:sz w:val="18"/>
                <w:szCs w:val="18"/>
              </w:rPr>
              <w:t>87</w:t>
            </w:r>
          </w:p>
        </w:tc>
        <w:tc>
          <w:tcPr>
            <w:tcW w:w="992" w:type="dxa"/>
            <w:shd w:val="clear" w:color="auto" w:fill="auto"/>
            <w:vAlign w:val="center"/>
          </w:tcPr>
          <w:p w14:paraId="455EA608" w14:textId="03D77647" w:rsidR="003C4C24" w:rsidRPr="003B4F95" w:rsidRDefault="003C4C24" w:rsidP="003C4C24">
            <w:pPr>
              <w:spacing w:before="40" w:after="40" w:line="300" w:lineRule="atLeast"/>
              <w:jc w:val="center"/>
              <w:rPr>
                <w:rFonts w:ascii="Verdana" w:hAnsi="Verdana"/>
                <w:b/>
                <w:color w:val="000000"/>
                <w:sz w:val="18"/>
                <w:szCs w:val="18"/>
              </w:rPr>
            </w:pPr>
            <w:r>
              <w:rPr>
                <w:rFonts w:ascii="Verdana" w:hAnsi="Verdana"/>
                <w:b/>
                <w:color w:val="000000"/>
                <w:sz w:val="18"/>
                <w:szCs w:val="18"/>
              </w:rPr>
              <w:t>82</w:t>
            </w:r>
          </w:p>
        </w:tc>
        <w:tc>
          <w:tcPr>
            <w:tcW w:w="1417" w:type="dxa"/>
            <w:vAlign w:val="center"/>
          </w:tcPr>
          <w:p w14:paraId="5B146289" w14:textId="1CBC3999" w:rsidR="003C4C24" w:rsidRPr="003B4F95" w:rsidRDefault="004545BB" w:rsidP="003C4C24">
            <w:pPr>
              <w:spacing w:before="40" w:after="40" w:line="300" w:lineRule="atLeast"/>
              <w:jc w:val="right"/>
              <w:rPr>
                <w:rFonts w:ascii="Verdana" w:hAnsi="Verdana"/>
                <w:b/>
                <w:color w:val="000000"/>
                <w:sz w:val="18"/>
                <w:szCs w:val="18"/>
              </w:rPr>
            </w:pPr>
            <w:r>
              <w:rPr>
                <w:rFonts w:ascii="Verdana" w:hAnsi="Verdana"/>
                <w:b/>
                <w:color w:val="000000"/>
                <w:sz w:val="18"/>
                <w:szCs w:val="18"/>
              </w:rPr>
              <w:t>116 507,2</w:t>
            </w:r>
          </w:p>
        </w:tc>
        <w:tc>
          <w:tcPr>
            <w:tcW w:w="1418" w:type="dxa"/>
            <w:vAlign w:val="center"/>
          </w:tcPr>
          <w:p w14:paraId="3815159C" w14:textId="5739F3C8" w:rsidR="003C4C24" w:rsidRPr="003B4F95" w:rsidRDefault="004545BB" w:rsidP="003C4C24">
            <w:pPr>
              <w:spacing w:before="40" w:after="40" w:line="300" w:lineRule="atLeast"/>
              <w:jc w:val="right"/>
              <w:rPr>
                <w:rFonts w:ascii="Verdana" w:hAnsi="Verdana"/>
                <w:b/>
                <w:color w:val="000000"/>
                <w:sz w:val="18"/>
                <w:szCs w:val="18"/>
              </w:rPr>
            </w:pPr>
            <w:r>
              <w:rPr>
                <w:rFonts w:ascii="Verdana" w:hAnsi="Verdana"/>
                <w:b/>
                <w:color w:val="000000"/>
                <w:sz w:val="18"/>
                <w:szCs w:val="18"/>
              </w:rPr>
              <w:t>13 972,7</w:t>
            </w:r>
          </w:p>
        </w:tc>
        <w:tc>
          <w:tcPr>
            <w:tcW w:w="1843" w:type="dxa"/>
            <w:vAlign w:val="center"/>
          </w:tcPr>
          <w:p w14:paraId="1BEAD478" w14:textId="010B7901" w:rsidR="003C4C24" w:rsidRPr="003B4F95" w:rsidRDefault="004545BB" w:rsidP="003C4C24">
            <w:pPr>
              <w:spacing w:before="40" w:after="40" w:line="300" w:lineRule="atLeast"/>
              <w:jc w:val="right"/>
              <w:rPr>
                <w:rFonts w:ascii="Verdana" w:hAnsi="Verdana"/>
                <w:b/>
                <w:color w:val="000000"/>
                <w:sz w:val="18"/>
                <w:szCs w:val="18"/>
              </w:rPr>
            </w:pPr>
            <w:r>
              <w:rPr>
                <w:rFonts w:ascii="Verdana" w:hAnsi="Verdana"/>
                <w:b/>
                <w:color w:val="000000"/>
                <w:sz w:val="18"/>
                <w:szCs w:val="18"/>
              </w:rPr>
              <w:t>130 479,9</w:t>
            </w:r>
          </w:p>
        </w:tc>
      </w:tr>
      <w:tr w:rsidR="003C4C24" w:rsidRPr="00DD5A08" w14:paraId="7434251C" w14:textId="77777777" w:rsidTr="001C1A83">
        <w:trPr>
          <w:trHeight w:val="217"/>
        </w:trPr>
        <w:tc>
          <w:tcPr>
            <w:tcW w:w="850" w:type="dxa"/>
            <w:gridSpan w:val="2"/>
            <w:tcBorders>
              <w:right w:val="nil"/>
            </w:tcBorders>
            <w:shd w:val="clear" w:color="auto" w:fill="auto"/>
            <w:vAlign w:val="center"/>
          </w:tcPr>
          <w:p w14:paraId="7D2CBC01" w14:textId="77777777" w:rsidR="003C4C24" w:rsidRPr="000435BE" w:rsidRDefault="003C4C24" w:rsidP="003C4C24">
            <w:pPr>
              <w:spacing w:after="40" w:line="280" w:lineRule="atLeast"/>
              <w:rPr>
                <w:rFonts w:ascii="Verdana" w:hAnsi="Verdana"/>
                <w:i/>
                <w:color w:val="000000"/>
                <w:sz w:val="14"/>
                <w:szCs w:val="14"/>
              </w:rPr>
            </w:pPr>
            <w:r w:rsidRPr="000435BE">
              <w:rPr>
                <w:rFonts w:ascii="Verdana" w:hAnsi="Verdana"/>
                <w:i/>
                <w:color w:val="000000"/>
                <w:sz w:val="14"/>
                <w:szCs w:val="14"/>
              </w:rPr>
              <w:t>Source:</w:t>
            </w:r>
          </w:p>
        </w:tc>
        <w:tc>
          <w:tcPr>
            <w:tcW w:w="8364" w:type="dxa"/>
            <w:gridSpan w:val="6"/>
            <w:tcBorders>
              <w:left w:val="nil"/>
            </w:tcBorders>
            <w:shd w:val="clear" w:color="auto" w:fill="auto"/>
            <w:vAlign w:val="center"/>
          </w:tcPr>
          <w:p w14:paraId="38356A19" w14:textId="0691F240" w:rsidR="003C4C24" w:rsidRPr="00573EA2" w:rsidRDefault="003C4C24" w:rsidP="003C4C24">
            <w:pPr>
              <w:spacing w:after="40" w:line="280" w:lineRule="atLeast"/>
              <w:rPr>
                <w:rFonts w:ascii="Verdana" w:hAnsi="Verdana"/>
                <w:i/>
                <w:color w:val="000000"/>
                <w:sz w:val="14"/>
                <w:szCs w:val="14"/>
                <w:lang w:val="it-IT"/>
              </w:rPr>
            </w:pPr>
            <w:r w:rsidRPr="00573EA2">
              <w:rPr>
                <w:rFonts w:ascii="Verdana" w:hAnsi="Verdana"/>
                <w:i/>
                <w:color w:val="000000"/>
                <w:sz w:val="14"/>
                <w:szCs w:val="14"/>
                <w:lang w:val="it-IT"/>
              </w:rPr>
              <w:t>etfSA.co.za / JSE / Profile Data (3</w:t>
            </w:r>
            <w:r>
              <w:rPr>
                <w:rFonts w:ascii="Verdana" w:hAnsi="Verdana"/>
                <w:i/>
                <w:color w:val="000000"/>
                <w:sz w:val="14"/>
                <w:szCs w:val="14"/>
                <w:lang w:val="it-IT"/>
              </w:rPr>
              <w:t>1</w:t>
            </w:r>
            <w:r w:rsidRPr="00573EA2">
              <w:rPr>
                <w:rFonts w:ascii="Verdana" w:hAnsi="Verdana"/>
                <w:i/>
                <w:color w:val="000000"/>
                <w:sz w:val="14"/>
                <w:szCs w:val="14"/>
                <w:lang w:val="it-IT"/>
              </w:rPr>
              <w:t>/</w:t>
            </w:r>
            <w:r>
              <w:rPr>
                <w:rFonts w:ascii="Verdana" w:hAnsi="Verdana"/>
                <w:i/>
                <w:color w:val="000000"/>
                <w:sz w:val="14"/>
                <w:szCs w:val="14"/>
                <w:lang w:val="it-IT"/>
              </w:rPr>
              <w:t>3</w:t>
            </w:r>
            <w:r w:rsidRPr="00573EA2">
              <w:rPr>
                <w:rFonts w:ascii="Verdana" w:hAnsi="Verdana"/>
                <w:i/>
                <w:color w:val="000000"/>
                <w:sz w:val="14"/>
                <w:szCs w:val="14"/>
                <w:lang w:val="it-IT"/>
              </w:rPr>
              <w:t>/202</w:t>
            </w:r>
            <w:r>
              <w:rPr>
                <w:rFonts w:ascii="Verdana" w:hAnsi="Verdana"/>
                <w:i/>
                <w:color w:val="000000"/>
                <w:sz w:val="14"/>
                <w:szCs w:val="14"/>
                <w:lang w:val="it-IT"/>
              </w:rPr>
              <w:t>2</w:t>
            </w:r>
            <w:r w:rsidRPr="00573EA2">
              <w:rPr>
                <w:rFonts w:ascii="Verdana" w:hAnsi="Verdana"/>
                <w:i/>
                <w:color w:val="000000"/>
                <w:sz w:val="14"/>
                <w:szCs w:val="14"/>
                <w:lang w:val="it-IT"/>
              </w:rPr>
              <w:t xml:space="preserve">). </w:t>
            </w:r>
          </w:p>
        </w:tc>
      </w:tr>
    </w:tbl>
    <w:p w14:paraId="0F808FD2" w14:textId="1DEE9B55" w:rsidR="006015AB" w:rsidRDefault="006015AB" w:rsidP="00DD5A08">
      <w:pPr>
        <w:spacing w:after="120" w:line="320" w:lineRule="atLeast"/>
        <w:jc w:val="both"/>
        <w:rPr>
          <w:rFonts w:ascii="Verdana" w:hAnsi="Verdana"/>
          <w:color w:val="000000"/>
          <w:sz w:val="21"/>
          <w:szCs w:val="21"/>
          <w:lang w:val="it-IT"/>
        </w:rPr>
      </w:pPr>
    </w:p>
    <w:p w14:paraId="65C9C319" w14:textId="3EEE79A1" w:rsidR="003E6D07" w:rsidRDefault="003E6D07" w:rsidP="0075479F">
      <w:pPr>
        <w:spacing w:after="0" w:line="340" w:lineRule="atLeast"/>
        <w:jc w:val="both"/>
        <w:rPr>
          <w:rFonts w:ascii="Verdana" w:hAnsi="Verdana"/>
          <w:color w:val="000000"/>
          <w:sz w:val="21"/>
          <w:szCs w:val="21"/>
        </w:rPr>
      </w:pPr>
      <w:r w:rsidRPr="003E6D07">
        <w:rPr>
          <w:rFonts w:ascii="Verdana" w:hAnsi="Verdana"/>
          <w:b/>
          <w:bCs/>
          <w:color w:val="000000"/>
          <w:sz w:val="21"/>
          <w:szCs w:val="21"/>
        </w:rPr>
        <w:t>Satrix Managers</w:t>
      </w:r>
      <w:r w:rsidRPr="003E6D07">
        <w:rPr>
          <w:rFonts w:ascii="Verdana" w:hAnsi="Verdana"/>
          <w:color w:val="000000"/>
          <w:sz w:val="21"/>
          <w:szCs w:val="21"/>
        </w:rPr>
        <w:t xml:space="preserve"> – has extended i</w:t>
      </w:r>
      <w:r>
        <w:rPr>
          <w:rFonts w:ascii="Verdana" w:hAnsi="Verdana"/>
          <w:color w:val="000000"/>
          <w:sz w:val="21"/>
          <w:szCs w:val="21"/>
        </w:rPr>
        <w:t>ts lead over the other issuing houses as the largest listing company for ETPs in South Africa.  It now has 24 ETF</w:t>
      </w:r>
      <w:r w:rsidR="0089751B">
        <w:rPr>
          <w:rFonts w:ascii="Verdana" w:hAnsi="Verdana"/>
          <w:color w:val="000000"/>
          <w:sz w:val="21"/>
          <w:szCs w:val="21"/>
        </w:rPr>
        <w:t>s</w:t>
      </w:r>
      <w:r>
        <w:rPr>
          <w:rFonts w:ascii="Verdana" w:hAnsi="Verdana"/>
          <w:color w:val="000000"/>
          <w:sz w:val="21"/>
          <w:szCs w:val="21"/>
        </w:rPr>
        <w:t xml:space="preserve"> in issue </w:t>
      </w:r>
      <w:r w:rsidR="0075479F">
        <w:rPr>
          <w:rFonts w:ascii="Verdana" w:hAnsi="Verdana"/>
          <w:color w:val="000000"/>
          <w:sz w:val="21"/>
          <w:szCs w:val="21"/>
        </w:rPr>
        <w:t>with</w:t>
      </w:r>
      <w:r>
        <w:rPr>
          <w:rFonts w:ascii="Verdana" w:hAnsi="Verdana"/>
          <w:color w:val="000000"/>
          <w:sz w:val="21"/>
          <w:szCs w:val="21"/>
        </w:rPr>
        <w:t xml:space="preserve"> a total </w:t>
      </w:r>
      <w:r w:rsidR="0075479F">
        <w:rPr>
          <w:rFonts w:ascii="Verdana" w:hAnsi="Verdana"/>
          <w:color w:val="000000"/>
          <w:sz w:val="21"/>
          <w:szCs w:val="21"/>
        </w:rPr>
        <w:t xml:space="preserve">AUM </w:t>
      </w:r>
      <w:r>
        <w:rPr>
          <w:rFonts w:ascii="Verdana" w:hAnsi="Verdana"/>
          <w:color w:val="000000"/>
          <w:sz w:val="21"/>
          <w:szCs w:val="21"/>
        </w:rPr>
        <w:t>of R37 520,8 million.  Satrix was able to put further d</w:t>
      </w:r>
      <w:r w:rsidR="0075479F">
        <w:rPr>
          <w:rFonts w:ascii="Verdana" w:hAnsi="Verdana"/>
          <w:color w:val="000000"/>
          <w:sz w:val="21"/>
          <w:szCs w:val="21"/>
        </w:rPr>
        <w:t xml:space="preserve">aylight </w:t>
      </w:r>
      <w:r w:rsidR="00BB7E35">
        <w:rPr>
          <w:rFonts w:ascii="Verdana" w:hAnsi="Verdana"/>
          <w:color w:val="000000"/>
          <w:sz w:val="21"/>
          <w:szCs w:val="21"/>
        </w:rPr>
        <w:t xml:space="preserve">between it and its nearest competitor, Sygnia Itrix, over the first quarter, mainly due to its </w:t>
      </w:r>
      <w:r w:rsidR="0075479F">
        <w:rPr>
          <w:rFonts w:ascii="Verdana" w:hAnsi="Verdana"/>
          <w:color w:val="000000"/>
          <w:sz w:val="21"/>
          <w:szCs w:val="21"/>
        </w:rPr>
        <w:t>bigg</w:t>
      </w:r>
      <w:r w:rsidR="00BB7E35">
        <w:rPr>
          <w:rFonts w:ascii="Verdana" w:hAnsi="Verdana"/>
          <w:color w:val="000000"/>
          <w:sz w:val="21"/>
          <w:szCs w:val="21"/>
        </w:rPr>
        <w:t>er portfolio of ETFs covering the South African equity market, which has been the best performing market to date this year.  It has also been successful in raising money for new listings of m</w:t>
      </w:r>
      <w:r w:rsidR="0075479F">
        <w:rPr>
          <w:rFonts w:ascii="Verdana" w:hAnsi="Verdana"/>
          <w:color w:val="000000"/>
          <w:sz w:val="21"/>
          <w:szCs w:val="21"/>
        </w:rPr>
        <w:t>any</w:t>
      </w:r>
      <w:r w:rsidR="00BB7E35">
        <w:rPr>
          <w:rFonts w:ascii="Verdana" w:hAnsi="Verdana"/>
          <w:color w:val="000000"/>
          <w:sz w:val="21"/>
          <w:szCs w:val="21"/>
        </w:rPr>
        <w:t xml:space="preserve"> of its foreign referenced ETFs over this period, which might be due to investors realising that the strong rand offers a good buying opportunity for the acquisition of foreign assets through JSE listed ETPs.  </w:t>
      </w:r>
    </w:p>
    <w:p w14:paraId="68C6D3FB" w14:textId="4F9F3A02" w:rsidR="0075479F" w:rsidRDefault="0075479F">
      <w:pPr>
        <w:rPr>
          <w:rFonts w:ascii="Verdana" w:hAnsi="Verdana"/>
          <w:color w:val="000000"/>
          <w:sz w:val="21"/>
          <w:szCs w:val="21"/>
        </w:rPr>
      </w:pPr>
      <w:r>
        <w:rPr>
          <w:rFonts w:ascii="Verdana" w:hAnsi="Verdana"/>
          <w:color w:val="000000"/>
          <w:sz w:val="21"/>
          <w:szCs w:val="21"/>
        </w:rPr>
        <w:br w:type="page"/>
      </w:r>
    </w:p>
    <w:p w14:paraId="1253160E" w14:textId="77777777" w:rsidR="00DD5A08" w:rsidRDefault="00DD5A08" w:rsidP="00B86862">
      <w:pPr>
        <w:spacing w:after="0" w:line="340" w:lineRule="atLeast"/>
        <w:jc w:val="both"/>
        <w:rPr>
          <w:rFonts w:ascii="Verdana" w:hAnsi="Verdana"/>
          <w:color w:val="000000"/>
          <w:sz w:val="21"/>
          <w:szCs w:val="21"/>
        </w:rPr>
      </w:pPr>
    </w:p>
    <w:p w14:paraId="7A0E62E0" w14:textId="66D4F1F4" w:rsidR="006345C7" w:rsidRDefault="00BB7E35" w:rsidP="00B86862">
      <w:pPr>
        <w:spacing w:after="0" w:line="340" w:lineRule="atLeast"/>
        <w:jc w:val="both"/>
        <w:rPr>
          <w:rFonts w:ascii="Verdana" w:hAnsi="Verdana"/>
          <w:color w:val="000000"/>
          <w:sz w:val="21"/>
          <w:szCs w:val="21"/>
        </w:rPr>
      </w:pPr>
      <w:r>
        <w:rPr>
          <w:rFonts w:ascii="Verdana" w:hAnsi="Verdana"/>
          <w:color w:val="000000"/>
          <w:sz w:val="21"/>
          <w:szCs w:val="21"/>
        </w:rPr>
        <w:t>Satrix was the only company to list any new products in the first three months of this year.  This was the Satrix MSI India ETF, which tracks 107 shares listed on the India</w:t>
      </w:r>
      <w:r w:rsidR="0075479F">
        <w:rPr>
          <w:rFonts w:ascii="Verdana" w:hAnsi="Verdana"/>
          <w:color w:val="000000"/>
          <w:sz w:val="21"/>
          <w:szCs w:val="21"/>
        </w:rPr>
        <w:t>n</w:t>
      </w:r>
      <w:r>
        <w:rPr>
          <w:rFonts w:ascii="Verdana" w:hAnsi="Verdana"/>
          <w:color w:val="000000"/>
          <w:sz w:val="21"/>
          <w:szCs w:val="21"/>
        </w:rPr>
        <w:t xml:space="preserve"> stock exchanges.  The listing took place on 24 February 2022 </w:t>
      </w:r>
      <w:r w:rsidR="006345C7">
        <w:rPr>
          <w:rFonts w:ascii="Verdana" w:hAnsi="Verdana"/>
          <w:color w:val="000000"/>
          <w:sz w:val="21"/>
          <w:szCs w:val="21"/>
        </w:rPr>
        <w:t>and to date, R1</w:t>
      </w:r>
      <w:r w:rsidR="0075479F">
        <w:rPr>
          <w:rFonts w:ascii="Verdana" w:hAnsi="Verdana"/>
          <w:color w:val="000000"/>
          <w:sz w:val="21"/>
          <w:szCs w:val="21"/>
        </w:rPr>
        <w:t>1</w:t>
      </w:r>
      <w:r w:rsidR="006345C7">
        <w:rPr>
          <w:rFonts w:ascii="Verdana" w:hAnsi="Verdana"/>
          <w:color w:val="000000"/>
          <w:sz w:val="21"/>
          <w:szCs w:val="21"/>
        </w:rPr>
        <w:t xml:space="preserve">3 million new capital has been raised for this ETF in the IPO and through subsequent listings of additional securities. </w:t>
      </w:r>
    </w:p>
    <w:p w14:paraId="40BEC1B4" w14:textId="08B236C7" w:rsidR="006345C7" w:rsidRDefault="006345C7" w:rsidP="00B86862">
      <w:pPr>
        <w:spacing w:after="0" w:line="340" w:lineRule="atLeast"/>
        <w:rPr>
          <w:rFonts w:ascii="Verdana" w:hAnsi="Verdana"/>
          <w:color w:val="000000"/>
          <w:sz w:val="21"/>
          <w:szCs w:val="21"/>
        </w:rPr>
      </w:pPr>
    </w:p>
    <w:p w14:paraId="4D5F8E1E" w14:textId="7EE4EDF5" w:rsidR="00BB7E35" w:rsidRDefault="006345C7" w:rsidP="00B86862">
      <w:pPr>
        <w:spacing w:after="0" w:line="340" w:lineRule="atLeast"/>
        <w:jc w:val="both"/>
        <w:rPr>
          <w:rFonts w:ascii="Verdana" w:hAnsi="Verdana"/>
          <w:color w:val="000000"/>
          <w:sz w:val="21"/>
          <w:szCs w:val="21"/>
        </w:rPr>
      </w:pPr>
      <w:r>
        <w:rPr>
          <w:rFonts w:ascii="Verdana" w:hAnsi="Verdana"/>
          <w:b/>
          <w:bCs/>
          <w:color w:val="000000"/>
          <w:sz w:val="21"/>
          <w:szCs w:val="21"/>
        </w:rPr>
        <w:t>Sygnia Itrix</w:t>
      </w:r>
      <w:r>
        <w:rPr>
          <w:rFonts w:ascii="Verdana" w:hAnsi="Verdana"/>
          <w:color w:val="000000"/>
          <w:sz w:val="21"/>
          <w:szCs w:val="21"/>
        </w:rPr>
        <w:t xml:space="preserve"> raised R1 769,9 million from the new issue of ETPs in the first quarter of 2022, but the decline in </w:t>
      </w:r>
      <w:r w:rsidR="0075479F">
        <w:rPr>
          <w:rFonts w:ascii="Verdana" w:hAnsi="Verdana"/>
          <w:color w:val="000000"/>
          <w:sz w:val="21"/>
          <w:szCs w:val="21"/>
        </w:rPr>
        <w:t>prices</w:t>
      </w:r>
      <w:r>
        <w:rPr>
          <w:rFonts w:ascii="Verdana" w:hAnsi="Verdana"/>
          <w:color w:val="000000"/>
          <w:sz w:val="21"/>
          <w:szCs w:val="21"/>
        </w:rPr>
        <w:t xml:space="preserve"> of m</w:t>
      </w:r>
      <w:r w:rsidR="0075479F">
        <w:rPr>
          <w:rFonts w:ascii="Verdana" w:hAnsi="Verdana"/>
          <w:color w:val="000000"/>
          <w:sz w:val="21"/>
          <w:szCs w:val="21"/>
        </w:rPr>
        <w:t>any</w:t>
      </w:r>
      <w:r>
        <w:rPr>
          <w:rFonts w:ascii="Verdana" w:hAnsi="Verdana"/>
          <w:color w:val="000000"/>
          <w:sz w:val="21"/>
          <w:szCs w:val="21"/>
        </w:rPr>
        <w:t xml:space="preserve"> of the foreign referenced ETF</w:t>
      </w:r>
      <w:r w:rsidR="00D85866">
        <w:rPr>
          <w:rFonts w:ascii="Verdana" w:hAnsi="Verdana"/>
          <w:color w:val="000000"/>
          <w:sz w:val="21"/>
          <w:szCs w:val="21"/>
        </w:rPr>
        <w:t xml:space="preserve">s they have in issue, </w:t>
      </w:r>
      <w:r w:rsidR="0075479F">
        <w:rPr>
          <w:rFonts w:ascii="Verdana" w:hAnsi="Verdana"/>
          <w:color w:val="000000"/>
          <w:sz w:val="21"/>
          <w:szCs w:val="21"/>
        </w:rPr>
        <w:t xml:space="preserve">led </w:t>
      </w:r>
      <w:r w:rsidR="00D85866">
        <w:rPr>
          <w:rFonts w:ascii="Verdana" w:hAnsi="Verdana"/>
          <w:color w:val="000000"/>
          <w:sz w:val="21"/>
          <w:szCs w:val="21"/>
        </w:rPr>
        <w:t xml:space="preserve">to an overall decline in the market capitalisation of the Sygnia Itrix ETFs over this period. </w:t>
      </w:r>
    </w:p>
    <w:p w14:paraId="71C3F41F" w14:textId="05794D84" w:rsidR="00D85866" w:rsidRDefault="00D85866" w:rsidP="00B86862">
      <w:pPr>
        <w:spacing w:after="0" w:line="340" w:lineRule="atLeast"/>
        <w:jc w:val="both"/>
        <w:rPr>
          <w:rFonts w:ascii="Verdana" w:hAnsi="Verdana"/>
          <w:color w:val="000000"/>
          <w:sz w:val="21"/>
          <w:szCs w:val="21"/>
        </w:rPr>
      </w:pPr>
    </w:p>
    <w:p w14:paraId="199F64FF" w14:textId="73224425" w:rsidR="00D85866" w:rsidRDefault="00D85866" w:rsidP="00B86862">
      <w:pPr>
        <w:spacing w:after="0" w:line="340" w:lineRule="atLeast"/>
        <w:jc w:val="both"/>
        <w:rPr>
          <w:rFonts w:ascii="Verdana" w:hAnsi="Verdana"/>
          <w:color w:val="000000"/>
          <w:sz w:val="21"/>
          <w:szCs w:val="21"/>
        </w:rPr>
      </w:pPr>
      <w:r>
        <w:rPr>
          <w:rFonts w:ascii="Verdana" w:hAnsi="Verdana"/>
          <w:color w:val="000000"/>
          <w:sz w:val="21"/>
          <w:szCs w:val="21"/>
        </w:rPr>
        <w:t xml:space="preserve">However, targeting the issue of foreign referenced ETFs, which allow access to global assets for most investors, without foreign exchange control restrictions, is a strategy that makes sense and Sygnia has indicated that further new issues of </w:t>
      </w:r>
      <w:r w:rsidR="00B86862">
        <w:rPr>
          <w:rFonts w:ascii="Verdana" w:hAnsi="Verdana"/>
          <w:color w:val="000000"/>
          <w:sz w:val="21"/>
          <w:szCs w:val="21"/>
        </w:rPr>
        <w:t xml:space="preserve">such </w:t>
      </w:r>
      <w:r>
        <w:rPr>
          <w:rFonts w:ascii="Verdana" w:hAnsi="Verdana"/>
          <w:color w:val="000000"/>
          <w:sz w:val="21"/>
          <w:szCs w:val="21"/>
        </w:rPr>
        <w:t>ET</w:t>
      </w:r>
      <w:r w:rsidR="00B86862">
        <w:rPr>
          <w:rFonts w:ascii="Verdana" w:hAnsi="Verdana"/>
          <w:color w:val="000000"/>
          <w:sz w:val="21"/>
          <w:szCs w:val="21"/>
        </w:rPr>
        <w:t>F</w:t>
      </w:r>
      <w:r>
        <w:rPr>
          <w:rFonts w:ascii="Verdana" w:hAnsi="Verdana"/>
          <w:color w:val="000000"/>
          <w:sz w:val="21"/>
          <w:szCs w:val="21"/>
        </w:rPr>
        <w:t xml:space="preserve">s are in the pipeline. </w:t>
      </w:r>
    </w:p>
    <w:p w14:paraId="41EDEBB7" w14:textId="5F78AF0F" w:rsidR="00D85866" w:rsidRDefault="00D85866" w:rsidP="00B86862">
      <w:pPr>
        <w:spacing w:after="0" w:line="340" w:lineRule="atLeast"/>
        <w:jc w:val="both"/>
        <w:rPr>
          <w:rFonts w:ascii="Verdana" w:hAnsi="Verdana"/>
          <w:color w:val="000000"/>
          <w:sz w:val="21"/>
          <w:szCs w:val="21"/>
        </w:rPr>
      </w:pPr>
    </w:p>
    <w:p w14:paraId="33E0BBA6" w14:textId="6F279EF6" w:rsidR="00D85866" w:rsidRDefault="00D85866" w:rsidP="00B86862">
      <w:pPr>
        <w:spacing w:after="0" w:line="340" w:lineRule="atLeast"/>
        <w:jc w:val="both"/>
        <w:rPr>
          <w:rFonts w:ascii="Verdana" w:hAnsi="Verdana"/>
          <w:color w:val="000000"/>
          <w:sz w:val="21"/>
          <w:szCs w:val="21"/>
        </w:rPr>
      </w:pPr>
      <w:r>
        <w:rPr>
          <w:rFonts w:ascii="Verdana" w:hAnsi="Verdana"/>
          <w:b/>
          <w:bCs/>
          <w:color w:val="000000"/>
          <w:sz w:val="21"/>
          <w:szCs w:val="21"/>
        </w:rPr>
        <w:t>Absa Capital</w:t>
      </w:r>
      <w:r>
        <w:rPr>
          <w:rFonts w:ascii="Verdana" w:hAnsi="Verdana"/>
          <w:color w:val="000000"/>
          <w:sz w:val="21"/>
          <w:szCs w:val="21"/>
        </w:rPr>
        <w:t xml:space="preserve"> – the purchase of Absa Asset Managers by Sanlam, will transfer the NewFunds ETFs across to Satrix in due course.  This will further swell the size of the Satrix ETF business, but will also leave Absa, with only the NewGold commodity ETFs and the NewWave ETNs, in their stable.  Absa’s future strategy and </w:t>
      </w:r>
      <w:r w:rsidR="00B86862">
        <w:rPr>
          <w:rFonts w:ascii="Verdana" w:hAnsi="Verdana"/>
          <w:color w:val="000000"/>
          <w:sz w:val="21"/>
          <w:szCs w:val="21"/>
        </w:rPr>
        <w:t>area</w:t>
      </w:r>
      <w:r w:rsidR="00C01B7D">
        <w:rPr>
          <w:rFonts w:ascii="Verdana" w:hAnsi="Verdana"/>
          <w:color w:val="000000"/>
          <w:sz w:val="21"/>
          <w:szCs w:val="21"/>
        </w:rPr>
        <w:t>s</w:t>
      </w:r>
      <w:r w:rsidR="00B86862">
        <w:rPr>
          <w:rFonts w:ascii="Verdana" w:hAnsi="Verdana"/>
          <w:color w:val="000000"/>
          <w:sz w:val="21"/>
          <w:szCs w:val="21"/>
        </w:rPr>
        <w:t xml:space="preserve"> of </w:t>
      </w:r>
      <w:r>
        <w:rPr>
          <w:rFonts w:ascii="Verdana" w:hAnsi="Verdana"/>
          <w:color w:val="000000"/>
          <w:sz w:val="21"/>
          <w:szCs w:val="21"/>
        </w:rPr>
        <w:t>focus in the ETP industry will be watched with</w:t>
      </w:r>
      <w:r w:rsidR="00043FCA">
        <w:rPr>
          <w:rFonts w:ascii="Verdana" w:hAnsi="Verdana"/>
          <w:color w:val="000000"/>
          <w:sz w:val="21"/>
          <w:szCs w:val="21"/>
        </w:rPr>
        <w:t xml:space="preserve"> interest. </w:t>
      </w:r>
    </w:p>
    <w:p w14:paraId="0281F5DD" w14:textId="4EC1CF51" w:rsidR="00043FCA" w:rsidRDefault="00043FCA" w:rsidP="00B86862">
      <w:pPr>
        <w:spacing w:after="0" w:line="340" w:lineRule="atLeast"/>
        <w:jc w:val="both"/>
        <w:rPr>
          <w:rFonts w:ascii="Verdana" w:hAnsi="Verdana"/>
          <w:color w:val="000000"/>
          <w:sz w:val="21"/>
          <w:szCs w:val="21"/>
        </w:rPr>
      </w:pPr>
    </w:p>
    <w:p w14:paraId="7C3B3175" w14:textId="6CB0C2F7" w:rsidR="00043FCA" w:rsidRDefault="00043FCA" w:rsidP="00B86862">
      <w:pPr>
        <w:spacing w:after="0" w:line="340" w:lineRule="atLeast"/>
        <w:jc w:val="both"/>
        <w:rPr>
          <w:rFonts w:ascii="Verdana" w:hAnsi="Verdana"/>
          <w:color w:val="000000"/>
          <w:sz w:val="21"/>
          <w:szCs w:val="21"/>
        </w:rPr>
      </w:pPr>
      <w:r>
        <w:rPr>
          <w:rFonts w:ascii="Verdana" w:hAnsi="Verdana"/>
          <w:b/>
          <w:bCs/>
          <w:color w:val="000000"/>
          <w:sz w:val="21"/>
          <w:szCs w:val="21"/>
        </w:rPr>
        <w:t>FNB</w:t>
      </w:r>
      <w:r>
        <w:rPr>
          <w:rFonts w:ascii="Verdana" w:hAnsi="Verdana"/>
          <w:color w:val="000000"/>
          <w:sz w:val="21"/>
          <w:szCs w:val="21"/>
        </w:rPr>
        <w:t xml:space="preserve"> – the consolidation of the </w:t>
      </w:r>
      <w:r w:rsidR="00B86862">
        <w:rPr>
          <w:rFonts w:ascii="Verdana" w:hAnsi="Verdana"/>
          <w:color w:val="000000"/>
          <w:sz w:val="21"/>
          <w:szCs w:val="21"/>
        </w:rPr>
        <w:t xml:space="preserve">South African </w:t>
      </w:r>
      <w:r>
        <w:rPr>
          <w:rFonts w:ascii="Verdana" w:hAnsi="Verdana"/>
          <w:color w:val="000000"/>
          <w:sz w:val="21"/>
          <w:szCs w:val="21"/>
        </w:rPr>
        <w:t xml:space="preserve">ETP industry took another step forward as First National Bank incorporated the Ashburton range of ETFs under the FNB brand.  The three ETF “certificates” issued as dollar deposits and </w:t>
      </w:r>
      <w:r w:rsidR="00B86862">
        <w:rPr>
          <w:rFonts w:ascii="Verdana" w:hAnsi="Verdana"/>
          <w:color w:val="000000"/>
          <w:sz w:val="21"/>
          <w:szCs w:val="21"/>
        </w:rPr>
        <w:t xml:space="preserve">tracking </w:t>
      </w:r>
      <w:r>
        <w:rPr>
          <w:rFonts w:ascii="Verdana" w:hAnsi="Verdana"/>
          <w:color w:val="000000"/>
          <w:sz w:val="21"/>
          <w:szCs w:val="21"/>
        </w:rPr>
        <w:t>Krugerrand</w:t>
      </w:r>
      <w:r w:rsidR="00B86862">
        <w:rPr>
          <w:rFonts w:ascii="Verdana" w:hAnsi="Verdana"/>
          <w:color w:val="000000"/>
          <w:sz w:val="21"/>
          <w:szCs w:val="21"/>
        </w:rPr>
        <w:t xml:space="preserve"> price</w:t>
      </w:r>
      <w:r>
        <w:rPr>
          <w:rFonts w:ascii="Verdana" w:hAnsi="Verdana"/>
          <w:color w:val="000000"/>
          <w:sz w:val="21"/>
          <w:szCs w:val="21"/>
        </w:rPr>
        <w:t xml:space="preserve">s are also now incorporated in the FNB stable. </w:t>
      </w:r>
    </w:p>
    <w:p w14:paraId="1FFDC058" w14:textId="64C8B02E" w:rsidR="00043FCA" w:rsidRDefault="00043FCA" w:rsidP="00B86862">
      <w:pPr>
        <w:spacing w:after="0" w:line="340" w:lineRule="atLeast"/>
        <w:jc w:val="both"/>
        <w:rPr>
          <w:rFonts w:ascii="Verdana" w:hAnsi="Verdana"/>
          <w:color w:val="000000"/>
          <w:sz w:val="21"/>
          <w:szCs w:val="21"/>
        </w:rPr>
      </w:pPr>
    </w:p>
    <w:p w14:paraId="021BC81B" w14:textId="257EF679" w:rsidR="00043FCA" w:rsidRDefault="00043FCA" w:rsidP="00B86862">
      <w:pPr>
        <w:spacing w:after="0" w:line="340" w:lineRule="atLeast"/>
        <w:jc w:val="both"/>
        <w:rPr>
          <w:rFonts w:ascii="Verdana" w:hAnsi="Verdana"/>
          <w:color w:val="000000"/>
          <w:sz w:val="21"/>
          <w:szCs w:val="21"/>
        </w:rPr>
      </w:pPr>
      <w:r>
        <w:rPr>
          <w:rFonts w:ascii="Verdana" w:hAnsi="Verdana"/>
          <w:color w:val="000000"/>
          <w:sz w:val="21"/>
          <w:szCs w:val="21"/>
        </w:rPr>
        <w:t xml:space="preserve">Together with the single-stock ETNs issued </w:t>
      </w:r>
      <w:r w:rsidR="00B86862">
        <w:rPr>
          <w:rFonts w:ascii="Verdana" w:hAnsi="Verdana"/>
          <w:color w:val="000000"/>
          <w:sz w:val="21"/>
          <w:szCs w:val="21"/>
        </w:rPr>
        <w:t>over</w:t>
      </w:r>
      <w:r>
        <w:rPr>
          <w:rFonts w:ascii="Verdana" w:hAnsi="Verdana"/>
          <w:color w:val="000000"/>
          <w:sz w:val="21"/>
          <w:szCs w:val="21"/>
        </w:rPr>
        <w:t xml:space="preserve"> a number of US individual securities, plus the index tracking ETNs issued for a </w:t>
      </w:r>
      <w:r w:rsidR="00B86862">
        <w:rPr>
          <w:rFonts w:ascii="Verdana" w:hAnsi="Verdana"/>
          <w:color w:val="000000"/>
          <w:sz w:val="21"/>
          <w:szCs w:val="21"/>
        </w:rPr>
        <w:t>selection</w:t>
      </w:r>
      <w:r>
        <w:rPr>
          <w:rFonts w:ascii="Verdana" w:hAnsi="Verdana"/>
          <w:color w:val="000000"/>
          <w:sz w:val="21"/>
          <w:szCs w:val="21"/>
        </w:rPr>
        <w:t xml:space="preserve"> of global indices late in 2021, </w:t>
      </w:r>
      <w:r w:rsidR="00C01B7D">
        <w:rPr>
          <w:rFonts w:ascii="Verdana" w:hAnsi="Verdana"/>
          <w:color w:val="000000"/>
          <w:sz w:val="21"/>
          <w:szCs w:val="21"/>
        </w:rPr>
        <w:t xml:space="preserve">this </w:t>
      </w:r>
      <w:r>
        <w:rPr>
          <w:rFonts w:ascii="Verdana" w:hAnsi="Verdana"/>
          <w:color w:val="000000"/>
          <w:sz w:val="21"/>
          <w:szCs w:val="21"/>
        </w:rPr>
        <w:t xml:space="preserve">now makes FNB the issuer of the largest number of ETFs/ETNs in South Africa, namely 8 ETFs and 42 ETNs. </w:t>
      </w:r>
    </w:p>
    <w:p w14:paraId="0B313913" w14:textId="7A673B4E" w:rsidR="00043FCA" w:rsidRDefault="00043FCA" w:rsidP="00B86862">
      <w:pPr>
        <w:spacing w:after="0" w:line="340" w:lineRule="atLeast"/>
        <w:jc w:val="both"/>
        <w:rPr>
          <w:rFonts w:ascii="Verdana" w:hAnsi="Verdana"/>
          <w:color w:val="000000"/>
          <w:sz w:val="21"/>
          <w:szCs w:val="21"/>
        </w:rPr>
      </w:pPr>
    </w:p>
    <w:p w14:paraId="655B2262" w14:textId="22CA2E8A" w:rsidR="00043FCA" w:rsidRDefault="00043FCA" w:rsidP="00B86862">
      <w:pPr>
        <w:spacing w:after="0" w:line="340" w:lineRule="atLeast"/>
        <w:jc w:val="both"/>
        <w:rPr>
          <w:rFonts w:ascii="Verdana" w:hAnsi="Verdana"/>
          <w:color w:val="000000"/>
          <w:sz w:val="21"/>
          <w:szCs w:val="21"/>
        </w:rPr>
      </w:pPr>
      <w:r>
        <w:rPr>
          <w:rFonts w:ascii="Verdana" w:hAnsi="Verdana"/>
          <w:color w:val="000000"/>
          <w:sz w:val="21"/>
          <w:szCs w:val="21"/>
        </w:rPr>
        <w:t xml:space="preserve">It appears likely that the FNB Group </w:t>
      </w:r>
      <w:r w:rsidR="00B86862">
        <w:rPr>
          <w:rFonts w:ascii="Verdana" w:hAnsi="Verdana"/>
          <w:color w:val="000000"/>
          <w:sz w:val="21"/>
          <w:szCs w:val="21"/>
        </w:rPr>
        <w:t>would</w:t>
      </w:r>
      <w:r>
        <w:rPr>
          <w:rFonts w:ascii="Verdana" w:hAnsi="Verdana"/>
          <w:color w:val="000000"/>
          <w:sz w:val="21"/>
          <w:szCs w:val="21"/>
        </w:rPr>
        <w:t xml:space="preserve"> have some plans in place for the expansion of its consolidated range of ETPs.  </w:t>
      </w:r>
    </w:p>
    <w:p w14:paraId="30C54C66" w14:textId="1C10B6E1" w:rsidR="00043FCA" w:rsidRDefault="00043FCA" w:rsidP="00B86862">
      <w:pPr>
        <w:spacing w:after="0" w:line="340" w:lineRule="atLeast"/>
        <w:jc w:val="both"/>
        <w:rPr>
          <w:rFonts w:ascii="Verdana" w:hAnsi="Verdana"/>
          <w:color w:val="000000"/>
          <w:sz w:val="21"/>
          <w:szCs w:val="21"/>
        </w:rPr>
      </w:pPr>
    </w:p>
    <w:p w14:paraId="484496B3" w14:textId="12C24AD0" w:rsidR="00043FCA" w:rsidRDefault="00043FCA" w:rsidP="00B86862">
      <w:pPr>
        <w:spacing w:after="0" w:line="340" w:lineRule="atLeast"/>
        <w:jc w:val="both"/>
        <w:rPr>
          <w:rFonts w:ascii="Verdana" w:hAnsi="Verdana"/>
          <w:color w:val="000000"/>
          <w:sz w:val="21"/>
          <w:szCs w:val="21"/>
        </w:rPr>
      </w:pPr>
      <w:r>
        <w:rPr>
          <w:rFonts w:ascii="Verdana" w:hAnsi="Verdana"/>
          <w:b/>
          <w:bCs/>
          <w:color w:val="000000"/>
          <w:sz w:val="21"/>
          <w:szCs w:val="21"/>
        </w:rPr>
        <w:t>1nvest</w:t>
      </w:r>
      <w:r>
        <w:rPr>
          <w:rFonts w:ascii="Verdana" w:hAnsi="Verdana"/>
          <w:color w:val="000000"/>
          <w:sz w:val="21"/>
          <w:szCs w:val="21"/>
        </w:rPr>
        <w:t xml:space="preserve"> – this is also a consolidation of the ETPs issued by Standard Bank</w:t>
      </w:r>
      <w:r w:rsidR="00B86862">
        <w:rPr>
          <w:rFonts w:ascii="Verdana" w:hAnsi="Verdana"/>
          <w:color w:val="000000"/>
          <w:sz w:val="21"/>
          <w:szCs w:val="21"/>
        </w:rPr>
        <w:t xml:space="preserve"> and Stanlib</w:t>
      </w:r>
      <w:r>
        <w:rPr>
          <w:rFonts w:ascii="Verdana" w:hAnsi="Verdana"/>
          <w:color w:val="000000"/>
          <w:sz w:val="21"/>
          <w:szCs w:val="21"/>
        </w:rPr>
        <w:t xml:space="preserve">, which took place some years ago, </w:t>
      </w:r>
      <w:r w:rsidR="00B86862">
        <w:rPr>
          <w:rFonts w:ascii="Verdana" w:hAnsi="Verdana"/>
          <w:color w:val="000000"/>
          <w:sz w:val="21"/>
          <w:szCs w:val="21"/>
        </w:rPr>
        <w:t>and</w:t>
      </w:r>
      <w:r>
        <w:rPr>
          <w:rFonts w:ascii="Verdana" w:hAnsi="Verdana"/>
          <w:color w:val="000000"/>
          <w:sz w:val="21"/>
          <w:szCs w:val="21"/>
        </w:rPr>
        <w:t xml:space="preserve"> brought about the issue of five new foreign reference</w:t>
      </w:r>
      <w:r w:rsidR="00B86862">
        <w:rPr>
          <w:rFonts w:ascii="Verdana" w:hAnsi="Verdana"/>
          <w:color w:val="000000"/>
          <w:sz w:val="21"/>
          <w:szCs w:val="21"/>
        </w:rPr>
        <w:t>d</w:t>
      </w:r>
      <w:r>
        <w:rPr>
          <w:rFonts w:ascii="Verdana" w:hAnsi="Verdana"/>
          <w:color w:val="000000"/>
          <w:sz w:val="21"/>
          <w:szCs w:val="21"/>
        </w:rPr>
        <w:t xml:space="preserve"> ET</w:t>
      </w:r>
      <w:r w:rsidR="00B86862">
        <w:rPr>
          <w:rFonts w:ascii="Verdana" w:hAnsi="Verdana"/>
          <w:color w:val="000000"/>
          <w:sz w:val="21"/>
          <w:szCs w:val="21"/>
        </w:rPr>
        <w:t>F</w:t>
      </w:r>
      <w:r>
        <w:rPr>
          <w:rFonts w:ascii="Verdana" w:hAnsi="Verdana"/>
          <w:color w:val="000000"/>
          <w:sz w:val="21"/>
          <w:szCs w:val="21"/>
        </w:rPr>
        <w:t>s in 2018.  No new issues of ET</w:t>
      </w:r>
      <w:r w:rsidR="00B86862">
        <w:rPr>
          <w:rFonts w:ascii="Verdana" w:hAnsi="Verdana"/>
          <w:color w:val="000000"/>
          <w:sz w:val="21"/>
          <w:szCs w:val="21"/>
        </w:rPr>
        <w:t>F</w:t>
      </w:r>
      <w:r>
        <w:rPr>
          <w:rFonts w:ascii="Verdana" w:hAnsi="Verdana"/>
          <w:color w:val="000000"/>
          <w:sz w:val="21"/>
          <w:szCs w:val="21"/>
        </w:rPr>
        <w:t>s have take place under this brand since the</w:t>
      </w:r>
      <w:r w:rsidR="00C01B7D">
        <w:rPr>
          <w:rFonts w:ascii="Verdana" w:hAnsi="Verdana"/>
          <w:color w:val="000000"/>
          <w:sz w:val="21"/>
          <w:szCs w:val="21"/>
        </w:rPr>
        <w:t>n</w:t>
      </w:r>
      <w:r>
        <w:rPr>
          <w:rFonts w:ascii="Verdana" w:hAnsi="Verdana"/>
          <w:color w:val="000000"/>
          <w:sz w:val="21"/>
          <w:szCs w:val="21"/>
        </w:rPr>
        <w:t xml:space="preserve">, which might change </w:t>
      </w:r>
      <w:r w:rsidR="00D549D1">
        <w:rPr>
          <w:rFonts w:ascii="Verdana" w:hAnsi="Verdana"/>
          <w:color w:val="000000"/>
          <w:sz w:val="21"/>
          <w:szCs w:val="21"/>
        </w:rPr>
        <w:t xml:space="preserve">if Standard Bank recognises the challenge it now faces from FNB. </w:t>
      </w:r>
    </w:p>
    <w:p w14:paraId="2A800020" w14:textId="0B91932F" w:rsidR="00D549D1" w:rsidRDefault="00D549D1" w:rsidP="00B86862">
      <w:pPr>
        <w:spacing w:after="0" w:line="340" w:lineRule="atLeast"/>
        <w:jc w:val="both"/>
        <w:rPr>
          <w:rFonts w:ascii="Verdana" w:hAnsi="Verdana"/>
          <w:color w:val="000000"/>
          <w:sz w:val="21"/>
          <w:szCs w:val="21"/>
        </w:rPr>
      </w:pPr>
    </w:p>
    <w:p w14:paraId="6AC83775" w14:textId="29296FA2" w:rsidR="00D549D1" w:rsidRDefault="00D549D1" w:rsidP="00B86862">
      <w:pPr>
        <w:spacing w:after="0" w:line="340" w:lineRule="atLeast"/>
        <w:jc w:val="both"/>
        <w:rPr>
          <w:rFonts w:ascii="Verdana" w:hAnsi="Verdana"/>
          <w:color w:val="000000"/>
          <w:sz w:val="21"/>
          <w:szCs w:val="21"/>
        </w:rPr>
      </w:pPr>
      <w:r>
        <w:rPr>
          <w:rFonts w:ascii="Verdana" w:hAnsi="Verdana"/>
          <w:color w:val="000000"/>
          <w:sz w:val="21"/>
          <w:szCs w:val="21"/>
        </w:rPr>
        <w:t xml:space="preserve">The first quarter of 2022 was marred by significant delistings of the </w:t>
      </w:r>
      <w:r w:rsidR="00B86862">
        <w:rPr>
          <w:rFonts w:ascii="Verdana" w:hAnsi="Verdana"/>
          <w:color w:val="000000"/>
          <w:sz w:val="21"/>
          <w:szCs w:val="21"/>
        </w:rPr>
        <w:t>1nvest Platinum</w:t>
      </w:r>
      <w:r>
        <w:rPr>
          <w:rFonts w:ascii="Verdana" w:hAnsi="Verdana"/>
          <w:color w:val="000000"/>
          <w:sz w:val="21"/>
          <w:szCs w:val="21"/>
        </w:rPr>
        <w:t xml:space="preserve"> ETF (R976,8 million).  The delisting of platinum ETF securities was mirrored by similar large delistings of NewGold Platinum ETFs, issued by Absa Capital (R987,2 million).  This could be the realisation by the local market that increased demand for platinum for use in fuel cells, notably for hydrogen power generat</w:t>
      </w:r>
      <w:r w:rsidR="00B86862">
        <w:rPr>
          <w:rFonts w:ascii="Verdana" w:hAnsi="Verdana"/>
          <w:color w:val="000000"/>
          <w:sz w:val="21"/>
          <w:szCs w:val="21"/>
        </w:rPr>
        <w:t>ion</w:t>
      </w:r>
      <w:r>
        <w:rPr>
          <w:rFonts w:ascii="Verdana" w:hAnsi="Verdana"/>
          <w:color w:val="000000"/>
          <w:sz w:val="21"/>
          <w:szCs w:val="21"/>
        </w:rPr>
        <w:t xml:space="preserve">, </w:t>
      </w:r>
      <w:r w:rsidR="00B86862">
        <w:rPr>
          <w:rFonts w:ascii="Verdana" w:hAnsi="Verdana"/>
          <w:color w:val="000000"/>
          <w:sz w:val="21"/>
          <w:szCs w:val="21"/>
        </w:rPr>
        <w:t>might still</w:t>
      </w:r>
      <w:r>
        <w:rPr>
          <w:rFonts w:ascii="Verdana" w:hAnsi="Verdana"/>
          <w:color w:val="000000"/>
          <w:sz w:val="21"/>
          <w:szCs w:val="21"/>
        </w:rPr>
        <w:t xml:space="preserve"> be some years away. </w:t>
      </w:r>
    </w:p>
    <w:p w14:paraId="593857B8" w14:textId="618A1F22" w:rsidR="00D549D1" w:rsidRDefault="00D549D1" w:rsidP="00B86862">
      <w:pPr>
        <w:spacing w:after="0" w:line="340" w:lineRule="atLeast"/>
        <w:jc w:val="both"/>
        <w:rPr>
          <w:rFonts w:ascii="Verdana" w:hAnsi="Verdana"/>
          <w:color w:val="000000"/>
          <w:sz w:val="21"/>
          <w:szCs w:val="21"/>
        </w:rPr>
      </w:pPr>
    </w:p>
    <w:p w14:paraId="64CEAAA0" w14:textId="77777777" w:rsidR="001A7023" w:rsidRDefault="001A7023">
      <w:pPr>
        <w:rPr>
          <w:rFonts w:ascii="Verdana" w:hAnsi="Verdana"/>
          <w:b/>
          <w:bCs/>
          <w:color w:val="000000"/>
          <w:sz w:val="21"/>
          <w:szCs w:val="21"/>
        </w:rPr>
      </w:pPr>
      <w:r>
        <w:rPr>
          <w:rFonts w:ascii="Verdana" w:hAnsi="Verdana"/>
          <w:b/>
          <w:bCs/>
          <w:color w:val="000000"/>
          <w:sz w:val="21"/>
          <w:szCs w:val="21"/>
        </w:rPr>
        <w:br w:type="page"/>
      </w:r>
    </w:p>
    <w:p w14:paraId="0259B082" w14:textId="6AD2E635" w:rsidR="00DD2D63" w:rsidRDefault="00DD2D63" w:rsidP="00B86862">
      <w:pPr>
        <w:spacing w:after="0" w:line="340" w:lineRule="atLeast"/>
        <w:jc w:val="both"/>
        <w:rPr>
          <w:rFonts w:ascii="Verdana" w:hAnsi="Verdana"/>
          <w:color w:val="000000"/>
          <w:sz w:val="21"/>
          <w:szCs w:val="21"/>
        </w:rPr>
      </w:pPr>
      <w:r>
        <w:rPr>
          <w:rFonts w:ascii="Verdana" w:hAnsi="Verdana"/>
          <w:b/>
          <w:bCs/>
          <w:color w:val="000000"/>
          <w:sz w:val="21"/>
          <w:szCs w:val="21"/>
        </w:rPr>
        <w:lastRenderedPageBreak/>
        <w:t>Union Bank of Switzerland (UBS)</w:t>
      </w:r>
      <w:r>
        <w:rPr>
          <w:rFonts w:ascii="Verdana" w:hAnsi="Verdana"/>
          <w:color w:val="000000"/>
          <w:sz w:val="21"/>
          <w:szCs w:val="21"/>
        </w:rPr>
        <w:t xml:space="preserve"> </w:t>
      </w:r>
      <w:r w:rsidR="00773DC7">
        <w:rPr>
          <w:rFonts w:ascii="Verdana" w:hAnsi="Verdana"/>
          <w:color w:val="000000"/>
          <w:sz w:val="21"/>
          <w:szCs w:val="21"/>
        </w:rPr>
        <w:t>–</w:t>
      </w:r>
      <w:r>
        <w:rPr>
          <w:rFonts w:ascii="Verdana" w:hAnsi="Verdana"/>
          <w:color w:val="000000"/>
          <w:sz w:val="21"/>
          <w:szCs w:val="21"/>
        </w:rPr>
        <w:t xml:space="preserve"> </w:t>
      </w:r>
      <w:r w:rsidR="00773DC7">
        <w:rPr>
          <w:rFonts w:ascii="Verdana" w:hAnsi="Verdana"/>
          <w:color w:val="000000"/>
          <w:sz w:val="21"/>
          <w:szCs w:val="21"/>
        </w:rPr>
        <w:t>encountered a sharp fall in the value of the ETN</w:t>
      </w:r>
      <w:r w:rsidR="001A7023">
        <w:rPr>
          <w:rFonts w:ascii="Verdana" w:hAnsi="Verdana"/>
          <w:color w:val="000000"/>
          <w:sz w:val="21"/>
          <w:szCs w:val="21"/>
        </w:rPr>
        <w:t>s</w:t>
      </w:r>
      <w:r w:rsidR="00773DC7">
        <w:rPr>
          <w:rFonts w:ascii="Verdana" w:hAnsi="Verdana"/>
          <w:color w:val="000000"/>
          <w:sz w:val="21"/>
          <w:szCs w:val="21"/>
        </w:rPr>
        <w:t xml:space="preserve"> it issues, </w:t>
      </w:r>
      <w:r w:rsidR="001A7023">
        <w:rPr>
          <w:rFonts w:ascii="Verdana" w:hAnsi="Verdana"/>
          <w:color w:val="000000"/>
          <w:sz w:val="21"/>
          <w:szCs w:val="21"/>
        </w:rPr>
        <w:t xml:space="preserve">in the last quarter, </w:t>
      </w:r>
      <w:r w:rsidR="00773DC7">
        <w:rPr>
          <w:rFonts w:ascii="Verdana" w:hAnsi="Verdana"/>
          <w:color w:val="000000"/>
          <w:sz w:val="21"/>
          <w:szCs w:val="21"/>
        </w:rPr>
        <w:t xml:space="preserve">which </w:t>
      </w:r>
      <w:r w:rsidR="001A7023">
        <w:rPr>
          <w:rFonts w:ascii="Verdana" w:hAnsi="Verdana"/>
          <w:color w:val="000000"/>
          <w:sz w:val="21"/>
          <w:szCs w:val="21"/>
        </w:rPr>
        <w:t>wa</w:t>
      </w:r>
      <w:r w:rsidR="00773DC7">
        <w:rPr>
          <w:rFonts w:ascii="Verdana" w:hAnsi="Verdana"/>
          <w:color w:val="000000"/>
          <w:sz w:val="21"/>
          <w:szCs w:val="21"/>
        </w:rPr>
        <w:t xml:space="preserve">s due to the </w:t>
      </w:r>
      <w:r w:rsidR="001A7023">
        <w:rPr>
          <w:rFonts w:ascii="Verdana" w:hAnsi="Verdana"/>
          <w:color w:val="000000"/>
          <w:sz w:val="21"/>
          <w:szCs w:val="21"/>
        </w:rPr>
        <w:t xml:space="preserve">relatively </w:t>
      </w:r>
      <w:r w:rsidR="00773DC7">
        <w:rPr>
          <w:rFonts w:ascii="Verdana" w:hAnsi="Verdana"/>
          <w:color w:val="000000"/>
          <w:sz w:val="21"/>
          <w:szCs w:val="21"/>
        </w:rPr>
        <w:t xml:space="preserve">poor performance of global equity markets, which are tracked by these ETNs.  This investment performance drop has not been </w:t>
      </w:r>
      <w:r w:rsidR="0090660B">
        <w:rPr>
          <w:rFonts w:ascii="Verdana" w:hAnsi="Verdana"/>
          <w:color w:val="000000"/>
          <w:sz w:val="21"/>
          <w:szCs w:val="21"/>
        </w:rPr>
        <w:t>helped</w:t>
      </w:r>
      <w:r w:rsidR="00773DC7">
        <w:rPr>
          <w:rFonts w:ascii="Verdana" w:hAnsi="Verdana"/>
          <w:color w:val="000000"/>
          <w:sz w:val="21"/>
          <w:szCs w:val="21"/>
        </w:rPr>
        <w:t xml:space="preserve"> by the relative strength of the rand/dollar exchange rate. </w:t>
      </w:r>
    </w:p>
    <w:p w14:paraId="6EF01D29" w14:textId="77777777" w:rsidR="001A7023" w:rsidRDefault="001A7023" w:rsidP="00B86862">
      <w:pPr>
        <w:spacing w:after="0" w:line="340" w:lineRule="atLeast"/>
        <w:jc w:val="both"/>
        <w:rPr>
          <w:rFonts w:ascii="Verdana" w:hAnsi="Verdana"/>
          <w:color w:val="000000"/>
          <w:sz w:val="21"/>
          <w:szCs w:val="21"/>
        </w:rPr>
      </w:pPr>
    </w:p>
    <w:p w14:paraId="1BA186C6" w14:textId="5FAA00C4" w:rsidR="00773DC7" w:rsidRDefault="00773DC7" w:rsidP="00B86862">
      <w:pPr>
        <w:spacing w:after="0" w:line="340" w:lineRule="atLeast"/>
        <w:jc w:val="both"/>
        <w:rPr>
          <w:rFonts w:ascii="Verdana" w:hAnsi="Verdana"/>
          <w:color w:val="000000"/>
          <w:sz w:val="21"/>
          <w:szCs w:val="21"/>
        </w:rPr>
      </w:pPr>
      <w:r>
        <w:rPr>
          <w:rFonts w:ascii="Verdana" w:hAnsi="Verdana"/>
          <w:color w:val="000000"/>
          <w:sz w:val="21"/>
          <w:szCs w:val="21"/>
        </w:rPr>
        <w:t xml:space="preserve">It is of interest that very few of the </w:t>
      </w:r>
      <w:r w:rsidR="0090660B">
        <w:rPr>
          <w:rFonts w:ascii="Verdana" w:hAnsi="Verdana"/>
          <w:color w:val="000000"/>
          <w:sz w:val="21"/>
          <w:szCs w:val="21"/>
        </w:rPr>
        <w:t>actively</w:t>
      </w:r>
      <w:r>
        <w:rPr>
          <w:rFonts w:ascii="Verdana" w:hAnsi="Verdana"/>
          <w:color w:val="000000"/>
          <w:sz w:val="21"/>
          <w:szCs w:val="21"/>
        </w:rPr>
        <w:t xml:space="preserve"> managed ETPs, issued by UBS, which track foreign equity markets, have been able to outperform the MSCI World benchmark over the past 1-month to 12-month period.  UBS </w:t>
      </w:r>
      <w:r w:rsidR="000A5E4A">
        <w:rPr>
          <w:rFonts w:ascii="Verdana" w:hAnsi="Verdana"/>
          <w:color w:val="000000"/>
          <w:sz w:val="21"/>
          <w:szCs w:val="21"/>
        </w:rPr>
        <w:t>facilitates n</w:t>
      </w:r>
      <w:r w:rsidR="0090660B">
        <w:rPr>
          <w:rFonts w:ascii="Verdana" w:hAnsi="Verdana"/>
          <w:color w:val="000000"/>
          <w:sz w:val="21"/>
          <w:szCs w:val="21"/>
        </w:rPr>
        <w:t>i</w:t>
      </w:r>
      <w:r w:rsidR="000A5E4A">
        <w:rPr>
          <w:rFonts w:ascii="Verdana" w:hAnsi="Verdana"/>
          <w:color w:val="000000"/>
          <w:sz w:val="21"/>
          <w:szCs w:val="21"/>
        </w:rPr>
        <w:t xml:space="preserve">ne different asset managers </w:t>
      </w:r>
      <w:r w:rsidR="00F85305">
        <w:rPr>
          <w:rFonts w:ascii="Verdana" w:hAnsi="Verdana"/>
          <w:color w:val="000000"/>
          <w:sz w:val="21"/>
          <w:szCs w:val="21"/>
        </w:rPr>
        <w:t>listing</w:t>
      </w:r>
      <w:r w:rsidR="000A5E4A">
        <w:rPr>
          <w:rFonts w:ascii="Verdana" w:hAnsi="Verdana"/>
          <w:color w:val="000000"/>
          <w:sz w:val="21"/>
          <w:szCs w:val="21"/>
        </w:rPr>
        <w:t xml:space="preserve"> actively managed </w:t>
      </w:r>
      <w:r w:rsidR="0090660B">
        <w:rPr>
          <w:rFonts w:ascii="Verdana" w:hAnsi="Verdana"/>
          <w:color w:val="000000"/>
          <w:sz w:val="21"/>
          <w:szCs w:val="21"/>
        </w:rPr>
        <w:t>portfolios</w:t>
      </w:r>
      <w:r w:rsidR="000A5E4A">
        <w:rPr>
          <w:rFonts w:ascii="Verdana" w:hAnsi="Verdana"/>
          <w:color w:val="000000"/>
          <w:sz w:val="21"/>
          <w:szCs w:val="21"/>
        </w:rPr>
        <w:t xml:space="preserve"> in the form of ETNs, but their failure to provide consistent </w:t>
      </w:r>
      <w:r w:rsidR="0090660B">
        <w:rPr>
          <w:rFonts w:ascii="Verdana" w:hAnsi="Verdana"/>
          <w:color w:val="000000"/>
          <w:sz w:val="21"/>
          <w:szCs w:val="21"/>
        </w:rPr>
        <w:t>a</w:t>
      </w:r>
      <w:r w:rsidR="00F85305">
        <w:rPr>
          <w:rFonts w:ascii="Verdana" w:hAnsi="Verdana"/>
          <w:color w:val="000000"/>
          <w:sz w:val="21"/>
          <w:szCs w:val="21"/>
        </w:rPr>
        <w:t>lpha</w:t>
      </w:r>
      <w:r w:rsidR="000A5E4A">
        <w:rPr>
          <w:rFonts w:ascii="Verdana" w:hAnsi="Verdana"/>
          <w:color w:val="000000"/>
          <w:sz w:val="21"/>
          <w:szCs w:val="21"/>
        </w:rPr>
        <w:t xml:space="preserve"> returns over the past 12 mo</w:t>
      </w:r>
      <w:r w:rsidR="00EF242E">
        <w:rPr>
          <w:rFonts w:ascii="Verdana" w:hAnsi="Verdana"/>
          <w:color w:val="000000"/>
          <w:sz w:val="21"/>
          <w:szCs w:val="21"/>
        </w:rPr>
        <w:t>n</w:t>
      </w:r>
      <w:r w:rsidR="000A5E4A">
        <w:rPr>
          <w:rFonts w:ascii="Verdana" w:hAnsi="Verdana"/>
          <w:color w:val="000000"/>
          <w:sz w:val="21"/>
          <w:szCs w:val="21"/>
        </w:rPr>
        <w:t>ths</w:t>
      </w:r>
      <w:r w:rsidR="00EF242E">
        <w:rPr>
          <w:rFonts w:ascii="Verdana" w:hAnsi="Verdana"/>
          <w:color w:val="000000"/>
          <w:sz w:val="21"/>
          <w:szCs w:val="21"/>
        </w:rPr>
        <w:t xml:space="preserve">, indicates that further experience is needed in this area of the asset management industry. </w:t>
      </w:r>
    </w:p>
    <w:p w14:paraId="6CBEFBF7" w14:textId="75D529DE" w:rsidR="00EF242E" w:rsidRDefault="00EF242E" w:rsidP="00B86862">
      <w:pPr>
        <w:spacing w:after="0" w:line="340" w:lineRule="atLeast"/>
        <w:jc w:val="both"/>
        <w:rPr>
          <w:rFonts w:ascii="Verdana" w:hAnsi="Verdana"/>
          <w:color w:val="000000"/>
          <w:sz w:val="21"/>
          <w:szCs w:val="21"/>
        </w:rPr>
      </w:pPr>
    </w:p>
    <w:p w14:paraId="3C039F87" w14:textId="55419BD3" w:rsidR="001D145F" w:rsidRPr="0048656A" w:rsidRDefault="00EF242E" w:rsidP="00B86862">
      <w:pPr>
        <w:spacing w:after="0" w:line="340" w:lineRule="atLeast"/>
        <w:jc w:val="both"/>
        <w:rPr>
          <w:rFonts w:ascii="Verdana" w:hAnsi="Verdana"/>
          <w:color w:val="000000"/>
          <w:sz w:val="21"/>
          <w:szCs w:val="21"/>
        </w:rPr>
      </w:pPr>
      <w:r>
        <w:rPr>
          <w:rFonts w:ascii="Verdana" w:hAnsi="Verdana"/>
          <w:color w:val="000000"/>
          <w:sz w:val="21"/>
          <w:szCs w:val="21"/>
        </w:rPr>
        <w:t xml:space="preserve">The JSE has </w:t>
      </w:r>
      <w:r w:rsidR="00F85305">
        <w:rPr>
          <w:rFonts w:ascii="Verdana" w:hAnsi="Verdana"/>
          <w:color w:val="000000"/>
          <w:sz w:val="21"/>
          <w:szCs w:val="21"/>
        </w:rPr>
        <w:t xml:space="preserve">recently </w:t>
      </w:r>
      <w:r>
        <w:rPr>
          <w:rFonts w:ascii="Verdana" w:hAnsi="Verdana"/>
          <w:color w:val="000000"/>
          <w:sz w:val="21"/>
          <w:szCs w:val="21"/>
        </w:rPr>
        <w:t xml:space="preserve">produced draft regulations for the listing of actively managed ETFs on their </w:t>
      </w:r>
      <w:r w:rsidR="00DD5A08">
        <w:rPr>
          <w:rFonts w:ascii="Verdana" w:hAnsi="Verdana"/>
          <w:color w:val="000000"/>
          <w:sz w:val="21"/>
          <w:szCs w:val="21"/>
        </w:rPr>
        <w:t>Exchange</w:t>
      </w:r>
      <w:r>
        <w:rPr>
          <w:rFonts w:ascii="Verdana" w:hAnsi="Verdana"/>
          <w:color w:val="000000"/>
          <w:sz w:val="21"/>
          <w:szCs w:val="21"/>
        </w:rPr>
        <w:t xml:space="preserve">, which could open up the </w:t>
      </w:r>
      <w:r w:rsidR="00DD5A08">
        <w:rPr>
          <w:rFonts w:ascii="Verdana" w:hAnsi="Verdana"/>
          <w:color w:val="000000"/>
          <w:sz w:val="21"/>
          <w:szCs w:val="21"/>
        </w:rPr>
        <w:t xml:space="preserve">ETP </w:t>
      </w:r>
      <w:r>
        <w:rPr>
          <w:rFonts w:ascii="Verdana" w:hAnsi="Verdana"/>
          <w:color w:val="000000"/>
          <w:sz w:val="21"/>
          <w:szCs w:val="21"/>
        </w:rPr>
        <w:t>industry further.  It will be of interest to see if 100% physically backed ET</w:t>
      </w:r>
      <w:r w:rsidR="00DD5A08">
        <w:rPr>
          <w:rFonts w:ascii="Verdana" w:hAnsi="Verdana"/>
          <w:color w:val="000000"/>
          <w:sz w:val="21"/>
          <w:szCs w:val="21"/>
        </w:rPr>
        <w:t>F</w:t>
      </w:r>
      <w:r>
        <w:rPr>
          <w:rFonts w:ascii="Verdana" w:hAnsi="Verdana"/>
          <w:color w:val="000000"/>
          <w:sz w:val="21"/>
          <w:szCs w:val="21"/>
        </w:rPr>
        <w:t>s, as opposed to the less rigorous regulations for ET</w:t>
      </w:r>
      <w:r w:rsidR="00DD5A08">
        <w:rPr>
          <w:rFonts w:ascii="Verdana" w:hAnsi="Verdana"/>
          <w:color w:val="000000"/>
          <w:sz w:val="21"/>
          <w:szCs w:val="21"/>
        </w:rPr>
        <w:t>N</w:t>
      </w:r>
      <w:r>
        <w:rPr>
          <w:rFonts w:ascii="Verdana" w:hAnsi="Verdana"/>
          <w:color w:val="000000"/>
          <w:sz w:val="21"/>
          <w:szCs w:val="21"/>
        </w:rPr>
        <w:t xml:space="preserve">s, will provide better rewards for investors. </w:t>
      </w:r>
    </w:p>
    <w:p w14:paraId="72B999CB" w14:textId="03CD946E" w:rsidR="008468F3" w:rsidRDefault="00636507" w:rsidP="00FA51FA">
      <w:pPr>
        <w:spacing w:after="0" w:line="360" w:lineRule="atLeast"/>
        <w:rPr>
          <w:rFonts w:ascii="Verdana" w:hAnsi="Verdana"/>
          <w:color w:val="000000"/>
          <w:sz w:val="21"/>
          <w:szCs w:val="21"/>
        </w:rPr>
      </w:pPr>
      <w:r>
        <w:rPr>
          <w:rFonts w:ascii="Verdana" w:hAnsi="Verdana"/>
          <w:noProof/>
          <w:color w:val="000000"/>
          <w:sz w:val="21"/>
          <w:szCs w:val="21"/>
        </w:rPr>
        <mc:AlternateContent>
          <mc:Choice Requires="wps">
            <w:drawing>
              <wp:anchor distT="0" distB="0" distL="114300" distR="114300" simplePos="0" relativeHeight="251659264" behindDoc="0" locked="0" layoutInCell="1" allowOverlap="1" wp14:anchorId="00C403B3" wp14:editId="07A737B8">
                <wp:simplePos x="0" y="0"/>
                <wp:positionH relativeFrom="column">
                  <wp:posOffset>80010</wp:posOffset>
                </wp:positionH>
                <wp:positionV relativeFrom="paragraph">
                  <wp:posOffset>227965</wp:posOffset>
                </wp:positionV>
                <wp:extent cx="60706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7060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3454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7.95pt" to="484.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" strokecolor="#c00000" strokeweight="1pt">
                <v:stroke joinstyle="miter"/>
              </v:line>
            </w:pict>
          </mc:Fallback>
        </mc:AlternateContent>
      </w:r>
    </w:p>
    <w:p w14:paraId="655439B6" w14:textId="42C6BC10" w:rsidR="001B5446" w:rsidRDefault="001B5446" w:rsidP="00DD5A08">
      <w:pPr>
        <w:spacing w:after="0" w:line="320" w:lineRule="atLeast"/>
        <w:jc w:val="center"/>
        <w:rPr>
          <w:rFonts w:ascii="Verdana" w:hAnsi="Verdana"/>
          <w:color w:val="000000"/>
          <w:sz w:val="21"/>
          <w:szCs w:val="21"/>
        </w:rPr>
      </w:pPr>
    </w:p>
    <w:p w14:paraId="3094944C" w14:textId="72616E4A" w:rsidR="00F13A0B" w:rsidRPr="00602DDF" w:rsidRDefault="00602DDF" w:rsidP="00DD5A08">
      <w:pPr>
        <w:spacing w:after="0" w:line="320" w:lineRule="atLeast"/>
        <w:jc w:val="both"/>
        <w:rPr>
          <w:rFonts w:ascii="Verdana" w:hAnsi="Verdana"/>
          <w:color w:val="000000" w:themeColor="text1"/>
          <w:sz w:val="21"/>
          <w:szCs w:val="21"/>
        </w:rPr>
      </w:pPr>
      <w:r>
        <w:rPr>
          <w:rFonts w:ascii="Verdana" w:hAnsi="Verdana"/>
          <w:b/>
          <w:bCs/>
          <w:color w:val="C00000"/>
          <w:sz w:val="21"/>
          <w:szCs w:val="21"/>
        </w:rPr>
        <w:t>Note:</w:t>
      </w:r>
      <w:r>
        <w:rPr>
          <w:rFonts w:ascii="Verdana" w:hAnsi="Verdana"/>
          <w:color w:val="000000" w:themeColor="text1"/>
          <w:sz w:val="21"/>
          <w:szCs w:val="21"/>
        </w:rPr>
        <w:t xml:space="preserve"> full details for each Exchange Traded Fund and Exchange Traded Note are available on the quarterly reports available on the etfSA website: </w:t>
      </w:r>
      <w:hyperlink r:id="rId10" w:history="1">
        <w:r w:rsidRPr="00CF484B">
          <w:rPr>
            <w:rStyle w:val="Hyperlink"/>
            <w:rFonts w:ascii="Verdana" w:hAnsi="Verdana"/>
            <w:sz w:val="21"/>
            <w:szCs w:val="21"/>
          </w:rPr>
          <w:t>www.etfsa.co.za</w:t>
        </w:r>
      </w:hyperlink>
      <w:r>
        <w:rPr>
          <w:rFonts w:ascii="Verdana" w:hAnsi="Verdana"/>
          <w:color w:val="000000" w:themeColor="text1"/>
          <w:sz w:val="21"/>
          <w:szCs w:val="21"/>
        </w:rPr>
        <w:t xml:space="preserve">: </w:t>
      </w:r>
    </w:p>
    <w:p w14:paraId="49F297F9" w14:textId="1ED10A64" w:rsidR="00F13A0B" w:rsidRDefault="00F13A0B" w:rsidP="00DD5A08">
      <w:pPr>
        <w:spacing w:after="0" w:line="320" w:lineRule="atLeast"/>
        <w:jc w:val="both"/>
        <w:rPr>
          <w:rFonts w:ascii="Verdana" w:hAnsi="Verdana"/>
          <w:sz w:val="21"/>
          <w:szCs w:val="21"/>
        </w:rPr>
      </w:pPr>
    </w:p>
    <w:p w14:paraId="54885B65" w14:textId="74AD775D" w:rsidR="00602DDF" w:rsidRDefault="00602DDF" w:rsidP="00DD5A08">
      <w:pPr>
        <w:pStyle w:val="ListParagraph"/>
        <w:numPr>
          <w:ilvl w:val="0"/>
          <w:numId w:val="17"/>
        </w:numPr>
        <w:spacing w:after="0" w:line="320" w:lineRule="atLeast"/>
        <w:jc w:val="both"/>
        <w:rPr>
          <w:rFonts w:ascii="Verdana" w:hAnsi="Verdana"/>
          <w:sz w:val="21"/>
          <w:szCs w:val="21"/>
        </w:rPr>
      </w:pPr>
      <w:r>
        <w:rPr>
          <w:rFonts w:ascii="Verdana" w:hAnsi="Verdana"/>
          <w:sz w:val="21"/>
          <w:szCs w:val="21"/>
        </w:rPr>
        <w:t xml:space="preserve">All South African ETFs &amp; ETNs – Market Capitalisation </w:t>
      </w:r>
      <w:r w:rsidR="00A37F02">
        <w:rPr>
          <w:rFonts w:ascii="Verdana" w:hAnsi="Verdana"/>
          <w:sz w:val="21"/>
          <w:szCs w:val="21"/>
        </w:rPr>
        <w:t>Totals</w:t>
      </w:r>
      <w:r>
        <w:rPr>
          <w:rFonts w:ascii="Verdana" w:hAnsi="Verdana"/>
          <w:sz w:val="21"/>
          <w:szCs w:val="21"/>
        </w:rPr>
        <w:t xml:space="preserve"> – December 2009 to </w:t>
      </w:r>
      <w:r w:rsidR="00DD5A08">
        <w:rPr>
          <w:rFonts w:ascii="Verdana" w:hAnsi="Verdana"/>
          <w:sz w:val="21"/>
          <w:szCs w:val="21"/>
        </w:rPr>
        <w:t>March</w:t>
      </w:r>
      <w:r w:rsidR="0067082E">
        <w:rPr>
          <w:rFonts w:ascii="Verdana" w:hAnsi="Verdana"/>
          <w:sz w:val="21"/>
          <w:szCs w:val="21"/>
        </w:rPr>
        <w:t xml:space="preserve"> 202</w:t>
      </w:r>
      <w:r w:rsidR="00DD5A08">
        <w:rPr>
          <w:rFonts w:ascii="Verdana" w:hAnsi="Verdana"/>
          <w:sz w:val="21"/>
          <w:szCs w:val="21"/>
        </w:rPr>
        <w:t>2</w:t>
      </w:r>
      <w:r>
        <w:rPr>
          <w:rFonts w:ascii="Verdana" w:hAnsi="Verdana"/>
          <w:sz w:val="21"/>
          <w:szCs w:val="21"/>
        </w:rPr>
        <w:t xml:space="preserve">. </w:t>
      </w:r>
    </w:p>
    <w:p w14:paraId="687B4DFB" w14:textId="77777777" w:rsidR="0025163D" w:rsidRDefault="0025163D" w:rsidP="00DD5A08">
      <w:pPr>
        <w:pStyle w:val="ListParagraph"/>
        <w:spacing w:after="0" w:line="320" w:lineRule="atLeast"/>
        <w:jc w:val="both"/>
        <w:rPr>
          <w:rFonts w:ascii="Verdana" w:hAnsi="Verdana"/>
          <w:sz w:val="21"/>
          <w:szCs w:val="21"/>
        </w:rPr>
      </w:pPr>
    </w:p>
    <w:p w14:paraId="045E74ED" w14:textId="1B159CAB" w:rsidR="00602DDF" w:rsidRPr="00602DDF" w:rsidRDefault="00602DDF" w:rsidP="00DD5A08">
      <w:pPr>
        <w:pStyle w:val="ListParagraph"/>
        <w:numPr>
          <w:ilvl w:val="0"/>
          <w:numId w:val="17"/>
        </w:numPr>
        <w:spacing w:after="0" w:line="320" w:lineRule="atLeast"/>
        <w:jc w:val="both"/>
        <w:rPr>
          <w:rFonts w:ascii="Verdana" w:hAnsi="Verdana"/>
          <w:sz w:val="21"/>
          <w:szCs w:val="21"/>
        </w:rPr>
      </w:pPr>
      <w:r>
        <w:rPr>
          <w:rFonts w:ascii="Verdana" w:hAnsi="Verdana"/>
          <w:sz w:val="21"/>
          <w:szCs w:val="21"/>
        </w:rPr>
        <w:t>ETFs &amp; ETNs survey – Securities in Issue and New Capital Raised/Redeemed (for period ended 3</w:t>
      </w:r>
      <w:r w:rsidR="00346C09">
        <w:rPr>
          <w:rFonts w:ascii="Verdana" w:hAnsi="Verdana"/>
          <w:sz w:val="21"/>
          <w:szCs w:val="21"/>
        </w:rPr>
        <w:t>1</w:t>
      </w:r>
      <w:r>
        <w:rPr>
          <w:rFonts w:ascii="Verdana" w:hAnsi="Verdana"/>
          <w:sz w:val="21"/>
          <w:szCs w:val="21"/>
        </w:rPr>
        <w:t xml:space="preserve"> </w:t>
      </w:r>
      <w:r w:rsidR="00DD5A08">
        <w:rPr>
          <w:rFonts w:ascii="Verdana" w:hAnsi="Verdana"/>
          <w:sz w:val="21"/>
          <w:szCs w:val="21"/>
        </w:rPr>
        <w:t>March</w:t>
      </w:r>
      <w:r>
        <w:rPr>
          <w:rFonts w:ascii="Verdana" w:hAnsi="Verdana"/>
          <w:sz w:val="21"/>
          <w:szCs w:val="21"/>
        </w:rPr>
        <w:t xml:space="preserve"> 202</w:t>
      </w:r>
      <w:r w:rsidR="00DD5A08">
        <w:rPr>
          <w:rFonts w:ascii="Verdana" w:hAnsi="Verdana"/>
          <w:sz w:val="21"/>
          <w:szCs w:val="21"/>
        </w:rPr>
        <w:t>2</w:t>
      </w:r>
      <w:r>
        <w:rPr>
          <w:rFonts w:ascii="Verdana" w:hAnsi="Verdana"/>
          <w:sz w:val="21"/>
          <w:szCs w:val="21"/>
        </w:rPr>
        <w:t xml:space="preserve">). </w:t>
      </w:r>
    </w:p>
    <w:p w14:paraId="4F220B47" w14:textId="6F83BB75" w:rsidR="00D07C81" w:rsidRDefault="00D07C81" w:rsidP="00DD5A08">
      <w:pPr>
        <w:pBdr>
          <w:bottom w:val="single" w:sz="12" w:space="1" w:color="C00000"/>
        </w:pBdr>
        <w:spacing w:after="0" w:line="320" w:lineRule="atLeast"/>
        <w:jc w:val="both"/>
        <w:rPr>
          <w:rFonts w:ascii="Verdana" w:hAnsi="Verdana"/>
          <w:sz w:val="21"/>
          <w:szCs w:val="21"/>
        </w:rPr>
      </w:pPr>
    </w:p>
    <w:p w14:paraId="2BBB5EE8" w14:textId="4E34B73B" w:rsidR="0048656A" w:rsidRDefault="0048656A" w:rsidP="00DB4A11">
      <w:pPr>
        <w:spacing w:after="0" w:line="320" w:lineRule="atLeast"/>
        <w:jc w:val="both"/>
        <w:rPr>
          <w:rFonts w:ascii="Verdana" w:hAnsi="Verdana"/>
          <w:sz w:val="21"/>
          <w:szCs w:val="21"/>
        </w:rPr>
      </w:pPr>
    </w:p>
    <w:p w14:paraId="5766412D" w14:textId="1F70D688" w:rsidR="0048656A" w:rsidRDefault="00DA4A8E" w:rsidP="00DA4A8E">
      <w:pPr>
        <w:spacing w:after="0" w:line="320" w:lineRule="atLeast"/>
        <w:jc w:val="center"/>
        <w:rPr>
          <w:rFonts w:ascii="Verdana" w:hAnsi="Verdana"/>
          <w:sz w:val="21"/>
          <w:szCs w:val="21"/>
        </w:rPr>
      </w:pPr>
      <w:r>
        <w:rPr>
          <w:rFonts w:ascii="Verdana" w:hAnsi="Verdana"/>
          <w:noProof/>
          <w:sz w:val="21"/>
          <w:szCs w:val="21"/>
        </w:rPr>
        <w:drawing>
          <wp:inline distT="0" distB="0" distL="0" distR="0" wp14:anchorId="46E2E7DD" wp14:editId="09E5D591">
            <wp:extent cx="5943600" cy="148590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10B3C081" w14:textId="77777777" w:rsidR="0067082E" w:rsidRDefault="0067082E" w:rsidP="00DB4A11">
      <w:pPr>
        <w:spacing w:after="0" w:line="320" w:lineRule="atLeast"/>
        <w:jc w:val="both"/>
        <w:rPr>
          <w:rFonts w:ascii="Verdana" w:hAnsi="Verdana"/>
          <w:sz w:val="21"/>
          <w:szCs w:val="21"/>
        </w:rPr>
      </w:pPr>
    </w:p>
    <w:p w14:paraId="348057A5" w14:textId="77777777" w:rsidR="00C6212D" w:rsidRPr="0000086A" w:rsidRDefault="00C6212D" w:rsidP="0000086A">
      <w:pPr>
        <w:pBdr>
          <w:top w:val="single" w:sz="4" w:space="1" w:color="auto"/>
        </w:pBdr>
        <w:spacing w:after="0" w:line="240" w:lineRule="auto"/>
        <w:rPr>
          <w:sz w:val="15"/>
          <w:szCs w:val="15"/>
          <w:lang w:eastAsia="en-ZA"/>
        </w:rPr>
      </w:pPr>
      <w:r w:rsidRPr="0000086A">
        <w:rPr>
          <w:rFonts w:ascii="Arial" w:hAnsi="Arial"/>
          <w:b/>
          <w:i/>
          <w:color w:val="0F0D35"/>
          <w:sz w:val="15"/>
          <w:szCs w:val="15"/>
        </w:rPr>
        <w:t xml:space="preserve">Disclaimer: </w:t>
      </w:r>
      <w:r w:rsidRPr="0000086A">
        <w:rPr>
          <w:rFonts w:ascii="Arial" w:hAnsi="Arial"/>
          <w:color w:val="000000"/>
          <w:sz w:val="15"/>
          <w:szCs w:val="15"/>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3AAF1E99" w14:textId="341D3584"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6B359C43" w14:textId="77777777"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02B89787" w14:textId="77777777"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0E9485D7" w14:textId="64A3D211" w:rsidR="00407678"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sectPr w:rsidR="00407678" w:rsidRPr="0000086A" w:rsidSect="00281835">
      <w:footerReference w:type="default" r:id="rId12"/>
      <w:pgSz w:w="11906" w:h="16838" w:code="9"/>
      <w:pgMar w:top="851" w:right="851" w:bottom="567" w:left="851" w:header="709" w:footer="567" w:gutter="0"/>
      <w:pgBorders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EBA78" w14:textId="77777777" w:rsidR="00D54A88" w:rsidRDefault="00D54A88" w:rsidP="001860C2">
      <w:pPr>
        <w:spacing w:after="0" w:line="240" w:lineRule="auto"/>
      </w:pPr>
      <w:r>
        <w:separator/>
      </w:r>
    </w:p>
  </w:endnote>
  <w:endnote w:type="continuationSeparator" w:id="0">
    <w:p w14:paraId="55785617" w14:textId="77777777" w:rsidR="00D54A88" w:rsidRDefault="00D54A88" w:rsidP="0018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959353"/>
      <w:docPartObj>
        <w:docPartGallery w:val="Page Numbers (Bottom of Page)"/>
        <w:docPartUnique/>
      </w:docPartObj>
    </w:sdtPr>
    <w:sdtEndPr>
      <w:rPr>
        <w:rFonts w:ascii="Verdana" w:hAnsi="Verdana"/>
        <w:noProof/>
        <w:sz w:val="18"/>
        <w:szCs w:val="18"/>
      </w:rPr>
    </w:sdtEndPr>
    <w:sdtContent>
      <w:p w14:paraId="72DBEA49" w14:textId="73AF9B02" w:rsidR="002F19B0" w:rsidRPr="001860C2" w:rsidRDefault="002F19B0" w:rsidP="001860C2">
        <w:pPr>
          <w:pStyle w:val="Footer"/>
          <w:jc w:val="center"/>
          <w:rPr>
            <w:rFonts w:ascii="Verdana" w:hAnsi="Verdana"/>
            <w:sz w:val="18"/>
            <w:szCs w:val="18"/>
          </w:rPr>
        </w:pPr>
        <w:r w:rsidRPr="001860C2">
          <w:rPr>
            <w:rFonts w:ascii="Verdana" w:hAnsi="Verdana"/>
            <w:sz w:val="18"/>
            <w:szCs w:val="18"/>
          </w:rPr>
          <w:fldChar w:fldCharType="begin"/>
        </w:r>
        <w:r w:rsidRPr="001860C2">
          <w:rPr>
            <w:rFonts w:ascii="Verdana" w:hAnsi="Verdana"/>
            <w:sz w:val="18"/>
            <w:szCs w:val="18"/>
          </w:rPr>
          <w:instrText xml:space="preserve"> PAGE   \* MERGEFORMAT </w:instrText>
        </w:r>
        <w:r w:rsidRPr="001860C2">
          <w:rPr>
            <w:rFonts w:ascii="Verdana" w:hAnsi="Verdana"/>
            <w:sz w:val="18"/>
            <w:szCs w:val="18"/>
          </w:rPr>
          <w:fldChar w:fldCharType="separate"/>
        </w:r>
        <w:r>
          <w:rPr>
            <w:rFonts w:ascii="Verdana" w:hAnsi="Verdana"/>
            <w:noProof/>
            <w:sz w:val="18"/>
            <w:szCs w:val="18"/>
          </w:rPr>
          <w:t>3</w:t>
        </w:r>
        <w:r w:rsidRPr="001860C2">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5888" w14:textId="77777777" w:rsidR="00D54A88" w:rsidRDefault="00D54A88" w:rsidP="001860C2">
      <w:pPr>
        <w:spacing w:after="0" w:line="240" w:lineRule="auto"/>
      </w:pPr>
      <w:r>
        <w:separator/>
      </w:r>
    </w:p>
  </w:footnote>
  <w:footnote w:type="continuationSeparator" w:id="0">
    <w:p w14:paraId="3504ECAE" w14:textId="77777777" w:rsidR="00D54A88" w:rsidRDefault="00D54A88" w:rsidP="0018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5D0"/>
    <w:multiLevelType w:val="hybridMultilevel"/>
    <w:tmpl w:val="5734E8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1D651D"/>
    <w:multiLevelType w:val="hybridMultilevel"/>
    <w:tmpl w:val="9504678E"/>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2" w15:restartNumberingAfterBreak="0">
    <w:nsid w:val="01234321"/>
    <w:multiLevelType w:val="hybridMultilevel"/>
    <w:tmpl w:val="2A160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7E51D4C"/>
    <w:multiLevelType w:val="hybridMultilevel"/>
    <w:tmpl w:val="0AB07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D32FE3"/>
    <w:multiLevelType w:val="hybridMultilevel"/>
    <w:tmpl w:val="9604C4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260B28"/>
    <w:multiLevelType w:val="hybridMultilevel"/>
    <w:tmpl w:val="6F627B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F5E1355"/>
    <w:multiLevelType w:val="hybridMultilevel"/>
    <w:tmpl w:val="888E1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09E0A22"/>
    <w:multiLevelType w:val="hybridMultilevel"/>
    <w:tmpl w:val="D29C33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9D1321"/>
    <w:multiLevelType w:val="hybridMultilevel"/>
    <w:tmpl w:val="FDD09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40D369B"/>
    <w:multiLevelType w:val="hybridMultilevel"/>
    <w:tmpl w:val="40183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8B1364"/>
    <w:multiLevelType w:val="hybridMultilevel"/>
    <w:tmpl w:val="FFE6E3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3D94606"/>
    <w:multiLevelType w:val="hybridMultilevel"/>
    <w:tmpl w:val="1C347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7086E3A"/>
    <w:multiLevelType w:val="hybridMultilevel"/>
    <w:tmpl w:val="D7A8CC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B5A29A1"/>
    <w:multiLevelType w:val="hybridMultilevel"/>
    <w:tmpl w:val="66A8A1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9A03C17"/>
    <w:multiLevelType w:val="hybridMultilevel"/>
    <w:tmpl w:val="FD4C19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CD962CA"/>
    <w:multiLevelType w:val="hybridMultilevel"/>
    <w:tmpl w:val="855A38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7BC0492"/>
    <w:multiLevelType w:val="hybridMultilevel"/>
    <w:tmpl w:val="005055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BAC30ED"/>
    <w:multiLevelType w:val="hybridMultilevel"/>
    <w:tmpl w:val="6E22AEB4"/>
    <w:lvl w:ilvl="0" w:tplc="29085DB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14D04BD"/>
    <w:multiLevelType w:val="hybridMultilevel"/>
    <w:tmpl w:val="ECFC3C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4ED2A13"/>
    <w:multiLevelType w:val="hybridMultilevel"/>
    <w:tmpl w:val="8F46E7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9F471E4"/>
    <w:multiLevelType w:val="hybridMultilevel"/>
    <w:tmpl w:val="9E5CD8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5923930"/>
    <w:multiLevelType w:val="hybridMultilevel"/>
    <w:tmpl w:val="A5566A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91332C4"/>
    <w:multiLevelType w:val="hybridMultilevel"/>
    <w:tmpl w:val="74541E3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3" w15:restartNumberingAfterBreak="0">
    <w:nsid w:val="7AF55A25"/>
    <w:multiLevelType w:val="hybridMultilevel"/>
    <w:tmpl w:val="20629F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61097734">
    <w:abstractNumId w:val="15"/>
  </w:num>
  <w:num w:numId="2" w16cid:durableId="17001586">
    <w:abstractNumId w:val="1"/>
  </w:num>
  <w:num w:numId="3" w16cid:durableId="2038045481">
    <w:abstractNumId w:val="11"/>
  </w:num>
  <w:num w:numId="4" w16cid:durableId="795762004">
    <w:abstractNumId w:val="8"/>
  </w:num>
  <w:num w:numId="5" w16cid:durableId="371735613">
    <w:abstractNumId w:val="2"/>
  </w:num>
  <w:num w:numId="6" w16cid:durableId="517550290">
    <w:abstractNumId w:val="16"/>
  </w:num>
  <w:num w:numId="7" w16cid:durableId="1561330142">
    <w:abstractNumId w:val="6"/>
  </w:num>
  <w:num w:numId="8" w16cid:durableId="348874987">
    <w:abstractNumId w:val="9"/>
  </w:num>
  <w:num w:numId="9" w16cid:durableId="2114863552">
    <w:abstractNumId w:val="3"/>
  </w:num>
  <w:num w:numId="10" w16cid:durableId="4289105">
    <w:abstractNumId w:val="10"/>
  </w:num>
  <w:num w:numId="11" w16cid:durableId="379133763">
    <w:abstractNumId w:val="12"/>
  </w:num>
  <w:num w:numId="12" w16cid:durableId="611714100">
    <w:abstractNumId w:val="14"/>
  </w:num>
  <w:num w:numId="13" w16cid:durableId="1294755904">
    <w:abstractNumId w:val="13"/>
  </w:num>
  <w:num w:numId="14" w16cid:durableId="968047313">
    <w:abstractNumId w:val="22"/>
  </w:num>
  <w:num w:numId="15" w16cid:durableId="825977546">
    <w:abstractNumId w:val="23"/>
  </w:num>
  <w:num w:numId="16" w16cid:durableId="2069525158">
    <w:abstractNumId w:val="18"/>
  </w:num>
  <w:num w:numId="17" w16cid:durableId="1090082934">
    <w:abstractNumId w:val="5"/>
  </w:num>
  <w:num w:numId="18" w16cid:durableId="667833823">
    <w:abstractNumId w:val="21"/>
  </w:num>
  <w:num w:numId="19" w16cid:durableId="1101994540">
    <w:abstractNumId w:val="19"/>
  </w:num>
  <w:num w:numId="20" w16cid:durableId="962422017">
    <w:abstractNumId w:val="17"/>
  </w:num>
  <w:num w:numId="21" w16cid:durableId="673382833">
    <w:abstractNumId w:val="4"/>
  </w:num>
  <w:num w:numId="22" w16cid:durableId="229968107">
    <w:abstractNumId w:val="0"/>
  </w:num>
  <w:num w:numId="23" w16cid:durableId="1523741481">
    <w:abstractNumId w:val="7"/>
  </w:num>
  <w:num w:numId="24" w16cid:durableId="13524877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37"/>
    <w:rsid w:val="0000086A"/>
    <w:rsid w:val="0000238B"/>
    <w:rsid w:val="000144B3"/>
    <w:rsid w:val="00014D0C"/>
    <w:rsid w:val="00016006"/>
    <w:rsid w:val="000204F0"/>
    <w:rsid w:val="00023812"/>
    <w:rsid w:val="00034E06"/>
    <w:rsid w:val="00042250"/>
    <w:rsid w:val="000435BE"/>
    <w:rsid w:val="00043FCA"/>
    <w:rsid w:val="00046AC3"/>
    <w:rsid w:val="00050A63"/>
    <w:rsid w:val="00051559"/>
    <w:rsid w:val="0005247E"/>
    <w:rsid w:val="0005437D"/>
    <w:rsid w:val="00054445"/>
    <w:rsid w:val="00063719"/>
    <w:rsid w:val="00064D86"/>
    <w:rsid w:val="0006568F"/>
    <w:rsid w:val="00065FC4"/>
    <w:rsid w:val="00067065"/>
    <w:rsid w:val="00072FB5"/>
    <w:rsid w:val="000736A9"/>
    <w:rsid w:val="0007371D"/>
    <w:rsid w:val="000752F6"/>
    <w:rsid w:val="00080314"/>
    <w:rsid w:val="00083E17"/>
    <w:rsid w:val="00086ECE"/>
    <w:rsid w:val="000871E0"/>
    <w:rsid w:val="00093396"/>
    <w:rsid w:val="000A2715"/>
    <w:rsid w:val="000A3329"/>
    <w:rsid w:val="000A5E4A"/>
    <w:rsid w:val="000B1353"/>
    <w:rsid w:val="000B189D"/>
    <w:rsid w:val="000B1900"/>
    <w:rsid w:val="000B77EA"/>
    <w:rsid w:val="000C024A"/>
    <w:rsid w:val="000C1ACB"/>
    <w:rsid w:val="000C2A04"/>
    <w:rsid w:val="000C74EB"/>
    <w:rsid w:val="000D0FF5"/>
    <w:rsid w:val="000D5C7D"/>
    <w:rsid w:val="000F1A9D"/>
    <w:rsid w:val="000F2E19"/>
    <w:rsid w:val="000F3F0B"/>
    <w:rsid w:val="000F4D11"/>
    <w:rsid w:val="000F676D"/>
    <w:rsid w:val="001004CA"/>
    <w:rsid w:val="00100BC7"/>
    <w:rsid w:val="001011BA"/>
    <w:rsid w:val="00110027"/>
    <w:rsid w:val="001113DA"/>
    <w:rsid w:val="001113EA"/>
    <w:rsid w:val="00111B11"/>
    <w:rsid w:val="00112914"/>
    <w:rsid w:val="001149F4"/>
    <w:rsid w:val="001161FE"/>
    <w:rsid w:val="001169ED"/>
    <w:rsid w:val="001204A0"/>
    <w:rsid w:val="00121080"/>
    <w:rsid w:val="00121661"/>
    <w:rsid w:val="00122449"/>
    <w:rsid w:val="001255EF"/>
    <w:rsid w:val="0013147F"/>
    <w:rsid w:val="0013275D"/>
    <w:rsid w:val="00137500"/>
    <w:rsid w:val="00141CB8"/>
    <w:rsid w:val="001435C1"/>
    <w:rsid w:val="00143C23"/>
    <w:rsid w:val="00145C7E"/>
    <w:rsid w:val="00147712"/>
    <w:rsid w:val="00161566"/>
    <w:rsid w:val="0016315C"/>
    <w:rsid w:val="0016524A"/>
    <w:rsid w:val="0017124F"/>
    <w:rsid w:val="001723F2"/>
    <w:rsid w:val="00175BD4"/>
    <w:rsid w:val="0018165B"/>
    <w:rsid w:val="00185009"/>
    <w:rsid w:val="001860C2"/>
    <w:rsid w:val="00187148"/>
    <w:rsid w:val="00193608"/>
    <w:rsid w:val="0019419C"/>
    <w:rsid w:val="001945CA"/>
    <w:rsid w:val="001951A8"/>
    <w:rsid w:val="001976A7"/>
    <w:rsid w:val="001A0812"/>
    <w:rsid w:val="001A440E"/>
    <w:rsid w:val="001A631C"/>
    <w:rsid w:val="001A6952"/>
    <w:rsid w:val="001A7023"/>
    <w:rsid w:val="001B09C4"/>
    <w:rsid w:val="001B0CAA"/>
    <w:rsid w:val="001B5446"/>
    <w:rsid w:val="001C419C"/>
    <w:rsid w:val="001C426E"/>
    <w:rsid w:val="001C48EF"/>
    <w:rsid w:val="001D1426"/>
    <w:rsid w:val="001D145F"/>
    <w:rsid w:val="001D296F"/>
    <w:rsid w:val="001D3AD8"/>
    <w:rsid w:val="001D53A8"/>
    <w:rsid w:val="001E36F8"/>
    <w:rsid w:val="001F12A9"/>
    <w:rsid w:val="001F137C"/>
    <w:rsid w:val="001F6BD9"/>
    <w:rsid w:val="00201C15"/>
    <w:rsid w:val="00202A1E"/>
    <w:rsid w:val="00211E65"/>
    <w:rsid w:val="00213163"/>
    <w:rsid w:val="00214624"/>
    <w:rsid w:val="00215EC5"/>
    <w:rsid w:val="00217F89"/>
    <w:rsid w:val="00222E4A"/>
    <w:rsid w:val="00227D37"/>
    <w:rsid w:val="00231639"/>
    <w:rsid w:val="00240106"/>
    <w:rsid w:val="00244ACE"/>
    <w:rsid w:val="0024764F"/>
    <w:rsid w:val="00251098"/>
    <w:rsid w:val="0025163D"/>
    <w:rsid w:val="002519C3"/>
    <w:rsid w:val="00253345"/>
    <w:rsid w:val="002536F5"/>
    <w:rsid w:val="00257F69"/>
    <w:rsid w:val="00260037"/>
    <w:rsid w:val="002628F1"/>
    <w:rsid w:val="002647AB"/>
    <w:rsid w:val="00267704"/>
    <w:rsid w:val="002678D7"/>
    <w:rsid w:val="00267A62"/>
    <w:rsid w:val="00270178"/>
    <w:rsid w:val="0027130E"/>
    <w:rsid w:val="00271472"/>
    <w:rsid w:val="00275FDA"/>
    <w:rsid w:val="00281835"/>
    <w:rsid w:val="002821C1"/>
    <w:rsid w:val="00283442"/>
    <w:rsid w:val="0028371C"/>
    <w:rsid w:val="0028580C"/>
    <w:rsid w:val="00287580"/>
    <w:rsid w:val="002944F7"/>
    <w:rsid w:val="00295FE0"/>
    <w:rsid w:val="002A024C"/>
    <w:rsid w:val="002A12CA"/>
    <w:rsid w:val="002A439C"/>
    <w:rsid w:val="002A4EC3"/>
    <w:rsid w:val="002A6914"/>
    <w:rsid w:val="002A6D67"/>
    <w:rsid w:val="002B51E7"/>
    <w:rsid w:val="002D1ED9"/>
    <w:rsid w:val="002D4D18"/>
    <w:rsid w:val="002D7097"/>
    <w:rsid w:val="002E30E8"/>
    <w:rsid w:val="002E4F01"/>
    <w:rsid w:val="002E55EA"/>
    <w:rsid w:val="002E6A24"/>
    <w:rsid w:val="002F162B"/>
    <w:rsid w:val="002F16E9"/>
    <w:rsid w:val="002F19B0"/>
    <w:rsid w:val="002F4117"/>
    <w:rsid w:val="002F5364"/>
    <w:rsid w:val="00302AA8"/>
    <w:rsid w:val="00307DE7"/>
    <w:rsid w:val="00321934"/>
    <w:rsid w:val="00322BD7"/>
    <w:rsid w:val="003230DF"/>
    <w:rsid w:val="00324D73"/>
    <w:rsid w:val="00325F2F"/>
    <w:rsid w:val="00330C63"/>
    <w:rsid w:val="00332256"/>
    <w:rsid w:val="003352CA"/>
    <w:rsid w:val="003353CB"/>
    <w:rsid w:val="00336154"/>
    <w:rsid w:val="00337675"/>
    <w:rsid w:val="00340ED3"/>
    <w:rsid w:val="00345103"/>
    <w:rsid w:val="003453A7"/>
    <w:rsid w:val="003453E4"/>
    <w:rsid w:val="003455BD"/>
    <w:rsid w:val="00346C09"/>
    <w:rsid w:val="00354846"/>
    <w:rsid w:val="00356055"/>
    <w:rsid w:val="00362595"/>
    <w:rsid w:val="00371A95"/>
    <w:rsid w:val="00373E18"/>
    <w:rsid w:val="00374625"/>
    <w:rsid w:val="003768E4"/>
    <w:rsid w:val="003804A8"/>
    <w:rsid w:val="00380C83"/>
    <w:rsid w:val="00382ADA"/>
    <w:rsid w:val="003835A0"/>
    <w:rsid w:val="00383630"/>
    <w:rsid w:val="0038427E"/>
    <w:rsid w:val="00384A36"/>
    <w:rsid w:val="003935AB"/>
    <w:rsid w:val="00394359"/>
    <w:rsid w:val="00395C1E"/>
    <w:rsid w:val="003A0D8D"/>
    <w:rsid w:val="003A29FB"/>
    <w:rsid w:val="003A3D19"/>
    <w:rsid w:val="003A6075"/>
    <w:rsid w:val="003B0162"/>
    <w:rsid w:val="003B10C9"/>
    <w:rsid w:val="003B4F95"/>
    <w:rsid w:val="003C278D"/>
    <w:rsid w:val="003C3187"/>
    <w:rsid w:val="003C34BA"/>
    <w:rsid w:val="003C36D7"/>
    <w:rsid w:val="003C4C24"/>
    <w:rsid w:val="003C4CE2"/>
    <w:rsid w:val="003C6031"/>
    <w:rsid w:val="003C700A"/>
    <w:rsid w:val="003D13C9"/>
    <w:rsid w:val="003D3AB6"/>
    <w:rsid w:val="003D5B90"/>
    <w:rsid w:val="003E41CF"/>
    <w:rsid w:val="003E6D07"/>
    <w:rsid w:val="003F1BC4"/>
    <w:rsid w:val="003F5A00"/>
    <w:rsid w:val="003F5A9C"/>
    <w:rsid w:val="003F6A02"/>
    <w:rsid w:val="003F76E0"/>
    <w:rsid w:val="003F7712"/>
    <w:rsid w:val="004038EE"/>
    <w:rsid w:val="0040423E"/>
    <w:rsid w:val="00405F9A"/>
    <w:rsid w:val="00407678"/>
    <w:rsid w:val="00410B7D"/>
    <w:rsid w:val="00410B90"/>
    <w:rsid w:val="00416503"/>
    <w:rsid w:val="00417CC4"/>
    <w:rsid w:val="00420382"/>
    <w:rsid w:val="0042225F"/>
    <w:rsid w:val="00433C1B"/>
    <w:rsid w:val="00434DA5"/>
    <w:rsid w:val="00435E56"/>
    <w:rsid w:val="00441724"/>
    <w:rsid w:val="004423A7"/>
    <w:rsid w:val="00443433"/>
    <w:rsid w:val="00451766"/>
    <w:rsid w:val="00451A86"/>
    <w:rsid w:val="004545BB"/>
    <w:rsid w:val="004568F5"/>
    <w:rsid w:val="00464D4D"/>
    <w:rsid w:val="00467DA9"/>
    <w:rsid w:val="0048656A"/>
    <w:rsid w:val="00486A17"/>
    <w:rsid w:val="0049405F"/>
    <w:rsid w:val="004A1759"/>
    <w:rsid w:val="004A2267"/>
    <w:rsid w:val="004A28B2"/>
    <w:rsid w:val="004A53EA"/>
    <w:rsid w:val="004A6384"/>
    <w:rsid w:val="004A687F"/>
    <w:rsid w:val="004A7DA9"/>
    <w:rsid w:val="004B0423"/>
    <w:rsid w:val="004B0713"/>
    <w:rsid w:val="004B2D37"/>
    <w:rsid w:val="004B4A66"/>
    <w:rsid w:val="004B7AF5"/>
    <w:rsid w:val="004C1102"/>
    <w:rsid w:val="004C18EC"/>
    <w:rsid w:val="004C60DA"/>
    <w:rsid w:val="004D0295"/>
    <w:rsid w:val="004D1524"/>
    <w:rsid w:val="004D6498"/>
    <w:rsid w:val="004E2922"/>
    <w:rsid w:val="004E4DAF"/>
    <w:rsid w:val="004E5FC6"/>
    <w:rsid w:val="004E60C8"/>
    <w:rsid w:val="004E7608"/>
    <w:rsid w:val="004F0766"/>
    <w:rsid w:val="004F1DF6"/>
    <w:rsid w:val="004F47FC"/>
    <w:rsid w:val="004F60D3"/>
    <w:rsid w:val="00506218"/>
    <w:rsid w:val="0050685E"/>
    <w:rsid w:val="00511FB5"/>
    <w:rsid w:val="005135D4"/>
    <w:rsid w:val="005138C3"/>
    <w:rsid w:val="0051590D"/>
    <w:rsid w:val="005248F6"/>
    <w:rsid w:val="00525AD3"/>
    <w:rsid w:val="005269C6"/>
    <w:rsid w:val="00527C9E"/>
    <w:rsid w:val="00532E7F"/>
    <w:rsid w:val="005355B2"/>
    <w:rsid w:val="0054188E"/>
    <w:rsid w:val="005447D2"/>
    <w:rsid w:val="005475A6"/>
    <w:rsid w:val="005509A2"/>
    <w:rsid w:val="00557D80"/>
    <w:rsid w:val="00561C75"/>
    <w:rsid w:val="005628FE"/>
    <w:rsid w:val="00573EA2"/>
    <w:rsid w:val="0057426E"/>
    <w:rsid w:val="00574800"/>
    <w:rsid w:val="00575220"/>
    <w:rsid w:val="00576C93"/>
    <w:rsid w:val="00576EDC"/>
    <w:rsid w:val="00581B69"/>
    <w:rsid w:val="00587E90"/>
    <w:rsid w:val="005923A8"/>
    <w:rsid w:val="005A16E0"/>
    <w:rsid w:val="005A21ED"/>
    <w:rsid w:val="005A77A2"/>
    <w:rsid w:val="005B0992"/>
    <w:rsid w:val="005B0C73"/>
    <w:rsid w:val="005B25BF"/>
    <w:rsid w:val="005B450E"/>
    <w:rsid w:val="005B4FD8"/>
    <w:rsid w:val="005B5FC4"/>
    <w:rsid w:val="005B6048"/>
    <w:rsid w:val="005B62B4"/>
    <w:rsid w:val="005B7CFF"/>
    <w:rsid w:val="005C2299"/>
    <w:rsid w:val="005C3133"/>
    <w:rsid w:val="005C4D11"/>
    <w:rsid w:val="005C6EDE"/>
    <w:rsid w:val="005D1205"/>
    <w:rsid w:val="005D52D2"/>
    <w:rsid w:val="005D54DF"/>
    <w:rsid w:val="005D7F9E"/>
    <w:rsid w:val="005E6456"/>
    <w:rsid w:val="005F02F6"/>
    <w:rsid w:val="005F2A62"/>
    <w:rsid w:val="005F3B27"/>
    <w:rsid w:val="005F5553"/>
    <w:rsid w:val="005F72F5"/>
    <w:rsid w:val="005F7544"/>
    <w:rsid w:val="006015AB"/>
    <w:rsid w:val="00602DDF"/>
    <w:rsid w:val="006052EB"/>
    <w:rsid w:val="00605876"/>
    <w:rsid w:val="00606273"/>
    <w:rsid w:val="00607890"/>
    <w:rsid w:val="00610270"/>
    <w:rsid w:val="006108AD"/>
    <w:rsid w:val="00611D35"/>
    <w:rsid w:val="006124A0"/>
    <w:rsid w:val="00614644"/>
    <w:rsid w:val="00617B74"/>
    <w:rsid w:val="0062560E"/>
    <w:rsid w:val="00630A2B"/>
    <w:rsid w:val="006345C7"/>
    <w:rsid w:val="00634A9D"/>
    <w:rsid w:val="00636507"/>
    <w:rsid w:val="00637C5B"/>
    <w:rsid w:val="006427A5"/>
    <w:rsid w:val="00650F13"/>
    <w:rsid w:val="0065322B"/>
    <w:rsid w:val="00653EAC"/>
    <w:rsid w:val="006557AA"/>
    <w:rsid w:val="006607FA"/>
    <w:rsid w:val="00665208"/>
    <w:rsid w:val="00665C94"/>
    <w:rsid w:val="006666EF"/>
    <w:rsid w:val="00667B94"/>
    <w:rsid w:val="0067082E"/>
    <w:rsid w:val="00670E82"/>
    <w:rsid w:val="006726E7"/>
    <w:rsid w:val="006806B9"/>
    <w:rsid w:val="00681EB2"/>
    <w:rsid w:val="006820C0"/>
    <w:rsid w:val="00685233"/>
    <w:rsid w:val="00690162"/>
    <w:rsid w:val="006924BC"/>
    <w:rsid w:val="00695F0A"/>
    <w:rsid w:val="006A0C56"/>
    <w:rsid w:val="006A24D6"/>
    <w:rsid w:val="006A6635"/>
    <w:rsid w:val="006B399B"/>
    <w:rsid w:val="006B620E"/>
    <w:rsid w:val="006C1593"/>
    <w:rsid w:val="006C31C8"/>
    <w:rsid w:val="006C3432"/>
    <w:rsid w:val="006C3AD1"/>
    <w:rsid w:val="006C5667"/>
    <w:rsid w:val="006C58B8"/>
    <w:rsid w:val="006C780E"/>
    <w:rsid w:val="006D30DE"/>
    <w:rsid w:val="006D32E9"/>
    <w:rsid w:val="006D3930"/>
    <w:rsid w:val="006D3B08"/>
    <w:rsid w:val="006E0E3D"/>
    <w:rsid w:val="006E70F6"/>
    <w:rsid w:val="006F12EA"/>
    <w:rsid w:val="006F464E"/>
    <w:rsid w:val="007017CF"/>
    <w:rsid w:val="007026CA"/>
    <w:rsid w:val="00702765"/>
    <w:rsid w:val="007028A0"/>
    <w:rsid w:val="00705212"/>
    <w:rsid w:val="007153E8"/>
    <w:rsid w:val="00715DF1"/>
    <w:rsid w:val="00727AC5"/>
    <w:rsid w:val="00737776"/>
    <w:rsid w:val="0074101D"/>
    <w:rsid w:val="00742511"/>
    <w:rsid w:val="00744360"/>
    <w:rsid w:val="00744B64"/>
    <w:rsid w:val="0075135D"/>
    <w:rsid w:val="007520C0"/>
    <w:rsid w:val="00752C5D"/>
    <w:rsid w:val="00754226"/>
    <w:rsid w:val="0075479F"/>
    <w:rsid w:val="007549A4"/>
    <w:rsid w:val="0075574D"/>
    <w:rsid w:val="007561FE"/>
    <w:rsid w:val="0075656E"/>
    <w:rsid w:val="007617B4"/>
    <w:rsid w:val="00761DC1"/>
    <w:rsid w:val="007624E8"/>
    <w:rsid w:val="007640DF"/>
    <w:rsid w:val="00765BCF"/>
    <w:rsid w:val="00767654"/>
    <w:rsid w:val="00771D6F"/>
    <w:rsid w:val="00773DC7"/>
    <w:rsid w:val="00774D53"/>
    <w:rsid w:val="00774F11"/>
    <w:rsid w:val="00784C81"/>
    <w:rsid w:val="00785EC3"/>
    <w:rsid w:val="00786573"/>
    <w:rsid w:val="0078694D"/>
    <w:rsid w:val="00792524"/>
    <w:rsid w:val="007967FF"/>
    <w:rsid w:val="007A7050"/>
    <w:rsid w:val="007A7A18"/>
    <w:rsid w:val="007B1D8E"/>
    <w:rsid w:val="007B3F08"/>
    <w:rsid w:val="007C2AC1"/>
    <w:rsid w:val="007C4EB1"/>
    <w:rsid w:val="007D0DE9"/>
    <w:rsid w:val="007D1C48"/>
    <w:rsid w:val="007D3765"/>
    <w:rsid w:val="007E5C23"/>
    <w:rsid w:val="007E68F3"/>
    <w:rsid w:val="007F0BD2"/>
    <w:rsid w:val="007F2E9B"/>
    <w:rsid w:val="007F439B"/>
    <w:rsid w:val="007F4718"/>
    <w:rsid w:val="007F543C"/>
    <w:rsid w:val="007F5E1E"/>
    <w:rsid w:val="0080262B"/>
    <w:rsid w:val="0080317E"/>
    <w:rsid w:val="008033A1"/>
    <w:rsid w:val="00803DCA"/>
    <w:rsid w:val="00805B57"/>
    <w:rsid w:val="00810312"/>
    <w:rsid w:val="008168D7"/>
    <w:rsid w:val="0082551A"/>
    <w:rsid w:val="00826CE1"/>
    <w:rsid w:val="00831695"/>
    <w:rsid w:val="00834896"/>
    <w:rsid w:val="00837416"/>
    <w:rsid w:val="008468F3"/>
    <w:rsid w:val="008555E3"/>
    <w:rsid w:val="00863949"/>
    <w:rsid w:val="00864626"/>
    <w:rsid w:val="008678CF"/>
    <w:rsid w:val="00867BCA"/>
    <w:rsid w:val="00870751"/>
    <w:rsid w:val="008723C3"/>
    <w:rsid w:val="00873A85"/>
    <w:rsid w:val="00874BC3"/>
    <w:rsid w:val="008767CE"/>
    <w:rsid w:val="008820A2"/>
    <w:rsid w:val="008927A0"/>
    <w:rsid w:val="00892847"/>
    <w:rsid w:val="0089751B"/>
    <w:rsid w:val="0089761A"/>
    <w:rsid w:val="008A3D62"/>
    <w:rsid w:val="008A4C09"/>
    <w:rsid w:val="008A7891"/>
    <w:rsid w:val="008B0AC5"/>
    <w:rsid w:val="008B14A6"/>
    <w:rsid w:val="008B1AB4"/>
    <w:rsid w:val="008B4F73"/>
    <w:rsid w:val="008B6F18"/>
    <w:rsid w:val="008C19C4"/>
    <w:rsid w:val="008C2BE8"/>
    <w:rsid w:val="008C4FF1"/>
    <w:rsid w:val="008C6006"/>
    <w:rsid w:val="008C75B2"/>
    <w:rsid w:val="008C7E9E"/>
    <w:rsid w:val="008D1027"/>
    <w:rsid w:val="008D5DE6"/>
    <w:rsid w:val="008D743D"/>
    <w:rsid w:val="008E2FDF"/>
    <w:rsid w:val="008F0636"/>
    <w:rsid w:val="008F5B96"/>
    <w:rsid w:val="00900106"/>
    <w:rsid w:val="00900795"/>
    <w:rsid w:val="00902C9D"/>
    <w:rsid w:val="0090660B"/>
    <w:rsid w:val="0090715C"/>
    <w:rsid w:val="00912273"/>
    <w:rsid w:val="0091603A"/>
    <w:rsid w:val="00921CF9"/>
    <w:rsid w:val="00925D2A"/>
    <w:rsid w:val="0092766E"/>
    <w:rsid w:val="0093030D"/>
    <w:rsid w:val="009307DF"/>
    <w:rsid w:val="00931166"/>
    <w:rsid w:val="00932B35"/>
    <w:rsid w:val="00933922"/>
    <w:rsid w:val="00934D40"/>
    <w:rsid w:val="00935C75"/>
    <w:rsid w:val="00937453"/>
    <w:rsid w:val="00943D73"/>
    <w:rsid w:val="00947A6D"/>
    <w:rsid w:val="009542C9"/>
    <w:rsid w:val="00964DB3"/>
    <w:rsid w:val="00967F07"/>
    <w:rsid w:val="00972CCD"/>
    <w:rsid w:val="009732C5"/>
    <w:rsid w:val="00975BA8"/>
    <w:rsid w:val="00975CA7"/>
    <w:rsid w:val="00976701"/>
    <w:rsid w:val="00976971"/>
    <w:rsid w:val="00977364"/>
    <w:rsid w:val="00980BD8"/>
    <w:rsid w:val="00990E6C"/>
    <w:rsid w:val="009928D9"/>
    <w:rsid w:val="00993934"/>
    <w:rsid w:val="00996EDA"/>
    <w:rsid w:val="009A0517"/>
    <w:rsid w:val="009A4055"/>
    <w:rsid w:val="009A4B52"/>
    <w:rsid w:val="009C3FDD"/>
    <w:rsid w:val="009C71D3"/>
    <w:rsid w:val="009D06A1"/>
    <w:rsid w:val="009D1D25"/>
    <w:rsid w:val="009D2502"/>
    <w:rsid w:val="009D49A1"/>
    <w:rsid w:val="009D539F"/>
    <w:rsid w:val="009D63BC"/>
    <w:rsid w:val="009E06CC"/>
    <w:rsid w:val="009E08B1"/>
    <w:rsid w:val="009E19AA"/>
    <w:rsid w:val="009E4AA6"/>
    <w:rsid w:val="009F598B"/>
    <w:rsid w:val="009F66FE"/>
    <w:rsid w:val="009F7261"/>
    <w:rsid w:val="00A00FDB"/>
    <w:rsid w:val="00A018BA"/>
    <w:rsid w:val="00A01E0B"/>
    <w:rsid w:val="00A029E7"/>
    <w:rsid w:val="00A051FB"/>
    <w:rsid w:val="00A06583"/>
    <w:rsid w:val="00A1052C"/>
    <w:rsid w:val="00A1059D"/>
    <w:rsid w:val="00A143F4"/>
    <w:rsid w:val="00A167E1"/>
    <w:rsid w:val="00A24DE7"/>
    <w:rsid w:val="00A25A8D"/>
    <w:rsid w:val="00A30C9E"/>
    <w:rsid w:val="00A3197A"/>
    <w:rsid w:val="00A32F36"/>
    <w:rsid w:val="00A34964"/>
    <w:rsid w:val="00A35AAF"/>
    <w:rsid w:val="00A37F02"/>
    <w:rsid w:val="00A41EC0"/>
    <w:rsid w:val="00A4782C"/>
    <w:rsid w:val="00A547A7"/>
    <w:rsid w:val="00A572A0"/>
    <w:rsid w:val="00A65E16"/>
    <w:rsid w:val="00A668A9"/>
    <w:rsid w:val="00A66F58"/>
    <w:rsid w:val="00A6703F"/>
    <w:rsid w:val="00A67209"/>
    <w:rsid w:val="00A7546F"/>
    <w:rsid w:val="00A836BC"/>
    <w:rsid w:val="00A8447A"/>
    <w:rsid w:val="00A84E5F"/>
    <w:rsid w:val="00A85809"/>
    <w:rsid w:val="00A85AC4"/>
    <w:rsid w:val="00A87409"/>
    <w:rsid w:val="00A904A9"/>
    <w:rsid w:val="00A92F14"/>
    <w:rsid w:val="00A933CB"/>
    <w:rsid w:val="00A94957"/>
    <w:rsid w:val="00A95B1E"/>
    <w:rsid w:val="00A96CC9"/>
    <w:rsid w:val="00A97831"/>
    <w:rsid w:val="00AA2591"/>
    <w:rsid w:val="00AA3690"/>
    <w:rsid w:val="00AB1469"/>
    <w:rsid w:val="00AB5637"/>
    <w:rsid w:val="00AB659F"/>
    <w:rsid w:val="00AB779B"/>
    <w:rsid w:val="00AC2829"/>
    <w:rsid w:val="00AC2C23"/>
    <w:rsid w:val="00AC44C8"/>
    <w:rsid w:val="00AC4855"/>
    <w:rsid w:val="00AC54A6"/>
    <w:rsid w:val="00AC5A30"/>
    <w:rsid w:val="00AC5FC2"/>
    <w:rsid w:val="00AC615B"/>
    <w:rsid w:val="00AD0CE4"/>
    <w:rsid w:val="00AE03BE"/>
    <w:rsid w:val="00AE1262"/>
    <w:rsid w:val="00AE12F4"/>
    <w:rsid w:val="00AE1BCE"/>
    <w:rsid w:val="00AE2E69"/>
    <w:rsid w:val="00AE3A0B"/>
    <w:rsid w:val="00AE45D7"/>
    <w:rsid w:val="00AE6B7A"/>
    <w:rsid w:val="00AE720D"/>
    <w:rsid w:val="00AF6530"/>
    <w:rsid w:val="00AF734A"/>
    <w:rsid w:val="00AF7BAB"/>
    <w:rsid w:val="00B010F5"/>
    <w:rsid w:val="00B04A5D"/>
    <w:rsid w:val="00B0556F"/>
    <w:rsid w:val="00B064A2"/>
    <w:rsid w:val="00B06DBF"/>
    <w:rsid w:val="00B07BDB"/>
    <w:rsid w:val="00B11A47"/>
    <w:rsid w:val="00B11DFE"/>
    <w:rsid w:val="00B133BE"/>
    <w:rsid w:val="00B15601"/>
    <w:rsid w:val="00B157B7"/>
    <w:rsid w:val="00B1692D"/>
    <w:rsid w:val="00B17F8F"/>
    <w:rsid w:val="00B228FA"/>
    <w:rsid w:val="00B238F4"/>
    <w:rsid w:val="00B23C71"/>
    <w:rsid w:val="00B33939"/>
    <w:rsid w:val="00B352AB"/>
    <w:rsid w:val="00B373FE"/>
    <w:rsid w:val="00B43C70"/>
    <w:rsid w:val="00B46D9E"/>
    <w:rsid w:val="00B47480"/>
    <w:rsid w:val="00B5062D"/>
    <w:rsid w:val="00B53321"/>
    <w:rsid w:val="00B5384D"/>
    <w:rsid w:val="00B539B4"/>
    <w:rsid w:val="00B53CF2"/>
    <w:rsid w:val="00B544F8"/>
    <w:rsid w:val="00B600A0"/>
    <w:rsid w:val="00B6448D"/>
    <w:rsid w:val="00B65933"/>
    <w:rsid w:val="00B7090D"/>
    <w:rsid w:val="00B7153C"/>
    <w:rsid w:val="00B76B5D"/>
    <w:rsid w:val="00B80A20"/>
    <w:rsid w:val="00B80B89"/>
    <w:rsid w:val="00B81DF4"/>
    <w:rsid w:val="00B822A3"/>
    <w:rsid w:val="00B82C05"/>
    <w:rsid w:val="00B84B3B"/>
    <w:rsid w:val="00B86862"/>
    <w:rsid w:val="00B8742E"/>
    <w:rsid w:val="00BA3DC2"/>
    <w:rsid w:val="00BA7F27"/>
    <w:rsid w:val="00BB3618"/>
    <w:rsid w:val="00BB3813"/>
    <w:rsid w:val="00BB61E9"/>
    <w:rsid w:val="00BB7E35"/>
    <w:rsid w:val="00BC4EB7"/>
    <w:rsid w:val="00BC6FBB"/>
    <w:rsid w:val="00BD198C"/>
    <w:rsid w:val="00BD2909"/>
    <w:rsid w:val="00BD2BD9"/>
    <w:rsid w:val="00BD35C4"/>
    <w:rsid w:val="00BD4AED"/>
    <w:rsid w:val="00BD60FD"/>
    <w:rsid w:val="00BD73DC"/>
    <w:rsid w:val="00BE106B"/>
    <w:rsid w:val="00BE1AB8"/>
    <w:rsid w:val="00BE1EE9"/>
    <w:rsid w:val="00BE33A6"/>
    <w:rsid w:val="00BE387A"/>
    <w:rsid w:val="00BE58F6"/>
    <w:rsid w:val="00BE6DE2"/>
    <w:rsid w:val="00BF214D"/>
    <w:rsid w:val="00BF60E0"/>
    <w:rsid w:val="00C01B7D"/>
    <w:rsid w:val="00C11C7B"/>
    <w:rsid w:val="00C130B1"/>
    <w:rsid w:val="00C16778"/>
    <w:rsid w:val="00C2040D"/>
    <w:rsid w:val="00C262C9"/>
    <w:rsid w:val="00C266EE"/>
    <w:rsid w:val="00C34AA3"/>
    <w:rsid w:val="00C361AA"/>
    <w:rsid w:val="00C36612"/>
    <w:rsid w:val="00C36D78"/>
    <w:rsid w:val="00C43586"/>
    <w:rsid w:val="00C6212D"/>
    <w:rsid w:val="00C623CC"/>
    <w:rsid w:val="00C6310E"/>
    <w:rsid w:val="00C648B8"/>
    <w:rsid w:val="00C67C90"/>
    <w:rsid w:val="00C70110"/>
    <w:rsid w:val="00C72345"/>
    <w:rsid w:val="00C74DB9"/>
    <w:rsid w:val="00C83652"/>
    <w:rsid w:val="00C848CE"/>
    <w:rsid w:val="00C849A0"/>
    <w:rsid w:val="00C9155D"/>
    <w:rsid w:val="00C96C19"/>
    <w:rsid w:val="00C9721C"/>
    <w:rsid w:val="00C97248"/>
    <w:rsid w:val="00CA0778"/>
    <w:rsid w:val="00CA0977"/>
    <w:rsid w:val="00CA5F6B"/>
    <w:rsid w:val="00CB421E"/>
    <w:rsid w:val="00CC34CF"/>
    <w:rsid w:val="00CC53BB"/>
    <w:rsid w:val="00CD0246"/>
    <w:rsid w:val="00CD1139"/>
    <w:rsid w:val="00CD37BB"/>
    <w:rsid w:val="00CD5761"/>
    <w:rsid w:val="00CE0539"/>
    <w:rsid w:val="00CE0B76"/>
    <w:rsid w:val="00CE27F1"/>
    <w:rsid w:val="00CE2B2F"/>
    <w:rsid w:val="00CE3BAE"/>
    <w:rsid w:val="00CE3CC2"/>
    <w:rsid w:val="00CE72B9"/>
    <w:rsid w:val="00CF2053"/>
    <w:rsid w:val="00CF7150"/>
    <w:rsid w:val="00CF7569"/>
    <w:rsid w:val="00CF781A"/>
    <w:rsid w:val="00D01489"/>
    <w:rsid w:val="00D019A9"/>
    <w:rsid w:val="00D02BBA"/>
    <w:rsid w:val="00D040F4"/>
    <w:rsid w:val="00D07C81"/>
    <w:rsid w:val="00D10188"/>
    <w:rsid w:val="00D11DEF"/>
    <w:rsid w:val="00D121D5"/>
    <w:rsid w:val="00D14769"/>
    <w:rsid w:val="00D1779C"/>
    <w:rsid w:val="00D17A57"/>
    <w:rsid w:val="00D20525"/>
    <w:rsid w:val="00D22956"/>
    <w:rsid w:val="00D250C6"/>
    <w:rsid w:val="00D2618D"/>
    <w:rsid w:val="00D271F3"/>
    <w:rsid w:val="00D27571"/>
    <w:rsid w:val="00D307D7"/>
    <w:rsid w:val="00D33107"/>
    <w:rsid w:val="00D331A9"/>
    <w:rsid w:val="00D3426D"/>
    <w:rsid w:val="00D34CE5"/>
    <w:rsid w:val="00D36A69"/>
    <w:rsid w:val="00D40369"/>
    <w:rsid w:val="00D435A8"/>
    <w:rsid w:val="00D43D4C"/>
    <w:rsid w:val="00D5059A"/>
    <w:rsid w:val="00D5118F"/>
    <w:rsid w:val="00D515DF"/>
    <w:rsid w:val="00D52692"/>
    <w:rsid w:val="00D529C5"/>
    <w:rsid w:val="00D52C3B"/>
    <w:rsid w:val="00D53225"/>
    <w:rsid w:val="00D549D1"/>
    <w:rsid w:val="00D54A88"/>
    <w:rsid w:val="00D57E29"/>
    <w:rsid w:val="00D653E2"/>
    <w:rsid w:val="00D65796"/>
    <w:rsid w:val="00D65EA8"/>
    <w:rsid w:val="00D72BC0"/>
    <w:rsid w:val="00D75B21"/>
    <w:rsid w:val="00D826DB"/>
    <w:rsid w:val="00D85866"/>
    <w:rsid w:val="00D9077C"/>
    <w:rsid w:val="00D90B55"/>
    <w:rsid w:val="00D92FEA"/>
    <w:rsid w:val="00D958E2"/>
    <w:rsid w:val="00D97D04"/>
    <w:rsid w:val="00DA0759"/>
    <w:rsid w:val="00DA4A8E"/>
    <w:rsid w:val="00DA4AAF"/>
    <w:rsid w:val="00DB1C85"/>
    <w:rsid w:val="00DB291B"/>
    <w:rsid w:val="00DB4A11"/>
    <w:rsid w:val="00DB6E1D"/>
    <w:rsid w:val="00DB6EB9"/>
    <w:rsid w:val="00DB71F9"/>
    <w:rsid w:val="00DB77B9"/>
    <w:rsid w:val="00DC1373"/>
    <w:rsid w:val="00DD1C15"/>
    <w:rsid w:val="00DD2D63"/>
    <w:rsid w:val="00DD461D"/>
    <w:rsid w:val="00DD487F"/>
    <w:rsid w:val="00DD5A08"/>
    <w:rsid w:val="00DD75B5"/>
    <w:rsid w:val="00DE5C90"/>
    <w:rsid w:val="00DF3A31"/>
    <w:rsid w:val="00DF3BA1"/>
    <w:rsid w:val="00DF6902"/>
    <w:rsid w:val="00DF7E2F"/>
    <w:rsid w:val="00E00161"/>
    <w:rsid w:val="00E01551"/>
    <w:rsid w:val="00E01C02"/>
    <w:rsid w:val="00E06C77"/>
    <w:rsid w:val="00E07C73"/>
    <w:rsid w:val="00E132EA"/>
    <w:rsid w:val="00E159E7"/>
    <w:rsid w:val="00E2008F"/>
    <w:rsid w:val="00E20B2D"/>
    <w:rsid w:val="00E21946"/>
    <w:rsid w:val="00E23E04"/>
    <w:rsid w:val="00E24F85"/>
    <w:rsid w:val="00E30126"/>
    <w:rsid w:val="00E3031D"/>
    <w:rsid w:val="00E31961"/>
    <w:rsid w:val="00E34CCA"/>
    <w:rsid w:val="00E35FA2"/>
    <w:rsid w:val="00E378EF"/>
    <w:rsid w:val="00E444E6"/>
    <w:rsid w:val="00E54244"/>
    <w:rsid w:val="00E61D18"/>
    <w:rsid w:val="00E63CE0"/>
    <w:rsid w:val="00E64BE4"/>
    <w:rsid w:val="00E674AE"/>
    <w:rsid w:val="00E67F46"/>
    <w:rsid w:val="00E71803"/>
    <w:rsid w:val="00E72DBE"/>
    <w:rsid w:val="00E742FD"/>
    <w:rsid w:val="00E7506A"/>
    <w:rsid w:val="00E761AB"/>
    <w:rsid w:val="00E7626C"/>
    <w:rsid w:val="00E8446A"/>
    <w:rsid w:val="00E905BE"/>
    <w:rsid w:val="00E913B6"/>
    <w:rsid w:val="00E923F2"/>
    <w:rsid w:val="00E93A18"/>
    <w:rsid w:val="00E973F2"/>
    <w:rsid w:val="00EA0580"/>
    <w:rsid w:val="00EB416B"/>
    <w:rsid w:val="00EB74F9"/>
    <w:rsid w:val="00EC0455"/>
    <w:rsid w:val="00EC06B5"/>
    <w:rsid w:val="00ED17B2"/>
    <w:rsid w:val="00ED1C62"/>
    <w:rsid w:val="00EE0926"/>
    <w:rsid w:val="00EE147E"/>
    <w:rsid w:val="00EE2E17"/>
    <w:rsid w:val="00EE7BDC"/>
    <w:rsid w:val="00EF242E"/>
    <w:rsid w:val="00EF38EC"/>
    <w:rsid w:val="00EF5C86"/>
    <w:rsid w:val="00EF6A3A"/>
    <w:rsid w:val="00F00380"/>
    <w:rsid w:val="00F019F8"/>
    <w:rsid w:val="00F06EC5"/>
    <w:rsid w:val="00F13A0B"/>
    <w:rsid w:val="00F14551"/>
    <w:rsid w:val="00F14ACA"/>
    <w:rsid w:val="00F246CA"/>
    <w:rsid w:val="00F25E18"/>
    <w:rsid w:val="00F2662C"/>
    <w:rsid w:val="00F27D65"/>
    <w:rsid w:val="00F32170"/>
    <w:rsid w:val="00F3655E"/>
    <w:rsid w:val="00F40D88"/>
    <w:rsid w:val="00F411F7"/>
    <w:rsid w:val="00F41953"/>
    <w:rsid w:val="00F4332E"/>
    <w:rsid w:val="00F44D41"/>
    <w:rsid w:val="00F44F89"/>
    <w:rsid w:val="00F45041"/>
    <w:rsid w:val="00F472B8"/>
    <w:rsid w:val="00F52AAE"/>
    <w:rsid w:val="00F52F55"/>
    <w:rsid w:val="00F565F3"/>
    <w:rsid w:val="00F56643"/>
    <w:rsid w:val="00F6273E"/>
    <w:rsid w:val="00F65131"/>
    <w:rsid w:val="00F660FB"/>
    <w:rsid w:val="00F70495"/>
    <w:rsid w:val="00F70B89"/>
    <w:rsid w:val="00F72AA3"/>
    <w:rsid w:val="00F7786F"/>
    <w:rsid w:val="00F822BF"/>
    <w:rsid w:val="00F83240"/>
    <w:rsid w:val="00F85305"/>
    <w:rsid w:val="00F90B5E"/>
    <w:rsid w:val="00F9104A"/>
    <w:rsid w:val="00F91371"/>
    <w:rsid w:val="00F94FB2"/>
    <w:rsid w:val="00FA0979"/>
    <w:rsid w:val="00FA0A82"/>
    <w:rsid w:val="00FA2E82"/>
    <w:rsid w:val="00FA4675"/>
    <w:rsid w:val="00FA51FA"/>
    <w:rsid w:val="00FA556D"/>
    <w:rsid w:val="00FA5C9F"/>
    <w:rsid w:val="00FB09AA"/>
    <w:rsid w:val="00FB18DD"/>
    <w:rsid w:val="00FB21A9"/>
    <w:rsid w:val="00FB4766"/>
    <w:rsid w:val="00FB618E"/>
    <w:rsid w:val="00FC15C7"/>
    <w:rsid w:val="00FC5593"/>
    <w:rsid w:val="00FC62D1"/>
    <w:rsid w:val="00FC7345"/>
    <w:rsid w:val="00FD20B5"/>
    <w:rsid w:val="00FD2AB9"/>
    <w:rsid w:val="00FD49C7"/>
    <w:rsid w:val="00FD7DBB"/>
    <w:rsid w:val="00FE0A9D"/>
    <w:rsid w:val="00FE2ED4"/>
    <w:rsid w:val="00FE4355"/>
    <w:rsid w:val="00FE4A84"/>
    <w:rsid w:val="00FE5ACF"/>
    <w:rsid w:val="00FE6736"/>
    <w:rsid w:val="00FE6BE9"/>
    <w:rsid w:val="00FE752C"/>
    <w:rsid w:val="00FE771E"/>
    <w:rsid w:val="00FE787B"/>
    <w:rsid w:val="00FF004F"/>
    <w:rsid w:val="00FF19E6"/>
    <w:rsid w:val="00FF3D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1762"/>
  <w15:chartTrackingRefBased/>
  <w15:docId w15:val="{0B6759B7-E720-4499-8B89-F6C690D2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563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637"/>
    <w:rPr>
      <w:rFonts w:ascii="Arial" w:eastAsia="Times New Roman" w:hAnsi="Arial" w:cs="Arial"/>
      <w:b/>
      <w:bCs/>
      <w:kern w:val="32"/>
      <w:sz w:val="32"/>
      <w:szCs w:val="32"/>
    </w:rPr>
  </w:style>
  <w:style w:type="paragraph" w:styleId="ListParagraph">
    <w:name w:val="List Paragraph"/>
    <w:basedOn w:val="Normal"/>
    <w:uiPriority w:val="34"/>
    <w:qFormat/>
    <w:rsid w:val="005355B2"/>
    <w:pPr>
      <w:ind w:left="720"/>
      <w:contextualSpacing/>
    </w:pPr>
  </w:style>
  <w:style w:type="paragraph" w:styleId="BalloonText">
    <w:name w:val="Balloon Text"/>
    <w:basedOn w:val="Normal"/>
    <w:link w:val="BalloonTextChar"/>
    <w:uiPriority w:val="99"/>
    <w:semiHidden/>
    <w:unhideWhenUsed/>
    <w:rsid w:val="00F70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95"/>
    <w:rPr>
      <w:rFonts w:ascii="Segoe UI" w:hAnsi="Segoe UI" w:cs="Segoe UI"/>
      <w:sz w:val="18"/>
      <w:szCs w:val="18"/>
    </w:rPr>
  </w:style>
  <w:style w:type="table" w:styleId="TableGrid">
    <w:name w:val="Table Grid"/>
    <w:basedOn w:val="TableNormal"/>
    <w:uiPriority w:val="39"/>
    <w:rsid w:val="00BF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14A6"/>
    <w:rPr>
      <w:color w:val="0000FF"/>
      <w:u w:val="single"/>
    </w:rPr>
  </w:style>
  <w:style w:type="paragraph" w:styleId="Header">
    <w:name w:val="header"/>
    <w:basedOn w:val="Normal"/>
    <w:link w:val="HeaderChar"/>
    <w:uiPriority w:val="99"/>
    <w:unhideWhenUsed/>
    <w:rsid w:val="0018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0C2"/>
  </w:style>
  <w:style w:type="paragraph" w:styleId="Footer">
    <w:name w:val="footer"/>
    <w:basedOn w:val="Normal"/>
    <w:link w:val="FooterChar"/>
    <w:uiPriority w:val="99"/>
    <w:unhideWhenUsed/>
    <w:rsid w:val="0018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0C2"/>
  </w:style>
  <w:style w:type="character" w:styleId="UnresolvedMention">
    <w:name w:val="Unresolved Mention"/>
    <w:basedOn w:val="DefaultParagraphFont"/>
    <w:uiPriority w:val="99"/>
    <w:semiHidden/>
    <w:unhideWhenUsed/>
    <w:rsid w:val="00F00380"/>
    <w:rPr>
      <w:color w:val="808080"/>
      <w:shd w:val="clear" w:color="auto" w:fill="E6E6E6"/>
    </w:rPr>
  </w:style>
  <w:style w:type="paragraph" w:styleId="BodyText2">
    <w:name w:val="Body Text 2"/>
    <w:basedOn w:val="Normal"/>
    <w:link w:val="BodyText2Char"/>
    <w:rsid w:val="001D3AD8"/>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1D3AD8"/>
    <w:rPr>
      <w:rFonts w:ascii="Century Gothic" w:eastAsia="Times New Roman" w:hAnsi="Century Gothic"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9264">
      <w:bodyDiv w:val="1"/>
      <w:marLeft w:val="0"/>
      <w:marRight w:val="0"/>
      <w:marTop w:val="0"/>
      <w:marBottom w:val="0"/>
      <w:divBdr>
        <w:top w:val="none" w:sz="0" w:space="0" w:color="auto"/>
        <w:left w:val="none" w:sz="0" w:space="0" w:color="auto"/>
        <w:bottom w:val="none" w:sz="0" w:space="0" w:color="auto"/>
        <w:right w:val="none" w:sz="0" w:space="0" w:color="auto"/>
      </w:divBdr>
    </w:div>
    <w:div w:id="809636148">
      <w:bodyDiv w:val="1"/>
      <w:marLeft w:val="0"/>
      <w:marRight w:val="0"/>
      <w:marTop w:val="0"/>
      <w:marBottom w:val="0"/>
      <w:divBdr>
        <w:top w:val="none" w:sz="0" w:space="0" w:color="auto"/>
        <w:left w:val="none" w:sz="0" w:space="0" w:color="auto"/>
        <w:bottom w:val="none" w:sz="0" w:space="0" w:color="auto"/>
        <w:right w:val="none" w:sz="0" w:space="0" w:color="auto"/>
      </w:divBdr>
    </w:div>
    <w:div w:id="1002664359">
      <w:bodyDiv w:val="1"/>
      <w:marLeft w:val="0"/>
      <w:marRight w:val="0"/>
      <w:marTop w:val="0"/>
      <w:marBottom w:val="0"/>
      <w:divBdr>
        <w:top w:val="none" w:sz="0" w:space="0" w:color="auto"/>
        <w:left w:val="none" w:sz="0" w:space="0" w:color="auto"/>
        <w:bottom w:val="none" w:sz="0" w:space="0" w:color="auto"/>
        <w:right w:val="none" w:sz="0" w:space="0" w:color="auto"/>
      </w:divBdr>
    </w:div>
    <w:div w:id="18970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hyperlink" Target="http://www.etfsa.co.z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tfsa-fs01\etfsa.co.za\SHERRYL\ETFSA\Website\WEB%20-%20News\2022\market%20cap%202008%20to%20Mar202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62707582112983"/>
          <c:y val="0.25184881205810183"/>
          <c:w val="0.86395859396080166"/>
          <c:h val="0.54915899356228681"/>
        </c:manualLayout>
      </c:layout>
      <c:bar3DChart>
        <c:barDir val="col"/>
        <c:grouping val="clustered"/>
        <c:varyColors val="0"/>
        <c:ser>
          <c:idx val="0"/>
          <c:order val="0"/>
          <c:tx>
            <c:strRef>
              <c:f>Sheet1!$B$1</c:f>
              <c:strCache>
                <c:ptCount val="1"/>
              </c:strCache>
            </c:strRef>
          </c:tx>
          <c:spPr>
            <a:solidFill>
              <a:srgbClr val="C00000"/>
            </a:solidFill>
            <a:ln>
              <a:solidFill>
                <a:schemeClr val="tx1">
                  <a:lumMod val="75000"/>
                  <a:lumOff val="25000"/>
                </a:schemeClr>
              </a:solidFill>
            </a:ln>
            <a:effectLst/>
            <a:sp3d>
              <a:contourClr>
                <a:schemeClr val="tx1">
                  <a:lumMod val="75000"/>
                  <a:lumOff val="25000"/>
                </a:schemeClr>
              </a:contourClr>
            </a:sp3d>
          </c:spPr>
          <c:invertIfNegative val="0"/>
          <c:dLbls>
            <c:dLbl>
              <c:idx val="6"/>
              <c:layout>
                <c:manualLayout>
                  <c:x val="4.9844236760124613E-3"/>
                  <c:y val="-1.6967126193001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8-4D01-88BD-EFCC8F93E6D0}"/>
                </c:ext>
              </c:extLst>
            </c:dLbl>
            <c:dLbl>
              <c:idx val="7"/>
              <c:layout>
                <c:manualLayout>
                  <c:x val="1.2461059190031062E-2"/>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8-4D01-88BD-EFCC8F93E6D0}"/>
                </c:ext>
              </c:extLst>
            </c:dLbl>
            <c:dLbl>
              <c:idx val="8"/>
              <c:layout>
                <c:manualLayout>
                  <c:x val="5.6417476890489758E-3"/>
                  <c:y val="4.24188018842921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8-4D01-88BD-EFCC8F93E6D0}"/>
                </c:ext>
              </c:extLst>
            </c:dLbl>
            <c:dLbl>
              <c:idx val="10"/>
              <c:layout>
                <c:manualLayout>
                  <c:x val="9.9688473520249225E-3"/>
                  <c:y val="1.9441274175555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48-4D01-88BD-EFCC8F93E6D0}"/>
                </c:ext>
              </c:extLst>
            </c:dLbl>
            <c:dLbl>
              <c:idx val="13"/>
              <c:layout>
                <c:manualLayout>
                  <c:x val="-2.064515709521826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48-4D01-88BD-EFCC8F93E6D0}"/>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 Mar</c:v>
                </c:pt>
              </c:strCache>
            </c:strRef>
          </c:cat>
          <c:val>
            <c:numRef>
              <c:f>Sheet1!$B$2:$B$16</c:f>
              <c:numCache>
                <c:formatCode>General</c:formatCode>
                <c:ptCount val="15"/>
                <c:pt idx="0">
                  <c:v>15806</c:v>
                </c:pt>
                <c:pt idx="1">
                  <c:v>26602</c:v>
                </c:pt>
                <c:pt idx="2">
                  <c:v>32273</c:v>
                </c:pt>
                <c:pt idx="3">
                  <c:v>38942</c:v>
                </c:pt>
                <c:pt idx="4">
                  <c:v>47616</c:v>
                </c:pt>
                <c:pt idx="5">
                  <c:v>62632</c:v>
                </c:pt>
                <c:pt idx="6">
                  <c:v>78890</c:v>
                </c:pt>
                <c:pt idx="7">
                  <c:v>77080</c:v>
                </c:pt>
                <c:pt idx="8">
                  <c:v>73515</c:v>
                </c:pt>
                <c:pt idx="9">
                  <c:v>85027</c:v>
                </c:pt>
                <c:pt idx="10">
                  <c:v>77786</c:v>
                </c:pt>
                <c:pt idx="11">
                  <c:v>100782</c:v>
                </c:pt>
                <c:pt idx="12">
                  <c:v>111026</c:v>
                </c:pt>
                <c:pt idx="13">
                  <c:v>136049</c:v>
                </c:pt>
                <c:pt idx="14">
                  <c:v>130480</c:v>
                </c:pt>
              </c:numCache>
            </c:numRef>
          </c:val>
          <c:extLst>
            <c:ext xmlns:c16="http://schemas.microsoft.com/office/drawing/2014/chart" uri="{C3380CC4-5D6E-409C-BE32-E72D297353CC}">
              <c16:uniqueId val="{00000005-F648-4D01-88BD-EFCC8F93E6D0}"/>
            </c:ext>
          </c:extLst>
        </c:ser>
        <c:dLbls>
          <c:showLegendKey val="0"/>
          <c:showVal val="0"/>
          <c:showCatName val="0"/>
          <c:showSerName val="0"/>
          <c:showPercent val="0"/>
          <c:showBubbleSize val="0"/>
        </c:dLbls>
        <c:gapWidth val="150"/>
        <c:shape val="box"/>
        <c:axId val="314479968"/>
        <c:axId val="254596752"/>
        <c:axId val="0"/>
      </c:bar3DChart>
      <c:catAx>
        <c:axId val="31447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254596752"/>
        <c:crosses val="autoZero"/>
        <c:auto val="1"/>
        <c:lblAlgn val="ctr"/>
        <c:lblOffset val="100"/>
        <c:noMultiLvlLbl val="0"/>
      </c:catAx>
      <c:valAx>
        <c:axId val="25459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31447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0.20561</cdr:x>
      <cdr:y>0.00923</cdr:y>
    </cdr:from>
    <cdr:to>
      <cdr:x>0.74953</cdr:x>
      <cdr:y>0.22801</cdr:y>
    </cdr:to>
    <cdr:sp macro="" textlink="">
      <cdr:nvSpPr>
        <cdr:cNvPr id="2" name="TextBox 1">
          <a:extLst xmlns:a="http://schemas.openxmlformats.org/drawingml/2006/main">
            <a:ext uri="{FF2B5EF4-FFF2-40B4-BE49-F238E27FC236}">
              <a16:creationId xmlns:a16="http://schemas.microsoft.com/office/drawing/2014/main" id="{71B3CF54-1390-4A8C-BE09-B1C289F383B0}"/>
            </a:ext>
          </a:extLst>
        </cdr:cNvPr>
        <cdr:cNvSpPr txBox="1"/>
      </cdr:nvSpPr>
      <cdr:spPr>
        <a:xfrm xmlns:a="http://schemas.openxmlformats.org/drawingml/2006/main">
          <a:off x="925687" y="26990"/>
          <a:ext cx="2448810" cy="6397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ZA" sz="1200" b="1">
              <a:effectLst/>
              <a:latin typeface="Verdana" panose="020B0604030504040204" pitchFamily="34" charset="0"/>
              <a:ea typeface="Verdana" panose="020B0604030504040204" pitchFamily="34" charset="0"/>
              <a:cs typeface="Verdana" panose="020B0604030504040204" pitchFamily="34" charset="0"/>
            </a:rPr>
            <a:t>SA ETP Industry</a:t>
          </a:r>
          <a:endParaRPr lang="en-ZA" sz="1200" b="1">
            <a:latin typeface="Verdana" panose="020B0604030504040204" pitchFamily="34" charset="0"/>
            <a:ea typeface="Verdana" panose="020B0604030504040204" pitchFamily="34" charset="0"/>
            <a:cs typeface="Verdana" panose="020B0604030504040204" pitchFamily="34" charset="0"/>
          </a:endParaRPr>
        </a:p>
        <a:p xmlns:a="http://schemas.openxmlformats.org/drawingml/2006/main">
          <a:pPr algn="ctr"/>
          <a:r>
            <a:rPr lang="en-ZA" sz="1200" b="1">
              <a:latin typeface="Verdana" panose="020B0604030504040204" pitchFamily="34" charset="0"/>
              <a:ea typeface="Verdana" panose="020B0604030504040204" pitchFamily="34" charset="0"/>
              <a:cs typeface="Verdana" panose="020B0604030504040204" pitchFamily="34" charset="0"/>
            </a:rPr>
            <a:t>Total Market Capitalisation (Rm) </a:t>
          </a:r>
        </a:p>
        <a:p xmlns:a="http://schemas.openxmlformats.org/drawingml/2006/main">
          <a:pPr algn="ctr"/>
          <a:r>
            <a:rPr lang="en-ZA" sz="1000" b="1">
              <a:latin typeface="Verdana" panose="020B0604030504040204" pitchFamily="34" charset="0"/>
              <a:ea typeface="Verdana" panose="020B0604030504040204" pitchFamily="34" charset="0"/>
              <a:cs typeface="Verdana" panose="020B0604030504040204" pitchFamily="34" charset="0"/>
            </a:rPr>
            <a:t>(at year end/period)</a:t>
          </a:r>
        </a:p>
      </cdr:txBody>
    </cdr:sp>
  </cdr:relSizeAnchor>
  <cdr:relSizeAnchor xmlns:cdr="http://schemas.openxmlformats.org/drawingml/2006/chartDrawing">
    <cdr:from>
      <cdr:x>0.01626</cdr:x>
      <cdr:y>0.17148</cdr:y>
    </cdr:from>
    <cdr:to>
      <cdr:x>0.1957</cdr:x>
      <cdr:y>0.26692</cdr:y>
    </cdr:to>
    <cdr:sp macro="" textlink="">
      <cdr:nvSpPr>
        <cdr:cNvPr id="3" name="TextBox 2">
          <a:extLst xmlns:a="http://schemas.openxmlformats.org/drawingml/2006/main">
            <a:ext uri="{FF2B5EF4-FFF2-40B4-BE49-F238E27FC236}">
              <a16:creationId xmlns:a16="http://schemas.microsoft.com/office/drawing/2014/main" id="{819D019F-0281-4610-B0C9-6181F7018AA9}"/>
            </a:ext>
          </a:extLst>
        </cdr:cNvPr>
        <cdr:cNvSpPr txBox="1"/>
      </cdr:nvSpPr>
      <cdr:spPr>
        <a:xfrm xmlns:a="http://schemas.openxmlformats.org/drawingml/2006/main">
          <a:off x="76200" y="517775"/>
          <a:ext cx="840910" cy="28817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a:t>(R Million)</a:t>
          </a:r>
        </a:p>
      </cdr:txBody>
    </cdr:sp>
  </cdr:relSizeAnchor>
  <cdr:relSizeAnchor xmlns:cdr="http://schemas.openxmlformats.org/drawingml/2006/chartDrawing">
    <cdr:from>
      <cdr:x>0.49763</cdr:x>
      <cdr:y>0.89111</cdr:y>
    </cdr:from>
    <cdr:to>
      <cdr:x>0.67707</cdr:x>
      <cdr:y>0.97595</cdr:y>
    </cdr:to>
    <cdr:sp macro="" textlink="">
      <cdr:nvSpPr>
        <cdr:cNvPr id="4" name="TextBox 1">
          <a:extLst xmlns:a="http://schemas.openxmlformats.org/drawingml/2006/main">
            <a:ext uri="{FF2B5EF4-FFF2-40B4-BE49-F238E27FC236}">
              <a16:creationId xmlns:a16="http://schemas.microsoft.com/office/drawing/2014/main" id="{652FD978-8923-48DA-8F93-C6FA0298E12F}"/>
            </a:ext>
          </a:extLst>
        </cdr:cNvPr>
        <cdr:cNvSpPr txBox="1"/>
      </cdr:nvSpPr>
      <cdr:spPr>
        <a:xfrm xmlns:a="http://schemas.openxmlformats.org/drawingml/2006/main">
          <a:off x="2332046" y="2738740"/>
          <a:ext cx="840910" cy="26074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1100"/>
            <a:t>(Years)</a:t>
          </a:r>
        </a:p>
      </cdr:txBody>
    </cdr:sp>
  </cdr:relSizeAnchor>
  <cdr:relSizeAnchor xmlns:cdr="http://schemas.openxmlformats.org/drawingml/2006/chartDrawing">
    <cdr:from>
      <cdr:x>0.01082</cdr:x>
      <cdr:y>0.9121</cdr:y>
    </cdr:from>
    <cdr:to>
      <cdr:x>0.19026</cdr:x>
      <cdr:y>0.99694</cdr:y>
    </cdr:to>
    <cdr:sp macro="" textlink="">
      <cdr:nvSpPr>
        <cdr:cNvPr id="5" name="TextBox 1">
          <a:extLst xmlns:a="http://schemas.openxmlformats.org/drawingml/2006/main">
            <a:ext uri="{FF2B5EF4-FFF2-40B4-BE49-F238E27FC236}">
              <a16:creationId xmlns:a16="http://schemas.microsoft.com/office/drawing/2014/main" id="{B1670A36-6D90-4B69-BCAC-58A05B184152}"/>
            </a:ext>
          </a:extLst>
        </cdr:cNvPr>
        <cdr:cNvSpPr txBox="1"/>
      </cdr:nvSpPr>
      <cdr:spPr>
        <a:xfrm xmlns:a="http://schemas.openxmlformats.org/drawingml/2006/main">
          <a:off x="53305" y="2840901"/>
          <a:ext cx="883639" cy="26424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900" i="1"/>
            <a:t>Source:</a:t>
          </a:r>
          <a:r>
            <a:rPr lang="en-ZA" sz="900" i="1" baseline="0"/>
            <a:t> etfSA.co.za/Profile Data (Mar 2022)</a:t>
          </a:r>
          <a:endParaRPr lang="en-ZA" sz="9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7786B-E4A5-4B46-8645-F3874A04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28</cp:revision>
  <cp:lastPrinted>2022-04-12T07:00:00Z</cp:lastPrinted>
  <dcterms:created xsi:type="dcterms:W3CDTF">2022-04-06T11:04:00Z</dcterms:created>
  <dcterms:modified xsi:type="dcterms:W3CDTF">2022-04-12T07:11:00Z</dcterms:modified>
</cp:coreProperties>
</file>