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A475" w14:textId="77777777" w:rsidR="006946CC" w:rsidRPr="00760DD1" w:rsidRDefault="006946CC" w:rsidP="004F1652">
      <w:pPr>
        <w:pStyle w:val="Heading1"/>
        <w:spacing w:before="0" w:line="240" w:lineRule="auto"/>
        <w:rPr>
          <w:rFonts w:asciiTheme="minorHAnsi" w:hAnsiTheme="minorHAnsi" w:cs="Arial"/>
          <w:color w:val="auto"/>
          <w:sz w:val="32"/>
        </w:rPr>
      </w:pPr>
    </w:p>
    <w:p w14:paraId="40A1CDCF" w14:textId="77777777" w:rsidR="009B24D7" w:rsidRPr="00760DD1" w:rsidRDefault="009B24D7" w:rsidP="009B24D7">
      <w:pPr>
        <w:spacing w:after="0"/>
        <w:rPr>
          <w:rFonts w:eastAsia="Times New Roman" w:cs="Arial"/>
          <w:bCs/>
          <w:sz w:val="24"/>
        </w:rPr>
      </w:pPr>
      <w:r w:rsidRPr="00760DD1">
        <w:rPr>
          <w:rFonts w:eastAsia="Times New Roman" w:cs="Arial"/>
          <w:bCs/>
          <w:sz w:val="24"/>
        </w:rPr>
        <w:t>Report: To accompany</w:t>
      </w:r>
      <w:r w:rsidR="009B7469">
        <w:rPr>
          <w:rFonts w:eastAsia="Times New Roman" w:cs="Arial"/>
          <w:bCs/>
          <w:sz w:val="24"/>
        </w:rPr>
        <w:t xml:space="preserve"> the</w:t>
      </w:r>
      <w:r w:rsidRPr="00760DD1">
        <w:rPr>
          <w:rFonts w:eastAsia="Times New Roman" w:cs="Arial"/>
          <w:bCs/>
          <w:sz w:val="24"/>
        </w:rPr>
        <w:t xml:space="preserve"> press release</w:t>
      </w:r>
    </w:p>
    <w:p w14:paraId="1A61459C" w14:textId="3754C3D3" w:rsidR="00813B6F" w:rsidRDefault="00E26BD3" w:rsidP="00813B6F">
      <w:pPr>
        <w:spacing w:after="0"/>
        <w:rPr>
          <w:rFonts w:eastAsia="Times New Roman" w:cs="Arial"/>
          <w:bCs/>
          <w:sz w:val="24"/>
        </w:rPr>
      </w:pPr>
      <w:r w:rsidRPr="00760DD1">
        <w:rPr>
          <w:rFonts w:eastAsia="Times New Roman" w:cs="Arial"/>
          <w:bCs/>
          <w:sz w:val="24"/>
        </w:rPr>
        <w:t>Date</w:t>
      </w:r>
      <w:r w:rsidR="007D3083">
        <w:rPr>
          <w:rFonts w:eastAsia="Times New Roman" w:cs="Arial"/>
          <w:bCs/>
          <w:sz w:val="24"/>
        </w:rPr>
        <w:t xml:space="preserve">: </w:t>
      </w:r>
      <w:r w:rsidR="00702D8F">
        <w:rPr>
          <w:rFonts w:eastAsia="Times New Roman" w:cs="Arial"/>
          <w:bCs/>
          <w:sz w:val="24"/>
        </w:rPr>
        <w:t>23 March</w:t>
      </w:r>
      <w:r w:rsidR="00D4520B">
        <w:rPr>
          <w:rFonts w:eastAsia="Times New Roman" w:cs="Arial"/>
          <w:bCs/>
          <w:sz w:val="24"/>
        </w:rPr>
        <w:t xml:space="preserve"> 2022 </w:t>
      </w:r>
      <w:r w:rsidR="007932F9">
        <w:rPr>
          <w:rFonts w:eastAsia="Times New Roman" w:cs="Arial"/>
          <w:bCs/>
          <w:sz w:val="24"/>
        </w:rPr>
        <w:t xml:space="preserve"> </w:t>
      </w:r>
      <w:r w:rsidR="00BA7331">
        <w:rPr>
          <w:rFonts w:eastAsia="Times New Roman" w:cs="Arial"/>
          <w:bCs/>
          <w:sz w:val="24"/>
        </w:rPr>
        <w:t xml:space="preserve"> </w:t>
      </w:r>
      <w:r w:rsidR="00ED79BB">
        <w:rPr>
          <w:rFonts w:eastAsia="Times New Roman" w:cs="Arial"/>
          <w:bCs/>
          <w:sz w:val="24"/>
        </w:rPr>
        <w:t xml:space="preserve"> </w:t>
      </w:r>
      <w:r w:rsidR="008834B9">
        <w:rPr>
          <w:rFonts w:eastAsia="Times New Roman" w:cs="Arial"/>
          <w:bCs/>
          <w:sz w:val="24"/>
        </w:rPr>
        <w:t xml:space="preserve"> </w:t>
      </w:r>
      <w:r w:rsidR="00BC74AD">
        <w:rPr>
          <w:rFonts w:eastAsia="Times New Roman" w:cs="Arial"/>
          <w:bCs/>
          <w:sz w:val="24"/>
        </w:rPr>
        <w:t xml:space="preserve"> </w:t>
      </w:r>
      <w:r w:rsidR="000E5C92">
        <w:rPr>
          <w:rFonts w:eastAsia="Times New Roman" w:cs="Arial"/>
          <w:bCs/>
          <w:sz w:val="24"/>
        </w:rPr>
        <w:t xml:space="preserve"> </w:t>
      </w:r>
      <w:r w:rsidR="00D53446">
        <w:rPr>
          <w:rFonts w:eastAsia="Times New Roman" w:cs="Arial"/>
          <w:bCs/>
          <w:sz w:val="24"/>
        </w:rPr>
        <w:t xml:space="preserve"> </w:t>
      </w:r>
      <w:r w:rsidR="00B317CF">
        <w:rPr>
          <w:rFonts w:eastAsia="Times New Roman" w:cs="Arial"/>
          <w:bCs/>
          <w:sz w:val="24"/>
        </w:rPr>
        <w:t xml:space="preserve"> </w:t>
      </w:r>
      <w:r w:rsidR="008E57AC">
        <w:rPr>
          <w:rFonts w:eastAsia="Times New Roman" w:cs="Arial"/>
          <w:bCs/>
          <w:sz w:val="24"/>
        </w:rPr>
        <w:t xml:space="preserve"> </w:t>
      </w:r>
      <w:r w:rsidR="00F94A7B">
        <w:rPr>
          <w:rFonts w:eastAsia="Times New Roman" w:cs="Arial"/>
          <w:bCs/>
          <w:sz w:val="24"/>
        </w:rPr>
        <w:t xml:space="preserve"> </w:t>
      </w:r>
      <w:r w:rsidR="009654C7">
        <w:rPr>
          <w:rFonts w:eastAsia="Times New Roman" w:cs="Arial"/>
          <w:bCs/>
          <w:sz w:val="24"/>
        </w:rPr>
        <w:t xml:space="preserve"> </w:t>
      </w:r>
      <w:r w:rsidR="00167382">
        <w:rPr>
          <w:rFonts w:eastAsia="Times New Roman" w:cs="Arial"/>
          <w:bCs/>
          <w:sz w:val="24"/>
        </w:rPr>
        <w:t xml:space="preserve"> </w:t>
      </w:r>
      <w:r w:rsidR="003F3281">
        <w:rPr>
          <w:rFonts w:eastAsia="Times New Roman" w:cs="Arial"/>
          <w:bCs/>
          <w:sz w:val="24"/>
        </w:rPr>
        <w:t xml:space="preserve"> </w:t>
      </w:r>
      <w:r w:rsidR="0019118F">
        <w:rPr>
          <w:rFonts w:eastAsia="Times New Roman" w:cs="Arial"/>
          <w:bCs/>
          <w:sz w:val="24"/>
        </w:rPr>
        <w:t xml:space="preserve"> </w:t>
      </w:r>
      <w:r w:rsidR="00954A1F">
        <w:rPr>
          <w:rFonts w:eastAsia="Times New Roman" w:cs="Arial"/>
          <w:bCs/>
          <w:sz w:val="24"/>
        </w:rPr>
        <w:t xml:space="preserve"> </w:t>
      </w:r>
      <w:r w:rsidR="00DD4A0D">
        <w:rPr>
          <w:rFonts w:eastAsia="Times New Roman" w:cs="Arial"/>
          <w:bCs/>
          <w:sz w:val="24"/>
        </w:rPr>
        <w:t xml:space="preserve"> </w:t>
      </w:r>
      <w:r w:rsidR="00EE7B0E">
        <w:rPr>
          <w:rFonts w:eastAsia="Times New Roman" w:cs="Arial"/>
          <w:bCs/>
          <w:sz w:val="24"/>
        </w:rPr>
        <w:t xml:space="preserve"> </w:t>
      </w:r>
      <w:r w:rsidR="00F71881">
        <w:rPr>
          <w:rFonts w:eastAsia="Times New Roman" w:cs="Arial"/>
          <w:bCs/>
          <w:sz w:val="24"/>
        </w:rPr>
        <w:t xml:space="preserve"> </w:t>
      </w:r>
      <w:bookmarkStart w:id="0" w:name="_Hlk494179714"/>
    </w:p>
    <w:p w14:paraId="20B8291F" w14:textId="77777777" w:rsidR="00813B6F" w:rsidRDefault="00813B6F" w:rsidP="00813B6F">
      <w:pPr>
        <w:spacing w:after="0"/>
        <w:rPr>
          <w:rFonts w:eastAsia="Times New Roman" w:cs="Arial"/>
          <w:bCs/>
          <w:sz w:val="24"/>
        </w:rPr>
      </w:pPr>
    </w:p>
    <w:p w14:paraId="12F071F5" w14:textId="0670D0CC" w:rsidR="00871C14" w:rsidRDefault="00005ED6" w:rsidP="00E402E9">
      <w:pPr>
        <w:spacing w:after="0" w:line="240" w:lineRule="auto"/>
        <w:rPr>
          <w:rFonts w:eastAsiaTheme="majorEastAsia" w:cs="Arial"/>
          <w:b/>
          <w:bCs/>
          <w:sz w:val="28"/>
          <w:szCs w:val="28"/>
        </w:rPr>
      </w:pPr>
      <w:r>
        <w:rPr>
          <w:rFonts w:eastAsiaTheme="majorEastAsia" w:cs="Arial"/>
          <w:b/>
          <w:bCs/>
          <w:sz w:val="28"/>
          <w:szCs w:val="28"/>
        </w:rPr>
        <w:t>Salary data highlights continuing job recovery for</w:t>
      </w:r>
      <w:r w:rsidR="00762EAD">
        <w:rPr>
          <w:rFonts w:eastAsiaTheme="majorEastAsia" w:cs="Arial"/>
          <w:b/>
          <w:bCs/>
          <w:sz w:val="28"/>
          <w:szCs w:val="28"/>
        </w:rPr>
        <w:t xml:space="preserve"> casual and weekly workers </w:t>
      </w:r>
    </w:p>
    <w:p w14:paraId="470F5B13" w14:textId="6D56B782" w:rsidR="000E5C92" w:rsidRDefault="00762EAD" w:rsidP="00E402E9">
      <w:pPr>
        <w:spacing w:after="0" w:line="240" w:lineRule="auto"/>
        <w:rPr>
          <w:rFonts w:eastAsiaTheme="majorEastAsia" w:cs="Arial"/>
          <w:bCs/>
          <w:i/>
          <w:sz w:val="24"/>
          <w:szCs w:val="24"/>
        </w:rPr>
      </w:pPr>
      <w:proofErr w:type="gramStart"/>
      <w:r>
        <w:rPr>
          <w:rFonts w:eastAsiaTheme="majorEastAsia" w:cs="Arial"/>
          <w:bCs/>
          <w:i/>
          <w:sz w:val="24"/>
          <w:szCs w:val="24"/>
        </w:rPr>
        <w:t>But,</w:t>
      </w:r>
      <w:proofErr w:type="gramEnd"/>
      <w:r>
        <w:rPr>
          <w:rFonts w:eastAsiaTheme="majorEastAsia" w:cs="Arial"/>
          <w:bCs/>
          <w:i/>
          <w:sz w:val="24"/>
          <w:szCs w:val="24"/>
        </w:rPr>
        <w:t xml:space="preserve"> the e</w:t>
      </w:r>
      <w:r w:rsidR="003857FE">
        <w:rPr>
          <w:rFonts w:eastAsiaTheme="majorEastAsia" w:cs="Arial"/>
          <w:bCs/>
          <w:i/>
          <w:sz w:val="24"/>
          <w:szCs w:val="24"/>
        </w:rPr>
        <w:t>ver</w:t>
      </w:r>
      <w:r w:rsidR="00005ED6">
        <w:rPr>
          <w:rFonts w:eastAsiaTheme="majorEastAsia" w:cs="Arial"/>
          <w:bCs/>
          <w:i/>
          <w:sz w:val="24"/>
          <w:szCs w:val="24"/>
        </w:rPr>
        <w:t>-</w:t>
      </w:r>
      <w:r w:rsidR="003857FE">
        <w:rPr>
          <w:rFonts w:eastAsiaTheme="majorEastAsia" w:cs="Arial"/>
          <w:bCs/>
          <w:i/>
          <w:sz w:val="24"/>
          <w:szCs w:val="24"/>
        </w:rPr>
        <w:t xml:space="preserve">rising inflation </w:t>
      </w:r>
      <w:r w:rsidR="00355341">
        <w:rPr>
          <w:rFonts w:eastAsiaTheme="majorEastAsia" w:cs="Arial"/>
          <w:bCs/>
          <w:i/>
          <w:sz w:val="24"/>
          <w:szCs w:val="24"/>
        </w:rPr>
        <w:t xml:space="preserve">rate </w:t>
      </w:r>
      <w:r w:rsidR="003857FE">
        <w:rPr>
          <w:rFonts w:eastAsiaTheme="majorEastAsia" w:cs="Arial"/>
          <w:bCs/>
          <w:i/>
          <w:sz w:val="24"/>
          <w:szCs w:val="24"/>
        </w:rPr>
        <w:t xml:space="preserve">and Ukraine war </w:t>
      </w:r>
      <w:r w:rsidR="00355341">
        <w:rPr>
          <w:rFonts w:eastAsiaTheme="majorEastAsia" w:cs="Arial"/>
          <w:bCs/>
          <w:i/>
          <w:sz w:val="24"/>
          <w:szCs w:val="24"/>
        </w:rPr>
        <w:t xml:space="preserve">impact </w:t>
      </w:r>
      <w:r w:rsidR="002708E4">
        <w:rPr>
          <w:rFonts w:eastAsiaTheme="majorEastAsia" w:cs="Arial"/>
          <w:bCs/>
          <w:i/>
          <w:sz w:val="24"/>
          <w:szCs w:val="24"/>
        </w:rPr>
        <w:t xml:space="preserve">will reflect in salaries in coming months </w:t>
      </w:r>
    </w:p>
    <w:p w14:paraId="71812A07" w14:textId="0336503F" w:rsidR="00B45D2C" w:rsidRDefault="00B45D2C" w:rsidP="00E402E9">
      <w:pPr>
        <w:spacing w:after="0" w:line="240" w:lineRule="auto"/>
        <w:rPr>
          <w:rFonts w:eastAsiaTheme="majorEastAsia" w:cs="Arial"/>
          <w:bCs/>
          <w:i/>
          <w:sz w:val="24"/>
          <w:szCs w:val="24"/>
        </w:rPr>
      </w:pPr>
    </w:p>
    <w:p w14:paraId="766E118E" w14:textId="2A9F34B8" w:rsidR="008D1973" w:rsidRDefault="008D1973" w:rsidP="008D1973">
      <w:r>
        <w:t xml:space="preserve">The average real take-home salary for </w:t>
      </w:r>
      <w:r w:rsidR="00C72341">
        <w:t xml:space="preserve">February </w:t>
      </w:r>
      <w:r>
        <w:t xml:space="preserve">2022 decreased </w:t>
      </w:r>
      <w:r w:rsidR="00355341">
        <w:t>by 4.</w:t>
      </w:r>
      <w:r w:rsidR="00B07F4B">
        <w:t>1</w:t>
      </w:r>
      <w:r w:rsidR="00355341">
        <w:t xml:space="preserve">% </w:t>
      </w:r>
      <w:r>
        <w:t xml:space="preserve">as the share of casual and weekly workers in the BankservAfrica </w:t>
      </w:r>
      <w:r w:rsidR="002708E4">
        <w:t>database</w:t>
      </w:r>
      <w:r>
        <w:t xml:space="preserve"> continued to climb</w:t>
      </w:r>
      <w:r w:rsidR="00762EAD">
        <w:t xml:space="preserve"> </w:t>
      </w:r>
      <w:r w:rsidR="007574A1">
        <w:t>after the</w:t>
      </w:r>
      <w:r>
        <w:t xml:space="preserve"> massive 2020/21 Covid-19 pandemic </w:t>
      </w:r>
      <w:r w:rsidR="001D65DC">
        <w:t xml:space="preserve">shock. </w:t>
      </w:r>
    </w:p>
    <w:p w14:paraId="60CC296C" w14:textId="75BCF019" w:rsidR="00301BB6" w:rsidRDefault="007574A1" w:rsidP="00301BB6">
      <w:r>
        <w:t xml:space="preserve">According to the BankservAfrica Take-home Pay Index (BTPI), the average salary for February was </w:t>
      </w:r>
      <w:r w:rsidR="00301BB6">
        <w:t>R15 5</w:t>
      </w:r>
      <w:r w:rsidR="00B07F4B">
        <w:t>17</w:t>
      </w:r>
      <w:r w:rsidR="00301BB6">
        <w:t xml:space="preserve"> on a seasonally adjusted basis in real terms</w:t>
      </w:r>
      <w:r w:rsidR="00EF1559">
        <w:t xml:space="preserve">. This is in line with the </w:t>
      </w:r>
      <w:r>
        <w:t>revised BTPI base</w:t>
      </w:r>
      <w:r w:rsidR="00F948F9">
        <w:t xml:space="preserve">, </w:t>
      </w:r>
      <w:r w:rsidR="00EF1559">
        <w:t>adapted</w:t>
      </w:r>
      <w:r>
        <w:t xml:space="preserve"> </w:t>
      </w:r>
      <w:r w:rsidR="00152EFC">
        <w:t>to the</w:t>
      </w:r>
      <w:r>
        <w:t xml:space="preserve"> CPI </w:t>
      </w:r>
      <w:r w:rsidR="00EF1559">
        <w:t xml:space="preserve">in </w:t>
      </w:r>
      <w:r>
        <w:t xml:space="preserve">December 2021. </w:t>
      </w:r>
    </w:p>
    <w:p w14:paraId="765577FA" w14:textId="47BF4EDC" w:rsidR="007465B6" w:rsidRDefault="007465B6" w:rsidP="00301BB6">
      <w:r w:rsidRPr="007465B6">
        <w:t>The nomina</w:t>
      </w:r>
      <w:r w:rsidR="00B07F4B">
        <w:t>l</w:t>
      </w:r>
      <w:r w:rsidRPr="007465B6">
        <w:t xml:space="preserve"> average take-home pay was 1.3% up and reached R16 022 in February 2022.</w:t>
      </w:r>
    </w:p>
    <w:p w14:paraId="46F72FA7" w14:textId="3D75EC63" w:rsidR="00301BB6" w:rsidRPr="00301BB6" w:rsidRDefault="00722487" w:rsidP="008D1973">
      <w:pPr>
        <w:rPr>
          <w:b/>
          <w:bCs/>
        </w:rPr>
      </w:pPr>
      <w:r>
        <w:rPr>
          <w:b/>
          <w:bCs/>
        </w:rPr>
        <w:t xml:space="preserve">The return of cash and weekly workers </w:t>
      </w:r>
      <w:r w:rsidR="00F948F9">
        <w:rPr>
          <w:b/>
          <w:bCs/>
        </w:rPr>
        <w:t xml:space="preserve">as </w:t>
      </w:r>
      <w:r>
        <w:rPr>
          <w:b/>
          <w:bCs/>
        </w:rPr>
        <w:t xml:space="preserve">inflation </w:t>
      </w:r>
      <w:r w:rsidR="00355341">
        <w:rPr>
          <w:b/>
          <w:bCs/>
        </w:rPr>
        <w:t xml:space="preserve">takes a toll on salaries </w:t>
      </w:r>
      <w:r>
        <w:rPr>
          <w:b/>
          <w:bCs/>
        </w:rPr>
        <w:t xml:space="preserve"> </w:t>
      </w:r>
    </w:p>
    <w:p w14:paraId="77A475AF" w14:textId="19A7A079" w:rsidR="008D1973" w:rsidRDefault="008D1973" w:rsidP="008D1973">
      <w:r>
        <w:t xml:space="preserve">While the BTPI focuses more on the average salary, it makes sense to point out that after the double-digit declines in </w:t>
      </w:r>
      <w:r w:rsidR="00762EAD">
        <w:t xml:space="preserve">the </w:t>
      </w:r>
      <w:r>
        <w:t xml:space="preserve">casual and weekly </w:t>
      </w:r>
      <w:r w:rsidR="00762EAD">
        <w:t xml:space="preserve">wage </w:t>
      </w:r>
      <w:r>
        <w:t xml:space="preserve">data estimates for a long period, both these </w:t>
      </w:r>
      <w:r w:rsidR="007818A5">
        <w:t xml:space="preserve">salary </w:t>
      </w:r>
      <w:r w:rsidR="005049FD">
        <w:t>bands</w:t>
      </w:r>
      <w:r>
        <w:t xml:space="preserve"> have now </w:t>
      </w:r>
      <w:r w:rsidR="00781F28">
        <w:t xml:space="preserve">had </w:t>
      </w:r>
      <w:r>
        <w:t>double-digit growth on a year-on-year basis.</w:t>
      </w:r>
    </w:p>
    <w:p w14:paraId="7B43B993" w14:textId="28E47015" w:rsidR="008D1973" w:rsidRDefault="00D11F4B" w:rsidP="008D1973">
      <w:r>
        <w:t>Thus, the</w:t>
      </w:r>
      <w:r w:rsidR="008D1973">
        <w:t xml:space="preserve"> actual decline in the average real take-home pay </w:t>
      </w:r>
      <w:r w:rsidR="00E7549B">
        <w:t>signals</w:t>
      </w:r>
      <w:r w:rsidR="008D1973">
        <w:t xml:space="preserve"> a return to work for </w:t>
      </w:r>
      <w:r w:rsidR="003857FE">
        <w:t xml:space="preserve">the </w:t>
      </w:r>
      <w:r w:rsidR="008D1973">
        <w:t>more vulnerable groups of lower</w:t>
      </w:r>
      <w:r w:rsidR="00005ED6">
        <w:t>-</w:t>
      </w:r>
      <w:r w:rsidR="008D1973">
        <w:t>paid employees.</w:t>
      </w:r>
    </w:p>
    <w:p w14:paraId="7033381B" w14:textId="2F9A9401" w:rsidR="008D1973" w:rsidRDefault="008D1973" w:rsidP="008D1973">
      <w:r>
        <w:t>We have also adjusted the CPI basis in th</w:t>
      </w:r>
      <w:r w:rsidR="00D11F4B">
        <w:t>e</w:t>
      </w:r>
      <w:r>
        <w:t xml:space="preserve"> BTPI </w:t>
      </w:r>
      <w:r w:rsidR="00D11F4B">
        <w:t>to the new changes by</w:t>
      </w:r>
      <w:r>
        <w:t xml:space="preserve"> Statistics</w:t>
      </w:r>
      <w:r w:rsidR="00B80769">
        <w:t xml:space="preserve"> South Africa</w:t>
      </w:r>
      <w:r w:rsidR="00D11F4B">
        <w:t>,</w:t>
      </w:r>
      <w:r>
        <w:t xml:space="preserve"> </w:t>
      </w:r>
      <w:r w:rsidR="00D11F4B">
        <w:t xml:space="preserve">which came into effect in February 2022, </w:t>
      </w:r>
      <w:r>
        <w:t xml:space="preserve">which means that the real salary </w:t>
      </w:r>
      <w:proofErr w:type="gramStart"/>
      <w:r>
        <w:t>is linked</w:t>
      </w:r>
      <w:proofErr w:type="gramEnd"/>
      <w:r>
        <w:t xml:space="preserve"> to December 2021. </w:t>
      </w:r>
      <w:proofErr w:type="gramStart"/>
      <w:r>
        <w:t>On the subject of CPI</w:t>
      </w:r>
      <w:proofErr w:type="gramEnd"/>
      <w:r>
        <w:t xml:space="preserve">, </w:t>
      </w:r>
      <w:r w:rsidR="00B07F4B">
        <w:t xml:space="preserve">we estimated that the February inflation rate would be 5.7%, which is line with the announcement by </w:t>
      </w:r>
      <w:r w:rsidR="00B80769">
        <w:t>Statistics SA</w:t>
      </w:r>
      <w:r w:rsidR="00B07F4B">
        <w:t xml:space="preserve"> this morning</w:t>
      </w:r>
      <w:r w:rsidR="007B03DF">
        <w:t xml:space="preserve">. </w:t>
      </w:r>
      <w:r w:rsidR="007818A5">
        <w:t xml:space="preserve">We believe this increase </w:t>
      </w:r>
      <w:r w:rsidR="00A63579">
        <w:t>will further aid</w:t>
      </w:r>
      <w:r w:rsidR="00D11F4B">
        <w:t xml:space="preserve"> </w:t>
      </w:r>
      <w:r w:rsidR="007818A5">
        <w:t xml:space="preserve">the </w:t>
      </w:r>
      <w:r>
        <w:t>decrease</w:t>
      </w:r>
      <w:r w:rsidR="007818A5">
        <w:t xml:space="preserve"> in</w:t>
      </w:r>
      <w:r>
        <w:t xml:space="preserve"> the real take-home pay </w:t>
      </w:r>
      <w:r w:rsidR="007818A5">
        <w:t>of</w:t>
      </w:r>
      <w:r>
        <w:t xml:space="preserve"> formal sector employees paid via the BankservAfrica system.</w:t>
      </w:r>
    </w:p>
    <w:p w14:paraId="20B1CA7C" w14:textId="77777777" w:rsidR="00E7549B" w:rsidRDefault="00E7549B" w:rsidP="008D1973">
      <w:r w:rsidRPr="00E7549B">
        <w:t>We expect inflation will stay elevated at over 5% - and even over 6% - for several months. It may mean that take-home salaries will face more than only a few months of declines for a lengthy period, like closer to a year.</w:t>
      </w:r>
    </w:p>
    <w:p w14:paraId="3ED91D7D" w14:textId="30406266" w:rsidR="00E7549B" w:rsidRDefault="00E7549B" w:rsidP="008D1973">
      <w:r w:rsidRPr="00E7549B">
        <w:t>The current war between Ukraine and Russia has also impacted major commodity prices - from oil to wheat prices - which will impact inflation in South Africa and globally. As most salary agreements are done retrospectively, take-home pay will take a while to catch up to these developments.</w:t>
      </w:r>
    </w:p>
    <w:p w14:paraId="310BA405" w14:textId="1948227E" w:rsidR="003E0EC0" w:rsidRDefault="003E0EC0" w:rsidP="008D1973">
      <w:r>
        <w:t>Owing to the higher inflation rate and the crisis</w:t>
      </w:r>
      <w:r w:rsidR="003C0727">
        <w:t xml:space="preserve"> in the Ukraine</w:t>
      </w:r>
      <w:r>
        <w:t xml:space="preserve"> – which has led to soaring oil prices - many are expecting the South African Reserve Bank to hike interest rates at tomorrow’s MPC meeting. Although household borrowing among South Africans has eased to below the inflation rate, the hike could lead to higher mortgage repayments. Together with the escalating food prices and rising fuel costs, this could put South African salaries under even more pressure. </w:t>
      </w:r>
    </w:p>
    <w:p w14:paraId="44ED0BBD" w14:textId="582CB2F8" w:rsidR="003E00D7" w:rsidRDefault="003E00D7" w:rsidP="008D1973">
      <w:r w:rsidRPr="00E7549B">
        <w:t>We</w:t>
      </w:r>
      <w:r>
        <w:t xml:space="preserve"> </w:t>
      </w:r>
      <w:r w:rsidRPr="00E7549B">
        <w:t xml:space="preserve">expect that consumer expenditure, such as retail sales, will continue </w:t>
      </w:r>
      <w:r>
        <w:t xml:space="preserve">to grow </w:t>
      </w:r>
      <w:r w:rsidRPr="00E7549B">
        <w:t>moderately for the time being and as the economy drives employment again.</w:t>
      </w:r>
    </w:p>
    <w:p w14:paraId="45DAAE4F" w14:textId="77777777" w:rsidR="00B80769" w:rsidRDefault="00B80769" w:rsidP="008D1973"/>
    <w:p w14:paraId="060627E2" w14:textId="7DAD1E12" w:rsidR="00722487" w:rsidRPr="00722487" w:rsidRDefault="00722487" w:rsidP="008D1973">
      <w:pPr>
        <w:rPr>
          <w:b/>
          <w:bCs/>
        </w:rPr>
      </w:pPr>
      <w:r w:rsidRPr="00722487">
        <w:rPr>
          <w:b/>
          <w:bCs/>
        </w:rPr>
        <w:lastRenderedPageBreak/>
        <w:t xml:space="preserve">Moderate increase expected for consumer expenditure as </w:t>
      </w:r>
      <w:r>
        <w:rPr>
          <w:b/>
          <w:bCs/>
        </w:rPr>
        <w:t xml:space="preserve">most </w:t>
      </w:r>
      <w:r w:rsidR="003C71C4">
        <w:rPr>
          <w:b/>
          <w:bCs/>
        </w:rPr>
        <w:t xml:space="preserve">jobs recover </w:t>
      </w:r>
      <w:r>
        <w:rPr>
          <w:b/>
          <w:bCs/>
        </w:rPr>
        <w:t xml:space="preserve"> </w:t>
      </w:r>
    </w:p>
    <w:p w14:paraId="521C7986" w14:textId="7573F8D5" w:rsidR="00E7549B" w:rsidRDefault="008D1973" w:rsidP="008D1973">
      <w:r>
        <w:t>While the average take-home pay decreased</w:t>
      </w:r>
      <w:r w:rsidR="00C72341">
        <w:t>, the</w:t>
      </w:r>
      <w:r>
        <w:t xml:space="preserve"> overall take-home totals paid into all the bank accounts of employees increased </w:t>
      </w:r>
      <w:r w:rsidR="00C72341">
        <w:t xml:space="preserve">by </w:t>
      </w:r>
      <w:r>
        <w:t>0</w:t>
      </w:r>
      <w:r w:rsidR="00C72341">
        <w:t>.</w:t>
      </w:r>
      <w:r w:rsidR="00B07F4B">
        <w:t>6</w:t>
      </w:r>
      <w:r>
        <w:t xml:space="preserve">%. </w:t>
      </w:r>
    </w:p>
    <w:p w14:paraId="4E622A02" w14:textId="302EAD14" w:rsidR="000D0702" w:rsidRPr="000D0702" w:rsidRDefault="008D1973" w:rsidP="000D0702">
      <w:r>
        <w:t xml:space="preserve">February 2022 was the first time since September 2019 that </w:t>
      </w:r>
      <w:r w:rsidR="00C72341">
        <w:t xml:space="preserve">the </w:t>
      </w:r>
      <w:r>
        <w:t>total monthly</w:t>
      </w:r>
      <w:r w:rsidR="000D0702">
        <w:t xml:space="preserve"> </w:t>
      </w:r>
      <w:r>
        <w:t>equivalent payments increased to over 4 million again. While this data is very volatile in our database</w:t>
      </w:r>
      <w:r w:rsidR="00C72341">
        <w:t>,</w:t>
      </w:r>
      <w:r>
        <w:t xml:space="preserve"> it tells us that most (probably not all) </w:t>
      </w:r>
      <w:r w:rsidR="00722487">
        <w:t xml:space="preserve">of the employment from the Covid-19 shock has recovered. </w:t>
      </w:r>
    </w:p>
    <w:p w14:paraId="0955D0EE" w14:textId="4985C2AC" w:rsidR="001D65DC" w:rsidRPr="001D65DC" w:rsidRDefault="008D1973" w:rsidP="001D65DC">
      <w:pPr>
        <w:rPr>
          <w:b/>
          <w:bCs/>
        </w:rPr>
      </w:pPr>
      <w:r w:rsidRPr="00C72341">
        <w:rPr>
          <w:b/>
          <w:bCs/>
        </w:rPr>
        <w:t>The average private pension increased again above inflation</w:t>
      </w:r>
    </w:p>
    <w:p w14:paraId="2142726E" w14:textId="336CBA27" w:rsidR="00C72341" w:rsidRDefault="008D1973" w:rsidP="008D1973">
      <w:r w:rsidRPr="001D65DC">
        <w:t>The average private pension</w:t>
      </w:r>
      <w:r w:rsidR="00C72341" w:rsidRPr="001D65DC">
        <w:t xml:space="preserve">, </w:t>
      </w:r>
      <w:r w:rsidRPr="001D65DC">
        <w:t>as tracked by BankservAfrica</w:t>
      </w:r>
      <w:r w:rsidR="00C72341" w:rsidRPr="001D65DC">
        <w:t>,</w:t>
      </w:r>
      <w:r w:rsidRPr="001D65DC">
        <w:t xml:space="preserve"> increased </w:t>
      </w:r>
      <w:r w:rsidR="00C72341" w:rsidRPr="001D65DC">
        <w:t>by</w:t>
      </w:r>
      <w:r w:rsidRPr="001D65DC">
        <w:t xml:space="preserve"> 0</w:t>
      </w:r>
      <w:r w:rsidR="00C72341" w:rsidRPr="001D65DC">
        <w:t>.</w:t>
      </w:r>
      <w:r w:rsidRPr="001D65DC">
        <w:t xml:space="preserve">5% in real terms to R9 667. This index </w:t>
      </w:r>
      <w:r w:rsidR="000D0702">
        <w:t>has also been adjusted to the</w:t>
      </w:r>
      <w:r>
        <w:t xml:space="preserve"> base period </w:t>
      </w:r>
      <w:r w:rsidR="000D0702">
        <w:t xml:space="preserve">in </w:t>
      </w:r>
      <w:r>
        <w:t>December 2021</w:t>
      </w:r>
      <w:r w:rsidR="00C72341">
        <w:t xml:space="preserve">, per the CPI base change. </w:t>
      </w:r>
      <w:r>
        <w:t xml:space="preserve"> </w:t>
      </w:r>
    </w:p>
    <w:p w14:paraId="79470972" w14:textId="4097ACC1" w:rsidR="008D1973" w:rsidRDefault="008D1973" w:rsidP="008D1973">
      <w:r>
        <w:t>The number of private pension</w:t>
      </w:r>
      <w:r w:rsidR="00F948F9">
        <w:t>s</w:t>
      </w:r>
      <w:r>
        <w:t xml:space="preserve"> banked via</w:t>
      </w:r>
      <w:r w:rsidR="00005ED6">
        <w:t xml:space="preserve"> </w:t>
      </w:r>
      <w:r>
        <w:t xml:space="preserve">this system remains relatively stable </w:t>
      </w:r>
      <w:r w:rsidR="00C72341">
        <w:t xml:space="preserve">at </w:t>
      </w:r>
      <w:r>
        <w:t xml:space="preserve">around the 650 000 </w:t>
      </w:r>
      <w:proofErr w:type="gramStart"/>
      <w:r>
        <w:t>mark</w:t>
      </w:r>
      <w:proofErr w:type="gramEnd"/>
      <w:r>
        <w:t>.</w:t>
      </w:r>
    </w:p>
    <w:p w14:paraId="55B1448C" w14:textId="08EA2479" w:rsidR="00B45D2C" w:rsidRDefault="000D0702" w:rsidP="00E402E9">
      <w:pPr>
        <w:spacing w:after="0" w:line="240" w:lineRule="auto"/>
      </w:pPr>
      <w:r w:rsidRPr="000D0702">
        <w:t xml:space="preserve">The seasonally adjusted nominalised private pension in South Africa, as measured by BankservAfrica, was R9 821 from a 6.2% year-on-year increase.  </w:t>
      </w:r>
    </w:p>
    <w:p w14:paraId="1985E6E3" w14:textId="77777777" w:rsidR="000D0702" w:rsidRPr="00B45D2C" w:rsidRDefault="000D0702" w:rsidP="00E402E9">
      <w:pPr>
        <w:spacing w:after="0" w:line="240" w:lineRule="auto"/>
        <w:rPr>
          <w:rFonts w:eastAsiaTheme="majorEastAsia" w:cs="Arial"/>
          <w:bCs/>
          <w:iCs/>
          <w:sz w:val="24"/>
          <w:szCs w:val="24"/>
        </w:rPr>
      </w:pPr>
    </w:p>
    <w:p w14:paraId="1F5A666D" w14:textId="6A182AB4" w:rsidR="00F8069C" w:rsidRPr="00F8069C" w:rsidRDefault="00367E94" w:rsidP="00367E94">
      <w:pPr>
        <w:spacing w:after="0" w:line="240" w:lineRule="auto"/>
        <w:rPr>
          <w:b/>
        </w:rPr>
      </w:pPr>
      <w:r>
        <w:rPr>
          <w:b/>
        </w:rPr>
        <w:t xml:space="preserve">Graph 1: </w:t>
      </w:r>
      <w:r w:rsidR="002474AA">
        <w:rPr>
          <w:b/>
        </w:rPr>
        <w:t xml:space="preserve">Three month rolling average of real take-home pay and private pensions paid </w:t>
      </w:r>
    </w:p>
    <w:p w14:paraId="159E9345" w14:textId="645155EE" w:rsidR="00301BB6" w:rsidRDefault="00F8069C" w:rsidP="00367E94">
      <w:pPr>
        <w:spacing w:after="0" w:line="240" w:lineRule="auto"/>
        <w:rPr>
          <w:b/>
        </w:rPr>
      </w:pPr>
      <w:r>
        <w:rPr>
          <w:noProof/>
        </w:rPr>
        <w:drawing>
          <wp:inline distT="0" distB="0" distL="0" distR="0" wp14:anchorId="1C7F5E50" wp14:editId="4B3250C4">
            <wp:extent cx="5023485" cy="2768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506" t="11151" r="-506" b="5771"/>
                    <a:stretch/>
                  </pic:blipFill>
                  <pic:spPr bwMode="auto">
                    <a:xfrm>
                      <a:off x="0" y="0"/>
                      <a:ext cx="5034201" cy="2774506"/>
                    </a:xfrm>
                    <a:prstGeom prst="rect">
                      <a:avLst/>
                    </a:prstGeom>
                    <a:noFill/>
                    <a:ln>
                      <a:noFill/>
                    </a:ln>
                    <a:extLst>
                      <a:ext uri="{53640926-AAD7-44D8-BBD7-CCE9431645EC}">
                        <a14:shadowObscured xmlns:a14="http://schemas.microsoft.com/office/drawing/2010/main"/>
                      </a:ext>
                    </a:extLst>
                  </pic:spPr>
                </pic:pic>
              </a:graphicData>
            </a:graphic>
          </wp:inline>
        </w:drawing>
      </w:r>
    </w:p>
    <w:p w14:paraId="39D7DDFC" w14:textId="26EC134F" w:rsidR="00367E94" w:rsidRDefault="00367E94" w:rsidP="00367E94">
      <w:pPr>
        <w:spacing w:after="0" w:line="240" w:lineRule="auto"/>
        <w:rPr>
          <w:i/>
        </w:rPr>
      </w:pPr>
      <w:r>
        <w:rPr>
          <w:i/>
        </w:rPr>
        <w:t>Source: BankservAfrica and economists.co.za</w:t>
      </w:r>
    </w:p>
    <w:p w14:paraId="511B7B52" w14:textId="77777777" w:rsidR="009D6B7B" w:rsidRDefault="009D6B7B" w:rsidP="00367E94">
      <w:pPr>
        <w:spacing w:after="0" w:line="240" w:lineRule="auto"/>
        <w:rPr>
          <w:b/>
        </w:rPr>
      </w:pPr>
    </w:p>
    <w:p w14:paraId="5B931238" w14:textId="77777777" w:rsidR="00C3193B" w:rsidRDefault="00C3193B"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322094D0"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550FBB5B"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4CFB4F99"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32EE2B89"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51A2DB44"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19D96088"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45E85D16"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270A056B"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0165D0F9"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5A655F7B"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4F106103"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71A6CE10"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4B4A890C"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77ACB596" w14:textId="77777777" w:rsidR="00B80769"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p>
    <w:p w14:paraId="6C5EB3CD" w14:textId="37BF213F" w:rsidR="00B80769" w:rsidRPr="00B80769" w:rsidRDefault="00F247B6" w:rsidP="005232B3">
      <w:pPr>
        <w:pStyle w:val="NormalWeb"/>
        <w:spacing w:before="0" w:beforeAutospacing="0" w:after="0" w:afterAutospacing="0" w:line="276" w:lineRule="auto"/>
        <w:rPr>
          <w:rFonts w:asciiTheme="minorHAnsi" w:hAnsiTheme="minorHAnsi" w:cstheme="minorHAnsi"/>
          <w:b/>
          <w:bCs/>
          <w:color w:val="0E101A"/>
          <w:sz w:val="22"/>
          <w:szCs w:val="22"/>
        </w:rPr>
      </w:pPr>
      <w:r w:rsidRPr="00F247B6">
        <w:rPr>
          <w:rFonts w:asciiTheme="minorHAnsi" w:hAnsiTheme="minorHAnsi" w:cstheme="minorHAnsi"/>
          <w:b/>
          <w:bCs/>
          <w:color w:val="0E101A"/>
          <w:sz w:val="22"/>
          <w:szCs w:val="22"/>
        </w:rPr>
        <w:t xml:space="preserve">Graph 2: </w:t>
      </w:r>
      <w:r w:rsidR="00DB5D9C">
        <w:rPr>
          <w:rFonts w:asciiTheme="minorHAnsi" w:hAnsiTheme="minorHAnsi" w:cstheme="minorHAnsi"/>
          <w:b/>
          <w:bCs/>
          <w:color w:val="0E101A"/>
          <w:sz w:val="22"/>
          <w:szCs w:val="22"/>
        </w:rPr>
        <w:t>Total take-home pay and private pensions vs retail sales for 2015 – 202</w:t>
      </w:r>
      <w:r w:rsidR="00F8069C">
        <w:rPr>
          <w:rFonts w:asciiTheme="minorHAnsi" w:hAnsiTheme="minorHAnsi" w:cstheme="minorHAnsi"/>
          <w:b/>
          <w:bCs/>
          <w:color w:val="0E101A"/>
          <w:sz w:val="22"/>
          <w:szCs w:val="22"/>
        </w:rPr>
        <w:t>2</w:t>
      </w:r>
      <w:r w:rsidR="00DB5D9C">
        <w:rPr>
          <w:rFonts w:asciiTheme="minorHAnsi" w:hAnsiTheme="minorHAnsi" w:cstheme="minorHAnsi"/>
          <w:b/>
          <w:bCs/>
          <w:color w:val="0E101A"/>
          <w:sz w:val="22"/>
          <w:szCs w:val="22"/>
        </w:rPr>
        <w:t xml:space="preserve"> </w:t>
      </w:r>
      <w:r w:rsidRPr="00F247B6">
        <w:rPr>
          <w:rFonts w:asciiTheme="minorHAnsi" w:hAnsiTheme="minorHAnsi" w:cstheme="minorHAnsi"/>
          <w:b/>
          <w:bCs/>
          <w:color w:val="0E101A"/>
          <w:sz w:val="22"/>
          <w:szCs w:val="22"/>
        </w:rPr>
        <w:t xml:space="preserve"> </w:t>
      </w:r>
    </w:p>
    <w:p w14:paraId="755B739D" w14:textId="454E6AA9" w:rsidR="00301BB6" w:rsidRDefault="00B80769" w:rsidP="005232B3">
      <w:pPr>
        <w:pStyle w:val="NormalWeb"/>
        <w:spacing w:before="0" w:beforeAutospacing="0" w:after="0" w:afterAutospacing="0" w:line="276" w:lineRule="auto"/>
        <w:rPr>
          <w:rFonts w:asciiTheme="minorHAnsi" w:hAnsiTheme="minorHAnsi" w:cstheme="minorHAnsi"/>
          <w:b/>
          <w:bCs/>
          <w:color w:val="0E101A"/>
          <w:sz w:val="22"/>
          <w:szCs w:val="22"/>
        </w:rPr>
      </w:pPr>
      <w:r>
        <w:rPr>
          <w:noProof/>
        </w:rPr>
        <w:drawing>
          <wp:inline distT="0" distB="0" distL="0" distR="0" wp14:anchorId="225BA842" wp14:editId="0EE858F4">
            <wp:extent cx="4371206" cy="251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11995" b="6136"/>
                    <a:stretch/>
                  </pic:blipFill>
                  <pic:spPr bwMode="auto">
                    <a:xfrm>
                      <a:off x="0" y="0"/>
                      <a:ext cx="4375086" cy="2516832"/>
                    </a:xfrm>
                    <a:prstGeom prst="rect">
                      <a:avLst/>
                    </a:prstGeom>
                    <a:noFill/>
                    <a:ln>
                      <a:noFill/>
                    </a:ln>
                    <a:extLst>
                      <a:ext uri="{53640926-AAD7-44D8-BBD7-CCE9431645EC}">
                        <a14:shadowObscured xmlns:a14="http://schemas.microsoft.com/office/drawing/2010/main"/>
                      </a:ext>
                    </a:extLst>
                  </pic:spPr>
                </pic:pic>
              </a:graphicData>
            </a:graphic>
          </wp:inline>
        </w:drawing>
      </w:r>
    </w:p>
    <w:p w14:paraId="33086192" w14:textId="3EC891F8" w:rsidR="00F8069C" w:rsidRDefault="00F247B6" w:rsidP="00B80769">
      <w:pPr>
        <w:spacing w:after="0" w:line="240" w:lineRule="auto"/>
        <w:rPr>
          <w:i/>
        </w:rPr>
      </w:pPr>
      <w:r>
        <w:rPr>
          <w:i/>
        </w:rPr>
        <w:t>Source: BankservAfrica and economists.co.za</w:t>
      </w:r>
    </w:p>
    <w:p w14:paraId="2F94B248" w14:textId="77777777" w:rsidR="00B80769" w:rsidRPr="00B80769" w:rsidRDefault="00B80769" w:rsidP="00B80769">
      <w:pPr>
        <w:spacing w:after="0" w:line="240" w:lineRule="auto"/>
        <w:rPr>
          <w:i/>
        </w:rPr>
      </w:pPr>
    </w:p>
    <w:p w14:paraId="51508D48" w14:textId="37A52855" w:rsidR="000868E5" w:rsidRDefault="000868E5" w:rsidP="000868E5">
      <w:pPr>
        <w:pStyle w:val="Heading3"/>
        <w:rPr>
          <w:rFonts w:asciiTheme="minorHAnsi" w:eastAsiaTheme="minorHAnsi" w:hAnsiTheme="minorHAnsi" w:cstheme="minorBidi"/>
          <w:b/>
          <w:color w:val="auto"/>
          <w:sz w:val="22"/>
          <w:szCs w:val="22"/>
        </w:rPr>
      </w:pPr>
      <w:r w:rsidRPr="000868E5">
        <w:rPr>
          <w:rFonts w:asciiTheme="minorHAnsi" w:eastAsiaTheme="minorHAnsi" w:hAnsiTheme="minorHAnsi" w:cstheme="minorBidi"/>
          <w:b/>
          <w:color w:val="auto"/>
          <w:sz w:val="22"/>
          <w:szCs w:val="22"/>
        </w:rPr>
        <w:t xml:space="preserve">Table </w:t>
      </w:r>
      <w:r w:rsidR="006F3474">
        <w:rPr>
          <w:rFonts w:asciiTheme="minorHAnsi" w:eastAsiaTheme="minorHAnsi" w:hAnsiTheme="minorHAnsi" w:cstheme="minorBidi"/>
          <w:b/>
          <w:color w:val="auto"/>
          <w:sz w:val="22"/>
          <w:szCs w:val="22"/>
        </w:rPr>
        <w:t>1</w:t>
      </w:r>
      <w:r w:rsidRPr="000868E5">
        <w:rPr>
          <w:rFonts w:asciiTheme="minorHAnsi" w:eastAsiaTheme="minorHAnsi" w:hAnsiTheme="minorHAnsi" w:cstheme="minorBidi"/>
          <w:b/>
          <w:color w:val="auto"/>
          <w:sz w:val="22"/>
          <w:szCs w:val="22"/>
        </w:rPr>
        <w:t xml:space="preserve">: </w:t>
      </w:r>
      <w:r w:rsidR="00B92986" w:rsidRPr="000868E5">
        <w:rPr>
          <w:rFonts w:asciiTheme="minorHAnsi" w:eastAsiaTheme="minorHAnsi" w:hAnsiTheme="minorHAnsi" w:cstheme="minorBidi"/>
          <w:b/>
          <w:color w:val="auto"/>
          <w:sz w:val="22"/>
          <w:szCs w:val="22"/>
        </w:rPr>
        <w:t>The</w:t>
      </w:r>
      <w:r w:rsidRPr="000868E5">
        <w:rPr>
          <w:rFonts w:asciiTheme="minorHAnsi" w:eastAsiaTheme="minorHAnsi" w:hAnsiTheme="minorHAnsi" w:cstheme="minorBidi"/>
          <w:b/>
          <w:color w:val="auto"/>
          <w:sz w:val="22"/>
          <w:szCs w:val="22"/>
        </w:rPr>
        <w:t xml:space="preserve"> BankservAfrica Take-home Pay </w:t>
      </w:r>
      <w:r w:rsidR="00D86436">
        <w:rPr>
          <w:rFonts w:asciiTheme="minorHAnsi" w:eastAsiaTheme="minorHAnsi" w:hAnsiTheme="minorHAnsi" w:cstheme="minorBidi"/>
          <w:b/>
          <w:color w:val="auto"/>
          <w:sz w:val="22"/>
          <w:szCs w:val="22"/>
        </w:rPr>
        <w:t>Index</w:t>
      </w:r>
      <w:r w:rsidRPr="000868E5">
        <w:rPr>
          <w:rFonts w:asciiTheme="minorHAnsi" w:eastAsiaTheme="minorHAnsi" w:hAnsiTheme="minorHAnsi" w:cstheme="minorBidi"/>
          <w:b/>
          <w:color w:val="auto"/>
          <w:sz w:val="22"/>
          <w:szCs w:val="22"/>
        </w:rPr>
        <w:t xml:space="preserve"> data</w:t>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1"/>
        <w:gridCol w:w="1192"/>
        <w:gridCol w:w="1156"/>
        <w:gridCol w:w="1145"/>
        <w:gridCol w:w="959"/>
        <w:gridCol w:w="1321"/>
        <w:gridCol w:w="1086"/>
        <w:gridCol w:w="1150"/>
        <w:gridCol w:w="1044"/>
      </w:tblGrid>
      <w:tr w:rsidR="00B07F4B" w14:paraId="7C18CCAA" w14:textId="77777777" w:rsidTr="00B07F4B">
        <w:trPr>
          <w:trHeight w:val="1321"/>
        </w:trPr>
        <w:tc>
          <w:tcPr>
            <w:tcW w:w="1191" w:type="dxa"/>
            <w:noWrap/>
            <w:tcMar>
              <w:top w:w="0" w:type="dxa"/>
              <w:left w:w="108" w:type="dxa"/>
              <w:bottom w:w="0" w:type="dxa"/>
              <w:right w:w="108" w:type="dxa"/>
            </w:tcMar>
            <w:vAlign w:val="bottom"/>
            <w:hideMark/>
          </w:tcPr>
          <w:p w14:paraId="42FC0899" w14:textId="49EF8A34" w:rsidR="00B07F4B" w:rsidRDefault="00B07F4B" w:rsidP="00B07F4B">
            <w:pPr>
              <w:spacing w:after="0" w:line="240" w:lineRule="auto"/>
              <w:rPr>
                <w:rFonts w:cstheme="minorHAnsi"/>
                <w:b/>
                <w:bCs/>
                <w:lang w:eastAsia="en-ZA"/>
              </w:rPr>
            </w:pPr>
            <w:r w:rsidRPr="00B07F4B">
              <w:rPr>
                <w:rFonts w:cstheme="minorHAnsi"/>
                <w:b/>
                <w:bCs/>
                <w:lang w:eastAsia="en-ZA"/>
              </w:rPr>
              <w:t>Month</w:t>
            </w:r>
          </w:p>
          <w:p w14:paraId="0595D02D" w14:textId="5F6000C6" w:rsidR="00B07F4B" w:rsidRDefault="00B07F4B" w:rsidP="00B07F4B">
            <w:pPr>
              <w:spacing w:after="0" w:line="240" w:lineRule="auto"/>
              <w:rPr>
                <w:rFonts w:cstheme="minorHAnsi"/>
                <w:b/>
                <w:bCs/>
                <w:lang w:eastAsia="en-ZA"/>
              </w:rPr>
            </w:pPr>
          </w:p>
          <w:p w14:paraId="010A8F24" w14:textId="0D21F813" w:rsidR="00B07F4B" w:rsidRDefault="00B07F4B" w:rsidP="00B07F4B">
            <w:pPr>
              <w:spacing w:after="0" w:line="240" w:lineRule="auto"/>
              <w:rPr>
                <w:rFonts w:cstheme="minorHAnsi"/>
                <w:b/>
                <w:bCs/>
                <w:lang w:eastAsia="en-ZA"/>
              </w:rPr>
            </w:pPr>
          </w:p>
          <w:p w14:paraId="6B36B9E2" w14:textId="77777777" w:rsidR="00B07F4B" w:rsidRDefault="00B07F4B" w:rsidP="00B07F4B">
            <w:pPr>
              <w:spacing w:after="0" w:line="240" w:lineRule="auto"/>
              <w:rPr>
                <w:rFonts w:cstheme="minorHAnsi"/>
                <w:b/>
                <w:bCs/>
                <w:lang w:eastAsia="en-ZA"/>
              </w:rPr>
            </w:pPr>
          </w:p>
          <w:p w14:paraId="4FEC6507" w14:textId="59E2BF3B" w:rsidR="00B07F4B" w:rsidRPr="00B07F4B" w:rsidRDefault="00B07F4B" w:rsidP="00B07F4B">
            <w:pPr>
              <w:spacing w:after="0" w:line="240" w:lineRule="auto"/>
              <w:rPr>
                <w:rFonts w:cstheme="minorHAnsi"/>
                <w:b/>
                <w:bCs/>
                <w:lang w:eastAsia="en-ZA"/>
              </w:rPr>
            </w:pPr>
          </w:p>
        </w:tc>
        <w:tc>
          <w:tcPr>
            <w:tcW w:w="1192" w:type="dxa"/>
            <w:shd w:val="clear" w:color="auto" w:fill="F58220"/>
            <w:tcMar>
              <w:top w:w="0" w:type="dxa"/>
              <w:left w:w="108" w:type="dxa"/>
              <w:bottom w:w="0" w:type="dxa"/>
              <w:right w:w="108" w:type="dxa"/>
            </w:tcMar>
            <w:vAlign w:val="bottom"/>
            <w:hideMark/>
          </w:tcPr>
          <w:p w14:paraId="383A0484" w14:textId="77777777" w:rsidR="00B07F4B" w:rsidRDefault="00B07F4B" w:rsidP="00B07F4B">
            <w:pPr>
              <w:spacing w:after="0" w:line="240" w:lineRule="auto"/>
              <w:rPr>
                <w:rFonts w:cstheme="minorHAnsi"/>
                <w:b/>
                <w:bCs/>
                <w:lang w:eastAsia="en-ZA"/>
              </w:rPr>
            </w:pPr>
            <w:r w:rsidRPr="00B07F4B">
              <w:rPr>
                <w:rFonts w:cstheme="minorHAnsi"/>
                <w:b/>
                <w:bCs/>
                <w:lang w:eastAsia="en-ZA"/>
              </w:rPr>
              <w:t xml:space="preserve">Nominal </w:t>
            </w:r>
            <w:r>
              <w:rPr>
                <w:rFonts w:cstheme="minorHAnsi"/>
                <w:b/>
                <w:bCs/>
                <w:lang w:eastAsia="en-ZA"/>
              </w:rPr>
              <w:t>a</w:t>
            </w:r>
            <w:r w:rsidRPr="00B07F4B">
              <w:rPr>
                <w:rFonts w:cstheme="minorHAnsi"/>
                <w:b/>
                <w:bCs/>
                <w:lang w:eastAsia="en-ZA"/>
              </w:rPr>
              <w:t xml:space="preserve">verage </w:t>
            </w:r>
            <w:r>
              <w:rPr>
                <w:rFonts w:cstheme="minorHAnsi"/>
                <w:b/>
                <w:bCs/>
                <w:lang w:eastAsia="en-ZA"/>
              </w:rPr>
              <w:t>t</w:t>
            </w:r>
            <w:r w:rsidRPr="00B07F4B">
              <w:rPr>
                <w:rFonts w:cstheme="minorHAnsi"/>
                <w:b/>
                <w:bCs/>
                <w:lang w:eastAsia="en-ZA"/>
              </w:rPr>
              <w:t xml:space="preserve">ake-home </w:t>
            </w:r>
            <w:r>
              <w:rPr>
                <w:rFonts w:cstheme="minorHAnsi"/>
                <w:b/>
                <w:bCs/>
                <w:lang w:eastAsia="en-ZA"/>
              </w:rPr>
              <w:t>p</w:t>
            </w:r>
            <w:r w:rsidRPr="00B07F4B">
              <w:rPr>
                <w:rFonts w:cstheme="minorHAnsi"/>
                <w:b/>
                <w:bCs/>
                <w:lang w:eastAsia="en-ZA"/>
              </w:rPr>
              <w:t>ay</w:t>
            </w:r>
          </w:p>
          <w:p w14:paraId="3AEC9031" w14:textId="5E994006" w:rsidR="00B07F4B" w:rsidRPr="00B07F4B" w:rsidRDefault="00B07F4B" w:rsidP="00B07F4B">
            <w:pPr>
              <w:spacing w:after="0" w:line="240" w:lineRule="auto"/>
              <w:rPr>
                <w:rFonts w:cstheme="minorHAnsi"/>
                <w:b/>
                <w:bCs/>
                <w:lang w:eastAsia="en-ZA"/>
              </w:rPr>
            </w:pPr>
          </w:p>
        </w:tc>
        <w:tc>
          <w:tcPr>
            <w:tcW w:w="1156" w:type="dxa"/>
            <w:shd w:val="clear" w:color="auto" w:fill="F58220"/>
            <w:tcMar>
              <w:top w:w="0" w:type="dxa"/>
              <w:left w:w="108" w:type="dxa"/>
              <w:bottom w:w="0" w:type="dxa"/>
              <w:right w:w="108" w:type="dxa"/>
            </w:tcMar>
            <w:vAlign w:val="bottom"/>
            <w:hideMark/>
          </w:tcPr>
          <w:p w14:paraId="429E133D" w14:textId="0DE9A1BB" w:rsidR="00B07F4B" w:rsidRDefault="00B07F4B" w:rsidP="00B07F4B">
            <w:pPr>
              <w:spacing w:after="0" w:line="240" w:lineRule="auto"/>
              <w:rPr>
                <w:rFonts w:cstheme="minorHAnsi"/>
                <w:b/>
                <w:bCs/>
                <w:lang w:eastAsia="en-ZA"/>
              </w:rPr>
            </w:pPr>
            <w:r w:rsidRPr="00B07F4B">
              <w:rPr>
                <w:rFonts w:cstheme="minorHAnsi"/>
                <w:b/>
                <w:bCs/>
                <w:lang w:eastAsia="en-ZA"/>
              </w:rPr>
              <w:t xml:space="preserve">Real </w:t>
            </w:r>
            <w:r>
              <w:rPr>
                <w:rFonts w:cstheme="minorHAnsi"/>
                <w:b/>
                <w:bCs/>
                <w:lang w:eastAsia="en-ZA"/>
              </w:rPr>
              <w:t>t</w:t>
            </w:r>
            <w:r w:rsidRPr="00B07F4B">
              <w:rPr>
                <w:rFonts w:cstheme="minorHAnsi"/>
                <w:b/>
                <w:bCs/>
                <w:lang w:eastAsia="en-ZA"/>
              </w:rPr>
              <w:t>ake</w:t>
            </w:r>
            <w:r>
              <w:rPr>
                <w:rFonts w:cstheme="minorHAnsi"/>
                <w:b/>
                <w:bCs/>
                <w:lang w:eastAsia="en-ZA"/>
              </w:rPr>
              <w:t>-</w:t>
            </w:r>
            <w:r w:rsidRPr="00B07F4B">
              <w:rPr>
                <w:rFonts w:cstheme="minorHAnsi"/>
                <w:b/>
                <w:bCs/>
                <w:lang w:eastAsia="en-ZA"/>
              </w:rPr>
              <w:t xml:space="preserve"> </w:t>
            </w:r>
            <w:r>
              <w:rPr>
                <w:rFonts w:cstheme="minorHAnsi"/>
                <w:b/>
                <w:bCs/>
                <w:lang w:eastAsia="en-ZA"/>
              </w:rPr>
              <w:t>h</w:t>
            </w:r>
            <w:r w:rsidRPr="00B07F4B">
              <w:rPr>
                <w:rFonts w:cstheme="minorHAnsi"/>
                <w:b/>
                <w:bCs/>
                <w:lang w:eastAsia="en-ZA"/>
              </w:rPr>
              <w:t xml:space="preserve">ome </w:t>
            </w:r>
            <w:r>
              <w:rPr>
                <w:rFonts w:cstheme="minorHAnsi"/>
                <w:b/>
                <w:bCs/>
                <w:lang w:eastAsia="en-ZA"/>
              </w:rPr>
              <w:t>p</w:t>
            </w:r>
            <w:r w:rsidRPr="00B07F4B">
              <w:rPr>
                <w:rFonts w:cstheme="minorHAnsi"/>
                <w:b/>
                <w:bCs/>
                <w:lang w:eastAsia="en-ZA"/>
              </w:rPr>
              <w:t>ay</w:t>
            </w:r>
          </w:p>
          <w:p w14:paraId="6682CFEB" w14:textId="77777777" w:rsidR="00B07F4B" w:rsidRDefault="00B07F4B" w:rsidP="00B07F4B">
            <w:pPr>
              <w:spacing w:after="0" w:line="240" w:lineRule="auto"/>
              <w:rPr>
                <w:rFonts w:cstheme="minorHAnsi"/>
                <w:b/>
                <w:bCs/>
                <w:lang w:eastAsia="en-ZA"/>
              </w:rPr>
            </w:pPr>
          </w:p>
          <w:p w14:paraId="20F72201" w14:textId="77777777" w:rsidR="00B07F4B" w:rsidRDefault="00B07F4B" w:rsidP="00B07F4B">
            <w:pPr>
              <w:spacing w:after="0" w:line="240" w:lineRule="auto"/>
              <w:rPr>
                <w:rFonts w:cstheme="minorHAnsi"/>
                <w:b/>
                <w:bCs/>
                <w:lang w:eastAsia="en-ZA"/>
              </w:rPr>
            </w:pPr>
          </w:p>
          <w:p w14:paraId="206468B1" w14:textId="436F5405" w:rsidR="00B07F4B" w:rsidRPr="00B07F4B" w:rsidRDefault="00B07F4B" w:rsidP="00B07F4B">
            <w:pPr>
              <w:spacing w:after="0" w:line="240" w:lineRule="auto"/>
              <w:rPr>
                <w:rFonts w:cstheme="minorHAnsi"/>
                <w:b/>
                <w:bCs/>
                <w:lang w:eastAsia="en-ZA"/>
              </w:rPr>
            </w:pPr>
          </w:p>
        </w:tc>
        <w:tc>
          <w:tcPr>
            <w:tcW w:w="1145" w:type="dxa"/>
            <w:shd w:val="clear" w:color="auto" w:fill="F58220"/>
            <w:tcMar>
              <w:top w:w="0" w:type="dxa"/>
              <w:left w:w="108" w:type="dxa"/>
              <w:bottom w:w="0" w:type="dxa"/>
              <w:right w:w="108" w:type="dxa"/>
            </w:tcMar>
            <w:vAlign w:val="bottom"/>
            <w:hideMark/>
          </w:tcPr>
          <w:p w14:paraId="0C67E349" w14:textId="77777777" w:rsidR="00B07F4B" w:rsidRDefault="00B07F4B" w:rsidP="00B07F4B">
            <w:pPr>
              <w:spacing w:after="0" w:line="240" w:lineRule="auto"/>
              <w:rPr>
                <w:rFonts w:cstheme="minorHAnsi"/>
                <w:b/>
                <w:bCs/>
                <w:lang w:eastAsia="en-ZA"/>
              </w:rPr>
            </w:pPr>
            <w:r w:rsidRPr="00B07F4B">
              <w:rPr>
                <w:rFonts w:cstheme="minorHAnsi"/>
                <w:b/>
                <w:bCs/>
                <w:lang w:eastAsia="en-ZA"/>
              </w:rPr>
              <w:t xml:space="preserve">Nominal BTPI % change YoY </w:t>
            </w:r>
          </w:p>
          <w:p w14:paraId="47110D51" w14:textId="56EE3B5B" w:rsidR="00B07F4B" w:rsidRPr="00B07F4B" w:rsidRDefault="00B07F4B" w:rsidP="00B07F4B">
            <w:pPr>
              <w:spacing w:after="0" w:line="240" w:lineRule="auto"/>
              <w:rPr>
                <w:rFonts w:cstheme="minorHAnsi"/>
                <w:b/>
                <w:bCs/>
                <w:lang w:eastAsia="en-ZA"/>
              </w:rPr>
            </w:pPr>
          </w:p>
        </w:tc>
        <w:tc>
          <w:tcPr>
            <w:tcW w:w="959" w:type="dxa"/>
            <w:shd w:val="clear" w:color="auto" w:fill="F58220"/>
            <w:tcMar>
              <w:top w:w="0" w:type="dxa"/>
              <w:left w:w="108" w:type="dxa"/>
              <w:bottom w:w="0" w:type="dxa"/>
              <w:right w:w="108" w:type="dxa"/>
            </w:tcMar>
            <w:vAlign w:val="bottom"/>
            <w:hideMark/>
          </w:tcPr>
          <w:p w14:paraId="418E0109" w14:textId="77777777" w:rsidR="00B07F4B" w:rsidRDefault="00B07F4B" w:rsidP="00B07F4B">
            <w:pPr>
              <w:spacing w:after="0" w:line="240" w:lineRule="auto"/>
              <w:rPr>
                <w:rFonts w:cstheme="minorHAnsi"/>
                <w:b/>
                <w:bCs/>
                <w:lang w:eastAsia="en-ZA"/>
              </w:rPr>
            </w:pPr>
            <w:r w:rsidRPr="00B07F4B">
              <w:rPr>
                <w:rFonts w:cstheme="minorHAnsi"/>
                <w:b/>
                <w:bCs/>
                <w:lang w:eastAsia="en-ZA"/>
              </w:rPr>
              <w:t>Real BTPI % change YoY</w:t>
            </w:r>
          </w:p>
          <w:p w14:paraId="7438AD0C" w14:textId="0887171A" w:rsidR="00B07F4B" w:rsidRPr="00B07F4B" w:rsidRDefault="00B07F4B" w:rsidP="00B07F4B">
            <w:pPr>
              <w:spacing w:after="0" w:line="240" w:lineRule="auto"/>
              <w:rPr>
                <w:rFonts w:cstheme="minorHAnsi"/>
                <w:b/>
                <w:bCs/>
                <w:lang w:eastAsia="en-ZA"/>
              </w:rPr>
            </w:pPr>
          </w:p>
        </w:tc>
        <w:tc>
          <w:tcPr>
            <w:tcW w:w="1321" w:type="dxa"/>
            <w:shd w:val="clear" w:color="auto" w:fill="BFD730"/>
            <w:tcMar>
              <w:top w:w="0" w:type="dxa"/>
              <w:left w:w="108" w:type="dxa"/>
              <w:bottom w:w="0" w:type="dxa"/>
              <w:right w:w="108" w:type="dxa"/>
            </w:tcMar>
            <w:vAlign w:val="bottom"/>
            <w:hideMark/>
          </w:tcPr>
          <w:p w14:paraId="1694B00A" w14:textId="76AD6DED" w:rsidR="00B07F4B" w:rsidRDefault="00B07F4B" w:rsidP="00B07F4B">
            <w:pPr>
              <w:spacing w:after="0" w:line="240" w:lineRule="auto"/>
              <w:rPr>
                <w:rFonts w:cstheme="minorHAnsi"/>
                <w:b/>
                <w:bCs/>
                <w:lang w:eastAsia="en-ZA"/>
              </w:rPr>
            </w:pPr>
            <w:r w:rsidRPr="00B07F4B">
              <w:rPr>
                <w:rFonts w:cstheme="minorHAnsi"/>
                <w:b/>
                <w:bCs/>
                <w:lang w:eastAsia="en-ZA"/>
              </w:rPr>
              <w:t xml:space="preserve">Nominal </w:t>
            </w:r>
            <w:r>
              <w:rPr>
                <w:rFonts w:cstheme="minorHAnsi"/>
                <w:b/>
                <w:bCs/>
                <w:lang w:eastAsia="en-ZA"/>
              </w:rPr>
              <w:t>a</w:t>
            </w:r>
            <w:r w:rsidRPr="00B07F4B">
              <w:rPr>
                <w:rFonts w:cstheme="minorHAnsi"/>
                <w:b/>
                <w:bCs/>
                <w:lang w:eastAsia="en-ZA"/>
              </w:rPr>
              <w:t xml:space="preserve">verage </w:t>
            </w:r>
            <w:r>
              <w:rPr>
                <w:rFonts w:cstheme="minorHAnsi"/>
                <w:b/>
                <w:bCs/>
                <w:lang w:eastAsia="en-ZA"/>
              </w:rPr>
              <w:t>p</w:t>
            </w:r>
            <w:r w:rsidRPr="00B07F4B">
              <w:rPr>
                <w:rFonts w:cstheme="minorHAnsi"/>
                <w:b/>
                <w:bCs/>
                <w:lang w:eastAsia="en-ZA"/>
              </w:rPr>
              <w:t xml:space="preserve">ensions </w:t>
            </w:r>
            <w:r>
              <w:rPr>
                <w:rFonts w:cstheme="minorHAnsi"/>
                <w:b/>
                <w:bCs/>
                <w:lang w:eastAsia="en-ZA"/>
              </w:rPr>
              <w:t>p</w:t>
            </w:r>
            <w:r w:rsidRPr="00B07F4B">
              <w:rPr>
                <w:rFonts w:cstheme="minorHAnsi"/>
                <w:b/>
                <w:bCs/>
                <w:lang w:eastAsia="en-ZA"/>
              </w:rPr>
              <w:t>aid</w:t>
            </w:r>
          </w:p>
          <w:p w14:paraId="3D539048" w14:textId="7FCA7FC5" w:rsidR="00B07F4B" w:rsidRPr="00B07F4B" w:rsidRDefault="00B07F4B" w:rsidP="00B07F4B">
            <w:pPr>
              <w:spacing w:after="0" w:line="240" w:lineRule="auto"/>
              <w:rPr>
                <w:rFonts w:cstheme="minorHAnsi"/>
                <w:b/>
                <w:bCs/>
                <w:lang w:eastAsia="en-ZA"/>
              </w:rPr>
            </w:pPr>
          </w:p>
        </w:tc>
        <w:tc>
          <w:tcPr>
            <w:tcW w:w="1086" w:type="dxa"/>
            <w:shd w:val="clear" w:color="auto" w:fill="BFD730"/>
            <w:tcMar>
              <w:top w:w="0" w:type="dxa"/>
              <w:left w:w="108" w:type="dxa"/>
              <w:bottom w:w="0" w:type="dxa"/>
              <w:right w:w="108" w:type="dxa"/>
            </w:tcMar>
            <w:vAlign w:val="bottom"/>
            <w:hideMark/>
          </w:tcPr>
          <w:p w14:paraId="3AB47C21" w14:textId="3738C6AD" w:rsidR="00B07F4B" w:rsidRDefault="00B07F4B" w:rsidP="00B07F4B">
            <w:pPr>
              <w:spacing w:after="0" w:line="240" w:lineRule="auto"/>
              <w:rPr>
                <w:rFonts w:cstheme="minorHAnsi"/>
                <w:b/>
                <w:bCs/>
                <w:lang w:eastAsia="en-ZA"/>
              </w:rPr>
            </w:pPr>
            <w:r w:rsidRPr="00B07F4B">
              <w:rPr>
                <w:rFonts w:cstheme="minorHAnsi"/>
                <w:b/>
                <w:bCs/>
                <w:lang w:eastAsia="en-ZA"/>
              </w:rPr>
              <w:t xml:space="preserve">Real </w:t>
            </w:r>
            <w:r>
              <w:rPr>
                <w:rFonts w:cstheme="minorHAnsi"/>
                <w:b/>
                <w:bCs/>
                <w:lang w:eastAsia="en-ZA"/>
              </w:rPr>
              <w:t>p</w:t>
            </w:r>
            <w:r w:rsidRPr="00B07F4B">
              <w:rPr>
                <w:rFonts w:cstheme="minorHAnsi"/>
                <w:b/>
                <w:bCs/>
                <w:lang w:eastAsia="en-ZA"/>
              </w:rPr>
              <w:t xml:space="preserve">rivate </w:t>
            </w:r>
            <w:r>
              <w:rPr>
                <w:rFonts w:cstheme="minorHAnsi"/>
                <w:b/>
                <w:bCs/>
                <w:lang w:eastAsia="en-ZA"/>
              </w:rPr>
              <w:t>p</w:t>
            </w:r>
            <w:r w:rsidRPr="00B07F4B">
              <w:rPr>
                <w:rFonts w:cstheme="minorHAnsi"/>
                <w:b/>
                <w:bCs/>
                <w:lang w:eastAsia="en-ZA"/>
              </w:rPr>
              <w:t>ension</w:t>
            </w:r>
          </w:p>
          <w:p w14:paraId="70ECA757" w14:textId="77777777" w:rsidR="00B07F4B" w:rsidRDefault="00B07F4B" w:rsidP="00B07F4B">
            <w:pPr>
              <w:spacing w:after="0" w:line="240" w:lineRule="auto"/>
              <w:rPr>
                <w:rFonts w:cstheme="minorHAnsi"/>
                <w:b/>
                <w:bCs/>
                <w:lang w:eastAsia="en-ZA"/>
              </w:rPr>
            </w:pPr>
          </w:p>
          <w:p w14:paraId="49D2FBCA" w14:textId="390ADDD3" w:rsidR="00B07F4B" w:rsidRPr="00B07F4B" w:rsidRDefault="00B07F4B" w:rsidP="00B07F4B">
            <w:pPr>
              <w:spacing w:after="0" w:line="240" w:lineRule="auto"/>
              <w:rPr>
                <w:rFonts w:cstheme="minorHAnsi"/>
                <w:b/>
                <w:bCs/>
                <w:lang w:eastAsia="en-ZA"/>
              </w:rPr>
            </w:pPr>
          </w:p>
        </w:tc>
        <w:tc>
          <w:tcPr>
            <w:tcW w:w="1150" w:type="dxa"/>
            <w:shd w:val="clear" w:color="auto" w:fill="BFD730"/>
            <w:tcMar>
              <w:top w:w="0" w:type="dxa"/>
              <w:left w:w="108" w:type="dxa"/>
              <w:bottom w:w="0" w:type="dxa"/>
              <w:right w:w="108" w:type="dxa"/>
            </w:tcMar>
            <w:vAlign w:val="bottom"/>
            <w:hideMark/>
          </w:tcPr>
          <w:p w14:paraId="39F52F04" w14:textId="77777777" w:rsidR="00B07F4B" w:rsidRDefault="00B07F4B" w:rsidP="00B07F4B">
            <w:pPr>
              <w:spacing w:after="0" w:line="240" w:lineRule="auto"/>
              <w:rPr>
                <w:rFonts w:cstheme="minorHAnsi"/>
                <w:b/>
                <w:bCs/>
                <w:lang w:eastAsia="en-ZA"/>
              </w:rPr>
            </w:pPr>
            <w:r w:rsidRPr="00B07F4B">
              <w:rPr>
                <w:rFonts w:cstheme="minorHAnsi"/>
                <w:b/>
                <w:bCs/>
                <w:lang w:eastAsia="en-ZA"/>
              </w:rPr>
              <w:t xml:space="preserve">Nominal BPPI % change YoY </w:t>
            </w:r>
          </w:p>
          <w:p w14:paraId="3E1241DC" w14:textId="182AB883" w:rsidR="00B07F4B" w:rsidRPr="00B07F4B" w:rsidRDefault="00B07F4B" w:rsidP="00B07F4B">
            <w:pPr>
              <w:spacing w:after="0" w:line="240" w:lineRule="auto"/>
              <w:rPr>
                <w:rFonts w:cstheme="minorHAnsi"/>
                <w:b/>
                <w:bCs/>
                <w:lang w:eastAsia="en-ZA"/>
              </w:rPr>
            </w:pPr>
          </w:p>
        </w:tc>
        <w:tc>
          <w:tcPr>
            <w:tcW w:w="1044" w:type="dxa"/>
            <w:shd w:val="clear" w:color="auto" w:fill="BFD730"/>
            <w:tcMar>
              <w:top w:w="0" w:type="dxa"/>
              <w:left w:w="108" w:type="dxa"/>
              <w:bottom w:w="0" w:type="dxa"/>
              <w:right w:w="108" w:type="dxa"/>
            </w:tcMar>
            <w:vAlign w:val="bottom"/>
            <w:hideMark/>
          </w:tcPr>
          <w:p w14:paraId="01703D62" w14:textId="77777777" w:rsidR="00B07F4B" w:rsidRDefault="00B07F4B" w:rsidP="00B07F4B">
            <w:pPr>
              <w:spacing w:after="0" w:line="240" w:lineRule="auto"/>
              <w:rPr>
                <w:rFonts w:cstheme="minorHAnsi"/>
                <w:b/>
                <w:bCs/>
                <w:lang w:eastAsia="en-ZA"/>
              </w:rPr>
            </w:pPr>
            <w:r w:rsidRPr="00B07F4B">
              <w:rPr>
                <w:rFonts w:cstheme="minorHAnsi"/>
                <w:b/>
                <w:bCs/>
                <w:lang w:eastAsia="en-ZA"/>
              </w:rPr>
              <w:t>Real BPPI % change YoY</w:t>
            </w:r>
          </w:p>
          <w:p w14:paraId="5D7567B7" w14:textId="0E19737D" w:rsidR="00B07F4B" w:rsidRPr="00B07F4B" w:rsidRDefault="00B07F4B" w:rsidP="00B07F4B">
            <w:pPr>
              <w:spacing w:after="0" w:line="240" w:lineRule="auto"/>
              <w:rPr>
                <w:rFonts w:cstheme="minorHAnsi"/>
                <w:b/>
                <w:bCs/>
                <w:lang w:eastAsia="en-ZA"/>
              </w:rPr>
            </w:pPr>
          </w:p>
        </w:tc>
      </w:tr>
      <w:tr w:rsidR="00B07F4B" w14:paraId="19A3F8B7" w14:textId="77777777" w:rsidTr="00B07F4B">
        <w:trPr>
          <w:trHeight w:val="294"/>
        </w:trPr>
        <w:tc>
          <w:tcPr>
            <w:tcW w:w="1191" w:type="dxa"/>
            <w:tcMar>
              <w:top w:w="0" w:type="dxa"/>
              <w:left w:w="108" w:type="dxa"/>
              <w:bottom w:w="0" w:type="dxa"/>
              <w:right w:w="108" w:type="dxa"/>
            </w:tcMar>
            <w:vAlign w:val="bottom"/>
            <w:hideMark/>
          </w:tcPr>
          <w:p w14:paraId="5E709941"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Jan-21</w:t>
            </w:r>
          </w:p>
        </w:tc>
        <w:tc>
          <w:tcPr>
            <w:tcW w:w="1192" w:type="dxa"/>
            <w:shd w:val="clear" w:color="auto" w:fill="F58220"/>
            <w:noWrap/>
            <w:tcMar>
              <w:top w:w="0" w:type="dxa"/>
              <w:left w:w="108" w:type="dxa"/>
              <w:bottom w:w="0" w:type="dxa"/>
              <w:right w:w="108" w:type="dxa"/>
            </w:tcMar>
            <w:vAlign w:val="bottom"/>
            <w:hideMark/>
          </w:tcPr>
          <w:p w14:paraId="20B44A6D"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15610</w:t>
            </w:r>
          </w:p>
        </w:tc>
        <w:tc>
          <w:tcPr>
            <w:tcW w:w="1156" w:type="dxa"/>
            <w:shd w:val="clear" w:color="auto" w:fill="F58220"/>
            <w:noWrap/>
            <w:tcMar>
              <w:top w:w="0" w:type="dxa"/>
              <w:left w:w="108" w:type="dxa"/>
              <w:bottom w:w="0" w:type="dxa"/>
              <w:right w:w="108" w:type="dxa"/>
            </w:tcMar>
            <w:vAlign w:val="bottom"/>
            <w:hideMark/>
          </w:tcPr>
          <w:p w14:paraId="3F97FC15"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16167</w:t>
            </w:r>
          </w:p>
        </w:tc>
        <w:tc>
          <w:tcPr>
            <w:tcW w:w="1145" w:type="dxa"/>
            <w:shd w:val="clear" w:color="auto" w:fill="F58220"/>
            <w:noWrap/>
            <w:tcMar>
              <w:top w:w="0" w:type="dxa"/>
              <w:left w:w="108" w:type="dxa"/>
              <w:bottom w:w="0" w:type="dxa"/>
              <w:right w:w="108" w:type="dxa"/>
            </w:tcMar>
            <w:vAlign w:val="bottom"/>
            <w:hideMark/>
          </w:tcPr>
          <w:p w14:paraId="44AE8C38"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3,0%</w:t>
            </w:r>
          </w:p>
        </w:tc>
        <w:tc>
          <w:tcPr>
            <w:tcW w:w="959" w:type="dxa"/>
            <w:shd w:val="clear" w:color="auto" w:fill="F58220"/>
            <w:noWrap/>
            <w:tcMar>
              <w:top w:w="0" w:type="dxa"/>
              <w:left w:w="108" w:type="dxa"/>
              <w:bottom w:w="0" w:type="dxa"/>
              <w:right w:w="108" w:type="dxa"/>
            </w:tcMar>
            <w:vAlign w:val="bottom"/>
            <w:hideMark/>
          </w:tcPr>
          <w:p w14:paraId="77460AF8"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-0,2%</w:t>
            </w:r>
          </w:p>
        </w:tc>
        <w:tc>
          <w:tcPr>
            <w:tcW w:w="1321" w:type="dxa"/>
            <w:shd w:val="clear" w:color="auto" w:fill="BFD730"/>
            <w:noWrap/>
            <w:tcMar>
              <w:top w:w="0" w:type="dxa"/>
              <w:left w:w="108" w:type="dxa"/>
              <w:bottom w:w="0" w:type="dxa"/>
              <w:right w:w="108" w:type="dxa"/>
            </w:tcMar>
            <w:vAlign w:val="bottom"/>
            <w:hideMark/>
          </w:tcPr>
          <w:p w14:paraId="551FC900"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8873</w:t>
            </w:r>
          </w:p>
        </w:tc>
        <w:tc>
          <w:tcPr>
            <w:tcW w:w="1086" w:type="dxa"/>
            <w:shd w:val="clear" w:color="auto" w:fill="BFD730"/>
            <w:noWrap/>
            <w:tcMar>
              <w:top w:w="0" w:type="dxa"/>
              <w:left w:w="108" w:type="dxa"/>
              <w:bottom w:w="0" w:type="dxa"/>
              <w:right w:w="108" w:type="dxa"/>
            </w:tcMar>
            <w:vAlign w:val="bottom"/>
            <w:hideMark/>
          </w:tcPr>
          <w:p w14:paraId="3F6ED70C"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9509</w:t>
            </w:r>
          </w:p>
        </w:tc>
        <w:tc>
          <w:tcPr>
            <w:tcW w:w="1150" w:type="dxa"/>
            <w:shd w:val="clear" w:color="auto" w:fill="BFD730"/>
            <w:noWrap/>
            <w:tcMar>
              <w:top w:w="0" w:type="dxa"/>
              <w:left w:w="108" w:type="dxa"/>
              <w:bottom w:w="0" w:type="dxa"/>
              <w:right w:w="108" w:type="dxa"/>
            </w:tcMar>
            <w:vAlign w:val="bottom"/>
            <w:hideMark/>
          </w:tcPr>
          <w:p w14:paraId="1A3CBD3B"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12,0%</w:t>
            </w:r>
          </w:p>
        </w:tc>
        <w:tc>
          <w:tcPr>
            <w:tcW w:w="1044" w:type="dxa"/>
            <w:shd w:val="clear" w:color="auto" w:fill="BFD730"/>
            <w:noWrap/>
            <w:tcMar>
              <w:top w:w="0" w:type="dxa"/>
              <w:left w:w="108" w:type="dxa"/>
              <w:bottom w:w="0" w:type="dxa"/>
              <w:right w:w="108" w:type="dxa"/>
            </w:tcMar>
            <w:vAlign w:val="bottom"/>
            <w:hideMark/>
          </w:tcPr>
          <w:p w14:paraId="27343A0E"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8,6%</w:t>
            </w:r>
          </w:p>
        </w:tc>
      </w:tr>
      <w:tr w:rsidR="00B07F4B" w14:paraId="687BA556" w14:textId="77777777" w:rsidTr="00B07F4B">
        <w:trPr>
          <w:trHeight w:val="294"/>
        </w:trPr>
        <w:tc>
          <w:tcPr>
            <w:tcW w:w="1191" w:type="dxa"/>
            <w:tcMar>
              <w:top w:w="0" w:type="dxa"/>
              <w:left w:w="108" w:type="dxa"/>
              <w:bottom w:w="0" w:type="dxa"/>
              <w:right w:w="108" w:type="dxa"/>
            </w:tcMar>
            <w:vAlign w:val="bottom"/>
            <w:hideMark/>
          </w:tcPr>
          <w:p w14:paraId="42893EDA"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Feb-21</w:t>
            </w:r>
          </w:p>
        </w:tc>
        <w:tc>
          <w:tcPr>
            <w:tcW w:w="1192" w:type="dxa"/>
            <w:shd w:val="clear" w:color="auto" w:fill="F58220"/>
            <w:noWrap/>
            <w:tcMar>
              <w:top w:w="0" w:type="dxa"/>
              <w:left w:w="108" w:type="dxa"/>
              <w:bottom w:w="0" w:type="dxa"/>
              <w:right w:w="108" w:type="dxa"/>
            </w:tcMar>
            <w:vAlign w:val="bottom"/>
            <w:hideMark/>
          </w:tcPr>
          <w:p w14:paraId="263CF7C8"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15814</w:t>
            </w:r>
          </w:p>
        </w:tc>
        <w:tc>
          <w:tcPr>
            <w:tcW w:w="1156" w:type="dxa"/>
            <w:shd w:val="clear" w:color="auto" w:fill="F58220"/>
            <w:noWrap/>
            <w:tcMar>
              <w:top w:w="0" w:type="dxa"/>
              <w:left w:w="108" w:type="dxa"/>
              <w:bottom w:w="0" w:type="dxa"/>
              <w:right w:w="108" w:type="dxa"/>
            </w:tcMar>
            <w:vAlign w:val="bottom"/>
            <w:hideMark/>
          </w:tcPr>
          <w:p w14:paraId="0BFA6B2E"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16188</w:t>
            </w:r>
          </w:p>
        </w:tc>
        <w:tc>
          <w:tcPr>
            <w:tcW w:w="1145" w:type="dxa"/>
            <w:shd w:val="clear" w:color="auto" w:fill="F58220"/>
            <w:noWrap/>
            <w:tcMar>
              <w:top w:w="0" w:type="dxa"/>
              <w:left w:w="108" w:type="dxa"/>
              <w:bottom w:w="0" w:type="dxa"/>
              <w:right w:w="108" w:type="dxa"/>
            </w:tcMar>
            <w:vAlign w:val="bottom"/>
            <w:hideMark/>
          </w:tcPr>
          <w:p w14:paraId="20EE8E0B"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4,7%</w:t>
            </w:r>
          </w:p>
        </w:tc>
        <w:tc>
          <w:tcPr>
            <w:tcW w:w="959" w:type="dxa"/>
            <w:shd w:val="clear" w:color="auto" w:fill="F58220"/>
            <w:noWrap/>
            <w:tcMar>
              <w:top w:w="0" w:type="dxa"/>
              <w:left w:w="108" w:type="dxa"/>
              <w:bottom w:w="0" w:type="dxa"/>
              <w:right w:w="108" w:type="dxa"/>
            </w:tcMar>
            <w:vAlign w:val="bottom"/>
            <w:hideMark/>
          </w:tcPr>
          <w:p w14:paraId="7ACBF6A9"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1,7%</w:t>
            </w:r>
          </w:p>
        </w:tc>
        <w:tc>
          <w:tcPr>
            <w:tcW w:w="1321" w:type="dxa"/>
            <w:shd w:val="clear" w:color="auto" w:fill="BFD730"/>
            <w:noWrap/>
            <w:tcMar>
              <w:top w:w="0" w:type="dxa"/>
              <w:left w:w="108" w:type="dxa"/>
              <w:bottom w:w="0" w:type="dxa"/>
              <w:right w:w="108" w:type="dxa"/>
            </w:tcMar>
            <w:vAlign w:val="bottom"/>
            <w:hideMark/>
          </w:tcPr>
          <w:p w14:paraId="7DC2BA36"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9249</w:t>
            </w:r>
          </w:p>
        </w:tc>
        <w:tc>
          <w:tcPr>
            <w:tcW w:w="1086" w:type="dxa"/>
            <w:shd w:val="clear" w:color="auto" w:fill="BFD730"/>
            <w:noWrap/>
            <w:tcMar>
              <w:top w:w="0" w:type="dxa"/>
              <w:left w:w="108" w:type="dxa"/>
              <w:bottom w:w="0" w:type="dxa"/>
              <w:right w:w="108" w:type="dxa"/>
            </w:tcMar>
            <w:vAlign w:val="bottom"/>
            <w:hideMark/>
          </w:tcPr>
          <w:p w14:paraId="326E9D88"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9622</w:t>
            </w:r>
          </w:p>
        </w:tc>
        <w:tc>
          <w:tcPr>
            <w:tcW w:w="1150" w:type="dxa"/>
            <w:shd w:val="clear" w:color="auto" w:fill="BFD730"/>
            <w:noWrap/>
            <w:tcMar>
              <w:top w:w="0" w:type="dxa"/>
              <w:left w:w="108" w:type="dxa"/>
              <w:bottom w:w="0" w:type="dxa"/>
              <w:right w:w="108" w:type="dxa"/>
            </w:tcMar>
            <w:vAlign w:val="bottom"/>
            <w:hideMark/>
          </w:tcPr>
          <w:p w14:paraId="589E443E"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8,9%</w:t>
            </w:r>
          </w:p>
        </w:tc>
        <w:tc>
          <w:tcPr>
            <w:tcW w:w="1044" w:type="dxa"/>
            <w:shd w:val="clear" w:color="auto" w:fill="BFD730"/>
            <w:noWrap/>
            <w:tcMar>
              <w:top w:w="0" w:type="dxa"/>
              <w:left w:w="108" w:type="dxa"/>
              <w:bottom w:w="0" w:type="dxa"/>
              <w:right w:w="108" w:type="dxa"/>
            </w:tcMar>
            <w:vAlign w:val="bottom"/>
            <w:hideMark/>
          </w:tcPr>
          <w:p w14:paraId="4AACF68F"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5,6%</w:t>
            </w:r>
          </w:p>
        </w:tc>
      </w:tr>
      <w:tr w:rsidR="00B07F4B" w14:paraId="0074F2A8" w14:textId="77777777" w:rsidTr="00B07F4B">
        <w:trPr>
          <w:trHeight w:val="294"/>
        </w:trPr>
        <w:tc>
          <w:tcPr>
            <w:tcW w:w="1191" w:type="dxa"/>
            <w:tcMar>
              <w:top w:w="0" w:type="dxa"/>
              <w:left w:w="108" w:type="dxa"/>
              <w:bottom w:w="0" w:type="dxa"/>
              <w:right w:w="108" w:type="dxa"/>
            </w:tcMar>
            <w:vAlign w:val="bottom"/>
            <w:hideMark/>
          </w:tcPr>
          <w:p w14:paraId="6A82C8D4"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Mar-21</w:t>
            </w:r>
          </w:p>
        </w:tc>
        <w:tc>
          <w:tcPr>
            <w:tcW w:w="1192" w:type="dxa"/>
            <w:shd w:val="clear" w:color="auto" w:fill="F58220"/>
            <w:noWrap/>
            <w:tcMar>
              <w:top w:w="0" w:type="dxa"/>
              <w:left w:w="108" w:type="dxa"/>
              <w:bottom w:w="0" w:type="dxa"/>
              <w:right w:w="108" w:type="dxa"/>
            </w:tcMar>
            <w:vAlign w:val="bottom"/>
            <w:hideMark/>
          </w:tcPr>
          <w:p w14:paraId="365F5F22"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15244</w:t>
            </w:r>
          </w:p>
        </w:tc>
        <w:tc>
          <w:tcPr>
            <w:tcW w:w="1156" w:type="dxa"/>
            <w:shd w:val="clear" w:color="auto" w:fill="F58220"/>
            <w:noWrap/>
            <w:tcMar>
              <w:top w:w="0" w:type="dxa"/>
              <w:left w:w="108" w:type="dxa"/>
              <w:bottom w:w="0" w:type="dxa"/>
              <w:right w:w="108" w:type="dxa"/>
            </w:tcMar>
            <w:vAlign w:val="bottom"/>
            <w:hideMark/>
          </w:tcPr>
          <w:p w14:paraId="03D16755"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15837</w:t>
            </w:r>
          </w:p>
        </w:tc>
        <w:tc>
          <w:tcPr>
            <w:tcW w:w="1145" w:type="dxa"/>
            <w:shd w:val="clear" w:color="auto" w:fill="F58220"/>
            <w:noWrap/>
            <w:tcMar>
              <w:top w:w="0" w:type="dxa"/>
              <w:left w:w="108" w:type="dxa"/>
              <w:bottom w:w="0" w:type="dxa"/>
              <w:right w:w="108" w:type="dxa"/>
            </w:tcMar>
            <w:vAlign w:val="bottom"/>
            <w:hideMark/>
          </w:tcPr>
          <w:p w14:paraId="1375E267"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3,8%</w:t>
            </w:r>
          </w:p>
        </w:tc>
        <w:tc>
          <w:tcPr>
            <w:tcW w:w="959" w:type="dxa"/>
            <w:shd w:val="clear" w:color="auto" w:fill="F58220"/>
            <w:noWrap/>
            <w:tcMar>
              <w:top w:w="0" w:type="dxa"/>
              <w:left w:w="108" w:type="dxa"/>
              <w:bottom w:w="0" w:type="dxa"/>
              <w:right w:w="108" w:type="dxa"/>
            </w:tcMar>
            <w:vAlign w:val="bottom"/>
            <w:hideMark/>
          </w:tcPr>
          <w:p w14:paraId="2C7B3793"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0,7%</w:t>
            </w:r>
          </w:p>
        </w:tc>
        <w:tc>
          <w:tcPr>
            <w:tcW w:w="1321" w:type="dxa"/>
            <w:shd w:val="clear" w:color="auto" w:fill="BFD730"/>
            <w:noWrap/>
            <w:tcMar>
              <w:top w:w="0" w:type="dxa"/>
              <w:left w:w="108" w:type="dxa"/>
              <w:bottom w:w="0" w:type="dxa"/>
              <w:right w:w="108" w:type="dxa"/>
            </w:tcMar>
            <w:vAlign w:val="bottom"/>
            <w:hideMark/>
          </w:tcPr>
          <w:p w14:paraId="0E0FD80C"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9216</w:t>
            </w:r>
          </w:p>
        </w:tc>
        <w:tc>
          <w:tcPr>
            <w:tcW w:w="1086" w:type="dxa"/>
            <w:shd w:val="clear" w:color="auto" w:fill="BFD730"/>
            <w:noWrap/>
            <w:tcMar>
              <w:top w:w="0" w:type="dxa"/>
              <w:left w:w="108" w:type="dxa"/>
              <w:bottom w:w="0" w:type="dxa"/>
              <w:right w:w="108" w:type="dxa"/>
            </w:tcMar>
            <w:vAlign w:val="bottom"/>
            <w:hideMark/>
          </w:tcPr>
          <w:p w14:paraId="10E00F71"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9610</w:t>
            </w:r>
          </w:p>
        </w:tc>
        <w:tc>
          <w:tcPr>
            <w:tcW w:w="1150" w:type="dxa"/>
            <w:shd w:val="clear" w:color="auto" w:fill="BFD730"/>
            <w:noWrap/>
            <w:tcMar>
              <w:top w:w="0" w:type="dxa"/>
              <w:left w:w="108" w:type="dxa"/>
              <w:bottom w:w="0" w:type="dxa"/>
              <w:right w:w="108" w:type="dxa"/>
            </w:tcMar>
            <w:vAlign w:val="bottom"/>
            <w:hideMark/>
          </w:tcPr>
          <w:p w14:paraId="7EBD15AC"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8,6%</w:t>
            </w:r>
          </w:p>
        </w:tc>
        <w:tc>
          <w:tcPr>
            <w:tcW w:w="1044" w:type="dxa"/>
            <w:shd w:val="clear" w:color="auto" w:fill="BFD730"/>
            <w:noWrap/>
            <w:tcMar>
              <w:top w:w="0" w:type="dxa"/>
              <w:left w:w="108" w:type="dxa"/>
              <w:bottom w:w="0" w:type="dxa"/>
              <w:right w:w="108" w:type="dxa"/>
            </w:tcMar>
            <w:vAlign w:val="bottom"/>
            <w:hideMark/>
          </w:tcPr>
          <w:p w14:paraId="36F56D75"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5,7%</w:t>
            </w:r>
          </w:p>
        </w:tc>
      </w:tr>
      <w:tr w:rsidR="00B07F4B" w14:paraId="7C902493" w14:textId="77777777" w:rsidTr="00B07F4B">
        <w:trPr>
          <w:trHeight w:val="294"/>
        </w:trPr>
        <w:tc>
          <w:tcPr>
            <w:tcW w:w="1191" w:type="dxa"/>
            <w:tcMar>
              <w:top w:w="0" w:type="dxa"/>
              <w:left w:w="108" w:type="dxa"/>
              <w:bottom w:w="0" w:type="dxa"/>
              <w:right w:w="108" w:type="dxa"/>
            </w:tcMar>
            <w:vAlign w:val="bottom"/>
            <w:hideMark/>
          </w:tcPr>
          <w:p w14:paraId="218DBFA5"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Apr-21</w:t>
            </w:r>
          </w:p>
        </w:tc>
        <w:tc>
          <w:tcPr>
            <w:tcW w:w="1192" w:type="dxa"/>
            <w:shd w:val="clear" w:color="auto" w:fill="F58220"/>
            <w:noWrap/>
            <w:tcMar>
              <w:top w:w="0" w:type="dxa"/>
              <w:left w:w="108" w:type="dxa"/>
              <w:bottom w:w="0" w:type="dxa"/>
              <w:right w:w="108" w:type="dxa"/>
            </w:tcMar>
            <w:vAlign w:val="bottom"/>
            <w:hideMark/>
          </w:tcPr>
          <w:p w14:paraId="55FDE1A7"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15170</w:t>
            </w:r>
          </w:p>
        </w:tc>
        <w:tc>
          <w:tcPr>
            <w:tcW w:w="1156" w:type="dxa"/>
            <w:shd w:val="clear" w:color="auto" w:fill="F58220"/>
            <w:noWrap/>
            <w:tcMar>
              <w:top w:w="0" w:type="dxa"/>
              <w:left w:w="108" w:type="dxa"/>
              <w:bottom w:w="0" w:type="dxa"/>
              <w:right w:w="108" w:type="dxa"/>
            </w:tcMar>
            <w:vAlign w:val="bottom"/>
            <w:hideMark/>
          </w:tcPr>
          <w:p w14:paraId="07C6984E"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16059</w:t>
            </w:r>
          </w:p>
        </w:tc>
        <w:tc>
          <w:tcPr>
            <w:tcW w:w="1145" w:type="dxa"/>
            <w:shd w:val="clear" w:color="auto" w:fill="F58220"/>
            <w:noWrap/>
            <w:tcMar>
              <w:top w:w="0" w:type="dxa"/>
              <w:left w:w="108" w:type="dxa"/>
              <w:bottom w:w="0" w:type="dxa"/>
              <w:right w:w="108" w:type="dxa"/>
            </w:tcMar>
            <w:vAlign w:val="bottom"/>
            <w:hideMark/>
          </w:tcPr>
          <w:p w14:paraId="68CD8ED9"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6,8%</w:t>
            </w:r>
          </w:p>
        </w:tc>
        <w:tc>
          <w:tcPr>
            <w:tcW w:w="959" w:type="dxa"/>
            <w:shd w:val="clear" w:color="auto" w:fill="F58220"/>
            <w:noWrap/>
            <w:tcMar>
              <w:top w:w="0" w:type="dxa"/>
              <w:left w:w="108" w:type="dxa"/>
              <w:bottom w:w="0" w:type="dxa"/>
              <w:right w:w="108" w:type="dxa"/>
            </w:tcMar>
            <w:vAlign w:val="bottom"/>
            <w:hideMark/>
          </w:tcPr>
          <w:p w14:paraId="30EE029C"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3,1%</w:t>
            </w:r>
          </w:p>
        </w:tc>
        <w:tc>
          <w:tcPr>
            <w:tcW w:w="1321" w:type="dxa"/>
            <w:shd w:val="clear" w:color="auto" w:fill="BFD730"/>
            <w:noWrap/>
            <w:tcMar>
              <w:top w:w="0" w:type="dxa"/>
              <w:left w:w="108" w:type="dxa"/>
              <w:bottom w:w="0" w:type="dxa"/>
              <w:right w:w="108" w:type="dxa"/>
            </w:tcMar>
            <w:vAlign w:val="bottom"/>
            <w:hideMark/>
          </w:tcPr>
          <w:p w14:paraId="35E6E41A"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9266</w:t>
            </w:r>
          </w:p>
        </w:tc>
        <w:tc>
          <w:tcPr>
            <w:tcW w:w="1086" w:type="dxa"/>
            <w:shd w:val="clear" w:color="auto" w:fill="BFD730"/>
            <w:noWrap/>
            <w:tcMar>
              <w:top w:w="0" w:type="dxa"/>
              <w:left w:w="108" w:type="dxa"/>
              <w:bottom w:w="0" w:type="dxa"/>
              <w:right w:w="108" w:type="dxa"/>
            </w:tcMar>
            <w:vAlign w:val="bottom"/>
            <w:hideMark/>
          </w:tcPr>
          <w:p w14:paraId="75C99395"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9675</w:t>
            </w:r>
          </w:p>
        </w:tc>
        <w:tc>
          <w:tcPr>
            <w:tcW w:w="1150" w:type="dxa"/>
            <w:shd w:val="clear" w:color="auto" w:fill="BFD730"/>
            <w:noWrap/>
            <w:tcMar>
              <w:top w:w="0" w:type="dxa"/>
              <w:left w:w="108" w:type="dxa"/>
              <w:bottom w:w="0" w:type="dxa"/>
              <w:right w:w="108" w:type="dxa"/>
            </w:tcMar>
            <w:vAlign w:val="bottom"/>
            <w:hideMark/>
          </w:tcPr>
          <w:p w14:paraId="512FA8AC"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10,5%</w:t>
            </w:r>
          </w:p>
        </w:tc>
        <w:tc>
          <w:tcPr>
            <w:tcW w:w="1044" w:type="dxa"/>
            <w:shd w:val="clear" w:color="auto" w:fill="BFD730"/>
            <w:noWrap/>
            <w:tcMar>
              <w:top w:w="0" w:type="dxa"/>
              <w:left w:w="108" w:type="dxa"/>
              <w:bottom w:w="0" w:type="dxa"/>
              <w:right w:w="108" w:type="dxa"/>
            </w:tcMar>
            <w:vAlign w:val="bottom"/>
            <w:hideMark/>
          </w:tcPr>
          <w:p w14:paraId="2C66BDE7"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7,1%</w:t>
            </w:r>
          </w:p>
        </w:tc>
      </w:tr>
      <w:tr w:rsidR="00B07F4B" w14:paraId="4EECD1B8" w14:textId="77777777" w:rsidTr="00B07F4B">
        <w:trPr>
          <w:trHeight w:val="294"/>
        </w:trPr>
        <w:tc>
          <w:tcPr>
            <w:tcW w:w="1191" w:type="dxa"/>
            <w:tcMar>
              <w:top w:w="0" w:type="dxa"/>
              <w:left w:w="108" w:type="dxa"/>
              <w:bottom w:w="0" w:type="dxa"/>
              <w:right w:w="108" w:type="dxa"/>
            </w:tcMar>
            <w:vAlign w:val="bottom"/>
            <w:hideMark/>
          </w:tcPr>
          <w:p w14:paraId="40D81D8E"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May-21</w:t>
            </w:r>
          </w:p>
        </w:tc>
        <w:tc>
          <w:tcPr>
            <w:tcW w:w="1192" w:type="dxa"/>
            <w:shd w:val="clear" w:color="auto" w:fill="F58220"/>
            <w:noWrap/>
            <w:tcMar>
              <w:top w:w="0" w:type="dxa"/>
              <w:left w:w="108" w:type="dxa"/>
              <w:bottom w:w="0" w:type="dxa"/>
              <w:right w:w="108" w:type="dxa"/>
            </w:tcMar>
            <w:vAlign w:val="bottom"/>
            <w:hideMark/>
          </w:tcPr>
          <w:p w14:paraId="3DF297B1"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14695</w:t>
            </w:r>
          </w:p>
        </w:tc>
        <w:tc>
          <w:tcPr>
            <w:tcW w:w="1156" w:type="dxa"/>
            <w:shd w:val="clear" w:color="auto" w:fill="F58220"/>
            <w:noWrap/>
            <w:tcMar>
              <w:top w:w="0" w:type="dxa"/>
              <w:left w:w="108" w:type="dxa"/>
              <w:bottom w:w="0" w:type="dxa"/>
              <w:right w:w="108" w:type="dxa"/>
            </w:tcMar>
            <w:vAlign w:val="bottom"/>
            <w:hideMark/>
          </w:tcPr>
          <w:p w14:paraId="1EB2499A"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15678</w:t>
            </w:r>
          </w:p>
        </w:tc>
        <w:tc>
          <w:tcPr>
            <w:tcW w:w="1145" w:type="dxa"/>
            <w:shd w:val="clear" w:color="auto" w:fill="F58220"/>
            <w:noWrap/>
            <w:tcMar>
              <w:top w:w="0" w:type="dxa"/>
              <w:left w:w="108" w:type="dxa"/>
              <w:bottom w:w="0" w:type="dxa"/>
              <w:right w:w="108" w:type="dxa"/>
            </w:tcMar>
            <w:vAlign w:val="bottom"/>
            <w:hideMark/>
          </w:tcPr>
          <w:p w14:paraId="38BE6CCA"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4,5%</w:t>
            </w:r>
          </w:p>
        </w:tc>
        <w:tc>
          <w:tcPr>
            <w:tcW w:w="959" w:type="dxa"/>
            <w:shd w:val="clear" w:color="auto" w:fill="F58220"/>
            <w:noWrap/>
            <w:tcMar>
              <w:top w:w="0" w:type="dxa"/>
              <w:left w:w="108" w:type="dxa"/>
              <w:bottom w:w="0" w:type="dxa"/>
              <w:right w:w="108" w:type="dxa"/>
            </w:tcMar>
            <w:vAlign w:val="bottom"/>
            <w:hideMark/>
          </w:tcPr>
          <w:p w14:paraId="7C606509"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0,1%</w:t>
            </w:r>
          </w:p>
        </w:tc>
        <w:tc>
          <w:tcPr>
            <w:tcW w:w="1321" w:type="dxa"/>
            <w:shd w:val="clear" w:color="auto" w:fill="BFD730"/>
            <w:noWrap/>
            <w:tcMar>
              <w:top w:w="0" w:type="dxa"/>
              <w:left w:w="108" w:type="dxa"/>
              <w:bottom w:w="0" w:type="dxa"/>
              <w:right w:w="108" w:type="dxa"/>
            </w:tcMar>
            <w:vAlign w:val="bottom"/>
            <w:hideMark/>
          </w:tcPr>
          <w:p w14:paraId="1910FA71"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9136</w:t>
            </w:r>
          </w:p>
        </w:tc>
        <w:tc>
          <w:tcPr>
            <w:tcW w:w="1086" w:type="dxa"/>
            <w:shd w:val="clear" w:color="auto" w:fill="BFD730"/>
            <w:noWrap/>
            <w:tcMar>
              <w:top w:w="0" w:type="dxa"/>
              <w:left w:w="108" w:type="dxa"/>
              <w:bottom w:w="0" w:type="dxa"/>
              <w:right w:w="108" w:type="dxa"/>
            </w:tcMar>
            <w:vAlign w:val="bottom"/>
            <w:hideMark/>
          </w:tcPr>
          <w:p w14:paraId="3B647161"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9519</w:t>
            </w:r>
          </w:p>
        </w:tc>
        <w:tc>
          <w:tcPr>
            <w:tcW w:w="1150" w:type="dxa"/>
            <w:shd w:val="clear" w:color="auto" w:fill="BFD730"/>
            <w:noWrap/>
            <w:tcMar>
              <w:top w:w="0" w:type="dxa"/>
              <w:left w:w="108" w:type="dxa"/>
              <w:bottom w:w="0" w:type="dxa"/>
              <w:right w:w="108" w:type="dxa"/>
            </w:tcMar>
            <w:vAlign w:val="bottom"/>
            <w:hideMark/>
          </w:tcPr>
          <w:p w14:paraId="175E7626"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11,5%</w:t>
            </w:r>
          </w:p>
        </w:tc>
        <w:tc>
          <w:tcPr>
            <w:tcW w:w="1044" w:type="dxa"/>
            <w:shd w:val="clear" w:color="auto" w:fill="BFD730"/>
            <w:noWrap/>
            <w:tcMar>
              <w:top w:w="0" w:type="dxa"/>
              <w:left w:w="108" w:type="dxa"/>
              <w:bottom w:w="0" w:type="dxa"/>
              <w:right w:w="108" w:type="dxa"/>
            </w:tcMar>
            <w:vAlign w:val="bottom"/>
            <w:hideMark/>
          </w:tcPr>
          <w:p w14:paraId="1DE75677"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6,8%</w:t>
            </w:r>
          </w:p>
        </w:tc>
      </w:tr>
      <w:tr w:rsidR="00B07F4B" w14:paraId="5D52B5FA" w14:textId="77777777" w:rsidTr="00B07F4B">
        <w:trPr>
          <w:trHeight w:val="294"/>
        </w:trPr>
        <w:tc>
          <w:tcPr>
            <w:tcW w:w="1191" w:type="dxa"/>
            <w:tcMar>
              <w:top w:w="0" w:type="dxa"/>
              <w:left w:w="108" w:type="dxa"/>
              <w:bottom w:w="0" w:type="dxa"/>
              <w:right w:w="108" w:type="dxa"/>
            </w:tcMar>
            <w:vAlign w:val="bottom"/>
            <w:hideMark/>
          </w:tcPr>
          <w:p w14:paraId="6E366C6A"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Jun-21</w:t>
            </w:r>
          </w:p>
        </w:tc>
        <w:tc>
          <w:tcPr>
            <w:tcW w:w="1192" w:type="dxa"/>
            <w:shd w:val="clear" w:color="auto" w:fill="F58220"/>
            <w:noWrap/>
            <w:tcMar>
              <w:top w:w="0" w:type="dxa"/>
              <w:left w:w="108" w:type="dxa"/>
              <w:bottom w:w="0" w:type="dxa"/>
              <w:right w:w="108" w:type="dxa"/>
            </w:tcMar>
            <w:vAlign w:val="bottom"/>
            <w:hideMark/>
          </w:tcPr>
          <w:p w14:paraId="38E9FFEA"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14883</w:t>
            </w:r>
          </w:p>
        </w:tc>
        <w:tc>
          <w:tcPr>
            <w:tcW w:w="1156" w:type="dxa"/>
            <w:shd w:val="clear" w:color="auto" w:fill="F58220"/>
            <w:noWrap/>
            <w:tcMar>
              <w:top w:w="0" w:type="dxa"/>
              <w:left w:w="108" w:type="dxa"/>
              <w:bottom w:w="0" w:type="dxa"/>
              <w:right w:w="108" w:type="dxa"/>
            </w:tcMar>
            <w:vAlign w:val="bottom"/>
            <w:hideMark/>
          </w:tcPr>
          <w:p w14:paraId="040B92F2"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15512</w:t>
            </w:r>
          </w:p>
        </w:tc>
        <w:tc>
          <w:tcPr>
            <w:tcW w:w="1145" w:type="dxa"/>
            <w:shd w:val="clear" w:color="auto" w:fill="F58220"/>
            <w:noWrap/>
            <w:tcMar>
              <w:top w:w="0" w:type="dxa"/>
              <w:left w:w="108" w:type="dxa"/>
              <w:bottom w:w="0" w:type="dxa"/>
              <w:right w:w="108" w:type="dxa"/>
            </w:tcMar>
            <w:vAlign w:val="bottom"/>
            <w:hideMark/>
          </w:tcPr>
          <w:p w14:paraId="4B1106B6"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4,4%</w:t>
            </w:r>
          </w:p>
        </w:tc>
        <w:tc>
          <w:tcPr>
            <w:tcW w:w="959" w:type="dxa"/>
            <w:shd w:val="clear" w:color="auto" w:fill="F58220"/>
            <w:noWrap/>
            <w:tcMar>
              <w:top w:w="0" w:type="dxa"/>
              <w:left w:w="108" w:type="dxa"/>
              <w:bottom w:w="0" w:type="dxa"/>
              <w:right w:w="108" w:type="dxa"/>
            </w:tcMar>
            <w:vAlign w:val="bottom"/>
            <w:hideMark/>
          </w:tcPr>
          <w:p w14:paraId="673B41D1"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-0,5%</w:t>
            </w:r>
          </w:p>
        </w:tc>
        <w:tc>
          <w:tcPr>
            <w:tcW w:w="1321" w:type="dxa"/>
            <w:shd w:val="clear" w:color="auto" w:fill="BFD730"/>
            <w:noWrap/>
            <w:tcMar>
              <w:top w:w="0" w:type="dxa"/>
              <w:left w:w="108" w:type="dxa"/>
              <w:bottom w:w="0" w:type="dxa"/>
              <w:right w:w="108" w:type="dxa"/>
            </w:tcMar>
            <w:vAlign w:val="bottom"/>
            <w:hideMark/>
          </w:tcPr>
          <w:p w14:paraId="6758D6A0"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9456</w:t>
            </w:r>
          </w:p>
        </w:tc>
        <w:tc>
          <w:tcPr>
            <w:tcW w:w="1086" w:type="dxa"/>
            <w:shd w:val="clear" w:color="auto" w:fill="BFD730"/>
            <w:noWrap/>
            <w:tcMar>
              <w:top w:w="0" w:type="dxa"/>
              <w:left w:w="108" w:type="dxa"/>
              <w:bottom w:w="0" w:type="dxa"/>
              <w:right w:w="108" w:type="dxa"/>
            </w:tcMar>
            <w:vAlign w:val="bottom"/>
            <w:hideMark/>
          </w:tcPr>
          <w:p w14:paraId="562EA0F3"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9645</w:t>
            </w:r>
          </w:p>
        </w:tc>
        <w:tc>
          <w:tcPr>
            <w:tcW w:w="1150" w:type="dxa"/>
            <w:shd w:val="clear" w:color="auto" w:fill="BFD730"/>
            <w:noWrap/>
            <w:tcMar>
              <w:top w:w="0" w:type="dxa"/>
              <w:left w:w="108" w:type="dxa"/>
              <w:bottom w:w="0" w:type="dxa"/>
              <w:right w:w="108" w:type="dxa"/>
            </w:tcMar>
            <w:vAlign w:val="bottom"/>
            <w:hideMark/>
          </w:tcPr>
          <w:p w14:paraId="55E16889"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11,7%</w:t>
            </w:r>
          </w:p>
        </w:tc>
        <w:tc>
          <w:tcPr>
            <w:tcW w:w="1044" w:type="dxa"/>
            <w:shd w:val="clear" w:color="auto" w:fill="BFD730"/>
            <w:noWrap/>
            <w:tcMar>
              <w:top w:w="0" w:type="dxa"/>
              <w:left w:w="108" w:type="dxa"/>
              <w:bottom w:w="0" w:type="dxa"/>
              <w:right w:w="108" w:type="dxa"/>
            </w:tcMar>
            <w:vAlign w:val="bottom"/>
            <w:hideMark/>
          </w:tcPr>
          <w:p w14:paraId="43743CF1"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6,1%</w:t>
            </w:r>
          </w:p>
        </w:tc>
      </w:tr>
      <w:tr w:rsidR="00B07F4B" w14:paraId="5026F61F" w14:textId="77777777" w:rsidTr="00B07F4B">
        <w:trPr>
          <w:trHeight w:val="294"/>
        </w:trPr>
        <w:tc>
          <w:tcPr>
            <w:tcW w:w="1191" w:type="dxa"/>
            <w:tcMar>
              <w:top w:w="0" w:type="dxa"/>
              <w:left w:w="108" w:type="dxa"/>
              <w:bottom w:w="0" w:type="dxa"/>
              <w:right w:w="108" w:type="dxa"/>
            </w:tcMar>
            <w:vAlign w:val="bottom"/>
            <w:hideMark/>
          </w:tcPr>
          <w:p w14:paraId="491C1C26"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Jul-21</w:t>
            </w:r>
          </w:p>
        </w:tc>
        <w:tc>
          <w:tcPr>
            <w:tcW w:w="1192" w:type="dxa"/>
            <w:shd w:val="clear" w:color="auto" w:fill="F58220"/>
            <w:noWrap/>
            <w:tcMar>
              <w:top w:w="0" w:type="dxa"/>
              <w:left w:w="108" w:type="dxa"/>
              <w:bottom w:w="0" w:type="dxa"/>
              <w:right w:w="108" w:type="dxa"/>
            </w:tcMar>
            <w:vAlign w:val="bottom"/>
            <w:hideMark/>
          </w:tcPr>
          <w:p w14:paraId="5670BFF6"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14620</w:t>
            </w:r>
          </w:p>
        </w:tc>
        <w:tc>
          <w:tcPr>
            <w:tcW w:w="1156" w:type="dxa"/>
            <w:shd w:val="clear" w:color="auto" w:fill="F58220"/>
            <w:noWrap/>
            <w:tcMar>
              <w:top w:w="0" w:type="dxa"/>
              <w:left w:w="108" w:type="dxa"/>
              <w:bottom w:w="0" w:type="dxa"/>
              <w:right w:w="108" w:type="dxa"/>
            </w:tcMar>
            <w:vAlign w:val="bottom"/>
            <w:hideMark/>
          </w:tcPr>
          <w:p w14:paraId="3E811842"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15035</w:t>
            </w:r>
          </w:p>
        </w:tc>
        <w:tc>
          <w:tcPr>
            <w:tcW w:w="1145" w:type="dxa"/>
            <w:shd w:val="clear" w:color="auto" w:fill="F58220"/>
            <w:noWrap/>
            <w:tcMar>
              <w:top w:w="0" w:type="dxa"/>
              <w:left w:w="108" w:type="dxa"/>
              <w:bottom w:w="0" w:type="dxa"/>
              <w:right w:w="108" w:type="dxa"/>
            </w:tcMar>
            <w:vAlign w:val="bottom"/>
            <w:hideMark/>
          </w:tcPr>
          <w:p w14:paraId="798C7849"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5,1%</w:t>
            </w:r>
          </w:p>
        </w:tc>
        <w:tc>
          <w:tcPr>
            <w:tcW w:w="959" w:type="dxa"/>
            <w:shd w:val="clear" w:color="auto" w:fill="F58220"/>
            <w:noWrap/>
            <w:tcMar>
              <w:top w:w="0" w:type="dxa"/>
              <w:left w:w="108" w:type="dxa"/>
              <w:bottom w:w="0" w:type="dxa"/>
              <w:right w:w="108" w:type="dxa"/>
            </w:tcMar>
            <w:vAlign w:val="bottom"/>
            <w:hideMark/>
          </w:tcPr>
          <w:p w14:paraId="1CEF8055"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0,0%</w:t>
            </w:r>
          </w:p>
        </w:tc>
        <w:tc>
          <w:tcPr>
            <w:tcW w:w="1321" w:type="dxa"/>
            <w:shd w:val="clear" w:color="auto" w:fill="BFD730"/>
            <w:noWrap/>
            <w:tcMar>
              <w:top w:w="0" w:type="dxa"/>
              <w:left w:w="108" w:type="dxa"/>
              <w:bottom w:w="0" w:type="dxa"/>
              <w:right w:w="108" w:type="dxa"/>
            </w:tcMar>
            <w:vAlign w:val="bottom"/>
            <w:hideMark/>
          </w:tcPr>
          <w:p w14:paraId="2B1B0171"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9460</w:t>
            </w:r>
          </w:p>
        </w:tc>
        <w:tc>
          <w:tcPr>
            <w:tcW w:w="1086" w:type="dxa"/>
            <w:shd w:val="clear" w:color="auto" w:fill="BFD730"/>
            <w:noWrap/>
            <w:tcMar>
              <w:top w:w="0" w:type="dxa"/>
              <w:left w:w="108" w:type="dxa"/>
              <w:bottom w:w="0" w:type="dxa"/>
              <w:right w:w="108" w:type="dxa"/>
            </w:tcMar>
            <w:vAlign w:val="bottom"/>
            <w:hideMark/>
          </w:tcPr>
          <w:p w14:paraId="4613073E"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9668</w:t>
            </w:r>
          </w:p>
        </w:tc>
        <w:tc>
          <w:tcPr>
            <w:tcW w:w="1150" w:type="dxa"/>
            <w:shd w:val="clear" w:color="auto" w:fill="BFD730"/>
            <w:noWrap/>
            <w:tcMar>
              <w:top w:w="0" w:type="dxa"/>
              <w:left w:w="108" w:type="dxa"/>
              <w:bottom w:w="0" w:type="dxa"/>
              <w:right w:w="108" w:type="dxa"/>
            </w:tcMar>
            <w:vAlign w:val="bottom"/>
            <w:hideMark/>
          </w:tcPr>
          <w:p w14:paraId="6309C264"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10,8%</w:t>
            </w:r>
          </w:p>
        </w:tc>
        <w:tc>
          <w:tcPr>
            <w:tcW w:w="1044" w:type="dxa"/>
            <w:shd w:val="clear" w:color="auto" w:fill="BFD730"/>
            <w:noWrap/>
            <w:tcMar>
              <w:top w:w="0" w:type="dxa"/>
              <w:left w:w="108" w:type="dxa"/>
              <w:bottom w:w="0" w:type="dxa"/>
              <w:right w:w="108" w:type="dxa"/>
            </w:tcMar>
            <w:vAlign w:val="bottom"/>
            <w:hideMark/>
          </w:tcPr>
          <w:p w14:paraId="0873739D"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5,6%</w:t>
            </w:r>
          </w:p>
        </w:tc>
      </w:tr>
      <w:tr w:rsidR="00B07F4B" w14:paraId="213FD90E" w14:textId="77777777" w:rsidTr="00B07F4B">
        <w:trPr>
          <w:trHeight w:val="294"/>
        </w:trPr>
        <w:tc>
          <w:tcPr>
            <w:tcW w:w="1191" w:type="dxa"/>
            <w:tcMar>
              <w:top w:w="0" w:type="dxa"/>
              <w:left w:w="108" w:type="dxa"/>
              <w:bottom w:w="0" w:type="dxa"/>
              <w:right w:w="108" w:type="dxa"/>
            </w:tcMar>
            <w:vAlign w:val="bottom"/>
            <w:hideMark/>
          </w:tcPr>
          <w:p w14:paraId="01BCE3EC"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Aug-21</w:t>
            </w:r>
          </w:p>
        </w:tc>
        <w:tc>
          <w:tcPr>
            <w:tcW w:w="1192" w:type="dxa"/>
            <w:shd w:val="clear" w:color="auto" w:fill="F58220"/>
            <w:noWrap/>
            <w:tcMar>
              <w:top w:w="0" w:type="dxa"/>
              <w:left w:w="108" w:type="dxa"/>
              <w:bottom w:w="0" w:type="dxa"/>
              <w:right w:w="108" w:type="dxa"/>
            </w:tcMar>
            <w:vAlign w:val="bottom"/>
            <w:hideMark/>
          </w:tcPr>
          <w:p w14:paraId="46809459"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15182</w:t>
            </w:r>
          </w:p>
        </w:tc>
        <w:tc>
          <w:tcPr>
            <w:tcW w:w="1156" w:type="dxa"/>
            <w:shd w:val="clear" w:color="auto" w:fill="F58220"/>
            <w:noWrap/>
            <w:tcMar>
              <w:top w:w="0" w:type="dxa"/>
              <w:left w:w="108" w:type="dxa"/>
              <w:bottom w:w="0" w:type="dxa"/>
              <w:right w:w="108" w:type="dxa"/>
            </w:tcMar>
            <w:vAlign w:val="bottom"/>
            <w:hideMark/>
          </w:tcPr>
          <w:p w14:paraId="4DC7FC57"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15282</w:t>
            </w:r>
          </w:p>
        </w:tc>
        <w:tc>
          <w:tcPr>
            <w:tcW w:w="1145" w:type="dxa"/>
            <w:shd w:val="clear" w:color="auto" w:fill="F58220"/>
            <w:noWrap/>
            <w:tcMar>
              <w:top w:w="0" w:type="dxa"/>
              <w:left w:w="108" w:type="dxa"/>
              <w:bottom w:w="0" w:type="dxa"/>
              <w:right w:w="108" w:type="dxa"/>
            </w:tcMar>
            <w:vAlign w:val="bottom"/>
            <w:hideMark/>
          </w:tcPr>
          <w:p w14:paraId="0C287691"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8,1%</w:t>
            </w:r>
          </w:p>
        </w:tc>
        <w:tc>
          <w:tcPr>
            <w:tcW w:w="959" w:type="dxa"/>
            <w:shd w:val="clear" w:color="auto" w:fill="F58220"/>
            <w:noWrap/>
            <w:tcMar>
              <w:top w:w="0" w:type="dxa"/>
              <w:left w:w="108" w:type="dxa"/>
              <w:bottom w:w="0" w:type="dxa"/>
              <w:right w:w="108" w:type="dxa"/>
            </w:tcMar>
            <w:vAlign w:val="bottom"/>
            <w:hideMark/>
          </w:tcPr>
          <w:p w14:paraId="07594DCE"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3,1%</w:t>
            </w:r>
          </w:p>
        </w:tc>
        <w:tc>
          <w:tcPr>
            <w:tcW w:w="1321" w:type="dxa"/>
            <w:shd w:val="clear" w:color="auto" w:fill="BFD730"/>
            <w:noWrap/>
            <w:tcMar>
              <w:top w:w="0" w:type="dxa"/>
              <w:left w:w="108" w:type="dxa"/>
              <w:bottom w:w="0" w:type="dxa"/>
              <w:right w:w="108" w:type="dxa"/>
            </w:tcMar>
            <w:vAlign w:val="bottom"/>
            <w:hideMark/>
          </w:tcPr>
          <w:p w14:paraId="080A8300"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9520</w:t>
            </w:r>
          </w:p>
        </w:tc>
        <w:tc>
          <w:tcPr>
            <w:tcW w:w="1086" w:type="dxa"/>
            <w:shd w:val="clear" w:color="auto" w:fill="BFD730"/>
            <w:noWrap/>
            <w:tcMar>
              <w:top w:w="0" w:type="dxa"/>
              <w:left w:w="108" w:type="dxa"/>
              <w:bottom w:w="0" w:type="dxa"/>
              <w:right w:w="108" w:type="dxa"/>
            </w:tcMar>
            <w:vAlign w:val="bottom"/>
            <w:hideMark/>
          </w:tcPr>
          <w:p w14:paraId="16503C18"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9694</w:t>
            </w:r>
          </w:p>
        </w:tc>
        <w:tc>
          <w:tcPr>
            <w:tcW w:w="1150" w:type="dxa"/>
            <w:shd w:val="clear" w:color="auto" w:fill="BFD730"/>
            <w:noWrap/>
            <w:tcMar>
              <w:top w:w="0" w:type="dxa"/>
              <w:left w:w="108" w:type="dxa"/>
              <w:bottom w:w="0" w:type="dxa"/>
              <w:right w:w="108" w:type="dxa"/>
            </w:tcMar>
            <w:vAlign w:val="bottom"/>
            <w:hideMark/>
          </w:tcPr>
          <w:p w14:paraId="1F1E14D3"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10,1%</w:t>
            </w:r>
          </w:p>
        </w:tc>
        <w:tc>
          <w:tcPr>
            <w:tcW w:w="1044" w:type="dxa"/>
            <w:shd w:val="clear" w:color="auto" w:fill="BFD730"/>
            <w:noWrap/>
            <w:tcMar>
              <w:top w:w="0" w:type="dxa"/>
              <w:left w:w="108" w:type="dxa"/>
              <w:bottom w:w="0" w:type="dxa"/>
              <w:right w:w="108" w:type="dxa"/>
            </w:tcMar>
            <w:vAlign w:val="bottom"/>
            <w:hideMark/>
          </w:tcPr>
          <w:p w14:paraId="6011ADA7"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5,1%</w:t>
            </w:r>
          </w:p>
        </w:tc>
      </w:tr>
      <w:tr w:rsidR="00B07F4B" w14:paraId="0E1EFE1D" w14:textId="77777777" w:rsidTr="00B07F4B">
        <w:trPr>
          <w:trHeight w:val="294"/>
        </w:trPr>
        <w:tc>
          <w:tcPr>
            <w:tcW w:w="1191" w:type="dxa"/>
            <w:tcMar>
              <w:top w:w="0" w:type="dxa"/>
              <w:left w:w="108" w:type="dxa"/>
              <w:bottom w:w="0" w:type="dxa"/>
              <w:right w:w="108" w:type="dxa"/>
            </w:tcMar>
            <w:vAlign w:val="bottom"/>
            <w:hideMark/>
          </w:tcPr>
          <w:p w14:paraId="2976AB74"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Sep-21</w:t>
            </w:r>
          </w:p>
        </w:tc>
        <w:tc>
          <w:tcPr>
            <w:tcW w:w="1192" w:type="dxa"/>
            <w:shd w:val="clear" w:color="auto" w:fill="F58220"/>
            <w:noWrap/>
            <w:tcMar>
              <w:top w:w="0" w:type="dxa"/>
              <w:left w:w="108" w:type="dxa"/>
              <w:bottom w:w="0" w:type="dxa"/>
              <w:right w:w="108" w:type="dxa"/>
            </w:tcMar>
            <w:vAlign w:val="bottom"/>
            <w:hideMark/>
          </w:tcPr>
          <w:p w14:paraId="489C51EA"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15305</w:t>
            </w:r>
          </w:p>
        </w:tc>
        <w:tc>
          <w:tcPr>
            <w:tcW w:w="1156" w:type="dxa"/>
            <w:shd w:val="clear" w:color="auto" w:fill="F58220"/>
            <w:noWrap/>
            <w:tcMar>
              <w:top w:w="0" w:type="dxa"/>
              <w:left w:w="108" w:type="dxa"/>
              <w:bottom w:w="0" w:type="dxa"/>
              <w:right w:w="108" w:type="dxa"/>
            </w:tcMar>
            <w:vAlign w:val="bottom"/>
            <w:hideMark/>
          </w:tcPr>
          <w:p w14:paraId="2FFF5081"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15601</w:t>
            </w:r>
          </w:p>
        </w:tc>
        <w:tc>
          <w:tcPr>
            <w:tcW w:w="1145" w:type="dxa"/>
            <w:shd w:val="clear" w:color="auto" w:fill="F58220"/>
            <w:noWrap/>
            <w:tcMar>
              <w:top w:w="0" w:type="dxa"/>
              <w:left w:w="108" w:type="dxa"/>
              <w:bottom w:w="0" w:type="dxa"/>
              <w:right w:w="108" w:type="dxa"/>
            </w:tcMar>
            <w:vAlign w:val="bottom"/>
            <w:hideMark/>
          </w:tcPr>
          <w:p w14:paraId="70C03E2D"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9,2%</w:t>
            </w:r>
          </w:p>
        </w:tc>
        <w:tc>
          <w:tcPr>
            <w:tcW w:w="959" w:type="dxa"/>
            <w:shd w:val="clear" w:color="auto" w:fill="F58220"/>
            <w:noWrap/>
            <w:tcMar>
              <w:top w:w="0" w:type="dxa"/>
              <w:left w:w="108" w:type="dxa"/>
              <w:bottom w:w="0" w:type="dxa"/>
              <w:right w:w="108" w:type="dxa"/>
            </w:tcMar>
            <w:vAlign w:val="bottom"/>
            <w:hideMark/>
          </w:tcPr>
          <w:p w14:paraId="1A1E31F8"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4,1%</w:t>
            </w:r>
          </w:p>
        </w:tc>
        <w:tc>
          <w:tcPr>
            <w:tcW w:w="1321" w:type="dxa"/>
            <w:shd w:val="clear" w:color="auto" w:fill="BFD730"/>
            <w:noWrap/>
            <w:tcMar>
              <w:top w:w="0" w:type="dxa"/>
              <w:left w:w="108" w:type="dxa"/>
              <w:bottom w:w="0" w:type="dxa"/>
              <w:right w:w="108" w:type="dxa"/>
            </w:tcMar>
            <w:vAlign w:val="bottom"/>
            <w:hideMark/>
          </w:tcPr>
          <w:p w14:paraId="136FC70C"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9508</w:t>
            </w:r>
          </w:p>
        </w:tc>
        <w:tc>
          <w:tcPr>
            <w:tcW w:w="1086" w:type="dxa"/>
            <w:shd w:val="clear" w:color="auto" w:fill="BFD730"/>
            <w:noWrap/>
            <w:tcMar>
              <w:top w:w="0" w:type="dxa"/>
              <w:left w:w="108" w:type="dxa"/>
              <w:bottom w:w="0" w:type="dxa"/>
              <w:right w:w="108" w:type="dxa"/>
            </w:tcMar>
            <w:vAlign w:val="bottom"/>
            <w:hideMark/>
          </w:tcPr>
          <w:p w14:paraId="4233C391"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9669</w:t>
            </w:r>
          </w:p>
        </w:tc>
        <w:tc>
          <w:tcPr>
            <w:tcW w:w="1150" w:type="dxa"/>
            <w:shd w:val="clear" w:color="auto" w:fill="BFD730"/>
            <w:noWrap/>
            <w:tcMar>
              <w:top w:w="0" w:type="dxa"/>
              <w:left w:w="108" w:type="dxa"/>
              <w:bottom w:w="0" w:type="dxa"/>
              <w:right w:w="108" w:type="dxa"/>
            </w:tcMar>
            <w:vAlign w:val="bottom"/>
            <w:hideMark/>
          </w:tcPr>
          <w:p w14:paraId="56E271F5"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9,7%</w:t>
            </w:r>
          </w:p>
        </w:tc>
        <w:tc>
          <w:tcPr>
            <w:tcW w:w="1044" w:type="dxa"/>
            <w:shd w:val="clear" w:color="auto" w:fill="BFD730"/>
            <w:noWrap/>
            <w:tcMar>
              <w:top w:w="0" w:type="dxa"/>
              <w:left w:w="108" w:type="dxa"/>
              <w:bottom w:w="0" w:type="dxa"/>
              <w:right w:w="108" w:type="dxa"/>
            </w:tcMar>
            <w:vAlign w:val="bottom"/>
            <w:hideMark/>
          </w:tcPr>
          <w:p w14:paraId="483AAD81"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4,6%</w:t>
            </w:r>
          </w:p>
        </w:tc>
      </w:tr>
      <w:tr w:rsidR="00B07F4B" w14:paraId="0FDFB232" w14:textId="77777777" w:rsidTr="00B07F4B">
        <w:trPr>
          <w:trHeight w:val="294"/>
        </w:trPr>
        <w:tc>
          <w:tcPr>
            <w:tcW w:w="1191" w:type="dxa"/>
            <w:tcMar>
              <w:top w:w="0" w:type="dxa"/>
              <w:left w:w="108" w:type="dxa"/>
              <w:bottom w:w="0" w:type="dxa"/>
              <w:right w:w="108" w:type="dxa"/>
            </w:tcMar>
            <w:vAlign w:val="bottom"/>
            <w:hideMark/>
          </w:tcPr>
          <w:p w14:paraId="5607669D"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Oct-21</w:t>
            </w:r>
          </w:p>
        </w:tc>
        <w:tc>
          <w:tcPr>
            <w:tcW w:w="1192" w:type="dxa"/>
            <w:shd w:val="clear" w:color="auto" w:fill="F58220"/>
            <w:noWrap/>
            <w:tcMar>
              <w:top w:w="0" w:type="dxa"/>
              <w:left w:w="108" w:type="dxa"/>
              <w:bottom w:w="0" w:type="dxa"/>
              <w:right w:w="108" w:type="dxa"/>
            </w:tcMar>
            <w:vAlign w:val="bottom"/>
            <w:hideMark/>
          </w:tcPr>
          <w:p w14:paraId="74F88B32"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15081</w:t>
            </w:r>
          </w:p>
        </w:tc>
        <w:tc>
          <w:tcPr>
            <w:tcW w:w="1156" w:type="dxa"/>
            <w:shd w:val="clear" w:color="auto" w:fill="F58220"/>
            <w:noWrap/>
            <w:tcMar>
              <w:top w:w="0" w:type="dxa"/>
              <w:left w:w="108" w:type="dxa"/>
              <w:bottom w:w="0" w:type="dxa"/>
              <w:right w:w="108" w:type="dxa"/>
            </w:tcMar>
            <w:vAlign w:val="bottom"/>
            <w:hideMark/>
          </w:tcPr>
          <w:p w14:paraId="7E00E828"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15403</w:t>
            </w:r>
          </w:p>
        </w:tc>
        <w:tc>
          <w:tcPr>
            <w:tcW w:w="1145" w:type="dxa"/>
            <w:shd w:val="clear" w:color="auto" w:fill="F58220"/>
            <w:noWrap/>
            <w:tcMar>
              <w:top w:w="0" w:type="dxa"/>
              <w:left w:w="108" w:type="dxa"/>
              <w:bottom w:w="0" w:type="dxa"/>
              <w:right w:w="108" w:type="dxa"/>
            </w:tcMar>
            <w:vAlign w:val="bottom"/>
            <w:hideMark/>
          </w:tcPr>
          <w:p w14:paraId="03D7556C"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1,7%</w:t>
            </w:r>
          </w:p>
        </w:tc>
        <w:tc>
          <w:tcPr>
            <w:tcW w:w="959" w:type="dxa"/>
            <w:shd w:val="clear" w:color="auto" w:fill="F58220"/>
            <w:noWrap/>
            <w:tcMar>
              <w:top w:w="0" w:type="dxa"/>
              <w:left w:w="108" w:type="dxa"/>
              <w:bottom w:w="0" w:type="dxa"/>
              <w:right w:w="108" w:type="dxa"/>
            </w:tcMar>
            <w:vAlign w:val="bottom"/>
            <w:hideMark/>
          </w:tcPr>
          <w:p w14:paraId="76F4D2B1"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-3,1%</w:t>
            </w:r>
          </w:p>
        </w:tc>
        <w:tc>
          <w:tcPr>
            <w:tcW w:w="1321" w:type="dxa"/>
            <w:shd w:val="clear" w:color="auto" w:fill="BFD730"/>
            <w:noWrap/>
            <w:tcMar>
              <w:top w:w="0" w:type="dxa"/>
              <w:left w:w="108" w:type="dxa"/>
              <w:bottom w:w="0" w:type="dxa"/>
              <w:right w:w="108" w:type="dxa"/>
            </w:tcMar>
            <w:vAlign w:val="bottom"/>
            <w:hideMark/>
          </w:tcPr>
          <w:p w14:paraId="2943D4ED"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9403</w:t>
            </w:r>
          </w:p>
        </w:tc>
        <w:tc>
          <w:tcPr>
            <w:tcW w:w="1086" w:type="dxa"/>
            <w:shd w:val="clear" w:color="auto" w:fill="BFD730"/>
            <w:noWrap/>
            <w:tcMar>
              <w:top w:w="0" w:type="dxa"/>
              <w:left w:w="108" w:type="dxa"/>
              <w:bottom w:w="0" w:type="dxa"/>
              <w:right w:w="108" w:type="dxa"/>
            </w:tcMar>
            <w:vAlign w:val="bottom"/>
            <w:hideMark/>
          </w:tcPr>
          <w:p w14:paraId="2A4C4F0E"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9542</w:t>
            </w:r>
          </w:p>
        </w:tc>
        <w:tc>
          <w:tcPr>
            <w:tcW w:w="1150" w:type="dxa"/>
            <w:shd w:val="clear" w:color="auto" w:fill="BFD730"/>
            <w:noWrap/>
            <w:tcMar>
              <w:top w:w="0" w:type="dxa"/>
              <w:left w:w="108" w:type="dxa"/>
              <w:bottom w:w="0" w:type="dxa"/>
              <w:right w:w="108" w:type="dxa"/>
            </w:tcMar>
            <w:vAlign w:val="bottom"/>
            <w:hideMark/>
          </w:tcPr>
          <w:p w14:paraId="4C81A673"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9,5%</w:t>
            </w:r>
          </w:p>
        </w:tc>
        <w:tc>
          <w:tcPr>
            <w:tcW w:w="1044" w:type="dxa"/>
            <w:shd w:val="clear" w:color="auto" w:fill="BFD730"/>
            <w:noWrap/>
            <w:tcMar>
              <w:top w:w="0" w:type="dxa"/>
              <w:left w:w="108" w:type="dxa"/>
              <w:bottom w:w="0" w:type="dxa"/>
              <w:right w:w="108" w:type="dxa"/>
            </w:tcMar>
            <w:vAlign w:val="bottom"/>
            <w:hideMark/>
          </w:tcPr>
          <w:p w14:paraId="24DB65DE"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4,3%</w:t>
            </w:r>
          </w:p>
        </w:tc>
      </w:tr>
      <w:tr w:rsidR="00B07F4B" w14:paraId="6D748498" w14:textId="77777777" w:rsidTr="00B07F4B">
        <w:trPr>
          <w:trHeight w:val="294"/>
        </w:trPr>
        <w:tc>
          <w:tcPr>
            <w:tcW w:w="1191" w:type="dxa"/>
            <w:tcMar>
              <w:top w:w="0" w:type="dxa"/>
              <w:left w:w="108" w:type="dxa"/>
              <w:bottom w:w="0" w:type="dxa"/>
              <w:right w:w="108" w:type="dxa"/>
            </w:tcMar>
            <w:vAlign w:val="bottom"/>
            <w:hideMark/>
          </w:tcPr>
          <w:p w14:paraId="13C3D2A7"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Nov-21</w:t>
            </w:r>
          </w:p>
        </w:tc>
        <w:tc>
          <w:tcPr>
            <w:tcW w:w="1192" w:type="dxa"/>
            <w:shd w:val="clear" w:color="auto" w:fill="F58220"/>
            <w:noWrap/>
            <w:tcMar>
              <w:top w:w="0" w:type="dxa"/>
              <w:left w:w="108" w:type="dxa"/>
              <w:bottom w:w="0" w:type="dxa"/>
              <w:right w:w="108" w:type="dxa"/>
            </w:tcMar>
            <w:vAlign w:val="bottom"/>
            <w:hideMark/>
          </w:tcPr>
          <w:p w14:paraId="5A7503C5"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14827</w:t>
            </w:r>
          </w:p>
        </w:tc>
        <w:tc>
          <w:tcPr>
            <w:tcW w:w="1156" w:type="dxa"/>
            <w:shd w:val="clear" w:color="auto" w:fill="F58220"/>
            <w:noWrap/>
            <w:tcMar>
              <w:top w:w="0" w:type="dxa"/>
              <w:left w:w="108" w:type="dxa"/>
              <w:bottom w:w="0" w:type="dxa"/>
              <w:right w:w="108" w:type="dxa"/>
            </w:tcMar>
            <w:vAlign w:val="bottom"/>
            <w:hideMark/>
          </w:tcPr>
          <w:p w14:paraId="561E71C2"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15286</w:t>
            </w:r>
          </w:p>
        </w:tc>
        <w:tc>
          <w:tcPr>
            <w:tcW w:w="1145" w:type="dxa"/>
            <w:shd w:val="clear" w:color="auto" w:fill="F58220"/>
            <w:noWrap/>
            <w:tcMar>
              <w:top w:w="0" w:type="dxa"/>
              <w:left w:w="108" w:type="dxa"/>
              <w:bottom w:w="0" w:type="dxa"/>
              <w:right w:w="108" w:type="dxa"/>
            </w:tcMar>
            <w:vAlign w:val="bottom"/>
            <w:hideMark/>
          </w:tcPr>
          <w:p w14:paraId="68FF0D78"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0,1%</w:t>
            </w:r>
          </w:p>
        </w:tc>
        <w:tc>
          <w:tcPr>
            <w:tcW w:w="959" w:type="dxa"/>
            <w:shd w:val="clear" w:color="auto" w:fill="F58220"/>
            <w:noWrap/>
            <w:tcMar>
              <w:top w:w="0" w:type="dxa"/>
              <w:left w:w="108" w:type="dxa"/>
              <w:bottom w:w="0" w:type="dxa"/>
              <w:right w:w="108" w:type="dxa"/>
            </w:tcMar>
            <w:vAlign w:val="bottom"/>
            <w:hideMark/>
          </w:tcPr>
          <w:p w14:paraId="1BB4A750"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-4,7%</w:t>
            </w:r>
          </w:p>
        </w:tc>
        <w:tc>
          <w:tcPr>
            <w:tcW w:w="1321" w:type="dxa"/>
            <w:shd w:val="clear" w:color="auto" w:fill="BFD730"/>
            <w:noWrap/>
            <w:tcMar>
              <w:top w:w="0" w:type="dxa"/>
              <w:left w:w="108" w:type="dxa"/>
              <w:bottom w:w="0" w:type="dxa"/>
              <w:right w:w="108" w:type="dxa"/>
            </w:tcMar>
            <w:vAlign w:val="bottom"/>
            <w:hideMark/>
          </w:tcPr>
          <w:p w14:paraId="7C835F0E"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9291</w:t>
            </w:r>
          </w:p>
        </w:tc>
        <w:tc>
          <w:tcPr>
            <w:tcW w:w="1086" w:type="dxa"/>
            <w:shd w:val="clear" w:color="auto" w:fill="BFD730"/>
            <w:noWrap/>
            <w:tcMar>
              <w:top w:w="0" w:type="dxa"/>
              <w:left w:w="108" w:type="dxa"/>
              <w:bottom w:w="0" w:type="dxa"/>
              <w:right w:w="108" w:type="dxa"/>
            </w:tcMar>
            <w:vAlign w:val="bottom"/>
            <w:hideMark/>
          </w:tcPr>
          <w:p w14:paraId="56E2A8BA"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9460</w:t>
            </w:r>
          </w:p>
        </w:tc>
        <w:tc>
          <w:tcPr>
            <w:tcW w:w="1150" w:type="dxa"/>
            <w:shd w:val="clear" w:color="auto" w:fill="BFD730"/>
            <w:noWrap/>
            <w:tcMar>
              <w:top w:w="0" w:type="dxa"/>
              <w:left w:w="108" w:type="dxa"/>
              <w:bottom w:w="0" w:type="dxa"/>
              <w:right w:w="108" w:type="dxa"/>
            </w:tcMar>
            <w:vAlign w:val="bottom"/>
            <w:hideMark/>
          </w:tcPr>
          <w:p w14:paraId="506FBF29"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6,6%</w:t>
            </w:r>
          </w:p>
        </w:tc>
        <w:tc>
          <w:tcPr>
            <w:tcW w:w="1044" w:type="dxa"/>
            <w:shd w:val="clear" w:color="auto" w:fill="BFD730"/>
            <w:noWrap/>
            <w:tcMar>
              <w:top w:w="0" w:type="dxa"/>
              <w:left w:w="108" w:type="dxa"/>
              <w:bottom w:w="0" w:type="dxa"/>
              <w:right w:w="108" w:type="dxa"/>
            </w:tcMar>
            <w:vAlign w:val="bottom"/>
            <w:hideMark/>
          </w:tcPr>
          <w:p w14:paraId="6A056EB2"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1,5%</w:t>
            </w:r>
          </w:p>
        </w:tc>
      </w:tr>
      <w:tr w:rsidR="00B07F4B" w14:paraId="0E23DAA9" w14:textId="77777777" w:rsidTr="00B07F4B">
        <w:trPr>
          <w:trHeight w:val="294"/>
        </w:trPr>
        <w:tc>
          <w:tcPr>
            <w:tcW w:w="1191" w:type="dxa"/>
            <w:tcMar>
              <w:top w:w="0" w:type="dxa"/>
              <w:left w:w="108" w:type="dxa"/>
              <w:bottom w:w="0" w:type="dxa"/>
              <w:right w:w="108" w:type="dxa"/>
            </w:tcMar>
            <w:vAlign w:val="bottom"/>
            <w:hideMark/>
          </w:tcPr>
          <w:p w14:paraId="2A0FA492"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Dec-21</w:t>
            </w:r>
          </w:p>
        </w:tc>
        <w:tc>
          <w:tcPr>
            <w:tcW w:w="1192" w:type="dxa"/>
            <w:shd w:val="clear" w:color="auto" w:fill="F58220"/>
            <w:noWrap/>
            <w:tcMar>
              <w:top w:w="0" w:type="dxa"/>
              <w:left w:w="108" w:type="dxa"/>
              <w:bottom w:w="0" w:type="dxa"/>
              <w:right w:w="108" w:type="dxa"/>
            </w:tcMar>
            <w:vAlign w:val="bottom"/>
            <w:hideMark/>
          </w:tcPr>
          <w:p w14:paraId="35293780"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15382</w:t>
            </w:r>
          </w:p>
        </w:tc>
        <w:tc>
          <w:tcPr>
            <w:tcW w:w="1156" w:type="dxa"/>
            <w:shd w:val="clear" w:color="auto" w:fill="F58220"/>
            <w:noWrap/>
            <w:tcMar>
              <w:top w:w="0" w:type="dxa"/>
              <w:left w:w="108" w:type="dxa"/>
              <w:bottom w:w="0" w:type="dxa"/>
              <w:right w:w="108" w:type="dxa"/>
            </w:tcMar>
            <w:vAlign w:val="bottom"/>
            <w:hideMark/>
          </w:tcPr>
          <w:p w14:paraId="094307C3"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15466</w:t>
            </w:r>
          </w:p>
        </w:tc>
        <w:tc>
          <w:tcPr>
            <w:tcW w:w="1145" w:type="dxa"/>
            <w:shd w:val="clear" w:color="auto" w:fill="F58220"/>
            <w:noWrap/>
            <w:tcMar>
              <w:top w:w="0" w:type="dxa"/>
              <w:left w:w="108" w:type="dxa"/>
              <w:bottom w:w="0" w:type="dxa"/>
              <w:right w:w="108" w:type="dxa"/>
            </w:tcMar>
            <w:vAlign w:val="bottom"/>
            <w:hideMark/>
          </w:tcPr>
          <w:p w14:paraId="6B8D8AA5"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0,0%</w:t>
            </w:r>
          </w:p>
        </w:tc>
        <w:tc>
          <w:tcPr>
            <w:tcW w:w="959" w:type="dxa"/>
            <w:shd w:val="clear" w:color="auto" w:fill="F58220"/>
            <w:noWrap/>
            <w:tcMar>
              <w:top w:w="0" w:type="dxa"/>
              <w:left w:w="108" w:type="dxa"/>
              <w:bottom w:w="0" w:type="dxa"/>
              <w:right w:w="108" w:type="dxa"/>
            </w:tcMar>
            <w:vAlign w:val="bottom"/>
            <w:hideMark/>
          </w:tcPr>
          <w:p w14:paraId="300CCEBC"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-5,2%</w:t>
            </w:r>
          </w:p>
        </w:tc>
        <w:tc>
          <w:tcPr>
            <w:tcW w:w="1321" w:type="dxa"/>
            <w:shd w:val="clear" w:color="auto" w:fill="BFD730"/>
            <w:noWrap/>
            <w:tcMar>
              <w:top w:w="0" w:type="dxa"/>
              <w:left w:w="108" w:type="dxa"/>
              <w:bottom w:w="0" w:type="dxa"/>
              <w:right w:w="108" w:type="dxa"/>
            </w:tcMar>
            <w:vAlign w:val="bottom"/>
            <w:hideMark/>
          </w:tcPr>
          <w:p w14:paraId="7663C042"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9360</w:t>
            </w:r>
          </w:p>
        </w:tc>
        <w:tc>
          <w:tcPr>
            <w:tcW w:w="1086" w:type="dxa"/>
            <w:shd w:val="clear" w:color="auto" w:fill="BFD730"/>
            <w:noWrap/>
            <w:tcMar>
              <w:top w:w="0" w:type="dxa"/>
              <w:left w:w="108" w:type="dxa"/>
              <w:bottom w:w="0" w:type="dxa"/>
              <w:right w:w="108" w:type="dxa"/>
            </w:tcMar>
            <w:vAlign w:val="bottom"/>
            <w:hideMark/>
          </w:tcPr>
          <w:p w14:paraId="6BD3AC7E"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9480</w:t>
            </w:r>
          </w:p>
        </w:tc>
        <w:tc>
          <w:tcPr>
            <w:tcW w:w="1150" w:type="dxa"/>
            <w:shd w:val="clear" w:color="auto" w:fill="BFD730"/>
            <w:noWrap/>
            <w:tcMar>
              <w:top w:w="0" w:type="dxa"/>
              <w:left w:w="108" w:type="dxa"/>
              <w:bottom w:w="0" w:type="dxa"/>
              <w:right w:w="108" w:type="dxa"/>
            </w:tcMar>
            <w:vAlign w:val="bottom"/>
            <w:hideMark/>
          </w:tcPr>
          <w:p w14:paraId="328D5C2E"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7,1%</w:t>
            </w:r>
          </w:p>
        </w:tc>
        <w:tc>
          <w:tcPr>
            <w:tcW w:w="1044" w:type="dxa"/>
            <w:shd w:val="clear" w:color="auto" w:fill="BFD730"/>
            <w:noWrap/>
            <w:tcMar>
              <w:top w:w="0" w:type="dxa"/>
              <w:left w:w="108" w:type="dxa"/>
              <w:bottom w:w="0" w:type="dxa"/>
              <w:right w:w="108" w:type="dxa"/>
            </w:tcMar>
            <w:vAlign w:val="bottom"/>
            <w:hideMark/>
          </w:tcPr>
          <w:p w14:paraId="741614AB"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1,7%</w:t>
            </w:r>
          </w:p>
        </w:tc>
      </w:tr>
      <w:tr w:rsidR="00B07F4B" w14:paraId="2836790A" w14:textId="77777777" w:rsidTr="00B07F4B">
        <w:trPr>
          <w:trHeight w:val="294"/>
        </w:trPr>
        <w:tc>
          <w:tcPr>
            <w:tcW w:w="1191" w:type="dxa"/>
            <w:tcMar>
              <w:top w:w="0" w:type="dxa"/>
              <w:left w:w="108" w:type="dxa"/>
              <w:bottom w:w="0" w:type="dxa"/>
              <w:right w:w="108" w:type="dxa"/>
            </w:tcMar>
            <w:vAlign w:val="bottom"/>
            <w:hideMark/>
          </w:tcPr>
          <w:p w14:paraId="108846A9"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Jan-22</w:t>
            </w:r>
          </w:p>
        </w:tc>
        <w:tc>
          <w:tcPr>
            <w:tcW w:w="1192" w:type="dxa"/>
            <w:shd w:val="clear" w:color="auto" w:fill="F58220"/>
            <w:noWrap/>
            <w:tcMar>
              <w:top w:w="0" w:type="dxa"/>
              <w:left w:w="108" w:type="dxa"/>
              <w:bottom w:w="0" w:type="dxa"/>
              <w:right w:w="108" w:type="dxa"/>
            </w:tcMar>
            <w:vAlign w:val="bottom"/>
            <w:hideMark/>
          </w:tcPr>
          <w:p w14:paraId="570B7CE3"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15755</w:t>
            </w:r>
          </w:p>
        </w:tc>
        <w:tc>
          <w:tcPr>
            <w:tcW w:w="1156" w:type="dxa"/>
            <w:shd w:val="clear" w:color="auto" w:fill="F58220"/>
            <w:noWrap/>
            <w:tcMar>
              <w:top w:w="0" w:type="dxa"/>
              <w:left w:w="108" w:type="dxa"/>
              <w:bottom w:w="0" w:type="dxa"/>
              <w:right w:w="108" w:type="dxa"/>
            </w:tcMar>
            <w:vAlign w:val="bottom"/>
            <w:hideMark/>
          </w:tcPr>
          <w:p w14:paraId="6EC2F2D8"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15449</w:t>
            </w:r>
          </w:p>
        </w:tc>
        <w:tc>
          <w:tcPr>
            <w:tcW w:w="1145" w:type="dxa"/>
            <w:shd w:val="clear" w:color="auto" w:fill="F58220"/>
            <w:noWrap/>
            <w:tcMar>
              <w:top w:w="0" w:type="dxa"/>
              <w:left w:w="108" w:type="dxa"/>
              <w:bottom w:w="0" w:type="dxa"/>
              <w:right w:w="108" w:type="dxa"/>
            </w:tcMar>
            <w:vAlign w:val="bottom"/>
            <w:hideMark/>
          </w:tcPr>
          <w:p w14:paraId="47EB3544"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0,9%</w:t>
            </w:r>
          </w:p>
        </w:tc>
        <w:tc>
          <w:tcPr>
            <w:tcW w:w="959" w:type="dxa"/>
            <w:shd w:val="clear" w:color="auto" w:fill="F58220"/>
            <w:noWrap/>
            <w:tcMar>
              <w:top w:w="0" w:type="dxa"/>
              <w:left w:w="108" w:type="dxa"/>
              <w:bottom w:w="0" w:type="dxa"/>
              <w:right w:w="108" w:type="dxa"/>
            </w:tcMar>
            <w:vAlign w:val="bottom"/>
            <w:hideMark/>
          </w:tcPr>
          <w:p w14:paraId="256741A7"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-4,4%</w:t>
            </w:r>
          </w:p>
        </w:tc>
        <w:tc>
          <w:tcPr>
            <w:tcW w:w="1321" w:type="dxa"/>
            <w:shd w:val="clear" w:color="auto" w:fill="BFD730"/>
            <w:noWrap/>
            <w:tcMar>
              <w:top w:w="0" w:type="dxa"/>
              <w:left w:w="108" w:type="dxa"/>
              <w:bottom w:w="0" w:type="dxa"/>
              <w:right w:w="108" w:type="dxa"/>
            </w:tcMar>
            <w:vAlign w:val="bottom"/>
            <w:hideMark/>
          </w:tcPr>
          <w:p w14:paraId="054E763E"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9356</w:t>
            </w:r>
          </w:p>
        </w:tc>
        <w:tc>
          <w:tcPr>
            <w:tcW w:w="1086" w:type="dxa"/>
            <w:shd w:val="clear" w:color="auto" w:fill="BFD730"/>
            <w:noWrap/>
            <w:tcMar>
              <w:top w:w="0" w:type="dxa"/>
              <w:left w:w="108" w:type="dxa"/>
              <w:bottom w:w="0" w:type="dxa"/>
              <w:right w:w="108" w:type="dxa"/>
            </w:tcMar>
            <w:vAlign w:val="bottom"/>
            <w:hideMark/>
          </w:tcPr>
          <w:p w14:paraId="2E1AE272"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9465</w:t>
            </w:r>
          </w:p>
        </w:tc>
        <w:tc>
          <w:tcPr>
            <w:tcW w:w="1150" w:type="dxa"/>
            <w:shd w:val="clear" w:color="auto" w:fill="BFD730"/>
            <w:noWrap/>
            <w:tcMar>
              <w:top w:w="0" w:type="dxa"/>
              <w:left w:w="108" w:type="dxa"/>
              <w:bottom w:w="0" w:type="dxa"/>
              <w:right w:w="108" w:type="dxa"/>
            </w:tcMar>
            <w:vAlign w:val="bottom"/>
            <w:hideMark/>
          </w:tcPr>
          <w:p w14:paraId="586DF28C"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5,4%</w:t>
            </w:r>
          </w:p>
        </w:tc>
        <w:tc>
          <w:tcPr>
            <w:tcW w:w="1044" w:type="dxa"/>
            <w:shd w:val="clear" w:color="auto" w:fill="BFD730"/>
            <w:noWrap/>
            <w:tcMar>
              <w:top w:w="0" w:type="dxa"/>
              <w:left w:w="108" w:type="dxa"/>
              <w:bottom w:w="0" w:type="dxa"/>
              <w:right w:w="108" w:type="dxa"/>
            </w:tcMar>
            <w:vAlign w:val="bottom"/>
            <w:hideMark/>
          </w:tcPr>
          <w:p w14:paraId="0CFEDB79"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-0,5%</w:t>
            </w:r>
          </w:p>
        </w:tc>
      </w:tr>
      <w:tr w:rsidR="00B07F4B" w14:paraId="1358760E" w14:textId="77777777" w:rsidTr="00B07F4B">
        <w:trPr>
          <w:trHeight w:val="294"/>
        </w:trPr>
        <w:tc>
          <w:tcPr>
            <w:tcW w:w="1191" w:type="dxa"/>
            <w:tcMar>
              <w:top w:w="0" w:type="dxa"/>
              <w:left w:w="108" w:type="dxa"/>
              <w:bottom w:w="0" w:type="dxa"/>
              <w:right w:w="108" w:type="dxa"/>
            </w:tcMar>
            <w:vAlign w:val="bottom"/>
            <w:hideMark/>
          </w:tcPr>
          <w:p w14:paraId="4CCE446E"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Feb-22</w:t>
            </w:r>
          </w:p>
        </w:tc>
        <w:tc>
          <w:tcPr>
            <w:tcW w:w="1192" w:type="dxa"/>
            <w:shd w:val="clear" w:color="auto" w:fill="F58220"/>
            <w:noWrap/>
            <w:tcMar>
              <w:top w:w="0" w:type="dxa"/>
              <w:left w:w="108" w:type="dxa"/>
              <w:bottom w:w="0" w:type="dxa"/>
              <w:right w:w="108" w:type="dxa"/>
            </w:tcMar>
            <w:vAlign w:val="bottom"/>
            <w:hideMark/>
          </w:tcPr>
          <w:p w14:paraId="20241AF6"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16022</w:t>
            </w:r>
          </w:p>
        </w:tc>
        <w:tc>
          <w:tcPr>
            <w:tcW w:w="1156" w:type="dxa"/>
            <w:shd w:val="clear" w:color="auto" w:fill="F58220"/>
            <w:noWrap/>
            <w:tcMar>
              <w:top w:w="0" w:type="dxa"/>
              <w:left w:w="108" w:type="dxa"/>
              <w:bottom w:w="0" w:type="dxa"/>
              <w:right w:w="108" w:type="dxa"/>
            </w:tcMar>
            <w:vAlign w:val="bottom"/>
            <w:hideMark/>
          </w:tcPr>
          <w:p w14:paraId="242B1188"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15517</w:t>
            </w:r>
          </w:p>
        </w:tc>
        <w:tc>
          <w:tcPr>
            <w:tcW w:w="1145" w:type="dxa"/>
            <w:shd w:val="clear" w:color="auto" w:fill="F58220"/>
            <w:noWrap/>
            <w:tcMar>
              <w:top w:w="0" w:type="dxa"/>
              <w:left w:w="108" w:type="dxa"/>
              <w:bottom w:w="0" w:type="dxa"/>
              <w:right w:w="108" w:type="dxa"/>
            </w:tcMar>
            <w:vAlign w:val="bottom"/>
            <w:hideMark/>
          </w:tcPr>
          <w:p w14:paraId="234C50CB"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1,3%</w:t>
            </w:r>
          </w:p>
        </w:tc>
        <w:tc>
          <w:tcPr>
            <w:tcW w:w="959" w:type="dxa"/>
            <w:shd w:val="clear" w:color="auto" w:fill="F58220"/>
            <w:noWrap/>
            <w:tcMar>
              <w:top w:w="0" w:type="dxa"/>
              <w:left w:w="108" w:type="dxa"/>
              <w:bottom w:w="0" w:type="dxa"/>
              <w:right w:w="108" w:type="dxa"/>
            </w:tcMar>
            <w:vAlign w:val="bottom"/>
            <w:hideMark/>
          </w:tcPr>
          <w:p w14:paraId="41C4530A"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-4,1%</w:t>
            </w:r>
          </w:p>
        </w:tc>
        <w:tc>
          <w:tcPr>
            <w:tcW w:w="1321" w:type="dxa"/>
            <w:shd w:val="clear" w:color="auto" w:fill="BFD730"/>
            <w:noWrap/>
            <w:tcMar>
              <w:top w:w="0" w:type="dxa"/>
              <w:left w:w="108" w:type="dxa"/>
              <w:bottom w:w="0" w:type="dxa"/>
              <w:right w:w="108" w:type="dxa"/>
            </w:tcMar>
            <w:vAlign w:val="bottom"/>
            <w:hideMark/>
          </w:tcPr>
          <w:p w14:paraId="23B27190" w14:textId="77777777" w:rsidR="00B07F4B" w:rsidRPr="00B07F4B" w:rsidRDefault="00B07F4B" w:rsidP="00B07F4B">
            <w:pPr>
              <w:spacing w:after="0" w:line="240" w:lineRule="auto"/>
              <w:rPr>
                <w:rFonts w:cstheme="minorHAnsi"/>
                <w:b/>
                <w:bCs/>
                <w:color w:val="000000"/>
                <w:lang w:eastAsia="en-ZA"/>
              </w:rPr>
            </w:pPr>
            <w:r w:rsidRPr="00B07F4B">
              <w:rPr>
                <w:rFonts w:cstheme="minorHAnsi"/>
                <w:b/>
                <w:bCs/>
                <w:lang w:eastAsia="en-ZA"/>
              </w:rPr>
              <w:t>9821</w:t>
            </w:r>
          </w:p>
        </w:tc>
        <w:tc>
          <w:tcPr>
            <w:tcW w:w="1086" w:type="dxa"/>
            <w:shd w:val="clear" w:color="auto" w:fill="BFD730"/>
            <w:noWrap/>
            <w:tcMar>
              <w:top w:w="0" w:type="dxa"/>
              <w:left w:w="108" w:type="dxa"/>
              <w:bottom w:w="0" w:type="dxa"/>
              <w:right w:w="108" w:type="dxa"/>
            </w:tcMar>
            <w:vAlign w:val="bottom"/>
            <w:hideMark/>
          </w:tcPr>
          <w:p w14:paraId="0FBB6D5E"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9667</w:t>
            </w:r>
          </w:p>
        </w:tc>
        <w:tc>
          <w:tcPr>
            <w:tcW w:w="1150" w:type="dxa"/>
            <w:shd w:val="clear" w:color="auto" w:fill="BFD730"/>
            <w:noWrap/>
            <w:tcMar>
              <w:top w:w="0" w:type="dxa"/>
              <w:left w:w="108" w:type="dxa"/>
              <w:bottom w:w="0" w:type="dxa"/>
              <w:right w:w="108" w:type="dxa"/>
            </w:tcMar>
            <w:vAlign w:val="bottom"/>
            <w:hideMark/>
          </w:tcPr>
          <w:p w14:paraId="245F70A3"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6,2%</w:t>
            </w:r>
          </w:p>
        </w:tc>
        <w:tc>
          <w:tcPr>
            <w:tcW w:w="1044" w:type="dxa"/>
            <w:shd w:val="clear" w:color="auto" w:fill="BFD730"/>
            <w:noWrap/>
            <w:tcMar>
              <w:top w:w="0" w:type="dxa"/>
              <w:left w:w="108" w:type="dxa"/>
              <w:bottom w:w="0" w:type="dxa"/>
              <w:right w:w="108" w:type="dxa"/>
            </w:tcMar>
            <w:vAlign w:val="bottom"/>
            <w:hideMark/>
          </w:tcPr>
          <w:p w14:paraId="7C70ED9C" w14:textId="77777777" w:rsidR="00B07F4B" w:rsidRPr="00B07F4B" w:rsidRDefault="00B07F4B" w:rsidP="00B07F4B">
            <w:pPr>
              <w:spacing w:after="0" w:line="240" w:lineRule="auto"/>
              <w:rPr>
                <w:rFonts w:cstheme="minorHAnsi"/>
                <w:b/>
                <w:bCs/>
                <w:lang w:eastAsia="en-ZA"/>
              </w:rPr>
            </w:pPr>
            <w:r w:rsidRPr="00B07F4B">
              <w:rPr>
                <w:rFonts w:cstheme="minorHAnsi"/>
                <w:b/>
                <w:bCs/>
                <w:lang w:eastAsia="en-ZA"/>
              </w:rPr>
              <w:t>0,5%</w:t>
            </w:r>
          </w:p>
        </w:tc>
      </w:tr>
    </w:tbl>
    <w:p w14:paraId="7A2DAE8F" w14:textId="0DF616F4" w:rsidR="00E97A60" w:rsidRPr="00DB2707" w:rsidRDefault="000868E5" w:rsidP="00DB2707">
      <w:pPr>
        <w:rPr>
          <w:rFonts w:ascii="Tahoma" w:hAnsi="Tahoma" w:cs="Tahoma"/>
          <w:color w:val="333333"/>
          <w:sz w:val="21"/>
          <w:szCs w:val="21"/>
          <w:shd w:val="clear" w:color="auto" w:fill="FFFFFF"/>
        </w:rPr>
      </w:pPr>
      <w:r w:rsidRPr="00990898">
        <w:rPr>
          <w:i/>
        </w:rPr>
        <w:t>Source: BankservAfrica and economists</w:t>
      </w:r>
      <w:r w:rsidR="00A03AC7" w:rsidRPr="00990898">
        <w:rPr>
          <w:i/>
        </w:rPr>
        <w:t>.</w:t>
      </w:r>
      <w:r w:rsidRPr="00990898">
        <w:rPr>
          <w:i/>
        </w:rPr>
        <w:t>co</w:t>
      </w:r>
      <w:r w:rsidR="00A03AC7" w:rsidRPr="00990898">
        <w:rPr>
          <w:i/>
        </w:rPr>
        <w:t>.</w:t>
      </w:r>
      <w:r w:rsidRPr="00990898">
        <w:rPr>
          <w:i/>
        </w:rPr>
        <w:t>za</w:t>
      </w:r>
      <w:r w:rsidR="00064536" w:rsidRPr="00990898">
        <w:rPr>
          <w:i/>
        </w:rPr>
        <w:t xml:space="preserve"> </w:t>
      </w:r>
      <w:bookmarkEnd w:id="0"/>
    </w:p>
    <w:p w14:paraId="0D2DB30E" w14:textId="77777777" w:rsidR="00E97A60" w:rsidRDefault="00E97A60" w:rsidP="000023C1">
      <w:pPr>
        <w:pStyle w:val="Body"/>
        <w:jc w:val="both"/>
        <w:rPr>
          <w:b/>
          <w:bCs/>
          <w:sz w:val="20"/>
          <w:szCs w:val="18"/>
          <w:lang w:val="en-US"/>
        </w:rPr>
      </w:pPr>
    </w:p>
    <w:p w14:paraId="19954AFC" w14:textId="7B853FA1" w:rsidR="00C163C4" w:rsidRDefault="00C163C4" w:rsidP="000023C1">
      <w:pPr>
        <w:pStyle w:val="Body"/>
        <w:jc w:val="both"/>
        <w:rPr>
          <w:b/>
          <w:bCs/>
          <w:sz w:val="20"/>
          <w:szCs w:val="18"/>
          <w:lang w:val="en-US"/>
        </w:rPr>
      </w:pPr>
      <w:r>
        <w:rPr>
          <w:b/>
          <w:bCs/>
          <w:sz w:val="20"/>
          <w:szCs w:val="18"/>
          <w:lang w:val="en-US"/>
        </w:rPr>
        <w:t xml:space="preserve">Note to the editor about the BTPI </w:t>
      </w:r>
    </w:p>
    <w:p w14:paraId="7E088B4C" w14:textId="6DCF84A4" w:rsidR="00C163C4" w:rsidRDefault="00C163C4" w:rsidP="00A7119A">
      <w:pPr>
        <w:spacing w:after="0" w:line="240" w:lineRule="auto"/>
        <w:jc w:val="both"/>
        <w:rPr>
          <w:rFonts w:cstheme="minorHAnsi"/>
          <w:sz w:val="20"/>
        </w:rPr>
      </w:pPr>
      <w:r w:rsidRPr="00C163C4">
        <w:rPr>
          <w:rFonts w:cstheme="minorHAnsi"/>
          <w:sz w:val="20"/>
        </w:rPr>
        <w:t>The</w:t>
      </w:r>
      <w:r>
        <w:rPr>
          <w:rFonts w:cstheme="minorHAnsi"/>
          <w:sz w:val="20"/>
        </w:rPr>
        <w:t xml:space="preserve">re have been revisions to the </w:t>
      </w:r>
      <w:r w:rsidRPr="00C163C4">
        <w:rPr>
          <w:rFonts w:cstheme="minorHAnsi"/>
          <w:sz w:val="20"/>
        </w:rPr>
        <w:t>BTPI due to a change in the South African National Payment System</w:t>
      </w:r>
      <w:r>
        <w:rPr>
          <w:rFonts w:cstheme="minorHAnsi"/>
          <w:sz w:val="20"/>
        </w:rPr>
        <w:t xml:space="preserve"> (NPS), which now excludes all </w:t>
      </w:r>
      <w:r w:rsidRPr="00C163C4">
        <w:rPr>
          <w:rFonts w:cstheme="minorHAnsi"/>
          <w:sz w:val="20"/>
        </w:rPr>
        <w:t xml:space="preserve">salary payments from other </w:t>
      </w:r>
      <w:r>
        <w:rPr>
          <w:rFonts w:cstheme="minorHAnsi"/>
          <w:sz w:val="20"/>
        </w:rPr>
        <w:t xml:space="preserve">Southern African Customs Union </w:t>
      </w:r>
      <w:r w:rsidRPr="00C163C4">
        <w:rPr>
          <w:rFonts w:cstheme="minorHAnsi"/>
          <w:sz w:val="20"/>
        </w:rPr>
        <w:t>member countries in the Common Monetary Area (CMA)</w:t>
      </w:r>
      <w:r>
        <w:rPr>
          <w:rFonts w:cstheme="minorHAnsi"/>
          <w:sz w:val="20"/>
        </w:rPr>
        <w:t>. This occurred for the period</w:t>
      </w:r>
      <w:r w:rsidRPr="00C163C4">
        <w:rPr>
          <w:rFonts w:cstheme="minorHAnsi"/>
          <w:sz w:val="20"/>
        </w:rPr>
        <w:t xml:space="preserve"> from June 2018 onwards. Under the request by the South African Reserve Bank</w:t>
      </w:r>
      <w:r>
        <w:rPr>
          <w:rFonts w:cstheme="minorHAnsi"/>
          <w:sz w:val="20"/>
        </w:rPr>
        <w:t xml:space="preserve">, the CMA payments were removed, and, as such, this needed to </w:t>
      </w:r>
      <w:proofErr w:type="gramStart"/>
      <w:r>
        <w:rPr>
          <w:rFonts w:cstheme="minorHAnsi"/>
          <w:sz w:val="20"/>
        </w:rPr>
        <w:t>adjusted</w:t>
      </w:r>
      <w:proofErr w:type="gramEnd"/>
      <w:r>
        <w:rPr>
          <w:rFonts w:cstheme="minorHAnsi"/>
          <w:sz w:val="20"/>
        </w:rPr>
        <w:t xml:space="preserve"> accordingly in the</w:t>
      </w:r>
      <w:r w:rsidRPr="00C163C4">
        <w:rPr>
          <w:rFonts w:cstheme="minorHAnsi"/>
          <w:sz w:val="20"/>
        </w:rPr>
        <w:t xml:space="preserve"> BTPI data set. This means the historical data that included these countries were removed and adjusted. This to</w:t>
      </w:r>
      <w:r>
        <w:rPr>
          <w:rFonts w:cstheme="minorHAnsi"/>
          <w:sz w:val="20"/>
        </w:rPr>
        <w:t>ok place over more than a month</w:t>
      </w:r>
      <w:r w:rsidRPr="00C163C4">
        <w:rPr>
          <w:rFonts w:cstheme="minorHAnsi"/>
          <w:sz w:val="20"/>
        </w:rPr>
        <w:t xml:space="preserve">. We have therefore undertaken </w:t>
      </w:r>
      <w:r w:rsidRPr="00C163C4">
        <w:rPr>
          <w:rFonts w:cstheme="minorHAnsi"/>
          <w:sz w:val="20"/>
        </w:rPr>
        <w:lastRenderedPageBreak/>
        <w:t xml:space="preserve">a review of the massive decline in average wages in July 2019 – August 2019. Please also note that due to this, the September 2018 – September 2019 data </w:t>
      </w:r>
      <w:r>
        <w:rPr>
          <w:rFonts w:cstheme="minorHAnsi"/>
          <w:sz w:val="20"/>
        </w:rPr>
        <w:t xml:space="preserve">has been revised and has resulted in minor changes to the 2019 data.  </w:t>
      </w:r>
    </w:p>
    <w:p w14:paraId="4D2066D0" w14:textId="6F150E4E" w:rsidR="00A7119A" w:rsidRDefault="00A7119A" w:rsidP="00A7119A">
      <w:pPr>
        <w:spacing w:after="0" w:line="240" w:lineRule="auto"/>
        <w:jc w:val="both"/>
        <w:rPr>
          <w:rFonts w:cstheme="minorHAnsi"/>
          <w:sz w:val="20"/>
        </w:rPr>
      </w:pPr>
    </w:p>
    <w:p w14:paraId="145C9AB1" w14:textId="0F6A59ED" w:rsidR="00A57CBC" w:rsidRPr="00BD5B64" w:rsidRDefault="00A57CBC" w:rsidP="000023C1">
      <w:pPr>
        <w:pStyle w:val="Body"/>
        <w:jc w:val="both"/>
        <w:rPr>
          <w:sz w:val="24"/>
        </w:rPr>
      </w:pPr>
      <w:r w:rsidRPr="00BD5B64">
        <w:rPr>
          <w:b/>
          <w:bCs/>
          <w:sz w:val="20"/>
          <w:szCs w:val="18"/>
          <w:lang w:val="en-US"/>
        </w:rPr>
        <w:t>About BankservAfrica</w:t>
      </w:r>
    </w:p>
    <w:p w14:paraId="3FA72A8B" w14:textId="77777777" w:rsidR="00902833" w:rsidRDefault="00902833" w:rsidP="000023C1">
      <w:pPr>
        <w:spacing w:after="0" w:line="240" w:lineRule="auto"/>
        <w:rPr>
          <w:rFonts w:cstheme="minorHAnsi"/>
          <w:sz w:val="20"/>
        </w:rPr>
      </w:pPr>
      <w:r w:rsidRPr="00750192">
        <w:rPr>
          <w:rFonts w:cstheme="minorHAnsi"/>
          <w:sz w:val="20"/>
        </w:rPr>
        <w:t xml:space="preserve">BankservAfrica is the trusted payments partner and Financial Markets Infrastructure (FMI) to the financial services industry. As the largest automated payments clearing house in </w:t>
      </w:r>
      <w:proofErr w:type="gramStart"/>
      <w:r w:rsidRPr="00750192">
        <w:rPr>
          <w:rFonts w:cstheme="minorHAnsi"/>
          <w:sz w:val="20"/>
        </w:rPr>
        <w:t>Africa</w:t>
      </w:r>
      <w:proofErr w:type="gramEnd"/>
      <w:r w:rsidRPr="00750192">
        <w:rPr>
          <w:rFonts w:cstheme="minorHAnsi"/>
          <w:sz w:val="20"/>
        </w:rPr>
        <w:t xml:space="preserve"> we clear and process billions of low value card, ATM and EFT transactions annually. Our role in the South African National Payments System (NPS) is to facilitate interoperability between the banks and ensure regulatory compliance with our regulators against international banking security best practice and standards and reduces risk and complexity in the industry.</w:t>
      </w:r>
    </w:p>
    <w:p w14:paraId="0B17E09B" w14:textId="77777777" w:rsidR="000023C1" w:rsidRPr="00750192" w:rsidRDefault="000023C1" w:rsidP="000023C1">
      <w:pPr>
        <w:spacing w:after="0" w:line="240" w:lineRule="auto"/>
        <w:rPr>
          <w:rFonts w:cstheme="minorHAnsi"/>
          <w:sz w:val="20"/>
        </w:rPr>
      </w:pPr>
    </w:p>
    <w:p w14:paraId="2E104013" w14:textId="77777777" w:rsidR="00902833" w:rsidRDefault="00902833" w:rsidP="000023C1">
      <w:pPr>
        <w:spacing w:after="0" w:line="240" w:lineRule="auto"/>
        <w:rPr>
          <w:rFonts w:cstheme="minorHAnsi"/>
          <w:sz w:val="20"/>
        </w:rPr>
      </w:pPr>
      <w:r w:rsidRPr="00750192">
        <w:rPr>
          <w:rFonts w:cstheme="minorHAnsi"/>
          <w:sz w:val="20"/>
        </w:rPr>
        <w:t>We continue to strive to be a world class and pre-eminent payments operator, innovator and payments partner of choice in Africa, by simplifying our worlds through combining trusted transactions with sensitive information.</w:t>
      </w:r>
    </w:p>
    <w:p w14:paraId="4076E15C" w14:textId="77777777" w:rsidR="000023C1" w:rsidRPr="00750192" w:rsidRDefault="000023C1" w:rsidP="000023C1">
      <w:pPr>
        <w:spacing w:after="0" w:line="240" w:lineRule="auto"/>
        <w:rPr>
          <w:rFonts w:cstheme="minorHAnsi"/>
          <w:sz w:val="20"/>
        </w:rPr>
      </w:pPr>
    </w:p>
    <w:p w14:paraId="2BB052B3" w14:textId="77777777" w:rsidR="00902833" w:rsidRDefault="00902833" w:rsidP="000023C1">
      <w:pPr>
        <w:spacing w:after="0" w:line="240" w:lineRule="auto"/>
        <w:rPr>
          <w:rFonts w:cstheme="minorHAnsi"/>
          <w:sz w:val="20"/>
        </w:rPr>
      </w:pPr>
      <w:r w:rsidRPr="00750192">
        <w:rPr>
          <w:rFonts w:cstheme="minorHAnsi"/>
          <w:sz w:val="20"/>
        </w:rPr>
        <w:t>BankservAfrica’s national responsibility is to provide safe financial payment services for 56.7 million South Africans, irrespective of their location in partnership with our shareholders and partners.</w:t>
      </w:r>
    </w:p>
    <w:p w14:paraId="2661736C" w14:textId="77777777" w:rsidR="000023C1" w:rsidRPr="00750192" w:rsidRDefault="000023C1" w:rsidP="000023C1">
      <w:pPr>
        <w:spacing w:after="0" w:line="240" w:lineRule="auto"/>
        <w:rPr>
          <w:rFonts w:cstheme="minorHAnsi"/>
          <w:sz w:val="20"/>
        </w:rPr>
      </w:pPr>
    </w:p>
    <w:p w14:paraId="0395BA46" w14:textId="29EF4F91" w:rsidR="00C64143" w:rsidRPr="00902833" w:rsidRDefault="00902833" w:rsidP="000023C1">
      <w:pPr>
        <w:spacing w:after="0" w:line="240" w:lineRule="auto"/>
        <w:rPr>
          <w:rFonts w:cstheme="minorHAnsi"/>
          <w:sz w:val="20"/>
        </w:rPr>
      </w:pPr>
      <w:r w:rsidRPr="00750192">
        <w:rPr>
          <w:rFonts w:cstheme="minorHAnsi"/>
          <w:sz w:val="20"/>
        </w:rPr>
        <w:t>With a 4</w:t>
      </w:r>
      <w:r w:rsidR="00D1282A">
        <w:rPr>
          <w:rFonts w:cstheme="minorHAnsi"/>
          <w:sz w:val="20"/>
        </w:rPr>
        <w:t>9</w:t>
      </w:r>
      <w:r w:rsidRPr="00750192">
        <w:rPr>
          <w:rFonts w:cstheme="minorHAnsi"/>
          <w:sz w:val="20"/>
        </w:rPr>
        <w:t>-year history in South Africa, BankservAfrica operates 24/7, 365 days a year and delivers on very strong SLAs.</w:t>
      </w:r>
    </w:p>
    <w:sectPr w:rsidR="00C64143" w:rsidRPr="00902833" w:rsidSect="005733C9">
      <w:head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B6613" w14:textId="77777777" w:rsidR="00886AAA" w:rsidRDefault="00886AAA" w:rsidP="000B7A1E">
      <w:pPr>
        <w:spacing w:after="0" w:line="240" w:lineRule="auto"/>
      </w:pPr>
      <w:r>
        <w:separator/>
      </w:r>
    </w:p>
  </w:endnote>
  <w:endnote w:type="continuationSeparator" w:id="0">
    <w:p w14:paraId="4D739283" w14:textId="77777777" w:rsidR="00886AAA" w:rsidRDefault="00886AAA" w:rsidP="000B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D425D" w14:textId="77777777" w:rsidR="00886AAA" w:rsidRDefault="00886AAA" w:rsidP="000B7A1E">
      <w:pPr>
        <w:spacing w:after="0" w:line="240" w:lineRule="auto"/>
      </w:pPr>
      <w:r>
        <w:separator/>
      </w:r>
    </w:p>
  </w:footnote>
  <w:footnote w:type="continuationSeparator" w:id="0">
    <w:p w14:paraId="6E24A90F" w14:textId="77777777" w:rsidR="00886AAA" w:rsidRDefault="00886AAA" w:rsidP="000B7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23CE" w14:textId="77777777" w:rsidR="00A26E39" w:rsidRDefault="00A26E39">
    <w:pPr>
      <w:pStyle w:val="Header"/>
    </w:pPr>
    <w:r>
      <w:rPr>
        <w:noProof/>
        <w:lang w:eastAsia="en-ZA"/>
      </w:rPr>
      <w:drawing>
        <wp:inline distT="0" distB="0" distL="0" distR="0" wp14:anchorId="22D06FFF" wp14:editId="31655FE1">
          <wp:extent cx="2209800" cy="647700"/>
          <wp:effectExtent l="0" t="0" r="0" b="0"/>
          <wp:docPr id="2" name="Picture 2" descr="BANKSE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KSE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3DD1"/>
    <w:multiLevelType w:val="hybridMultilevel"/>
    <w:tmpl w:val="BCB6484A"/>
    <w:lvl w:ilvl="0" w:tplc="FAB82B54">
      <w:numFmt w:val="bullet"/>
      <w:lvlText w:val=""/>
      <w:lvlJc w:val="left"/>
      <w:pPr>
        <w:ind w:left="410" w:hanging="360"/>
      </w:pPr>
      <w:rPr>
        <w:rFonts w:ascii="Symbol" w:eastAsiaTheme="minorHAnsi" w:hAnsi="Symbol" w:cstheme="minorBid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abstractNum w:abstractNumId="1" w15:restartNumberingAfterBreak="0">
    <w:nsid w:val="263D3252"/>
    <w:multiLevelType w:val="hybridMultilevel"/>
    <w:tmpl w:val="8124D1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2291E2A"/>
    <w:multiLevelType w:val="hybridMultilevel"/>
    <w:tmpl w:val="DAA489C2"/>
    <w:lvl w:ilvl="0" w:tplc="8C0C4F5C">
      <w:start w:val="7"/>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QzNTU1MDc2NjQ0MjJR0lEKTi0uzszPAykwqwUAf0PThiwAAAA="/>
  </w:docVars>
  <w:rsids>
    <w:rsidRoot w:val="00D97AD8"/>
    <w:rsid w:val="00000370"/>
    <w:rsid w:val="000004E5"/>
    <w:rsid w:val="00000C79"/>
    <w:rsid w:val="000023C1"/>
    <w:rsid w:val="00002439"/>
    <w:rsid w:val="00002C52"/>
    <w:rsid w:val="00004052"/>
    <w:rsid w:val="00004C7E"/>
    <w:rsid w:val="00005775"/>
    <w:rsid w:val="00005A94"/>
    <w:rsid w:val="00005ED6"/>
    <w:rsid w:val="00006B15"/>
    <w:rsid w:val="00007913"/>
    <w:rsid w:val="00011451"/>
    <w:rsid w:val="0001163E"/>
    <w:rsid w:val="000147F1"/>
    <w:rsid w:val="00014D25"/>
    <w:rsid w:val="000166A9"/>
    <w:rsid w:val="000169F5"/>
    <w:rsid w:val="0002212F"/>
    <w:rsid w:val="0002391F"/>
    <w:rsid w:val="00027CFF"/>
    <w:rsid w:val="00031276"/>
    <w:rsid w:val="00033CC5"/>
    <w:rsid w:val="00033F5D"/>
    <w:rsid w:val="00034EC2"/>
    <w:rsid w:val="00035028"/>
    <w:rsid w:val="00036D4B"/>
    <w:rsid w:val="00036D5D"/>
    <w:rsid w:val="000425CF"/>
    <w:rsid w:val="00044299"/>
    <w:rsid w:val="00044761"/>
    <w:rsid w:val="0004593F"/>
    <w:rsid w:val="0004625A"/>
    <w:rsid w:val="000477E9"/>
    <w:rsid w:val="000511BF"/>
    <w:rsid w:val="0005154C"/>
    <w:rsid w:val="00051842"/>
    <w:rsid w:val="00052790"/>
    <w:rsid w:val="00053B06"/>
    <w:rsid w:val="00054501"/>
    <w:rsid w:val="00054C2C"/>
    <w:rsid w:val="00056ED2"/>
    <w:rsid w:val="00057AF2"/>
    <w:rsid w:val="00060049"/>
    <w:rsid w:val="00061108"/>
    <w:rsid w:val="00061205"/>
    <w:rsid w:val="00061A0A"/>
    <w:rsid w:val="000633CC"/>
    <w:rsid w:val="00063CAB"/>
    <w:rsid w:val="00063FCB"/>
    <w:rsid w:val="00064010"/>
    <w:rsid w:val="00064536"/>
    <w:rsid w:val="0006487E"/>
    <w:rsid w:val="0006629B"/>
    <w:rsid w:val="00076B97"/>
    <w:rsid w:val="0007713E"/>
    <w:rsid w:val="00077B35"/>
    <w:rsid w:val="00081C71"/>
    <w:rsid w:val="000827F0"/>
    <w:rsid w:val="00082B20"/>
    <w:rsid w:val="00082EEA"/>
    <w:rsid w:val="00083B9D"/>
    <w:rsid w:val="00084281"/>
    <w:rsid w:val="00084A80"/>
    <w:rsid w:val="00084C01"/>
    <w:rsid w:val="00084CDE"/>
    <w:rsid w:val="000868E5"/>
    <w:rsid w:val="000906CB"/>
    <w:rsid w:val="0009081C"/>
    <w:rsid w:val="00091716"/>
    <w:rsid w:val="00091888"/>
    <w:rsid w:val="00091896"/>
    <w:rsid w:val="00091C53"/>
    <w:rsid w:val="00093FDF"/>
    <w:rsid w:val="00095891"/>
    <w:rsid w:val="000A13C0"/>
    <w:rsid w:val="000A1574"/>
    <w:rsid w:val="000A2C07"/>
    <w:rsid w:val="000A41B7"/>
    <w:rsid w:val="000A52DE"/>
    <w:rsid w:val="000B045E"/>
    <w:rsid w:val="000B05A2"/>
    <w:rsid w:val="000B20A6"/>
    <w:rsid w:val="000B4F63"/>
    <w:rsid w:val="000B5BBA"/>
    <w:rsid w:val="000B5C09"/>
    <w:rsid w:val="000B6B0A"/>
    <w:rsid w:val="000B6F8A"/>
    <w:rsid w:val="000B7A1E"/>
    <w:rsid w:val="000C137E"/>
    <w:rsid w:val="000C21D4"/>
    <w:rsid w:val="000C2B1D"/>
    <w:rsid w:val="000C2F57"/>
    <w:rsid w:val="000C3007"/>
    <w:rsid w:val="000C3D20"/>
    <w:rsid w:val="000C4952"/>
    <w:rsid w:val="000D05BD"/>
    <w:rsid w:val="000D0702"/>
    <w:rsid w:val="000D0985"/>
    <w:rsid w:val="000D15DF"/>
    <w:rsid w:val="000D26CC"/>
    <w:rsid w:val="000D4A9F"/>
    <w:rsid w:val="000D4AD9"/>
    <w:rsid w:val="000D4C7B"/>
    <w:rsid w:val="000D57F5"/>
    <w:rsid w:val="000D58EE"/>
    <w:rsid w:val="000D75B5"/>
    <w:rsid w:val="000E0A53"/>
    <w:rsid w:val="000E1591"/>
    <w:rsid w:val="000E2937"/>
    <w:rsid w:val="000E2D68"/>
    <w:rsid w:val="000E34FD"/>
    <w:rsid w:val="000E567D"/>
    <w:rsid w:val="000E5C92"/>
    <w:rsid w:val="000E5FB9"/>
    <w:rsid w:val="000E638E"/>
    <w:rsid w:val="000E6F9C"/>
    <w:rsid w:val="000E7338"/>
    <w:rsid w:val="000E7AFF"/>
    <w:rsid w:val="000F18D3"/>
    <w:rsid w:val="000F18D5"/>
    <w:rsid w:val="000F1D55"/>
    <w:rsid w:val="000F4E0C"/>
    <w:rsid w:val="000F5AB3"/>
    <w:rsid w:val="000F6C80"/>
    <w:rsid w:val="000F7EDF"/>
    <w:rsid w:val="00100232"/>
    <w:rsid w:val="001006A8"/>
    <w:rsid w:val="001017CA"/>
    <w:rsid w:val="001017FE"/>
    <w:rsid w:val="00103C59"/>
    <w:rsid w:val="001113F4"/>
    <w:rsid w:val="00113882"/>
    <w:rsid w:val="001156AC"/>
    <w:rsid w:val="001174F4"/>
    <w:rsid w:val="00117517"/>
    <w:rsid w:val="00120AE7"/>
    <w:rsid w:val="00122A2C"/>
    <w:rsid w:val="00122EEE"/>
    <w:rsid w:val="001234CF"/>
    <w:rsid w:val="00123C16"/>
    <w:rsid w:val="00126258"/>
    <w:rsid w:val="00130AE8"/>
    <w:rsid w:val="00133E1D"/>
    <w:rsid w:val="00134475"/>
    <w:rsid w:val="00134CF0"/>
    <w:rsid w:val="0013527B"/>
    <w:rsid w:val="00136102"/>
    <w:rsid w:val="001364BF"/>
    <w:rsid w:val="00137003"/>
    <w:rsid w:val="00142BFC"/>
    <w:rsid w:val="00143762"/>
    <w:rsid w:val="00144977"/>
    <w:rsid w:val="0014546F"/>
    <w:rsid w:val="00146A00"/>
    <w:rsid w:val="00146E69"/>
    <w:rsid w:val="00147F9E"/>
    <w:rsid w:val="00150B0A"/>
    <w:rsid w:val="00151010"/>
    <w:rsid w:val="00151226"/>
    <w:rsid w:val="0015228B"/>
    <w:rsid w:val="00152EFC"/>
    <w:rsid w:val="00153692"/>
    <w:rsid w:val="001551A0"/>
    <w:rsid w:val="001564B0"/>
    <w:rsid w:val="001566B4"/>
    <w:rsid w:val="00157E2C"/>
    <w:rsid w:val="001609F2"/>
    <w:rsid w:val="00161E40"/>
    <w:rsid w:val="001622F3"/>
    <w:rsid w:val="00162B44"/>
    <w:rsid w:val="00162C48"/>
    <w:rsid w:val="00163C4A"/>
    <w:rsid w:val="00165E8A"/>
    <w:rsid w:val="001661BE"/>
    <w:rsid w:val="001663F1"/>
    <w:rsid w:val="00167382"/>
    <w:rsid w:val="00170BC5"/>
    <w:rsid w:val="0017157E"/>
    <w:rsid w:val="00171B70"/>
    <w:rsid w:val="001727E1"/>
    <w:rsid w:val="00175616"/>
    <w:rsid w:val="0017627B"/>
    <w:rsid w:val="001764D3"/>
    <w:rsid w:val="00183A96"/>
    <w:rsid w:val="0018718E"/>
    <w:rsid w:val="001872CC"/>
    <w:rsid w:val="00190E2D"/>
    <w:rsid w:val="00191160"/>
    <w:rsid w:val="0019118F"/>
    <w:rsid w:val="00191FA7"/>
    <w:rsid w:val="0019239F"/>
    <w:rsid w:val="00192573"/>
    <w:rsid w:val="001954A9"/>
    <w:rsid w:val="001960A2"/>
    <w:rsid w:val="001A120E"/>
    <w:rsid w:val="001A1B85"/>
    <w:rsid w:val="001A23C3"/>
    <w:rsid w:val="001A3614"/>
    <w:rsid w:val="001A3B88"/>
    <w:rsid w:val="001A4F55"/>
    <w:rsid w:val="001A5E3B"/>
    <w:rsid w:val="001A7DB5"/>
    <w:rsid w:val="001B0746"/>
    <w:rsid w:val="001B403E"/>
    <w:rsid w:val="001B4794"/>
    <w:rsid w:val="001B56FE"/>
    <w:rsid w:val="001B58F2"/>
    <w:rsid w:val="001B6DDF"/>
    <w:rsid w:val="001B7131"/>
    <w:rsid w:val="001B7246"/>
    <w:rsid w:val="001B77B6"/>
    <w:rsid w:val="001C3901"/>
    <w:rsid w:val="001C39D8"/>
    <w:rsid w:val="001C4346"/>
    <w:rsid w:val="001C6126"/>
    <w:rsid w:val="001C7053"/>
    <w:rsid w:val="001C75A4"/>
    <w:rsid w:val="001D196D"/>
    <w:rsid w:val="001D1B70"/>
    <w:rsid w:val="001D4106"/>
    <w:rsid w:val="001D65DC"/>
    <w:rsid w:val="001D7053"/>
    <w:rsid w:val="001D7081"/>
    <w:rsid w:val="001E1B4A"/>
    <w:rsid w:val="001E3427"/>
    <w:rsid w:val="001E3D9D"/>
    <w:rsid w:val="001E7F25"/>
    <w:rsid w:val="001F0901"/>
    <w:rsid w:val="001F149E"/>
    <w:rsid w:val="001F174A"/>
    <w:rsid w:val="001F1CAD"/>
    <w:rsid w:val="001F2AA1"/>
    <w:rsid w:val="001F2DD6"/>
    <w:rsid w:val="001F372C"/>
    <w:rsid w:val="001F374B"/>
    <w:rsid w:val="001F4681"/>
    <w:rsid w:val="001F519E"/>
    <w:rsid w:val="001F6D56"/>
    <w:rsid w:val="001F7735"/>
    <w:rsid w:val="001F7BBF"/>
    <w:rsid w:val="001F7D41"/>
    <w:rsid w:val="00200B6B"/>
    <w:rsid w:val="002017A2"/>
    <w:rsid w:val="002023CA"/>
    <w:rsid w:val="00202FAD"/>
    <w:rsid w:val="00205C8D"/>
    <w:rsid w:val="002106A3"/>
    <w:rsid w:val="002107DA"/>
    <w:rsid w:val="00215A1C"/>
    <w:rsid w:val="00216236"/>
    <w:rsid w:val="0022063D"/>
    <w:rsid w:val="00221163"/>
    <w:rsid w:val="0022230E"/>
    <w:rsid w:val="00226019"/>
    <w:rsid w:val="00234445"/>
    <w:rsid w:val="00234802"/>
    <w:rsid w:val="002349F6"/>
    <w:rsid w:val="002366D0"/>
    <w:rsid w:val="00236B3E"/>
    <w:rsid w:val="00237A73"/>
    <w:rsid w:val="00237AF0"/>
    <w:rsid w:val="00240BA4"/>
    <w:rsid w:val="00240C12"/>
    <w:rsid w:val="00241600"/>
    <w:rsid w:val="00242F89"/>
    <w:rsid w:val="00243C67"/>
    <w:rsid w:val="00243CDA"/>
    <w:rsid w:val="00244AF2"/>
    <w:rsid w:val="00244F12"/>
    <w:rsid w:val="002474AA"/>
    <w:rsid w:val="002514FB"/>
    <w:rsid w:val="002518C2"/>
    <w:rsid w:val="00253874"/>
    <w:rsid w:val="002548B1"/>
    <w:rsid w:val="002548D9"/>
    <w:rsid w:val="002552FA"/>
    <w:rsid w:val="00257E5B"/>
    <w:rsid w:val="00257EF1"/>
    <w:rsid w:val="002604E9"/>
    <w:rsid w:val="00261240"/>
    <w:rsid w:val="00263049"/>
    <w:rsid w:val="00263E69"/>
    <w:rsid w:val="00264797"/>
    <w:rsid w:val="002651B5"/>
    <w:rsid w:val="00265F63"/>
    <w:rsid w:val="002706BA"/>
    <w:rsid w:val="002708E4"/>
    <w:rsid w:val="0027597F"/>
    <w:rsid w:val="0027758F"/>
    <w:rsid w:val="00280A36"/>
    <w:rsid w:val="002815CD"/>
    <w:rsid w:val="00281860"/>
    <w:rsid w:val="002837DD"/>
    <w:rsid w:val="00286152"/>
    <w:rsid w:val="00290891"/>
    <w:rsid w:val="00293CE8"/>
    <w:rsid w:val="00293D62"/>
    <w:rsid w:val="00295E17"/>
    <w:rsid w:val="00297CA1"/>
    <w:rsid w:val="002A1182"/>
    <w:rsid w:val="002A205C"/>
    <w:rsid w:val="002A260B"/>
    <w:rsid w:val="002A27C0"/>
    <w:rsid w:val="002A280B"/>
    <w:rsid w:val="002A2C02"/>
    <w:rsid w:val="002A3249"/>
    <w:rsid w:val="002A33EA"/>
    <w:rsid w:val="002A3D8A"/>
    <w:rsid w:val="002A45D0"/>
    <w:rsid w:val="002A483A"/>
    <w:rsid w:val="002A5307"/>
    <w:rsid w:val="002A6378"/>
    <w:rsid w:val="002A69BF"/>
    <w:rsid w:val="002B024A"/>
    <w:rsid w:val="002B34C0"/>
    <w:rsid w:val="002B3A29"/>
    <w:rsid w:val="002B55AA"/>
    <w:rsid w:val="002B6192"/>
    <w:rsid w:val="002C1AD3"/>
    <w:rsid w:val="002C5B7F"/>
    <w:rsid w:val="002C6507"/>
    <w:rsid w:val="002C69C1"/>
    <w:rsid w:val="002D215C"/>
    <w:rsid w:val="002D27FC"/>
    <w:rsid w:val="002D4A86"/>
    <w:rsid w:val="002D4B67"/>
    <w:rsid w:val="002D6CE3"/>
    <w:rsid w:val="002D79AD"/>
    <w:rsid w:val="002D7EB2"/>
    <w:rsid w:val="002E01EF"/>
    <w:rsid w:val="002E0E3B"/>
    <w:rsid w:val="002E31B5"/>
    <w:rsid w:val="002E3216"/>
    <w:rsid w:val="002E4B80"/>
    <w:rsid w:val="002E52B0"/>
    <w:rsid w:val="002E7798"/>
    <w:rsid w:val="002E7E72"/>
    <w:rsid w:val="002F0010"/>
    <w:rsid w:val="002F0344"/>
    <w:rsid w:val="002F0487"/>
    <w:rsid w:val="002F134C"/>
    <w:rsid w:val="002F2BA7"/>
    <w:rsid w:val="002F2E79"/>
    <w:rsid w:val="002F4EBB"/>
    <w:rsid w:val="002F510B"/>
    <w:rsid w:val="002F55FA"/>
    <w:rsid w:val="002F70F9"/>
    <w:rsid w:val="002F784F"/>
    <w:rsid w:val="003009C8"/>
    <w:rsid w:val="00301BB6"/>
    <w:rsid w:val="00301DC3"/>
    <w:rsid w:val="0030315E"/>
    <w:rsid w:val="003033B6"/>
    <w:rsid w:val="003065B5"/>
    <w:rsid w:val="00306731"/>
    <w:rsid w:val="003072D5"/>
    <w:rsid w:val="00307E41"/>
    <w:rsid w:val="003100FA"/>
    <w:rsid w:val="0031174D"/>
    <w:rsid w:val="00311F0F"/>
    <w:rsid w:val="00313694"/>
    <w:rsid w:val="00313E8C"/>
    <w:rsid w:val="003169EF"/>
    <w:rsid w:val="003174EF"/>
    <w:rsid w:val="00317AE5"/>
    <w:rsid w:val="00317C93"/>
    <w:rsid w:val="00320D0D"/>
    <w:rsid w:val="00321F0C"/>
    <w:rsid w:val="00322735"/>
    <w:rsid w:val="003231A1"/>
    <w:rsid w:val="0032725E"/>
    <w:rsid w:val="00327DF7"/>
    <w:rsid w:val="00330A9B"/>
    <w:rsid w:val="00332687"/>
    <w:rsid w:val="003326C7"/>
    <w:rsid w:val="00336CEF"/>
    <w:rsid w:val="00343BAC"/>
    <w:rsid w:val="00345580"/>
    <w:rsid w:val="00346945"/>
    <w:rsid w:val="00346D78"/>
    <w:rsid w:val="003504B5"/>
    <w:rsid w:val="00350DD3"/>
    <w:rsid w:val="0035141F"/>
    <w:rsid w:val="003530C3"/>
    <w:rsid w:val="003549E3"/>
    <w:rsid w:val="00354DDC"/>
    <w:rsid w:val="00355341"/>
    <w:rsid w:val="00355A1D"/>
    <w:rsid w:val="003578EC"/>
    <w:rsid w:val="00360221"/>
    <w:rsid w:val="003602B8"/>
    <w:rsid w:val="003627B7"/>
    <w:rsid w:val="00363FBE"/>
    <w:rsid w:val="003645F9"/>
    <w:rsid w:val="00365263"/>
    <w:rsid w:val="00365347"/>
    <w:rsid w:val="00365435"/>
    <w:rsid w:val="00367128"/>
    <w:rsid w:val="00367E94"/>
    <w:rsid w:val="003704FC"/>
    <w:rsid w:val="003725D6"/>
    <w:rsid w:val="00372A83"/>
    <w:rsid w:val="0037332E"/>
    <w:rsid w:val="00373F01"/>
    <w:rsid w:val="0037566E"/>
    <w:rsid w:val="00375ABB"/>
    <w:rsid w:val="00375AD2"/>
    <w:rsid w:val="00376287"/>
    <w:rsid w:val="00376984"/>
    <w:rsid w:val="00376D59"/>
    <w:rsid w:val="00377190"/>
    <w:rsid w:val="00377826"/>
    <w:rsid w:val="003801DB"/>
    <w:rsid w:val="0038086B"/>
    <w:rsid w:val="003819F3"/>
    <w:rsid w:val="00382F4B"/>
    <w:rsid w:val="0038481D"/>
    <w:rsid w:val="0038577A"/>
    <w:rsid w:val="003857FE"/>
    <w:rsid w:val="00385965"/>
    <w:rsid w:val="00390113"/>
    <w:rsid w:val="00392402"/>
    <w:rsid w:val="00392659"/>
    <w:rsid w:val="003933E3"/>
    <w:rsid w:val="0039446D"/>
    <w:rsid w:val="00394A17"/>
    <w:rsid w:val="00395AB5"/>
    <w:rsid w:val="00396814"/>
    <w:rsid w:val="00396CCD"/>
    <w:rsid w:val="003978AC"/>
    <w:rsid w:val="003A2686"/>
    <w:rsid w:val="003A29FA"/>
    <w:rsid w:val="003A2D0A"/>
    <w:rsid w:val="003A3769"/>
    <w:rsid w:val="003A404F"/>
    <w:rsid w:val="003A4154"/>
    <w:rsid w:val="003A5101"/>
    <w:rsid w:val="003A526E"/>
    <w:rsid w:val="003A72A1"/>
    <w:rsid w:val="003B18E5"/>
    <w:rsid w:val="003B3113"/>
    <w:rsid w:val="003B5F9C"/>
    <w:rsid w:val="003B6A65"/>
    <w:rsid w:val="003B7620"/>
    <w:rsid w:val="003B783A"/>
    <w:rsid w:val="003C0727"/>
    <w:rsid w:val="003C1D89"/>
    <w:rsid w:val="003C2FBE"/>
    <w:rsid w:val="003C307A"/>
    <w:rsid w:val="003C30CB"/>
    <w:rsid w:val="003C609E"/>
    <w:rsid w:val="003C6221"/>
    <w:rsid w:val="003C6E78"/>
    <w:rsid w:val="003C71C4"/>
    <w:rsid w:val="003D0446"/>
    <w:rsid w:val="003D0AA0"/>
    <w:rsid w:val="003D0E5A"/>
    <w:rsid w:val="003D232E"/>
    <w:rsid w:val="003D2E95"/>
    <w:rsid w:val="003D3A12"/>
    <w:rsid w:val="003D4833"/>
    <w:rsid w:val="003D4866"/>
    <w:rsid w:val="003D6973"/>
    <w:rsid w:val="003D7710"/>
    <w:rsid w:val="003E00D7"/>
    <w:rsid w:val="003E0806"/>
    <w:rsid w:val="003E0EC0"/>
    <w:rsid w:val="003E1988"/>
    <w:rsid w:val="003E1F7E"/>
    <w:rsid w:val="003E1F9C"/>
    <w:rsid w:val="003E29A8"/>
    <w:rsid w:val="003E508B"/>
    <w:rsid w:val="003E579A"/>
    <w:rsid w:val="003E5879"/>
    <w:rsid w:val="003E6B61"/>
    <w:rsid w:val="003F026C"/>
    <w:rsid w:val="003F051F"/>
    <w:rsid w:val="003F0F08"/>
    <w:rsid w:val="003F0F8D"/>
    <w:rsid w:val="003F1B48"/>
    <w:rsid w:val="003F22C1"/>
    <w:rsid w:val="003F22FE"/>
    <w:rsid w:val="003F3281"/>
    <w:rsid w:val="003F60E8"/>
    <w:rsid w:val="003F6CA7"/>
    <w:rsid w:val="003F75AE"/>
    <w:rsid w:val="00401B18"/>
    <w:rsid w:val="00404D5C"/>
    <w:rsid w:val="004072F2"/>
    <w:rsid w:val="004075D2"/>
    <w:rsid w:val="00414565"/>
    <w:rsid w:val="00414F04"/>
    <w:rsid w:val="00417B5C"/>
    <w:rsid w:val="00420689"/>
    <w:rsid w:val="004230F8"/>
    <w:rsid w:val="004233A3"/>
    <w:rsid w:val="00423C7A"/>
    <w:rsid w:val="00425DE5"/>
    <w:rsid w:val="00427AD6"/>
    <w:rsid w:val="00430605"/>
    <w:rsid w:val="00433ABB"/>
    <w:rsid w:val="004355BB"/>
    <w:rsid w:val="004362A5"/>
    <w:rsid w:val="004417AB"/>
    <w:rsid w:val="004423C7"/>
    <w:rsid w:val="00442B3C"/>
    <w:rsid w:val="004436FF"/>
    <w:rsid w:val="00443A55"/>
    <w:rsid w:val="00444982"/>
    <w:rsid w:val="004505F1"/>
    <w:rsid w:val="0045086F"/>
    <w:rsid w:val="0045200C"/>
    <w:rsid w:val="004532E4"/>
    <w:rsid w:val="0045515A"/>
    <w:rsid w:val="004569A1"/>
    <w:rsid w:val="00461806"/>
    <w:rsid w:val="00462991"/>
    <w:rsid w:val="0046332F"/>
    <w:rsid w:val="00463D6F"/>
    <w:rsid w:val="00465DB6"/>
    <w:rsid w:val="004661A2"/>
    <w:rsid w:val="0046680B"/>
    <w:rsid w:val="00466C20"/>
    <w:rsid w:val="004701A7"/>
    <w:rsid w:val="00470AC8"/>
    <w:rsid w:val="00473466"/>
    <w:rsid w:val="004738DF"/>
    <w:rsid w:val="0047411C"/>
    <w:rsid w:val="004751DA"/>
    <w:rsid w:val="00475B88"/>
    <w:rsid w:val="00476174"/>
    <w:rsid w:val="004773CA"/>
    <w:rsid w:val="004774CF"/>
    <w:rsid w:val="00483AE8"/>
    <w:rsid w:val="004858CD"/>
    <w:rsid w:val="00486102"/>
    <w:rsid w:val="00486A08"/>
    <w:rsid w:val="0048793C"/>
    <w:rsid w:val="0049066C"/>
    <w:rsid w:val="004923DA"/>
    <w:rsid w:val="00494362"/>
    <w:rsid w:val="004962A1"/>
    <w:rsid w:val="00496559"/>
    <w:rsid w:val="0049713E"/>
    <w:rsid w:val="004A0218"/>
    <w:rsid w:val="004A036C"/>
    <w:rsid w:val="004A7346"/>
    <w:rsid w:val="004A76C6"/>
    <w:rsid w:val="004A7CD7"/>
    <w:rsid w:val="004A7F11"/>
    <w:rsid w:val="004B0EB5"/>
    <w:rsid w:val="004B44AD"/>
    <w:rsid w:val="004B4AFB"/>
    <w:rsid w:val="004B7736"/>
    <w:rsid w:val="004C2AA9"/>
    <w:rsid w:val="004C2DD5"/>
    <w:rsid w:val="004C3BC4"/>
    <w:rsid w:val="004C508F"/>
    <w:rsid w:val="004C6538"/>
    <w:rsid w:val="004C6F13"/>
    <w:rsid w:val="004D0C4E"/>
    <w:rsid w:val="004D1BF5"/>
    <w:rsid w:val="004D252E"/>
    <w:rsid w:val="004D314B"/>
    <w:rsid w:val="004D483C"/>
    <w:rsid w:val="004D501A"/>
    <w:rsid w:val="004E1732"/>
    <w:rsid w:val="004E1E31"/>
    <w:rsid w:val="004E3EB0"/>
    <w:rsid w:val="004E49CB"/>
    <w:rsid w:val="004E50DA"/>
    <w:rsid w:val="004E7E28"/>
    <w:rsid w:val="004F1652"/>
    <w:rsid w:val="004F1E70"/>
    <w:rsid w:val="004F23BD"/>
    <w:rsid w:val="004F5F44"/>
    <w:rsid w:val="005047AC"/>
    <w:rsid w:val="005049FD"/>
    <w:rsid w:val="00506AEF"/>
    <w:rsid w:val="005073A4"/>
    <w:rsid w:val="00511555"/>
    <w:rsid w:val="00511FE3"/>
    <w:rsid w:val="005124C3"/>
    <w:rsid w:val="005141B1"/>
    <w:rsid w:val="00514626"/>
    <w:rsid w:val="00517660"/>
    <w:rsid w:val="00517CBE"/>
    <w:rsid w:val="00522119"/>
    <w:rsid w:val="005221E5"/>
    <w:rsid w:val="005232B3"/>
    <w:rsid w:val="00523437"/>
    <w:rsid w:val="00523ACC"/>
    <w:rsid w:val="0052697B"/>
    <w:rsid w:val="0053135D"/>
    <w:rsid w:val="005313D2"/>
    <w:rsid w:val="005325A7"/>
    <w:rsid w:val="0053373B"/>
    <w:rsid w:val="005362BD"/>
    <w:rsid w:val="00536D65"/>
    <w:rsid w:val="00540AD8"/>
    <w:rsid w:val="00541B46"/>
    <w:rsid w:val="00544191"/>
    <w:rsid w:val="00546E42"/>
    <w:rsid w:val="0054727C"/>
    <w:rsid w:val="005513FA"/>
    <w:rsid w:val="00551DE5"/>
    <w:rsid w:val="00552118"/>
    <w:rsid w:val="00552711"/>
    <w:rsid w:val="00552FFE"/>
    <w:rsid w:val="00554E47"/>
    <w:rsid w:val="00554E6B"/>
    <w:rsid w:val="0055747F"/>
    <w:rsid w:val="005623A4"/>
    <w:rsid w:val="00562E8D"/>
    <w:rsid w:val="0056779F"/>
    <w:rsid w:val="00570A9B"/>
    <w:rsid w:val="005726C1"/>
    <w:rsid w:val="0057291E"/>
    <w:rsid w:val="00572E52"/>
    <w:rsid w:val="005733C9"/>
    <w:rsid w:val="00574D8E"/>
    <w:rsid w:val="00576D29"/>
    <w:rsid w:val="005774A5"/>
    <w:rsid w:val="00581E24"/>
    <w:rsid w:val="00583A6C"/>
    <w:rsid w:val="005851FF"/>
    <w:rsid w:val="00586FEC"/>
    <w:rsid w:val="00593136"/>
    <w:rsid w:val="0059373A"/>
    <w:rsid w:val="005939FE"/>
    <w:rsid w:val="00594B38"/>
    <w:rsid w:val="005953EB"/>
    <w:rsid w:val="00595794"/>
    <w:rsid w:val="005975FF"/>
    <w:rsid w:val="00597769"/>
    <w:rsid w:val="005A051A"/>
    <w:rsid w:val="005A05FA"/>
    <w:rsid w:val="005A4115"/>
    <w:rsid w:val="005A4965"/>
    <w:rsid w:val="005A501D"/>
    <w:rsid w:val="005A58F8"/>
    <w:rsid w:val="005A5AD0"/>
    <w:rsid w:val="005A7101"/>
    <w:rsid w:val="005A7E9B"/>
    <w:rsid w:val="005B0B2C"/>
    <w:rsid w:val="005B1272"/>
    <w:rsid w:val="005B2FA5"/>
    <w:rsid w:val="005B3C94"/>
    <w:rsid w:val="005B50BD"/>
    <w:rsid w:val="005B54B8"/>
    <w:rsid w:val="005B624C"/>
    <w:rsid w:val="005C3DF9"/>
    <w:rsid w:val="005C458D"/>
    <w:rsid w:val="005C5B48"/>
    <w:rsid w:val="005D27FB"/>
    <w:rsid w:val="005D32F3"/>
    <w:rsid w:val="005D3A8B"/>
    <w:rsid w:val="005D4202"/>
    <w:rsid w:val="005D4C4B"/>
    <w:rsid w:val="005D558F"/>
    <w:rsid w:val="005D5A22"/>
    <w:rsid w:val="005D6853"/>
    <w:rsid w:val="005D787F"/>
    <w:rsid w:val="005D79F7"/>
    <w:rsid w:val="005E1E2C"/>
    <w:rsid w:val="005E407A"/>
    <w:rsid w:val="005E5275"/>
    <w:rsid w:val="005F3032"/>
    <w:rsid w:val="005F36B4"/>
    <w:rsid w:val="005F3BBF"/>
    <w:rsid w:val="005F4285"/>
    <w:rsid w:val="005F43F2"/>
    <w:rsid w:val="005F47B2"/>
    <w:rsid w:val="005F6101"/>
    <w:rsid w:val="005F6A65"/>
    <w:rsid w:val="005F6EF3"/>
    <w:rsid w:val="00601B13"/>
    <w:rsid w:val="006022CD"/>
    <w:rsid w:val="006050B9"/>
    <w:rsid w:val="006054D5"/>
    <w:rsid w:val="006102D1"/>
    <w:rsid w:val="006130C3"/>
    <w:rsid w:val="00614FAD"/>
    <w:rsid w:val="0061589C"/>
    <w:rsid w:val="00621CAF"/>
    <w:rsid w:val="0062297C"/>
    <w:rsid w:val="006245BB"/>
    <w:rsid w:val="006263EB"/>
    <w:rsid w:val="006272E3"/>
    <w:rsid w:val="00627C9B"/>
    <w:rsid w:val="0063081C"/>
    <w:rsid w:val="00631727"/>
    <w:rsid w:val="0063269E"/>
    <w:rsid w:val="006329D8"/>
    <w:rsid w:val="00632FA1"/>
    <w:rsid w:val="00632FBA"/>
    <w:rsid w:val="00633169"/>
    <w:rsid w:val="00633C84"/>
    <w:rsid w:val="006354F2"/>
    <w:rsid w:val="006355EB"/>
    <w:rsid w:val="00635818"/>
    <w:rsid w:val="006363F7"/>
    <w:rsid w:val="00636B4B"/>
    <w:rsid w:val="006405AE"/>
    <w:rsid w:val="00641627"/>
    <w:rsid w:val="00641A49"/>
    <w:rsid w:val="00641C64"/>
    <w:rsid w:val="00644136"/>
    <w:rsid w:val="00644937"/>
    <w:rsid w:val="0064549F"/>
    <w:rsid w:val="00645726"/>
    <w:rsid w:val="006470E3"/>
    <w:rsid w:val="00652A68"/>
    <w:rsid w:val="00652F7B"/>
    <w:rsid w:val="00653000"/>
    <w:rsid w:val="00655F33"/>
    <w:rsid w:val="00656FF6"/>
    <w:rsid w:val="006577F1"/>
    <w:rsid w:val="00660301"/>
    <w:rsid w:val="006609EB"/>
    <w:rsid w:val="00662F84"/>
    <w:rsid w:val="006662D1"/>
    <w:rsid w:val="006663A5"/>
    <w:rsid w:val="00671743"/>
    <w:rsid w:val="00672988"/>
    <w:rsid w:val="00673539"/>
    <w:rsid w:val="006762DE"/>
    <w:rsid w:val="006769D2"/>
    <w:rsid w:val="0068042E"/>
    <w:rsid w:val="006817A0"/>
    <w:rsid w:val="00683821"/>
    <w:rsid w:val="00683A09"/>
    <w:rsid w:val="00684520"/>
    <w:rsid w:val="00684842"/>
    <w:rsid w:val="00687C7D"/>
    <w:rsid w:val="00690A58"/>
    <w:rsid w:val="00690BF7"/>
    <w:rsid w:val="00693470"/>
    <w:rsid w:val="00693E24"/>
    <w:rsid w:val="00693FDD"/>
    <w:rsid w:val="006946CC"/>
    <w:rsid w:val="00695B09"/>
    <w:rsid w:val="00696EBA"/>
    <w:rsid w:val="00697497"/>
    <w:rsid w:val="006A0136"/>
    <w:rsid w:val="006A093F"/>
    <w:rsid w:val="006A2907"/>
    <w:rsid w:val="006A7542"/>
    <w:rsid w:val="006B0782"/>
    <w:rsid w:val="006B29EA"/>
    <w:rsid w:val="006B3D90"/>
    <w:rsid w:val="006B3FF6"/>
    <w:rsid w:val="006B4A7F"/>
    <w:rsid w:val="006B57D6"/>
    <w:rsid w:val="006B72AE"/>
    <w:rsid w:val="006C210B"/>
    <w:rsid w:val="006C274C"/>
    <w:rsid w:val="006C34F3"/>
    <w:rsid w:val="006C3982"/>
    <w:rsid w:val="006C6BF9"/>
    <w:rsid w:val="006D060D"/>
    <w:rsid w:val="006D1C3C"/>
    <w:rsid w:val="006D71DE"/>
    <w:rsid w:val="006D72A8"/>
    <w:rsid w:val="006E17FD"/>
    <w:rsid w:val="006E1E13"/>
    <w:rsid w:val="006E2111"/>
    <w:rsid w:val="006E2290"/>
    <w:rsid w:val="006E378E"/>
    <w:rsid w:val="006E457F"/>
    <w:rsid w:val="006E4A6B"/>
    <w:rsid w:val="006E632C"/>
    <w:rsid w:val="006E65E2"/>
    <w:rsid w:val="006E6AA3"/>
    <w:rsid w:val="006F0BD4"/>
    <w:rsid w:val="006F3474"/>
    <w:rsid w:val="006F4D96"/>
    <w:rsid w:val="006F5888"/>
    <w:rsid w:val="006F6147"/>
    <w:rsid w:val="006F77C7"/>
    <w:rsid w:val="00700990"/>
    <w:rsid w:val="0070216E"/>
    <w:rsid w:val="00702D8F"/>
    <w:rsid w:val="007032DF"/>
    <w:rsid w:val="00703AE8"/>
    <w:rsid w:val="00704490"/>
    <w:rsid w:val="00704852"/>
    <w:rsid w:val="00705371"/>
    <w:rsid w:val="00705A06"/>
    <w:rsid w:val="0070717F"/>
    <w:rsid w:val="00713289"/>
    <w:rsid w:val="00713626"/>
    <w:rsid w:val="00714651"/>
    <w:rsid w:val="00716B09"/>
    <w:rsid w:val="0072033D"/>
    <w:rsid w:val="00720400"/>
    <w:rsid w:val="00720D26"/>
    <w:rsid w:val="00722487"/>
    <w:rsid w:val="00722E8D"/>
    <w:rsid w:val="00723877"/>
    <w:rsid w:val="00723C67"/>
    <w:rsid w:val="00724378"/>
    <w:rsid w:val="0072481C"/>
    <w:rsid w:val="00724D5D"/>
    <w:rsid w:val="007257D6"/>
    <w:rsid w:val="00725E53"/>
    <w:rsid w:val="00731554"/>
    <w:rsid w:val="00734558"/>
    <w:rsid w:val="00735E9D"/>
    <w:rsid w:val="00737C4B"/>
    <w:rsid w:val="00737F8E"/>
    <w:rsid w:val="00740241"/>
    <w:rsid w:val="0074024E"/>
    <w:rsid w:val="00742F7E"/>
    <w:rsid w:val="0074483C"/>
    <w:rsid w:val="00744EEE"/>
    <w:rsid w:val="007456C8"/>
    <w:rsid w:val="007465B6"/>
    <w:rsid w:val="00746CC3"/>
    <w:rsid w:val="007472FB"/>
    <w:rsid w:val="00750D91"/>
    <w:rsid w:val="007515CE"/>
    <w:rsid w:val="00752254"/>
    <w:rsid w:val="00753EC9"/>
    <w:rsid w:val="007542A3"/>
    <w:rsid w:val="00754DCB"/>
    <w:rsid w:val="007574A1"/>
    <w:rsid w:val="00760DD1"/>
    <w:rsid w:val="00761087"/>
    <w:rsid w:val="00761545"/>
    <w:rsid w:val="007618DD"/>
    <w:rsid w:val="00762EAD"/>
    <w:rsid w:val="00765CC9"/>
    <w:rsid w:val="00770808"/>
    <w:rsid w:val="00770F46"/>
    <w:rsid w:val="00770F4B"/>
    <w:rsid w:val="0077113E"/>
    <w:rsid w:val="00771D02"/>
    <w:rsid w:val="00776006"/>
    <w:rsid w:val="0077653F"/>
    <w:rsid w:val="007818A5"/>
    <w:rsid w:val="00781A8A"/>
    <w:rsid w:val="00781F28"/>
    <w:rsid w:val="00782471"/>
    <w:rsid w:val="00783F72"/>
    <w:rsid w:val="00786765"/>
    <w:rsid w:val="00790847"/>
    <w:rsid w:val="00791AE9"/>
    <w:rsid w:val="00791CAD"/>
    <w:rsid w:val="00792780"/>
    <w:rsid w:val="007928C8"/>
    <w:rsid w:val="007932F9"/>
    <w:rsid w:val="00795225"/>
    <w:rsid w:val="00796E8C"/>
    <w:rsid w:val="0079704B"/>
    <w:rsid w:val="007972D7"/>
    <w:rsid w:val="007A04E6"/>
    <w:rsid w:val="007A3029"/>
    <w:rsid w:val="007A4D7D"/>
    <w:rsid w:val="007A4F6D"/>
    <w:rsid w:val="007A5231"/>
    <w:rsid w:val="007A57C8"/>
    <w:rsid w:val="007A6FA1"/>
    <w:rsid w:val="007A797D"/>
    <w:rsid w:val="007B03DF"/>
    <w:rsid w:val="007B0ADA"/>
    <w:rsid w:val="007B3B1A"/>
    <w:rsid w:val="007B3CE4"/>
    <w:rsid w:val="007B5818"/>
    <w:rsid w:val="007B7042"/>
    <w:rsid w:val="007B76C5"/>
    <w:rsid w:val="007C31CE"/>
    <w:rsid w:val="007C4C5F"/>
    <w:rsid w:val="007C6FF4"/>
    <w:rsid w:val="007D0660"/>
    <w:rsid w:val="007D0D2A"/>
    <w:rsid w:val="007D1B9A"/>
    <w:rsid w:val="007D2616"/>
    <w:rsid w:val="007D3083"/>
    <w:rsid w:val="007D60ED"/>
    <w:rsid w:val="007D6A86"/>
    <w:rsid w:val="007D7F0B"/>
    <w:rsid w:val="007E18F2"/>
    <w:rsid w:val="007E1CFC"/>
    <w:rsid w:val="007E1F89"/>
    <w:rsid w:val="007E4902"/>
    <w:rsid w:val="007E5514"/>
    <w:rsid w:val="007E5CE0"/>
    <w:rsid w:val="007E6031"/>
    <w:rsid w:val="007E6AF4"/>
    <w:rsid w:val="007F234F"/>
    <w:rsid w:val="007F25A9"/>
    <w:rsid w:val="007F26D8"/>
    <w:rsid w:val="007F41A7"/>
    <w:rsid w:val="007F578E"/>
    <w:rsid w:val="007F5C73"/>
    <w:rsid w:val="00800698"/>
    <w:rsid w:val="008009A8"/>
    <w:rsid w:val="008009F6"/>
    <w:rsid w:val="00801515"/>
    <w:rsid w:val="00801C54"/>
    <w:rsid w:val="008046F3"/>
    <w:rsid w:val="00813B6F"/>
    <w:rsid w:val="00813EDA"/>
    <w:rsid w:val="0081462E"/>
    <w:rsid w:val="00814B7C"/>
    <w:rsid w:val="0081740B"/>
    <w:rsid w:val="00817D75"/>
    <w:rsid w:val="00821593"/>
    <w:rsid w:val="00821728"/>
    <w:rsid w:val="00824E1D"/>
    <w:rsid w:val="008304CD"/>
    <w:rsid w:val="0083172B"/>
    <w:rsid w:val="00831AE0"/>
    <w:rsid w:val="00832FD9"/>
    <w:rsid w:val="00835E09"/>
    <w:rsid w:val="00836FA8"/>
    <w:rsid w:val="00841D50"/>
    <w:rsid w:val="008422F8"/>
    <w:rsid w:val="0084291C"/>
    <w:rsid w:val="00844905"/>
    <w:rsid w:val="00845939"/>
    <w:rsid w:val="00851CF6"/>
    <w:rsid w:val="008521D7"/>
    <w:rsid w:val="00854C8E"/>
    <w:rsid w:val="00854CEE"/>
    <w:rsid w:val="0085587F"/>
    <w:rsid w:val="00855C3E"/>
    <w:rsid w:val="0085691A"/>
    <w:rsid w:val="00861162"/>
    <w:rsid w:val="00861E79"/>
    <w:rsid w:val="00861E7C"/>
    <w:rsid w:val="008642C4"/>
    <w:rsid w:val="00864DF6"/>
    <w:rsid w:val="00865A3D"/>
    <w:rsid w:val="00865BDC"/>
    <w:rsid w:val="00866786"/>
    <w:rsid w:val="00866A29"/>
    <w:rsid w:val="00867C54"/>
    <w:rsid w:val="00870BC2"/>
    <w:rsid w:val="00871C14"/>
    <w:rsid w:val="00872B8D"/>
    <w:rsid w:val="00872DC6"/>
    <w:rsid w:val="00874C49"/>
    <w:rsid w:val="008750E3"/>
    <w:rsid w:val="00875115"/>
    <w:rsid w:val="00876C2A"/>
    <w:rsid w:val="0087765A"/>
    <w:rsid w:val="00877994"/>
    <w:rsid w:val="00877E99"/>
    <w:rsid w:val="00881A82"/>
    <w:rsid w:val="00881AA4"/>
    <w:rsid w:val="00881C00"/>
    <w:rsid w:val="008824FA"/>
    <w:rsid w:val="00882B81"/>
    <w:rsid w:val="008834B9"/>
    <w:rsid w:val="00884545"/>
    <w:rsid w:val="0088479A"/>
    <w:rsid w:val="00885AAF"/>
    <w:rsid w:val="00886721"/>
    <w:rsid w:val="00886AAA"/>
    <w:rsid w:val="008875A0"/>
    <w:rsid w:val="00887D21"/>
    <w:rsid w:val="008900CD"/>
    <w:rsid w:val="00892ACD"/>
    <w:rsid w:val="00893273"/>
    <w:rsid w:val="00897657"/>
    <w:rsid w:val="00897E63"/>
    <w:rsid w:val="008A33C8"/>
    <w:rsid w:val="008A406C"/>
    <w:rsid w:val="008A5ABB"/>
    <w:rsid w:val="008B08E6"/>
    <w:rsid w:val="008B5C81"/>
    <w:rsid w:val="008B6094"/>
    <w:rsid w:val="008B6D2D"/>
    <w:rsid w:val="008B7196"/>
    <w:rsid w:val="008B7ADF"/>
    <w:rsid w:val="008C0821"/>
    <w:rsid w:val="008C1122"/>
    <w:rsid w:val="008C15B2"/>
    <w:rsid w:val="008C1B50"/>
    <w:rsid w:val="008C297D"/>
    <w:rsid w:val="008C3E4B"/>
    <w:rsid w:val="008C4361"/>
    <w:rsid w:val="008C5497"/>
    <w:rsid w:val="008C7DFB"/>
    <w:rsid w:val="008D0257"/>
    <w:rsid w:val="008D0DFE"/>
    <w:rsid w:val="008D1973"/>
    <w:rsid w:val="008D42E8"/>
    <w:rsid w:val="008D4BB2"/>
    <w:rsid w:val="008D5492"/>
    <w:rsid w:val="008D65B9"/>
    <w:rsid w:val="008D7BA1"/>
    <w:rsid w:val="008D7E5C"/>
    <w:rsid w:val="008E0461"/>
    <w:rsid w:val="008E0D0E"/>
    <w:rsid w:val="008E0EE4"/>
    <w:rsid w:val="008E4124"/>
    <w:rsid w:val="008E44C0"/>
    <w:rsid w:val="008E57AC"/>
    <w:rsid w:val="008E6015"/>
    <w:rsid w:val="008E6AFF"/>
    <w:rsid w:val="008E7FD5"/>
    <w:rsid w:val="008F05D0"/>
    <w:rsid w:val="008F19C8"/>
    <w:rsid w:val="008F2115"/>
    <w:rsid w:val="008F27EE"/>
    <w:rsid w:val="008F4521"/>
    <w:rsid w:val="008F6BFD"/>
    <w:rsid w:val="008F7EC9"/>
    <w:rsid w:val="0090035F"/>
    <w:rsid w:val="0090133E"/>
    <w:rsid w:val="00902833"/>
    <w:rsid w:val="00903044"/>
    <w:rsid w:val="00903732"/>
    <w:rsid w:val="00904501"/>
    <w:rsid w:val="0090501F"/>
    <w:rsid w:val="009070F9"/>
    <w:rsid w:val="009100E6"/>
    <w:rsid w:val="0091040E"/>
    <w:rsid w:val="00910A32"/>
    <w:rsid w:val="009122CF"/>
    <w:rsid w:val="009128C2"/>
    <w:rsid w:val="009147C5"/>
    <w:rsid w:val="0091679F"/>
    <w:rsid w:val="009172C4"/>
    <w:rsid w:val="00920320"/>
    <w:rsid w:val="00920CFE"/>
    <w:rsid w:val="009222A6"/>
    <w:rsid w:val="0092324F"/>
    <w:rsid w:val="00923485"/>
    <w:rsid w:val="009235D3"/>
    <w:rsid w:val="00923E73"/>
    <w:rsid w:val="009244CD"/>
    <w:rsid w:val="0092517E"/>
    <w:rsid w:val="00925F64"/>
    <w:rsid w:val="009267D3"/>
    <w:rsid w:val="00926991"/>
    <w:rsid w:val="00926C61"/>
    <w:rsid w:val="00927DE2"/>
    <w:rsid w:val="00930F17"/>
    <w:rsid w:val="009323B7"/>
    <w:rsid w:val="00933AB0"/>
    <w:rsid w:val="0093403D"/>
    <w:rsid w:val="00934778"/>
    <w:rsid w:val="009354FA"/>
    <w:rsid w:val="00937057"/>
    <w:rsid w:val="00937E4A"/>
    <w:rsid w:val="0094160C"/>
    <w:rsid w:val="00941961"/>
    <w:rsid w:val="00942CE5"/>
    <w:rsid w:val="00946EC8"/>
    <w:rsid w:val="0095112F"/>
    <w:rsid w:val="00952BD3"/>
    <w:rsid w:val="009544A3"/>
    <w:rsid w:val="00954A1F"/>
    <w:rsid w:val="00957A45"/>
    <w:rsid w:val="0096356F"/>
    <w:rsid w:val="009654C7"/>
    <w:rsid w:val="00966FD8"/>
    <w:rsid w:val="0097073A"/>
    <w:rsid w:val="0097175B"/>
    <w:rsid w:val="009731CA"/>
    <w:rsid w:val="0097493A"/>
    <w:rsid w:val="00974BE8"/>
    <w:rsid w:val="009761B2"/>
    <w:rsid w:val="009762F9"/>
    <w:rsid w:val="00976344"/>
    <w:rsid w:val="009855CB"/>
    <w:rsid w:val="00985805"/>
    <w:rsid w:val="009872CD"/>
    <w:rsid w:val="0099042A"/>
    <w:rsid w:val="00990898"/>
    <w:rsid w:val="00990CB3"/>
    <w:rsid w:val="0099158A"/>
    <w:rsid w:val="009916CE"/>
    <w:rsid w:val="00994E66"/>
    <w:rsid w:val="00995889"/>
    <w:rsid w:val="009A0B2B"/>
    <w:rsid w:val="009A0D36"/>
    <w:rsid w:val="009A21CF"/>
    <w:rsid w:val="009A3FFE"/>
    <w:rsid w:val="009A6753"/>
    <w:rsid w:val="009A6819"/>
    <w:rsid w:val="009A709D"/>
    <w:rsid w:val="009B0146"/>
    <w:rsid w:val="009B24D7"/>
    <w:rsid w:val="009B5B3A"/>
    <w:rsid w:val="009B6CBC"/>
    <w:rsid w:val="009B7469"/>
    <w:rsid w:val="009C0CC3"/>
    <w:rsid w:val="009C1358"/>
    <w:rsid w:val="009C2C7A"/>
    <w:rsid w:val="009C2D74"/>
    <w:rsid w:val="009C303D"/>
    <w:rsid w:val="009C36D8"/>
    <w:rsid w:val="009C42F5"/>
    <w:rsid w:val="009C5636"/>
    <w:rsid w:val="009C653C"/>
    <w:rsid w:val="009C7C10"/>
    <w:rsid w:val="009C7CEF"/>
    <w:rsid w:val="009D016C"/>
    <w:rsid w:val="009D0BC5"/>
    <w:rsid w:val="009D16BA"/>
    <w:rsid w:val="009D2792"/>
    <w:rsid w:val="009D411B"/>
    <w:rsid w:val="009D4DED"/>
    <w:rsid w:val="009D5499"/>
    <w:rsid w:val="009D585B"/>
    <w:rsid w:val="009D59D9"/>
    <w:rsid w:val="009D62E7"/>
    <w:rsid w:val="009D64C1"/>
    <w:rsid w:val="009D6B7B"/>
    <w:rsid w:val="009E0360"/>
    <w:rsid w:val="009E40F4"/>
    <w:rsid w:val="009E604B"/>
    <w:rsid w:val="009E7B22"/>
    <w:rsid w:val="009E7E1B"/>
    <w:rsid w:val="009F06A1"/>
    <w:rsid w:val="009F18E9"/>
    <w:rsid w:val="009F1E53"/>
    <w:rsid w:val="009F215F"/>
    <w:rsid w:val="009F2D54"/>
    <w:rsid w:val="009F3C33"/>
    <w:rsid w:val="009F4194"/>
    <w:rsid w:val="009F4ACF"/>
    <w:rsid w:val="009F4B5E"/>
    <w:rsid w:val="009F4E66"/>
    <w:rsid w:val="009F4FDB"/>
    <w:rsid w:val="00A004AC"/>
    <w:rsid w:val="00A01715"/>
    <w:rsid w:val="00A03AC7"/>
    <w:rsid w:val="00A04C3C"/>
    <w:rsid w:val="00A05DA8"/>
    <w:rsid w:val="00A05F5B"/>
    <w:rsid w:val="00A06E4C"/>
    <w:rsid w:val="00A071BB"/>
    <w:rsid w:val="00A10FE5"/>
    <w:rsid w:val="00A11984"/>
    <w:rsid w:val="00A122A1"/>
    <w:rsid w:val="00A13041"/>
    <w:rsid w:val="00A13330"/>
    <w:rsid w:val="00A13731"/>
    <w:rsid w:val="00A160D8"/>
    <w:rsid w:val="00A161F9"/>
    <w:rsid w:val="00A1746C"/>
    <w:rsid w:val="00A17B82"/>
    <w:rsid w:val="00A21730"/>
    <w:rsid w:val="00A228A2"/>
    <w:rsid w:val="00A23032"/>
    <w:rsid w:val="00A23B85"/>
    <w:rsid w:val="00A2549F"/>
    <w:rsid w:val="00A25644"/>
    <w:rsid w:val="00A26E39"/>
    <w:rsid w:val="00A27642"/>
    <w:rsid w:val="00A327ED"/>
    <w:rsid w:val="00A3558F"/>
    <w:rsid w:val="00A356D7"/>
    <w:rsid w:val="00A358FA"/>
    <w:rsid w:val="00A37B74"/>
    <w:rsid w:val="00A37BC3"/>
    <w:rsid w:val="00A37E10"/>
    <w:rsid w:val="00A40416"/>
    <w:rsid w:val="00A4165C"/>
    <w:rsid w:val="00A42D90"/>
    <w:rsid w:val="00A44049"/>
    <w:rsid w:val="00A45FB2"/>
    <w:rsid w:val="00A46F13"/>
    <w:rsid w:val="00A47C28"/>
    <w:rsid w:val="00A51104"/>
    <w:rsid w:val="00A534C7"/>
    <w:rsid w:val="00A545AE"/>
    <w:rsid w:val="00A55447"/>
    <w:rsid w:val="00A560CF"/>
    <w:rsid w:val="00A5653E"/>
    <w:rsid w:val="00A5747E"/>
    <w:rsid w:val="00A57CBC"/>
    <w:rsid w:val="00A57EE2"/>
    <w:rsid w:val="00A60914"/>
    <w:rsid w:val="00A611E2"/>
    <w:rsid w:val="00A63579"/>
    <w:rsid w:val="00A65920"/>
    <w:rsid w:val="00A672E7"/>
    <w:rsid w:val="00A70DF8"/>
    <w:rsid w:val="00A7119A"/>
    <w:rsid w:val="00A7158F"/>
    <w:rsid w:val="00A73F41"/>
    <w:rsid w:val="00A748E0"/>
    <w:rsid w:val="00A81439"/>
    <w:rsid w:val="00A82357"/>
    <w:rsid w:val="00A82BE6"/>
    <w:rsid w:val="00A83301"/>
    <w:rsid w:val="00A84DBA"/>
    <w:rsid w:val="00A87FF7"/>
    <w:rsid w:val="00A9064B"/>
    <w:rsid w:val="00A91024"/>
    <w:rsid w:val="00A92BC2"/>
    <w:rsid w:val="00A9569A"/>
    <w:rsid w:val="00A95874"/>
    <w:rsid w:val="00A97714"/>
    <w:rsid w:val="00AA0A9A"/>
    <w:rsid w:val="00AA277B"/>
    <w:rsid w:val="00AA2AD8"/>
    <w:rsid w:val="00AA3EFF"/>
    <w:rsid w:val="00AA4CD5"/>
    <w:rsid w:val="00AA52DF"/>
    <w:rsid w:val="00AA5FCD"/>
    <w:rsid w:val="00AA6AC3"/>
    <w:rsid w:val="00AA6CF1"/>
    <w:rsid w:val="00AA7B3D"/>
    <w:rsid w:val="00AB0168"/>
    <w:rsid w:val="00AB019A"/>
    <w:rsid w:val="00AB1A50"/>
    <w:rsid w:val="00AB3262"/>
    <w:rsid w:val="00AC0A2C"/>
    <w:rsid w:val="00AC0B4C"/>
    <w:rsid w:val="00AC13A2"/>
    <w:rsid w:val="00AC1BA6"/>
    <w:rsid w:val="00AC604D"/>
    <w:rsid w:val="00AC7531"/>
    <w:rsid w:val="00AD0754"/>
    <w:rsid w:val="00AD1020"/>
    <w:rsid w:val="00AD1B8F"/>
    <w:rsid w:val="00AD4FCF"/>
    <w:rsid w:val="00AD578E"/>
    <w:rsid w:val="00AD6F35"/>
    <w:rsid w:val="00AD7DA8"/>
    <w:rsid w:val="00AE1D82"/>
    <w:rsid w:val="00AE41AC"/>
    <w:rsid w:val="00AE54E3"/>
    <w:rsid w:val="00AE6344"/>
    <w:rsid w:val="00AE7630"/>
    <w:rsid w:val="00AF0B13"/>
    <w:rsid w:val="00AF13D4"/>
    <w:rsid w:val="00AF1F85"/>
    <w:rsid w:val="00AF51FD"/>
    <w:rsid w:val="00AF58C4"/>
    <w:rsid w:val="00AF7D40"/>
    <w:rsid w:val="00B00240"/>
    <w:rsid w:val="00B06CD5"/>
    <w:rsid w:val="00B07F4B"/>
    <w:rsid w:val="00B1032F"/>
    <w:rsid w:val="00B10C3A"/>
    <w:rsid w:val="00B117B5"/>
    <w:rsid w:val="00B125EB"/>
    <w:rsid w:val="00B14051"/>
    <w:rsid w:val="00B147BE"/>
    <w:rsid w:val="00B1653C"/>
    <w:rsid w:val="00B16F38"/>
    <w:rsid w:val="00B172AE"/>
    <w:rsid w:val="00B17FBE"/>
    <w:rsid w:val="00B228BB"/>
    <w:rsid w:val="00B22AAB"/>
    <w:rsid w:val="00B24C6F"/>
    <w:rsid w:val="00B26A0A"/>
    <w:rsid w:val="00B27D7F"/>
    <w:rsid w:val="00B317CF"/>
    <w:rsid w:val="00B33D63"/>
    <w:rsid w:val="00B34A94"/>
    <w:rsid w:val="00B355BC"/>
    <w:rsid w:val="00B3620A"/>
    <w:rsid w:val="00B36258"/>
    <w:rsid w:val="00B40C7E"/>
    <w:rsid w:val="00B43B55"/>
    <w:rsid w:val="00B45D2C"/>
    <w:rsid w:val="00B50917"/>
    <w:rsid w:val="00B51B44"/>
    <w:rsid w:val="00B535A3"/>
    <w:rsid w:val="00B53FAD"/>
    <w:rsid w:val="00B5423B"/>
    <w:rsid w:val="00B5568E"/>
    <w:rsid w:val="00B55CD1"/>
    <w:rsid w:val="00B55E11"/>
    <w:rsid w:val="00B57753"/>
    <w:rsid w:val="00B61F2C"/>
    <w:rsid w:val="00B63338"/>
    <w:rsid w:val="00B63779"/>
    <w:rsid w:val="00B6501F"/>
    <w:rsid w:val="00B65E43"/>
    <w:rsid w:val="00B672FB"/>
    <w:rsid w:val="00B70138"/>
    <w:rsid w:val="00B70282"/>
    <w:rsid w:val="00B71060"/>
    <w:rsid w:val="00B71980"/>
    <w:rsid w:val="00B72339"/>
    <w:rsid w:val="00B738E0"/>
    <w:rsid w:val="00B7435B"/>
    <w:rsid w:val="00B76F94"/>
    <w:rsid w:val="00B80769"/>
    <w:rsid w:val="00B80F32"/>
    <w:rsid w:val="00B8128E"/>
    <w:rsid w:val="00B84DC8"/>
    <w:rsid w:val="00B85161"/>
    <w:rsid w:val="00B870D1"/>
    <w:rsid w:val="00B90A5D"/>
    <w:rsid w:val="00B92776"/>
    <w:rsid w:val="00B92986"/>
    <w:rsid w:val="00B93E9B"/>
    <w:rsid w:val="00B946A4"/>
    <w:rsid w:val="00B957A9"/>
    <w:rsid w:val="00B95D42"/>
    <w:rsid w:val="00B9639C"/>
    <w:rsid w:val="00B96AD2"/>
    <w:rsid w:val="00B96E80"/>
    <w:rsid w:val="00BA439A"/>
    <w:rsid w:val="00BA7331"/>
    <w:rsid w:val="00BA7358"/>
    <w:rsid w:val="00BA7778"/>
    <w:rsid w:val="00BB2A3D"/>
    <w:rsid w:val="00BB56F3"/>
    <w:rsid w:val="00BB57E1"/>
    <w:rsid w:val="00BB64CE"/>
    <w:rsid w:val="00BB6EFD"/>
    <w:rsid w:val="00BC151E"/>
    <w:rsid w:val="00BC2D19"/>
    <w:rsid w:val="00BC3152"/>
    <w:rsid w:val="00BC3281"/>
    <w:rsid w:val="00BC4A44"/>
    <w:rsid w:val="00BC4E97"/>
    <w:rsid w:val="00BC7232"/>
    <w:rsid w:val="00BC74AD"/>
    <w:rsid w:val="00BD028B"/>
    <w:rsid w:val="00BD076D"/>
    <w:rsid w:val="00BD11DC"/>
    <w:rsid w:val="00BD1F42"/>
    <w:rsid w:val="00BD629C"/>
    <w:rsid w:val="00BD785D"/>
    <w:rsid w:val="00BE004D"/>
    <w:rsid w:val="00BE0529"/>
    <w:rsid w:val="00BE244B"/>
    <w:rsid w:val="00BE2F7E"/>
    <w:rsid w:val="00BE34D1"/>
    <w:rsid w:val="00BE3974"/>
    <w:rsid w:val="00BE44D9"/>
    <w:rsid w:val="00BE4DDE"/>
    <w:rsid w:val="00BF08DF"/>
    <w:rsid w:val="00BF10E5"/>
    <w:rsid w:val="00BF1DF6"/>
    <w:rsid w:val="00BF2EB4"/>
    <w:rsid w:val="00BF3CA0"/>
    <w:rsid w:val="00BF3E1D"/>
    <w:rsid w:val="00BF5CD5"/>
    <w:rsid w:val="00BF71E8"/>
    <w:rsid w:val="00C00A72"/>
    <w:rsid w:val="00C0258E"/>
    <w:rsid w:val="00C02A45"/>
    <w:rsid w:val="00C040AD"/>
    <w:rsid w:val="00C04503"/>
    <w:rsid w:val="00C045F5"/>
    <w:rsid w:val="00C05578"/>
    <w:rsid w:val="00C06536"/>
    <w:rsid w:val="00C06E65"/>
    <w:rsid w:val="00C1062D"/>
    <w:rsid w:val="00C10A44"/>
    <w:rsid w:val="00C12B9D"/>
    <w:rsid w:val="00C13B3E"/>
    <w:rsid w:val="00C163C4"/>
    <w:rsid w:val="00C16D9A"/>
    <w:rsid w:val="00C205E2"/>
    <w:rsid w:val="00C22666"/>
    <w:rsid w:val="00C2327F"/>
    <w:rsid w:val="00C253ED"/>
    <w:rsid w:val="00C266A4"/>
    <w:rsid w:val="00C277A4"/>
    <w:rsid w:val="00C30738"/>
    <w:rsid w:val="00C3193B"/>
    <w:rsid w:val="00C31C6E"/>
    <w:rsid w:val="00C32492"/>
    <w:rsid w:val="00C33946"/>
    <w:rsid w:val="00C3598C"/>
    <w:rsid w:val="00C35BD0"/>
    <w:rsid w:val="00C35DCE"/>
    <w:rsid w:val="00C37511"/>
    <w:rsid w:val="00C37DAD"/>
    <w:rsid w:val="00C37F88"/>
    <w:rsid w:val="00C40C7C"/>
    <w:rsid w:val="00C4154B"/>
    <w:rsid w:val="00C42036"/>
    <w:rsid w:val="00C43C3F"/>
    <w:rsid w:val="00C441E3"/>
    <w:rsid w:val="00C4651A"/>
    <w:rsid w:val="00C478FE"/>
    <w:rsid w:val="00C47A30"/>
    <w:rsid w:val="00C51417"/>
    <w:rsid w:val="00C520F5"/>
    <w:rsid w:val="00C524F1"/>
    <w:rsid w:val="00C54B60"/>
    <w:rsid w:val="00C56057"/>
    <w:rsid w:val="00C57034"/>
    <w:rsid w:val="00C6178C"/>
    <w:rsid w:val="00C62136"/>
    <w:rsid w:val="00C64143"/>
    <w:rsid w:val="00C64DF5"/>
    <w:rsid w:val="00C65694"/>
    <w:rsid w:val="00C65857"/>
    <w:rsid w:val="00C66D1D"/>
    <w:rsid w:val="00C67A44"/>
    <w:rsid w:val="00C701B0"/>
    <w:rsid w:val="00C717A1"/>
    <w:rsid w:val="00C72341"/>
    <w:rsid w:val="00C731F3"/>
    <w:rsid w:val="00C74E83"/>
    <w:rsid w:val="00C7712D"/>
    <w:rsid w:val="00C800C8"/>
    <w:rsid w:val="00C80581"/>
    <w:rsid w:val="00C82195"/>
    <w:rsid w:val="00C85A09"/>
    <w:rsid w:val="00C878D9"/>
    <w:rsid w:val="00C911AC"/>
    <w:rsid w:val="00C91439"/>
    <w:rsid w:val="00C977D5"/>
    <w:rsid w:val="00CA2B97"/>
    <w:rsid w:val="00CB0760"/>
    <w:rsid w:val="00CB0BD8"/>
    <w:rsid w:val="00CB152A"/>
    <w:rsid w:val="00CB1DE3"/>
    <w:rsid w:val="00CB3718"/>
    <w:rsid w:val="00CB643E"/>
    <w:rsid w:val="00CC0538"/>
    <w:rsid w:val="00CC1306"/>
    <w:rsid w:val="00CC75E0"/>
    <w:rsid w:val="00CD324D"/>
    <w:rsid w:val="00CD3CC3"/>
    <w:rsid w:val="00CD496C"/>
    <w:rsid w:val="00CD7B74"/>
    <w:rsid w:val="00CE011B"/>
    <w:rsid w:val="00CE01F6"/>
    <w:rsid w:val="00CE0B09"/>
    <w:rsid w:val="00CE0D51"/>
    <w:rsid w:val="00CE2650"/>
    <w:rsid w:val="00CE3CB2"/>
    <w:rsid w:val="00CE48A2"/>
    <w:rsid w:val="00CE4A86"/>
    <w:rsid w:val="00CE5026"/>
    <w:rsid w:val="00CE5E3C"/>
    <w:rsid w:val="00CE6587"/>
    <w:rsid w:val="00CF054E"/>
    <w:rsid w:val="00CF1951"/>
    <w:rsid w:val="00CF1B05"/>
    <w:rsid w:val="00CF2C45"/>
    <w:rsid w:val="00D002A8"/>
    <w:rsid w:val="00D011AA"/>
    <w:rsid w:val="00D01493"/>
    <w:rsid w:val="00D02784"/>
    <w:rsid w:val="00D04962"/>
    <w:rsid w:val="00D04A27"/>
    <w:rsid w:val="00D04BCB"/>
    <w:rsid w:val="00D050A1"/>
    <w:rsid w:val="00D051CA"/>
    <w:rsid w:val="00D05697"/>
    <w:rsid w:val="00D06B63"/>
    <w:rsid w:val="00D114D0"/>
    <w:rsid w:val="00D11B42"/>
    <w:rsid w:val="00D11F4B"/>
    <w:rsid w:val="00D1282A"/>
    <w:rsid w:val="00D1310F"/>
    <w:rsid w:val="00D150B5"/>
    <w:rsid w:val="00D15499"/>
    <w:rsid w:val="00D15FCB"/>
    <w:rsid w:val="00D1623A"/>
    <w:rsid w:val="00D16705"/>
    <w:rsid w:val="00D1726C"/>
    <w:rsid w:val="00D17794"/>
    <w:rsid w:val="00D17A96"/>
    <w:rsid w:val="00D20CB6"/>
    <w:rsid w:val="00D219B9"/>
    <w:rsid w:val="00D2526A"/>
    <w:rsid w:val="00D25480"/>
    <w:rsid w:val="00D310D9"/>
    <w:rsid w:val="00D32384"/>
    <w:rsid w:val="00D33F94"/>
    <w:rsid w:val="00D351DB"/>
    <w:rsid w:val="00D3537A"/>
    <w:rsid w:val="00D365E9"/>
    <w:rsid w:val="00D37172"/>
    <w:rsid w:val="00D409DE"/>
    <w:rsid w:val="00D416E9"/>
    <w:rsid w:val="00D419DA"/>
    <w:rsid w:val="00D423D6"/>
    <w:rsid w:val="00D43607"/>
    <w:rsid w:val="00D43B70"/>
    <w:rsid w:val="00D44147"/>
    <w:rsid w:val="00D45006"/>
    <w:rsid w:val="00D4520B"/>
    <w:rsid w:val="00D46E47"/>
    <w:rsid w:val="00D50AA8"/>
    <w:rsid w:val="00D53446"/>
    <w:rsid w:val="00D547DD"/>
    <w:rsid w:val="00D552B6"/>
    <w:rsid w:val="00D553C8"/>
    <w:rsid w:val="00D56716"/>
    <w:rsid w:val="00D576F8"/>
    <w:rsid w:val="00D57B7C"/>
    <w:rsid w:val="00D61474"/>
    <w:rsid w:val="00D61845"/>
    <w:rsid w:val="00D62A9D"/>
    <w:rsid w:val="00D63874"/>
    <w:rsid w:val="00D64F11"/>
    <w:rsid w:val="00D658E3"/>
    <w:rsid w:val="00D65B60"/>
    <w:rsid w:val="00D65DCB"/>
    <w:rsid w:val="00D73557"/>
    <w:rsid w:val="00D74512"/>
    <w:rsid w:val="00D75506"/>
    <w:rsid w:val="00D757F8"/>
    <w:rsid w:val="00D76928"/>
    <w:rsid w:val="00D76BE6"/>
    <w:rsid w:val="00D76C44"/>
    <w:rsid w:val="00D76EDE"/>
    <w:rsid w:val="00D805FF"/>
    <w:rsid w:val="00D80900"/>
    <w:rsid w:val="00D817CF"/>
    <w:rsid w:val="00D848C3"/>
    <w:rsid w:val="00D84D98"/>
    <w:rsid w:val="00D85000"/>
    <w:rsid w:val="00D85B17"/>
    <w:rsid w:val="00D85BC5"/>
    <w:rsid w:val="00D8615A"/>
    <w:rsid w:val="00D86436"/>
    <w:rsid w:val="00D86B1E"/>
    <w:rsid w:val="00D92D8C"/>
    <w:rsid w:val="00D92E6D"/>
    <w:rsid w:val="00D9321A"/>
    <w:rsid w:val="00D94DE7"/>
    <w:rsid w:val="00D95670"/>
    <w:rsid w:val="00D96D3D"/>
    <w:rsid w:val="00D9789B"/>
    <w:rsid w:val="00D97AD8"/>
    <w:rsid w:val="00D97BC2"/>
    <w:rsid w:val="00DA0626"/>
    <w:rsid w:val="00DA1488"/>
    <w:rsid w:val="00DA2ADB"/>
    <w:rsid w:val="00DA315D"/>
    <w:rsid w:val="00DA32AA"/>
    <w:rsid w:val="00DA3BA6"/>
    <w:rsid w:val="00DA6F79"/>
    <w:rsid w:val="00DA7226"/>
    <w:rsid w:val="00DA78C4"/>
    <w:rsid w:val="00DA7D3B"/>
    <w:rsid w:val="00DB0A74"/>
    <w:rsid w:val="00DB2376"/>
    <w:rsid w:val="00DB269C"/>
    <w:rsid w:val="00DB2707"/>
    <w:rsid w:val="00DB2C9A"/>
    <w:rsid w:val="00DB2E06"/>
    <w:rsid w:val="00DB3627"/>
    <w:rsid w:val="00DB5D9C"/>
    <w:rsid w:val="00DB5FFE"/>
    <w:rsid w:val="00DB691C"/>
    <w:rsid w:val="00DB6EDB"/>
    <w:rsid w:val="00DC1799"/>
    <w:rsid w:val="00DC1944"/>
    <w:rsid w:val="00DC2F7E"/>
    <w:rsid w:val="00DC468C"/>
    <w:rsid w:val="00DC49B5"/>
    <w:rsid w:val="00DC597B"/>
    <w:rsid w:val="00DD07CD"/>
    <w:rsid w:val="00DD0A9A"/>
    <w:rsid w:val="00DD14D8"/>
    <w:rsid w:val="00DD2B91"/>
    <w:rsid w:val="00DD3FEC"/>
    <w:rsid w:val="00DD4A0D"/>
    <w:rsid w:val="00DD6767"/>
    <w:rsid w:val="00DD74DE"/>
    <w:rsid w:val="00DD7937"/>
    <w:rsid w:val="00DD79A6"/>
    <w:rsid w:val="00DE1DC0"/>
    <w:rsid w:val="00DE29F7"/>
    <w:rsid w:val="00DE7F7B"/>
    <w:rsid w:val="00DF0795"/>
    <w:rsid w:val="00DF1AE6"/>
    <w:rsid w:val="00DF1D8F"/>
    <w:rsid w:val="00DF30F2"/>
    <w:rsid w:val="00DF3D12"/>
    <w:rsid w:val="00DF59AE"/>
    <w:rsid w:val="00DF7072"/>
    <w:rsid w:val="00E03703"/>
    <w:rsid w:val="00E06F80"/>
    <w:rsid w:val="00E077D5"/>
    <w:rsid w:val="00E1069E"/>
    <w:rsid w:val="00E10C74"/>
    <w:rsid w:val="00E10CF9"/>
    <w:rsid w:val="00E12F56"/>
    <w:rsid w:val="00E13645"/>
    <w:rsid w:val="00E146E6"/>
    <w:rsid w:val="00E15723"/>
    <w:rsid w:val="00E203A8"/>
    <w:rsid w:val="00E20ED9"/>
    <w:rsid w:val="00E21100"/>
    <w:rsid w:val="00E214B0"/>
    <w:rsid w:val="00E22C49"/>
    <w:rsid w:val="00E2380D"/>
    <w:rsid w:val="00E2589F"/>
    <w:rsid w:val="00E25B11"/>
    <w:rsid w:val="00E26BD3"/>
    <w:rsid w:val="00E27A75"/>
    <w:rsid w:val="00E27AB7"/>
    <w:rsid w:val="00E27ECC"/>
    <w:rsid w:val="00E30185"/>
    <w:rsid w:val="00E3240F"/>
    <w:rsid w:val="00E32957"/>
    <w:rsid w:val="00E33146"/>
    <w:rsid w:val="00E349BA"/>
    <w:rsid w:val="00E34AEE"/>
    <w:rsid w:val="00E34E3D"/>
    <w:rsid w:val="00E36056"/>
    <w:rsid w:val="00E36871"/>
    <w:rsid w:val="00E37351"/>
    <w:rsid w:val="00E37AAB"/>
    <w:rsid w:val="00E40074"/>
    <w:rsid w:val="00E40196"/>
    <w:rsid w:val="00E402E9"/>
    <w:rsid w:val="00E40D18"/>
    <w:rsid w:val="00E44B07"/>
    <w:rsid w:val="00E46A95"/>
    <w:rsid w:val="00E46BCD"/>
    <w:rsid w:val="00E478E3"/>
    <w:rsid w:val="00E51C2C"/>
    <w:rsid w:val="00E524C5"/>
    <w:rsid w:val="00E539F7"/>
    <w:rsid w:val="00E54133"/>
    <w:rsid w:val="00E5443B"/>
    <w:rsid w:val="00E54E2C"/>
    <w:rsid w:val="00E60167"/>
    <w:rsid w:val="00E611CB"/>
    <w:rsid w:val="00E61FC6"/>
    <w:rsid w:val="00E620B1"/>
    <w:rsid w:val="00E631C3"/>
    <w:rsid w:val="00E646A8"/>
    <w:rsid w:val="00E66EE7"/>
    <w:rsid w:val="00E67D3C"/>
    <w:rsid w:val="00E71E74"/>
    <w:rsid w:val="00E73015"/>
    <w:rsid w:val="00E7549B"/>
    <w:rsid w:val="00E762C8"/>
    <w:rsid w:val="00E77B6E"/>
    <w:rsid w:val="00E80144"/>
    <w:rsid w:val="00E8154C"/>
    <w:rsid w:val="00E8182D"/>
    <w:rsid w:val="00E81A6F"/>
    <w:rsid w:val="00E832E5"/>
    <w:rsid w:val="00E83334"/>
    <w:rsid w:val="00E8341F"/>
    <w:rsid w:val="00E85656"/>
    <w:rsid w:val="00E8621E"/>
    <w:rsid w:val="00E873AF"/>
    <w:rsid w:val="00E91497"/>
    <w:rsid w:val="00E923F2"/>
    <w:rsid w:val="00E95D34"/>
    <w:rsid w:val="00E961D2"/>
    <w:rsid w:val="00E96866"/>
    <w:rsid w:val="00E9787B"/>
    <w:rsid w:val="00E97A60"/>
    <w:rsid w:val="00EA092A"/>
    <w:rsid w:val="00EA1D34"/>
    <w:rsid w:val="00EA4CFE"/>
    <w:rsid w:val="00EA5D48"/>
    <w:rsid w:val="00EA672C"/>
    <w:rsid w:val="00EB1818"/>
    <w:rsid w:val="00EB35A6"/>
    <w:rsid w:val="00EB54E4"/>
    <w:rsid w:val="00EB596E"/>
    <w:rsid w:val="00EB71D2"/>
    <w:rsid w:val="00EC0EFD"/>
    <w:rsid w:val="00EC1B9E"/>
    <w:rsid w:val="00EC2E92"/>
    <w:rsid w:val="00EC4DF8"/>
    <w:rsid w:val="00EC5649"/>
    <w:rsid w:val="00EC788C"/>
    <w:rsid w:val="00EC7BFE"/>
    <w:rsid w:val="00EC7DEF"/>
    <w:rsid w:val="00ED1600"/>
    <w:rsid w:val="00ED16BD"/>
    <w:rsid w:val="00ED32BE"/>
    <w:rsid w:val="00ED7786"/>
    <w:rsid w:val="00ED79BB"/>
    <w:rsid w:val="00ED7F35"/>
    <w:rsid w:val="00EE0635"/>
    <w:rsid w:val="00EE1CCE"/>
    <w:rsid w:val="00EE33DE"/>
    <w:rsid w:val="00EE374F"/>
    <w:rsid w:val="00EE4A04"/>
    <w:rsid w:val="00EE4ADC"/>
    <w:rsid w:val="00EE5288"/>
    <w:rsid w:val="00EE5F7A"/>
    <w:rsid w:val="00EE686C"/>
    <w:rsid w:val="00EE7B0E"/>
    <w:rsid w:val="00EF1559"/>
    <w:rsid w:val="00EF169A"/>
    <w:rsid w:val="00EF2FB9"/>
    <w:rsid w:val="00EF660F"/>
    <w:rsid w:val="00EF6BE9"/>
    <w:rsid w:val="00EF731C"/>
    <w:rsid w:val="00EF74EB"/>
    <w:rsid w:val="00F0020A"/>
    <w:rsid w:val="00F00500"/>
    <w:rsid w:val="00F00690"/>
    <w:rsid w:val="00F00990"/>
    <w:rsid w:val="00F0129A"/>
    <w:rsid w:val="00F019CF"/>
    <w:rsid w:val="00F01E2B"/>
    <w:rsid w:val="00F02F9E"/>
    <w:rsid w:val="00F031D7"/>
    <w:rsid w:val="00F03DC9"/>
    <w:rsid w:val="00F0575A"/>
    <w:rsid w:val="00F05845"/>
    <w:rsid w:val="00F05D6D"/>
    <w:rsid w:val="00F066E4"/>
    <w:rsid w:val="00F06907"/>
    <w:rsid w:val="00F072BD"/>
    <w:rsid w:val="00F077F2"/>
    <w:rsid w:val="00F1101A"/>
    <w:rsid w:val="00F1104B"/>
    <w:rsid w:val="00F110FE"/>
    <w:rsid w:val="00F1116F"/>
    <w:rsid w:val="00F126EF"/>
    <w:rsid w:val="00F141C2"/>
    <w:rsid w:val="00F17CC4"/>
    <w:rsid w:val="00F22927"/>
    <w:rsid w:val="00F22A11"/>
    <w:rsid w:val="00F22A12"/>
    <w:rsid w:val="00F236C2"/>
    <w:rsid w:val="00F247B6"/>
    <w:rsid w:val="00F263E1"/>
    <w:rsid w:val="00F26D50"/>
    <w:rsid w:val="00F27D95"/>
    <w:rsid w:val="00F30892"/>
    <w:rsid w:val="00F32101"/>
    <w:rsid w:val="00F33F54"/>
    <w:rsid w:val="00F34CA3"/>
    <w:rsid w:val="00F366EF"/>
    <w:rsid w:val="00F40FED"/>
    <w:rsid w:val="00F41351"/>
    <w:rsid w:val="00F41A7A"/>
    <w:rsid w:val="00F427F4"/>
    <w:rsid w:val="00F44F70"/>
    <w:rsid w:val="00F51074"/>
    <w:rsid w:val="00F52560"/>
    <w:rsid w:val="00F52CC6"/>
    <w:rsid w:val="00F5513B"/>
    <w:rsid w:val="00F566B8"/>
    <w:rsid w:val="00F56F73"/>
    <w:rsid w:val="00F60BAD"/>
    <w:rsid w:val="00F60C37"/>
    <w:rsid w:val="00F61285"/>
    <w:rsid w:val="00F62240"/>
    <w:rsid w:val="00F63003"/>
    <w:rsid w:val="00F63777"/>
    <w:rsid w:val="00F644AF"/>
    <w:rsid w:val="00F66779"/>
    <w:rsid w:val="00F6770F"/>
    <w:rsid w:val="00F67ACC"/>
    <w:rsid w:val="00F70A8A"/>
    <w:rsid w:val="00F71881"/>
    <w:rsid w:val="00F72446"/>
    <w:rsid w:val="00F72DE4"/>
    <w:rsid w:val="00F73338"/>
    <w:rsid w:val="00F740D9"/>
    <w:rsid w:val="00F76842"/>
    <w:rsid w:val="00F8069C"/>
    <w:rsid w:val="00F81060"/>
    <w:rsid w:val="00F814F4"/>
    <w:rsid w:val="00F82BEB"/>
    <w:rsid w:val="00F84D23"/>
    <w:rsid w:val="00F867E7"/>
    <w:rsid w:val="00F878C1"/>
    <w:rsid w:val="00F87DEE"/>
    <w:rsid w:val="00F948F9"/>
    <w:rsid w:val="00F94A7B"/>
    <w:rsid w:val="00F94C0D"/>
    <w:rsid w:val="00F94CBD"/>
    <w:rsid w:val="00FA072B"/>
    <w:rsid w:val="00FA0BD2"/>
    <w:rsid w:val="00FA0E1A"/>
    <w:rsid w:val="00FA10EE"/>
    <w:rsid w:val="00FA1BE5"/>
    <w:rsid w:val="00FA2379"/>
    <w:rsid w:val="00FA300F"/>
    <w:rsid w:val="00FA3386"/>
    <w:rsid w:val="00FA3ECA"/>
    <w:rsid w:val="00FA4D88"/>
    <w:rsid w:val="00FA64DA"/>
    <w:rsid w:val="00FA6C70"/>
    <w:rsid w:val="00FA70CC"/>
    <w:rsid w:val="00FA7739"/>
    <w:rsid w:val="00FB08A4"/>
    <w:rsid w:val="00FB0C33"/>
    <w:rsid w:val="00FB1788"/>
    <w:rsid w:val="00FB3218"/>
    <w:rsid w:val="00FB3C7D"/>
    <w:rsid w:val="00FB407B"/>
    <w:rsid w:val="00FB4CF9"/>
    <w:rsid w:val="00FB5808"/>
    <w:rsid w:val="00FC172B"/>
    <w:rsid w:val="00FC1D81"/>
    <w:rsid w:val="00FC3036"/>
    <w:rsid w:val="00FC6C2A"/>
    <w:rsid w:val="00FC73D5"/>
    <w:rsid w:val="00FC7D16"/>
    <w:rsid w:val="00FD32FE"/>
    <w:rsid w:val="00FD67C1"/>
    <w:rsid w:val="00FE0523"/>
    <w:rsid w:val="00FE0949"/>
    <w:rsid w:val="00FE24F6"/>
    <w:rsid w:val="00FE2EA1"/>
    <w:rsid w:val="00FE313B"/>
    <w:rsid w:val="00FE3F4A"/>
    <w:rsid w:val="00FE6653"/>
    <w:rsid w:val="00FE66B3"/>
    <w:rsid w:val="00FE68FC"/>
    <w:rsid w:val="00FF088F"/>
    <w:rsid w:val="00FF1086"/>
    <w:rsid w:val="00FF1379"/>
    <w:rsid w:val="00FF2457"/>
    <w:rsid w:val="00FF25C4"/>
    <w:rsid w:val="00FF3957"/>
    <w:rsid w:val="00FF5DBB"/>
    <w:rsid w:val="00FF60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DEE9"/>
  <w15:docId w15:val="{BB604B4C-E3C3-4AEB-86FE-64E8B18F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7A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20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B5808"/>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AD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97AD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97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AD8"/>
    <w:rPr>
      <w:rFonts w:ascii="Tahoma" w:hAnsi="Tahoma" w:cs="Tahoma"/>
      <w:sz w:val="16"/>
      <w:szCs w:val="16"/>
    </w:rPr>
  </w:style>
  <w:style w:type="paragraph" w:styleId="Subtitle">
    <w:name w:val="Subtitle"/>
    <w:basedOn w:val="Normal"/>
    <w:next w:val="Normal"/>
    <w:link w:val="SubtitleChar"/>
    <w:uiPriority w:val="11"/>
    <w:qFormat/>
    <w:rsid w:val="00D97A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7AD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B7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A1E"/>
  </w:style>
  <w:style w:type="paragraph" w:styleId="Footer">
    <w:name w:val="footer"/>
    <w:basedOn w:val="Normal"/>
    <w:link w:val="FooterChar"/>
    <w:uiPriority w:val="99"/>
    <w:unhideWhenUsed/>
    <w:rsid w:val="000B7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A1E"/>
  </w:style>
  <w:style w:type="character" w:styleId="CommentReference">
    <w:name w:val="annotation reference"/>
    <w:basedOn w:val="DefaultParagraphFont"/>
    <w:uiPriority w:val="99"/>
    <w:semiHidden/>
    <w:unhideWhenUsed/>
    <w:rsid w:val="00E762C8"/>
    <w:rPr>
      <w:sz w:val="16"/>
      <w:szCs w:val="16"/>
    </w:rPr>
  </w:style>
  <w:style w:type="paragraph" w:styleId="CommentText">
    <w:name w:val="annotation text"/>
    <w:basedOn w:val="Normal"/>
    <w:link w:val="CommentTextChar"/>
    <w:uiPriority w:val="99"/>
    <w:semiHidden/>
    <w:unhideWhenUsed/>
    <w:rsid w:val="00E762C8"/>
    <w:pPr>
      <w:spacing w:line="240" w:lineRule="auto"/>
    </w:pPr>
    <w:rPr>
      <w:sz w:val="20"/>
      <w:szCs w:val="20"/>
    </w:rPr>
  </w:style>
  <w:style w:type="character" w:customStyle="1" w:styleId="CommentTextChar">
    <w:name w:val="Comment Text Char"/>
    <w:basedOn w:val="DefaultParagraphFont"/>
    <w:link w:val="CommentText"/>
    <w:uiPriority w:val="99"/>
    <w:semiHidden/>
    <w:rsid w:val="00E762C8"/>
    <w:rPr>
      <w:sz w:val="20"/>
      <w:szCs w:val="20"/>
    </w:rPr>
  </w:style>
  <w:style w:type="paragraph" w:styleId="CommentSubject">
    <w:name w:val="annotation subject"/>
    <w:basedOn w:val="CommentText"/>
    <w:next w:val="CommentText"/>
    <w:link w:val="CommentSubjectChar"/>
    <w:uiPriority w:val="99"/>
    <w:semiHidden/>
    <w:unhideWhenUsed/>
    <w:rsid w:val="00E762C8"/>
    <w:rPr>
      <w:b/>
      <w:bCs/>
    </w:rPr>
  </w:style>
  <w:style w:type="character" w:customStyle="1" w:styleId="CommentSubjectChar">
    <w:name w:val="Comment Subject Char"/>
    <w:basedOn w:val="CommentTextChar"/>
    <w:link w:val="CommentSubject"/>
    <w:uiPriority w:val="99"/>
    <w:semiHidden/>
    <w:rsid w:val="00E762C8"/>
    <w:rPr>
      <w:b/>
      <w:bCs/>
      <w:sz w:val="20"/>
      <w:szCs w:val="20"/>
    </w:rPr>
  </w:style>
  <w:style w:type="character" w:customStyle="1" w:styleId="Heading3Char">
    <w:name w:val="Heading 3 Char"/>
    <w:basedOn w:val="DefaultParagraphFont"/>
    <w:link w:val="Heading3"/>
    <w:uiPriority w:val="9"/>
    <w:rsid w:val="00C520F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549E3"/>
    <w:pPr>
      <w:ind w:left="720"/>
      <w:contextualSpacing/>
    </w:pPr>
  </w:style>
  <w:style w:type="table" w:styleId="TableGrid">
    <w:name w:val="Table Grid"/>
    <w:basedOn w:val="TableNormal"/>
    <w:uiPriority w:val="39"/>
    <w:rsid w:val="00770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A57CBC"/>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GB" w:eastAsia="en-GB"/>
    </w:rPr>
  </w:style>
  <w:style w:type="character" w:customStyle="1" w:styleId="Heading4Char">
    <w:name w:val="Heading 4 Char"/>
    <w:basedOn w:val="DefaultParagraphFont"/>
    <w:link w:val="Heading4"/>
    <w:uiPriority w:val="9"/>
    <w:rsid w:val="00FB5808"/>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A5653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4774CF"/>
    <w:rPr>
      <w:color w:val="0000FF"/>
      <w:u w:val="single"/>
    </w:rPr>
  </w:style>
  <w:style w:type="paragraph" w:styleId="Revision">
    <w:name w:val="Revision"/>
    <w:hidden/>
    <w:uiPriority w:val="99"/>
    <w:semiHidden/>
    <w:rsid w:val="00B90A5D"/>
    <w:pPr>
      <w:spacing w:after="0" w:line="240" w:lineRule="auto"/>
    </w:pPr>
  </w:style>
  <w:style w:type="character" w:customStyle="1" w:styleId="UnresolvedMention1">
    <w:name w:val="Unresolved Mention1"/>
    <w:basedOn w:val="DefaultParagraphFont"/>
    <w:uiPriority w:val="99"/>
    <w:semiHidden/>
    <w:unhideWhenUsed/>
    <w:rsid w:val="00EC1B9E"/>
    <w:rPr>
      <w:color w:val="605E5C"/>
      <w:shd w:val="clear" w:color="auto" w:fill="E1DFDD"/>
    </w:rPr>
  </w:style>
  <w:style w:type="character" w:styleId="Strong">
    <w:name w:val="Strong"/>
    <w:basedOn w:val="DefaultParagraphFont"/>
    <w:uiPriority w:val="22"/>
    <w:qFormat/>
    <w:rsid w:val="001764D3"/>
    <w:rPr>
      <w:b/>
      <w:bCs/>
    </w:rPr>
  </w:style>
  <w:style w:type="character" w:styleId="Emphasis">
    <w:name w:val="Emphasis"/>
    <w:basedOn w:val="DefaultParagraphFont"/>
    <w:uiPriority w:val="20"/>
    <w:qFormat/>
    <w:rsid w:val="00C37DAD"/>
    <w:rPr>
      <w:i/>
      <w:iCs/>
    </w:rPr>
  </w:style>
  <w:style w:type="character" w:styleId="UnresolvedMention">
    <w:name w:val="Unresolved Mention"/>
    <w:basedOn w:val="DefaultParagraphFont"/>
    <w:uiPriority w:val="99"/>
    <w:semiHidden/>
    <w:unhideWhenUsed/>
    <w:rsid w:val="008C5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5929">
      <w:bodyDiv w:val="1"/>
      <w:marLeft w:val="0"/>
      <w:marRight w:val="0"/>
      <w:marTop w:val="0"/>
      <w:marBottom w:val="0"/>
      <w:divBdr>
        <w:top w:val="none" w:sz="0" w:space="0" w:color="auto"/>
        <w:left w:val="none" w:sz="0" w:space="0" w:color="auto"/>
        <w:bottom w:val="none" w:sz="0" w:space="0" w:color="auto"/>
        <w:right w:val="none" w:sz="0" w:space="0" w:color="auto"/>
      </w:divBdr>
    </w:div>
    <w:div w:id="52437160">
      <w:bodyDiv w:val="1"/>
      <w:marLeft w:val="0"/>
      <w:marRight w:val="0"/>
      <w:marTop w:val="0"/>
      <w:marBottom w:val="0"/>
      <w:divBdr>
        <w:top w:val="none" w:sz="0" w:space="0" w:color="auto"/>
        <w:left w:val="none" w:sz="0" w:space="0" w:color="auto"/>
        <w:bottom w:val="none" w:sz="0" w:space="0" w:color="auto"/>
        <w:right w:val="none" w:sz="0" w:space="0" w:color="auto"/>
      </w:divBdr>
    </w:div>
    <w:div w:id="57292175">
      <w:bodyDiv w:val="1"/>
      <w:marLeft w:val="0"/>
      <w:marRight w:val="0"/>
      <w:marTop w:val="0"/>
      <w:marBottom w:val="0"/>
      <w:divBdr>
        <w:top w:val="none" w:sz="0" w:space="0" w:color="auto"/>
        <w:left w:val="none" w:sz="0" w:space="0" w:color="auto"/>
        <w:bottom w:val="none" w:sz="0" w:space="0" w:color="auto"/>
        <w:right w:val="none" w:sz="0" w:space="0" w:color="auto"/>
      </w:divBdr>
    </w:div>
    <w:div w:id="131023931">
      <w:bodyDiv w:val="1"/>
      <w:marLeft w:val="0"/>
      <w:marRight w:val="0"/>
      <w:marTop w:val="0"/>
      <w:marBottom w:val="0"/>
      <w:divBdr>
        <w:top w:val="none" w:sz="0" w:space="0" w:color="auto"/>
        <w:left w:val="none" w:sz="0" w:space="0" w:color="auto"/>
        <w:bottom w:val="none" w:sz="0" w:space="0" w:color="auto"/>
        <w:right w:val="none" w:sz="0" w:space="0" w:color="auto"/>
      </w:divBdr>
    </w:div>
    <w:div w:id="158155827">
      <w:bodyDiv w:val="1"/>
      <w:marLeft w:val="0"/>
      <w:marRight w:val="0"/>
      <w:marTop w:val="0"/>
      <w:marBottom w:val="0"/>
      <w:divBdr>
        <w:top w:val="none" w:sz="0" w:space="0" w:color="auto"/>
        <w:left w:val="none" w:sz="0" w:space="0" w:color="auto"/>
        <w:bottom w:val="none" w:sz="0" w:space="0" w:color="auto"/>
        <w:right w:val="none" w:sz="0" w:space="0" w:color="auto"/>
      </w:divBdr>
    </w:div>
    <w:div w:id="189731683">
      <w:bodyDiv w:val="1"/>
      <w:marLeft w:val="0"/>
      <w:marRight w:val="0"/>
      <w:marTop w:val="0"/>
      <w:marBottom w:val="0"/>
      <w:divBdr>
        <w:top w:val="none" w:sz="0" w:space="0" w:color="auto"/>
        <w:left w:val="none" w:sz="0" w:space="0" w:color="auto"/>
        <w:bottom w:val="none" w:sz="0" w:space="0" w:color="auto"/>
        <w:right w:val="none" w:sz="0" w:space="0" w:color="auto"/>
      </w:divBdr>
    </w:div>
    <w:div w:id="282618970">
      <w:bodyDiv w:val="1"/>
      <w:marLeft w:val="0"/>
      <w:marRight w:val="0"/>
      <w:marTop w:val="0"/>
      <w:marBottom w:val="0"/>
      <w:divBdr>
        <w:top w:val="none" w:sz="0" w:space="0" w:color="auto"/>
        <w:left w:val="none" w:sz="0" w:space="0" w:color="auto"/>
        <w:bottom w:val="none" w:sz="0" w:space="0" w:color="auto"/>
        <w:right w:val="none" w:sz="0" w:space="0" w:color="auto"/>
      </w:divBdr>
    </w:div>
    <w:div w:id="296182659">
      <w:bodyDiv w:val="1"/>
      <w:marLeft w:val="0"/>
      <w:marRight w:val="0"/>
      <w:marTop w:val="0"/>
      <w:marBottom w:val="0"/>
      <w:divBdr>
        <w:top w:val="none" w:sz="0" w:space="0" w:color="auto"/>
        <w:left w:val="none" w:sz="0" w:space="0" w:color="auto"/>
        <w:bottom w:val="none" w:sz="0" w:space="0" w:color="auto"/>
        <w:right w:val="none" w:sz="0" w:space="0" w:color="auto"/>
      </w:divBdr>
    </w:div>
    <w:div w:id="531529129">
      <w:bodyDiv w:val="1"/>
      <w:marLeft w:val="0"/>
      <w:marRight w:val="0"/>
      <w:marTop w:val="0"/>
      <w:marBottom w:val="0"/>
      <w:divBdr>
        <w:top w:val="none" w:sz="0" w:space="0" w:color="auto"/>
        <w:left w:val="none" w:sz="0" w:space="0" w:color="auto"/>
        <w:bottom w:val="none" w:sz="0" w:space="0" w:color="auto"/>
        <w:right w:val="none" w:sz="0" w:space="0" w:color="auto"/>
      </w:divBdr>
    </w:div>
    <w:div w:id="570698906">
      <w:bodyDiv w:val="1"/>
      <w:marLeft w:val="0"/>
      <w:marRight w:val="0"/>
      <w:marTop w:val="0"/>
      <w:marBottom w:val="0"/>
      <w:divBdr>
        <w:top w:val="none" w:sz="0" w:space="0" w:color="auto"/>
        <w:left w:val="none" w:sz="0" w:space="0" w:color="auto"/>
        <w:bottom w:val="none" w:sz="0" w:space="0" w:color="auto"/>
        <w:right w:val="none" w:sz="0" w:space="0" w:color="auto"/>
      </w:divBdr>
    </w:div>
    <w:div w:id="594678566">
      <w:bodyDiv w:val="1"/>
      <w:marLeft w:val="0"/>
      <w:marRight w:val="0"/>
      <w:marTop w:val="0"/>
      <w:marBottom w:val="0"/>
      <w:divBdr>
        <w:top w:val="none" w:sz="0" w:space="0" w:color="auto"/>
        <w:left w:val="none" w:sz="0" w:space="0" w:color="auto"/>
        <w:bottom w:val="none" w:sz="0" w:space="0" w:color="auto"/>
        <w:right w:val="none" w:sz="0" w:space="0" w:color="auto"/>
      </w:divBdr>
    </w:div>
    <w:div w:id="708072608">
      <w:bodyDiv w:val="1"/>
      <w:marLeft w:val="0"/>
      <w:marRight w:val="0"/>
      <w:marTop w:val="0"/>
      <w:marBottom w:val="0"/>
      <w:divBdr>
        <w:top w:val="none" w:sz="0" w:space="0" w:color="auto"/>
        <w:left w:val="none" w:sz="0" w:space="0" w:color="auto"/>
        <w:bottom w:val="none" w:sz="0" w:space="0" w:color="auto"/>
        <w:right w:val="none" w:sz="0" w:space="0" w:color="auto"/>
      </w:divBdr>
    </w:div>
    <w:div w:id="755249786">
      <w:bodyDiv w:val="1"/>
      <w:marLeft w:val="0"/>
      <w:marRight w:val="0"/>
      <w:marTop w:val="0"/>
      <w:marBottom w:val="0"/>
      <w:divBdr>
        <w:top w:val="none" w:sz="0" w:space="0" w:color="auto"/>
        <w:left w:val="none" w:sz="0" w:space="0" w:color="auto"/>
        <w:bottom w:val="none" w:sz="0" w:space="0" w:color="auto"/>
        <w:right w:val="none" w:sz="0" w:space="0" w:color="auto"/>
      </w:divBdr>
    </w:div>
    <w:div w:id="799954853">
      <w:bodyDiv w:val="1"/>
      <w:marLeft w:val="0"/>
      <w:marRight w:val="0"/>
      <w:marTop w:val="0"/>
      <w:marBottom w:val="0"/>
      <w:divBdr>
        <w:top w:val="none" w:sz="0" w:space="0" w:color="auto"/>
        <w:left w:val="none" w:sz="0" w:space="0" w:color="auto"/>
        <w:bottom w:val="none" w:sz="0" w:space="0" w:color="auto"/>
        <w:right w:val="none" w:sz="0" w:space="0" w:color="auto"/>
      </w:divBdr>
    </w:div>
    <w:div w:id="852568976">
      <w:bodyDiv w:val="1"/>
      <w:marLeft w:val="0"/>
      <w:marRight w:val="0"/>
      <w:marTop w:val="0"/>
      <w:marBottom w:val="0"/>
      <w:divBdr>
        <w:top w:val="none" w:sz="0" w:space="0" w:color="auto"/>
        <w:left w:val="none" w:sz="0" w:space="0" w:color="auto"/>
        <w:bottom w:val="none" w:sz="0" w:space="0" w:color="auto"/>
        <w:right w:val="none" w:sz="0" w:space="0" w:color="auto"/>
      </w:divBdr>
    </w:div>
    <w:div w:id="888804932">
      <w:bodyDiv w:val="1"/>
      <w:marLeft w:val="0"/>
      <w:marRight w:val="0"/>
      <w:marTop w:val="0"/>
      <w:marBottom w:val="0"/>
      <w:divBdr>
        <w:top w:val="none" w:sz="0" w:space="0" w:color="auto"/>
        <w:left w:val="none" w:sz="0" w:space="0" w:color="auto"/>
        <w:bottom w:val="none" w:sz="0" w:space="0" w:color="auto"/>
        <w:right w:val="none" w:sz="0" w:space="0" w:color="auto"/>
      </w:divBdr>
    </w:div>
    <w:div w:id="916405086">
      <w:bodyDiv w:val="1"/>
      <w:marLeft w:val="0"/>
      <w:marRight w:val="0"/>
      <w:marTop w:val="0"/>
      <w:marBottom w:val="0"/>
      <w:divBdr>
        <w:top w:val="none" w:sz="0" w:space="0" w:color="auto"/>
        <w:left w:val="none" w:sz="0" w:space="0" w:color="auto"/>
        <w:bottom w:val="none" w:sz="0" w:space="0" w:color="auto"/>
        <w:right w:val="none" w:sz="0" w:space="0" w:color="auto"/>
      </w:divBdr>
    </w:div>
    <w:div w:id="1049453694">
      <w:bodyDiv w:val="1"/>
      <w:marLeft w:val="0"/>
      <w:marRight w:val="0"/>
      <w:marTop w:val="0"/>
      <w:marBottom w:val="0"/>
      <w:divBdr>
        <w:top w:val="none" w:sz="0" w:space="0" w:color="auto"/>
        <w:left w:val="none" w:sz="0" w:space="0" w:color="auto"/>
        <w:bottom w:val="none" w:sz="0" w:space="0" w:color="auto"/>
        <w:right w:val="none" w:sz="0" w:space="0" w:color="auto"/>
      </w:divBdr>
    </w:div>
    <w:div w:id="1058239575">
      <w:bodyDiv w:val="1"/>
      <w:marLeft w:val="0"/>
      <w:marRight w:val="0"/>
      <w:marTop w:val="0"/>
      <w:marBottom w:val="0"/>
      <w:divBdr>
        <w:top w:val="none" w:sz="0" w:space="0" w:color="auto"/>
        <w:left w:val="none" w:sz="0" w:space="0" w:color="auto"/>
        <w:bottom w:val="none" w:sz="0" w:space="0" w:color="auto"/>
        <w:right w:val="none" w:sz="0" w:space="0" w:color="auto"/>
      </w:divBdr>
    </w:div>
    <w:div w:id="1083066605">
      <w:bodyDiv w:val="1"/>
      <w:marLeft w:val="0"/>
      <w:marRight w:val="0"/>
      <w:marTop w:val="0"/>
      <w:marBottom w:val="0"/>
      <w:divBdr>
        <w:top w:val="none" w:sz="0" w:space="0" w:color="auto"/>
        <w:left w:val="none" w:sz="0" w:space="0" w:color="auto"/>
        <w:bottom w:val="none" w:sz="0" w:space="0" w:color="auto"/>
        <w:right w:val="none" w:sz="0" w:space="0" w:color="auto"/>
      </w:divBdr>
    </w:div>
    <w:div w:id="1171871986">
      <w:bodyDiv w:val="1"/>
      <w:marLeft w:val="0"/>
      <w:marRight w:val="0"/>
      <w:marTop w:val="0"/>
      <w:marBottom w:val="0"/>
      <w:divBdr>
        <w:top w:val="none" w:sz="0" w:space="0" w:color="auto"/>
        <w:left w:val="none" w:sz="0" w:space="0" w:color="auto"/>
        <w:bottom w:val="none" w:sz="0" w:space="0" w:color="auto"/>
        <w:right w:val="none" w:sz="0" w:space="0" w:color="auto"/>
      </w:divBdr>
    </w:div>
    <w:div w:id="1253465798">
      <w:bodyDiv w:val="1"/>
      <w:marLeft w:val="0"/>
      <w:marRight w:val="0"/>
      <w:marTop w:val="0"/>
      <w:marBottom w:val="0"/>
      <w:divBdr>
        <w:top w:val="none" w:sz="0" w:space="0" w:color="auto"/>
        <w:left w:val="none" w:sz="0" w:space="0" w:color="auto"/>
        <w:bottom w:val="none" w:sz="0" w:space="0" w:color="auto"/>
        <w:right w:val="none" w:sz="0" w:space="0" w:color="auto"/>
      </w:divBdr>
    </w:div>
    <w:div w:id="1304233950">
      <w:bodyDiv w:val="1"/>
      <w:marLeft w:val="0"/>
      <w:marRight w:val="0"/>
      <w:marTop w:val="0"/>
      <w:marBottom w:val="0"/>
      <w:divBdr>
        <w:top w:val="none" w:sz="0" w:space="0" w:color="auto"/>
        <w:left w:val="none" w:sz="0" w:space="0" w:color="auto"/>
        <w:bottom w:val="none" w:sz="0" w:space="0" w:color="auto"/>
        <w:right w:val="none" w:sz="0" w:space="0" w:color="auto"/>
      </w:divBdr>
    </w:div>
    <w:div w:id="1414552368">
      <w:bodyDiv w:val="1"/>
      <w:marLeft w:val="0"/>
      <w:marRight w:val="0"/>
      <w:marTop w:val="0"/>
      <w:marBottom w:val="0"/>
      <w:divBdr>
        <w:top w:val="none" w:sz="0" w:space="0" w:color="auto"/>
        <w:left w:val="none" w:sz="0" w:space="0" w:color="auto"/>
        <w:bottom w:val="none" w:sz="0" w:space="0" w:color="auto"/>
        <w:right w:val="none" w:sz="0" w:space="0" w:color="auto"/>
      </w:divBdr>
    </w:div>
    <w:div w:id="1425106158">
      <w:bodyDiv w:val="1"/>
      <w:marLeft w:val="0"/>
      <w:marRight w:val="0"/>
      <w:marTop w:val="0"/>
      <w:marBottom w:val="0"/>
      <w:divBdr>
        <w:top w:val="none" w:sz="0" w:space="0" w:color="auto"/>
        <w:left w:val="none" w:sz="0" w:space="0" w:color="auto"/>
        <w:bottom w:val="none" w:sz="0" w:space="0" w:color="auto"/>
        <w:right w:val="none" w:sz="0" w:space="0" w:color="auto"/>
      </w:divBdr>
      <w:divsChild>
        <w:div w:id="693382448">
          <w:marLeft w:val="0"/>
          <w:marRight w:val="0"/>
          <w:marTop w:val="15"/>
          <w:marBottom w:val="0"/>
          <w:divBdr>
            <w:top w:val="none" w:sz="0" w:space="0" w:color="auto"/>
            <w:left w:val="none" w:sz="0" w:space="0" w:color="auto"/>
            <w:bottom w:val="none" w:sz="0" w:space="0" w:color="auto"/>
            <w:right w:val="none" w:sz="0" w:space="0" w:color="auto"/>
          </w:divBdr>
          <w:divsChild>
            <w:div w:id="1034963881">
              <w:marLeft w:val="0"/>
              <w:marRight w:val="0"/>
              <w:marTop w:val="0"/>
              <w:marBottom w:val="0"/>
              <w:divBdr>
                <w:top w:val="none" w:sz="0" w:space="0" w:color="auto"/>
                <w:left w:val="none" w:sz="0" w:space="0" w:color="auto"/>
                <w:bottom w:val="none" w:sz="0" w:space="0" w:color="auto"/>
                <w:right w:val="none" w:sz="0" w:space="0" w:color="auto"/>
              </w:divBdr>
              <w:divsChild>
                <w:div w:id="1161121259">
                  <w:marLeft w:val="0"/>
                  <w:marRight w:val="0"/>
                  <w:marTop w:val="0"/>
                  <w:marBottom w:val="0"/>
                  <w:divBdr>
                    <w:top w:val="none" w:sz="0" w:space="0" w:color="auto"/>
                    <w:left w:val="none" w:sz="0" w:space="0" w:color="auto"/>
                    <w:bottom w:val="none" w:sz="0" w:space="0" w:color="auto"/>
                    <w:right w:val="none" w:sz="0" w:space="0" w:color="auto"/>
                  </w:divBdr>
                </w:div>
                <w:div w:id="1343583826">
                  <w:marLeft w:val="0"/>
                  <w:marRight w:val="0"/>
                  <w:marTop w:val="0"/>
                  <w:marBottom w:val="0"/>
                  <w:divBdr>
                    <w:top w:val="none" w:sz="0" w:space="0" w:color="auto"/>
                    <w:left w:val="none" w:sz="0" w:space="0" w:color="auto"/>
                    <w:bottom w:val="none" w:sz="0" w:space="0" w:color="auto"/>
                    <w:right w:val="none" w:sz="0" w:space="0" w:color="auto"/>
                  </w:divBdr>
                </w:div>
                <w:div w:id="1479764691">
                  <w:marLeft w:val="0"/>
                  <w:marRight w:val="0"/>
                  <w:marTop w:val="0"/>
                  <w:marBottom w:val="0"/>
                  <w:divBdr>
                    <w:top w:val="none" w:sz="0" w:space="0" w:color="auto"/>
                    <w:left w:val="none" w:sz="0" w:space="0" w:color="auto"/>
                    <w:bottom w:val="none" w:sz="0" w:space="0" w:color="auto"/>
                    <w:right w:val="none" w:sz="0" w:space="0" w:color="auto"/>
                  </w:divBdr>
                </w:div>
                <w:div w:id="1043559009">
                  <w:marLeft w:val="0"/>
                  <w:marRight w:val="0"/>
                  <w:marTop w:val="0"/>
                  <w:marBottom w:val="0"/>
                  <w:divBdr>
                    <w:top w:val="none" w:sz="0" w:space="0" w:color="auto"/>
                    <w:left w:val="none" w:sz="0" w:space="0" w:color="auto"/>
                    <w:bottom w:val="none" w:sz="0" w:space="0" w:color="auto"/>
                    <w:right w:val="none" w:sz="0" w:space="0" w:color="auto"/>
                  </w:divBdr>
                </w:div>
                <w:div w:id="440346998">
                  <w:marLeft w:val="0"/>
                  <w:marRight w:val="0"/>
                  <w:marTop w:val="0"/>
                  <w:marBottom w:val="0"/>
                  <w:divBdr>
                    <w:top w:val="none" w:sz="0" w:space="0" w:color="auto"/>
                    <w:left w:val="none" w:sz="0" w:space="0" w:color="auto"/>
                    <w:bottom w:val="none" w:sz="0" w:space="0" w:color="auto"/>
                    <w:right w:val="none" w:sz="0" w:space="0" w:color="auto"/>
                  </w:divBdr>
                </w:div>
                <w:div w:id="470944190">
                  <w:marLeft w:val="0"/>
                  <w:marRight w:val="0"/>
                  <w:marTop w:val="0"/>
                  <w:marBottom w:val="0"/>
                  <w:divBdr>
                    <w:top w:val="none" w:sz="0" w:space="0" w:color="auto"/>
                    <w:left w:val="none" w:sz="0" w:space="0" w:color="auto"/>
                    <w:bottom w:val="none" w:sz="0" w:space="0" w:color="auto"/>
                    <w:right w:val="none" w:sz="0" w:space="0" w:color="auto"/>
                  </w:divBdr>
                </w:div>
                <w:div w:id="1133063493">
                  <w:marLeft w:val="0"/>
                  <w:marRight w:val="0"/>
                  <w:marTop w:val="0"/>
                  <w:marBottom w:val="0"/>
                  <w:divBdr>
                    <w:top w:val="none" w:sz="0" w:space="0" w:color="auto"/>
                    <w:left w:val="none" w:sz="0" w:space="0" w:color="auto"/>
                    <w:bottom w:val="none" w:sz="0" w:space="0" w:color="auto"/>
                    <w:right w:val="none" w:sz="0" w:space="0" w:color="auto"/>
                  </w:divBdr>
                </w:div>
                <w:div w:id="1138767712">
                  <w:marLeft w:val="0"/>
                  <w:marRight w:val="0"/>
                  <w:marTop w:val="0"/>
                  <w:marBottom w:val="0"/>
                  <w:divBdr>
                    <w:top w:val="none" w:sz="0" w:space="0" w:color="auto"/>
                    <w:left w:val="none" w:sz="0" w:space="0" w:color="auto"/>
                    <w:bottom w:val="none" w:sz="0" w:space="0" w:color="auto"/>
                    <w:right w:val="none" w:sz="0" w:space="0" w:color="auto"/>
                  </w:divBdr>
                </w:div>
                <w:div w:id="136143366">
                  <w:marLeft w:val="0"/>
                  <w:marRight w:val="0"/>
                  <w:marTop w:val="0"/>
                  <w:marBottom w:val="0"/>
                  <w:divBdr>
                    <w:top w:val="none" w:sz="0" w:space="0" w:color="auto"/>
                    <w:left w:val="none" w:sz="0" w:space="0" w:color="auto"/>
                    <w:bottom w:val="none" w:sz="0" w:space="0" w:color="auto"/>
                    <w:right w:val="none" w:sz="0" w:space="0" w:color="auto"/>
                  </w:divBdr>
                </w:div>
                <w:div w:id="796878476">
                  <w:marLeft w:val="0"/>
                  <w:marRight w:val="0"/>
                  <w:marTop w:val="0"/>
                  <w:marBottom w:val="0"/>
                  <w:divBdr>
                    <w:top w:val="none" w:sz="0" w:space="0" w:color="auto"/>
                    <w:left w:val="none" w:sz="0" w:space="0" w:color="auto"/>
                    <w:bottom w:val="none" w:sz="0" w:space="0" w:color="auto"/>
                    <w:right w:val="none" w:sz="0" w:space="0" w:color="auto"/>
                  </w:divBdr>
                </w:div>
                <w:div w:id="987586260">
                  <w:marLeft w:val="0"/>
                  <w:marRight w:val="0"/>
                  <w:marTop w:val="0"/>
                  <w:marBottom w:val="0"/>
                  <w:divBdr>
                    <w:top w:val="none" w:sz="0" w:space="0" w:color="auto"/>
                    <w:left w:val="none" w:sz="0" w:space="0" w:color="auto"/>
                    <w:bottom w:val="none" w:sz="0" w:space="0" w:color="auto"/>
                    <w:right w:val="none" w:sz="0" w:space="0" w:color="auto"/>
                  </w:divBdr>
                </w:div>
                <w:div w:id="206331675">
                  <w:marLeft w:val="0"/>
                  <w:marRight w:val="0"/>
                  <w:marTop w:val="0"/>
                  <w:marBottom w:val="0"/>
                  <w:divBdr>
                    <w:top w:val="none" w:sz="0" w:space="0" w:color="auto"/>
                    <w:left w:val="none" w:sz="0" w:space="0" w:color="auto"/>
                    <w:bottom w:val="none" w:sz="0" w:space="0" w:color="auto"/>
                    <w:right w:val="none" w:sz="0" w:space="0" w:color="auto"/>
                  </w:divBdr>
                </w:div>
                <w:div w:id="1072503940">
                  <w:marLeft w:val="0"/>
                  <w:marRight w:val="0"/>
                  <w:marTop w:val="0"/>
                  <w:marBottom w:val="0"/>
                  <w:divBdr>
                    <w:top w:val="none" w:sz="0" w:space="0" w:color="auto"/>
                    <w:left w:val="none" w:sz="0" w:space="0" w:color="auto"/>
                    <w:bottom w:val="none" w:sz="0" w:space="0" w:color="auto"/>
                    <w:right w:val="none" w:sz="0" w:space="0" w:color="auto"/>
                  </w:divBdr>
                </w:div>
                <w:div w:id="350841703">
                  <w:marLeft w:val="0"/>
                  <w:marRight w:val="0"/>
                  <w:marTop w:val="0"/>
                  <w:marBottom w:val="0"/>
                  <w:divBdr>
                    <w:top w:val="none" w:sz="0" w:space="0" w:color="auto"/>
                    <w:left w:val="none" w:sz="0" w:space="0" w:color="auto"/>
                    <w:bottom w:val="none" w:sz="0" w:space="0" w:color="auto"/>
                    <w:right w:val="none" w:sz="0" w:space="0" w:color="auto"/>
                  </w:divBdr>
                </w:div>
                <w:div w:id="1779988425">
                  <w:marLeft w:val="0"/>
                  <w:marRight w:val="0"/>
                  <w:marTop w:val="0"/>
                  <w:marBottom w:val="0"/>
                  <w:divBdr>
                    <w:top w:val="none" w:sz="0" w:space="0" w:color="auto"/>
                    <w:left w:val="none" w:sz="0" w:space="0" w:color="auto"/>
                    <w:bottom w:val="none" w:sz="0" w:space="0" w:color="auto"/>
                    <w:right w:val="none" w:sz="0" w:space="0" w:color="auto"/>
                  </w:divBdr>
                </w:div>
                <w:div w:id="369108214">
                  <w:marLeft w:val="0"/>
                  <w:marRight w:val="0"/>
                  <w:marTop w:val="0"/>
                  <w:marBottom w:val="0"/>
                  <w:divBdr>
                    <w:top w:val="none" w:sz="0" w:space="0" w:color="auto"/>
                    <w:left w:val="none" w:sz="0" w:space="0" w:color="auto"/>
                    <w:bottom w:val="none" w:sz="0" w:space="0" w:color="auto"/>
                    <w:right w:val="none" w:sz="0" w:space="0" w:color="auto"/>
                  </w:divBdr>
                </w:div>
                <w:div w:id="248276851">
                  <w:marLeft w:val="0"/>
                  <w:marRight w:val="0"/>
                  <w:marTop w:val="0"/>
                  <w:marBottom w:val="0"/>
                  <w:divBdr>
                    <w:top w:val="none" w:sz="0" w:space="0" w:color="auto"/>
                    <w:left w:val="none" w:sz="0" w:space="0" w:color="auto"/>
                    <w:bottom w:val="none" w:sz="0" w:space="0" w:color="auto"/>
                    <w:right w:val="none" w:sz="0" w:space="0" w:color="auto"/>
                  </w:divBdr>
                </w:div>
                <w:div w:id="1409422335">
                  <w:marLeft w:val="0"/>
                  <w:marRight w:val="0"/>
                  <w:marTop w:val="0"/>
                  <w:marBottom w:val="0"/>
                  <w:divBdr>
                    <w:top w:val="none" w:sz="0" w:space="0" w:color="auto"/>
                    <w:left w:val="none" w:sz="0" w:space="0" w:color="auto"/>
                    <w:bottom w:val="none" w:sz="0" w:space="0" w:color="auto"/>
                    <w:right w:val="none" w:sz="0" w:space="0" w:color="auto"/>
                  </w:divBdr>
                </w:div>
                <w:div w:id="562519775">
                  <w:marLeft w:val="0"/>
                  <w:marRight w:val="0"/>
                  <w:marTop w:val="0"/>
                  <w:marBottom w:val="0"/>
                  <w:divBdr>
                    <w:top w:val="none" w:sz="0" w:space="0" w:color="auto"/>
                    <w:left w:val="none" w:sz="0" w:space="0" w:color="auto"/>
                    <w:bottom w:val="none" w:sz="0" w:space="0" w:color="auto"/>
                    <w:right w:val="none" w:sz="0" w:space="0" w:color="auto"/>
                  </w:divBdr>
                </w:div>
                <w:div w:id="1147356993">
                  <w:marLeft w:val="0"/>
                  <w:marRight w:val="0"/>
                  <w:marTop w:val="0"/>
                  <w:marBottom w:val="0"/>
                  <w:divBdr>
                    <w:top w:val="none" w:sz="0" w:space="0" w:color="auto"/>
                    <w:left w:val="none" w:sz="0" w:space="0" w:color="auto"/>
                    <w:bottom w:val="none" w:sz="0" w:space="0" w:color="auto"/>
                    <w:right w:val="none" w:sz="0" w:space="0" w:color="auto"/>
                  </w:divBdr>
                </w:div>
                <w:div w:id="710691686">
                  <w:marLeft w:val="0"/>
                  <w:marRight w:val="0"/>
                  <w:marTop w:val="0"/>
                  <w:marBottom w:val="0"/>
                  <w:divBdr>
                    <w:top w:val="none" w:sz="0" w:space="0" w:color="auto"/>
                    <w:left w:val="none" w:sz="0" w:space="0" w:color="auto"/>
                    <w:bottom w:val="none" w:sz="0" w:space="0" w:color="auto"/>
                    <w:right w:val="none" w:sz="0" w:space="0" w:color="auto"/>
                  </w:divBdr>
                </w:div>
                <w:div w:id="730888812">
                  <w:marLeft w:val="0"/>
                  <w:marRight w:val="0"/>
                  <w:marTop w:val="0"/>
                  <w:marBottom w:val="0"/>
                  <w:divBdr>
                    <w:top w:val="none" w:sz="0" w:space="0" w:color="auto"/>
                    <w:left w:val="none" w:sz="0" w:space="0" w:color="auto"/>
                    <w:bottom w:val="none" w:sz="0" w:space="0" w:color="auto"/>
                    <w:right w:val="none" w:sz="0" w:space="0" w:color="auto"/>
                  </w:divBdr>
                </w:div>
                <w:div w:id="619805563">
                  <w:marLeft w:val="0"/>
                  <w:marRight w:val="0"/>
                  <w:marTop w:val="0"/>
                  <w:marBottom w:val="0"/>
                  <w:divBdr>
                    <w:top w:val="none" w:sz="0" w:space="0" w:color="auto"/>
                    <w:left w:val="none" w:sz="0" w:space="0" w:color="auto"/>
                    <w:bottom w:val="none" w:sz="0" w:space="0" w:color="auto"/>
                    <w:right w:val="none" w:sz="0" w:space="0" w:color="auto"/>
                  </w:divBdr>
                </w:div>
                <w:div w:id="1481850260">
                  <w:marLeft w:val="0"/>
                  <w:marRight w:val="0"/>
                  <w:marTop w:val="0"/>
                  <w:marBottom w:val="0"/>
                  <w:divBdr>
                    <w:top w:val="none" w:sz="0" w:space="0" w:color="auto"/>
                    <w:left w:val="none" w:sz="0" w:space="0" w:color="auto"/>
                    <w:bottom w:val="none" w:sz="0" w:space="0" w:color="auto"/>
                    <w:right w:val="none" w:sz="0" w:space="0" w:color="auto"/>
                  </w:divBdr>
                </w:div>
                <w:div w:id="1579948829">
                  <w:marLeft w:val="0"/>
                  <w:marRight w:val="0"/>
                  <w:marTop w:val="0"/>
                  <w:marBottom w:val="0"/>
                  <w:divBdr>
                    <w:top w:val="none" w:sz="0" w:space="0" w:color="auto"/>
                    <w:left w:val="none" w:sz="0" w:space="0" w:color="auto"/>
                    <w:bottom w:val="none" w:sz="0" w:space="0" w:color="auto"/>
                    <w:right w:val="none" w:sz="0" w:space="0" w:color="auto"/>
                  </w:divBdr>
                </w:div>
                <w:div w:id="985401964">
                  <w:marLeft w:val="0"/>
                  <w:marRight w:val="0"/>
                  <w:marTop w:val="0"/>
                  <w:marBottom w:val="0"/>
                  <w:divBdr>
                    <w:top w:val="none" w:sz="0" w:space="0" w:color="auto"/>
                    <w:left w:val="none" w:sz="0" w:space="0" w:color="auto"/>
                    <w:bottom w:val="none" w:sz="0" w:space="0" w:color="auto"/>
                    <w:right w:val="none" w:sz="0" w:space="0" w:color="auto"/>
                  </w:divBdr>
                </w:div>
                <w:div w:id="1514605921">
                  <w:marLeft w:val="0"/>
                  <w:marRight w:val="0"/>
                  <w:marTop w:val="0"/>
                  <w:marBottom w:val="0"/>
                  <w:divBdr>
                    <w:top w:val="none" w:sz="0" w:space="0" w:color="auto"/>
                    <w:left w:val="none" w:sz="0" w:space="0" w:color="auto"/>
                    <w:bottom w:val="none" w:sz="0" w:space="0" w:color="auto"/>
                    <w:right w:val="none" w:sz="0" w:space="0" w:color="auto"/>
                  </w:divBdr>
                </w:div>
                <w:div w:id="1431510795">
                  <w:marLeft w:val="0"/>
                  <w:marRight w:val="0"/>
                  <w:marTop w:val="0"/>
                  <w:marBottom w:val="0"/>
                  <w:divBdr>
                    <w:top w:val="none" w:sz="0" w:space="0" w:color="auto"/>
                    <w:left w:val="none" w:sz="0" w:space="0" w:color="auto"/>
                    <w:bottom w:val="none" w:sz="0" w:space="0" w:color="auto"/>
                    <w:right w:val="none" w:sz="0" w:space="0" w:color="auto"/>
                  </w:divBdr>
                </w:div>
                <w:div w:id="711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8096">
      <w:bodyDiv w:val="1"/>
      <w:marLeft w:val="0"/>
      <w:marRight w:val="0"/>
      <w:marTop w:val="0"/>
      <w:marBottom w:val="0"/>
      <w:divBdr>
        <w:top w:val="none" w:sz="0" w:space="0" w:color="auto"/>
        <w:left w:val="none" w:sz="0" w:space="0" w:color="auto"/>
        <w:bottom w:val="none" w:sz="0" w:space="0" w:color="auto"/>
        <w:right w:val="none" w:sz="0" w:space="0" w:color="auto"/>
      </w:divBdr>
    </w:div>
    <w:div w:id="1534685064">
      <w:bodyDiv w:val="1"/>
      <w:marLeft w:val="0"/>
      <w:marRight w:val="0"/>
      <w:marTop w:val="0"/>
      <w:marBottom w:val="0"/>
      <w:divBdr>
        <w:top w:val="none" w:sz="0" w:space="0" w:color="auto"/>
        <w:left w:val="none" w:sz="0" w:space="0" w:color="auto"/>
        <w:bottom w:val="none" w:sz="0" w:space="0" w:color="auto"/>
        <w:right w:val="none" w:sz="0" w:space="0" w:color="auto"/>
      </w:divBdr>
    </w:div>
    <w:div w:id="1700542352">
      <w:bodyDiv w:val="1"/>
      <w:marLeft w:val="0"/>
      <w:marRight w:val="0"/>
      <w:marTop w:val="0"/>
      <w:marBottom w:val="0"/>
      <w:divBdr>
        <w:top w:val="none" w:sz="0" w:space="0" w:color="auto"/>
        <w:left w:val="none" w:sz="0" w:space="0" w:color="auto"/>
        <w:bottom w:val="none" w:sz="0" w:space="0" w:color="auto"/>
        <w:right w:val="none" w:sz="0" w:space="0" w:color="auto"/>
      </w:divBdr>
    </w:div>
    <w:div w:id="1709334813">
      <w:bodyDiv w:val="1"/>
      <w:marLeft w:val="0"/>
      <w:marRight w:val="0"/>
      <w:marTop w:val="0"/>
      <w:marBottom w:val="0"/>
      <w:divBdr>
        <w:top w:val="none" w:sz="0" w:space="0" w:color="auto"/>
        <w:left w:val="none" w:sz="0" w:space="0" w:color="auto"/>
        <w:bottom w:val="none" w:sz="0" w:space="0" w:color="auto"/>
        <w:right w:val="none" w:sz="0" w:space="0" w:color="auto"/>
      </w:divBdr>
    </w:div>
    <w:div w:id="1752969389">
      <w:bodyDiv w:val="1"/>
      <w:marLeft w:val="0"/>
      <w:marRight w:val="0"/>
      <w:marTop w:val="0"/>
      <w:marBottom w:val="0"/>
      <w:divBdr>
        <w:top w:val="none" w:sz="0" w:space="0" w:color="auto"/>
        <w:left w:val="none" w:sz="0" w:space="0" w:color="auto"/>
        <w:bottom w:val="none" w:sz="0" w:space="0" w:color="auto"/>
        <w:right w:val="none" w:sz="0" w:space="0" w:color="auto"/>
      </w:divBdr>
    </w:div>
    <w:div w:id="1797676905">
      <w:bodyDiv w:val="1"/>
      <w:marLeft w:val="0"/>
      <w:marRight w:val="0"/>
      <w:marTop w:val="0"/>
      <w:marBottom w:val="0"/>
      <w:divBdr>
        <w:top w:val="none" w:sz="0" w:space="0" w:color="auto"/>
        <w:left w:val="none" w:sz="0" w:space="0" w:color="auto"/>
        <w:bottom w:val="none" w:sz="0" w:space="0" w:color="auto"/>
        <w:right w:val="none" w:sz="0" w:space="0" w:color="auto"/>
      </w:divBdr>
    </w:div>
    <w:div w:id="1823812469">
      <w:bodyDiv w:val="1"/>
      <w:marLeft w:val="0"/>
      <w:marRight w:val="0"/>
      <w:marTop w:val="0"/>
      <w:marBottom w:val="0"/>
      <w:divBdr>
        <w:top w:val="none" w:sz="0" w:space="0" w:color="auto"/>
        <w:left w:val="none" w:sz="0" w:space="0" w:color="auto"/>
        <w:bottom w:val="none" w:sz="0" w:space="0" w:color="auto"/>
        <w:right w:val="none" w:sz="0" w:space="0" w:color="auto"/>
      </w:divBdr>
    </w:div>
    <w:div w:id="1899239933">
      <w:bodyDiv w:val="1"/>
      <w:marLeft w:val="0"/>
      <w:marRight w:val="0"/>
      <w:marTop w:val="0"/>
      <w:marBottom w:val="0"/>
      <w:divBdr>
        <w:top w:val="none" w:sz="0" w:space="0" w:color="auto"/>
        <w:left w:val="none" w:sz="0" w:space="0" w:color="auto"/>
        <w:bottom w:val="none" w:sz="0" w:space="0" w:color="auto"/>
        <w:right w:val="none" w:sz="0" w:space="0" w:color="auto"/>
      </w:divBdr>
    </w:div>
    <w:div w:id="1963413281">
      <w:bodyDiv w:val="1"/>
      <w:marLeft w:val="0"/>
      <w:marRight w:val="0"/>
      <w:marTop w:val="0"/>
      <w:marBottom w:val="0"/>
      <w:divBdr>
        <w:top w:val="none" w:sz="0" w:space="0" w:color="auto"/>
        <w:left w:val="none" w:sz="0" w:space="0" w:color="auto"/>
        <w:bottom w:val="none" w:sz="0" w:space="0" w:color="auto"/>
        <w:right w:val="none" w:sz="0" w:space="0" w:color="auto"/>
      </w:divBdr>
    </w:div>
    <w:div w:id="1974209343">
      <w:bodyDiv w:val="1"/>
      <w:marLeft w:val="0"/>
      <w:marRight w:val="0"/>
      <w:marTop w:val="0"/>
      <w:marBottom w:val="0"/>
      <w:divBdr>
        <w:top w:val="none" w:sz="0" w:space="0" w:color="auto"/>
        <w:left w:val="none" w:sz="0" w:space="0" w:color="auto"/>
        <w:bottom w:val="none" w:sz="0" w:space="0" w:color="auto"/>
        <w:right w:val="none" w:sz="0" w:space="0" w:color="auto"/>
      </w:divBdr>
    </w:div>
    <w:div w:id="2019499958">
      <w:bodyDiv w:val="1"/>
      <w:marLeft w:val="0"/>
      <w:marRight w:val="0"/>
      <w:marTop w:val="0"/>
      <w:marBottom w:val="0"/>
      <w:divBdr>
        <w:top w:val="none" w:sz="0" w:space="0" w:color="auto"/>
        <w:left w:val="none" w:sz="0" w:space="0" w:color="auto"/>
        <w:bottom w:val="none" w:sz="0" w:space="0" w:color="auto"/>
        <w:right w:val="none" w:sz="0" w:space="0" w:color="auto"/>
      </w:divBdr>
      <w:divsChild>
        <w:div w:id="1814176195">
          <w:marLeft w:val="0"/>
          <w:marRight w:val="0"/>
          <w:marTop w:val="15"/>
          <w:marBottom w:val="0"/>
          <w:divBdr>
            <w:top w:val="none" w:sz="0" w:space="0" w:color="auto"/>
            <w:left w:val="none" w:sz="0" w:space="0" w:color="auto"/>
            <w:bottom w:val="none" w:sz="0" w:space="0" w:color="auto"/>
            <w:right w:val="none" w:sz="0" w:space="0" w:color="auto"/>
          </w:divBdr>
          <w:divsChild>
            <w:div w:id="1183974246">
              <w:marLeft w:val="0"/>
              <w:marRight w:val="0"/>
              <w:marTop w:val="0"/>
              <w:marBottom w:val="0"/>
              <w:divBdr>
                <w:top w:val="none" w:sz="0" w:space="0" w:color="auto"/>
                <w:left w:val="none" w:sz="0" w:space="0" w:color="auto"/>
                <w:bottom w:val="none" w:sz="0" w:space="0" w:color="auto"/>
                <w:right w:val="none" w:sz="0" w:space="0" w:color="auto"/>
              </w:divBdr>
              <w:divsChild>
                <w:div w:id="257179712">
                  <w:marLeft w:val="0"/>
                  <w:marRight w:val="0"/>
                  <w:marTop w:val="0"/>
                  <w:marBottom w:val="0"/>
                  <w:divBdr>
                    <w:top w:val="none" w:sz="0" w:space="0" w:color="auto"/>
                    <w:left w:val="none" w:sz="0" w:space="0" w:color="auto"/>
                    <w:bottom w:val="none" w:sz="0" w:space="0" w:color="auto"/>
                    <w:right w:val="none" w:sz="0" w:space="0" w:color="auto"/>
                  </w:divBdr>
                </w:div>
                <w:div w:id="2079940482">
                  <w:marLeft w:val="0"/>
                  <w:marRight w:val="0"/>
                  <w:marTop w:val="0"/>
                  <w:marBottom w:val="0"/>
                  <w:divBdr>
                    <w:top w:val="none" w:sz="0" w:space="0" w:color="auto"/>
                    <w:left w:val="none" w:sz="0" w:space="0" w:color="auto"/>
                    <w:bottom w:val="none" w:sz="0" w:space="0" w:color="auto"/>
                    <w:right w:val="none" w:sz="0" w:space="0" w:color="auto"/>
                  </w:divBdr>
                </w:div>
                <w:div w:id="629434957">
                  <w:marLeft w:val="0"/>
                  <w:marRight w:val="0"/>
                  <w:marTop w:val="0"/>
                  <w:marBottom w:val="0"/>
                  <w:divBdr>
                    <w:top w:val="none" w:sz="0" w:space="0" w:color="auto"/>
                    <w:left w:val="none" w:sz="0" w:space="0" w:color="auto"/>
                    <w:bottom w:val="none" w:sz="0" w:space="0" w:color="auto"/>
                    <w:right w:val="none" w:sz="0" w:space="0" w:color="auto"/>
                  </w:divBdr>
                </w:div>
                <w:div w:id="697394825">
                  <w:marLeft w:val="0"/>
                  <w:marRight w:val="0"/>
                  <w:marTop w:val="0"/>
                  <w:marBottom w:val="0"/>
                  <w:divBdr>
                    <w:top w:val="none" w:sz="0" w:space="0" w:color="auto"/>
                    <w:left w:val="none" w:sz="0" w:space="0" w:color="auto"/>
                    <w:bottom w:val="none" w:sz="0" w:space="0" w:color="auto"/>
                    <w:right w:val="none" w:sz="0" w:space="0" w:color="auto"/>
                  </w:divBdr>
                </w:div>
                <w:div w:id="1313867272">
                  <w:marLeft w:val="0"/>
                  <w:marRight w:val="0"/>
                  <w:marTop w:val="0"/>
                  <w:marBottom w:val="0"/>
                  <w:divBdr>
                    <w:top w:val="none" w:sz="0" w:space="0" w:color="auto"/>
                    <w:left w:val="none" w:sz="0" w:space="0" w:color="auto"/>
                    <w:bottom w:val="none" w:sz="0" w:space="0" w:color="auto"/>
                    <w:right w:val="none" w:sz="0" w:space="0" w:color="auto"/>
                  </w:divBdr>
                </w:div>
                <w:div w:id="1932935447">
                  <w:marLeft w:val="0"/>
                  <w:marRight w:val="0"/>
                  <w:marTop w:val="0"/>
                  <w:marBottom w:val="0"/>
                  <w:divBdr>
                    <w:top w:val="none" w:sz="0" w:space="0" w:color="auto"/>
                    <w:left w:val="none" w:sz="0" w:space="0" w:color="auto"/>
                    <w:bottom w:val="none" w:sz="0" w:space="0" w:color="auto"/>
                    <w:right w:val="none" w:sz="0" w:space="0" w:color="auto"/>
                  </w:divBdr>
                </w:div>
                <w:div w:id="809907111">
                  <w:marLeft w:val="0"/>
                  <w:marRight w:val="0"/>
                  <w:marTop w:val="0"/>
                  <w:marBottom w:val="0"/>
                  <w:divBdr>
                    <w:top w:val="none" w:sz="0" w:space="0" w:color="auto"/>
                    <w:left w:val="none" w:sz="0" w:space="0" w:color="auto"/>
                    <w:bottom w:val="none" w:sz="0" w:space="0" w:color="auto"/>
                    <w:right w:val="none" w:sz="0" w:space="0" w:color="auto"/>
                  </w:divBdr>
                </w:div>
                <w:div w:id="828254785">
                  <w:marLeft w:val="0"/>
                  <w:marRight w:val="0"/>
                  <w:marTop w:val="0"/>
                  <w:marBottom w:val="0"/>
                  <w:divBdr>
                    <w:top w:val="none" w:sz="0" w:space="0" w:color="auto"/>
                    <w:left w:val="none" w:sz="0" w:space="0" w:color="auto"/>
                    <w:bottom w:val="none" w:sz="0" w:space="0" w:color="auto"/>
                    <w:right w:val="none" w:sz="0" w:space="0" w:color="auto"/>
                  </w:divBdr>
                </w:div>
                <w:div w:id="464785450">
                  <w:marLeft w:val="0"/>
                  <w:marRight w:val="0"/>
                  <w:marTop w:val="0"/>
                  <w:marBottom w:val="0"/>
                  <w:divBdr>
                    <w:top w:val="none" w:sz="0" w:space="0" w:color="auto"/>
                    <w:left w:val="none" w:sz="0" w:space="0" w:color="auto"/>
                    <w:bottom w:val="none" w:sz="0" w:space="0" w:color="auto"/>
                    <w:right w:val="none" w:sz="0" w:space="0" w:color="auto"/>
                  </w:divBdr>
                </w:div>
                <w:div w:id="902103528">
                  <w:marLeft w:val="0"/>
                  <w:marRight w:val="0"/>
                  <w:marTop w:val="0"/>
                  <w:marBottom w:val="0"/>
                  <w:divBdr>
                    <w:top w:val="none" w:sz="0" w:space="0" w:color="auto"/>
                    <w:left w:val="none" w:sz="0" w:space="0" w:color="auto"/>
                    <w:bottom w:val="none" w:sz="0" w:space="0" w:color="auto"/>
                    <w:right w:val="none" w:sz="0" w:space="0" w:color="auto"/>
                  </w:divBdr>
                </w:div>
                <w:div w:id="753167430">
                  <w:marLeft w:val="0"/>
                  <w:marRight w:val="0"/>
                  <w:marTop w:val="0"/>
                  <w:marBottom w:val="0"/>
                  <w:divBdr>
                    <w:top w:val="none" w:sz="0" w:space="0" w:color="auto"/>
                    <w:left w:val="none" w:sz="0" w:space="0" w:color="auto"/>
                    <w:bottom w:val="none" w:sz="0" w:space="0" w:color="auto"/>
                    <w:right w:val="none" w:sz="0" w:space="0" w:color="auto"/>
                  </w:divBdr>
                </w:div>
                <w:div w:id="1780906504">
                  <w:marLeft w:val="0"/>
                  <w:marRight w:val="0"/>
                  <w:marTop w:val="0"/>
                  <w:marBottom w:val="0"/>
                  <w:divBdr>
                    <w:top w:val="none" w:sz="0" w:space="0" w:color="auto"/>
                    <w:left w:val="none" w:sz="0" w:space="0" w:color="auto"/>
                    <w:bottom w:val="none" w:sz="0" w:space="0" w:color="auto"/>
                    <w:right w:val="none" w:sz="0" w:space="0" w:color="auto"/>
                  </w:divBdr>
                </w:div>
                <w:div w:id="1147014507">
                  <w:marLeft w:val="0"/>
                  <w:marRight w:val="0"/>
                  <w:marTop w:val="0"/>
                  <w:marBottom w:val="0"/>
                  <w:divBdr>
                    <w:top w:val="none" w:sz="0" w:space="0" w:color="auto"/>
                    <w:left w:val="none" w:sz="0" w:space="0" w:color="auto"/>
                    <w:bottom w:val="none" w:sz="0" w:space="0" w:color="auto"/>
                    <w:right w:val="none" w:sz="0" w:space="0" w:color="auto"/>
                  </w:divBdr>
                </w:div>
                <w:div w:id="1511750417">
                  <w:marLeft w:val="0"/>
                  <w:marRight w:val="0"/>
                  <w:marTop w:val="0"/>
                  <w:marBottom w:val="0"/>
                  <w:divBdr>
                    <w:top w:val="none" w:sz="0" w:space="0" w:color="auto"/>
                    <w:left w:val="none" w:sz="0" w:space="0" w:color="auto"/>
                    <w:bottom w:val="none" w:sz="0" w:space="0" w:color="auto"/>
                    <w:right w:val="none" w:sz="0" w:space="0" w:color="auto"/>
                  </w:divBdr>
                </w:div>
                <w:div w:id="1537623778">
                  <w:marLeft w:val="0"/>
                  <w:marRight w:val="0"/>
                  <w:marTop w:val="0"/>
                  <w:marBottom w:val="0"/>
                  <w:divBdr>
                    <w:top w:val="none" w:sz="0" w:space="0" w:color="auto"/>
                    <w:left w:val="none" w:sz="0" w:space="0" w:color="auto"/>
                    <w:bottom w:val="none" w:sz="0" w:space="0" w:color="auto"/>
                    <w:right w:val="none" w:sz="0" w:space="0" w:color="auto"/>
                  </w:divBdr>
                </w:div>
                <w:div w:id="1462310355">
                  <w:marLeft w:val="0"/>
                  <w:marRight w:val="0"/>
                  <w:marTop w:val="0"/>
                  <w:marBottom w:val="0"/>
                  <w:divBdr>
                    <w:top w:val="none" w:sz="0" w:space="0" w:color="auto"/>
                    <w:left w:val="none" w:sz="0" w:space="0" w:color="auto"/>
                    <w:bottom w:val="none" w:sz="0" w:space="0" w:color="auto"/>
                    <w:right w:val="none" w:sz="0" w:space="0" w:color="auto"/>
                  </w:divBdr>
                </w:div>
                <w:div w:id="1080060130">
                  <w:marLeft w:val="0"/>
                  <w:marRight w:val="0"/>
                  <w:marTop w:val="0"/>
                  <w:marBottom w:val="0"/>
                  <w:divBdr>
                    <w:top w:val="none" w:sz="0" w:space="0" w:color="auto"/>
                    <w:left w:val="none" w:sz="0" w:space="0" w:color="auto"/>
                    <w:bottom w:val="none" w:sz="0" w:space="0" w:color="auto"/>
                    <w:right w:val="none" w:sz="0" w:space="0" w:color="auto"/>
                  </w:divBdr>
                </w:div>
                <w:div w:id="1584415802">
                  <w:marLeft w:val="0"/>
                  <w:marRight w:val="0"/>
                  <w:marTop w:val="0"/>
                  <w:marBottom w:val="0"/>
                  <w:divBdr>
                    <w:top w:val="none" w:sz="0" w:space="0" w:color="auto"/>
                    <w:left w:val="none" w:sz="0" w:space="0" w:color="auto"/>
                    <w:bottom w:val="none" w:sz="0" w:space="0" w:color="auto"/>
                    <w:right w:val="none" w:sz="0" w:space="0" w:color="auto"/>
                  </w:divBdr>
                </w:div>
                <w:div w:id="2033336798">
                  <w:marLeft w:val="0"/>
                  <w:marRight w:val="0"/>
                  <w:marTop w:val="0"/>
                  <w:marBottom w:val="0"/>
                  <w:divBdr>
                    <w:top w:val="none" w:sz="0" w:space="0" w:color="auto"/>
                    <w:left w:val="none" w:sz="0" w:space="0" w:color="auto"/>
                    <w:bottom w:val="none" w:sz="0" w:space="0" w:color="auto"/>
                    <w:right w:val="none" w:sz="0" w:space="0" w:color="auto"/>
                  </w:divBdr>
                </w:div>
                <w:div w:id="1997878876">
                  <w:marLeft w:val="0"/>
                  <w:marRight w:val="0"/>
                  <w:marTop w:val="0"/>
                  <w:marBottom w:val="0"/>
                  <w:divBdr>
                    <w:top w:val="none" w:sz="0" w:space="0" w:color="auto"/>
                    <w:left w:val="none" w:sz="0" w:space="0" w:color="auto"/>
                    <w:bottom w:val="none" w:sz="0" w:space="0" w:color="auto"/>
                    <w:right w:val="none" w:sz="0" w:space="0" w:color="auto"/>
                  </w:divBdr>
                </w:div>
                <w:div w:id="11956512">
                  <w:marLeft w:val="0"/>
                  <w:marRight w:val="0"/>
                  <w:marTop w:val="0"/>
                  <w:marBottom w:val="0"/>
                  <w:divBdr>
                    <w:top w:val="none" w:sz="0" w:space="0" w:color="auto"/>
                    <w:left w:val="none" w:sz="0" w:space="0" w:color="auto"/>
                    <w:bottom w:val="none" w:sz="0" w:space="0" w:color="auto"/>
                    <w:right w:val="none" w:sz="0" w:space="0" w:color="auto"/>
                  </w:divBdr>
                </w:div>
                <w:div w:id="320159744">
                  <w:marLeft w:val="0"/>
                  <w:marRight w:val="0"/>
                  <w:marTop w:val="0"/>
                  <w:marBottom w:val="0"/>
                  <w:divBdr>
                    <w:top w:val="none" w:sz="0" w:space="0" w:color="auto"/>
                    <w:left w:val="none" w:sz="0" w:space="0" w:color="auto"/>
                    <w:bottom w:val="none" w:sz="0" w:space="0" w:color="auto"/>
                    <w:right w:val="none" w:sz="0" w:space="0" w:color="auto"/>
                  </w:divBdr>
                </w:div>
                <w:div w:id="1406342673">
                  <w:marLeft w:val="0"/>
                  <w:marRight w:val="0"/>
                  <w:marTop w:val="0"/>
                  <w:marBottom w:val="0"/>
                  <w:divBdr>
                    <w:top w:val="none" w:sz="0" w:space="0" w:color="auto"/>
                    <w:left w:val="none" w:sz="0" w:space="0" w:color="auto"/>
                    <w:bottom w:val="none" w:sz="0" w:space="0" w:color="auto"/>
                    <w:right w:val="none" w:sz="0" w:space="0" w:color="auto"/>
                  </w:divBdr>
                </w:div>
                <w:div w:id="256645395">
                  <w:marLeft w:val="0"/>
                  <w:marRight w:val="0"/>
                  <w:marTop w:val="0"/>
                  <w:marBottom w:val="0"/>
                  <w:divBdr>
                    <w:top w:val="none" w:sz="0" w:space="0" w:color="auto"/>
                    <w:left w:val="none" w:sz="0" w:space="0" w:color="auto"/>
                    <w:bottom w:val="none" w:sz="0" w:space="0" w:color="auto"/>
                    <w:right w:val="none" w:sz="0" w:space="0" w:color="auto"/>
                  </w:divBdr>
                </w:div>
                <w:div w:id="1945186340">
                  <w:marLeft w:val="0"/>
                  <w:marRight w:val="0"/>
                  <w:marTop w:val="0"/>
                  <w:marBottom w:val="0"/>
                  <w:divBdr>
                    <w:top w:val="none" w:sz="0" w:space="0" w:color="auto"/>
                    <w:left w:val="none" w:sz="0" w:space="0" w:color="auto"/>
                    <w:bottom w:val="none" w:sz="0" w:space="0" w:color="auto"/>
                    <w:right w:val="none" w:sz="0" w:space="0" w:color="auto"/>
                  </w:divBdr>
                </w:div>
                <w:div w:id="1998805750">
                  <w:marLeft w:val="0"/>
                  <w:marRight w:val="0"/>
                  <w:marTop w:val="0"/>
                  <w:marBottom w:val="0"/>
                  <w:divBdr>
                    <w:top w:val="none" w:sz="0" w:space="0" w:color="auto"/>
                    <w:left w:val="none" w:sz="0" w:space="0" w:color="auto"/>
                    <w:bottom w:val="none" w:sz="0" w:space="0" w:color="auto"/>
                    <w:right w:val="none" w:sz="0" w:space="0" w:color="auto"/>
                  </w:divBdr>
                </w:div>
                <w:div w:id="884831171">
                  <w:marLeft w:val="0"/>
                  <w:marRight w:val="0"/>
                  <w:marTop w:val="0"/>
                  <w:marBottom w:val="0"/>
                  <w:divBdr>
                    <w:top w:val="none" w:sz="0" w:space="0" w:color="auto"/>
                    <w:left w:val="none" w:sz="0" w:space="0" w:color="auto"/>
                    <w:bottom w:val="none" w:sz="0" w:space="0" w:color="auto"/>
                    <w:right w:val="none" w:sz="0" w:space="0" w:color="auto"/>
                  </w:divBdr>
                </w:div>
                <w:div w:id="451944555">
                  <w:marLeft w:val="0"/>
                  <w:marRight w:val="0"/>
                  <w:marTop w:val="0"/>
                  <w:marBottom w:val="0"/>
                  <w:divBdr>
                    <w:top w:val="none" w:sz="0" w:space="0" w:color="auto"/>
                    <w:left w:val="none" w:sz="0" w:space="0" w:color="auto"/>
                    <w:bottom w:val="none" w:sz="0" w:space="0" w:color="auto"/>
                    <w:right w:val="none" w:sz="0" w:space="0" w:color="auto"/>
                  </w:divBdr>
                </w:div>
                <w:div w:id="7427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58758">
      <w:bodyDiv w:val="1"/>
      <w:marLeft w:val="0"/>
      <w:marRight w:val="0"/>
      <w:marTop w:val="0"/>
      <w:marBottom w:val="0"/>
      <w:divBdr>
        <w:top w:val="none" w:sz="0" w:space="0" w:color="auto"/>
        <w:left w:val="none" w:sz="0" w:space="0" w:color="auto"/>
        <w:bottom w:val="none" w:sz="0" w:space="0" w:color="auto"/>
        <w:right w:val="none" w:sz="0" w:space="0" w:color="auto"/>
      </w:divBdr>
    </w:div>
    <w:div w:id="214207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83EA5.E5F3B67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2.png@01D83EA4.60D4D83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FD730"/>
      </a:dk2>
      <a:lt2>
        <a:srgbClr val="F58220"/>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B0017-3441-4C01-A324-280EE86C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Leigh-AnneS@Bankservafrica.com</dc:creator>
  <cp:lastModifiedBy>Leigh-Anne Sa Joe</cp:lastModifiedBy>
  <cp:revision>3</cp:revision>
  <cp:lastPrinted>2019-07-24T09:19:00Z</cp:lastPrinted>
  <dcterms:created xsi:type="dcterms:W3CDTF">2022-03-23T09:03:00Z</dcterms:created>
  <dcterms:modified xsi:type="dcterms:W3CDTF">2022-03-23T09:11:00Z</dcterms:modified>
</cp:coreProperties>
</file>