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41762" w14:textId="77777777" w:rsidR="00382ADA" w:rsidRDefault="00AB5637">
      <w:r>
        <w:rPr>
          <w:rFonts w:ascii="Verdana" w:hAnsi="Verdana"/>
          <w:noProof/>
          <w:lang w:eastAsia="en-ZA"/>
        </w:rPr>
        <w:drawing>
          <wp:inline distT="0" distB="0" distL="0" distR="0" wp14:anchorId="540417E4" wp14:editId="540417E5">
            <wp:extent cx="3562350" cy="752475"/>
            <wp:effectExtent l="0" t="0" r="0" b="9525"/>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0" cy="752475"/>
                    </a:xfrm>
                    <a:prstGeom prst="rect">
                      <a:avLst/>
                    </a:prstGeom>
                    <a:noFill/>
                    <a:ln>
                      <a:noFill/>
                    </a:ln>
                  </pic:spPr>
                </pic:pic>
              </a:graphicData>
            </a:graphic>
          </wp:inline>
        </w:drawing>
      </w:r>
    </w:p>
    <w:p w14:paraId="54041764" w14:textId="12C7CBE8" w:rsidR="00AB5637" w:rsidRPr="00A06583" w:rsidRDefault="008C19C4" w:rsidP="001976A7">
      <w:pPr>
        <w:pStyle w:val="Heading1"/>
        <w:spacing w:before="0" w:after="0" w:line="320" w:lineRule="atLeast"/>
        <w:rPr>
          <w:rFonts w:ascii="Verdana" w:hAnsi="Verdana"/>
          <w:sz w:val="24"/>
          <w:szCs w:val="24"/>
        </w:rPr>
      </w:pPr>
      <w:r>
        <w:rPr>
          <w:rFonts w:ascii="Verdana" w:hAnsi="Verdana"/>
          <w:sz w:val="24"/>
          <w:szCs w:val="24"/>
        </w:rPr>
        <w:t xml:space="preserve">State of the </w:t>
      </w:r>
      <w:r w:rsidR="00FC15C7">
        <w:rPr>
          <w:rFonts w:ascii="Verdana" w:hAnsi="Verdana"/>
          <w:sz w:val="24"/>
          <w:szCs w:val="24"/>
        </w:rPr>
        <w:t>S</w:t>
      </w:r>
      <w:r w:rsidR="00834896">
        <w:rPr>
          <w:rFonts w:ascii="Verdana" w:hAnsi="Verdana"/>
          <w:sz w:val="24"/>
          <w:szCs w:val="24"/>
        </w:rPr>
        <w:t xml:space="preserve">outh </w:t>
      </w:r>
      <w:r w:rsidR="00FC15C7">
        <w:rPr>
          <w:rFonts w:ascii="Verdana" w:hAnsi="Verdana"/>
          <w:sz w:val="24"/>
          <w:szCs w:val="24"/>
        </w:rPr>
        <w:t>A</w:t>
      </w:r>
      <w:r w:rsidR="00834896">
        <w:rPr>
          <w:rFonts w:ascii="Verdana" w:hAnsi="Verdana"/>
          <w:sz w:val="24"/>
          <w:szCs w:val="24"/>
        </w:rPr>
        <w:t>frican</w:t>
      </w:r>
      <w:r w:rsidR="00FC15C7">
        <w:rPr>
          <w:rFonts w:ascii="Verdana" w:hAnsi="Verdana"/>
          <w:sz w:val="24"/>
          <w:szCs w:val="24"/>
        </w:rPr>
        <w:t xml:space="preserve"> </w:t>
      </w:r>
      <w:r w:rsidR="00D3426D">
        <w:rPr>
          <w:rFonts w:ascii="Verdana" w:hAnsi="Verdana"/>
          <w:sz w:val="24"/>
          <w:szCs w:val="24"/>
        </w:rPr>
        <w:t>E</w:t>
      </w:r>
      <w:r w:rsidR="00834896">
        <w:rPr>
          <w:rFonts w:ascii="Verdana" w:hAnsi="Verdana"/>
          <w:sz w:val="24"/>
          <w:szCs w:val="24"/>
        </w:rPr>
        <w:t xml:space="preserve">xchange </w:t>
      </w:r>
      <w:r w:rsidR="00D3426D">
        <w:rPr>
          <w:rFonts w:ascii="Verdana" w:hAnsi="Verdana"/>
          <w:sz w:val="24"/>
          <w:szCs w:val="24"/>
        </w:rPr>
        <w:t>T</w:t>
      </w:r>
      <w:r w:rsidR="00834896">
        <w:rPr>
          <w:rFonts w:ascii="Verdana" w:hAnsi="Verdana"/>
          <w:sz w:val="24"/>
          <w:szCs w:val="24"/>
        </w:rPr>
        <w:t xml:space="preserve">raded </w:t>
      </w:r>
      <w:r w:rsidR="00D3426D">
        <w:rPr>
          <w:rFonts w:ascii="Verdana" w:hAnsi="Verdana"/>
          <w:sz w:val="24"/>
          <w:szCs w:val="24"/>
        </w:rPr>
        <w:t>P</w:t>
      </w:r>
      <w:r w:rsidR="00834896">
        <w:rPr>
          <w:rFonts w:ascii="Verdana" w:hAnsi="Verdana"/>
          <w:sz w:val="24"/>
          <w:szCs w:val="24"/>
        </w:rPr>
        <w:t>roduct (ETP)</w:t>
      </w:r>
      <w:r>
        <w:rPr>
          <w:rFonts w:ascii="Verdana" w:hAnsi="Verdana"/>
          <w:sz w:val="24"/>
          <w:szCs w:val="24"/>
        </w:rPr>
        <w:t xml:space="preserve"> Industry </w:t>
      </w:r>
      <w:r w:rsidR="00FC15C7">
        <w:rPr>
          <w:rFonts w:ascii="Verdana" w:hAnsi="Verdana"/>
          <w:sz w:val="24"/>
          <w:szCs w:val="24"/>
        </w:rPr>
        <w:t xml:space="preserve">– </w:t>
      </w:r>
      <w:r w:rsidR="00DB291B">
        <w:rPr>
          <w:rFonts w:ascii="Verdana" w:hAnsi="Verdana"/>
          <w:sz w:val="24"/>
          <w:szCs w:val="24"/>
        </w:rPr>
        <w:t>a</w:t>
      </w:r>
      <w:r w:rsidR="00441724">
        <w:rPr>
          <w:rFonts w:ascii="Verdana" w:hAnsi="Verdana"/>
          <w:sz w:val="24"/>
          <w:szCs w:val="24"/>
        </w:rPr>
        <w:t xml:space="preserve">s </w:t>
      </w:r>
      <w:r w:rsidR="00B6448D">
        <w:rPr>
          <w:rFonts w:ascii="Verdana" w:hAnsi="Verdana"/>
          <w:sz w:val="24"/>
          <w:szCs w:val="24"/>
        </w:rPr>
        <w:t>a</w:t>
      </w:r>
      <w:r w:rsidR="00441724">
        <w:rPr>
          <w:rFonts w:ascii="Verdana" w:hAnsi="Verdana"/>
          <w:sz w:val="24"/>
          <w:szCs w:val="24"/>
        </w:rPr>
        <w:t xml:space="preserve">t </w:t>
      </w:r>
      <w:r w:rsidR="003C6031">
        <w:rPr>
          <w:rFonts w:ascii="Verdana" w:hAnsi="Verdana"/>
          <w:sz w:val="24"/>
          <w:szCs w:val="24"/>
        </w:rPr>
        <w:t>3</w:t>
      </w:r>
      <w:r w:rsidR="00A8447A">
        <w:rPr>
          <w:rFonts w:ascii="Verdana" w:hAnsi="Verdana"/>
          <w:sz w:val="24"/>
          <w:szCs w:val="24"/>
        </w:rPr>
        <w:t>1</w:t>
      </w:r>
      <w:r w:rsidR="00A8447A" w:rsidRPr="00A8447A">
        <w:rPr>
          <w:rFonts w:ascii="Verdana" w:hAnsi="Verdana"/>
          <w:sz w:val="24"/>
          <w:szCs w:val="24"/>
          <w:vertAlign w:val="superscript"/>
        </w:rPr>
        <w:t>st</w:t>
      </w:r>
      <w:r w:rsidR="00A8447A">
        <w:rPr>
          <w:rFonts w:ascii="Verdana" w:hAnsi="Verdana"/>
          <w:sz w:val="24"/>
          <w:szCs w:val="24"/>
        </w:rPr>
        <w:t xml:space="preserve"> Decem</w:t>
      </w:r>
      <w:r w:rsidR="00573EA2">
        <w:rPr>
          <w:rFonts w:ascii="Verdana" w:hAnsi="Verdana"/>
          <w:sz w:val="24"/>
          <w:szCs w:val="24"/>
        </w:rPr>
        <w:t>ber</w:t>
      </w:r>
      <w:r w:rsidR="00870751">
        <w:rPr>
          <w:rFonts w:ascii="Verdana" w:hAnsi="Verdana"/>
          <w:sz w:val="24"/>
          <w:szCs w:val="24"/>
        </w:rPr>
        <w:t xml:space="preserve"> 20</w:t>
      </w:r>
      <w:r w:rsidR="00863949">
        <w:rPr>
          <w:rFonts w:ascii="Verdana" w:hAnsi="Verdana"/>
          <w:sz w:val="24"/>
          <w:szCs w:val="24"/>
        </w:rPr>
        <w:t>20</w:t>
      </w:r>
    </w:p>
    <w:p w14:paraId="54041766" w14:textId="77777777" w:rsidR="00AB5637" w:rsidRPr="00F7786F" w:rsidRDefault="00AB5637" w:rsidP="001976A7">
      <w:pPr>
        <w:pStyle w:val="Heading1"/>
        <w:spacing w:before="0" w:after="0" w:line="320" w:lineRule="atLeast"/>
        <w:rPr>
          <w:rFonts w:ascii="Verdana" w:hAnsi="Verdana"/>
          <w:b w:val="0"/>
          <w:sz w:val="22"/>
          <w:szCs w:val="22"/>
        </w:rPr>
      </w:pPr>
      <w:r w:rsidRPr="00F7786F">
        <w:rPr>
          <w:rFonts w:ascii="Verdana" w:hAnsi="Verdana"/>
          <w:sz w:val="22"/>
          <w:szCs w:val="22"/>
        </w:rPr>
        <w:t>Mike Brown, Managing Director, etfSA.co.za</w:t>
      </w:r>
    </w:p>
    <w:p w14:paraId="10E219DF" w14:textId="77777777" w:rsidR="00DD75B5" w:rsidRDefault="00DD75B5" w:rsidP="001976A7">
      <w:pPr>
        <w:spacing w:after="0" w:line="320" w:lineRule="atLeast"/>
        <w:jc w:val="both"/>
        <w:rPr>
          <w:rFonts w:ascii="Verdana" w:hAnsi="Verdana"/>
          <w:sz w:val="21"/>
          <w:szCs w:val="21"/>
        </w:rPr>
      </w:pPr>
    </w:p>
    <w:p w14:paraId="02968165" w14:textId="03B3257E" w:rsidR="007D1C48" w:rsidRDefault="00511FB5" w:rsidP="00FC62D1">
      <w:pPr>
        <w:spacing w:after="0" w:line="300" w:lineRule="atLeast"/>
        <w:jc w:val="both"/>
        <w:rPr>
          <w:rFonts w:ascii="Verdana" w:hAnsi="Verdana"/>
          <w:b/>
          <w:color w:val="C00000"/>
          <w:sz w:val="24"/>
          <w:szCs w:val="24"/>
        </w:rPr>
      </w:pPr>
      <w:r w:rsidRPr="003A3D19">
        <w:rPr>
          <w:rFonts w:ascii="Verdana" w:hAnsi="Verdana"/>
          <w:b/>
          <w:color w:val="C00000"/>
          <w:sz w:val="24"/>
          <w:szCs w:val="24"/>
        </w:rPr>
        <w:t>Market Capitalisation</w:t>
      </w:r>
    </w:p>
    <w:p w14:paraId="55BE0BF4" w14:textId="195FACB8" w:rsidR="00D72BC0" w:rsidRDefault="006C780E" w:rsidP="00CE3CC2">
      <w:pPr>
        <w:spacing w:after="0" w:line="320" w:lineRule="atLeast"/>
        <w:jc w:val="both"/>
        <w:rPr>
          <w:rFonts w:ascii="Verdana" w:hAnsi="Verdana"/>
          <w:color w:val="000000" w:themeColor="text1"/>
          <w:sz w:val="21"/>
          <w:szCs w:val="21"/>
        </w:rPr>
      </w:pPr>
      <w:r>
        <w:rPr>
          <w:rFonts w:ascii="Verdana" w:hAnsi="Verdana"/>
          <w:color w:val="000000" w:themeColor="text1"/>
          <w:sz w:val="21"/>
          <w:szCs w:val="21"/>
        </w:rPr>
        <w:t>T</w:t>
      </w:r>
      <w:r w:rsidR="004E7608">
        <w:rPr>
          <w:rFonts w:ascii="Verdana" w:hAnsi="Verdana"/>
          <w:color w:val="000000" w:themeColor="text1"/>
          <w:sz w:val="21"/>
          <w:szCs w:val="21"/>
        </w:rPr>
        <w:t>he total market capitalisation</w:t>
      </w:r>
      <w:r w:rsidR="004A53EA">
        <w:rPr>
          <w:rFonts w:ascii="Verdana" w:hAnsi="Verdana"/>
          <w:color w:val="000000" w:themeColor="text1"/>
          <w:sz w:val="21"/>
          <w:szCs w:val="21"/>
        </w:rPr>
        <w:t xml:space="preserve"> of </w:t>
      </w:r>
      <w:r>
        <w:rPr>
          <w:rFonts w:ascii="Verdana" w:hAnsi="Verdana"/>
          <w:color w:val="000000" w:themeColor="text1"/>
          <w:sz w:val="21"/>
          <w:szCs w:val="21"/>
        </w:rPr>
        <w:t>all</w:t>
      </w:r>
      <w:r w:rsidR="004A53EA">
        <w:rPr>
          <w:rFonts w:ascii="Verdana" w:hAnsi="Verdana"/>
          <w:color w:val="000000" w:themeColor="text1"/>
          <w:sz w:val="21"/>
          <w:szCs w:val="21"/>
        </w:rPr>
        <w:t xml:space="preserve"> </w:t>
      </w:r>
      <w:r>
        <w:rPr>
          <w:rFonts w:ascii="Verdana" w:hAnsi="Verdana"/>
          <w:color w:val="000000" w:themeColor="text1"/>
          <w:sz w:val="21"/>
          <w:szCs w:val="21"/>
        </w:rPr>
        <w:t>E</w:t>
      </w:r>
      <w:r w:rsidR="004A53EA">
        <w:rPr>
          <w:rFonts w:ascii="Verdana" w:hAnsi="Verdana"/>
          <w:color w:val="000000" w:themeColor="text1"/>
          <w:sz w:val="21"/>
          <w:szCs w:val="21"/>
        </w:rPr>
        <w:t>TF</w:t>
      </w:r>
      <w:r>
        <w:rPr>
          <w:rFonts w:ascii="Verdana" w:hAnsi="Verdana"/>
          <w:color w:val="000000" w:themeColor="text1"/>
          <w:sz w:val="21"/>
          <w:szCs w:val="21"/>
        </w:rPr>
        <w:t>s/</w:t>
      </w:r>
      <w:r w:rsidR="004A53EA">
        <w:rPr>
          <w:rFonts w:ascii="Verdana" w:hAnsi="Verdana"/>
          <w:color w:val="000000" w:themeColor="text1"/>
          <w:sz w:val="21"/>
          <w:szCs w:val="21"/>
        </w:rPr>
        <w:t>ETNs</w:t>
      </w:r>
      <w:r w:rsidR="007D0DE9">
        <w:rPr>
          <w:rFonts w:ascii="Verdana" w:hAnsi="Verdana"/>
          <w:color w:val="000000" w:themeColor="text1"/>
          <w:sz w:val="21"/>
          <w:szCs w:val="21"/>
        </w:rPr>
        <w:t xml:space="preserve">, listed on the JSE, </w:t>
      </w:r>
      <w:r w:rsidR="002F4117">
        <w:rPr>
          <w:rFonts w:ascii="Verdana" w:hAnsi="Verdana"/>
          <w:color w:val="000000" w:themeColor="text1"/>
          <w:sz w:val="21"/>
          <w:szCs w:val="21"/>
        </w:rPr>
        <w:t>rose</w:t>
      </w:r>
      <w:r>
        <w:rPr>
          <w:rFonts w:ascii="Verdana" w:hAnsi="Verdana"/>
          <w:color w:val="000000" w:themeColor="text1"/>
          <w:sz w:val="21"/>
          <w:szCs w:val="21"/>
        </w:rPr>
        <w:t xml:space="preserve"> from R100,8 billion at the end of 2019 to R1</w:t>
      </w:r>
      <w:r w:rsidR="00573EA2">
        <w:rPr>
          <w:rFonts w:ascii="Verdana" w:hAnsi="Verdana"/>
          <w:color w:val="000000" w:themeColor="text1"/>
          <w:sz w:val="21"/>
          <w:szCs w:val="21"/>
        </w:rPr>
        <w:t>1</w:t>
      </w:r>
      <w:r w:rsidR="002F4117">
        <w:rPr>
          <w:rFonts w:ascii="Verdana" w:hAnsi="Verdana"/>
          <w:color w:val="000000" w:themeColor="text1"/>
          <w:sz w:val="21"/>
          <w:szCs w:val="21"/>
        </w:rPr>
        <w:t>1</w:t>
      </w:r>
      <w:r>
        <w:rPr>
          <w:rFonts w:ascii="Verdana" w:hAnsi="Verdana"/>
          <w:color w:val="000000" w:themeColor="text1"/>
          <w:sz w:val="21"/>
          <w:szCs w:val="21"/>
        </w:rPr>
        <w:t>,</w:t>
      </w:r>
      <w:r w:rsidR="002F4117">
        <w:rPr>
          <w:rFonts w:ascii="Verdana" w:hAnsi="Verdana"/>
          <w:color w:val="000000" w:themeColor="text1"/>
          <w:sz w:val="21"/>
          <w:szCs w:val="21"/>
        </w:rPr>
        <w:t>0</w:t>
      </w:r>
      <w:r>
        <w:rPr>
          <w:rFonts w:ascii="Verdana" w:hAnsi="Verdana"/>
          <w:color w:val="000000" w:themeColor="text1"/>
          <w:sz w:val="21"/>
          <w:szCs w:val="21"/>
        </w:rPr>
        <w:t xml:space="preserve"> billion as at 3</w:t>
      </w:r>
      <w:r w:rsidR="002F4117">
        <w:rPr>
          <w:rFonts w:ascii="Verdana" w:hAnsi="Verdana"/>
          <w:color w:val="000000" w:themeColor="text1"/>
          <w:sz w:val="21"/>
          <w:szCs w:val="21"/>
        </w:rPr>
        <w:t>1</w:t>
      </w:r>
      <w:r>
        <w:rPr>
          <w:rFonts w:ascii="Verdana" w:hAnsi="Verdana"/>
          <w:color w:val="000000" w:themeColor="text1"/>
          <w:sz w:val="21"/>
          <w:szCs w:val="21"/>
        </w:rPr>
        <w:t xml:space="preserve"> </w:t>
      </w:r>
      <w:r w:rsidR="002F4117">
        <w:rPr>
          <w:rFonts w:ascii="Verdana" w:hAnsi="Verdana"/>
          <w:color w:val="000000" w:themeColor="text1"/>
          <w:sz w:val="21"/>
          <w:szCs w:val="21"/>
        </w:rPr>
        <w:t>Dece</w:t>
      </w:r>
      <w:r w:rsidR="00573EA2">
        <w:rPr>
          <w:rFonts w:ascii="Verdana" w:hAnsi="Verdana"/>
          <w:color w:val="000000" w:themeColor="text1"/>
          <w:sz w:val="21"/>
          <w:szCs w:val="21"/>
        </w:rPr>
        <w:t>mber</w:t>
      </w:r>
      <w:r>
        <w:rPr>
          <w:rFonts w:ascii="Verdana" w:hAnsi="Verdana"/>
          <w:color w:val="000000" w:themeColor="text1"/>
          <w:sz w:val="21"/>
          <w:szCs w:val="21"/>
        </w:rPr>
        <w:t xml:space="preserve"> 2020, an increase of </w:t>
      </w:r>
      <w:r w:rsidR="00573EA2">
        <w:rPr>
          <w:rFonts w:ascii="Verdana" w:hAnsi="Verdana"/>
          <w:color w:val="000000" w:themeColor="text1"/>
          <w:sz w:val="21"/>
          <w:szCs w:val="21"/>
        </w:rPr>
        <w:t>1</w:t>
      </w:r>
      <w:r w:rsidR="002F4117">
        <w:rPr>
          <w:rFonts w:ascii="Verdana" w:hAnsi="Verdana"/>
          <w:color w:val="000000" w:themeColor="text1"/>
          <w:sz w:val="21"/>
          <w:szCs w:val="21"/>
        </w:rPr>
        <w:t>0</w:t>
      </w:r>
      <w:r>
        <w:rPr>
          <w:rFonts w:ascii="Verdana" w:hAnsi="Verdana"/>
          <w:color w:val="000000" w:themeColor="text1"/>
          <w:sz w:val="21"/>
          <w:szCs w:val="21"/>
        </w:rPr>
        <w:t>,</w:t>
      </w:r>
      <w:r w:rsidR="002F4117">
        <w:rPr>
          <w:rFonts w:ascii="Verdana" w:hAnsi="Verdana"/>
          <w:color w:val="000000" w:themeColor="text1"/>
          <w:sz w:val="21"/>
          <w:szCs w:val="21"/>
        </w:rPr>
        <w:t>1</w:t>
      </w:r>
      <w:r>
        <w:rPr>
          <w:rFonts w:ascii="Verdana" w:hAnsi="Verdana"/>
          <w:color w:val="000000" w:themeColor="text1"/>
          <w:sz w:val="21"/>
          <w:szCs w:val="21"/>
        </w:rPr>
        <w:t xml:space="preserve">%.  </w:t>
      </w:r>
    </w:p>
    <w:p w14:paraId="07AF6E62" w14:textId="702A6942" w:rsidR="00D826DB" w:rsidRDefault="00D826DB" w:rsidP="00137500">
      <w:pPr>
        <w:spacing w:after="0" w:line="340" w:lineRule="atLeast"/>
        <w:jc w:val="both"/>
        <w:rPr>
          <w:rFonts w:ascii="Verdana" w:hAnsi="Verdana"/>
          <w:color w:val="000000" w:themeColor="text1"/>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6756"/>
      </w:tblGrid>
      <w:tr w:rsidR="00F411F7" w14:paraId="02D18F07" w14:textId="77777777" w:rsidTr="00046AC3">
        <w:tc>
          <w:tcPr>
            <w:tcW w:w="3261" w:type="dxa"/>
            <w:vAlign w:val="center"/>
          </w:tcPr>
          <w:p w14:paraId="1EC26A6C" w14:textId="3ED3E51C" w:rsidR="00185009" w:rsidRPr="00FB21A9" w:rsidRDefault="002F4117" w:rsidP="00CE3CC2">
            <w:pPr>
              <w:spacing w:line="320" w:lineRule="atLeast"/>
              <w:rPr>
                <w:rFonts w:ascii="Verdana" w:hAnsi="Verdana"/>
                <w:color w:val="000000" w:themeColor="text1"/>
                <w:sz w:val="21"/>
                <w:szCs w:val="21"/>
              </w:rPr>
            </w:pPr>
            <w:r>
              <w:rPr>
                <w:rFonts w:ascii="Verdana" w:hAnsi="Verdana"/>
                <w:color w:val="000000" w:themeColor="text1"/>
                <w:sz w:val="21"/>
                <w:szCs w:val="21"/>
              </w:rPr>
              <w:t xml:space="preserve">The past year was a mixed one for the South African ETP industry.  Although financial markets were relatively favourable, with global equity markets recovering </w:t>
            </w:r>
            <w:r w:rsidR="002944F7">
              <w:rPr>
                <w:rFonts w:ascii="Verdana" w:hAnsi="Verdana"/>
                <w:color w:val="000000" w:themeColor="text1"/>
                <w:sz w:val="21"/>
                <w:szCs w:val="21"/>
              </w:rPr>
              <w:t>well</w:t>
            </w:r>
            <w:r>
              <w:rPr>
                <w:rFonts w:ascii="Verdana" w:hAnsi="Verdana"/>
                <w:color w:val="000000" w:themeColor="text1"/>
                <w:sz w:val="21"/>
                <w:szCs w:val="21"/>
              </w:rPr>
              <w:t xml:space="preserve"> from the COVID-19 crash of March 2020 and South African equity indices ending the year strongly, profit-taking</w:t>
            </w:r>
            <w:r w:rsidR="00046AC3">
              <w:rPr>
                <w:rFonts w:ascii="Verdana" w:hAnsi="Verdana"/>
                <w:color w:val="000000" w:themeColor="text1"/>
                <w:sz w:val="21"/>
                <w:szCs w:val="21"/>
              </w:rPr>
              <w:t xml:space="preserve">, it appears, led to a sharp reduction in the number of commodity ETFs in issue on the JSE. </w:t>
            </w:r>
          </w:p>
        </w:tc>
        <w:tc>
          <w:tcPr>
            <w:tcW w:w="6660" w:type="dxa"/>
            <w:vAlign w:val="center"/>
          </w:tcPr>
          <w:p w14:paraId="237962D7" w14:textId="0F5FC0F8" w:rsidR="00D826DB" w:rsidRDefault="00046AC3" w:rsidP="00F411F7">
            <w:pPr>
              <w:spacing w:line="340" w:lineRule="atLeast"/>
              <w:jc w:val="right"/>
              <w:rPr>
                <w:rFonts w:ascii="Verdana" w:hAnsi="Verdana"/>
                <w:color w:val="000000" w:themeColor="text1"/>
                <w:sz w:val="21"/>
                <w:szCs w:val="21"/>
              </w:rPr>
            </w:pPr>
            <w:r>
              <w:rPr>
                <w:noProof/>
              </w:rPr>
              <w:drawing>
                <wp:inline distT="0" distB="0" distL="0" distR="0" wp14:anchorId="677AAA01" wp14:editId="6B0A6383">
                  <wp:extent cx="4146550" cy="2736850"/>
                  <wp:effectExtent l="0" t="0" r="6350" b="6350"/>
                  <wp:docPr id="3" name="Chart 3">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7CCC5C48" w14:textId="5F694416" w:rsidR="00AE720D" w:rsidRDefault="00AE720D" w:rsidP="00CD37BB">
      <w:pPr>
        <w:spacing w:after="0" w:line="320" w:lineRule="atLeast"/>
        <w:jc w:val="both"/>
        <w:rPr>
          <w:rFonts w:ascii="Verdana" w:hAnsi="Verdana"/>
          <w:color w:val="000000" w:themeColor="text1"/>
          <w:sz w:val="21"/>
          <w:szCs w:val="21"/>
        </w:rPr>
      </w:pPr>
    </w:p>
    <w:p w14:paraId="0EBC0DC7" w14:textId="423E98FF" w:rsidR="004A7DA9" w:rsidRDefault="00046AC3" w:rsidP="00CE3CC2">
      <w:pPr>
        <w:spacing w:after="0" w:line="320" w:lineRule="atLeast"/>
        <w:jc w:val="both"/>
        <w:rPr>
          <w:rFonts w:ascii="Verdana" w:hAnsi="Verdana"/>
          <w:color w:val="000000" w:themeColor="text1"/>
          <w:sz w:val="21"/>
          <w:szCs w:val="21"/>
        </w:rPr>
      </w:pPr>
      <w:r>
        <w:rPr>
          <w:rFonts w:ascii="Verdana" w:hAnsi="Verdana"/>
          <w:color w:val="000000" w:themeColor="text1"/>
          <w:sz w:val="21"/>
          <w:szCs w:val="21"/>
        </w:rPr>
        <w:t xml:space="preserve">As a result, although the market </w:t>
      </w:r>
      <w:r w:rsidR="002944F7">
        <w:rPr>
          <w:rFonts w:ascii="Verdana" w:hAnsi="Verdana"/>
          <w:color w:val="000000" w:themeColor="text1"/>
          <w:sz w:val="21"/>
          <w:szCs w:val="21"/>
        </w:rPr>
        <w:t>price</w:t>
      </w:r>
      <w:r>
        <w:rPr>
          <w:rFonts w:ascii="Verdana" w:hAnsi="Verdana"/>
          <w:color w:val="000000" w:themeColor="text1"/>
          <w:sz w:val="21"/>
          <w:szCs w:val="21"/>
        </w:rPr>
        <w:t xml:space="preserve"> of many ETPs rose during the course of 2020, the reduction in the shares in issue helped dampen the rise in total market capitalisation of the industry, which is, of course, a function of the number of shares in issue and the price of the security. </w:t>
      </w:r>
    </w:p>
    <w:p w14:paraId="2C55D77D" w14:textId="7438A635" w:rsidR="00046AC3" w:rsidRDefault="00046AC3" w:rsidP="00CE3CC2">
      <w:pPr>
        <w:spacing w:after="0" w:line="320" w:lineRule="atLeast"/>
        <w:jc w:val="both"/>
        <w:rPr>
          <w:rFonts w:ascii="Verdana" w:hAnsi="Verdana"/>
          <w:color w:val="000000" w:themeColor="text1"/>
          <w:sz w:val="21"/>
          <w:szCs w:val="21"/>
        </w:rPr>
      </w:pPr>
    </w:p>
    <w:p w14:paraId="3C4D2A41" w14:textId="5EBA9692" w:rsidR="00046AC3" w:rsidRDefault="00046AC3" w:rsidP="00CE3CC2">
      <w:pPr>
        <w:spacing w:after="0" w:line="320" w:lineRule="atLeast"/>
        <w:jc w:val="both"/>
        <w:rPr>
          <w:rFonts w:ascii="Verdana" w:hAnsi="Verdana"/>
          <w:color w:val="000000" w:themeColor="text1"/>
          <w:sz w:val="21"/>
          <w:szCs w:val="21"/>
        </w:rPr>
      </w:pPr>
      <w:r>
        <w:rPr>
          <w:rFonts w:ascii="Verdana" w:hAnsi="Verdana"/>
          <w:color w:val="000000" w:themeColor="text1"/>
          <w:sz w:val="21"/>
          <w:szCs w:val="21"/>
        </w:rPr>
        <w:t>Accordingly, the 10% increase in the total value of JSE-listed</w:t>
      </w:r>
      <w:r w:rsidR="00CE3CC2">
        <w:rPr>
          <w:rFonts w:ascii="Verdana" w:hAnsi="Verdana"/>
          <w:color w:val="000000" w:themeColor="text1"/>
          <w:sz w:val="21"/>
          <w:szCs w:val="21"/>
        </w:rPr>
        <w:t xml:space="preserve"> passive index tracking securities, perhaps understated the growing awareness and </w:t>
      </w:r>
      <w:r w:rsidR="002944F7">
        <w:rPr>
          <w:rFonts w:ascii="Verdana" w:hAnsi="Verdana"/>
          <w:color w:val="000000" w:themeColor="text1"/>
          <w:sz w:val="21"/>
          <w:szCs w:val="21"/>
        </w:rPr>
        <w:t>increased use</w:t>
      </w:r>
      <w:r w:rsidR="00CE3CC2">
        <w:rPr>
          <w:rFonts w:ascii="Verdana" w:hAnsi="Verdana"/>
          <w:color w:val="000000" w:themeColor="text1"/>
          <w:sz w:val="21"/>
          <w:szCs w:val="21"/>
        </w:rPr>
        <w:t xml:space="preserve"> of ETPs in portfolio </w:t>
      </w:r>
      <w:r w:rsidR="002944F7">
        <w:rPr>
          <w:rFonts w:ascii="Verdana" w:hAnsi="Verdana"/>
          <w:color w:val="000000" w:themeColor="text1"/>
          <w:sz w:val="21"/>
          <w:szCs w:val="21"/>
        </w:rPr>
        <w:t xml:space="preserve">construction </w:t>
      </w:r>
      <w:r w:rsidR="00CE3CC2">
        <w:rPr>
          <w:rFonts w:ascii="Verdana" w:hAnsi="Verdana"/>
          <w:color w:val="000000" w:themeColor="text1"/>
          <w:sz w:val="21"/>
          <w:szCs w:val="21"/>
        </w:rPr>
        <w:t xml:space="preserve">by both institutional and retail investors.  The sharp increase in the values and volumes traded of many ETPs, reflected this.  </w:t>
      </w:r>
    </w:p>
    <w:p w14:paraId="4E186BF3" w14:textId="19F23551" w:rsidR="00573EA2" w:rsidRDefault="00573EA2" w:rsidP="00FC7345">
      <w:pPr>
        <w:spacing w:after="0" w:line="340" w:lineRule="atLeast"/>
        <w:jc w:val="both"/>
        <w:rPr>
          <w:rFonts w:ascii="Verdana" w:hAnsi="Verdana"/>
          <w:color w:val="000000" w:themeColor="text1"/>
          <w:sz w:val="21"/>
          <w:szCs w:val="21"/>
        </w:rPr>
      </w:pPr>
    </w:p>
    <w:p w14:paraId="6B7A6171" w14:textId="11A461C0" w:rsidR="004B0713" w:rsidRPr="003A3D19" w:rsidRDefault="00B5062D" w:rsidP="00FC7345">
      <w:pPr>
        <w:spacing w:after="0" w:line="340" w:lineRule="atLeast"/>
        <w:jc w:val="both"/>
        <w:rPr>
          <w:rFonts w:ascii="Verdana" w:hAnsi="Verdana"/>
          <w:b/>
          <w:color w:val="C00000"/>
          <w:sz w:val="24"/>
          <w:szCs w:val="24"/>
        </w:rPr>
      </w:pPr>
      <w:r>
        <w:rPr>
          <w:rFonts w:ascii="Verdana" w:hAnsi="Verdana"/>
          <w:b/>
          <w:color w:val="C00000"/>
          <w:sz w:val="24"/>
          <w:szCs w:val="24"/>
        </w:rPr>
        <w:t>N</w:t>
      </w:r>
      <w:r w:rsidR="00CE3CC2">
        <w:rPr>
          <w:rFonts w:ascii="Verdana" w:hAnsi="Verdana"/>
          <w:b/>
          <w:color w:val="C00000"/>
          <w:sz w:val="24"/>
          <w:szCs w:val="24"/>
        </w:rPr>
        <w:t>umber of ETFs/ETNs in Issue</w:t>
      </w:r>
    </w:p>
    <w:p w14:paraId="09EDFA33" w14:textId="518173B3" w:rsidR="003F76E0" w:rsidRDefault="00CE3CC2" w:rsidP="00CE3CC2">
      <w:pPr>
        <w:spacing w:after="0" w:line="320" w:lineRule="atLeast"/>
        <w:rPr>
          <w:rFonts w:ascii="Verdana" w:hAnsi="Verdana"/>
          <w:color w:val="000000"/>
          <w:sz w:val="21"/>
          <w:szCs w:val="21"/>
        </w:rPr>
      </w:pPr>
      <w:r>
        <w:rPr>
          <w:rFonts w:ascii="Verdana" w:hAnsi="Verdana"/>
          <w:color w:val="000000"/>
          <w:sz w:val="21"/>
          <w:szCs w:val="21"/>
        </w:rPr>
        <w:t xml:space="preserve">The number of ETPs in issue on the JSE </w:t>
      </w:r>
      <w:r w:rsidR="00100BC7">
        <w:rPr>
          <w:rFonts w:ascii="Verdana" w:hAnsi="Verdana"/>
          <w:color w:val="000000"/>
          <w:sz w:val="21"/>
          <w:szCs w:val="21"/>
        </w:rPr>
        <w:t>increased</w:t>
      </w:r>
      <w:r>
        <w:rPr>
          <w:rFonts w:ascii="Verdana" w:hAnsi="Verdana"/>
          <w:color w:val="000000"/>
          <w:sz w:val="21"/>
          <w:szCs w:val="21"/>
        </w:rPr>
        <w:t xml:space="preserve"> from 102 in total at end-2019 to 137 at end-2020. </w:t>
      </w:r>
    </w:p>
    <w:p w14:paraId="55E8D3AE" w14:textId="600DB0F8" w:rsidR="00CE3CC2" w:rsidRDefault="00CE3CC2" w:rsidP="00CE3CC2">
      <w:pPr>
        <w:spacing w:after="0" w:line="320" w:lineRule="atLeast"/>
        <w:rPr>
          <w:rFonts w:ascii="Verdana" w:hAnsi="Verdana"/>
          <w:color w:val="000000"/>
          <w:sz w:val="21"/>
          <w:szCs w:val="21"/>
        </w:rPr>
      </w:pPr>
    </w:p>
    <w:p w14:paraId="084B167A" w14:textId="7420F04C" w:rsidR="00CE3CC2" w:rsidRDefault="00CE3CC2" w:rsidP="00CE3CC2">
      <w:pPr>
        <w:spacing w:after="0" w:line="320" w:lineRule="atLeast"/>
        <w:rPr>
          <w:rFonts w:ascii="Verdana" w:hAnsi="Verdana"/>
          <w:color w:val="000000"/>
          <w:sz w:val="21"/>
          <w:szCs w:val="21"/>
        </w:rPr>
      </w:pPr>
      <w:r>
        <w:rPr>
          <w:rFonts w:ascii="Verdana" w:hAnsi="Verdana"/>
          <w:color w:val="000000"/>
          <w:sz w:val="21"/>
          <w:szCs w:val="21"/>
        </w:rPr>
        <w:t xml:space="preserve">The main contributor was the </w:t>
      </w:r>
      <w:r w:rsidR="002944F7">
        <w:rPr>
          <w:rFonts w:ascii="Verdana" w:hAnsi="Verdana"/>
          <w:color w:val="000000"/>
          <w:sz w:val="21"/>
          <w:szCs w:val="21"/>
        </w:rPr>
        <w:t xml:space="preserve">new </w:t>
      </w:r>
      <w:r>
        <w:rPr>
          <w:rFonts w:ascii="Verdana" w:hAnsi="Verdana"/>
          <w:color w:val="000000"/>
          <w:sz w:val="21"/>
          <w:szCs w:val="21"/>
        </w:rPr>
        <w:t xml:space="preserve">issue of 36 ETNs by First National Bank (FNB), which tracked single US listed shares, most of them high tech companies, which have dominated the US stockmarket in recent years, but also including old favourites like Coco Cola, McDonalds, Berkshire Hathaway, etc.  </w:t>
      </w:r>
    </w:p>
    <w:p w14:paraId="65911C7F" w14:textId="26631F1F" w:rsidR="00CE3CC2" w:rsidRDefault="00CE3CC2">
      <w:pPr>
        <w:rPr>
          <w:rFonts w:ascii="Verdana" w:hAnsi="Verdana"/>
          <w:color w:val="000000"/>
          <w:sz w:val="21"/>
          <w:szCs w:val="21"/>
        </w:rPr>
      </w:pPr>
      <w:r>
        <w:rPr>
          <w:rFonts w:ascii="Verdana" w:hAnsi="Verdana"/>
          <w:color w:val="000000"/>
          <w:sz w:val="21"/>
          <w:szCs w:val="21"/>
        </w:rPr>
        <w:br w:type="page"/>
      </w:r>
    </w:p>
    <w:p w14:paraId="75466B9E" w14:textId="47E194C7" w:rsidR="001D296F" w:rsidRDefault="001D296F" w:rsidP="00FC7345">
      <w:pPr>
        <w:spacing w:after="0" w:line="340" w:lineRule="atLeast"/>
        <w:rPr>
          <w:rFonts w:ascii="Verdana" w:hAnsi="Verdana"/>
          <w:color w:val="00000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7416"/>
      </w:tblGrid>
      <w:tr w:rsidR="00CE3CC2" w14:paraId="6315A367" w14:textId="77777777" w:rsidTr="00CE3CC2">
        <w:tc>
          <w:tcPr>
            <w:tcW w:w="3261" w:type="dxa"/>
            <w:vAlign w:val="center"/>
          </w:tcPr>
          <w:p w14:paraId="2B2132F0" w14:textId="07852B5F" w:rsidR="00CE3CC2" w:rsidRPr="00FB21A9" w:rsidRDefault="00CE3CC2" w:rsidP="003F5A9C">
            <w:pPr>
              <w:spacing w:line="360" w:lineRule="atLeast"/>
              <w:rPr>
                <w:rFonts w:ascii="Verdana" w:hAnsi="Verdana"/>
                <w:color w:val="000000" w:themeColor="text1"/>
                <w:sz w:val="21"/>
                <w:szCs w:val="21"/>
              </w:rPr>
            </w:pPr>
            <w:r>
              <w:rPr>
                <w:rFonts w:ascii="Verdana" w:hAnsi="Verdana"/>
                <w:color w:val="000000" w:themeColor="text1"/>
                <w:sz w:val="21"/>
                <w:szCs w:val="21"/>
              </w:rPr>
              <w:t xml:space="preserve">Only 5 new ETFs were issued in 2020, all of them by Satrix Managers, and all tracking foreign assets, utilising the inward listed exchange control concessions which apply to foreign referenced assets, provided they are listed and traded on public exchanges. </w:t>
            </w:r>
          </w:p>
        </w:tc>
        <w:tc>
          <w:tcPr>
            <w:tcW w:w="6660" w:type="dxa"/>
            <w:vAlign w:val="center"/>
          </w:tcPr>
          <w:p w14:paraId="33ABDBA2" w14:textId="340262B8" w:rsidR="00CE3CC2" w:rsidRDefault="00CE3CC2" w:rsidP="00D91820">
            <w:pPr>
              <w:spacing w:line="340" w:lineRule="atLeast"/>
              <w:jc w:val="right"/>
              <w:rPr>
                <w:rFonts w:ascii="Verdana" w:hAnsi="Verdana"/>
                <w:color w:val="000000" w:themeColor="text1"/>
                <w:sz w:val="21"/>
                <w:szCs w:val="21"/>
              </w:rPr>
            </w:pPr>
            <w:r>
              <w:rPr>
                <w:noProof/>
              </w:rPr>
              <w:drawing>
                <wp:inline distT="0" distB="0" distL="0" distR="0" wp14:anchorId="5A91F4EC" wp14:editId="2C6DF7E6">
                  <wp:extent cx="4572000" cy="2714625"/>
                  <wp:effectExtent l="0" t="0" r="0" b="9525"/>
                  <wp:docPr id="5" name="Chart 5">
                    <a:extLst xmlns:a="http://schemas.openxmlformats.org/drawingml/2006/main">
                      <a:ext uri="{FF2B5EF4-FFF2-40B4-BE49-F238E27FC236}">
                        <a16:creationId xmlns:a16="http://schemas.microsoft.com/office/drawing/2014/main" id="{E0222253-362B-4882-9840-D9AE3B64E7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6D0D1F1A" w14:textId="68AD09E1" w:rsidR="001D296F" w:rsidRDefault="001D296F" w:rsidP="00FC7345">
      <w:pPr>
        <w:spacing w:after="0" w:line="340" w:lineRule="atLeast"/>
        <w:rPr>
          <w:rFonts w:ascii="Verdana" w:hAnsi="Verdana"/>
          <w:color w:val="000000"/>
          <w:sz w:val="21"/>
          <w:szCs w:val="21"/>
        </w:rPr>
      </w:pPr>
    </w:p>
    <w:p w14:paraId="105EA087" w14:textId="033C7FDA" w:rsidR="00AC4855" w:rsidRPr="003A3D19" w:rsidRDefault="00AC4855" w:rsidP="00AC4855">
      <w:pPr>
        <w:spacing w:after="0" w:line="340" w:lineRule="atLeast"/>
        <w:jc w:val="both"/>
        <w:rPr>
          <w:rFonts w:ascii="Verdana" w:hAnsi="Verdana"/>
          <w:b/>
          <w:color w:val="C00000"/>
          <w:sz w:val="24"/>
          <w:szCs w:val="24"/>
        </w:rPr>
      </w:pPr>
      <w:r>
        <w:rPr>
          <w:rFonts w:ascii="Verdana" w:hAnsi="Verdana"/>
          <w:b/>
          <w:color w:val="C00000"/>
          <w:sz w:val="24"/>
          <w:szCs w:val="24"/>
        </w:rPr>
        <w:t>N</w:t>
      </w:r>
      <w:r>
        <w:rPr>
          <w:rFonts w:ascii="Verdana" w:hAnsi="Verdana"/>
          <w:b/>
          <w:color w:val="C00000"/>
          <w:sz w:val="24"/>
          <w:szCs w:val="24"/>
        </w:rPr>
        <w:t>ew Capital Raised</w:t>
      </w:r>
    </w:p>
    <w:p w14:paraId="5A7575DD" w14:textId="77777777" w:rsidR="00A547A7" w:rsidRDefault="00AC4855" w:rsidP="003F5A9C">
      <w:pPr>
        <w:spacing w:after="0" w:line="360" w:lineRule="atLeast"/>
        <w:rPr>
          <w:rFonts w:ascii="Verdana" w:hAnsi="Verdana"/>
          <w:color w:val="000000"/>
          <w:sz w:val="21"/>
          <w:szCs w:val="21"/>
        </w:rPr>
      </w:pPr>
      <w:r>
        <w:rPr>
          <w:rFonts w:ascii="Verdana" w:hAnsi="Verdana"/>
          <w:color w:val="000000"/>
          <w:sz w:val="21"/>
          <w:szCs w:val="21"/>
        </w:rPr>
        <w:t xml:space="preserve">As mentioned earlier, significant reductions in the </w:t>
      </w:r>
      <w:r w:rsidR="00A547A7">
        <w:rPr>
          <w:rFonts w:ascii="Verdana" w:hAnsi="Verdana"/>
          <w:color w:val="000000"/>
          <w:sz w:val="21"/>
          <w:szCs w:val="21"/>
        </w:rPr>
        <w:t>shares in issue</w:t>
      </w:r>
      <w:r>
        <w:rPr>
          <w:rFonts w:ascii="Verdana" w:hAnsi="Verdana"/>
          <w:color w:val="000000"/>
          <w:sz w:val="21"/>
          <w:szCs w:val="21"/>
        </w:rPr>
        <w:t xml:space="preserve"> of commodity-linked ETFs took place during the year.  This was somewhat surprising because the prices of commodities, particularly previous metals, performed well in 2020, reflecting the demand for commodities as an alternative asset class in uncertain times, but also demonstrating a strong recovery in mineral orders and production, post-COVID-19 (first wave). </w:t>
      </w:r>
      <w:r w:rsidR="00A547A7">
        <w:rPr>
          <w:rFonts w:ascii="Verdana" w:hAnsi="Verdana"/>
          <w:color w:val="000000"/>
          <w:sz w:val="21"/>
          <w:szCs w:val="21"/>
        </w:rPr>
        <w:t xml:space="preserve"> </w:t>
      </w:r>
      <w:r>
        <w:rPr>
          <w:rFonts w:ascii="Verdana" w:hAnsi="Verdana"/>
          <w:color w:val="000000"/>
          <w:sz w:val="21"/>
          <w:szCs w:val="21"/>
        </w:rPr>
        <w:t xml:space="preserve">For instance, during the course of last year, 1nvest delisted over R4 billion palladium tracking ETFs and NewGold redeemed </w:t>
      </w:r>
      <w:r w:rsidR="00A547A7">
        <w:rPr>
          <w:rFonts w:ascii="Verdana" w:hAnsi="Verdana"/>
          <w:color w:val="000000"/>
          <w:sz w:val="21"/>
          <w:szCs w:val="21"/>
        </w:rPr>
        <w:t>some</w:t>
      </w:r>
      <w:r>
        <w:rPr>
          <w:rFonts w:ascii="Verdana" w:hAnsi="Verdana"/>
          <w:color w:val="000000"/>
          <w:sz w:val="21"/>
          <w:szCs w:val="21"/>
        </w:rPr>
        <w:t xml:space="preserve"> R5,6 billion of platinum ETFs.  </w:t>
      </w:r>
    </w:p>
    <w:p w14:paraId="58BDF4CF" w14:textId="77777777" w:rsidR="00A547A7" w:rsidRDefault="00A547A7" w:rsidP="003F5A9C">
      <w:pPr>
        <w:spacing w:after="0" w:line="360" w:lineRule="atLeast"/>
        <w:rPr>
          <w:rFonts w:ascii="Verdana" w:hAnsi="Verdana"/>
          <w:color w:val="000000"/>
          <w:sz w:val="21"/>
          <w:szCs w:val="21"/>
        </w:rPr>
      </w:pPr>
    </w:p>
    <w:p w14:paraId="7F3F1108" w14:textId="67378A35" w:rsidR="00AC4855" w:rsidRDefault="00AC4855" w:rsidP="003F5A9C">
      <w:pPr>
        <w:spacing w:after="0" w:line="360" w:lineRule="atLeast"/>
        <w:rPr>
          <w:rFonts w:ascii="Verdana" w:hAnsi="Verdana"/>
          <w:color w:val="000000"/>
          <w:sz w:val="21"/>
          <w:szCs w:val="21"/>
        </w:rPr>
      </w:pPr>
      <w:r>
        <w:rPr>
          <w:rFonts w:ascii="Verdana" w:hAnsi="Verdana"/>
          <w:color w:val="000000"/>
          <w:sz w:val="21"/>
          <w:szCs w:val="21"/>
        </w:rPr>
        <w:t xml:space="preserve">Furthermore, both Deutsche Bank and Standard Bank did not renew ETNs which come to the end of their issue life (ETNs are typically listed for specific periods, normally 5 years).  So, the delisting of 3 Deutsche Bank ETNs led to an effective capital redemption of R5,7 billion and for Standard Bank, the delisting of 6 ETNs reduced capital in issue by R1,5 billion. </w:t>
      </w:r>
    </w:p>
    <w:p w14:paraId="6EBE9BF6" w14:textId="21721F16" w:rsidR="00AC4855" w:rsidRDefault="00AC4855" w:rsidP="003F5A9C">
      <w:pPr>
        <w:spacing w:after="0" w:line="360" w:lineRule="atLeast"/>
        <w:rPr>
          <w:rFonts w:ascii="Verdana" w:hAnsi="Verdana"/>
          <w:color w:val="000000"/>
          <w:sz w:val="21"/>
          <w:szCs w:val="21"/>
        </w:rPr>
      </w:pPr>
    </w:p>
    <w:p w14:paraId="321F4611" w14:textId="38344EE3" w:rsidR="00AC4855" w:rsidRDefault="00AC4855" w:rsidP="003F5A9C">
      <w:pPr>
        <w:spacing w:after="0" w:line="360" w:lineRule="atLeast"/>
        <w:rPr>
          <w:rFonts w:ascii="Verdana" w:hAnsi="Verdana"/>
          <w:color w:val="000000"/>
          <w:sz w:val="21"/>
          <w:szCs w:val="21"/>
        </w:rPr>
      </w:pPr>
      <w:r>
        <w:rPr>
          <w:rFonts w:ascii="Verdana" w:hAnsi="Verdana"/>
          <w:color w:val="000000"/>
          <w:sz w:val="21"/>
          <w:szCs w:val="21"/>
        </w:rPr>
        <w:t xml:space="preserve">Whilst some new capital was raised by the issue of new ETNs and ETFs, as well as the creation of new units </w:t>
      </w:r>
      <w:r w:rsidR="00A547A7">
        <w:rPr>
          <w:rFonts w:ascii="Verdana" w:hAnsi="Verdana"/>
          <w:color w:val="000000"/>
          <w:sz w:val="21"/>
          <w:szCs w:val="21"/>
        </w:rPr>
        <w:t>i</w:t>
      </w:r>
      <w:r>
        <w:rPr>
          <w:rFonts w:ascii="Verdana" w:hAnsi="Verdana"/>
          <w:color w:val="000000"/>
          <w:sz w:val="21"/>
          <w:szCs w:val="21"/>
        </w:rPr>
        <w:t>n already listed securities, the scale of the abovementioned delisting</w:t>
      </w:r>
      <w:r w:rsidR="00143C23">
        <w:rPr>
          <w:rFonts w:ascii="Verdana" w:hAnsi="Verdana"/>
          <w:color w:val="000000"/>
          <w:sz w:val="21"/>
          <w:szCs w:val="21"/>
        </w:rPr>
        <w:t>s</w:t>
      </w:r>
      <w:r>
        <w:rPr>
          <w:rFonts w:ascii="Verdana" w:hAnsi="Verdana"/>
          <w:color w:val="000000"/>
          <w:sz w:val="21"/>
          <w:szCs w:val="21"/>
        </w:rPr>
        <w:t xml:space="preserve"> led to a net reduction in total capital of ETFs in issue by R2,3 billion an</w:t>
      </w:r>
      <w:r w:rsidR="003F5A9C">
        <w:rPr>
          <w:rFonts w:ascii="Verdana" w:hAnsi="Verdana"/>
          <w:color w:val="000000"/>
          <w:sz w:val="21"/>
          <w:szCs w:val="21"/>
        </w:rPr>
        <w:t>d for ETNs by R3,3 billion, totall</w:t>
      </w:r>
      <w:r w:rsidR="00A547A7">
        <w:rPr>
          <w:rFonts w:ascii="Verdana" w:hAnsi="Verdana"/>
          <w:color w:val="000000"/>
          <w:sz w:val="21"/>
          <w:szCs w:val="21"/>
        </w:rPr>
        <w:t>ing</w:t>
      </w:r>
      <w:r w:rsidR="003F5A9C">
        <w:rPr>
          <w:rFonts w:ascii="Verdana" w:hAnsi="Verdana"/>
          <w:color w:val="000000"/>
          <w:sz w:val="21"/>
          <w:szCs w:val="21"/>
        </w:rPr>
        <w:t xml:space="preserve"> an overall capital redemption of R5 699,4 million during the past year. </w:t>
      </w:r>
    </w:p>
    <w:p w14:paraId="7F839D8B" w14:textId="773FE99C" w:rsidR="003F5A9C" w:rsidRDefault="003F5A9C" w:rsidP="003F5A9C">
      <w:pPr>
        <w:spacing w:after="0" w:line="360" w:lineRule="atLeast"/>
        <w:rPr>
          <w:rFonts w:ascii="Verdana" w:hAnsi="Verdana"/>
          <w:color w:val="000000"/>
          <w:sz w:val="21"/>
          <w:szCs w:val="21"/>
        </w:rPr>
      </w:pPr>
    </w:p>
    <w:p w14:paraId="69F1F949" w14:textId="029069EB" w:rsidR="003F5A9C" w:rsidRDefault="003F5A9C" w:rsidP="003F5A9C">
      <w:pPr>
        <w:spacing w:after="0" w:line="360" w:lineRule="atLeast"/>
        <w:rPr>
          <w:rFonts w:ascii="Verdana" w:hAnsi="Verdana"/>
          <w:color w:val="000000"/>
          <w:sz w:val="21"/>
          <w:szCs w:val="21"/>
        </w:rPr>
      </w:pPr>
      <w:r>
        <w:rPr>
          <w:rFonts w:ascii="Verdana" w:hAnsi="Verdana"/>
          <w:color w:val="000000"/>
          <w:sz w:val="21"/>
          <w:szCs w:val="21"/>
        </w:rPr>
        <w:t xml:space="preserve">Table A below, shows the total capital raised or redeemed by issuing house for 2020. </w:t>
      </w:r>
    </w:p>
    <w:p w14:paraId="793C05A7" w14:textId="0EB1DB19" w:rsidR="003F5A9C" w:rsidRDefault="003F5A9C" w:rsidP="003F5A9C">
      <w:pPr>
        <w:spacing w:after="0" w:line="360" w:lineRule="atLeast"/>
        <w:rPr>
          <w:rFonts w:ascii="Verdana" w:hAnsi="Verdana"/>
          <w:color w:val="000000"/>
          <w:sz w:val="21"/>
          <w:szCs w:val="21"/>
        </w:rPr>
      </w:pPr>
    </w:p>
    <w:p w14:paraId="582F0933" w14:textId="26E26D11" w:rsidR="003F5A9C" w:rsidRDefault="003F5A9C" w:rsidP="003F5A9C">
      <w:pPr>
        <w:spacing w:after="0" w:line="360" w:lineRule="atLeast"/>
        <w:rPr>
          <w:rFonts w:ascii="Verdana" w:hAnsi="Verdana"/>
          <w:color w:val="000000"/>
          <w:sz w:val="21"/>
          <w:szCs w:val="21"/>
        </w:rPr>
      </w:pPr>
      <w:r>
        <w:rPr>
          <w:rFonts w:ascii="Verdana" w:hAnsi="Verdana"/>
          <w:color w:val="000000"/>
          <w:sz w:val="21"/>
          <w:szCs w:val="21"/>
        </w:rPr>
        <w:t>Satrix Managers stood ou</w:t>
      </w:r>
      <w:r w:rsidR="00A547A7">
        <w:rPr>
          <w:rFonts w:ascii="Verdana" w:hAnsi="Verdana"/>
          <w:color w:val="000000"/>
          <w:sz w:val="21"/>
          <w:szCs w:val="21"/>
        </w:rPr>
        <w:t>t</w:t>
      </w:r>
      <w:r>
        <w:rPr>
          <w:rFonts w:ascii="Verdana" w:hAnsi="Verdana"/>
          <w:color w:val="000000"/>
          <w:sz w:val="21"/>
          <w:szCs w:val="21"/>
        </w:rPr>
        <w:t xml:space="preserve"> over the past year by constantly, virtually on a daily basis, listing new securities for their foreign referenced ETFs, thereby feeding the public demand for investment in equity markets outside of South Africa.  </w:t>
      </w:r>
    </w:p>
    <w:p w14:paraId="577EE144" w14:textId="3994E178" w:rsidR="00A547A7" w:rsidRDefault="00A547A7">
      <w:pPr>
        <w:rPr>
          <w:rFonts w:ascii="Verdana" w:hAnsi="Verdana"/>
          <w:color w:val="000000"/>
          <w:sz w:val="21"/>
          <w:szCs w:val="21"/>
        </w:rPr>
      </w:pPr>
      <w:r>
        <w:rPr>
          <w:rFonts w:ascii="Verdana" w:hAnsi="Verdana"/>
          <w:color w:val="000000"/>
          <w:sz w:val="21"/>
          <w:szCs w:val="21"/>
        </w:rPr>
        <w:br w:type="page"/>
      </w:r>
    </w:p>
    <w:p w14:paraId="1F9A846C" w14:textId="05D6F62F" w:rsidR="00A547A7" w:rsidRDefault="00A547A7" w:rsidP="003F5A9C">
      <w:pPr>
        <w:spacing w:after="0" w:line="360" w:lineRule="atLeast"/>
        <w:rPr>
          <w:rFonts w:ascii="Verdana" w:hAnsi="Verdana"/>
          <w:color w:val="000000"/>
          <w:sz w:val="21"/>
          <w:szCs w:val="21"/>
        </w:rPr>
      </w:pPr>
    </w:p>
    <w:p w14:paraId="22AF1F79" w14:textId="38D526E4" w:rsidR="00A547A7" w:rsidRDefault="00A547A7" w:rsidP="003F5A9C">
      <w:pPr>
        <w:spacing w:after="0" w:line="360" w:lineRule="atLeast"/>
        <w:rPr>
          <w:rFonts w:ascii="Verdana" w:hAnsi="Verdana"/>
          <w:color w:val="000000"/>
          <w:sz w:val="21"/>
          <w:szCs w:val="21"/>
        </w:rPr>
      </w:pPr>
      <w:r>
        <w:rPr>
          <w:rFonts w:ascii="Verdana" w:hAnsi="Verdana"/>
          <w:color w:val="000000"/>
          <w:sz w:val="21"/>
          <w:szCs w:val="21"/>
        </w:rPr>
        <w:t xml:space="preserve">The other major contributor </w:t>
      </w:r>
      <w:r w:rsidR="00100BC7">
        <w:rPr>
          <w:rFonts w:ascii="Verdana" w:hAnsi="Verdana"/>
          <w:color w:val="000000"/>
          <w:sz w:val="21"/>
          <w:szCs w:val="21"/>
        </w:rPr>
        <w:t>to</w:t>
      </w:r>
      <w:r>
        <w:rPr>
          <w:rFonts w:ascii="Verdana" w:hAnsi="Verdana"/>
          <w:color w:val="000000"/>
          <w:sz w:val="21"/>
          <w:szCs w:val="21"/>
        </w:rPr>
        <w:t xml:space="preserve"> the raising of new capital in 2020, was the listing of 36 new single stock tracking ETNs by First National Bank later in the year.  In total, over R2 billion new capital was raised by these ETN issues.  </w:t>
      </w:r>
    </w:p>
    <w:p w14:paraId="0E93263B" w14:textId="3E2E4BDF" w:rsidR="00A547A7" w:rsidRDefault="00A547A7" w:rsidP="003F5A9C">
      <w:pPr>
        <w:spacing w:after="0" w:line="360" w:lineRule="atLeast"/>
        <w:rPr>
          <w:rFonts w:ascii="Verdana" w:hAnsi="Verdana"/>
          <w:color w:val="000000"/>
          <w:sz w:val="21"/>
          <w:szCs w:val="21"/>
        </w:rPr>
      </w:pPr>
    </w:p>
    <w:p w14:paraId="35A558F8" w14:textId="77777777" w:rsidR="0042225F" w:rsidRPr="00340ED3" w:rsidRDefault="0042225F" w:rsidP="0042225F">
      <w:pPr>
        <w:spacing w:after="0" w:line="360" w:lineRule="atLeast"/>
        <w:rPr>
          <w:rFonts w:ascii="Verdana" w:hAnsi="Verdana"/>
          <w:b/>
          <w:color w:val="000000"/>
          <w:sz w:val="21"/>
          <w:szCs w:val="21"/>
        </w:rPr>
      </w:pPr>
      <w:r>
        <w:rPr>
          <w:rFonts w:ascii="Verdana" w:hAnsi="Verdana"/>
          <w:b/>
          <w:color w:val="000000"/>
          <w:sz w:val="21"/>
          <w:szCs w:val="21"/>
        </w:rPr>
        <w:t>Table A</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2552"/>
      </w:tblGrid>
      <w:tr w:rsidR="00DD75B5" w:rsidRPr="00AB6CBE" w14:paraId="66B25586" w14:textId="77777777" w:rsidTr="00F90B5E">
        <w:tc>
          <w:tcPr>
            <w:tcW w:w="8222" w:type="dxa"/>
            <w:gridSpan w:val="3"/>
            <w:shd w:val="clear" w:color="auto" w:fill="C00000"/>
          </w:tcPr>
          <w:p w14:paraId="432F6E41" w14:textId="64A11ADB" w:rsidR="00DD75B5" w:rsidRDefault="00DD75B5" w:rsidP="00771D6F">
            <w:pPr>
              <w:spacing w:before="40" w:after="40" w:line="280" w:lineRule="atLeast"/>
              <w:jc w:val="center"/>
              <w:rPr>
                <w:rFonts w:ascii="Verdana" w:hAnsi="Verdana"/>
                <w:b/>
                <w:color w:val="FFFFFF"/>
                <w:sz w:val="18"/>
                <w:szCs w:val="18"/>
              </w:rPr>
            </w:pPr>
            <w:r>
              <w:rPr>
                <w:rFonts w:ascii="Verdana" w:hAnsi="Verdana"/>
                <w:b/>
                <w:color w:val="FFFFFF"/>
                <w:sz w:val="18"/>
                <w:szCs w:val="18"/>
              </w:rPr>
              <w:t xml:space="preserve">Total Capital Issued/(Redeemed) </w:t>
            </w:r>
            <w:r w:rsidR="003F5A9C">
              <w:rPr>
                <w:rFonts w:ascii="Verdana" w:hAnsi="Verdana"/>
                <w:b/>
                <w:color w:val="FFFFFF"/>
                <w:sz w:val="18"/>
                <w:szCs w:val="18"/>
              </w:rPr>
              <w:t xml:space="preserve">in 2020 </w:t>
            </w:r>
            <w:r>
              <w:rPr>
                <w:rFonts w:ascii="Verdana" w:hAnsi="Verdana"/>
                <w:b/>
                <w:color w:val="FFFFFF"/>
                <w:sz w:val="18"/>
                <w:szCs w:val="18"/>
              </w:rPr>
              <w:t>by ETP Issuers</w:t>
            </w:r>
          </w:p>
          <w:p w14:paraId="40DFD9C6" w14:textId="4B00EE4B" w:rsidR="00DD75B5" w:rsidRPr="003B4F95" w:rsidRDefault="003F5A9C" w:rsidP="00771D6F">
            <w:pPr>
              <w:spacing w:before="40" w:after="40" w:line="280" w:lineRule="atLeast"/>
              <w:jc w:val="center"/>
              <w:rPr>
                <w:rFonts w:ascii="Verdana" w:hAnsi="Verdana"/>
                <w:b/>
                <w:color w:val="FFFFFF"/>
                <w:sz w:val="18"/>
                <w:szCs w:val="18"/>
              </w:rPr>
            </w:pPr>
            <w:r>
              <w:rPr>
                <w:rFonts w:ascii="Verdana" w:hAnsi="Verdana"/>
                <w:b/>
                <w:color w:val="FFFFFF"/>
                <w:sz w:val="18"/>
                <w:szCs w:val="18"/>
              </w:rPr>
              <w:t>(Rm)</w:t>
            </w:r>
          </w:p>
        </w:tc>
      </w:tr>
      <w:tr w:rsidR="00DD75B5" w:rsidRPr="00AB6CBE" w14:paraId="44633A99" w14:textId="77777777" w:rsidTr="00F90B5E">
        <w:trPr>
          <w:trHeight w:val="360"/>
        </w:trPr>
        <w:tc>
          <w:tcPr>
            <w:tcW w:w="851" w:type="dxa"/>
            <w:shd w:val="clear" w:color="auto" w:fill="4C4C4C"/>
          </w:tcPr>
          <w:p w14:paraId="51369863" w14:textId="77777777" w:rsidR="00DD75B5" w:rsidRDefault="00DD75B5" w:rsidP="00771D6F">
            <w:pPr>
              <w:spacing w:before="40" w:after="40" w:line="280" w:lineRule="atLeast"/>
              <w:rPr>
                <w:rFonts w:ascii="Verdana" w:hAnsi="Verdana"/>
                <w:b/>
                <w:color w:val="FFFFFF"/>
                <w:sz w:val="18"/>
                <w:szCs w:val="18"/>
              </w:rPr>
            </w:pPr>
          </w:p>
        </w:tc>
        <w:tc>
          <w:tcPr>
            <w:tcW w:w="4819" w:type="dxa"/>
            <w:shd w:val="clear" w:color="auto" w:fill="4C4C4C"/>
          </w:tcPr>
          <w:p w14:paraId="40E23C79" w14:textId="762A561D" w:rsidR="00DD75B5" w:rsidRPr="003B4F95" w:rsidRDefault="00DD75B5" w:rsidP="00771D6F">
            <w:pPr>
              <w:spacing w:before="40" w:after="40" w:line="280" w:lineRule="atLeast"/>
              <w:rPr>
                <w:rFonts w:ascii="Verdana" w:hAnsi="Verdana"/>
                <w:b/>
                <w:color w:val="FFFFFF"/>
                <w:sz w:val="18"/>
                <w:szCs w:val="18"/>
              </w:rPr>
            </w:pPr>
            <w:r>
              <w:rPr>
                <w:rFonts w:ascii="Verdana" w:hAnsi="Verdana"/>
                <w:b/>
                <w:color w:val="FFFFFF"/>
                <w:sz w:val="18"/>
                <w:szCs w:val="18"/>
              </w:rPr>
              <w:t xml:space="preserve">Issuing House </w:t>
            </w:r>
          </w:p>
        </w:tc>
        <w:tc>
          <w:tcPr>
            <w:tcW w:w="2552" w:type="dxa"/>
            <w:shd w:val="clear" w:color="auto" w:fill="4C4C4C"/>
            <w:vAlign w:val="center"/>
          </w:tcPr>
          <w:p w14:paraId="6E441194" w14:textId="43EFF0AC" w:rsidR="00DD75B5" w:rsidRPr="003B4F95" w:rsidRDefault="00DD75B5" w:rsidP="00771D6F">
            <w:pPr>
              <w:spacing w:before="40" w:after="40" w:line="280" w:lineRule="atLeast"/>
              <w:jc w:val="right"/>
              <w:rPr>
                <w:rFonts w:ascii="Verdana" w:hAnsi="Verdana"/>
                <w:b/>
                <w:color w:val="FFFFFF"/>
                <w:sz w:val="18"/>
                <w:szCs w:val="18"/>
              </w:rPr>
            </w:pPr>
            <w:r>
              <w:rPr>
                <w:rFonts w:ascii="Verdana" w:hAnsi="Verdana"/>
                <w:b/>
                <w:color w:val="FFFFFF"/>
                <w:sz w:val="18"/>
                <w:szCs w:val="18"/>
              </w:rPr>
              <w:t>Total Capital Issued/(Redeemed) (R million)</w:t>
            </w:r>
          </w:p>
        </w:tc>
      </w:tr>
      <w:tr w:rsidR="001D296F" w:rsidRPr="00AB6CBE" w14:paraId="2A870CDE" w14:textId="77777777" w:rsidTr="00F90B5E">
        <w:tc>
          <w:tcPr>
            <w:tcW w:w="851" w:type="dxa"/>
          </w:tcPr>
          <w:p w14:paraId="64267966" w14:textId="77777777" w:rsidR="001D296F" w:rsidRPr="00DD75B5" w:rsidRDefault="001D296F" w:rsidP="00771D6F">
            <w:pPr>
              <w:pStyle w:val="ListParagraph"/>
              <w:numPr>
                <w:ilvl w:val="0"/>
                <w:numId w:val="15"/>
              </w:numPr>
              <w:spacing w:before="40" w:after="40" w:line="280" w:lineRule="atLeast"/>
              <w:ind w:left="357" w:hanging="357"/>
              <w:rPr>
                <w:rFonts w:ascii="Verdana" w:hAnsi="Verdana"/>
                <w:color w:val="000000"/>
                <w:sz w:val="18"/>
                <w:szCs w:val="18"/>
              </w:rPr>
            </w:pPr>
          </w:p>
        </w:tc>
        <w:tc>
          <w:tcPr>
            <w:tcW w:w="4819" w:type="dxa"/>
            <w:shd w:val="clear" w:color="auto" w:fill="auto"/>
          </w:tcPr>
          <w:p w14:paraId="330C1FFD" w14:textId="5171CE7E" w:rsidR="001D296F" w:rsidRDefault="001D296F" w:rsidP="00771D6F">
            <w:pPr>
              <w:spacing w:before="40" w:after="40" w:line="280" w:lineRule="atLeast"/>
              <w:rPr>
                <w:rFonts w:ascii="Verdana" w:hAnsi="Verdana"/>
                <w:color w:val="000000"/>
                <w:sz w:val="18"/>
                <w:szCs w:val="18"/>
              </w:rPr>
            </w:pPr>
            <w:r>
              <w:rPr>
                <w:rFonts w:ascii="Verdana" w:hAnsi="Verdana"/>
                <w:color w:val="000000"/>
                <w:sz w:val="18"/>
                <w:szCs w:val="18"/>
              </w:rPr>
              <w:t>Satrix Managers (ETFs)</w:t>
            </w:r>
          </w:p>
        </w:tc>
        <w:tc>
          <w:tcPr>
            <w:tcW w:w="2552" w:type="dxa"/>
            <w:vAlign w:val="center"/>
          </w:tcPr>
          <w:p w14:paraId="7333EFE5" w14:textId="7793345A" w:rsidR="001D296F" w:rsidRDefault="003F5A9C" w:rsidP="00771D6F">
            <w:pPr>
              <w:spacing w:before="40" w:after="40" w:line="280" w:lineRule="atLeast"/>
              <w:jc w:val="right"/>
              <w:rPr>
                <w:rFonts w:ascii="Verdana" w:hAnsi="Verdana"/>
                <w:color w:val="000000"/>
                <w:sz w:val="18"/>
                <w:szCs w:val="18"/>
              </w:rPr>
            </w:pPr>
            <w:r>
              <w:rPr>
                <w:rFonts w:ascii="Verdana" w:hAnsi="Verdana"/>
                <w:color w:val="000000"/>
                <w:sz w:val="18"/>
                <w:szCs w:val="18"/>
              </w:rPr>
              <w:t>3 595,9</w:t>
            </w:r>
          </w:p>
        </w:tc>
      </w:tr>
      <w:tr w:rsidR="003F5A9C" w:rsidRPr="00AB6CBE" w14:paraId="34BCC300" w14:textId="77777777" w:rsidTr="00F90B5E">
        <w:tc>
          <w:tcPr>
            <w:tcW w:w="851" w:type="dxa"/>
          </w:tcPr>
          <w:p w14:paraId="2203D8C9" w14:textId="77777777" w:rsidR="003F5A9C" w:rsidRPr="00DD75B5" w:rsidRDefault="003F5A9C" w:rsidP="00771D6F">
            <w:pPr>
              <w:pStyle w:val="ListParagraph"/>
              <w:numPr>
                <w:ilvl w:val="0"/>
                <w:numId w:val="15"/>
              </w:numPr>
              <w:spacing w:before="40" w:after="40" w:line="280" w:lineRule="atLeast"/>
              <w:ind w:left="357" w:hanging="357"/>
              <w:rPr>
                <w:rFonts w:ascii="Verdana" w:hAnsi="Verdana"/>
                <w:color w:val="000000"/>
                <w:sz w:val="18"/>
                <w:szCs w:val="18"/>
              </w:rPr>
            </w:pPr>
          </w:p>
        </w:tc>
        <w:tc>
          <w:tcPr>
            <w:tcW w:w="4819" w:type="dxa"/>
            <w:shd w:val="clear" w:color="auto" w:fill="auto"/>
          </w:tcPr>
          <w:p w14:paraId="08A06E8A" w14:textId="2080E19B" w:rsidR="003F5A9C" w:rsidRDefault="003F5A9C" w:rsidP="00771D6F">
            <w:pPr>
              <w:spacing w:before="40" w:after="40" w:line="280" w:lineRule="atLeast"/>
              <w:rPr>
                <w:rFonts w:ascii="Verdana" w:hAnsi="Verdana"/>
                <w:color w:val="000000"/>
                <w:sz w:val="18"/>
                <w:szCs w:val="18"/>
              </w:rPr>
            </w:pPr>
            <w:r>
              <w:rPr>
                <w:rFonts w:ascii="Verdana" w:hAnsi="Verdana"/>
                <w:color w:val="000000"/>
                <w:sz w:val="18"/>
                <w:szCs w:val="18"/>
              </w:rPr>
              <w:t>FirstRand (ET</w:t>
            </w:r>
            <w:r>
              <w:rPr>
                <w:rFonts w:ascii="Verdana" w:hAnsi="Verdana"/>
                <w:color w:val="000000"/>
                <w:sz w:val="18"/>
                <w:szCs w:val="18"/>
              </w:rPr>
              <w:t>N</w:t>
            </w:r>
            <w:r>
              <w:rPr>
                <w:rFonts w:ascii="Verdana" w:hAnsi="Verdana"/>
                <w:color w:val="000000"/>
                <w:sz w:val="18"/>
                <w:szCs w:val="18"/>
              </w:rPr>
              <w:t>s)</w:t>
            </w:r>
          </w:p>
        </w:tc>
        <w:tc>
          <w:tcPr>
            <w:tcW w:w="2552" w:type="dxa"/>
            <w:vAlign w:val="center"/>
          </w:tcPr>
          <w:p w14:paraId="0DBD5D9B" w14:textId="588760B3" w:rsidR="003F5A9C" w:rsidRDefault="003F5A9C" w:rsidP="00771D6F">
            <w:pPr>
              <w:spacing w:before="40" w:after="40" w:line="280" w:lineRule="atLeast"/>
              <w:jc w:val="right"/>
              <w:rPr>
                <w:rFonts w:ascii="Verdana" w:hAnsi="Verdana"/>
                <w:color w:val="000000"/>
                <w:sz w:val="18"/>
                <w:szCs w:val="18"/>
              </w:rPr>
            </w:pPr>
            <w:r>
              <w:rPr>
                <w:rFonts w:ascii="Verdana" w:hAnsi="Verdana"/>
                <w:color w:val="000000"/>
                <w:sz w:val="18"/>
                <w:szCs w:val="18"/>
              </w:rPr>
              <w:t>2 009,0</w:t>
            </w:r>
          </w:p>
        </w:tc>
      </w:tr>
      <w:tr w:rsidR="003F5A9C" w:rsidRPr="00AB6CBE" w14:paraId="56DA63A1" w14:textId="77777777" w:rsidTr="00F90B5E">
        <w:tc>
          <w:tcPr>
            <w:tcW w:w="851" w:type="dxa"/>
          </w:tcPr>
          <w:p w14:paraId="192E1DC4" w14:textId="77777777" w:rsidR="003F5A9C" w:rsidRPr="00DD75B5" w:rsidRDefault="003F5A9C" w:rsidP="00771D6F">
            <w:pPr>
              <w:pStyle w:val="ListParagraph"/>
              <w:numPr>
                <w:ilvl w:val="0"/>
                <w:numId w:val="15"/>
              </w:numPr>
              <w:spacing w:before="40" w:after="40" w:line="280" w:lineRule="atLeast"/>
              <w:ind w:left="357" w:hanging="357"/>
              <w:rPr>
                <w:rFonts w:ascii="Verdana" w:hAnsi="Verdana"/>
                <w:color w:val="000000"/>
                <w:sz w:val="18"/>
                <w:szCs w:val="18"/>
              </w:rPr>
            </w:pPr>
          </w:p>
        </w:tc>
        <w:tc>
          <w:tcPr>
            <w:tcW w:w="4819" w:type="dxa"/>
            <w:shd w:val="clear" w:color="auto" w:fill="auto"/>
          </w:tcPr>
          <w:p w14:paraId="1938B90E" w14:textId="3F934249" w:rsidR="003F5A9C" w:rsidRDefault="003F5A9C" w:rsidP="00771D6F">
            <w:pPr>
              <w:spacing w:before="40" w:after="40" w:line="280" w:lineRule="atLeast"/>
              <w:rPr>
                <w:rFonts w:ascii="Verdana" w:hAnsi="Verdana"/>
                <w:color w:val="000000"/>
                <w:sz w:val="18"/>
                <w:szCs w:val="18"/>
              </w:rPr>
            </w:pPr>
            <w:r>
              <w:rPr>
                <w:rFonts w:ascii="Verdana" w:hAnsi="Verdana"/>
                <w:color w:val="000000"/>
                <w:sz w:val="18"/>
                <w:szCs w:val="18"/>
              </w:rPr>
              <w:t>Sygnia Itrix (ETFs)</w:t>
            </w:r>
          </w:p>
        </w:tc>
        <w:tc>
          <w:tcPr>
            <w:tcW w:w="2552" w:type="dxa"/>
            <w:vAlign w:val="center"/>
          </w:tcPr>
          <w:p w14:paraId="30200130" w14:textId="06A479CE" w:rsidR="003F5A9C" w:rsidRDefault="003F5A9C" w:rsidP="00771D6F">
            <w:pPr>
              <w:spacing w:before="40" w:after="40" w:line="280" w:lineRule="atLeast"/>
              <w:jc w:val="right"/>
              <w:rPr>
                <w:rFonts w:ascii="Verdana" w:hAnsi="Verdana"/>
                <w:color w:val="000000"/>
                <w:sz w:val="18"/>
                <w:szCs w:val="18"/>
              </w:rPr>
            </w:pPr>
            <w:r>
              <w:rPr>
                <w:rFonts w:ascii="Verdana" w:hAnsi="Verdana"/>
                <w:color w:val="000000"/>
                <w:sz w:val="18"/>
                <w:szCs w:val="18"/>
              </w:rPr>
              <w:t>932,2</w:t>
            </w:r>
          </w:p>
        </w:tc>
      </w:tr>
      <w:tr w:rsidR="00DD75B5" w:rsidRPr="00AB6CBE" w14:paraId="10504CE8" w14:textId="77777777" w:rsidTr="00F90B5E">
        <w:tc>
          <w:tcPr>
            <w:tcW w:w="851" w:type="dxa"/>
          </w:tcPr>
          <w:p w14:paraId="090D69BD" w14:textId="15FF60FF" w:rsidR="00DD75B5" w:rsidRPr="00DD75B5" w:rsidRDefault="00DD75B5" w:rsidP="00771D6F">
            <w:pPr>
              <w:pStyle w:val="ListParagraph"/>
              <w:numPr>
                <w:ilvl w:val="0"/>
                <w:numId w:val="15"/>
              </w:numPr>
              <w:spacing w:before="40" w:after="40" w:line="280" w:lineRule="atLeast"/>
              <w:ind w:left="357" w:hanging="357"/>
              <w:rPr>
                <w:rFonts w:ascii="Verdana" w:hAnsi="Verdana"/>
                <w:color w:val="000000"/>
                <w:sz w:val="18"/>
                <w:szCs w:val="18"/>
              </w:rPr>
            </w:pPr>
          </w:p>
        </w:tc>
        <w:tc>
          <w:tcPr>
            <w:tcW w:w="4819" w:type="dxa"/>
            <w:shd w:val="clear" w:color="auto" w:fill="auto"/>
          </w:tcPr>
          <w:p w14:paraId="023840B3" w14:textId="79F0AF06" w:rsidR="00DD75B5" w:rsidRPr="003B4F95" w:rsidRDefault="00DD75B5" w:rsidP="00771D6F">
            <w:pPr>
              <w:spacing w:before="40" w:after="40" w:line="280" w:lineRule="atLeast"/>
              <w:rPr>
                <w:rFonts w:ascii="Verdana" w:hAnsi="Verdana"/>
                <w:color w:val="000000"/>
                <w:sz w:val="18"/>
                <w:szCs w:val="18"/>
              </w:rPr>
            </w:pPr>
            <w:r>
              <w:rPr>
                <w:rFonts w:ascii="Verdana" w:hAnsi="Verdana"/>
                <w:color w:val="000000"/>
                <w:sz w:val="18"/>
                <w:szCs w:val="18"/>
              </w:rPr>
              <w:t>Union Bank of Switzerland (ETNs)</w:t>
            </w:r>
          </w:p>
        </w:tc>
        <w:tc>
          <w:tcPr>
            <w:tcW w:w="2552" w:type="dxa"/>
            <w:vAlign w:val="center"/>
          </w:tcPr>
          <w:p w14:paraId="623B198E" w14:textId="1ADC5D74" w:rsidR="00DD75B5" w:rsidRPr="003B4F95" w:rsidRDefault="003F5A9C" w:rsidP="00771D6F">
            <w:pPr>
              <w:spacing w:before="40" w:after="40" w:line="280" w:lineRule="atLeast"/>
              <w:jc w:val="right"/>
              <w:rPr>
                <w:rFonts w:ascii="Verdana" w:hAnsi="Verdana"/>
                <w:color w:val="000000"/>
                <w:sz w:val="18"/>
                <w:szCs w:val="18"/>
              </w:rPr>
            </w:pPr>
            <w:r>
              <w:rPr>
                <w:rFonts w:ascii="Verdana" w:hAnsi="Verdana"/>
                <w:color w:val="000000"/>
                <w:sz w:val="18"/>
                <w:szCs w:val="18"/>
              </w:rPr>
              <w:t>902,1</w:t>
            </w:r>
          </w:p>
        </w:tc>
      </w:tr>
      <w:tr w:rsidR="00DD75B5" w:rsidRPr="00AB6CBE" w14:paraId="5291853B" w14:textId="77777777" w:rsidTr="00F90B5E">
        <w:tc>
          <w:tcPr>
            <w:tcW w:w="851" w:type="dxa"/>
          </w:tcPr>
          <w:p w14:paraId="67CA3C51" w14:textId="0138CBFD" w:rsidR="00DD75B5" w:rsidRPr="00DD75B5" w:rsidRDefault="00DD75B5" w:rsidP="00771D6F">
            <w:pPr>
              <w:pStyle w:val="ListParagraph"/>
              <w:numPr>
                <w:ilvl w:val="0"/>
                <w:numId w:val="15"/>
              </w:numPr>
              <w:spacing w:before="40" w:after="40" w:line="280" w:lineRule="atLeast"/>
              <w:ind w:left="357" w:hanging="357"/>
              <w:rPr>
                <w:rFonts w:ascii="Verdana" w:hAnsi="Verdana"/>
                <w:color w:val="000000"/>
                <w:sz w:val="18"/>
                <w:szCs w:val="18"/>
              </w:rPr>
            </w:pPr>
          </w:p>
        </w:tc>
        <w:tc>
          <w:tcPr>
            <w:tcW w:w="4819" w:type="dxa"/>
            <w:shd w:val="clear" w:color="auto" w:fill="auto"/>
          </w:tcPr>
          <w:p w14:paraId="53D4D8A7" w14:textId="7EF8B058" w:rsidR="00DD75B5" w:rsidRPr="003B4F95" w:rsidRDefault="001D296F" w:rsidP="00771D6F">
            <w:pPr>
              <w:spacing w:before="40" w:after="40" w:line="280" w:lineRule="atLeast"/>
              <w:rPr>
                <w:rFonts w:ascii="Verdana" w:hAnsi="Verdana"/>
                <w:color w:val="000000"/>
                <w:sz w:val="18"/>
                <w:szCs w:val="18"/>
              </w:rPr>
            </w:pPr>
            <w:r>
              <w:rPr>
                <w:rFonts w:ascii="Verdana" w:hAnsi="Verdana"/>
                <w:color w:val="000000"/>
                <w:sz w:val="18"/>
                <w:szCs w:val="18"/>
              </w:rPr>
              <w:t>Absa Capital (ETNs)</w:t>
            </w:r>
          </w:p>
        </w:tc>
        <w:tc>
          <w:tcPr>
            <w:tcW w:w="2552" w:type="dxa"/>
            <w:vAlign w:val="center"/>
          </w:tcPr>
          <w:p w14:paraId="19CFC3A6" w14:textId="60310673" w:rsidR="00DD75B5" w:rsidRPr="003B4F95" w:rsidRDefault="003F5A9C" w:rsidP="00771D6F">
            <w:pPr>
              <w:spacing w:before="40" w:after="40" w:line="280" w:lineRule="atLeast"/>
              <w:jc w:val="right"/>
              <w:rPr>
                <w:rFonts w:ascii="Verdana" w:hAnsi="Verdana"/>
                <w:color w:val="000000"/>
                <w:sz w:val="18"/>
                <w:szCs w:val="18"/>
              </w:rPr>
            </w:pPr>
            <w:r>
              <w:rPr>
                <w:rFonts w:ascii="Verdana" w:hAnsi="Verdana"/>
                <w:color w:val="000000"/>
                <w:sz w:val="18"/>
                <w:szCs w:val="18"/>
              </w:rPr>
              <w:t>766,7</w:t>
            </w:r>
          </w:p>
        </w:tc>
      </w:tr>
      <w:tr w:rsidR="001D296F" w:rsidRPr="00AB6CBE" w14:paraId="47CE536E" w14:textId="77777777" w:rsidTr="00F90B5E">
        <w:tc>
          <w:tcPr>
            <w:tcW w:w="851" w:type="dxa"/>
          </w:tcPr>
          <w:p w14:paraId="1F8F7E94" w14:textId="77777777" w:rsidR="001D296F" w:rsidRPr="00DD75B5" w:rsidRDefault="001D296F" w:rsidP="00771D6F">
            <w:pPr>
              <w:pStyle w:val="ListParagraph"/>
              <w:numPr>
                <w:ilvl w:val="0"/>
                <w:numId w:val="15"/>
              </w:numPr>
              <w:spacing w:before="40" w:after="40" w:line="280" w:lineRule="atLeast"/>
              <w:ind w:left="357" w:hanging="357"/>
              <w:rPr>
                <w:rFonts w:ascii="Verdana" w:hAnsi="Verdana"/>
                <w:color w:val="000000"/>
                <w:sz w:val="18"/>
                <w:szCs w:val="18"/>
              </w:rPr>
            </w:pPr>
          </w:p>
        </w:tc>
        <w:tc>
          <w:tcPr>
            <w:tcW w:w="4819" w:type="dxa"/>
            <w:shd w:val="clear" w:color="auto" w:fill="auto"/>
          </w:tcPr>
          <w:p w14:paraId="5EF7A6A4" w14:textId="1C74BC38" w:rsidR="001D296F" w:rsidRDefault="001D296F" w:rsidP="00771D6F">
            <w:pPr>
              <w:spacing w:before="40" w:after="40" w:line="280" w:lineRule="atLeast"/>
              <w:rPr>
                <w:rFonts w:ascii="Verdana" w:hAnsi="Verdana"/>
                <w:color w:val="000000"/>
                <w:sz w:val="18"/>
                <w:szCs w:val="18"/>
              </w:rPr>
            </w:pPr>
            <w:r>
              <w:rPr>
                <w:rFonts w:ascii="Verdana" w:hAnsi="Verdana"/>
                <w:color w:val="000000"/>
                <w:sz w:val="18"/>
                <w:szCs w:val="18"/>
              </w:rPr>
              <w:t>Ashburton (ETFs)</w:t>
            </w:r>
          </w:p>
        </w:tc>
        <w:tc>
          <w:tcPr>
            <w:tcW w:w="2552" w:type="dxa"/>
            <w:vAlign w:val="center"/>
          </w:tcPr>
          <w:p w14:paraId="5DC0C83A" w14:textId="2EE263D7" w:rsidR="001D296F" w:rsidRDefault="003F5A9C" w:rsidP="00771D6F">
            <w:pPr>
              <w:spacing w:before="40" w:after="40" w:line="280" w:lineRule="atLeast"/>
              <w:jc w:val="right"/>
              <w:rPr>
                <w:rFonts w:ascii="Verdana" w:hAnsi="Verdana"/>
                <w:color w:val="000000"/>
                <w:sz w:val="18"/>
                <w:szCs w:val="18"/>
              </w:rPr>
            </w:pPr>
            <w:r>
              <w:rPr>
                <w:rFonts w:ascii="Verdana" w:hAnsi="Verdana"/>
                <w:color w:val="000000"/>
                <w:sz w:val="18"/>
                <w:szCs w:val="18"/>
              </w:rPr>
              <w:t>398,5</w:t>
            </w:r>
          </w:p>
        </w:tc>
      </w:tr>
      <w:tr w:rsidR="003F5A9C" w:rsidRPr="00AB6CBE" w14:paraId="0538E706" w14:textId="77777777" w:rsidTr="00F90B5E">
        <w:tc>
          <w:tcPr>
            <w:tcW w:w="851" w:type="dxa"/>
          </w:tcPr>
          <w:p w14:paraId="72EB48EA" w14:textId="77777777" w:rsidR="003F5A9C" w:rsidRPr="00DD75B5" w:rsidRDefault="003F5A9C" w:rsidP="00771D6F">
            <w:pPr>
              <w:pStyle w:val="ListParagraph"/>
              <w:numPr>
                <w:ilvl w:val="0"/>
                <w:numId w:val="15"/>
              </w:numPr>
              <w:spacing w:before="40" w:after="40" w:line="280" w:lineRule="atLeast"/>
              <w:ind w:left="357" w:hanging="357"/>
              <w:rPr>
                <w:rFonts w:ascii="Verdana" w:hAnsi="Verdana"/>
                <w:color w:val="000000"/>
                <w:sz w:val="18"/>
                <w:szCs w:val="18"/>
              </w:rPr>
            </w:pPr>
          </w:p>
        </w:tc>
        <w:tc>
          <w:tcPr>
            <w:tcW w:w="4819" w:type="dxa"/>
            <w:shd w:val="clear" w:color="auto" w:fill="auto"/>
          </w:tcPr>
          <w:p w14:paraId="4759389C" w14:textId="4D1C541D" w:rsidR="003F5A9C" w:rsidRDefault="003F5A9C" w:rsidP="00771D6F">
            <w:pPr>
              <w:spacing w:before="40" w:after="40" w:line="280" w:lineRule="atLeast"/>
              <w:rPr>
                <w:rFonts w:ascii="Verdana" w:hAnsi="Verdana"/>
                <w:color w:val="000000"/>
                <w:sz w:val="18"/>
                <w:szCs w:val="18"/>
              </w:rPr>
            </w:pPr>
            <w:r>
              <w:rPr>
                <w:rFonts w:ascii="Verdana" w:hAnsi="Verdana"/>
                <w:color w:val="000000"/>
                <w:sz w:val="18"/>
                <w:szCs w:val="18"/>
              </w:rPr>
              <w:t>FirstRand (ETFs)</w:t>
            </w:r>
          </w:p>
        </w:tc>
        <w:tc>
          <w:tcPr>
            <w:tcW w:w="2552" w:type="dxa"/>
            <w:vAlign w:val="center"/>
          </w:tcPr>
          <w:p w14:paraId="44DD9F66" w14:textId="0062B938" w:rsidR="003F5A9C" w:rsidRDefault="003F5A9C" w:rsidP="00771D6F">
            <w:pPr>
              <w:spacing w:before="40" w:after="40" w:line="280" w:lineRule="atLeast"/>
              <w:jc w:val="right"/>
              <w:rPr>
                <w:rFonts w:ascii="Verdana" w:hAnsi="Verdana"/>
                <w:color w:val="000000"/>
                <w:sz w:val="18"/>
                <w:szCs w:val="18"/>
              </w:rPr>
            </w:pPr>
            <w:r>
              <w:rPr>
                <w:rFonts w:ascii="Verdana" w:hAnsi="Verdana"/>
                <w:color w:val="000000"/>
                <w:sz w:val="18"/>
                <w:szCs w:val="18"/>
              </w:rPr>
              <w:t>47,0</w:t>
            </w:r>
          </w:p>
        </w:tc>
      </w:tr>
      <w:tr w:rsidR="001D296F" w:rsidRPr="00AB6CBE" w14:paraId="7AE90974" w14:textId="77777777" w:rsidTr="00F90B5E">
        <w:tc>
          <w:tcPr>
            <w:tcW w:w="851" w:type="dxa"/>
          </w:tcPr>
          <w:p w14:paraId="566DA3F4" w14:textId="77777777" w:rsidR="001D296F" w:rsidRPr="00DD75B5" w:rsidRDefault="001D296F" w:rsidP="00771D6F">
            <w:pPr>
              <w:pStyle w:val="ListParagraph"/>
              <w:numPr>
                <w:ilvl w:val="0"/>
                <w:numId w:val="15"/>
              </w:numPr>
              <w:spacing w:before="40" w:after="40" w:line="280" w:lineRule="atLeast"/>
              <w:ind w:left="357" w:hanging="357"/>
              <w:rPr>
                <w:rFonts w:ascii="Verdana" w:hAnsi="Verdana"/>
                <w:color w:val="000000"/>
                <w:sz w:val="18"/>
                <w:szCs w:val="18"/>
              </w:rPr>
            </w:pPr>
          </w:p>
        </w:tc>
        <w:tc>
          <w:tcPr>
            <w:tcW w:w="4819" w:type="dxa"/>
            <w:shd w:val="clear" w:color="auto" w:fill="auto"/>
          </w:tcPr>
          <w:p w14:paraId="4737B4A9" w14:textId="511CE4CC" w:rsidR="001D296F" w:rsidRDefault="001D296F" w:rsidP="00771D6F">
            <w:pPr>
              <w:spacing w:before="40" w:after="40" w:line="280" w:lineRule="atLeast"/>
              <w:rPr>
                <w:rFonts w:ascii="Verdana" w:hAnsi="Verdana"/>
                <w:color w:val="000000"/>
                <w:sz w:val="18"/>
                <w:szCs w:val="18"/>
              </w:rPr>
            </w:pPr>
            <w:r>
              <w:rPr>
                <w:rFonts w:ascii="Verdana" w:hAnsi="Verdana"/>
                <w:color w:val="000000"/>
                <w:sz w:val="18"/>
                <w:szCs w:val="18"/>
              </w:rPr>
              <w:t>Cloud Atlas (ETFs)</w:t>
            </w:r>
          </w:p>
        </w:tc>
        <w:tc>
          <w:tcPr>
            <w:tcW w:w="2552" w:type="dxa"/>
            <w:vAlign w:val="center"/>
          </w:tcPr>
          <w:p w14:paraId="3F1A9C40" w14:textId="3D417BD4" w:rsidR="001D296F" w:rsidRDefault="003F5A9C" w:rsidP="00771D6F">
            <w:pPr>
              <w:spacing w:before="40" w:after="40" w:line="280" w:lineRule="atLeast"/>
              <w:jc w:val="right"/>
              <w:rPr>
                <w:rFonts w:ascii="Verdana" w:hAnsi="Verdana"/>
                <w:color w:val="000000"/>
                <w:sz w:val="18"/>
                <w:szCs w:val="18"/>
              </w:rPr>
            </w:pPr>
            <w:r>
              <w:rPr>
                <w:rFonts w:ascii="Verdana" w:hAnsi="Verdana"/>
                <w:color w:val="000000"/>
                <w:sz w:val="18"/>
                <w:szCs w:val="18"/>
              </w:rPr>
              <w:t>(11,1)</w:t>
            </w:r>
          </w:p>
        </w:tc>
      </w:tr>
      <w:tr w:rsidR="00DD75B5" w:rsidRPr="00AB6CBE" w14:paraId="69C2292D" w14:textId="77777777" w:rsidTr="00F90B5E">
        <w:tc>
          <w:tcPr>
            <w:tcW w:w="851" w:type="dxa"/>
          </w:tcPr>
          <w:p w14:paraId="3D011702" w14:textId="77777777" w:rsidR="00DD75B5" w:rsidRPr="00DD75B5" w:rsidRDefault="00DD75B5" w:rsidP="00771D6F">
            <w:pPr>
              <w:pStyle w:val="ListParagraph"/>
              <w:numPr>
                <w:ilvl w:val="0"/>
                <w:numId w:val="15"/>
              </w:numPr>
              <w:spacing w:before="40" w:after="40" w:line="280" w:lineRule="atLeast"/>
              <w:ind w:left="357" w:hanging="357"/>
              <w:rPr>
                <w:rFonts w:ascii="Verdana" w:hAnsi="Verdana"/>
                <w:color w:val="000000"/>
                <w:sz w:val="18"/>
                <w:szCs w:val="18"/>
              </w:rPr>
            </w:pPr>
          </w:p>
        </w:tc>
        <w:tc>
          <w:tcPr>
            <w:tcW w:w="4819" w:type="dxa"/>
            <w:shd w:val="clear" w:color="auto" w:fill="auto"/>
          </w:tcPr>
          <w:p w14:paraId="64A9024E" w14:textId="30ED73C1" w:rsidR="00DD75B5" w:rsidRDefault="00DD75B5" w:rsidP="00771D6F">
            <w:pPr>
              <w:spacing w:before="40" w:after="40" w:line="280" w:lineRule="atLeast"/>
              <w:rPr>
                <w:rFonts w:ascii="Verdana" w:hAnsi="Verdana"/>
                <w:color w:val="000000"/>
                <w:sz w:val="18"/>
                <w:szCs w:val="18"/>
              </w:rPr>
            </w:pPr>
            <w:r>
              <w:rPr>
                <w:rFonts w:ascii="Verdana" w:hAnsi="Verdana"/>
                <w:color w:val="000000"/>
                <w:sz w:val="18"/>
                <w:szCs w:val="18"/>
              </w:rPr>
              <w:t>CoreShares (ETFs)</w:t>
            </w:r>
          </w:p>
        </w:tc>
        <w:tc>
          <w:tcPr>
            <w:tcW w:w="2552" w:type="dxa"/>
            <w:vAlign w:val="center"/>
          </w:tcPr>
          <w:p w14:paraId="42CA6644" w14:textId="69997DD4" w:rsidR="00DD75B5" w:rsidRPr="003B4F95" w:rsidRDefault="003F5A9C" w:rsidP="00771D6F">
            <w:pPr>
              <w:spacing w:before="40" w:after="40" w:line="280" w:lineRule="atLeast"/>
              <w:jc w:val="right"/>
              <w:rPr>
                <w:rFonts w:ascii="Verdana" w:hAnsi="Verdana"/>
                <w:color w:val="000000"/>
                <w:sz w:val="18"/>
                <w:szCs w:val="18"/>
              </w:rPr>
            </w:pPr>
            <w:r>
              <w:rPr>
                <w:rFonts w:ascii="Verdana" w:hAnsi="Verdana"/>
                <w:color w:val="000000"/>
                <w:sz w:val="18"/>
                <w:szCs w:val="18"/>
              </w:rPr>
              <w:t>(112,0)</w:t>
            </w:r>
          </w:p>
        </w:tc>
      </w:tr>
      <w:tr w:rsidR="00E674AE" w:rsidRPr="00AB6CBE" w14:paraId="35E68D46" w14:textId="77777777" w:rsidTr="00F90B5E">
        <w:tc>
          <w:tcPr>
            <w:tcW w:w="851" w:type="dxa"/>
          </w:tcPr>
          <w:p w14:paraId="4BE6C2D0" w14:textId="77777777" w:rsidR="00E674AE" w:rsidRPr="00DD75B5" w:rsidRDefault="00E674AE" w:rsidP="00771D6F">
            <w:pPr>
              <w:pStyle w:val="ListParagraph"/>
              <w:numPr>
                <w:ilvl w:val="0"/>
                <w:numId w:val="15"/>
              </w:numPr>
              <w:spacing w:before="40" w:after="40" w:line="280" w:lineRule="atLeast"/>
              <w:ind w:left="357" w:hanging="357"/>
              <w:rPr>
                <w:rFonts w:ascii="Verdana" w:hAnsi="Verdana"/>
                <w:color w:val="000000"/>
                <w:sz w:val="18"/>
                <w:szCs w:val="18"/>
              </w:rPr>
            </w:pPr>
          </w:p>
        </w:tc>
        <w:tc>
          <w:tcPr>
            <w:tcW w:w="4819" w:type="dxa"/>
            <w:shd w:val="clear" w:color="auto" w:fill="auto"/>
          </w:tcPr>
          <w:p w14:paraId="6ECC8133" w14:textId="0105DBC1" w:rsidR="00E674AE" w:rsidRDefault="00E674AE" w:rsidP="00771D6F">
            <w:pPr>
              <w:spacing w:before="40" w:after="40" w:line="280" w:lineRule="atLeast"/>
              <w:rPr>
                <w:rFonts w:ascii="Verdana" w:hAnsi="Verdana"/>
                <w:color w:val="000000"/>
                <w:sz w:val="18"/>
                <w:szCs w:val="18"/>
              </w:rPr>
            </w:pPr>
            <w:r>
              <w:rPr>
                <w:rFonts w:ascii="Verdana" w:hAnsi="Verdana"/>
                <w:color w:val="000000"/>
                <w:sz w:val="18"/>
                <w:szCs w:val="18"/>
              </w:rPr>
              <w:t>Standard Bank (ETNs)</w:t>
            </w:r>
          </w:p>
        </w:tc>
        <w:tc>
          <w:tcPr>
            <w:tcW w:w="2552" w:type="dxa"/>
            <w:vAlign w:val="center"/>
          </w:tcPr>
          <w:p w14:paraId="368560FD" w14:textId="6DB5C91C" w:rsidR="00E674AE" w:rsidRDefault="003F5A9C" w:rsidP="00771D6F">
            <w:pPr>
              <w:spacing w:before="40" w:after="40" w:line="280" w:lineRule="atLeast"/>
              <w:jc w:val="right"/>
              <w:rPr>
                <w:rFonts w:ascii="Verdana" w:hAnsi="Verdana"/>
                <w:color w:val="000000"/>
                <w:sz w:val="18"/>
                <w:szCs w:val="18"/>
              </w:rPr>
            </w:pPr>
            <w:r>
              <w:rPr>
                <w:rFonts w:ascii="Verdana" w:hAnsi="Verdana"/>
                <w:color w:val="000000"/>
                <w:sz w:val="18"/>
                <w:szCs w:val="18"/>
              </w:rPr>
              <w:t>(1 346,6)</w:t>
            </w:r>
          </w:p>
        </w:tc>
      </w:tr>
      <w:tr w:rsidR="00E674AE" w:rsidRPr="00AB6CBE" w14:paraId="4F4D5889" w14:textId="77777777" w:rsidTr="00F90B5E">
        <w:tc>
          <w:tcPr>
            <w:tcW w:w="851" w:type="dxa"/>
          </w:tcPr>
          <w:p w14:paraId="5AB53D0C" w14:textId="77777777" w:rsidR="00E674AE" w:rsidRPr="00DD75B5" w:rsidRDefault="00E674AE" w:rsidP="00771D6F">
            <w:pPr>
              <w:pStyle w:val="ListParagraph"/>
              <w:numPr>
                <w:ilvl w:val="0"/>
                <w:numId w:val="15"/>
              </w:numPr>
              <w:spacing w:before="40" w:after="40" w:line="280" w:lineRule="atLeast"/>
              <w:ind w:left="357" w:hanging="357"/>
              <w:rPr>
                <w:rFonts w:ascii="Verdana" w:hAnsi="Verdana"/>
                <w:color w:val="000000"/>
                <w:sz w:val="18"/>
                <w:szCs w:val="18"/>
              </w:rPr>
            </w:pPr>
          </w:p>
        </w:tc>
        <w:tc>
          <w:tcPr>
            <w:tcW w:w="4819" w:type="dxa"/>
            <w:shd w:val="clear" w:color="auto" w:fill="auto"/>
          </w:tcPr>
          <w:p w14:paraId="75F3CA06" w14:textId="6C83C116" w:rsidR="00E674AE" w:rsidRDefault="00E674AE" w:rsidP="00771D6F">
            <w:pPr>
              <w:spacing w:before="40" w:after="40" w:line="280" w:lineRule="atLeast"/>
              <w:rPr>
                <w:rFonts w:ascii="Verdana" w:hAnsi="Verdana"/>
                <w:color w:val="000000"/>
                <w:sz w:val="18"/>
                <w:szCs w:val="18"/>
              </w:rPr>
            </w:pPr>
            <w:r>
              <w:rPr>
                <w:rFonts w:ascii="Verdana" w:hAnsi="Verdana"/>
                <w:color w:val="000000"/>
                <w:sz w:val="18"/>
                <w:szCs w:val="18"/>
              </w:rPr>
              <w:t>Absa Capital (ETFs)</w:t>
            </w:r>
          </w:p>
        </w:tc>
        <w:tc>
          <w:tcPr>
            <w:tcW w:w="2552" w:type="dxa"/>
            <w:vAlign w:val="center"/>
          </w:tcPr>
          <w:p w14:paraId="249A5220" w14:textId="02A5A65C" w:rsidR="00E674AE" w:rsidRDefault="003F5A9C" w:rsidP="00771D6F">
            <w:pPr>
              <w:spacing w:before="40" w:after="40" w:line="280" w:lineRule="atLeast"/>
              <w:jc w:val="right"/>
              <w:rPr>
                <w:rFonts w:ascii="Verdana" w:hAnsi="Verdana"/>
                <w:color w:val="000000"/>
                <w:sz w:val="18"/>
                <w:szCs w:val="18"/>
              </w:rPr>
            </w:pPr>
            <w:r>
              <w:rPr>
                <w:rFonts w:ascii="Verdana" w:hAnsi="Verdana"/>
                <w:color w:val="000000"/>
                <w:sz w:val="18"/>
                <w:szCs w:val="18"/>
              </w:rPr>
              <w:t>(3 463,6)</w:t>
            </w:r>
          </w:p>
        </w:tc>
      </w:tr>
      <w:tr w:rsidR="003F5A9C" w:rsidRPr="00AB6CBE" w14:paraId="22C2D4E5" w14:textId="77777777" w:rsidTr="00F90B5E">
        <w:tc>
          <w:tcPr>
            <w:tcW w:w="851" w:type="dxa"/>
          </w:tcPr>
          <w:p w14:paraId="7479B986" w14:textId="77777777" w:rsidR="003F5A9C" w:rsidRPr="00DD75B5" w:rsidRDefault="003F5A9C" w:rsidP="00771D6F">
            <w:pPr>
              <w:pStyle w:val="ListParagraph"/>
              <w:numPr>
                <w:ilvl w:val="0"/>
                <w:numId w:val="15"/>
              </w:numPr>
              <w:spacing w:before="40" w:after="40" w:line="280" w:lineRule="atLeast"/>
              <w:ind w:left="357" w:hanging="357"/>
              <w:rPr>
                <w:rFonts w:ascii="Verdana" w:hAnsi="Verdana"/>
                <w:color w:val="000000"/>
                <w:sz w:val="18"/>
                <w:szCs w:val="18"/>
              </w:rPr>
            </w:pPr>
          </w:p>
        </w:tc>
        <w:tc>
          <w:tcPr>
            <w:tcW w:w="4819" w:type="dxa"/>
            <w:shd w:val="clear" w:color="auto" w:fill="auto"/>
          </w:tcPr>
          <w:p w14:paraId="7CCF4CE0" w14:textId="1708EF10" w:rsidR="003F5A9C" w:rsidRDefault="003F5A9C" w:rsidP="00771D6F">
            <w:pPr>
              <w:spacing w:before="40" w:after="40" w:line="280" w:lineRule="atLeast"/>
              <w:rPr>
                <w:rFonts w:ascii="Verdana" w:hAnsi="Verdana"/>
                <w:color w:val="000000"/>
                <w:sz w:val="18"/>
                <w:szCs w:val="18"/>
              </w:rPr>
            </w:pPr>
            <w:r>
              <w:rPr>
                <w:rFonts w:ascii="Verdana" w:hAnsi="Verdana"/>
                <w:color w:val="000000"/>
                <w:sz w:val="18"/>
                <w:szCs w:val="18"/>
              </w:rPr>
              <w:t>1nvest (ETFs)</w:t>
            </w:r>
          </w:p>
        </w:tc>
        <w:tc>
          <w:tcPr>
            <w:tcW w:w="2552" w:type="dxa"/>
            <w:vAlign w:val="center"/>
          </w:tcPr>
          <w:p w14:paraId="37C52FAD" w14:textId="719EC642" w:rsidR="003F5A9C" w:rsidRDefault="003F5A9C" w:rsidP="00771D6F">
            <w:pPr>
              <w:spacing w:before="40" w:after="40" w:line="280" w:lineRule="atLeast"/>
              <w:jc w:val="right"/>
              <w:rPr>
                <w:rFonts w:ascii="Verdana" w:hAnsi="Verdana"/>
                <w:color w:val="000000"/>
                <w:sz w:val="18"/>
                <w:szCs w:val="18"/>
              </w:rPr>
            </w:pPr>
            <w:r>
              <w:rPr>
                <w:rFonts w:ascii="Verdana" w:hAnsi="Verdana"/>
                <w:color w:val="000000"/>
                <w:sz w:val="18"/>
                <w:szCs w:val="18"/>
              </w:rPr>
              <w:t>(3 740,3)</w:t>
            </w:r>
          </w:p>
        </w:tc>
      </w:tr>
      <w:tr w:rsidR="00DD75B5" w:rsidRPr="00AB6CBE" w14:paraId="30392D17" w14:textId="77777777" w:rsidTr="00F90B5E">
        <w:tc>
          <w:tcPr>
            <w:tcW w:w="851" w:type="dxa"/>
          </w:tcPr>
          <w:p w14:paraId="48087E6E" w14:textId="77777777" w:rsidR="00DD75B5" w:rsidRPr="00DD75B5" w:rsidRDefault="00DD75B5" w:rsidP="00771D6F">
            <w:pPr>
              <w:pStyle w:val="ListParagraph"/>
              <w:numPr>
                <w:ilvl w:val="0"/>
                <w:numId w:val="15"/>
              </w:numPr>
              <w:spacing w:before="40" w:after="40" w:line="280" w:lineRule="atLeast"/>
              <w:ind w:left="357" w:hanging="357"/>
              <w:rPr>
                <w:rFonts w:ascii="Verdana" w:hAnsi="Verdana"/>
                <w:color w:val="000000"/>
                <w:sz w:val="18"/>
                <w:szCs w:val="18"/>
              </w:rPr>
            </w:pPr>
          </w:p>
        </w:tc>
        <w:tc>
          <w:tcPr>
            <w:tcW w:w="4819" w:type="dxa"/>
            <w:shd w:val="clear" w:color="auto" w:fill="auto"/>
          </w:tcPr>
          <w:p w14:paraId="08E70A7F" w14:textId="0B976F68" w:rsidR="00DD75B5" w:rsidRDefault="00DD75B5" w:rsidP="00771D6F">
            <w:pPr>
              <w:spacing w:before="40" w:after="40" w:line="280" w:lineRule="atLeast"/>
              <w:rPr>
                <w:rFonts w:ascii="Verdana" w:hAnsi="Verdana"/>
                <w:color w:val="000000"/>
                <w:sz w:val="18"/>
                <w:szCs w:val="18"/>
              </w:rPr>
            </w:pPr>
            <w:r>
              <w:rPr>
                <w:rFonts w:ascii="Verdana" w:hAnsi="Verdana"/>
                <w:color w:val="000000"/>
                <w:sz w:val="18"/>
                <w:szCs w:val="18"/>
              </w:rPr>
              <w:t>Deutsche Bank (ETNs)</w:t>
            </w:r>
          </w:p>
        </w:tc>
        <w:tc>
          <w:tcPr>
            <w:tcW w:w="2552" w:type="dxa"/>
            <w:vAlign w:val="center"/>
          </w:tcPr>
          <w:p w14:paraId="228A5705" w14:textId="0C63E7EC" w:rsidR="00DD75B5" w:rsidRDefault="003F5A9C" w:rsidP="00771D6F">
            <w:pPr>
              <w:spacing w:before="40" w:after="40" w:line="280" w:lineRule="atLeast"/>
              <w:jc w:val="right"/>
              <w:rPr>
                <w:rFonts w:ascii="Verdana" w:hAnsi="Verdana"/>
                <w:color w:val="000000"/>
                <w:sz w:val="18"/>
                <w:szCs w:val="18"/>
              </w:rPr>
            </w:pPr>
            <w:r>
              <w:rPr>
                <w:rFonts w:ascii="Verdana" w:hAnsi="Verdana"/>
                <w:color w:val="000000"/>
                <w:sz w:val="18"/>
                <w:szCs w:val="18"/>
              </w:rPr>
              <w:t>(5 672,2)</w:t>
            </w:r>
          </w:p>
        </w:tc>
      </w:tr>
      <w:tr w:rsidR="00DD75B5" w:rsidRPr="00DD75B5" w14:paraId="6CC0246E" w14:textId="77777777" w:rsidTr="00F90B5E">
        <w:tc>
          <w:tcPr>
            <w:tcW w:w="5670" w:type="dxa"/>
            <w:gridSpan w:val="2"/>
          </w:tcPr>
          <w:p w14:paraId="7018F073" w14:textId="22CDEF9C" w:rsidR="00DD75B5" w:rsidRPr="00DD75B5" w:rsidRDefault="00DD75B5" w:rsidP="00771D6F">
            <w:pPr>
              <w:spacing w:before="40" w:after="40" w:line="280" w:lineRule="atLeast"/>
              <w:rPr>
                <w:rFonts w:ascii="Verdana" w:hAnsi="Verdana"/>
                <w:b/>
                <w:bCs/>
                <w:color w:val="000000"/>
                <w:sz w:val="18"/>
                <w:szCs w:val="18"/>
              </w:rPr>
            </w:pPr>
            <w:r>
              <w:rPr>
                <w:rFonts w:ascii="Verdana" w:hAnsi="Verdana"/>
                <w:b/>
                <w:bCs/>
                <w:color w:val="000000"/>
                <w:sz w:val="18"/>
                <w:szCs w:val="18"/>
              </w:rPr>
              <w:t>Total</w:t>
            </w:r>
          </w:p>
        </w:tc>
        <w:tc>
          <w:tcPr>
            <w:tcW w:w="2552" w:type="dxa"/>
            <w:vAlign w:val="center"/>
          </w:tcPr>
          <w:p w14:paraId="07CD5EF2" w14:textId="6BB8C2FC" w:rsidR="00DD75B5" w:rsidRPr="00DD75B5" w:rsidRDefault="00E674AE" w:rsidP="00771D6F">
            <w:pPr>
              <w:spacing w:before="40" w:after="40" w:line="280" w:lineRule="atLeast"/>
              <w:jc w:val="right"/>
              <w:rPr>
                <w:rFonts w:ascii="Verdana" w:hAnsi="Verdana"/>
                <w:b/>
                <w:bCs/>
                <w:color w:val="000000"/>
                <w:sz w:val="18"/>
                <w:szCs w:val="18"/>
              </w:rPr>
            </w:pPr>
            <w:r>
              <w:rPr>
                <w:rFonts w:ascii="Verdana" w:hAnsi="Verdana"/>
                <w:b/>
                <w:bCs/>
                <w:color w:val="000000"/>
                <w:sz w:val="18"/>
                <w:szCs w:val="18"/>
              </w:rPr>
              <w:t>(</w:t>
            </w:r>
            <w:r w:rsidR="003F5A9C">
              <w:rPr>
                <w:rFonts w:ascii="Verdana" w:hAnsi="Verdana"/>
                <w:b/>
                <w:bCs/>
                <w:color w:val="000000"/>
                <w:sz w:val="18"/>
                <w:szCs w:val="18"/>
              </w:rPr>
              <w:t>5 694,4</w:t>
            </w:r>
            <w:r>
              <w:rPr>
                <w:rFonts w:ascii="Verdana" w:hAnsi="Verdana"/>
                <w:b/>
                <w:bCs/>
                <w:color w:val="000000"/>
                <w:sz w:val="18"/>
                <w:szCs w:val="18"/>
              </w:rPr>
              <w:t>)</w:t>
            </w:r>
          </w:p>
        </w:tc>
      </w:tr>
      <w:tr w:rsidR="00A547A7" w:rsidRPr="00A547A7" w14:paraId="444EC8A9" w14:textId="77777777" w:rsidTr="00A547A7">
        <w:trPr>
          <w:trHeight w:val="217"/>
        </w:trPr>
        <w:tc>
          <w:tcPr>
            <w:tcW w:w="8222" w:type="dxa"/>
            <w:gridSpan w:val="3"/>
            <w:shd w:val="clear" w:color="auto" w:fill="auto"/>
            <w:vAlign w:val="center"/>
          </w:tcPr>
          <w:p w14:paraId="3DF6E8D3" w14:textId="6357FBA1" w:rsidR="00A547A7" w:rsidRPr="00A547A7" w:rsidRDefault="00A547A7" w:rsidP="00A547A7">
            <w:pPr>
              <w:spacing w:after="40" w:line="280" w:lineRule="atLeast"/>
              <w:rPr>
                <w:rFonts w:ascii="Verdana" w:hAnsi="Verdana"/>
                <w:i/>
                <w:color w:val="000000"/>
                <w:sz w:val="14"/>
                <w:szCs w:val="14"/>
                <w:lang w:val="fr-FR"/>
              </w:rPr>
            </w:pPr>
            <w:r w:rsidRPr="00A547A7">
              <w:rPr>
                <w:rFonts w:ascii="Verdana" w:hAnsi="Verdana"/>
                <w:i/>
                <w:color w:val="000000"/>
                <w:sz w:val="14"/>
                <w:szCs w:val="14"/>
                <w:lang w:val="fr-FR"/>
              </w:rPr>
              <w:t>Source:</w:t>
            </w:r>
            <w:r w:rsidRPr="00A547A7">
              <w:rPr>
                <w:rFonts w:ascii="Verdana" w:hAnsi="Verdana"/>
                <w:i/>
                <w:color w:val="000000"/>
                <w:sz w:val="14"/>
                <w:szCs w:val="14"/>
                <w:lang w:val="fr-FR"/>
              </w:rPr>
              <w:t xml:space="preserve"> </w:t>
            </w:r>
            <w:r w:rsidRPr="00A547A7">
              <w:rPr>
                <w:rFonts w:ascii="Verdana" w:hAnsi="Verdana"/>
                <w:i/>
                <w:color w:val="000000"/>
                <w:sz w:val="14"/>
                <w:szCs w:val="14"/>
                <w:lang w:val="fr-FR"/>
              </w:rPr>
              <w:t xml:space="preserve">etfSA.co.za / JSE / Profile Data (31/12/2020). </w:t>
            </w:r>
          </w:p>
        </w:tc>
      </w:tr>
    </w:tbl>
    <w:p w14:paraId="47595BC9" w14:textId="77777777" w:rsidR="00A547A7" w:rsidRPr="00A547A7" w:rsidRDefault="00A547A7" w:rsidP="00771D6F">
      <w:pPr>
        <w:spacing w:after="0" w:line="320" w:lineRule="atLeast"/>
        <w:rPr>
          <w:rFonts w:ascii="Verdana" w:hAnsi="Verdana"/>
          <w:color w:val="000000"/>
          <w:sz w:val="20"/>
          <w:szCs w:val="20"/>
          <w:lang w:val="fr-FR"/>
        </w:rPr>
      </w:pPr>
    </w:p>
    <w:p w14:paraId="4954913D" w14:textId="77777777" w:rsidR="003F5A9C" w:rsidRPr="00A547A7" w:rsidRDefault="003F5A9C" w:rsidP="00771D6F">
      <w:pPr>
        <w:spacing w:after="0" w:line="320" w:lineRule="atLeast"/>
        <w:rPr>
          <w:rFonts w:ascii="Verdana" w:hAnsi="Verdana"/>
          <w:color w:val="000000"/>
          <w:sz w:val="20"/>
          <w:szCs w:val="20"/>
          <w:lang w:val="fr-FR"/>
        </w:rPr>
      </w:pPr>
    </w:p>
    <w:p w14:paraId="055C5561" w14:textId="36CB116B" w:rsidR="003F5A9C" w:rsidRPr="007A7050" w:rsidRDefault="003F5A9C" w:rsidP="00A547A7">
      <w:pPr>
        <w:spacing w:after="120" w:line="320" w:lineRule="atLeast"/>
        <w:rPr>
          <w:rFonts w:ascii="Verdana" w:hAnsi="Verdana"/>
          <w:b/>
          <w:bCs/>
          <w:color w:val="C00000"/>
        </w:rPr>
      </w:pPr>
      <w:r w:rsidRPr="007A7050">
        <w:rPr>
          <w:rFonts w:ascii="Verdana" w:hAnsi="Verdana"/>
          <w:b/>
          <w:bCs/>
          <w:color w:val="C00000"/>
        </w:rPr>
        <w:t>Snapshot of the SA ETP Industry as at 3</w:t>
      </w:r>
      <w:r>
        <w:rPr>
          <w:rFonts w:ascii="Verdana" w:hAnsi="Verdana"/>
          <w:b/>
          <w:bCs/>
          <w:color w:val="C00000"/>
        </w:rPr>
        <w:t>1</w:t>
      </w:r>
      <w:r w:rsidRPr="007A7050">
        <w:rPr>
          <w:rFonts w:ascii="Verdana" w:hAnsi="Verdana"/>
          <w:b/>
          <w:bCs/>
          <w:color w:val="C00000"/>
        </w:rPr>
        <w:t xml:space="preserve"> </w:t>
      </w:r>
      <w:r>
        <w:rPr>
          <w:rFonts w:ascii="Verdana" w:hAnsi="Verdana"/>
          <w:b/>
          <w:bCs/>
          <w:color w:val="C00000"/>
        </w:rPr>
        <w:t>Dec</w:t>
      </w:r>
      <w:r>
        <w:rPr>
          <w:rFonts w:ascii="Verdana" w:hAnsi="Verdana"/>
          <w:b/>
          <w:bCs/>
          <w:color w:val="C00000"/>
        </w:rPr>
        <w:t>ember</w:t>
      </w:r>
      <w:r w:rsidRPr="007A7050">
        <w:rPr>
          <w:rFonts w:ascii="Verdana" w:hAnsi="Verdana"/>
          <w:b/>
          <w:bCs/>
          <w:color w:val="C00000"/>
        </w:rPr>
        <w:t xml:space="preserve"> 20</w:t>
      </w:r>
      <w:r>
        <w:rPr>
          <w:rFonts w:ascii="Verdana" w:hAnsi="Verdana"/>
          <w:b/>
          <w:bCs/>
          <w:color w:val="C00000"/>
        </w:rPr>
        <w:t>20</w:t>
      </w:r>
    </w:p>
    <w:p w14:paraId="46801556" w14:textId="5E94FA57" w:rsidR="00A547A7" w:rsidRDefault="00A547A7" w:rsidP="00A547A7">
      <w:pPr>
        <w:spacing w:after="0" w:line="360" w:lineRule="atLeast"/>
        <w:rPr>
          <w:rFonts w:ascii="Verdana" w:hAnsi="Verdana"/>
          <w:color w:val="000000"/>
          <w:sz w:val="21"/>
          <w:szCs w:val="21"/>
        </w:rPr>
      </w:pPr>
      <w:r>
        <w:rPr>
          <w:rFonts w:ascii="Verdana" w:hAnsi="Verdana"/>
          <w:color w:val="000000"/>
          <w:sz w:val="21"/>
          <w:szCs w:val="21"/>
        </w:rPr>
        <w:t>Table B shows a</w:t>
      </w:r>
      <w:r>
        <w:rPr>
          <w:rFonts w:ascii="Verdana" w:hAnsi="Verdana"/>
          <w:color w:val="000000"/>
          <w:sz w:val="21"/>
          <w:szCs w:val="21"/>
        </w:rPr>
        <w:t xml:space="preserve"> profile</w:t>
      </w:r>
      <w:r>
        <w:rPr>
          <w:rFonts w:ascii="Verdana" w:hAnsi="Verdana"/>
          <w:color w:val="000000"/>
          <w:sz w:val="21"/>
          <w:szCs w:val="21"/>
        </w:rPr>
        <w:t xml:space="preserve"> of the local listed-index tracking industry </w:t>
      </w:r>
      <w:r>
        <w:rPr>
          <w:rFonts w:ascii="Verdana" w:hAnsi="Verdana"/>
          <w:color w:val="000000"/>
          <w:sz w:val="21"/>
          <w:szCs w:val="21"/>
        </w:rPr>
        <w:t>indicating</w:t>
      </w:r>
      <w:r>
        <w:rPr>
          <w:rFonts w:ascii="Verdana" w:hAnsi="Verdana"/>
          <w:color w:val="000000"/>
          <w:sz w:val="21"/>
          <w:szCs w:val="21"/>
        </w:rPr>
        <w:t xml:space="preserve"> the market share of </w:t>
      </w:r>
      <w:r>
        <w:rPr>
          <w:rFonts w:ascii="Verdana" w:hAnsi="Verdana"/>
          <w:color w:val="000000"/>
          <w:sz w:val="21"/>
          <w:szCs w:val="21"/>
        </w:rPr>
        <w:t xml:space="preserve">all </w:t>
      </w:r>
      <w:r>
        <w:rPr>
          <w:rFonts w:ascii="Verdana" w:hAnsi="Verdana"/>
          <w:color w:val="000000"/>
          <w:sz w:val="21"/>
          <w:szCs w:val="21"/>
        </w:rPr>
        <w:t xml:space="preserve">11 </w:t>
      </w:r>
      <w:r>
        <w:rPr>
          <w:rFonts w:ascii="Verdana" w:hAnsi="Verdana"/>
          <w:color w:val="000000"/>
          <w:sz w:val="21"/>
          <w:szCs w:val="21"/>
        </w:rPr>
        <w:t xml:space="preserve">ETP </w:t>
      </w:r>
      <w:r>
        <w:rPr>
          <w:rFonts w:ascii="Verdana" w:hAnsi="Verdana"/>
          <w:color w:val="000000"/>
          <w:sz w:val="21"/>
          <w:szCs w:val="21"/>
        </w:rPr>
        <w:t xml:space="preserve">issuing houses.  </w:t>
      </w:r>
    </w:p>
    <w:p w14:paraId="3ABF6D4B" w14:textId="77777777" w:rsidR="00A547A7" w:rsidRDefault="00A547A7" w:rsidP="00A547A7">
      <w:pPr>
        <w:spacing w:after="0" w:line="360" w:lineRule="atLeast"/>
        <w:rPr>
          <w:rFonts w:ascii="Verdana" w:hAnsi="Verdana"/>
          <w:color w:val="000000"/>
          <w:sz w:val="21"/>
          <w:szCs w:val="21"/>
        </w:rPr>
      </w:pPr>
    </w:p>
    <w:p w14:paraId="5CD0A30C" w14:textId="0A719028" w:rsidR="00A547A7" w:rsidRDefault="00A547A7" w:rsidP="00A547A7">
      <w:pPr>
        <w:spacing w:after="0" w:line="360" w:lineRule="atLeast"/>
        <w:rPr>
          <w:rFonts w:ascii="Verdana" w:hAnsi="Verdana"/>
          <w:color w:val="000000"/>
          <w:sz w:val="21"/>
          <w:szCs w:val="21"/>
        </w:rPr>
      </w:pPr>
      <w:r w:rsidRPr="00771D6F">
        <w:rPr>
          <w:rFonts w:ascii="Verdana" w:hAnsi="Verdana"/>
          <w:b/>
          <w:bCs/>
          <w:color w:val="000000"/>
          <w:sz w:val="21"/>
          <w:szCs w:val="21"/>
        </w:rPr>
        <w:t>Absa Capital</w:t>
      </w:r>
      <w:r w:rsidRPr="003F5A9C">
        <w:rPr>
          <w:rFonts w:ascii="Verdana" w:hAnsi="Verdana"/>
          <w:color w:val="000000"/>
          <w:sz w:val="21"/>
          <w:szCs w:val="21"/>
        </w:rPr>
        <w:t xml:space="preserve"> retains i</w:t>
      </w:r>
      <w:r>
        <w:rPr>
          <w:rFonts w:ascii="Verdana" w:hAnsi="Verdana"/>
          <w:color w:val="000000"/>
          <w:sz w:val="21"/>
          <w:szCs w:val="21"/>
        </w:rPr>
        <w:t>t</w:t>
      </w:r>
      <w:r w:rsidRPr="003F5A9C">
        <w:rPr>
          <w:rFonts w:ascii="Verdana" w:hAnsi="Verdana"/>
          <w:color w:val="000000"/>
          <w:sz w:val="21"/>
          <w:szCs w:val="21"/>
        </w:rPr>
        <w:t>s dominant position as the i</w:t>
      </w:r>
      <w:r>
        <w:rPr>
          <w:rFonts w:ascii="Verdana" w:hAnsi="Verdana"/>
          <w:color w:val="000000"/>
          <w:sz w:val="21"/>
          <w:szCs w:val="21"/>
        </w:rPr>
        <w:t xml:space="preserve">ssuing house with the largest market capitalisation (R33 111 million).  However, 88% of the AUM of Absa’s ETFs are commodity ETFs and the sell-off of such ETFs by local investors in the past year has impacted on the market share of Absa in the local market. </w:t>
      </w:r>
    </w:p>
    <w:p w14:paraId="4B0BE42B" w14:textId="77777777" w:rsidR="00A547A7" w:rsidRPr="003F5A9C" w:rsidRDefault="00A547A7" w:rsidP="00A547A7">
      <w:pPr>
        <w:spacing w:after="0" w:line="360" w:lineRule="atLeast"/>
        <w:rPr>
          <w:rFonts w:ascii="Verdana" w:hAnsi="Verdana"/>
          <w:color w:val="000000"/>
          <w:sz w:val="21"/>
          <w:szCs w:val="21"/>
        </w:rPr>
      </w:pPr>
    </w:p>
    <w:p w14:paraId="223D132D" w14:textId="305C484F" w:rsidR="00A547A7" w:rsidRDefault="00A547A7" w:rsidP="00A547A7">
      <w:pPr>
        <w:spacing w:after="0" w:line="360" w:lineRule="atLeast"/>
        <w:rPr>
          <w:rFonts w:ascii="Verdana" w:hAnsi="Verdana"/>
          <w:color w:val="000000"/>
          <w:sz w:val="21"/>
          <w:szCs w:val="21"/>
        </w:rPr>
      </w:pPr>
      <w:r w:rsidRPr="00E674AE">
        <w:rPr>
          <w:rFonts w:ascii="Verdana" w:hAnsi="Verdana"/>
          <w:b/>
          <w:bCs/>
          <w:color w:val="000000"/>
          <w:sz w:val="21"/>
          <w:szCs w:val="21"/>
        </w:rPr>
        <w:t>Satrix Managers</w:t>
      </w:r>
      <w:r>
        <w:rPr>
          <w:rFonts w:ascii="Verdana" w:hAnsi="Verdana"/>
          <w:color w:val="000000"/>
          <w:sz w:val="21"/>
          <w:szCs w:val="21"/>
        </w:rPr>
        <w:t xml:space="preserve"> has made great strides in 2020.  It was the only house to issue new ETFs last year and its </w:t>
      </w:r>
      <w:r>
        <w:rPr>
          <w:rFonts w:ascii="Verdana" w:hAnsi="Verdana"/>
          <w:color w:val="000000"/>
          <w:sz w:val="21"/>
          <w:szCs w:val="21"/>
        </w:rPr>
        <w:t xml:space="preserve">positioning </w:t>
      </w:r>
      <w:r>
        <w:rPr>
          <w:rFonts w:ascii="Verdana" w:hAnsi="Verdana"/>
          <w:color w:val="000000"/>
          <w:sz w:val="21"/>
          <w:szCs w:val="21"/>
        </w:rPr>
        <w:t>in providing feeder fund foreign referenced ETFs to the South African market has paid off well.  It has now overtaken Sygnia Itrix again as the second largest issuer of ETFs in South Africa, with a total market capitalisation of R25</w:t>
      </w:r>
      <w:r>
        <w:rPr>
          <w:rFonts w:ascii="Verdana" w:hAnsi="Verdana"/>
          <w:color w:val="000000"/>
          <w:sz w:val="21"/>
          <w:szCs w:val="21"/>
        </w:rPr>
        <w:t xml:space="preserve"> </w:t>
      </w:r>
      <w:r>
        <w:rPr>
          <w:rFonts w:ascii="Verdana" w:hAnsi="Verdana"/>
          <w:color w:val="000000"/>
          <w:sz w:val="21"/>
          <w:szCs w:val="21"/>
        </w:rPr>
        <w:t>4</w:t>
      </w:r>
      <w:r>
        <w:rPr>
          <w:rFonts w:ascii="Verdana" w:hAnsi="Verdana"/>
          <w:color w:val="000000"/>
          <w:sz w:val="21"/>
          <w:szCs w:val="21"/>
        </w:rPr>
        <w:t>7</w:t>
      </w:r>
      <w:r>
        <w:rPr>
          <w:rFonts w:ascii="Verdana" w:hAnsi="Verdana"/>
          <w:color w:val="000000"/>
          <w:sz w:val="21"/>
          <w:szCs w:val="21"/>
        </w:rPr>
        <w:t>3,1 million</w:t>
      </w:r>
      <w:r w:rsidR="00AC2829">
        <w:rPr>
          <w:rFonts w:ascii="Verdana" w:hAnsi="Verdana"/>
          <w:color w:val="000000"/>
          <w:sz w:val="21"/>
          <w:szCs w:val="21"/>
        </w:rPr>
        <w:t xml:space="preserve">. </w:t>
      </w:r>
    </w:p>
    <w:p w14:paraId="38B77CDF" w14:textId="77777777" w:rsidR="00A547A7" w:rsidRDefault="00A547A7">
      <w:pPr>
        <w:rPr>
          <w:rFonts w:ascii="Verdana" w:hAnsi="Verdana"/>
          <w:b/>
          <w:color w:val="000000"/>
          <w:sz w:val="21"/>
          <w:szCs w:val="21"/>
        </w:rPr>
      </w:pPr>
      <w:r>
        <w:rPr>
          <w:rFonts w:ascii="Verdana" w:hAnsi="Verdana"/>
          <w:b/>
          <w:color w:val="000000"/>
          <w:sz w:val="21"/>
          <w:szCs w:val="21"/>
        </w:rPr>
        <w:br w:type="page"/>
      </w:r>
    </w:p>
    <w:p w14:paraId="596BE6FD" w14:textId="77777777" w:rsidR="00A547A7" w:rsidRDefault="00A547A7" w:rsidP="00771D6F">
      <w:pPr>
        <w:spacing w:after="0" w:line="360" w:lineRule="atLeast"/>
        <w:rPr>
          <w:rFonts w:ascii="Verdana" w:hAnsi="Verdana"/>
          <w:b/>
          <w:color w:val="000000"/>
          <w:sz w:val="21"/>
          <w:szCs w:val="21"/>
        </w:rPr>
      </w:pPr>
    </w:p>
    <w:p w14:paraId="78071108" w14:textId="723E41B6" w:rsidR="00771D6F" w:rsidRPr="00340ED3" w:rsidRDefault="00771D6F" w:rsidP="00771D6F">
      <w:pPr>
        <w:spacing w:after="0" w:line="360" w:lineRule="atLeast"/>
        <w:rPr>
          <w:rFonts w:ascii="Verdana" w:hAnsi="Verdana"/>
          <w:b/>
          <w:color w:val="000000"/>
          <w:sz w:val="21"/>
          <w:szCs w:val="21"/>
        </w:rPr>
      </w:pPr>
      <w:r>
        <w:rPr>
          <w:rFonts w:ascii="Verdana" w:hAnsi="Verdana"/>
          <w:b/>
          <w:color w:val="000000"/>
          <w:sz w:val="21"/>
          <w:szCs w:val="21"/>
        </w:rPr>
        <w:t>Table B</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1701"/>
        <w:gridCol w:w="993"/>
        <w:gridCol w:w="992"/>
        <w:gridCol w:w="1417"/>
        <w:gridCol w:w="1418"/>
        <w:gridCol w:w="1843"/>
      </w:tblGrid>
      <w:tr w:rsidR="00771D6F" w:rsidRPr="00AB6CBE" w14:paraId="514B8D1F" w14:textId="77777777" w:rsidTr="00D91820">
        <w:tc>
          <w:tcPr>
            <w:tcW w:w="9214" w:type="dxa"/>
            <w:gridSpan w:val="8"/>
            <w:shd w:val="clear" w:color="auto" w:fill="C00000"/>
            <w:vAlign w:val="center"/>
          </w:tcPr>
          <w:p w14:paraId="42255D30" w14:textId="77777777" w:rsidR="00771D6F" w:rsidRPr="003B4F95" w:rsidRDefault="00771D6F" w:rsidP="00D91820">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2E74C8E4" w14:textId="2C1E7751" w:rsidR="00771D6F" w:rsidRPr="003B4F95" w:rsidRDefault="00771D6F" w:rsidP="00D91820">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 xml:space="preserve">(as at </w:t>
            </w:r>
            <w:r>
              <w:rPr>
                <w:rFonts w:ascii="Verdana" w:hAnsi="Verdana"/>
                <w:b/>
                <w:color w:val="FFFFFF"/>
                <w:sz w:val="18"/>
                <w:szCs w:val="18"/>
              </w:rPr>
              <w:t>3</w:t>
            </w:r>
            <w:r>
              <w:rPr>
                <w:rFonts w:ascii="Verdana" w:hAnsi="Verdana"/>
                <w:b/>
                <w:color w:val="FFFFFF"/>
                <w:sz w:val="18"/>
                <w:szCs w:val="18"/>
              </w:rPr>
              <w:t>1</w:t>
            </w:r>
            <w:r>
              <w:rPr>
                <w:rFonts w:ascii="Verdana" w:hAnsi="Verdana"/>
                <w:b/>
                <w:color w:val="FFFFFF"/>
                <w:sz w:val="18"/>
                <w:szCs w:val="18"/>
              </w:rPr>
              <w:t xml:space="preserve"> </w:t>
            </w:r>
            <w:r>
              <w:rPr>
                <w:rFonts w:ascii="Verdana" w:hAnsi="Verdana"/>
                <w:b/>
                <w:color w:val="FFFFFF"/>
                <w:sz w:val="18"/>
                <w:szCs w:val="18"/>
              </w:rPr>
              <w:t>Dec</w:t>
            </w:r>
            <w:r>
              <w:rPr>
                <w:rFonts w:ascii="Verdana" w:hAnsi="Verdana"/>
                <w:b/>
                <w:color w:val="FFFFFF"/>
                <w:sz w:val="18"/>
                <w:szCs w:val="18"/>
              </w:rPr>
              <w:t>ember</w:t>
            </w:r>
            <w:r w:rsidRPr="003B4F95">
              <w:rPr>
                <w:rFonts w:ascii="Verdana" w:hAnsi="Verdana"/>
                <w:b/>
                <w:color w:val="FFFFFF"/>
                <w:sz w:val="18"/>
                <w:szCs w:val="18"/>
              </w:rPr>
              <w:t xml:space="preserve"> 20</w:t>
            </w:r>
            <w:r>
              <w:rPr>
                <w:rFonts w:ascii="Verdana" w:hAnsi="Verdana"/>
                <w:b/>
                <w:color w:val="FFFFFF"/>
                <w:sz w:val="18"/>
                <w:szCs w:val="18"/>
              </w:rPr>
              <w:t>20</w:t>
            </w:r>
            <w:r w:rsidRPr="003B4F95">
              <w:rPr>
                <w:rFonts w:ascii="Verdana" w:hAnsi="Verdana"/>
                <w:b/>
                <w:color w:val="FFFFFF"/>
                <w:sz w:val="18"/>
                <w:szCs w:val="18"/>
              </w:rPr>
              <w:t>)</w:t>
            </w:r>
          </w:p>
        </w:tc>
      </w:tr>
      <w:tr w:rsidR="00771D6F" w:rsidRPr="00AB6CBE" w14:paraId="283E93BD" w14:textId="77777777" w:rsidTr="00D91820">
        <w:trPr>
          <w:trHeight w:val="311"/>
        </w:trPr>
        <w:tc>
          <w:tcPr>
            <w:tcW w:w="567" w:type="dxa"/>
            <w:vMerge w:val="restart"/>
            <w:shd w:val="clear" w:color="auto" w:fill="4C4C4C"/>
            <w:vAlign w:val="center"/>
          </w:tcPr>
          <w:p w14:paraId="5A71C43D" w14:textId="77777777" w:rsidR="00771D6F" w:rsidRPr="003B4F95" w:rsidRDefault="00771D6F" w:rsidP="00D91820">
            <w:pPr>
              <w:spacing w:before="40" w:after="40" w:line="280" w:lineRule="atLeast"/>
              <w:rPr>
                <w:rFonts w:ascii="Verdana" w:hAnsi="Verdana"/>
                <w:b/>
                <w:color w:val="FFFFFF"/>
                <w:sz w:val="18"/>
                <w:szCs w:val="18"/>
              </w:rPr>
            </w:pPr>
          </w:p>
        </w:tc>
        <w:tc>
          <w:tcPr>
            <w:tcW w:w="1984" w:type="dxa"/>
            <w:gridSpan w:val="2"/>
            <w:vMerge w:val="restart"/>
            <w:shd w:val="clear" w:color="auto" w:fill="4C4C4C"/>
            <w:vAlign w:val="center"/>
          </w:tcPr>
          <w:p w14:paraId="59823A2A" w14:textId="77777777" w:rsidR="00771D6F" w:rsidRPr="003B4F95" w:rsidRDefault="00771D6F" w:rsidP="00D91820">
            <w:pPr>
              <w:spacing w:before="40" w:after="40" w:line="280" w:lineRule="atLeast"/>
              <w:rPr>
                <w:rFonts w:ascii="Verdana" w:hAnsi="Verdana"/>
                <w:b/>
                <w:color w:val="FFFFFF"/>
                <w:sz w:val="18"/>
                <w:szCs w:val="18"/>
              </w:rPr>
            </w:pPr>
            <w:r w:rsidRPr="003B4F95">
              <w:rPr>
                <w:rFonts w:ascii="Verdana" w:hAnsi="Verdana"/>
                <w:b/>
                <w:color w:val="FFFFFF"/>
                <w:sz w:val="18"/>
                <w:szCs w:val="18"/>
              </w:rPr>
              <w:t>Issuer</w:t>
            </w:r>
          </w:p>
        </w:tc>
        <w:tc>
          <w:tcPr>
            <w:tcW w:w="1985" w:type="dxa"/>
            <w:gridSpan w:val="2"/>
            <w:shd w:val="clear" w:color="auto" w:fill="4C4C4C"/>
            <w:vAlign w:val="center"/>
          </w:tcPr>
          <w:p w14:paraId="73FE4D93" w14:textId="77777777" w:rsidR="00771D6F" w:rsidRPr="003B4F95" w:rsidRDefault="00771D6F" w:rsidP="00D91820">
            <w:pPr>
              <w:spacing w:before="40" w:after="40" w:line="280" w:lineRule="atLeast"/>
              <w:jc w:val="center"/>
              <w:rPr>
                <w:rFonts w:ascii="Verdana" w:hAnsi="Verdana"/>
                <w:b/>
                <w:color w:val="FFFFFF"/>
                <w:sz w:val="18"/>
                <w:szCs w:val="18"/>
              </w:rPr>
            </w:pPr>
            <w:r>
              <w:rPr>
                <w:rFonts w:ascii="Verdana" w:hAnsi="Verdana"/>
                <w:b/>
                <w:color w:val="FFFFFF"/>
                <w:sz w:val="18"/>
                <w:szCs w:val="18"/>
              </w:rPr>
              <w:t>Number of Products</w:t>
            </w:r>
          </w:p>
        </w:tc>
        <w:tc>
          <w:tcPr>
            <w:tcW w:w="2835" w:type="dxa"/>
            <w:gridSpan w:val="2"/>
            <w:shd w:val="clear" w:color="auto" w:fill="4C4C4C"/>
            <w:vAlign w:val="center"/>
          </w:tcPr>
          <w:p w14:paraId="7DF2E4F4" w14:textId="77777777" w:rsidR="00771D6F" w:rsidRPr="003B4F95" w:rsidRDefault="00771D6F" w:rsidP="00D91820">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843" w:type="dxa"/>
            <w:vMerge w:val="restart"/>
            <w:shd w:val="clear" w:color="auto" w:fill="4C4C4C"/>
            <w:vAlign w:val="center"/>
          </w:tcPr>
          <w:p w14:paraId="6A465BD9" w14:textId="77777777" w:rsidR="00771D6F" w:rsidRPr="003B4F95" w:rsidRDefault="00771D6F" w:rsidP="00D91820">
            <w:pPr>
              <w:spacing w:before="40" w:after="40" w:line="280" w:lineRule="atLeast"/>
              <w:jc w:val="right"/>
              <w:rPr>
                <w:rFonts w:ascii="Verdana" w:hAnsi="Verdana"/>
                <w:b/>
                <w:color w:val="FFFFFF"/>
                <w:sz w:val="18"/>
                <w:szCs w:val="18"/>
              </w:rPr>
            </w:pPr>
            <w:r>
              <w:rPr>
                <w:rFonts w:ascii="Verdana" w:hAnsi="Verdana"/>
                <w:b/>
                <w:color w:val="FFFFFF"/>
                <w:sz w:val="18"/>
                <w:szCs w:val="18"/>
              </w:rPr>
              <w:t>Total Market Capitalisation</w:t>
            </w:r>
            <w:r w:rsidRPr="003B4F95">
              <w:rPr>
                <w:rFonts w:ascii="Verdana" w:hAnsi="Verdana"/>
                <w:b/>
                <w:color w:val="FFFFFF"/>
                <w:sz w:val="18"/>
                <w:szCs w:val="18"/>
              </w:rPr>
              <w:t xml:space="preserve"> (Rm)</w:t>
            </w:r>
          </w:p>
        </w:tc>
      </w:tr>
      <w:tr w:rsidR="00771D6F" w:rsidRPr="00AB6CBE" w14:paraId="1387B2AD" w14:textId="77777777" w:rsidTr="00D91820">
        <w:trPr>
          <w:trHeight w:val="311"/>
        </w:trPr>
        <w:tc>
          <w:tcPr>
            <w:tcW w:w="567" w:type="dxa"/>
            <w:vMerge/>
            <w:shd w:val="clear" w:color="auto" w:fill="4C4C4C"/>
            <w:vAlign w:val="center"/>
          </w:tcPr>
          <w:p w14:paraId="03B66F76" w14:textId="77777777" w:rsidR="00771D6F" w:rsidRPr="003B4F95" w:rsidRDefault="00771D6F" w:rsidP="00D91820">
            <w:pPr>
              <w:spacing w:before="40" w:after="40" w:line="280" w:lineRule="atLeast"/>
              <w:rPr>
                <w:rFonts w:ascii="Verdana" w:hAnsi="Verdana"/>
                <w:b/>
                <w:color w:val="FFFFFF"/>
                <w:sz w:val="18"/>
                <w:szCs w:val="18"/>
              </w:rPr>
            </w:pPr>
          </w:p>
        </w:tc>
        <w:tc>
          <w:tcPr>
            <w:tcW w:w="1984" w:type="dxa"/>
            <w:gridSpan w:val="2"/>
            <w:vMerge/>
            <w:shd w:val="clear" w:color="auto" w:fill="4C4C4C"/>
          </w:tcPr>
          <w:p w14:paraId="08DEC562" w14:textId="77777777" w:rsidR="00771D6F" w:rsidRPr="003B4F95" w:rsidRDefault="00771D6F" w:rsidP="00D91820">
            <w:pPr>
              <w:spacing w:before="40" w:after="40" w:line="280" w:lineRule="atLeast"/>
              <w:rPr>
                <w:rFonts w:ascii="Verdana" w:hAnsi="Verdana"/>
                <w:b/>
                <w:color w:val="FFFFFF"/>
                <w:sz w:val="18"/>
                <w:szCs w:val="18"/>
              </w:rPr>
            </w:pPr>
          </w:p>
        </w:tc>
        <w:tc>
          <w:tcPr>
            <w:tcW w:w="993" w:type="dxa"/>
            <w:shd w:val="clear" w:color="auto" w:fill="4C4C4C"/>
            <w:vAlign w:val="center"/>
          </w:tcPr>
          <w:p w14:paraId="6546E6F7" w14:textId="77777777" w:rsidR="00771D6F" w:rsidRPr="003B4F95" w:rsidRDefault="00771D6F" w:rsidP="00D91820">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6C176B91" w14:textId="77777777" w:rsidR="00771D6F" w:rsidRPr="003B4F95" w:rsidRDefault="00771D6F" w:rsidP="00D91820">
            <w:pPr>
              <w:spacing w:before="40" w:after="40" w:line="28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1417" w:type="dxa"/>
            <w:shd w:val="clear" w:color="auto" w:fill="4C4C4C"/>
            <w:vAlign w:val="center"/>
          </w:tcPr>
          <w:p w14:paraId="598691B6" w14:textId="77777777" w:rsidR="00771D6F" w:rsidRPr="003B4F95" w:rsidRDefault="00771D6F" w:rsidP="00D91820">
            <w:pPr>
              <w:spacing w:before="40" w:after="40" w:line="280" w:lineRule="atLeast"/>
              <w:jc w:val="right"/>
              <w:rPr>
                <w:rFonts w:ascii="Verdana" w:hAnsi="Verdana"/>
                <w:b/>
                <w:color w:val="FFFFFF"/>
                <w:sz w:val="18"/>
                <w:szCs w:val="18"/>
              </w:rPr>
            </w:pPr>
            <w:r w:rsidRPr="003B4F95">
              <w:rPr>
                <w:rFonts w:ascii="Verdana" w:hAnsi="Verdana"/>
                <w:b/>
                <w:color w:val="FFFFFF"/>
                <w:sz w:val="18"/>
                <w:szCs w:val="18"/>
              </w:rPr>
              <w:t>ETFs</w:t>
            </w:r>
          </w:p>
        </w:tc>
        <w:tc>
          <w:tcPr>
            <w:tcW w:w="1418" w:type="dxa"/>
            <w:shd w:val="clear" w:color="auto" w:fill="4C4C4C"/>
            <w:vAlign w:val="center"/>
          </w:tcPr>
          <w:p w14:paraId="1A90CCA9" w14:textId="77777777" w:rsidR="00771D6F" w:rsidRPr="003B4F95" w:rsidRDefault="00771D6F" w:rsidP="00D91820">
            <w:pPr>
              <w:spacing w:before="40" w:after="40" w:line="280" w:lineRule="atLeast"/>
              <w:jc w:val="right"/>
              <w:rPr>
                <w:rFonts w:ascii="Verdana" w:hAnsi="Verdana"/>
                <w:b/>
                <w:color w:val="FFFFFF"/>
                <w:sz w:val="18"/>
                <w:szCs w:val="18"/>
              </w:rPr>
            </w:pPr>
            <w:r w:rsidRPr="003B4F95">
              <w:rPr>
                <w:rFonts w:ascii="Verdana" w:hAnsi="Verdana"/>
                <w:b/>
                <w:color w:val="FFFFFF"/>
                <w:sz w:val="18"/>
                <w:szCs w:val="18"/>
              </w:rPr>
              <w:t>ETNs</w:t>
            </w:r>
          </w:p>
        </w:tc>
        <w:tc>
          <w:tcPr>
            <w:tcW w:w="1843" w:type="dxa"/>
            <w:vMerge/>
            <w:shd w:val="clear" w:color="auto" w:fill="4C4C4C"/>
            <w:vAlign w:val="center"/>
          </w:tcPr>
          <w:p w14:paraId="40082532" w14:textId="77777777" w:rsidR="00771D6F" w:rsidRPr="003B4F95" w:rsidRDefault="00771D6F" w:rsidP="00D91820">
            <w:pPr>
              <w:spacing w:before="40" w:after="40" w:line="280" w:lineRule="atLeast"/>
              <w:jc w:val="right"/>
              <w:rPr>
                <w:rFonts w:ascii="Verdana" w:hAnsi="Verdana"/>
                <w:b/>
                <w:color w:val="FFFFFF"/>
                <w:sz w:val="18"/>
                <w:szCs w:val="18"/>
              </w:rPr>
            </w:pPr>
          </w:p>
        </w:tc>
      </w:tr>
      <w:tr w:rsidR="00771D6F" w:rsidRPr="00AB6CBE" w14:paraId="6C3E864C" w14:textId="77777777" w:rsidTr="00D91820">
        <w:tc>
          <w:tcPr>
            <w:tcW w:w="567" w:type="dxa"/>
            <w:shd w:val="clear" w:color="auto" w:fill="auto"/>
          </w:tcPr>
          <w:p w14:paraId="57DE6393" w14:textId="6E0FECDA" w:rsidR="00771D6F" w:rsidRPr="00771D6F" w:rsidRDefault="00771D6F" w:rsidP="00771D6F">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099ED83F" w14:textId="77777777" w:rsidR="00771D6F" w:rsidRPr="003B4F95" w:rsidRDefault="00771D6F" w:rsidP="00D91820">
            <w:pPr>
              <w:spacing w:before="40" w:after="40" w:line="280" w:lineRule="atLeast"/>
              <w:rPr>
                <w:rFonts w:ascii="Verdana" w:hAnsi="Verdana"/>
                <w:color w:val="000000"/>
                <w:sz w:val="18"/>
                <w:szCs w:val="18"/>
              </w:rPr>
            </w:pPr>
            <w:r w:rsidRPr="003B4F95">
              <w:rPr>
                <w:rFonts w:ascii="Verdana" w:hAnsi="Verdana"/>
                <w:color w:val="000000"/>
                <w:sz w:val="18"/>
                <w:szCs w:val="18"/>
              </w:rPr>
              <w:t xml:space="preserve">Absa </w:t>
            </w:r>
            <w:r>
              <w:rPr>
                <w:rFonts w:ascii="Verdana" w:hAnsi="Verdana"/>
                <w:color w:val="000000"/>
                <w:sz w:val="18"/>
                <w:szCs w:val="18"/>
              </w:rPr>
              <w:t>Capital</w:t>
            </w:r>
          </w:p>
        </w:tc>
        <w:tc>
          <w:tcPr>
            <w:tcW w:w="993" w:type="dxa"/>
            <w:shd w:val="clear" w:color="auto" w:fill="auto"/>
            <w:vAlign w:val="center"/>
          </w:tcPr>
          <w:p w14:paraId="2DDA9432" w14:textId="77777777" w:rsidR="00771D6F" w:rsidRPr="003B4F95" w:rsidRDefault="00771D6F" w:rsidP="00D91820">
            <w:pPr>
              <w:spacing w:before="40" w:after="40" w:line="280" w:lineRule="atLeast"/>
              <w:jc w:val="center"/>
              <w:rPr>
                <w:rFonts w:ascii="Verdana" w:hAnsi="Verdana"/>
                <w:color w:val="000000"/>
                <w:sz w:val="18"/>
                <w:szCs w:val="18"/>
              </w:rPr>
            </w:pPr>
            <w:r>
              <w:rPr>
                <w:rFonts w:ascii="Verdana" w:hAnsi="Verdana"/>
                <w:color w:val="000000"/>
                <w:sz w:val="18"/>
                <w:szCs w:val="18"/>
              </w:rPr>
              <w:t>17</w:t>
            </w:r>
          </w:p>
        </w:tc>
        <w:tc>
          <w:tcPr>
            <w:tcW w:w="992" w:type="dxa"/>
            <w:shd w:val="clear" w:color="auto" w:fill="auto"/>
            <w:vAlign w:val="center"/>
          </w:tcPr>
          <w:p w14:paraId="35741B8E" w14:textId="77777777" w:rsidR="00771D6F" w:rsidRPr="003B4F95" w:rsidRDefault="00771D6F" w:rsidP="00D91820">
            <w:pPr>
              <w:spacing w:before="40" w:after="40" w:line="28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4251E4D0" w14:textId="3010FF0F" w:rsidR="00771D6F" w:rsidRPr="003B4F95" w:rsidRDefault="00771D6F" w:rsidP="00D91820">
            <w:pPr>
              <w:spacing w:before="40" w:after="40" w:line="280" w:lineRule="atLeast"/>
              <w:jc w:val="right"/>
              <w:rPr>
                <w:rFonts w:ascii="Verdana" w:hAnsi="Verdana"/>
                <w:color w:val="000000"/>
                <w:sz w:val="18"/>
                <w:szCs w:val="18"/>
              </w:rPr>
            </w:pPr>
            <w:r>
              <w:rPr>
                <w:rFonts w:ascii="Verdana" w:hAnsi="Verdana"/>
                <w:color w:val="000000"/>
                <w:sz w:val="18"/>
                <w:szCs w:val="18"/>
              </w:rPr>
              <w:t>31 893,1</w:t>
            </w:r>
          </w:p>
        </w:tc>
        <w:tc>
          <w:tcPr>
            <w:tcW w:w="1418" w:type="dxa"/>
            <w:vAlign w:val="center"/>
          </w:tcPr>
          <w:p w14:paraId="5AC3CB50" w14:textId="06196C5B" w:rsidR="00771D6F" w:rsidRPr="003B4F95" w:rsidRDefault="00771D6F" w:rsidP="00D91820">
            <w:pPr>
              <w:spacing w:before="40" w:after="40" w:line="280" w:lineRule="atLeast"/>
              <w:jc w:val="right"/>
              <w:rPr>
                <w:rFonts w:ascii="Verdana" w:hAnsi="Verdana"/>
                <w:color w:val="000000"/>
                <w:sz w:val="18"/>
                <w:szCs w:val="18"/>
              </w:rPr>
            </w:pPr>
            <w:r>
              <w:rPr>
                <w:rFonts w:ascii="Verdana" w:hAnsi="Verdana"/>
                <w:color w:val="000000"/>
                <w:sz w:val="18"/>
                <w:szCs w:val="18"/>
              </w:rPr>
              <w:t>1 218,4</w:t>
            </w:r>
          </w:p>
        </w:tc>
        <w:tc>
          <w:tcPr>
            <w:tcW w:w="1843" w:type="dxa"/>
            <w:vAlign w:val="center"/>
          </w:tcPr>
          <w:p w14:paraId="245BAE68" w14:textId="06429324" w:rsidR="00771D6F" w:rsidRPr="003B4F95" w:rsidRDefault="00771D6F" w:rsidP="00D91820">
            <w:pPr>
              <w:spacing w:before="40" w:after="40" w:line="280" w:lineRule="atLeast"/>
              <w:jc w:val="right"/>
              <w:rPr>
                <w:rFonts w:ascii="Verdana" w:hAnsi="Verdana"/>
                <w:color w:val="000000"/>
                <w:sz w:val="18"/>
                <w:szCs w:val="18"/>
              </w:rPr>
            </w:pPr>
            <w:r>
              <w:rPr>
                <w:rFonts w:ascii="Verdana" w:hAnsi="Verdana"/>
                <w:color w:val="000000"/>
                <w:sz w:val="18"/>
                <w:szCs w:val="18"/>
              </w:rPr>
              <w:t>33 111,5</w:t>
            </w:r>
          </w:p>
        </w:tc>
      </w:tr>
      <w:tr w:rsidR="00771D6F" w:rsidRPr="00AB6CBE" w14:paraId="66A1F3B9" w14:textId="77777777" w:rsidTr="00D91820">
        <w:tc>
          <w:tcPr>
            <w:tcW w:w="567" w:type="dxa"/>
            <w:shd w:val="clear" w:color="auto" w:fill="auto"/>
          </w:tcPr>
          <w:p w14:paraId="5CB5FBB7" w14:textId="77777777" w:rsidR="00771D6F" w:rsidRPr="00771D6F" w:rsidRDefault="00771D6F" w:rsidP="00771D6F">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4C86802F" w14:textId="40FA912D" w:rsidR="00771D6F" w:rsidRDefault="00771D6F" w:rsidP="00771D6F">
            <w:pPr>
              <w:spacing w:before="40" w:after="40" w:line="280" w:lineRule="atLeast"/>
              <w:rPr>
                <w:rFonts w:ascii="Verdana" w:hAnsi="Verdana"/>
                <w:color w:val="000000"/>
                <w:sz w:val="18"/>
                <w:szCs w:val="18"/>
              </w:rPr>
            </w:pPr>
            <w:r w:rsidRPr="003B4F95">
              <w:rPr>
                <w:rFonts w:ascii="Verdana" w:hAnsi="Verdana"/>
                <w:color w:val="000000"/>
                <w:sz w:val="18"/>
                <w:szCs w:val="18"/>
              </w:rPr>
              <w:t>Satrix Managers</w:t>
            </w:r>
          </w:p>
        </w:tc>
        <w:tc>
          <w:tcPr>
            <w:tcW w:w="993" w:type="dxa"/>
            <w:shd w:val="clear" w:color="auto" w:fill="auto"/>
            <w:vAlign w:val="center"/>
          </w:tcPr>
          <w:p w14:paraId="5EF069B5" w14:textId="67A04722"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20</w:t>
            </w:r>
          </w:p>
        </w:tc>
        <w:tc>
          <w:tcPr>
            <w:tcW w:w="992" w:type="dxa"/>
            <w:shd w:val="clear" w:color="auto" w:fill="auto"/>
            <w:vAlign w:val="center"/>
          </w:tcPr>
          <w:p w14:paraId="48142E67" w14:textId="6AA77605"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945039A" w14:textId="68900FE5"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25 473,1</w:t>
            </w:r>
          </w:p>
        </w:tc>
        <w:tc>
          <w:tcPr>
            <w:tcW w:w="1418" w:type="dxa"/>
            <w:vAlign w:val="center"/>
          </w:tcPr>
          <w:p w14:paraId="77A81125" w14:textId="79BEB75A"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05A6AF5B" w14:textId="66EC0BF9"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25 473,1</w:t>
            </w:r>
          </w:p>
        </w:tc>
      </w:tr>
      <w:tr w:rsidR="00771D6F" w:rsidRPr="00AB6CBE" w14:paraId="6E132E34" w14:textId="77777777" w:rsidTr="00D91820">
        <w:tc>
          <w:tcPr>
            <w:tcW w:w="567" w:type="dxa"/>
            <w:shd w:val="clear" w:color="auto" w:fill="auto"/>
          </w:tcPr>
          <w:p w14:paraId="35B30C7E" w14:textId="73FE4F91" w:rsidR="00771D6F" w:rsidRPr="00771D6F" w:rsidRDefault="00771D6F" w:rsidP="00771D6F">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30F3136B" w14:textId="77777777" w:rsidR="00771D6F" w:rsidRPr="003B4F95" w:rsidRDefault="00771D6F" w:rsidP="00771D6F">
            <w:pPr>
              <w:spacing w:before="40" w:after="40" w:line="280" w:lineRule="atLeast"/>
              <w:rPr>
                <w:rFonts w:ascii="Verdana" w:hAnsi="Verdana"/>
                <w:color w:val="000000"/>
                <w:sz w:val="18"/>
                <w:szCs w:val="18"/>
              </w:rPr>
            </w:pPr>
            <w:r>
              <w:rPr>
                <w:rFonts w:ascii="Verdana" w:hAnsi="Verdana"/>
                <w:color w:val="000000"/>
                <w:sz w:val="18"/>
                <w:szCs w:val="18"/>
              </w:rPr>
              <w:t>Sygnia/Itrix</w:t>
            </w:r>
          </w:p>
        </w:tc>
        <w:tc>
          <w:tcPr>
            <w:tcW w:w="993" w:type="dxa"/>
            <w:shd w:val="clear" w:color="auto" w:fill="auto"/>
            <w:vAlign w:val="center"/>
          </w:tcPr>
          <w:p w14:paraId="783CBAF2" w14:textId="77777777"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10</w:t>
            </w:r>
          </w:p>
        </w:tc>
        <w:tc>
          <w:tcPr>
            <w:tcW w:w="992" w:type="dxa"/>
            <w:shd w:val="clear" w:color="auto" w:fill="auto"/>
            <w:vAlign w:val="center"/>
          </w:tcPr>
          <w:p w14:paraId="4CDCD644" w14:textId="77777777"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F14CE63" w14:textId="3B1E3BC9"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24 546,2</w:t>
            </w:r>
          </w:p>
        </w:tc>
        <w:tc>
          <w:tcPr>
            <w:tcW w:w="1418" w:type="dxa"/>
            <w:vAlign w:val="center"/>
          </w:tcPr>
          <w:p w14:paraId="6C3E8414" w14:textId="11E869F6"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355DE47C" w14:textId="795C2E55"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24 546,2</w:t>
            </w:r>
          </w:p>
        </w:tc>
      </w:tr>
      <w:tr w:rsidR="00771D6F" w:rsidRPr="000435BE" w14:paraId="2AE4A078" w14:textId="77777777" w:rsidTr="00D91820">
        <w:tc>
          <w:tcPr>
            <w:tcW w:w="567" w:type="dxa"/>
            <w:shd w:val="clear" w:color="auto" w:fill="auto"/>
          </w:tcPr>
          <w:p w14:paraId="22DFC637" w14:textId="628F60AC" w:rsidR="00771D6F" w:rsidRPr="00771D6F" w:rsidRDefault="00771D6F" w:rsidP="00771D6F">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7DC3EE37" w14:textId="77777777" w:rsidR="00771D6F" w:rsidRPr="003B4F95" w:rsidRDefault="00771D6F" w:rsidP="00771D6F">
            <w:pPr>
              <w:spacing w:before="40" w:after="40" w:line="280" w:lineRule="atLeast"/>
              <w:rPr>
                <w:rFonts w:ascii="Verdana" w:hAnsi="Verdana"/>
                <w:color w:val="000000"/>
                <w:sz w:val="18"/>
                <w:szCs w:val="18"/>
              </w:rPr>
            </w:pPr>
            <w:r>
              <w:rPr>
                <w:rFonts w:ascii="Verdana" w:hAnsi="Verdana"/>
                <w:color w:val="000000"/>
                <w:sz w:val="18"/>
                <w:szCs w:val="18"/>
              </w:rPr>
              <w:t>1nvest</w:t>
            </w:r>
          </w:p>
        </w:tc>
        <w:tc>
          <w:tcPr>
            <w:tcW w:w="993" w:type="dxa"/>
            <w:shd w:val="clear" w:color="auto" w:fill="auto"/>
            <w:vAlign w:val="center"/>
          </w:tcPr>
          <w:p w14:paraId="6096A3B2" w14:textId="77777777" w:rsidR="00771D6F" w:rsidRPr="003B4F95"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13</w:t>
            </w:r>
          </w:p>
        </w:tc>
        <w:tc>
          <w:tcPr>
            <w:tcW w:w="992" w:type="dxa"/>
            <w:shd w:val="clear" w:color="auto" w:fill="auto"/>
            <w:vAlign w:val="center"/>
          </w:tcPr>
          <w:p w14:paraId="0E12DD47" w14:textId="77777777" w:rsidR="00771D6F" w:rsidRPr="003B4F95"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4BF98B4" w14:textId="2151D42E" w:rsidR="00771D6F" w:rsidRPr="003B4F95"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11 143,3</w:t>
            </w:r>
          </w:p>
        </w:tc>
        <w:tc>
          <w:tcPr>
            <w:tcW w:w="1418" w:type="dxa"/>
            <w:vAlign w:val="center"/>
          </w:tcPr>
          <w:p w14:paraId="4551F5CD" w14:textId="5B45B789" w:rsidR="00771D6F" w:rsidRPr="003B4F95"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744F8D17" w14:textId="5027D1C4" w:rsidR="00771D6F" w:rsidRPr="003B4F95"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11 143,3</w:t>
            </w:r>
          </w:p>
        </w:tc>
      </w:tr>
      <w:tr w:rsidR="00771D6F" w:rsidRPr="000435BE" w14:paraId="71F38E17" w14:textId="77777777" w:rsidTr="00D91820">
        <w:tc>
          <w:tcPr>
            <w:tcW w:w="567" w:type="dxa"/>
            <w:shd w:val="clear" w:color="auto" w:fill="auto"/>
          </w:tcPr>
          <w:p w14:paraId="1FECF1D7" w14:textId="317C99F3" w:rsidR="00771D6F" w:rsidRPr="00771D6F" w:rsidRDefault="00771D6F" w:rsidP="00771D6F">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60067B34" w14:textId="77777777" w:rsidR="00771D6F" w:rsidRPr="003B4F95" w:rsidRDefault="00771D6F" w:rsidP="00771D6F">
            <w:pPr>
              <w:spacing w:before="40" w:after="40" w:line="280" w:lineRule="atLeast"/>
              <w:rPr>
                <w:rFonts w:ascii="Verdana" w:hAnsi="Verdana"/>
                <w:color w:val="000000"/>
                <w:sz w:val="18"/>
                <w:szCs w:val="18"/>
              </w:rPr>
            </w:pPr>
            <w:r w:rsidRPr="003B4F95">
              <w:rPr>
                <w:rFonts w:ascii="Verdana" w:hAnsi="Verdana"/>
                <w:color w:val="000000"/>
                <w:sz w:val="18"/>
                <w:szCs w:val="18"/>
              </w:rPr>
              <w:t>CoreShares</w:t>
            </w:r>
          </w:p>
        </w:tc>
        <w:tc>
          <w:tcPr>
            <w:tcW w:w="993" w:type="dxa"/>
            <w:shd w:val="clear" w:color="auto" w:fill="auto"/>
            <w:vAlign w:val="center"/>
          </w:tcPr>
          <w:p w14:paraId="73B15946" w14:textId="77777777" w:rsidR="00771D6F" w:rsidRPr="003B4F95"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8</w:t>
            </w:r>
          </w:p>
        </w:tc>
        <w:tc>
          <w:tcPr>
            <w:tcW w:w="992" w:type="dxa"/>
            <w:shd w:val="clear" w:color="auto" w:fill="auto"/>
            <w:vAlign w:val="center"/>
          </w:tcPr>
          <w:p w14:paraId="75BAB508" w14:textId="77777777" w:rsidR="00771D6F" w:rsidRPr="003B4F95"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16BFF59C" w14:textId="677878B5" w:rsidR="00771D6F" w:rsidRPr="003B4F95"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4 365,9</w:t>
            </w:r>
          </w:p>
        </w:tc>
        <w:tc>
          <w:tcPr>
            <w:tcW w:w="1418" w:type="dxa"/>
            <w:vAlign w:val="center"/>
          </w:tcPr>
          <w:p w14:paraId="5D3E2555" w14:textId="13BB94BE" w:rsidR="00771D6F" w:rsidRPr="003B4F95"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342B088B" w14:textId="742B950A" w:rsidR="00771D6F" w:rsidRPr="003B4F95"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4 365,9</w:t>
            </w:r>
          </w:p>
        </w:tc>
      </w:tr>
      <w:tr w:rsidR="00771D6F" w:rsidRPr="000435BE" w14:paraId="012A4DC7" w14:textId="77777777" w:rsidTr="00D91820">
        <w:tc>
          <w:tcPr>
            <w:tcW w:w="567" w:type="dxa"/>
            <w:shd w:val="clear" w:color="auto" w:fill="auto"/>
          </w:tcPr>
          <w:p w14:paraId="2B561E5B" w14:textId="77777777" w:rsidR="00771D6F" w:rsidRPr="00771D6F" w:rsidRDefault="00771D6F" w:rsidP="00771D6F">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21D7617A" w14:textId="45DE9348" w:rsidR="00771D6F" w:rsidRPr="003B4F95" w:rsidRDefault="00771D6F" w:rsidP="00771D6F">
            <w:pPr>
              <w:spacing w:before="40" w:after="40" w:line="280" w:lineRule="atLeast"/>
              <w:rPr>
                <w:rFonts w:ascii="Verdana" w:hAnsi="Verdana"/>
                <w:color w:val="000000"/>
                <w:sz w:val="18"/>
                <w:szCs w:val="18"/>
              </w:rPr>
            </w:pPr>
            <w:r w:rsidRPr="003B4F95">
              <w:rPr>
                <w:rFonts w:ascii="Verdana" w:hAnsi="Verdana"/>
                <w:color w:val="000000"/>
                <w:sz w:val="18"/>
                <w:szCs w:val="18"/>
              </w:rPr>
              <w:t>FirstRand</w:t>
            </w:r>
            <w:r>
              <w:rPr>
                <w:rFonts w:ascii="Verdana" w:hAnsi="Verdana"/>
                <w:color w:val="000000"/>
                <w:sz w:val="18"/>
                <w:szCs w:val="18"/>
              </w:rPr>
              <w:t xml:space="preserve"> </w:t>
            </w:r>
          </w:p>
        </w:tc>
        <w:tc>
          <w:tcPr>
            <w:tcW w:w="993" w:type="dxa"/>
            <w:shd w:val="clear" w:color="auto" w:fill="auto"/>
            <w:vAlign w:val="center"/>
          </w:tcPr>
          <w:p w14:paraId="5EC345AF" w14:textId="32E0B020"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3</w:t>
            </w:r>
          </w:p>
        </w:tc>
        <w:tc>
          <w:tcPr>
            <w:tcW w:w="992" w:type="dxa"/>
            <w:shd w:val="clear" w:color="auto" w:fill="auto"/>
            <w:vAlign w:val="center"/>
          </w:tcPr>
          <w:p w14:paraId="0455258B" w14:textId="2ADE7194"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36</w:t>
            </w:r>
          </w:p>
        </w:tc>
        <w:tc>
          <w:tcPr>
            <w:tcW w:w="1417" w:type="dxa"/>
            <w:vAlign w:val="center"/>
          </w:tcPr>
          <w:p w14:paraId="518DE63D" w14:textId="09508476"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1 150,3</w:t>
            </w:r>
          </w:p>
        </w:tc>
        <w:tc>
          <w:tcPr>
            <w:tcW w:w="1418" w:type="dxa"/>
            <w:vAlign w:val="center"/>
          </w:tcPr>
          <w:p w14:paraId="4BC69A76" w14:textId="6A36AA5D"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2 329,7</w:t>
            </w:r>
          </w:p>
        </w:tc>
        <w:tc>
          <w:tcPr>
            <w:tcW w:w="1843" w:type="dxa"/>
            <w:vAlign w:val="center"/>
          </w:tcPr>
          <w:p w14:paraId="1D2074B7" w14:textId="3D23F5CE"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3 480,0</w:t>
            </w:r>
          </w:p>
        </w:tc>
      </w:tr>
      <w:tr w:rsidR="00771D6F" w:rsidRPr="000435BE" w14:paraId="551022E6" w14:textId="77777777" w:rsidTr="00D91820">
        <w:tc>
          <w:tcPr>
            <w:tcW w:w="567" w:type="dxa"/>
            <w:shd w:val="clear" w:color="auto" w:fill="auto"/>
          </w:tcPr>
          <w:p w14:paraId="279F0124" w14:textId="142AD599" w:rsidR="00771D6F" w:rsidRPr="00771D6F" w:rsidRDefault="00771D6F" w:rsidP="00771D6F">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19FB946D" w14:textId="77777777" w:rsidR="00771D6F" w:rsidRPr="003B4F95" w:rsidRDefault="00771D6F" w:rsidP="00771D6F">
            <w:pPr>
              <w:spacing w:before="40" w:after="40" w:line="280" w:lineRule="atLeast"/>
              <w:rPr>
                <w:rFonts w:ascii="Verdana" w:hAnsi="Verdana"/>
                <w:color w:val="000000"/>
                <w:sz w:val="18"/>
                <w:szCs w:val="18"/>
              </w:rPr>
            </w:pPr>
            <w:r w:rsidRPr="003B4F95">
              <w:rPr>
                <w:rFonts w:ascii="Verdana" w:hAnsi="Verdana"/>
                <w:color w:val="000000"/>
                <w:sz w:val="18"/>
                <w:szCs w:val="18"/>
              </w:rPr>
              <w:t>Ashburton</w:t>
            </w:r>
          </w:p>
        </w:tc>
        <w:tc>
          <w:tcPr>
            <w:tcW w:w="993" w:type="dxa"/>
            <w:shd w:val="clear" w:color="auto" w:fill="auto"/>
            <w:vAlign w:val="center"/>
          </w:tcPr>
          <w:p w14:paraId="6379E4F9" w14:textId="77777777"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5</w:t>
            </w:r>
          </w:p>
        </w:tc>
        <w:tc>
          <w:tcPr>
            <w:tcW w:w="992" w:type="dxa"/>
            <w:shd w:val="clear" w:color="auto" w:fill="auto"/>
            <w:vAlign w:val="center"/>
          </w:tcPr>
          <w:p w14:paraId="56521A51" w14:textId="77777777"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26C88AEA" w14:textId="67B155A2"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3 341,0</w:t>
            </w:r>
          </w:p>
        </w:tc>
        <w:tc>
          <w:tcPr>
            <w:tcW w:w="1418" w:type="dxa"/>
            <w:vAlign w:val="center"/>
          </w:tcPr>
          <w:p w14:paraId="768605A7" w14:textId="192F0896"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0E93BEEC" w14:textId="0D0F7315"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3 341,0</w:t>
            </w:r>
          </w:p>
        </w:tc>
      </w:tr>
      <w:tr w:rsidR="00771D6F" w:rsidRPr="000435BE" w14:paraId="7520F5D8" w14:textId="77777777" w:rsidTr="00D91820">
        <w:tc>
          <w:tcPr>
            <w:tcW w:w="567" w:type="dxa"/>
            <w:shd w:val="clear" w:color="auto" w:fill="auto"/>
          </w:tcPr>
          <w:p w14:paraId="6717B01D" w14:textId="4A510BA6" w:rsidR="00771D6F" w:rsidRPr="00771D6F" w:rsidRDefault="00771D6F" w:rsidP="00771D6F">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12CC2B38" w14:textId="77777777" w:rsidR="00771D6F" w:rsidRPr="003B4F95" w:rsidRDefault="00771D6F" w:rsidP="00771D6F">
            <w:pPr>
              <w:spacing w:before="40" w:after="40" w:line="280" w:lineRule="atLeast"/>
              <w:rPr>
                <w:rFonts w:ascii="Verdana" w:hAnsi="Verdana"/>
                <w:color w:val="000000"/>
                <w:sz w:val="18"/>
                <w:szCs w:val="18"/>
              </w:rPr>
            </w:pPr>
            <w:r>
              <w:rPr>
                <w:rFonts w:ascii="Verdana" w:hAnsi="Verdana"/>
                <w:color w:val="000000"/>
                <w:sz w:val="18"/>
                <w:szCs w:val="18"/>
              </w:rPr>
              <w:t>UBS</w:t>
            </w:r>
          </w:p>
        </w:tc>
        <w:tc>
          <w:tcPr>
            <w:tcW w:w="993" w:type="dxa"/>
            <w:shd w:val="clear" w:color="auto" w:fill="auto"/>
            <w:vAlign w:val="center"/>
          </w:tcPr>
          <w:p w14:paraId="3DA2BF49" w14:textId="77777777"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27913959" w14:textId="77777777"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12</w:t>
            </w:r>
          </w:p>
        </w:tc>
        <w:tc>
          <w:tcPr>
            <w:tcW w:w="1417" w:type="dxa"/>
            <w:vAlign w:val="center"/>
          </w:tcPr>
          <w:p w14:paraId="0951DF68" w14:textId="24BEA8CC"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24F4449E" w14:textId="0CDCD16A"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2 739,9</w:t>
            </w:r>
          </w:p>
        </w:tc>
        <w:tc>
          <w:tcPr>
            <w:tcW w:w="1843" w:type="dxa"/>
            <w:vAlign w:val="center"/>
          </w:tcPr>
          <w:p w14:paraId="49F91ED7" w14:textId="124FD5D6"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2 739,9</w:t>
            </w:r>
          </w:p>
        </w:tc>
      </w:tr>
      <w:tr w:rsidR="00771D6F" w:rsidRPr="000435BE" w14:paraId="361D4197" w14:textId="77777777" w:rsidTr="00D91820">
        <w:tc>
          <w:tcPr>
            <w:tcW w:w="567" w:type="dxa"/>
            <w:shd w:val="clear" w:color="auto" w:fill="auto"/>
          </w:tcPr>
          <w:p w14:paraId="0C845436" w14:textId="2238BA92" w:rsidR="00771D6F" w:rsidRPr="00771D6F" w:rsidRDefault="00771D6F" w:rsidP="00771D6F">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4B9F4F18" w14:textId="77777777" w:rsidR="00771D6F" w:rsidRPr="003B4F95" w:rsidRDefault="00771D6F" w:rsidP="00771D6F">
            <w:pPr>
              <w:spacing w:before="40" w:after="40" w:line="280" w:lineRule="atLeast"/>
              <w:rPr>
                <w:rFonts w:ascii="Verdana" w:hAnsi="Verdana"/>
                <w:color w:val="000000"/>
                <w:sz w:val="18"/>
                <w:szCs w:val="18"/>
              </w:rPr>
            </w:pPr>
            <w:r w:rsidRPr="003B4F95">
              <w:rPr>
                <w:rFonts w:ascii="Verdana" w:hAnsi="Verdana"/>
                <w:color w:val="000000"/>
                <w:sz w:val="18"/>
                <w:szCs w:val="18"/>
              </w:rPr>
              <w:t>Investec</w:t>
            </w:r>
          </w:p>
        </w:tc>
        <w:tc>
          <w:tcPr>
            <w:tcW w:w="993" w:type="dxa"/>
            <w:shd w:val="clear" w:color="auto" w:fill="auto"/>
            <w:vAlign w:val="center"/>
          </w:tcPr>
          <w:p w14:paraId="39AA1D64" w14:textId="77777777"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4E365EB8" w14:textId="77777777"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16DC8712" w14:textId="1BCB1E0E"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2536894B" w14:textId="60D32E59"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2 062,4</w:t>
            </w:r>
          </w:p>
        </w:tc>
        <w:tc>
          <w:tcPr>
            <w:tcW w:w="1843" w:type="dxa"/>
            <w:vAlign w:val="center"/>
          </w:tcPr>
          <w:p w14:paraId="383DCE39" w14:textId="586A6A85"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2 062,4</w:t>
            </w:r>
          </w:p>
        </w:tc>
      </w:tr>
      <w:tr w:rsidR="00771D6F" w:rsidRPr="000435BE" w14:paraId="609B1777" w14:textId="77777777" w:rsidTr="00D91820">
        <w:tc>
          <w:tcPr>
            <w:tcW w:w="567" w:type="dxa"/>
            <w:shd w:val="clear" w:color="auto" w:fill="auto"/>
          </w:tcPr>
          <w:p w14:paraId="1B6A1261" w14:textId="755A2FA7" w:rsidR="00771D6F" w:rsidRPr="00771D6F" w:rsidRDefault="00771D6F" w:rsidP="00771D6F">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4F4FC284" w14:textId="77777777" w:rsidR="00771D6F" w:rsidRPr="003B4F95" w:rsidRDefault="00771D6F" w:rsidP="00771D6F">
            <w:pPr>
              <w:spacing w:before="40" w:after="40" w:line="280" w:lineRule="atLeast"/>
              <w:rPr>
                <w:rFonts w:ascii="Verdana" w:hAnsi="Verdana"/>
                <w:color w:val="000000"/>
                <w:sz w:val="18"/>
                <w:szCs w:val="18"/>
              </w:rPr>
            </w:pPr>
            <w:r w:rsidRPr="003B4F95">
              <w:rPr>
                <w:rFonts w:ascii="Verdana" w:hAnsi="Verdana"/>
                <w:color w:val="000000"/>
                <w:sz w:val="18"/>
                <w:szCs w:val="18"/>
              </w:rPr>
              <w:t>Stan</w:t>
            </w:r>
            <w:r>
              <w:rPr>
                <w:rFonts w:ascii="Verdana" w:hAnsi="Verdana"/>
                <w:color w:val="000000"/>
                <w:sz w:val="18"/>
                <w:szCs w:val="18"/>
              </w:rPr>
              <w:t>dard Bank</w:t>
            </w:r>
          </w:p>
        </w:tc>
        <w:tc>
          <w:tcPr>
            <w:tcW w:w="993" w:type="dxa"/>
            <w:shd w:val="clear" w:color="auto" w:fill="auto"/>
            <w:vAlign w:val="center"/>
          </w:tcPr>
          <w:p w14:paraId="41E63365" w14:textId="77777777"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374E83AE" w14:textId="77777777" w:rsidR="00771D6F"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4</w:t>
            </w:r>
          </w:p>
        </w:tc>
        <w:tc>
          <w:tcPr>
            <w:tcW w:w="1417" w:type="dxa"/>
            <w:vAlign w:val="center"/>
          </w:tcPr>
          <w:p w14:paraId="5A1E89D1" w14:textId="05855480"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609A0E6F" w14:textId="68A7C494"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755,0</w:t>
            </w:r>
          </w:p>
        </w:tc>
        <w:tc>
          <w:tcPr>
            <w:tcW w:w="1843" w:type="dxa"/>
            <w:vAlign w:val="center"/>
          </w:tcPr>
          <w:p w14:paraId="1128ADAA" w14:textId="55839CA5" w:rsidR="00771D6F"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755,0</w:t>
            </w:r>
          </w:p>
        </w:tc>
      </w:tr>
      <w:tr w:rsidR="00771D6F" w:rsidRPr="000435BE" w14:paraId="77DDE96B" w14:textId="77777777" w:rsidTr="00D91820">
        <w:tc>
          <w:tcPr>
            <w:tcW w:w="567" w:type="dxa"/>
            <w:shd w:val="clear" w:color="auto" w:fill="auto"/>
          </w:tcPr>
          <w:p w14:paraId="6A91B551" w14:textId="6616B52C" w:rsidR="00771D6F" w:rsidRPr="00771D6F" w:rsidRDefault="00771D6F" w:rsidP="00771D6F">
            <w:pPr>
              <w:pStyle w:val="ListParagraph"/>
              <w:numPr>
                <w:ilvl w:val="0"/>
                <w:numId w:val="18"/>
              </w:numPr>
              <w:spacing w:before="40" w:after="40" w:line="280" w:lineRule="atLeast"/>
              <w:ind w:left="357" w:hanging="357"/>
              <w:rPr>
                <w:rFonts w:ascii="Verdana" w:hAnsi="Verdana"/>
                <w:color w:val="000000"/>
                <w:sz w:val="18"/>
                <w:szCs w:val="18"/>
              </w:rPr>
            </w:pPr>
          </w:p>
        </w:tc>
        <w:tc>
          <w:tcPr>
            <w:tcW w:w="1984" w:type="dxa"/>
            <w:gridSpan w:val="2"/>
            <w:shd w:val="clear" w:color="auto" w:fill="auto"/>
          </w:tcPr>
          <w:p w14:paraId="72E5C4DB" w14:textId="77777777" w:rsidR="00771D6F" w:rsidRPr="003B4F95" w:rsidRDefault="00771D6F" w:rsidP="00771D6F">
            <w:pPr>
              <w:spacing w:before="40" w:after="40" w:line="280" w:lineRule="atLeast"/>
              <w:rPr>
                <w:rFonts w:ascii="Verdana" w:hAnsi="Verdana"/>
                <w:color w:val="000000"/>
                <w:sz w:val="18"/>
                <w:szCs w:val="18"/>
              </w:rPr>
            </w:pPr>
            <w:r w:rsidRPr="003B4F95">
              <w:rPr>
                <w:rFonts w:ascii="Verdana" w:hAnsi="Verdana"/>
                <w:color w:val="000000"/>
                <w:sz w:val="18"/>
                <w:szCs w:val="18"/>
              </w:rPr>
              <w:t>Cloud Atlas</w:t>
            </w:r>
          </w:p>
        </w:tc>
        <w:tc>
          <w:tcPr>
            <w:tcW w:w="993" w:type="dxa"/>
            <w:shd w:val="clear" w:color="auto" w:fill="auto"/>
            <w:vAlign w:val="center"/>
          </w:tcPr>
          <w:p w14:paraId="73BDFCFE" w14:textId="77777777" w:rsidR="00771D6F" w:rsidRPr="003B4F95"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2</w:t>
            </w:r>
          </w:p>
        </w:tc>
        <w:tc>
          <w:tcPr>
            <w:tcW w:w="992" w:type="dxa"/>
            <w:shd w:val="clear" w:color="auto" w:fill="auto"/>
            <w:vAlign w:val="center"/>
          </w:tcPr>
          <w:p w14:paraId="5A9F8ACB" w14:textId="77777777" w:rsidR="00771D6F" w:rsidRPr="003B4F95" w:rsidRDefault="00771D6F" w:rsidP="00771D6F">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359C6497" w14:textId="4D6D40C3" w:rsidR="00771D6F" w:rsidRPr="003B4F95"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8,1</w:t>
            </w:r>
          </w:p>
        </w:tc>
        <w:tc>
          <w:tcPr>
            <w:tcW w:w="1418" w:type="dxa"/>
            <w:vAlign w:val="center"/>
          </w:tcPr>
          <w:p w14:paraId="4BCBBC56" w14:textId="735A670E" w:rsidR="00771D6F" w:rsidRPr="003B4F95"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62051405" w14:textId="760DBFF7" w:rsidR="00771D6F" w:rsidRPr="003B4F95" w:rsidRDefault="00771D6F" w:rsidP="00771D6F">
            <w:pPr>
              <w:spacing w:before="40" w:after="40" w:line="280" w:lineRule="atLeast"/>
              <w:jc w:val="right"/>
              <w:rPr>
                <w:rFonts w:ascii="Verdana" w:hAnsi="Verdana"/>
                <w:color w:val="000000"/>
                <w:sz w:val="18"/>
                <w:szCs w:val="18"/>
              </w:rPr>
            </w:pPr>
            <w:r>
              <w:rPr>
                <w:rFonts w:ascii="Verdana" w:hAnsi="Verdana"/>
                <w:color w:val="000000"/>
                <w:sz w:val="18"/>
                <w:szCs w:val="18"/>
              </w:rPr>
              <w:t>8,1</w:t>
            </w:r>
          </w:p>
        </w:tc>
      </w:tr>
      <w:tr w:rsidR="00771D6F" w:rsidRPr="000435BE" w14:paraId="338D8419" w14:textId="77777777" w:rsidTr="00D91820">
        <w:tc>
          <w:tcPr>
            <w:tcW w:w="2551" w:type="dxa"/>
            <w:gridSpan w:val="3"/>
            <w:shd w:val="clear" w:color="auto" w:fill="auto"/>
          </w:tcPr>
          <w:p w14:paraId="17509367" w14:textId="77777777" w:rsidR="00771D6F" w:rsidRPr="003B4F95" w:rsidRDefault="00771D6F" w:rsidP="00771D6F">
            <w:pPr>
              <w:spacing w:before="40" w:after="40" w:line="280" w:lineRule="atLeast"/>
              <w:rPr>
                <w:rFonts w:ascii="Verdana" w:hAnsi="Verdana"/>
                <w:b/>
                <w:color w:val="000000"/>
                <w:sz w:val="18"/>
                <w:szCs w:val="18"/>
              </w:rPr>
            </w:pPr>
            <w:r w:rsidRPr="003B4F95">
              <w:rPr>
                <w:rFonts w:ascii="Verdana" w:hAnsi="Verdana"/>
                <w:b/>
                <w:color w:val="000000"/>
                <w:sz w:val="18"/>
                <w:szCs w:val="18"/>
              </w:rPr>
              <w:t>Totals</w:t>
            </w:r>
          </w:p>
        </w:tc>
        <w:tc>
          <w:tcPr>
            <w:tcW w:w="993" w:type="dxa"/>
            <w:shd w:val="clear" w:color="auto" w:fill="auto"/>
            <w:vAlign w:val="center"/>
          </w:tcPr>
          <w:p w14:paraId="09338EB1" w14:textId="77777777" w:rsidR="00771D6F" w:rsidRPr="003B4F95" w:rsidRDefault="00771D6F" w:rsidP="00771D6F">
            <w:pPr>
              <w:spacing w:before="40" w:after="40" w:line="280" w:lineRule="atLeast"/>
              <w:jc w:val="center"/>
              <w:rPr>
                <w:rFonts w:ascii="Verdana" w:hAnsi="Verdana"/>
                <w:b/>
                <w:color w:val="000000"/>
                <w:sz w:val="18"/>
                <w:szCs w:val="18"/>
              </w:rPr>
            </w:pPr>
            <w:r>
              <w:rPr>
                <w:rFonts w:ascii="Verdana" w:hAnsi="Verdana"/>
                <w:b/>
                <w:color w:val="000000"/>
                <w:sz w:val="18"/>
                <w:szCs w:val="18"/>
              </w:rPr>
              <w:t>78</w:t>
            </w:r>
          </w:p>
        </w:tc>
        <w:tc>
          <w:tcPr>
            <w:tcW w:w="992" w:type="dxa"/>
            <w:shd w:val="clear" w:color="auto" w:fill="auto"/>
            <w:vAlign w:val="center"/>
          </w:tcPr>
          <w:p w14:paraId="19F5DF97" w14:textId="17244E0F" w:rsidR="00771D6F" w:rsidRPr="003B4F95" w:rsidRDefault="00771D6F" w:rsidP="00771D6F">
            <w:pPr>
              <w:spacing w:before="40" w:after="40" w:line="280" w:lineRule="atLeast"/>
              <w:jc w:val="center"/>
              <w:rPr>
                <w:rFonts w:ascii="Verdana" w:hAnsi="Verdana"/>
                <w:b/>
                <w:color w:val="000000"/>
                <w:sz w:val="18"/>
                <w:szCs w:val="18"/>
              </w:rPr>
            </w:pPr>
            <w:r>
              <w:rPr>
                <w:rFonts w:ascii="Verdana" w:hAnsi="Verdana"/>
                <w:b/>
                <w:color w:val="000000"/>
                <w:sz w:val="18"/>
                <w:szCs w:val="18"/>
              </w:rPr>
              <w:t>59</w:t>
            </w:r>
          </w:p>
        </w:tc>
        <w:tc>
          <w:tcPr>
            <w:tcW w:w="1417" w:type="dxa"/>
            <w:vAlign w:val="center"/>
          </w:tcPr>
          <w:p w14:paraId="088F5BAE" w14:textId="0AD342A8" w:rsidR="00771D6F" w:rsidRPr="003B4F95" w:rsidRDefault="00771D6F" w:rsidP="00771D6F">
            <w:pPr>
              <w:spacing w:before="40" w:after="40" w:line="280" w:lineRule="atLeast"/>
              <w:jc w:val="right"/>
              <w:rPr>
                <w:rFonts w:ascii="Verdana" w:hAnsi="Verdana"/>
                <w:b/>
                <w:color w:val="000000"/>
                <w:sz w:val="18"/>
                <w:szCs w:val="18"/>
              </w:rPr>
            </w:pPr>
            <w:r>
              <w:rPr>
                <w:rFonts w:ascii="Verdana" w:hAnsi="Verdana"/>
                <w:b/>
                <w:color w:val="000000"/>
                <w:sz w:val="18"/>
                <w:szCs w:val="18"/>
              </w:rPr>
              <w:t>101 921,0</w:t>
            </w:r>
          </w:p>
        </w:tc>
        <w:tc>
          <w:tcPr>
            <w:tcW w:w="1418" w:type="dxa"/>
            <w:vAlign w:val="center"/>
          </w:tcPr>
          <w:p w14:paraId="7EBCE20C" w14:textId="6A94CAAF" w:rsidR="00771D6F" w:rsidRPr="003B4F95" w:rsidRDefault="00771D6F" w:rsidP="00771D6F">
            <w:pPr>
              <w:spacing w:before="40" w:after="40" w:line="280" w:lineRule="atLeast"/>
              <w:jc w:val="right"/>
              <w:rPr>
                <w:rFonts w:ascii="Verdana" w:hAnsi="Verdana"/>
                <w:b/>
                <w:color w:val="000000"/>
                <w:sz w:val="18"/>
                <w:szCs w:val="18"/>
              </w:rPr>
            </w:pPr>
            <w:r>
              <w:rPr>
                <w:rFonts w:ascii="Verdana" w:hAnsi="Verdana"/>
                <w:b/>
                <w:color w:val="000000"/>
                <w:sz w:val="18"/>
                <w:szCs w:val="18"/>
              </w:rPr>
              <w:t>9 105,4</w:t>
            </w:r>
          </w:p>
        </w:tc>
        <w:tc>
          <w:tcPr>
            <w:tcW w:w="1843" w:type="dxa"/>
            <w:vAlign w:val="center"/>
          </w:tcPr>
          <w:p w14:paraId="2F38DD46" w14:textId="4D693C89" w:rsidR="00771D6F" w:rsidRPr="003B4F95" w:rsidRDefault="00771D6F" w:rsidP="00771D6F">
            <w:pPr>
              <w:spacing w:before="40" w:after="40" w:line="280" w:lineRule="atLeast"/>
              <w:jc w:val="right"/>
              <w:rPr>
                <w:rFonts w:ascii="Verdana" w:hAnsi="Verdana"/>
                <w:b/>
                <w:color w:val="000000"/>
                <w:sz w:val="18"/>
                <w:szCs w:val="18"/>
              </w:rPr>
            </w:pPr>
            <w:r>
              <w:rPr>
                <w:rFonts w:ascii="Verdana" w:hAnsi="Verdana"/>
                <w:b/>
                <w:color w:val="000000"/>
                <w:sz w:val="18"/>
                <w:szCs w:val="18"/>
              </w:rPr>
              <w:t>111 026,4</w:t>
            </w:r>
          </w:p>
        </w:tc>
      </w:tr>
      <w:tr w:rsidR="00771D6F" w:rsidRPr="00A8447A" w14:paraId="79F078B4" w14:textId="77777777" w:rsidTr="00D91820">
        <w:trPr>
          <w:trHeight w:val="217"/>
        </w:trPr>
        <w:tc>
          <w:tcPr>
            <w:tcW w:w="850" w:type="dxa"/>
            <w:gridSpan w:val="2"/>
            <w:tcBorders>
              <w:right w:val="nil"/>
            </w:tcBorders>
            <w:shd w:val="clear" w:color="auto" w:fill="auto"/>
            <w:vAlign w:val="center"/>
          </w:tcPr>
          <w:p w14:paraId="5711795D" w14:textId="77777777" w:rsidR="00771D6F" w:rsidRPr="000435BE" w:rsidRDefault="00771D6F" w:rsidP="00771D6F">
            <w:pPr>
              <w:spacing w:after="40" w:line="280" w:lineRule="atLeast"/>
              <w:rPr>
                <w:rFonts w:ascii="Verdana" w:hAnsi="Verdana"/>
                <w:i/>
                <w:color w:val="000000"/>
                <w:sz w:val="14"/>
                <w:szCs w:val="14"/>
              </w:rPr>
            </w:pPr>
            <w:r w:rsidRPr="000435BE">
              <w:rPr>
                <w:rFonts w:ascii="Verdana" w:hAnsi="Verdana"/>
                <w:i/>
                <w:color w:val="000000"/>
                <w:sz w:val="14"/>
                <w:szCs w:val="14"/>
              </w:rPr>
              <w:t>Source:</w:t>
            </w:r>
          </w:p>
        </w:tc>
        <w:tc>
          <w:tcPr>
            <w:tcW w:w="8364" w:type="dxa"/>
            <w:gridSpan w:val="6"/>
            <w:tcBorders>
              <w:left w:val="nil"/>
            </w:tcBorders>
            <w:shd w:val="clear" w:color="auto" w:fill="auto"/>
            <w:vAlign w:val="center"/>
          </w:tcPr>
          <w:p w14:paraId="5469CD29" w14:textId="5A6187E6" w:rsidR="00771D6F" w:rsidRPr="00573EA2" w:rsidRDefault="00771D6F" w:rsidP="00771D6F">
            <w:pPr>
              <w:spacing w:after="40" w:line="280" w:lineRule="atLeast"/>
              <w:rPr>
                <w:rFonts w:ascii="Verdana" w:hAnsi="Verdana"/>
                <w:i/>
                <w:color w:val="000000"/>
                <w:sz w:val="14"/>
                <w:szCs w:val="14"/>
                <w:lang w:val="it-IT"/>
              </w:rPr>
            </w:pPr>
            <w:r w:rsidRPr="00573EA2">
              <w:rPr>
                <w:rFonts w:ascii="Verdana" w:hAnsi="Verdana"/>
                <w:i/>
                <w:color w:val="000000"/>
                <w:sz w:val="14"/>
                <w:szCs w:val="14"/>
                <w:lang w:val="it-IT"/>
              </w:rPr>
              <w:t>etfSA.co.za / JSE / Profile Data (3</w:t>
            </w:r>
            <w:r>
              <w:rPr>
                <w:rFonts w:ascii="Verdana" w:hAnsi="Verdana"/>
                <w:i/>
                <w:color w:val="000000"/>
                <w:sz w:val="14"/>
                <w:szCs w:val="14"/>
                <w:lang w:val="it-IT"/>
              </w:rPr>
              <w:t>1</w:t>
            </w:r>
            <w:r w:rsidRPr="00573EA2">
              <w:rPr>
                <w:rFonts w:ascii="Verdana" w:hAnsi="Verdana"/>
                <w:i/>
                <w:color w:val="000000"/>
                <w:sz w:val="14"/>
                <w:szCs w:val="14"/>
                <w:lang w:val="it-IT"/>
              </w:rPr>
              <w:t>/</w:t>
            </w:r>
            <w:r>
              <w:rPr>
                <w:rFonts w:ascii="Verdana" w:hAnsi="Verdana"/>
                <w:i/>
                <w:color w:val="000000"/>
                <w:sz w:val="14"/>
                <w:szCs w:val="14"/>
                <w:lang w:val="it-IT"/>
              </w:rPr>
              <w:t>12</w:t>
            </w:r>
            <w:r w:rsidRPr="00573EA2">
              <w:rPr>
                <w:rFonts w:ascii="Verdana" w:hAnsi="Verdana"/>
                <w:i/>
                <w:color w:val="000000"/>
                <w:sz w:val="14"/>
                <w:szCs w:val="14"/>
                <w:lang w:val="it-IT"/>
              </w:rPr>
              <w:t xml:space="preserve">/2020). </w:t>
            </w:r>
          </w:p>
        </w:tc>
      </w:tr>
    </w:tbl>
    <w:p w14:paraId="45DEA681" w14:textId="77777777" w:rsidR="0051590D" w:rsidRDefault="0051590D" w:rsidP="00F65131">
      <w:pPr>
        <w:spacing w:after="0" w:line="360" w:lineRule="atLeast"/>
        <w:rPr>
          <w:rFonts w:ascii="Verdana" w:hAnsi="Verdana"/>
          <w:color w:val="000000"/>
          <w:sz w:val="21"/>
          <w:szCs w:val="21"/>
        </w:rPr>
      </w:pPr>
    </w:p>
    <w:p w14:paraId="52A007C8" w14:textId="5C69A95F" w:rsidR="00A25A8D" w:rsidRDefault="0051590D" w:rsidP="00F65131">
      <w:pPr>
        <w:spacing w:after="0" w:line="360" w:lineRule="atLeast"/>
        <w:rPr>
          <w:rFonts w:ascii="Verdana" w:hAnsi="Verdana"/>
          <w:color w:val="000000"/>
          <w:sz w:val="21"/>
          <w:szCs w:val="21"/>
        </w:rPr>
      </w:pPr>
      <w:r>
        <w:rPr>
          <w:rFonts w:ascii="Verdana" w:hAnsi="Verdana"/>
          <w:b/>
          <w:bCs/>
          <w:color w:val="000000"/>
          <w:sz w:val="21"/>
          <w:szCs w:val="21"/>
        </w:rPr>
        <w:t>Sygnia Itrix</w:t>
      </w:r>
      <w:r>
        <w:rPr>
          <w:rFonts w:ascii="Verdana" w:hAnsi="Verdana"/>
          <w:color w:val="000000"/>
          <w:sz w:val="21"/>
          <w:szCs w:val="21"/>
        </w:rPr>
        <w:t xml:space="preserve"> continues to swap places with Satrix to hold the number two position in the South African ETP industry.  Sygnia Itrix has failed to list any new ETFs in the past few years, seemingly concentrating in bringing new products to the market in the form of segregated over-the-counter </w:t>
      </w:r>
      <w:r w:rsidR="00B600A0">
        <w:rPr>
          <w:rFonts w:ascii="Verdana" w:hAnsi="Verdana"/>
          <w:color w:val="000000"/>
          <w:sz w:val="21"/>
          <w:szCs w:val="21"/>
        </w:rPr>
        <w:t>portfolios</w:t>
      </w:r>
      <w:r>
        <w:rPr>
          <w:rFonts w:ascii="Verdana" w:hAnsi="Verdana"/>
          <w:color w:val="000000"/>
          <w:sz w:val="21"/>
          <w:szCs w:val="21"/>
        </w:rPr>
        <w:t xml:space="preserve">, rather than listed ETPs.  Recent revisions to the inward listed foreign exchange controls may </w:t>
      </w:r>
      <w:r w:rsidR="00A547A7">
        <w:rPr>
          <w:rFonts w:ascii="Verdana" w:hAnsi="Verdana"/>
          <w:color w:val="000000"/>
          <w:sz w:val="21"/>
          <w:szCs w:val="21"/>
        </w:rPr>
        <w:t xml:space="preserve">entice </w:t>
      </w:r>
      <w:r>
        <w:rPr>
          <w:rFonts w:ascii="Verdana" w:hAnsi="Verdana"/>
          <w:color w:val="000000"/>
          <w:sz w:val="21"/>
          <w:szCs w:val="21"/>
        </w:rPr>
        <w:t xml:space="preserve">them back into the ETF market as there are clear benefits to listing products under these regulations.  </w:t>
      </w:r>
    </w:p>
    <w:p w14:paraId="3B4E7544" w14:textId="4BF57C1B" w:rsidR="0051590D" w:rsidRDefault="0051590D" w:rsidP="00F65131">
      <w:pPr>
        <w:spacing w:after="0" w:line="360" w:lineRule="atLeast"/>
        <w:rPr>
          <w:rFonts w:ascii="Verdana" w:hAnsi="Verdana"/>
          <w:color w:val="000000"/>
          <w:sz w:val="21"/>
          <w:szCs w:val="21"/>
        </w:rPr>
      </w:pPr>
    </w:p>
    <w:p w14:paraId="23A6FFD0" w14:textId="3733952A" w:rsidR="0051590D" w:rsidRPr="0051590D" w:rsidRDefault="0051590D" w:rsidP="00F65131">
      <w:pPr>
        <w:spacing w:after="0" w:line="360" w:lineRule="atLeast"/>
        <w:rPr>
          <w:rFonts w:ascii="Verdana" w:hAnsi="Verdana"/>
          <w:color w:val="000000"/>
          <w:sz w:val="21"/>
          <w:szCs w:val="21"/>
        </w:rPr>
      </w:pPr>
      <w:r>
        <w:rPr>
          <w:rFonts w:ascii="Verdana" w:hAnsi="Verdana"/>
          <w:b/>
          <w:bCs/>
          <w:color w:val="000000"/>
          <w:sz w:val="21"/>
          <w:szCs w:val="21"/>
        </w:rPr>
        <w:t>1nvest</w:t>
      </w:r>
      <w:r>
        <w:rPr>
          <w:rFonts w:ascii="Verdana" w:hAnsi="Verdana"/>
          <w:color w:val="000000"/>
          <w:sz w:val="21"/>
          <w:szCs w:val="21"/>
        </w:rPr>
        <w:t xml:space="preserve">, like Absa Capital, suffered from the redemption of commodity ETFs in 2020, including palladium and rhodium.  </w:t>
      </w:r>
      <w:r w:rsidR="00F65131">
        <w:rPr>
          <w:rFonts w:ascii="Verdana" w:hAnsi="Verdana"/>
          <w:color w:val="000000"/>
          <w:sz w:val="21"/>
          <w:szCs w:val="21"/>
        </w:rPr>
        <w:t xml:space="preserve">However, demand for these and other PGM metals remains strong in global markets, so this set-back might be temporary. </w:t>
      </w:r>
    </w:p>
    <w:p w14:paraId="169A1F99" w14:textId="50EE3A42" w:rsidR="00E674AE" w:rsidRDefault="00E674AE" w:rsidP="00F65131">
      <w:pPr>
        <w:spacing w:after="0" w:line="360" w:lineRule="atLeast"/>
        <w:rPr>
          <w:rFonts w:ascii="Verdana" w:hAnsi="Verdana"/>
          <w:color w:val="000000"/>
          <w:sz w:val="21"/>
          <w:szCs w:val="21"/>
        </w:rPr>
      </w:pPr>
    </w:p>
    <w:p w14:paraId="5E3DD330" w14:textId="60F529FF" w:rsidR="00F65131" w:rsidRDefault="00F65131" w:rsidP="00F65131">
      <w:pPr>
        <w:spacing w:after="0" w:line="360" w:lineRule="atLeast"/>
        <w:rPr>
          <w:rFonts w:ascii="Verdana" w:hAnsi="Verdana"/>
          <w:color w:val="000000"/>
          <w:sz w:val="21"/>
          <w:szCs w:val="21"/>
        </w:rPr>
      </w:pPr>
      <w:r>
        <w:rPr>
          <w:rFonts w:ascii="Verdana" w:hAnsi="Verdana"/>
          <w:b/>
          <w:bCs/>
          <w:color w:val="000000"/>
          <w:sz w:val="21"/>
          <w:szCs w:val="21"/>
        </w:rPr>
        <w:t>CoreShares</w:t>
      </w:r>
      <w:r>
        <w:rPr>
          <w:rFonts w:ascii="Verdana" w:hAnsi="Verdana"/>
          <w:color w:val="000000"/>
          <w:sz w:val="21"/>
          <w:szCs w:val="21"/>
        </w:rPr>
        <w:t xml:space="preserve"> continues to hold on to its fifth place in the ETF industry (by size), but had a quiet year, with creation/redemption activity subdued and its lack of innovative products – other than in the smart beta space which has not gained much traction – is weighing against Coreshares.  </w:t>
      </w:r>
    </w:p>
    <w:p w14:paraId="385912EC" w14:textId="69BDE097" w:rsidR="00A547A7" w:rsidRDefault="00A547A7">
      <w:pPr>
        <w:rPr>
          <w:rFonts w:ascii="Verdana" w:hAnsi="Verdana"/>
          <w:color w:val="000000"/>
          <w:sz w:val="21"/>
          <w:szCs w:val="21"/>
        </w:rPr>
      </w:pPr>
      <w:r>
        <w:rPr>
          <w:rFonts w:ascii="Verdana" w:hAnsi="Verdana"/>
          <w:color w:val="000000"/>
          <w:sz w:val="21"/>
          <w:szCs w:val="21"/>
        </w:rPr>
        <w:br w:type="page"/>
      </w:r>
    </w:p>
    <w:p w14:paraId="345DE170" w14:textId="77777777" w:rsidR="00F65131" w:rsidRDefault="00F65131" w:rsidP="00F65131">
      <w:pPr>
        <w:spacing w:after="0" w:line="360" w:lineRule="atLeast"/>
        <w:rPr>
          <w:rFonts w:ascii="Verdana" w:hAnsi="Verdana"/>
          <w:color w:val="000000"/>
          <w:sz w:val="21"/>
          <w:szCs w:val="21"/>
        </w:rPr>
      </w:pPr>
    </w:p>
    <w:p w14:paraId="1306EAB2" w14:textId="26850B27" w:rsidR="00F65131" w:rsidRDefault="00F65131" w:rsidP="00F65131">
      <w:pPr>
        <w:spacing w:after="0" w:line="360" w:lineRule="atLeast"/>
        <w:rPr>
          <w:rFonts w:ascii="Verdana" w:hAnsi="Verdana"/>
          <w:color w:val="000000"/>
          <w:sz w:val="21"/>
          <w:szCs w:val="21"/>
        </w:rPr>
      </w:pPr>
      <w:r>
        <w:rPr>
          <w:rFonts w:ascii="Verdana" w:hAnsi="Verdana"/>
          <w:b/>
          <w:bCs/>
          <w:color w:val="000000"/>
          <w:sz w:val="21"/>
          <w:szCs w:val="21"/>
        </w:rPr>
        <w:t>First National Bank</w:t>
      </w:r>
      <w:r>
        <w:rPr>
          <w:rFonts w:ascii="Verdana" w:hAnsi="Verdana"/>
          <w:color w:val="000000"/>
          <w:sz w:val="21"/>
          <w:szCs w:val="21"/>
        </w:rPr>
        <w:t xml:space="preserve">, which up until now, had </w:t>
      </w:r>
      <w:r w:rsidR="00AC2829">
        <w:rPr>
          <w:rFonts w:ascii="Verdana" w:hAnsi="Verdana"/>
          <w:color w:val="000000"/>
          <w:sz w:val="21"/>
          <w:szCs w:val="21"/>
        </w:rPr>
        <w:t xml:space="preserve">issued </w:t>
      </w:r>
      <w:r>
        <w:rPr>
          <w:rFonts w:ascii="Verdana" w:hAnsi="Verdana"/>
          <w:color w:val="000000"/>
          <w:sz w:val="21"/>
          <w:szCs w:val="21"/>
        </w:rPr>
        <w:t xml:space="preserve">only the certified </w:t>
      </w:r>
      <w:r w:rsidR="00A547A7">
        <w:rPr>
          <w:rFonts w:ascii="Verdana" w:hAnsi="Verdana"/>
          <w:color w:val="000000"/>
          <w:sz w:val="21"/>
          <w:szCs w:val="21"/>
        </w:rPr>
        <w:t xml:space="preserve">ETF </w:t>
      </w:r>
      <w:r>
        <w:rPr>
          <w:rFonts w:ascii="Verdana" w:hAnsi="Verdana"/>
          <w:color w:val="000000"/>
          <w:sz w:val="21"/>
          <w:szCs w:val="21"/>
        </w:rPr>
        <w:t xml:space="preserve">notes covering Krugerrands and 2 or 10 year </w:t>
      </w:r>
      <w:r w:rsidR="00AC2829">
        <w:rPr>
          <w:rFonts w:ascii="Verdana" w:hAnsi="Verdana"/>
          <w:color w:val="000000"/>
          <w:sz w:val="21"/>
          <w:szCs w:val="21"/>
        </w:rPr>
        <w:t xml:space="preserve">US </w:t>
      </w:r>
      <w:r>
        <w:rPr>
          <w:rFonts w:ascii="Verdana" w:hAnsi="Verdana"/>
          <w:color w:val="000000"/>
          <w:sz w:val="21"/>
          <w:szCs w:val="21"/>
        </w:rPr>
        <w:t xml:space="preserve">dollar bonds, in late-2020, </w:t>
      </w:r>
      <w:r w:rsidR="00A547A7">
        <w:rPr>
          <w:rFonts w:ascii="Verdana" w:hAnsi="Verdana"/>
          <w:color w:val="000000"/>
          <w:sz w:val="21"/>
          <w:szCs w:val="21"/>
        </w:rPr>
        <w:t xml:space="preserve">introduced </w:t>
      </w:r>
      <w:r>
        <w:rPr>
          <w:rFonts w:ascii="Verdana" w:hAnsi="Verdana"/>
          <w:color w:val="000000"/>
          <w:sz w:val="21"/>
          <w:szCs w:val="21"/>
        </w:rPr>
        <w:t xml:space="preserve">single stock tracking ETNs to the JSE.  In all, 36 ETNs, covering well-known US securities, were listed as inward listed products on the JSE.  This enables local </w:t>
      </w:r>
      <w:r w:rsidR="00A547A7">
        <w:rPr>
          <w:rFonts w:ascii="Verdana" w:hAnsi="Verdana"/>
          <w:color w:val="000000"/>
          <w:sz w:val="21"/>
          <w:szCs w:val="21"/>
        </w:rPr>
        <w:t xml:space="preserve">retail and corporate </w:t>
      </w:r>
      <w:r>
        <w:rPr>
          <w:rFonts w:ascii="Verdana" w:hAnsi="Verdana"/>
          <w:color w:val="000000"/>
          <w:sz w:val="21"/>
          <w:szCs w:val="21"/>
        </w:rPr>
        <w:t xml:space="preserve">investors to buy these US shares without any impact on their foreign exchange allowances and with the convenience and low cost of trading them on local exchanges. </w:t>
      </w:r>
    </w:p>
    <w:p w14:paraId="6DDE3866" w14:textId="29FCDE84" w:rsidR="00F65131" w:rsidRDefault="00F65131" w:rsidP="00F65131">
      <w:pPr>
        <w:spacing w:after="0" w:line="360" w:lineRule="atLeast"/>
        <w:rPr>
          <w:rFonts w:ascii="Verdana" w:hAnsi="Verdana"/>
          <w:color w:val="000000"/>
          <w:sz w:val="21"/>
          <w:szCs w:val="21"/>
        </w:rPr>
      </w:pPr>
    </w:p>
    <w:p w14:paraId="64F14A43" w14:textId="59099775" w:rsidR="00F65131" w:rsidRDefault="00F65131" w:rsidP="00F65131">
      <w:pPr>
        <w:spacing w:after="0" w:line="360" w:lineRule="atLeast"/>
        <w:rPr>
          <w:rFonts w:ascii="Verdana" w:hAnsi="Verdana"/>
          <w:color w:val="000000"/>
          <w:sz w:val="21"/>
          <w:szCs w:val="21"/>
        </w:rPr>
      </w:pPr>
      <w:r>
        <w:rPr>
          <w:rFonts w:ascii="Verdana" w:hAnsi="Verdana"/>
          <w:color w:val="000000"/>
          <w:sz w:val="21"/>
          <w:szCs w:val="21"/>
        </w:rPr>
        <w:t xml:space="preserve">At this stage, it is uncertain whether local institutions can utilise such inward listed stocks without exchange control restrictions, but this should be cleared up by the regulatory authorities in due course.  This could benefit, not only FNB, but other potential issuers of </w:t>
      </w:r>
      <w:r w:rsidR="00A547A7">
        <w:rPr>
          <w:rFonts w:ascii="Verdana" w:hAnsi="Verdana"/>
          <w:color w:val="000000"/>
          <w:sz w:val="21"/>
          <w:szCs w:val="21"/>
        </w:rPr>
        <w:t xml:space="preserve">single stock </w:t>
      </w:r>
      <w:r>
        <w:rPr>
          <w:rFonts w:ascii="Verdana" w:hAnsi="Verdana"/>
          <w:color w:val="000000"/>
          <w:sz w:val="21"/>
          <w:szCs w:val="21"/>
        </w:rPr>
        <w:t>t</w:t>
      </w:r>
      <w:r w:rsidR="00AC2829">
        <w:rPr>
          <w:rFonts w:ascii="Verdana" w:hAnsi="Verdana"/>
          <w:color w:val="000000"/>
          <w:sz w:val="21"/>
          <w:szCs w:val="21"/>
        </w:rPr>
        <w:t>r</w:t>
      </w:r>
      <w:r>
        <w:rPr>
          <w:rFonts w:ascii="Verdana" w:hAnsi="Verdana"/>
          <w:color w:val="000000"/>
          <w:sz w:val="21"/>
          <w:szCs w:val="21"/>
        </w:rPr>
        <w:t xml:space="preserve">acker ETNs.  </w:t>
      </w:r>
    </w:p>
    <w:p w14:paraId="3470C425" w14:textId="368DE09E" w:rsidR="00A25A8D" w:rsidRDefault="00A25A8D" w:rsidP="00A25A8D">
      <w:pPr>
        <w:spacing w:after="0" w:line="360" w:lineRule="atLeast"/>
        <w:rPr>
          <w:rFonts w:ascii="Verdana" w:hAnsi="Verdana"/>
          <w:color w:val="000000"/>
          <w:sz w:val="21"/>
          <w:szCs w:val="21"/>
        </w:rPr>
      </w:pPr>
    </w:p>
    <w:p w14:paraId="7BEECD89" w14:textId="77777777" w:rsidR="00A547A7" w:rsidRDefault="00A547A7" w:rsidP="00A25A8D">
      <w:pPr>
        <w:spacing w:after="0" w:line="360" w:lineRule="atLeast"/>
        <w:rPr>
          <w:rFonts w:ascii="Verdana" w:hAnsi="Verdana"/>
          <w:color w:val="000000"/>
          <w:sz w:val="21"/>
          <w:szCs w:val="21"/>
        </w:rPr>
      </w:pPr>
    </w:p>
    <w:p w14:paraId="077CC978" w14:textId="7B860165" w:rsidR="007A7050" w:rsidRPr="007A7050" w:rsidRDefault="007A7050" w:rsidP="00E71803">
      <w:pPr>
        <w:spacing w:after="0" w:line="320" w:lineRule="atLeast"/>
        <w:rPr>
          <w:rFonts w:ascii="Verdana" w:hAnsi="Verdana"/>
          <w:b/>
          <w:bCs/>
          <w:color w:val="C00000"/>
        </w:rPr>
      </w:pPr>
      <w:r w:rsidRPr="007A7050">
        <w:rPr>
          <w:rFonts w:ascii="Verdana" w:hAnsi="Verdana"/>
          <w:b/>
          <w:bCs/>
          <w:color w:val="C00000"/>
        </w:rPr>
        <w:t>T</w:t>
      </w:r>
      <w:r w:rsidR="00F65131">
        <w:rPr>
          <w:rFonts w:ascii="Verdana" w:hAnsi="Verdana"/>
          <w:b/>
          <w:bCs/>
          <w:color w:val="C00000"/>
        </w:rPr>
        <w:t>wenty Year Anniversary</w:t>
      </w:r>
    </w:p>
    <w:p w14:paraId="1554FB98" w14:textId="6AF4DE6E" w:rsidR="005F5553" w:rsidRPr="00F65131" w:rsidRDefault="00FA51FA" w:rsidP="00FA51FA">
      <w:pPr>
        <w:spacing w:after="0" w:line="360" w:lineRule="atLeast"/>
        <w:rPr>
          <w:rFonts w:ascii="Verdana" w:hAnsi="Verdana"/>
          <w:color w:val="000000"/>
          <w:sz w:val="21"/>
          <w:szCs w:val="21"/>
        </w:rPr>
      </w:pPr>
      <w:r>
        <w:rPr>
          <w:rFonts w:ascii="Verdana" w:hAnsi="Verdana"/>
          <w:color w:val="000000"/>
          <w:sz w:val="21"/>
          <w:szCs w:val="21"/>
        </w:rPr>
        <w:t xml:space="preserve">The ETP industry recently celebrated the twenty year anniversary of the first listing of an Exchange Traded Fund on the JSE in November 2020.  Fittingly, as this </w:t>
      </w:r>
      <w:r w:rsidR="00143C23">
        <w:rPr>
          <w:rFonts w:ascii="Verdana" w:hAnsi="Verdana"/>
          <w:color w:val="000000"/>
          <w:sz w:val="21"/>
          <w:szCs w:val="21"/>
        </w:rPr>
        <w:t xml:space="preserve">first </w:t>
      </w:r>
      <w:r>
        <w:rPr>
          <w:rFonts w:ascii="Verdana" w:hAnsi="Verdana"/>
          <w:color w:val="000000"/>
          <w:sz w:val="21"/>
          <w:szCs w:val="21"/>
        </w:rPr>
        <w:t>product was the Satrix 40 ETF, Satrix Managers had a good year in 2020 and was able to demonstrate its commitment to the local ETP market with some c</w:t>
      </w:r>
      <w:r w:rsidR="00AC2829">
        <w:rPr>
          <w:rFonts w:ascii="Verdana" w:hAnsi="Verdana"/>
          <w:color w:val="000000"/>
          <w:sz w:val="21"/>
          <w:szCs w:val="21"/>
        </w:rPr>
        <w:t xml:space="preserve">onviction.  </w:t>
      </w:r>
    </w:p>
    <w:p w14:paraId="6633A02E" w14:textId="51664D8F" w:rsidR="00B46D9E" w:rsidRDefault="00B46D9E" w:rsidP="00FA51FA">
      <w:pPr>
        <w:spacing w:after="0" w:line="360" w:lineRule="atLeast"/>
        <w:rPr>
          <w:rFonts w:ascii="Verdana" w:hAnsi="Verdana"/>
          <w:color w:val="000000"/>
          <w:sz w:val="21"/>
          <w:szCs w:val="21"/>
        </w:rPr>
      </w:pPr>
    </w:p>
    <w:p w14:paraId="5CBA461B" w14:textId="7B071FDE" w:rsidR="00FA51FA" w:rsidRDefault="00FA51FA" w:rsidP="00FA51FA">
      <w:pPr>
        <w:spacing w:after="0" w:line="360" w:lineRule="atLeast"/>
        <w:rPr>
          <w:rFonts w:ascii="Verdana" w:hAnsi="Verdana"/>
          <w:color w:val="000000"/>
          <w:sz w:val="21"/>
          <w:szCs w:val="21"/>
        </w:rPr>
      </w:pPr>
      <w:r>
        <w:rPr>
          <w:rFonts w:ascii="Verdana" w:hAnsi="Verdana"/>
          <w:color w:val="000000"/>
          <w:sz w:val="21"/>
          <w:szCs w:val="21"/>
        </w:rPr>
        <w:t>etfSA.co.za has published a st</w:t>
      </w:r>
      <w:r w:rsidR="00A547A7">
        <w:rPr>
          <w:rFonts w:ascii="Verdana" w:hAnsi="Verdana"/>
          <w:color w:val="000000"/>
          <w:sz w:val="21"/>
          <w:szCs w:val="21"/>
        </w:rPr>
        <w:t>udy</w:t>
      </w:r>
      <w:r w:rsidR="00A37F02">
        <w:rPr>
          <w:rFonts w:ascii="Verdana" w:hAnsi="Verdana"/>
          <w:color w:val="000000"/>
          <w:sz w:val="21"/>
          <w:szCs w:val="21"/>
        </w:rPr>
        <w:t xml:space="preserve"> of </w:t>
      </w:r>
      <w:r>
        <w:rPr>
          <w:rFonts w:ascii="Verdana" w:hAnsi="Verdana"/>
          <w:color w:val="000000"/>
          <w:sz w:val="21"/>
          <w:szCs w:val="21"/>
        </w:rPr>
        <w:t xml:space="preserve">the 20-year </w:t>
      </w:r>
      <w:r w:rsidR="00A37F02">
        <w:rPr>
          <w:rFonts w:ascii="Verdana" w:hAnsi="Verdana"/>
          <w:color w:val="000000"/>
          <w:sz w:val="21"/>
          <w:szCs w:val="21"/>
        </w:rPr>
        <w:t>history</w:t>
      </w:r>
      <w:r>
        <w:rPr>
          <w:rFonts w:ascii="Verdana" w:hAnsi="Verdana"/>
          <w:color w:val="000000"/>
          <w:sz w:val="21"/>
          <w:szCs w:val="21"/>
        </w:rPr>
        <w:t xml:space="preserve"> of the ETF industry in South Africa, which is obtainable through its website, </w:t>
      </w:r>
      <w:hyperlink r:id="rId10" w:history="1">
        <w:r w:rsidRPr="001B412A">
          <w:rPr>
            <w:rStyle w:val="Hyperlink"/>
            <w:rFonts w:ascii="Verdana" w:hAnsi="Verdana"/>
            <w:sz w:val="21"/>
            <w:szCs w:val="21"/>
          </w:rPr>
          <w:t>www.etfsa.co.za</w:t>
        </w:r>
      </w:hyperlink>
      <w:r>
        <w:rPr>
          <w:rFonts w:ascii="Verdana" w:hAnsi="Verdana"/>
          <w:color w:val="000000"/>
          <w:sz w:val="21"/>
          <w:szCs w:val="21"/>
        </w:rPr>
        <w:t xml:space="preserve"> in electronic form or printed cop</w:t>
      </w:r>
      <w:r w:rsidR="008468F3">
        <w:rPr>
          <w:rFonts w:ascii="Verdana" w:hAnsi="Verdana"/>
          <w:color w:val="000000"/>
          <w:sz w:val="21"/>
          <w:szCs w:val="21"/>
        </w:rPr>
        <w:t xml:space="preserve">y, </w:t>
      </w:r>
      <w:r w:rsidR="00A37F02">
        <w:rPr>
          <w:rFonts w:ascii="Verdana" w:hAnsi="Verdana"/>
          <w:color w:val="000000"/>
          <w:sz w:val="21"/>
          <w:szCs w:val="21"/>
        </w:rPr>
        <w:t>on request</w:t>
      </w:r>
      <w:r w:rsidR="008468F3">
        <w:rPr>
          <w:rFonts w:ascii="Verdana" w:hAnsi="Verdana"/>
          <w:color w:val="000000"/>
          <w:sz w:val="21"/>
          <w:szCs w:val="21"/>
        </w:rPr>
        <w:t xml:space="preserve">.  </w:t>
      </w:r>
    </w:p>
    <w:p w14:paraId="72B999CB" w14:textId="554DFFAC" w:rsidR="008468F3" w:rsidRDefault="008468F3" w:rsidP="00FA51FA">
      <w:pPr>
        <w:spacing w:after="0" w:line="360" w:lineRule="atLeast"/>
        <w:rPr>
          <w:rFonts w:ascii="Verdana" w:hAnsi="Verdana"/>
          <w:color w:val="000000"/>
          <w:sz w:val="21"/>
          <w:szCs w:val="21"/>
        </w:rPr>
      </w:pPr>
    </w:p>
    <w:p w14:paraId="18A1CA13" w14:textId="11D2022A" w:rsidR="008468F3" w:rsidRDefault="008468F3" w:rsidP="00FA51FA">
      <w:pPr>
        <w:spacing w:after="0" w:line="360" w:lineRule="atLeast"/>
        <w:rPr>
          <w:rFonts w:ascii="Verdana" w:hAnsi="Verdana"/>
          <w:color w:val="000000"/>
          <w:sz w:val="21"/>
          <w:szCs w:val="21"/>
        </w:rPr>
      </w:pPr>
    </w:p>
    <w:p w14:paraId="3094944C" w14:textId="72616E4A" w:rsidR="00F13A0B" w:rsidRPr="00602DDF" w:rsidRDefault="00602DDF" w:rsidP="00602DDF">
      <w:pPr>
        <w:spacing w:after="0" w:line="340" w:lineRule="atLeast"/>
        <w:jc w:val="both"/>
        <w:rPr>
          <w:rFonts w:ascii="Verdana" w:hAnsi="Verdana"/>
          <w:color w:val="000000" w:themeColor="text1"/>
          <w:sz w:val="21"/>
          <w:szCs w:val="21"/>
        </w:rPr>
      </w:pPr>
      <w:r>
        <w:rPr>
          <w:rFonts w:ascii="Verdana" w:hAnsi="Verdana"/>
          <w:b/>
          <w:bCs/>
          <w:color w:val="C00000"/>
          <w:sz w:val="21"/>
          <w:szCs w:val="21"/>
        </w:rPr>
        <w:t>Note:</w:t>
      </w:r>
      <w:r>
        <w:rPr>
          <w:rFonts w:ascii="Verdana" w:hAnsi="Verdana"/>
          <w:color w:val="000000" w:themeColor="text1"/>
          <w:sz w:val="21"/>
          <w:szCs w:val="21"/>
        </w:rPr>
        <w:t xml:space="preserve"> full details for each Exchange Traded Fund and Exchange Traded Note are available on the quarterly reports available on the etfSA website: </w:t>
      </w:r>
      <w:hyperlink r:id="rId11" w:history="1">
        <w:r w:rsidRPr="00CF484B">
          <w:rPr>
            <w:rStyle w:val="Hyperlink"/>
            <w:rFonts w:ascii="Verdana" w:hAnsi="Verdana"/>
            <w:sz w:val="21"/>
            <w:szCs w:val="21"/>
          </w:rPr>
          <w:t>www.etfsa.co.za</w:t>
        </w:r>
      </w:hyperlink>
      <w:r>
        <w:rPr>
          <w:rFonts w:ascii="Verdana" w:hAnsi="Verdana"/>
          <w:color w:val="000000" w:themeColor="text1"/>
          <w:sz w:val="21"/>
          <w:szCs w:val="21"/>
        </w:rPr>
        <w:t xml:space="preserve">: </w:t>
      </w:r>
    </w:p>
    <w:p w14:paraId="49F297F9" w14:textId="1ED10A64" w:rsidR="00F13A0B" w:rsidRDefault="00F13A0B" w:rsidP="00602DDF">
      <w:pPr>
        <w:spacing w:after="0" w:line="340" w:lineRule="atLeast"/>
        <w:jc w:val="both"/>
        <w:rPr>
          <w:rFonts w:ascii="Verdana" w:hAnsi="Verdana"/>
          <w:sz w:val="21"/>
          <w:szCs w:val="21"/>
        </w:rPr>
      </w:pPr>
    </w:p>
    <w:p w14:paraId="54885B65" w14:textId="7D9E4114" w:rsidR="00602DDF" w:rsidRDefault="00602DDF" w:rsidP="00602DDF">
      <w:pPr>
        <w:pStyle w:val="ListParagraph"/>
        <w:numPr>
          <w:ilvl w:val="0"/>
          <w:numId w:val="17"/>
        </w:numPr>
        <w:spacing w:after="0" w:line="340" w:lineRule="atLeast"/>
        <w:jc w:val="both"/>
        <w:rPr>
          <w:rFonts w:ascii="Verdana" w:hAnsi="Verdana"/>
          <w:sz w:val="21"/>
          <w:szCs w:val="21"/>
        </w:rPr>
      </w:pPr>
      <w:r>
        <w:rPr>
          <w:rFonts w:ascii="Verdana" w:hAnsi="Verdana"/>
          <w:sz w:val="21"/>
          <w:szCs w:val="21"/>
        </w:rPr>
        <w:t xml:space="preserve">All South African ETFs &amp; ETNs – Market Capitalisation </w:t>
      </w:r>
      <w:r w:rsidR="00A37F02">
        <w:rPr>
          <w:rFonts w:ascii="Verdana" w:hAnsi="Verdana"/>
          <w:sz w:val="21"/>
          <w:szCs w:val="21"/>
        </w:rPr>
        <w:t>Totals</w:t>
      </w:r>
      <w:r>
        <w:rPr>
          <w:rFonts w:ascii="Verdana" w:hAnsi="Verdana"/>
          <w:sz w:val="21"/>
          <w:szCs w:val="21"/>
        </w:rPr>
        <w:t xml:space="preserve"> – December 2009 to </w:t>
      </w:r>
      <w:r w:rsidR="008468F3">
        <w:rPr>
          <w:rFonts w:ascii="Verdana" w:hAnsi="Verdana"/>
          <w:sz w:val="21"/>
          <w:szCs w:val="21"/>
        </w:rPr>
        <w:t>Dec</w:t>
      </w:r>
      <w:r>
        <w:rPr>
          <w:rFonts w:ascii="Verdana" w:hAnsi="Verdana"/>
          <w:sz w:val="21"/>
          <w:szCs w:val="21"/>
        </w:rPr>
        <w:t xml:space="preserve">ember 2020. </w:t>
      </w:r>
    </w:p>
    <w:p w14:paraId="687B4DFB" w14:textId="77777777" w:rsidR="0025163D" w:rsidRDefault="0025163D" w:rsidP="0025163D">
      <w:pPr>
        <w:pStyle w:val="ListParagraph"/>
        <w:spacing w:after="0" w:line="340" w:lineRule="atLeast"/>
        <w:jc w:val="both"/>
        <w:rPr>
          <w:rFonts w:ascii="Verdana" w:hAnsi="Verdana"/>
          <w:sz w:val="21"/>
          <w:szCs w:val="21"/>
        </w:rPr>
      </w:pPr>
    </w:p>
    <w:p w14:paraId="045E74ED" w14:textId="67E7380A" w:rsidR="00602DDF" w:rsidRPr="00602DDF" w:rsidRDefault="00602DDF" w:rsidP="00602DDF">
      <w:pPr>
        <w:pStyle w:val="ListParagraph"/>
        <w:numPr>
          <w:ilvl w:val="0"/>
          <w:numId w:val="17"/>
        </w:numPr>
        <w:spacing w:after="0" w:line="340" w:lineRule="atLeast"/>
        <w:jc w:val="both"/>
        <w:rPr>
          <w:rFonts w:ascii="Verdana" w:hAnsi="Verdana"/>
          <w:sz w:val="21"/>
          <w:szCs w:val="21"/>
        </w:rPr>
      </w:pPr>
      <w:r>
        <w:rPr>
          <w:rFonts w:ascii="Verdana" w:hAnsi="Verdana"/>
          <w:sz w:val="21"/>
          <w:szCs w:val="21"/>
        </w:rPr>
        <w:t>ETFs &amp; ETNs survey – Securities in Issue and New Capital Raised/Redeemed (for period ended 3</w:t>
      </w:r>
      <w:r w:rsidR="008468F3">
        <w:rPr>
          <w:rFonts w:ascii="Verdana" w:hAnsi="Verdana"/>
          <w:sz w:val="21"/>
          <w:szCs w:val="21"/>
        </w:rPr>
        <w:t>1</w:t>
      </w:r>
      <w:r>
        <w:rPr>
          <w:rFonts w:ascii="Verdana" w:hAnsi="Verdana"/>
          <w:sz w:val="21"/>
          <w:szCs w:val="21"/>
        </w:rPr>
        <w:t xml:space="preserve"> </w:t>
      </w:r>
      <w:r w:rsidR="008468F3">
        <w:rPr>
          <w:rFonts w:ascii="Verdana" w:hAnsi="Verdana"/>
          <w:sz w:val="21"/>
          <w:szCs w:val="21"/>
        </w:rPr>
        <w:t>Dec</w:t>
      </w:r>
      <w:r>
        <w:rPr>
          <w:rFonts w:ascii="Verdana" w:hAnsi="Verdana"/>
          <w:sz w:val="21"/>
          <w:szCs w:val="21"/>
        </w:rPr>
        <w:t xml:space="preserve">ember 2020). </w:t>
      </w:r>
    </w:p>
    <w:p w14:paraId="10032C29" w14:textId="77777777" w:rsidR="00DB4A11" w:rsidRDefault="00DB4A11" w:rsidP="00DB4A11">
      <w:pPr>
        <w:spacing w:after="0" w:line="320" w:lineRule="atLeast"/>
        <w:jc w:val="both"/>
        <w:rPr>
          <w:rFonts w:ascii="Verdana" w:hAnsi="Verdana"/>
          <w:sz w:val="21"/>
          <w:szCs w:val="21"/>
        </w:rPr>
      </w:pPr>
    </w:p>
    <w:p w14:paraId="348057A5" w14:textId="77777777" w:rsidR="00C6212D" w:rsidRPr="0000086A" w:rsidRDefault="00C6212D" w:rsidP="0000086A">
      <w:pPr>
        <w:pBdr>
          <w:top w:val="single" w:sz="4" w:space="1" w:color="auto"/>
        </w:pBdr>
        <w:spacing w:after="0" w:line="240" w:lineRule="auto"/>
        <w:rPr>
          <w:sz w:val="15"/>
          <w:szCs w:val="15"/>
          <w:lang w:eastAsia="en-ZA"/>
        </w:rPr>
      </w:pPr>
      <w:r w:rsidRPr="0000086A">
        <w:rPr>
          <w:rFonts w:ascii="Arial" w:hAnsi="Arial"/>
          <w:b/>
          <w:i/>
          <w:color w:val="0F0D35"/>
          <w:sz w:val="15"/>
          <w:szCs w:val="15"/>
        </w:rPr>
        <w:t xml:space="preserve">Disclaimer: </w:t>
      </w:r>
      <w:r w:rsidRPr="0000086A">
        <w:rPr>
          <w:rFonts w:ascii="Arial" w:hAnsi="Arial"/>
          <w:color w:val="000000"/>
          <w:sz w:val="15"/>
          <w:szCs w:val="15"/>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00086A" w:rsidSect="00A572A0">
      <w:footerReference w:type="default" r:id="rId12"/>
      <w:pgSz w:w="11906" w:h="16838" w:code="9"/>
      <w:pgMar w:top="851" w:right="851"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76B43" w14:textId="77777777" w:rsidR="002F19B0" w:rsidRDefault="002F19B0" w:rsidP="001860C2">
      <w:pPr>
        <w:spacing w:after="0" w:line="240" w:lineRule="auto"/>
      </w:pPr>
      <w:r>
        <w:separator/>
      </w:r>
    </w:p>
  </w:endnote>
  <w:endnote w:type="continuationSeparator" w:id="0">
    <w:p w14:paraId="02F2D7FE" w14:textId="77777777" w:rsidR="002F19B0" w:rsidRDefault="002F19B0"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63265" w14:textId="77777777" w:rsidR="002F19B0" w:rsidRDefault="002F19B0" w:rsidP="001860C2">
      <w:pPr>
        <w:spacing w:after="0" w:line="240" w:lineRule="auto"/>
      </w:pPr>
      <w:r>
        <w:separator/>
      </w:r>
    </w:p>
  </w:footnote>
  <w:footnote w:type="continuationSeparator" w:id="0">
    <w:p w14:paraId="444FB782" w14:textId="77777777" w:rsidR="002F19B0" w:rsidRDefault="002F19B0"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260B28"/>
    <w:multiLevelType w:val="hybridMultilevel"/>
    <w:tmpl w:val="6F627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14D04BD"/>
    <w:multiLevelType w:val="hybridMultilevel"/>
    <w:tmpl w:val="ECFC3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5923930"/>
    <w:multiLevelType w:val="hybridMultilevel"/>
    <w:tmpl w:val="2AA8FDE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7" w15:restartNumberingAfterBreak="0">
    <w:nsid w:val="7AF55A25"/>
    <w:multiLevelType w:val="hybridMultilevel"/>
    <w:tmpl w:val="20629F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5"/>
  </w:num>
  <w:num w:numId="5">
    <w:abstractNumId w:val="1"/>
  </w:num>
  <w:num w:numId="6">
    <w:abstractNumId w:val="13"/>
  </w:num>
  <w:num w:numId="7">
    <w:abstractNumId w:val="4"/>
  </w:num>
  <w:num w:numId="8">
    <w:abstractNumId w:val="6"/>
  </w:num>
  <w:num w:numId="9">
    <w:abstractNumId w:val="2"/>
  </w:num>
  <w:num w:numId="10">
    <w:abstractNumId w:val="7"/>
  </w:num>
  <w:num w:numId="11">
    <w:abstractNumId w:val="9"/>
  </w:num>
  <w:num w:numId="12">
    <w:abstractNumId w:val="11"/>
  </w:num>
  <w:num w:numId="13">
    <w:abstractNumId w:val="10"/>
  </w:num>
  <w:num w:numId="14">
    <w:abstractNumId w:val="16"/>
  </w:num>
  <w:num w:numId="15">
    <w:abstractNumId w:val="17"/>
  </w:num>
  <w:num w:numId="16">
    <w:abstractNumId w:val="14"/>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0238B"/>
    <w:rsid w:val="000144B3"/>
    <w:rsid w:val="00014D0C"/>
    <w:rsid w:val="00034E06"/>
    <w:rsid w:val="00042250"/>
    <w:rsid w:val="000435BE"/>
    <w:rsid w:val="00046AC3"/>
    <w:rsid w:val="0005247E"/>
    <w:rsid w:val="0005437D"/>
    <w:rsid w:val="00063719"/>
    <w:rsid w:val="00064D86"/>
    <w:rsid w:val="0006568F"/>
    <w:rsid w:val="00065FC4"/>
    <w:rsid w:val="00072FB5"/>
    <w:rsid w:val="000736A9"/>
    <w:rsid w:val="0007371D"/>
    <w:rsid w:val="00083E17"/>
    <w:rsid w:val="00086ECE"/>
    <w:rsid w:val="000A3329"/>
    <w:rsid w:val="000B189D"/>
    <w:rsid w:val="000C1ACB"/>
    <w:rsid w:val="000C2A04"/>
    <w:rsid w:val="000C74EB"/>
    <w:rsid w:val="000D0FF5"/>
    <w:rsid w:val="000D5C7D"/>
    <w:rsid w:val="000F1A9D"/>
    <w:rsid w:val="000F2E19"/>
    <w:rsid w:val="000F4D11"/>
    <w:rsid w:val="000F676D"/>
    <w:rsid w:val="001004CA"/>
    <w:rsid w:val="00100BC7"/>
    <w:rsid w:val="001011BA"/>
    <w:rsid w:val="00110027"/>
    <w:rsid w:val="001113DA"/>
    <w:rsid w:val="001113EA"/>
    <w:rsid w:val="00112914"/>
    <w:rsid w:val="001149F4"/>
    <w:rsid w:val="001161FE"/>
    <w:rsid w:val="001169ED"/>
    <w:rsid w:val="00121661"/>
    <w:rsid w:val="00122449"/>
    <w:rsid w:val="001255EF"/>
    <w:rsid w:val="0013147F"/>
    <w:rsid w:val="00137500"/>
    <w:rsid w:val="00143C23"/>
    <w:rsid w:val="00147712"/>
    <w:rsid w:val="00161566"/>
    <w:rsid w:val="0016524A"/>
    <w:rsid w:val="001723F2"/>
    <w:rsid w:val="00175BD4"/>
    <w:rsid w:val="0018165B"/>
    <w:rsid w:val="00185009"/>
    <w:rsid w:val="001860C2"/>
    <w:rsid w:val="0019419C"/>
    <w:rsid w:val="001951A8"/>
    <w:rsid w:val="001976A7"/>
    <w:rsid w:val="001A440E"/>
    <w:rsid w:val="001A631C"/>
    <w:rsid w:val="001A6952"/>
    <w:rsid w:val="001B0CAA"/>
    <w:rsid w:val="001C426E"/>
    <w:rsid w:val="001C48EF"/>
    <w:rsid w:val="001D296F"/>
    <w:rsid w:val="001D3AD8"/>
    <w:rsid w:val="001E36F8"/>
    <w:rsid w:val="001F12A9"/>
    <w:rsid w:val="001F6BD9"/>
    <w:rsid w:val="00211E65"/>
    <w:rsid w:val="00214624"/>
    <w:rsid w:val="00215EC5"/>
    <w:rsid w:val="00231639"/>
    <w:rsid w:val="00240106"/>
    <w:rsid w:val="0024764F"/>
    <w:rsid w:val="00251098"/>
    <w:rsid w:val="0025163D"/>
    <w:rsid w:val="002536F5"/>
    <w:rsid w:val="00257F69"/>
    <w:rsid w:val="00260037"/>
    <w:rsid w:val="002647AB"/>
    <w:rsid w:val="00267704"/>
    <w:rsid w:val="002678D7"/>
    <w:rsid w:val="00267A62"/>
    <w:rsid w:val="00270178"/>
    <w:rsid w:val="0027130E"/>
    <w:rsid w:val="00271472"/>
    <w:rsid w:val="00275FDA"/>
    <w:rsid w:val="002821C1"/>
    <w:rsid w:val="00283442"/>
    <w:rsid w:val="0028371C"/>
    <w:rsid w:val="0028580C"/>
    <w:rsid w:val="00287580"/>
    <w:rsid w:val="002944F7"/>
    <w:rsid w:val="002A024C"/>
    <w:rsid w:val="002A439C"/>
    <w:rsid w:val="002A4EC3"/>
    <w:rsid w:val="002A6914"/>
    <w:rsid w:val="002D4D18"/>
    <w:rsid w:val="002E30E8"/>
    <w:rsid w:val="002E4F01"/>
    <w:rsid w:val="002E55EA"/>
    <w:rsid w:val="002E6A24"/>
    <w:rsid w:val="002F16E9"/>
    <w:rsid w:val="002F19B0"/>
    <w:rsid w:val="002F4117"/>
    <w:rsid w:val="00302AA8"/>
    <w:rsid w:val="00321934"/>
    <w:rsid w:val="00322BD7"/>
    <w:rsid w:val="003230DF"/>
    <w:rsid w:val="00325F2F"/>
    <w:rsid w:val="00330C63"/>
    <w:rsid w:val="00336154"/>
    <w:rsid w:val="00337675"/>
    <w:rsid w:val="00340ED3"/>
    <w:rsid w:val="00345103"/>
    <w:rsid w:val="003455BD"/>
    <w:rsid w:val="00356055"/>
    <w:rsid w:val="00371A95"/>
    <w:rsid w:val="00374625"/>
    <w:rsid w:val="003768E4"/>
    <w:rsid w:val="00380C83"/>
    <w:rsid w:val="00382ADA"/>
    <w:rsid w:val="003835A0"/>
    <w:rsid w:val="00383630"/>
    <w:rsid w:val="003935AB"/>
    <w:rsid w:val="00394359"/>
    <w:rsid w:val="003A0D8D"/>
    <w:rsid w:val="003A29FB"/>
    <w:rsid w:val="003A3D19"/>
    <w:rsid w:val="003A6075"/>
    <w:rsid w:val="003B10C9"/>
    <w:rsid w:val="003B4F95"/>
    <w:rsid w:val="003C278D"/>
    <w:rsid w:val="003C3187"/>
    <w:rsid w:val="003C34BA"/>
    <w:rsid w:val="003C36D7"/>
    <w:rsid w:val="003C4CE2"/>
    <w:rsid w:val="003C6031"/>
    <w:rsid w:val="003C700A"/>
    <w:rsid w:val="003D13C9"/>
    <w:rsid w:val="003D3AB6"/>
    <w:rsid w:val="003D5B90"/>
    <w:rsid w:val="003E41CF"/>
    <w:rsid w:val="003F5A00"/>
    <w:rsid w:val="003F5A9C"/>
    <w:rsid w:val="003F6A02"/>
    <w:rsid w:val="003F76E0"/>
    <w:rsid w:val="003F7712"/>
    <w:rsid w:val="004038EE"/>
    <w:rsid w:val="0040423E"/>
    <w:rsid w:val="00407678"/>
    <w:rsid w:val="00410B90"/>
    <w:rsid w:val="00417CC4"/>
    <w:rsid w:val="0042225F"/>
    <w:rsid w:val="00433C1B"/>
    <w:rsid w:val="00434DA5"/>
    <w:rsid w:val="00435E56"/>
    <w:rsid w:val="00441724"/>
    <w:rsid w:val="00443433"/>
    <w:rsid w:val="00451766"/>
    <w:rsid w:val="00451A86"/>
    <w:rsid w:val="004568F5"/>
    <w:rsid w:val="00486A17"/>
    <w:rsid w:val="0049405F"/>
    <w:rsid w:val="004A1759"/>
    <w:rsid w:val="004A53EA"/>
    <w:rsid w:val="004A7DA9"/>
    <w:rsid w:val="004B0713"/>
    <w:rsid w:val="004C1102"/>
    <w:rsid w:val="004C60DA"/>
    <w:rsid w:val="004D0295"/>
    <w:rsid w:val="004D1524"/>
    <w:rsid w:val="004D6498"/>
    <w:rsid w:val="004E2922"/>
    <w:rsid w:val="004E7608"/>
    <w:rsid w:val="004F0766"/>
    <w:rsid w:val="004F1DF6"/>
    <w:rsid w:val="004F47FC"/>
    <w:rsid w:val="0050685E"/>
    <w:rsid w:val="00511FB5"/>
    <w:rsid w:val="005135D4"/>
    <w:rsid w:val="005138C3"/>
    <w:rsid w:val="0051590D"/>
    <w:rsid w:val="005248F6"/>
    <w:rsid w:val="00527C9E"/>
    <w:rsid w:val="005355B2"/>
    <w:rsid w:val="00557D80"/>
    <w:rsid w:val="00561C75"/>
    <w:rsid w:val="005628FE"/>
    <w:rsid w:val="00573EA2"/>
    <w:rsid w:val="00574800"/>
    <w:rsid w:val="00587E90"/>
    <w:rsid w:val="005923A8"/>
    <w:rsid w:val="005A16E0"/>
    <w:rsid w:val="005A21ED"/>
    <w:rsid w:val="005A77A2"/>
    <w:rsid w:val="005B0C73"/>
    <w:rsid w:val="005B450E"/>
    <w:rsid w:val="005B6048"/>
    <w:rsid w:val="005B62B4"/>
    <w:rsid w:val="005B7CFF"/>
    <w:rsid w:val="005C4D11"/>
    <w:rsid w:val="005C6EDE"/>
    <w:rsid w:val="005D54DF"/>
    <w:rsid w:val="005D7F9E"/>
    <w:rsid w:val="005E6456"/>
    <w:rsid w:val="005F02F6"/>
    <w:rsid w:val="005F2A62"/>
    <w:rsid w:val="005F3B27"/>
    <w:rsid w:val="005F5553"/>
    <w:rsid w:val="005F72F5"/>
    <w:rsid w:val="005F7544"/>
    <w:rsid w:val="00602DDF"/>
    <w:rsid w:val="006052EB"/>
    <w:rsid w:val="00605876"/>
    <w:rsid w:val="00606273"/>
    <w:rsid w:val="00607890"/>
    <w:rsid w:val="00610270"/>
    <w:rsid w:val="00611D35"/>
    <w:rsid w:val="006124A0"/>
    <w:rsid w:val="0062560E"/>
    <w:rsid w:val="00634A9D"/>
    <w:rsid w:val="006427A5"/>
    <w:rsid w:val="00650F13"/>
    <w:rsid w:val="00653EAC"/>
    <w:rsid w:val="006557AA"/>
    <w:rsid w:val="00665208"/>
    <w:rsid w:val="00665C94"/>
    <w:rsid w:val="00667B94"/>
    <w:rsid w:val="00670E82"/>
    <w:rsid w:val="006806B9"/>
    <w:rsid w:val="00690162"/>
    <w:rsid w:val="006924BC"/>
    <w:rsid w:val="006A0C56"/>
    <w:rsid w:val="006A24D6"/>
    <w:rsid w:val="006A6635"/>
    <w:rsid w:val="006B620E"/>
    <w:rsid w:val="006C3432"/>
    <w:rsid w:val="006C780E"/>
    <w:rsid w:val="006D30DE"/>
    <w:rsid w:val="006D32E9"/>
    <w:rsid w:val="006D3930"/>
    <w:rsid w:val="006D3B08"/>
    <w:rsid w:val="006E70F6"/>
    <w:rsid w:val="007017CF"/>
    <w:rsid w:val="007026CA"/>
    <w:rsid w:val="00702765"/>
    <w:rsid w:val="007028A0"/>
    <w:rsid w:val="00705212"/>
    <w:rsid w:val="007153E8"/>
    <w:rsid w:val="00715DF1"/>
    <w:rsid w:val="00727AC5"/>
    <w:rsid w:val="00737776"/>
    <w:rsid w:val="0074101D"/>
    <w:rsid w:val="00744360"/>
    <w:rsid w:val="0075135D"/>
    <w:rsid w:val="00752C5D"/>
    <w:rsid w:val="00754226"/>
    <w:rsid w:val="007549A4"/>
    <w:rsid w:val="0075574D"/>
    <w:rsid w:val="0075656E"/>
    <w:rsid w:val="007617B4"/>
    <w:rsid w:val="00761DC1"/>
    <w:rsid w:val="007640DF"/>
    <w:rsid w:val="00767654"/>
    <w:rsid w:val="00771D6F"/>
    <w:rsid w:val="00774D53"/>
    <w:rsid w:val="0078694D"/>
    <w:rsid w:val="00792524"/>
    <w:rsid w:val="007967FF"/>
    <w:rsid w:val="007A7050"/>
    <w:rsid w:val="007A7A18"/>
    <w:rsid w:val="007B1D8E"/>
    <w:rsid w:val="007B3F08"/>
    <w:rsid w:val="007C2AC1"/>
    <w:rsid w:val="007C4EB1"/>
    <w:rsid w:val="007D0DE9"/>
    <w:rsid w:val="007D1C48"/>
    <w:rsid w:val="007D3765"/>
    <w:rsid w:val="007E5C23"/>
    <w:rsid w:val="007E68F3"/>
    <w:rsid w:val="007F2E9B"/>
    <w:rsid w:val="007F4718"/>
    <w:rsid w:val="007F5E1E"/>
    <w:rsid w:val="0080262B"/>
    <w:rsid w:val="0080317E"/>
    <w:rsid w:val="008033A1"/>
    <w:rsid w:val="00805B57"/>
    <w:rsid w:val="00810312"/>
    <w:rsid w:val="0082551A"/>
    <w:rsid w:val="00831695"/>
    <w:rsid w:val="00834896"/>
    <w:rsid w:val="00837416"/>
    <w:rsid w:val="008468F3"/>
    <w:rsid w:val="00863949"/>
    <w:rsid w:val="008678CF"/>
    <w:rsid w:val="00870751"/>
    <w:rsid w:val="008723C3"/>
    <w:rsid w:val="00873A85"/>
    <w:rsid w:val="00874BC3"/>
    <w:rsid w:val="008767CE"/>
    <w:rsid w:val="008927A0"/>
    <w:rsid w:val="0089761A"/>
    <w:rsid w:val="008A4C09"/>
    <w:rsid w:val="008A7891"/>
    <w:rsid w:val="008B14A6"/>
    <w:rsid w:val="008B1AB4"/>
    <w:rsid w:val="008B4F73"/>
    <w:rsid w:val="008C19C4"/>
    <w:rsid w:val="008C2BE8"/>
    <w:rsid w:val="008C4FF1"/>
    <w:rsid w:val="008C75B2"/>
    <w:rsid w:val="008D5DE6"/>
    <w:rsid w:val="008E2FDF"/>
    <w:rsid w:val="008F5B96"/>
    <w:rsid w:val="00900106"/>
    <w:rsid w:val="00900795"/>
    <w:rsid w:val="00902C9D"/>
    <w:rsid w:val="00912273"/>
    <w:rsid w:val="0091603A"/>
    <w:rsid w:val="0092766E"/>
    <w:rsid w:val="00932B35"/>
    <w:rsid w:val="00933922"/>
    <w:rsid w:val="00935C75"/>
    <w:rsid w:val="00964DB3"/>
    <w:rsid w:val="00967F07"/>
    <w:rsid w:val="00972CCD"/>
    <w:rsid w:val="009732C5"/>
    <w:rsid w:val="00975BA8"/>
    <w:rsid w:val="00975CA7"/>
    <w:rsid w:val="00976701"/>
    <w:rsid w:val="00976971"/>
    <w:rsid w:val="00977364"/>
    <w:rsid w:val="00980BD8"/>
    <w:rsid w:val="00990E6C"/>
    <w:rsid w:val="009A0517"/>
    <w:rsid w:val="009A4055"/>
    <w:rsid w:val="009C3FDD"/>
    <w:rsid w:val="009D06A1"/>
    <w:rsid w:val="009D1D25"/>
    <w:rsid w:val="009D2502"/>
    <w:rsid w:val="009D539F"/>
    <w:rsid w:val="009D63BC"/>
    <w:rsid w:val="009E06CC"/>
    <w:rsid w:val="009E19AA"/>
    <w:rsid w:val="009E4AA6"/>
    <w:rsid w:val="009F598B"/>
    <w:rsid w:val="009F66FE"/>
    <w:rsid w:val="009F7261"/>
    <w:rsid w:val="00A00FDB"/>
    <w:rsid w:val="00A018BA"/>
    <w:rsid w:val="00A01E0B"/>
    <w:rsid w:val="00A029E7"/>
    <w:rsid w:val="00A051FB"/>
    <w:rsid w:val="00A06583"/>
    <w:rsid w:val="00A1052C"/>
    <w:rsid w:val="00A167E1"/>
    <w:rsid w:val="00A24DE7"/>
    <w:rsid w:val="00A25A8D"/>
    <w:rsid w:val="00A30C9E"/>
    <w:rsid w:val="00A3197A"/>
    <w:rsid w:val="00A32F36"/>
    <w:rsid w:val="00A34964"/>
    <w:rsid w:val="00A37F02"/>
    <w:rsid w:val="00A547A7"/>
    <w:rsid w:val="00A572A0"/>
    <w:rsid w:val="00A6703F"/>
    <w:rsid w:val="00A836BC"/>
    <w:rsid w:val="00A8447A"/>
    <w:rsid w:val="00A85AC4"/>
    <w:rsid w:val="00A904A9"/>
    <w:rsid w:val="00A933CB"/>
    <w:rsid w:val="00A94957"/>
    <w:rsid w:val="00A95B1E"/>
    <w:rsid w:val="00A96CC9"/>
    <w:rsid w:val="00A97831"/>
    <w:rsid w:val="00AA2591"/>
    <w:rsid w:val="00AA3690"/>
    <w:rsid w:val="00AB1469"/>
    <w:rsid w:val="00AB5637"/>
    <w:rsid w:val="00AB659F"/>
    <w:rsid w:val="00AB779B"/>
    <w:rsid w:val="00AC2829"/>
    <w:rsid w:val="00AC2C23"/>
    <w:rsid w:val="00AC4855"/>
    <w:rsid w:val="00AC54A6"/>
    <w:rsid w:val="00AC5A30"/>
    <w:rsid w:val="00AC5FC2"/>
    <w:rsid w:val="00AC615B"/>
    <w:rsid w:val="00AD0CE4"/>
    <w:rsid w:val="00AE12F4"/>
    <w:rsid w:val="00AE2E69"/>
    <w:rsid w:val="00AE3A0B"/>
    <w:rsid w:val="00AE6B7A"/>
    <w:rsid w:val="00AE720D"/>
    <w:rsid w:val="00AF734A"/>
    <w:rsid w:val="00AF7BAB"/>
    <w:rsid w:val="00B010F5"/>
    <w:rsid w:val="00B04A5D"/>
    <w:rsid w:val="00B0556F"/>
    <w:rsid w:val="00B064A2"/>
    <w:rsid w:val="00B06DBF"/>
    <w:rsid w:val="00B11DFE"/>
    <w:rsid w:val="00B15601"/>
    <w:rsid w:val="00B17F8F"/>
    <w:rsid w:val="00B228FA"/>
    <w:rsid w:val="00B238F4"/>
    <w:rsid w:val="00B352AB"/>
    <w:rsid w:val="00B373FE"/>
    <w:rsid w:val="00B43C70"/>
    <w:rsid w:val="00B46D9E"/>
    <w:rsid w:val="00B5062D"/>
    <w:rsid w:val="00B53321"/>
    <w:rsid w:val="00B539B4"/>
    <w:rsid w:val="00B544F8"/>
    <w:rsid w:val="00B600A0"/>
    <w:rsid w:val="00B6448D"/>
    <w:rsid w:val="00B65933"/>
    <w:rsid w:val="00B7090D"/>
    <w:rsid w:val="00B7153C"/>
    <w:rsid w:val="00B76B5D"/>
    <w:rsid w:val="00B80A20"/>
    <w:rsid w:val="00B80B89"/>
    <w:rsid w:val="00B81DF4"/>
    <w:rsid w:val="00B822A3"/>
    <w:rsid w:val="00B82C05"/>
    <w:rsid w:val="00B84B3B"/>
    <w:rsid w:val="00BA3DC2"/>
    <w:rsid w:val="00BA7F27"/>
    <w:rsid w:val="00BB3618"/>
    <w:rsid w:val="00BB61E9"/>
    <w:rsid w:val="00BC4EB7"/>
    <w:rsid w:val="00BC6FBB"/>
    <w:rsid w:val="00BD2909"/>
    <w:rsid w:val="00BD35C4"/>
    <w:rsid w:val="00BD4AED"/>
    <w:rsid w:val="00BD73DC"/>
    <w:rsid w:val="00BE106B"/>
    <w:rsid w:val="00BE1AB8"/>
    <w:rsid w:val="00BE387A"/>
    <w:rsid w:val="00BE58F6"/>
    <w:rsid w:val="00BF214D"/>
    <w:rsid w:val="00C11C7B"/>
    <w:rsid w:val="00C16778"/>
    <w:rsid w:val="00C2040D"/>
    <w:rsid w:val="00C262C9"/>
    <w:rsid w:val="00C361AA"/>
    <w:rsid w:val="00C36612"/>
    <w:rsid w:val="00C36D78"/>
    <w:rsid w:val="00C43586"/>
    <w:rsid w:val="00C6212D"/>
    <w:rsid w:val="00C648B8"/>
    <w:rsid w:val="00C67C90"/>
    <w:rsid w:val="00C70110"/>
    <w:rsid w:val="00C74DB9"/>
    <w:rsid w:val="00C848CE"/>
    <w:rsid w:val="00C9155D"/>
    <w:rsid w:val="00C96C19"/>
    <w:rsid w:val="00C9721C"/>
    <w:rsid w:val="00C97248"/>
    <w:rsid w:val="00CA0977"/>
    <w:rsid w:val="00CA5F6B"/>
    <w:rsid w:val="00CB421E"/>
    <w:rsid w:val="00CC34CF"/>
    <w:rsid w:val="00CC53BB"/>
    <w:rsid w:val="00CD0246"/>
    <w:rsid w:val="00CD37BB"/>
    <w:rsid w:val="00CD5761"/>
    <w:rsid w:val="00CE0B76"/>
    <w:rsid w:val="00CE2B2F"/>
    <w:rsid w:val="00CE3BAE"/>
    <w:rsid w:val="00CE3CC2"/>
    <w:rsid w:val="00CF7569"/>
    <w:rsid w:val="00CF781A"/>
    <w:rsid w:val="00D01489"/>
    <w:rsid w:val="00D019A9"/>
    <w:rsid w:val="00D02BBA"/>
    <w:rsid w:val="00D040F4"/>
    <w:rsid w:val="00D11DEF"/>
    <w:rsid w:val="00D121D5"/>
    <w:rsid w:val="00D17A57"/>
    <w:rsid w:val="00D20525"/>
    <w:rsid w:val="00D22956"/>
    <w:rsid w:val="00D250C6"/>
    <w:rsid w:val="00D2618D"/>
    <w:rsid w:val="00D271F3"/>
    <w:rsid w:val="00D27571"/>
    <w:rsid w:val="00D307D7"/>
    <w:rsid w:val="00D3426D"/>
    <w:rsid w:val="00D36A69"/>
    <w:rsid w:val="00D43D4C"/>
    <w:rsid w:val="00D5059A"/>
    <w:rsid w:val="00D5118F"/>
    <w:rsid w:val="00D515DF"/>
    <w:rsid w:val="00D52692"/>
    <w:rsid w:val="00D529C5"/>
    <w:rsid w:val="00D52C3B"/>
    <w:rsid w:val="00D53225"/>
    <w:rsid w:val="00D65796"/>
    <w:rsid w:val="00D65EA8"/>
    <w:rsid w:val="00D72BC0"/>
    <w:rsid w:val="00D75B21"/>
    <w:rsid w:val="00D826DB"/>
    <w:rsid w:val="00D9077C"/>
    <w:rsid w:val="00D92FEA"/>
    <w:rsid w:val="00D958E2"/>
    <w:rsid w:val="00DB1C85"/>
    <w:rsid w:val="00DB291B"/>
    <w:rsid w:val="00DB4A11"/>
    <w:rsid w:val="00DB6E1D"/>
    <w:rsid w:val="00DB6EB9"/>
    <w:rsid w:val="00DB71F9"/>
    <w:rsid w:val="00DC1373"/>
    <w:rsid w:val="00DD461D"/>
    <w:rsid w:val="00DD75B5"/>
    <w:rsid w:val="00DE5C90"/>
    <w:rsid w:val="00DF6902"/>
    <w:rsid w:val="00DF7E2F"/>
    <w:rsid w:val="00E01C02"/>
    <w:rsid w:val="00E06C77"/>
    <w:rsid w:val="00E07C73"/>
    <w:rsid w:val="00E132EA"/>
    <w:rsid w:val="00E21946"/>
    <w:rsid w:val="00E23E04"/>
    <w:rsid w:val="00E24F85"/>
    <w:rsid w:val="00E30126"/>
    <w:rsid w:val="00E3031D"/>
    <w:rsid w:val="00E34CCA"/>
    <w:rsid w:val="00E35FA2"/>
    <w:rsid w:val="00E54244"/>
    <w:rsid w:val="00E61D18"/>
    <w:rsid w:val="00E63CE0"/>
    <w:rsid w:val="00E674AE"/>
    <w:rsid w:val="00E67F46"/>
    <w:rsid w:val="00E71803"/>
    <w:rsid w:val="00E72DBE"/>
    <w:rsid w:val="00E742FD"/>
    <w:rsid w:val="00E761AB"/>
    <w:rsid w:val="00E7626C"/>
    <w:rsid w:val="00E8446A"/>
    <w:rsid w:val="00E913B6"/>
    <w:rsid w:val="00E93A18"/>
    <w:rsid w:val="00E973F2"/>
    <w:rsid w:val="00EA0580"/>
    <w:rsid w:val="00EB416B"/>
    <w:rsid w:val="00EC0455"/>
    <w:rsid w:val="00EC06B5"/>
    <w:rsid w:val="00ED17B2"/>
    <w:rsid w:val="00ED1C62"/>
    <w:rsid w:val="00EE0926"/>
    <w:rsid w:val="00EE7BDC"/>
    <w:rsid w:val="00EF38EC"/>
    <w:rsid w:val="00EF6A3A"/>
    <w:rsid w:val="00F00380"/>
    <w:rsid w:val="00F019F8"/>
    <w:rsid w:val="00F06EC5"/>
    <w:rsid w:val="00F13A0B"/>
    <w:rsid w:val="00F14ACA"/>
    <w:rsid w:val="00F246CA"/>
    <w:rsid w:val="00F27D65"/>
    <w:rsid w:val="00F32170"/>
    <w:rsid w:val="00F3655E"/>
    <w:rsid w:val="00F40D88"/>
    <w:rsid w:val="00F411F7"/>
    <w:rsid w:val="00F41953"/>
    <w:rsid w:val="00F44D41"/>
    <w:rsid w:val="00F44F89"/>
    <w:rsid w:val="00F52F55"/>
    <w:rsid w:val="00F565F3"/>
    <w:rsid w:val="00F56643"/>
    <w:rsid w:val="00F6273E"/>
    <w:rsid w:val="00F65131"/>
    <w:rsid w:val="00F70495"/>
    <w:rsid w:val="00F7786F"/>
    <w:rsid w:val="00F822BF"/>
    <w:rsid w:val="00F83240"/>
    <w:rsid w:val="00F90B5E"/>
    <w:rsid w:val="00F9104A"/>
    <w:rsid w:val="00F91371"/>
    <w:rsid w:val="00F94FB2"/>
    <w:rsid w:val="00FA0979"/>
    <w:rsid w:val="00FA0A82"/>
    <w:rsid w:val="00FA2E82"/>
    <w:rsid w:val="00FA4675"/>
    <w:rsid w:val="00FA51FA"/>
    <w:rsid w:val="00FB21A9"/>
    <w:rsid w:val="00FB4766"/>
    <w:rsid w:val="00FC15C7"/>
    <w:rsid w:val="00FC62D1"/>
    <w:rsid w:val="00FC7345"/>
    <w:rsid w:val="00FD20B5"/>
    <w:rsid w:val="00FD49C7"/>
    <w:rsid w:val="00FD7DBB"/>
    <w:rsid w:val="00FE0A9D"/>
    <w:rsid w:val="00FE2ED4"/>
    <w:rsid w:val="00FE4355"/>
    <w:rsid w:val="00FE4A84"/>
    <w:rsid w:val="00FE5ACF"/>
    <w:rsid w:val="00FE6BE9"/>
    <w:rsid w:val="00FE752C"/>
    <w:rsid w:val="00FE771E"/>
    <w:rsid w:val="00FF004F"/>
    <w:rsid w:val="00FF19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fsa.co.za" TargetMode="External"/><Relationship Id="rId5" Type="http://schemas.openxmlformats.org/officeDocument/2006/relationships/footnotes" Target="footnotes.xml"/><Relationship Id="rId10" Type="http://schemas.openxmlformats.org/officeDocument/2006/relationships/hyperlink" Target="http://www.etfsa.co.za"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SHERRYL\ETFSA\Website\WEB%20-%20News\2020\market%20cap%202008%20to%20Sept2020.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etfsa-fs01\etfsa.co.za\SHERRYL\ETFSA\Website\WEB%20-%20News\2020\No%20of%20ETPs%20on%20JSE%20-%20end2020.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25184881205810183"/>
          <c:w val="0.86395859396080166"/>
          <c:h val="0.54915899356228681"/>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C8-4477-87B0-0E571857F051}"/>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C8-4477-87B0-0E571857F051}"/>
                </c:ext>
              </c:extLst>
            </c:dLbl>
            <c:dLbl>
              <c:idx val="8"/>
              <c:layout>
                <c:manualLayout>
                  <c:x val="5.6417476890489758E-3"/>
                  <c:y val="4.2418801884292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C8-4477-87B0-0E571857F051}"/>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C8-4477-87B0-0E571857F051}"/>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Sheet1!$B$2:$B$14</c:f>
              <c:numCache>
                <c:formatCode>General</c:formatCode>
                <c:ptCount val="13"/>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pt idx="12">
                  <c:v>111026</c:v>
                </c:pt>
              </c:numCache>
            </c:numRef>
          </c:val>
          <c:extLst>
            <c:ext xmlns:c16="http://schemas.microsoft.com/office/drawing/2014/chart" uri="{C3380CC4-5D6E-409C-BE32-E72D297353CC}">
              <c16:uniqueId val="{00000004-4AC8-4477-87B0-0E571857F051}"/>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Arial" panose="020B0604020202020204" pitchFamily="34" charset="0"/>
              </a:defRPr>
            </a:pPr>
            <a:r>
              <a:rPr lang="en-ZA" sz="1200" b="1"/>
              <a:t>Number of Exchange Traded Products in Issue on the JSE </a:t>
            </a:r>
          </a:p>
          <a:p>
            <a:pPr>
              <a:defRPr/>
            </a:pPr>
            <a:r>
              <a:rPr lang="en-ZA" sz="1000" b="1"/>
              <a:t>(Year-end) (2000-2020)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Arial" panose="020B0604020202020204" pitchFamily="34" charset="0"/>
            </a:defRPr>
          </a:pPr>
          <a:endParaRPr lang="en-US"/>
        </a:p>
      </c:txPr>
    </c:title>
    <c:autoTitleDeleted val="0"/>
    <c:plotArea>
      <c:layout>
        <c:manualLayout>
          <c:layoutTarget val="inner"/>
          <c:xMode val="edge"/>
          <c:yMode val="edge"/>
          <c:x val="8.1264216972878389E-2"/>
          <c:y val="0.25962223143159735"/>
          <c:w val="0.88818022747156611"/>
          <c:h val="0.46164866233826035"/>
        </c:manualLayout>
      </c:layout>
      <c:lineChart>
        <c:grouping val="standard"/>
        <c:varyColors val="0"/>
        <c:ser>
          <c:idx val="0"/>
          <c:order val="0"/>
          <c:tx>
            <c:strRef>
              <c:f>'[No of ETPs on JSE - end2020.xlsx]Gp2 No of ETPs'!$B$1</c:f>
              <c:strCache>
                <c:ptCount val="1"/>
                <c:pt idx="0">
                  <c:v>ETFs</c:v>
                </c:pt>
              </c:strCache>
            </c:strRef>
          </c:tx>
          <c:spPr>
            <a:ln w="28575" cap="flat">
              <a:solidFill>
                <a:srgbClr val="C00000"/>
              </a:solidFill>
              <a:round/>
            </a:ln>
            <a:effectLst/>
          </c:spPr>
          <c:marker>
            <c:symbol val="circle"/>
            <c:size val="5"/>
            <c:spPr>
              <a:solidFill>
                <a:schemeClr val="accent1"/>
              </a:solidFill>
              <a:ln w="9525">
                <a:solidFill>
                  <a:schemeClr val="accent1"/>
                </a:solidFill>
              </a:ln>
              <a:effectLst/>
            </c:spPr>
          </c:marker>
          <c:cat>
            <c:numRef>
              <c:f>'[No of ETPs on JSE - end2020.xlsx]Gp2 No of ETPs'!$A$2:$A$22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'[No of ETPs on JSE - end2020.xlsx]Gp2 No of ETPs'!$B$2:$B$22</c:f>
              <c:numCache>
                <c:formatCode>General</c:formatCode>
                <c:ptCount val="21"/>
                <c:pt idx="0">
                  <c:v>1</c:v>
                </c:pt>
                <c:pt idx="1">
                  <c:v>1</c:v>
                </c:pt>
                <c:pt idx="2">
                  <c:v>3</c:v>
                </c:pt>
                <c:pt idx="3">
                  <c:v>4</c:v>
                </c:pt>
                <c:pt idx="4">
                  <c:v>5</c:v>
                </c:pt>
                <c:pt idx="5">
                  <c:v>7</c:v>
                </c:pt>
                <c:pt idx="6">
                  <c:v>9</c:v>
                </c:pt>
                <c:pt idx="7">
                  <c:v>13</c:v>
                </c:pt>
                <c:pt idx="8">
                  <c:v>21</c:v>
                </c:pt>
                <c:pt idx="9">
                  <c:v>24</c:v>
                </c:pt>
                <c:pt idx="10">
                  <c:v>27</c:v>
                </c:pt>
                <c:pt idx="11">
                  <c:v>31</c:v>
                </c:pt>
                <c:pt idx="12">
                  <c:v>38</c:v>
                </c:pt>
                <c:pt idx="13">
                  <c:v>40</c:v>
                </c:pt>
                <c:pt idx="14">
                  <c:v>44</c:v>
                </c:pt>
                <c:pt idx="15">
                  <c:v>45</c:v>
                </c:pt>
                <c:pt idx="16">
                  <c:v>48</c:v>
                </c:pt>
                <c:pt idx="17">
                  <c:v>62</c:v>
                </c:pt>
                <c:pt idx="18">
                  <c:v>74</c:v>
                </c:pt>
                <c:pt idx="19">
                  <c:v>73</c:v>
                </c:pt>
                <c:pt idx="20">
                  <c:v>78</c:v>
                </c:pt>
              </c:numCache>
            </c:numRef>
          </c:val>
          <c:smooth val="0"/>
          <c:extLst>
            <c:ext xmlns:c16="http://schemas.microsoft.com/office/drawing/2014/chart" uri="{C3380CC4-5D6E-409C-BE32-E72D297353CC}">
              <c16:uniqueId val="{00000000-9AB7-4E61-AA18-2CFA0F1498E9}"/>
            </c:ext>
          </c:extLst>
        </c:ser>
        <c:ser>
          <c:idx val="1"/>
          <c:order val="1"/>
          <c:tx>
            <c:strRef>
              <c:f>'[No of ETPs on JSE - end2020.xlsx]Gp2 No of ETPs'!$C$1</c:f>
              <c:strCache>
                <c:ptCount val="1"/>
                <c:pt idx="0">
                  <c:v>ETNs</c:v>
                </c:pt>
              </c:strCache>
            </c:strRef>
          </c:tx>
          <c:spPr>
            <a:ln w="28575" cap="rnd">
              <a:solidFill>
                <a:schemeClr val="tx1"/>
              </a:solidFill>
              <a:round/>
            </a:ln>
            <a:effectLst/>
          </c:spPr>
          <c:marker>
            <c:symbol val="circle"/>
            <c:size val="5"/>
            <c:spPr>
              <a:solidFill>
                <a:schemeClr val="accent2"/>
              </a:solidFill>
              <a:ln w="9525">
                <a:solidFill>
                  <a:schemeClr val="accent2"/>
                </a:solidFill>
              </a:ln>
              <a:effectLst/>
            </c:spPr>
          </c:marker>
          <c:cat>
            <c:numRef>
              <c:f>'[No of ETPs on JSE - end2020.xlsx]Gp2 No of ETPs'!$A$2:$A$22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'[No of ETPs on JSE - end2020.xlsx]Gp2 No of ETPs'!$C$2:$C$22</c:f>
              <c:numCache>
                <c:formatCode>General</c:formatCode>
                <c:ptCount val="21"/>
                <c:pt idx="10">
                  <c:v>4</c:v>
                </c:pt>
                <c:pt idx="11">
                  <c:v>15</c:v>
                </c:pt>
                <c:pt idx="12">
                  <c:v>23</c:v>
                </c:pt>
                <c:pt idx="13">
                  <c:v>23</c:v>
                </c:pt>
                <c:pt idx="14">
                  <c:v>25</c:v>
                </c:pt>
                <c:pt idx="15">
                  <c:v>25</c:v>
                </c:pt>
                <c:pt idx="16">
                  <c:v>25</c:v>
                </c:pt>
                <c:pt idx="17">
                  <c:v>20</c:v>
                </c:pt>
                <c:pt idx="18">
                  <c:v>25</c:v>
                </c:pt>
                <c:pt idx="19">
                  <c:v>29</c:v>
                </c:pt>
                <c:pt idx="20">
                  <c:v>59</c:v>
                </c:pt>
              </c:numCache>
            </c:numRef>
          </c:val>
          <c:smooth val="0"/>
          <c:extLst>
            <c:ext xmlns:c16="http://schemas.microsoft.com/office/drawing/2014/chart" uri="{C3380CC4-5D6E-409C-BE32-E72D297353CC}">
              <c16:uniqueId val="{00000001-9AB7-4E61-AA18-2CFA0F1498E9}"/>
            </c:ext>
          </c:extLst>
        </c:ser>
        <c:ser>
          <c:idx val="2"/>
          <c:order val="2"/>
          <c:tx>
            <c:strRef>
              <c:f>'[No of ETPs on JSE - end2020.xlsx]Gp2 No of ETPs'!$D$1</c:f>
              <c:strCache>
                <c:ptCount val="1"/>
                <c:pt idx="0">
                  <c:v>Total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'[No of ETPs on JSE - end2020.xlsx]Gp2 No of ETPs'!$A$2:$A$22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'[No of ETPs on JSE - end2020.xlsx]Gp2 No of ETPs'!$D$2:$D$22</c:f>
              <c:numCache>
                <c:formatCode>General</c:formatCode>
                <c:ptCount val="21"/>
                <c:pt idx="0">
                  <c:v>1</c:v>
                </c:pt>
                <c:pt idx="1">
                  <c:v>1</c:v>
                </c:pt>
                <c:pt idx="2">
                  <c:v>3</c:v>
                </c:pt>
                <c:pt idx="3">
                  <c:v>4</c:v>
                </c:pt>
                <c:pt idx="4">
                  <c:v>5</c:v>
                </c:pt>
                <c:pt idx="5">
                  <c:v>7</c:v>
                </c:pt>
                <c:pt idx="6">
                  <c:v>9</c:v>
                </c:pt>
                <c:pt idx="7">
                  <c:v>13</c:v>
                </c:pt>
                <c:pt idx="8">
                  <c:v>21</c:v>
                </c:pt>
                <c:pt idx="9">
                  <c:v>24</c:v>
                </c:pt>
                <c:pt idx="10">
                  <c:v>31</c:v>
                </c:pt>
                <c:pt idx="11">
                  <c:v>46</c:v>
                </c:pt>
                <c:pt idx="12">
                  <c:v>61</c:v>
                </c:pt>
                <c:pt idx="13">
                  <c:v>73</c:v>
                </c:pt>
                <c:pt idx="14">
                  <c:v>69</c:v>
                </c:pt>
                <c:pt idx="15">
                  <c:v>70</c:v>
                </c:pt>
                <c:pt idx="16">
                  <c:v>73</c:v>
                </c:pt>
                <c:pt idx="17">
                  <c:v>82</c:v>
                </c:pt>
                <c:pt idx="18">
                  <c:v>99</c:v>
                </c:pt>
                <c:pt idx="19">
                  <c:v>102</c:v>
                </c:pt>
                <c:pt idx="20">
                  <c:v>137</c:v>
                </c:pt>
              </c:numCache>
            </c:numRef>
          </c:val>
          <c:smooth val="0"/>
          <c:extLst>
            <c:ext xmlns:c16="http://schemas.microsoft.com/office/drawing/2014/chart" uri="{C3380CC4-5D6E-409C-BE32-E72D297353CC}">
              <c16:uniqueId val="{00000002-9AB7-4E61-AA18-2CFA0F1498E9}"/>
            </c:ext>
          </c:extLst>
        </c:ser>
        <c:dLbls>
          <c:showLegendKey val="0"/>
          <c:showVal val="0"/>
          <c:showCatName val="0"/>
          <c:showSerName val="0"/>
          <c:showPercent val="0"/>
          <c:showBubbleSize val="0"/>
        </c:dLbls>
        <c:marker val="1"/>
        <c:smooth val="0"/>
        <c:axId val="1781753679"/>
        <c:axId val="1776527663"/>
      </c:lineChart>
      <c:catAx>
        <c:axId val="1781753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Arial" panose="020B0604020202020204" pitchFamily="34" charset="0"/>
              </a:defRPr>
            </a:pPr>
            <a:endParaRPr lang="en-US"/>
          </a:p>
        </c:txPr>
        <c:crossAx val="1776527663"/>
        <c:crosses val="autoZero"/>
        <c:auto val="1"/>
        <c:lblAlgn val="ctr"/>
        <c:lblOffset val="100"/>
        <c:noMultiLvlLbl val="0"/>
      </c:catAx>
      <c:valAx>
        <c:axId val="1776527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Arial" panose="020B0604020202020204" pitchFamily="34" charset="0"/>
              </a:defRPr>
            </a:pPr>
            <a:endParaRPr lang="en-US"/>
          </a:p>
        </c:txPr>
        <c:crossAx val="1781753679"/>
        <c:crosses val="autoZero"/>
        <c:crossBetween val="between"/>
      </c:valAx>
      <c:spPr>
        <a:noFill/>
        <a:ln>
          <a:noFill/>
        </a:ln>
        <a:effectLst/>
      </c:spPr>
    </c:plotArea>
    <c:legend>
      <c:legendPos val="b"/>
      <c:layout>
        <c:manualLayout>
          <c:xMode val="edge"/>
          <c:yMode val="edge"/>
          <c:x val="0.27607742782152234"/>
          <c:y val="0.86134477981918922"/>
          <c:w val="0.45340048118985121"/>
          <c:h val="7.33311611910580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0.22801</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925687" y="26990"/>
          <a:ext cx="2448810" cy="639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 </a:t>
          </a:r>
        </a:p>
        <a:p xmlns:a="http://schemas.openxmlformats.org/drawingml/2006/main">
          <a:pPr algn="ctr"/>
          <a:r>
            <a:rPr lang="en-ZA" sz="1000" b="1">
              <a:latin typeface="Verdana" panose="020B0604030504040204" pitchFamily="34" charset="0"/>
              <a:ea typeface="Verdana" panose="020B0604030504040204" pitchFamily="34" charset="0"/>
              <a:cs typeface="Verdana" panose="020B0604030504040204" pitchFamily="34" charset="0"/>
            </a:rPr>
            <a:t>(at year end)</a:t>
          </a:r>
        </a:p>
      </cdr:txBody>
    </cdr:sp>
  </cdr:relSizeAnchor>
  <cdr:relSizeAnchor xmlns:cdr="http://schemas.openxmlformats.org/drawingml/2006/chartDrawing">
    <cdr:from>
      <cdr:x>0</cdr:x>
      <cdr:y>0.14309</cdr:y>
    </cdr:from>
    <cdr:to>
      <cdr:x>0.17944</cdr:x>
      <cdr:y>0.23853</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0" y="418406"/>
          <a:ext cx="807866" cy="27908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0.49221</cdr:x>
      <cdr:y>0.90668</cdr:y>
    </cdr:from>
    <cdr:to>
      <cdr:x>0.67165</cdr:x>
      <cdr:y>0.99152</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508219" y="2714616"/>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0.02243</cdr:x>
      <cdr:y>0.91516</cdr:y>
    </cdr:from>
    <cdr:to>
      <cdr:x>0.20187</cdr:x>
      <cdr:y>1</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114300" y="2740012"/>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a:t>
          </a:r>
          <a:endParaRPr lang="en-ZA" sz="900" i="1"/>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0.91212</cdr:y>
    </cdr:from>
    <cdr:to>
      <cdr:x>0.1747</cdr:x>
      <cdr:y>1</cdr:y>
    </cdr:to>
    <cdr:sp macro="" textlink="">
      <cdr:nvSpPr>
        <cdr:cNvPr id="2" name="TextBox 1">
          <a:extLst xmlns:a="http://schemas.openxmlformats.org/drawingml/2006/main">
            <a:ext uri="{FF2B5EF4-FFF2-40B4-BE49-F238E27FC236}">
              <a16:creationId xmlns:a16="http://schemas.microsoft.com/office/drawing/2014/main" id="{75F786ED-BD55-4A55-8970-7A6889F430E0}"/>
            </a:ext>
          </a:extLst>
        </cdr:cNvPr>
        <cdr:cNvSpPr txBox="1"/>
      </cdr:nvSpPr>
      <cdr:spPr>
        <a:xfrm xmlns:a="http://schemas.openxmlformats.org/drawingml/2006/main">
          <a:off x="0" y="2502116"/>
          <a:ext cx="798750" cy="24108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800" i="1">
              <a:latin typeface="Verdana" panose="020B0604030504040204" pitchFamily="34" charset="0"/>
              <a:ea typeface="Verdana" panose="020B0604030504040204" pitchFamily="34" charset="0"/>
              <a:cs typeface="Arial" panose="020B0604020202020204" pitchFamily="34" charset="0"/>
            </a:rPr>
            <a:t>Source:</a:t>
          </a:r>
          <a:r>
            <a:rPr lang="en-ZA" sz="800" i="1" baseline="0">
              <a:latin typeface="Verdana" panose="020B0604030504040204" pitchFamily="34" charset="0"/>
              <a:ea typeface="Verdana" panose="020B0604030504040204" pitchFamily="34" charset="0"/>
              <a:cs typeface="Arial" panose="020B0604020202020204" pitchFamily="34" charset="0"/>
            </a:rPr>
            <a:t> etfSA.co.za/Profile Data</a:t>
          </a:r>
          <a:endParaRPr lang="en-ZA" sz="800" i="1">
            <a:latin typeface="Verdana" panose="020B0604030504040204" pitchFamily="34" charset="0"/>
            <a:ea typeface="Verdana" panose="020B0604030504040204" pitchFamily="34" charset="0"/>
            <a:cs typeface="Arial" panose="020B0604020202020204" pitchFamily="34" charset="0"/>
          </a:endParaRPr>
        </a:p>
      </cdr:txBody>
    </cdr:sp>
  </cdr:relSizeAnchor>
  <cdr:relSizeAnchor xmlns:cdr="http://schemas.openxmlformats.org/drawingml/2006/chartDrawing">
    <cdr:from>
      <cdr:x>0.87042</cdr:x>
      <cdr:y>0.25263</cdr:y>
    </cdr:from>
    <cdr:to>
      <cdr:x>0.96042</cdr:x>
      <cdr:y>0.36096</cdr:y>
    </cdr:to>
    <cdr:sp macro="" textlink="">
      <cdr:nvSpPr>
        <cdr:cNvPr id="3" name="TextBox 2">
          <a:extLst xmlns:a="http://schemas.openxmlformats.org/drawingml/2006/main">
            <a:ext uri="{FF2B5EF4-FFF2-40B4-BE49-F238E27FC236}">
              <a16:creationId xmlns:a16="http://schemas.microsoft.com/office/drawing/2014/main" id="{3125744C-F258-422B-B3A8-D5888F6E7E62}"/>
            </a:ext>
          </a:extLst>
        </cdr:cNvPr>
        <cdr:cNvSpPr txBox="1"/>
      </cdr:nvSpPr>
      <cdr:spPr>
        <a:xfrm xmlns:a="http://schemas.openxmlformats.org/drawingml/2006/main">
          <a:off x="3979545" y="685809"/>
          <a:ext cx="411480" cy="294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000" b="1">
              <a:latin typeface="Verdana" panose="020B0604030504040204" pitchFamily="34" charset="0"/>
              <a:ea typeface="Verdana" panose="020B0604030504040204" pitchFamily="34" charset="0"/>
              <a:cs typeface="Arial" panose="020B0604020202020204" pitchFamily="34" charset="0"/>
            </a:rPr>
            <a:t>137</a:t>
          </a:r>
        </a:p>
      </cdr:txBody>
    </cdr:sp>
  </cdr:relSizeAnchor>
  <cdr:relSizeAnchor xmlns:cdr="http://schemas.openxmlformats.org/drawingml/2006/chartDrawing">
    <cdr:from>
      <cdr:x>0.91</cdr:x>
      <cdr:y>0.402</cdr:y>
    </cdr:from>
    <cdr:to>
      <cdr:x>1</cdr:x>
      <cdr:y>0.51033</cdr:y>
    </cdr:to>
    <cdr:sp macro="" textlink="">
      <cdr:nvSpPr>
        <cdr:cNvPr id="4" name="TextBox 1">
          <a:extLst xmlns:a="http://schemas.openxmlformats.org/drawingml/2006/main">
            <a:ext uri="{FF2B5EF4-FFF2-40B4-BE49-F238E27FC236}">
              <a16:creationId xmlns:a16="http://schemas.microsoft.com/office/drawing/2014/main" id="{4344830C-28D9-419A-AF67-3460BD0412F6}"/>
            </a:ext>
          </a:extLst>
        </cdr:cNvPr>
        <cdr:cNvSpPr txBox="1"/>
      </cdr:nvSpPr>
      <cdr:spPr>
        <a:xfrm xmlns:a="http://schemas.openxmlformats.org/drawingml/2006/main">
          <a:off x="4160520" y="1091275"/>
          <a:ext cx="411480" cy="2940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000" b="1">
              <a:latin typeface="Verdana" panose="020B0604030504040204" pitchFamily="34" charset="0"/>
              <a:ea typeface="Verdana" panose="020B0604030504040204" pitchFamily="34" charset="0"/>
              <a:cs typeface="Arial" panose="020B0604020202020204" pitchFamily="34" charset="0"/>
            </a:rPr>
            <a:t>78</a:t>
          </a:r>
        </a:p>
      </cdr:txBody>
    </cdr:sp>
  </cdr:relSizeAnchor>
  <cdr:relSizeAnchor xmlns:cdr="http://schemas.openxmlformats.org/drawingml/2006/chartDrawing">
    <cdr:from>
      <cdr:x>0.91</cdr:x>
      <cdr:y>0.56793</cdr:y>
    </cdr:from>
    <cdr:to>
      <cdr:x>1</cdr:x>
      <cdr:y>0.67627</cdr:y>
    </cdr:to>
    <cdr:sp macro="" textlink="">
      <cdr:nvSpPr>
        <cdr:cNvPr id="5" name="TextBox 1">
          <a:extLst xmlns:a="http://schemas.openxmlformats.org/drawingml/2006/main">
            <a:ext uri="{FF2B5EF4-FFF2-40B4-BE49-F238E27FC236}">
              <a16:creationId xmlns:a16="http://schemas.microsoft.com/office/drawing/2014/main" id="{4344830C-28D9-419A-AF67-3460BD0412F6}"/>
            </a:ext>
          </a:extLst>
        </cdr:cNvPr>
        <cdr:cNvSpPr txBox="1"/>
      </cdr:nvSpPr>
      <cdr:spPr>
        <a:xfrm xmlns:a="http://schemas.openxmlformats.org/drawingml/2006/main">
          <a:off x="4160520" y="1541716"/>
          <a:ext cx="411480" cy="29410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000" b="1">
              <a:latin typeface="Verdana" panose="020B0604030504040204" pitchFamily="34" charset="0"/>
              <a:ea typeface="Verdana" panose="020B0604030504040204" pitchFamily="34" charset="0"/>
              <a:cs typeface="Arial" panose="020B0604020202020204" pitchFamily="34" charset="0"/>
            </a:rPr>
            <a:t>59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14</cp:revision>
  <cp:lastPrinted>2021-01-13T11:36:00Z</cp:lastPrinted>
  <dcterms:created xsi:type="dcterms:W3CDTF">2021-01-13T06:20:00Z</dcterms:created>
  <dcterms:modified xsi:type="dcterms:W3CDTF">2021-01-13T12:39:00Z</dcterms:modified>
</cp:coreProperties>
</file>