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77F2" w14:textId="77777777" w:rsidR="00D74446" w:rsidRDefault="00D74446" w:rsidP="00A974C3">
      <w:pPr>
        <w:rPr>
          <w:rFonts w:ascii="Ninety One Visuelt Display Ligh" w:eastAsia="NinetyOneVisuelt-Light" w:hAnsi="Ninety One Visuelt Display Ligh" w:cs="NinetyOneVisuelt-Light"/>
          <w:color w:val="009D80"/>
          <w:sz w:val="64"/>
          <w:szCs w:val="80"/>
          <w:lang w:eastAsia="en-GB" w:bidi="en-GB"/>
        </w:rPr>
      </w:pPr>
      <w:bookmarkStart w:id="0" w:name="_Hlk88480566"/>
      <w:bookmarkStart w:id="1" w:name="_Hlk88560173"/>
    </w:p>
    <w:p w14:paraId="2793CA5D" w14:textId="411BD6AD" w:rsidR="00A974C3" w:rsidRPr="00A974C3" w:rsidRDefault="00A974C3" w:rsidP="00A974C3">
      <w:pPr>
        <w:rPr>
          <w:rFonts w:ascii="Ninety One Visuelt" w:hAnsi="Ninety One Visuelt"/>
          <w:b/>
          <w:bCs/>
          <w:u w:val="single"/>
        </w:rPr>
      </w:pPr>
      <w:bookmarkStart w:id="2" w:name="_Hlk88488897"/>
      <w:r w:rsidRPr="00A974C3">
        <w:rPr>
          <w:rFonts w:ascii="Ninety One Visuelt Display Ligh" w:eastAsia="NinetyOneVisuelt-Light" w:hAnsi="Ninety One Visuelt Display Ligh" w:cs="NinetyOneVisuelt-Light"/>
          <w:color w:val="009D80"/>
          <w:sz w:val="64"/>
          <w:szCs w:val="80"/>
          <w:lang w:eastAsia="en-GB" w:bidi="en-GB"/>
        </w:rPr>
        <w:t>Ninety One’s 2022 Investment Outlooks: The challenges of</w:t>
      </w:r>
      <w:r>
        <w:t xml:space="preserve"> </w:t>
      </w:r>
      <w:r w:rsidRPr="00A974C3">
        <w:rPr>
          <w:rFonts w:ascii="Ninety One Visuelt Display Ligh" w:eastAsia="NinetyOneVisuelt-Light" w:hAnsi="Ninety One Visuelt Display Ligh" w:cs="NinetyOneVisuelt-Light"/>
          <w:color w:val="009D80"/>
          <w:sz w:val="64"/>
          <w:szCs w:val="80"/>
          <w:lang w:eastAsia="en-GB" w:bidi="en-GB"/>
        </w:rPr>
        <w:t>normalisation</w:t>
      </w:r>
    </w:p>
    <w:bookmarkEnd w:id="2"/>
    <w:p w14:paraId="7C0EBC58" w14:textId="33BBF4C0" w:rsidR="008E5BE3" w:rsidRPr="00A974C3" w:rsidRDefault="00896887" w:rsidP="008E5BE3">
      <w:pPr>
        <w:rPr>
          <w:rFonts w:ascii="Ninety One Visuelt Display Ligh" w:eastAsia="NinetyOneVisuelt-Light" w:hAnsi="Ninety One Visuelt Display Ligh" w:cs="NinetyOneVisuelt-Light"/>
          <w:color w:val="009D80"/>
          <w:sz w:val="28"/>
          <w:lang w:eastAsia="en-GB" w:bidi="en-GB"/>
        </w:rPr>
      </w:pPr>
      <w:r w:rsidRPr="00A974C3">
        <w:rPr>
          <w:rFonts w:ascii="Ninety One Visuelt Display Ligh" w:eastAsia="NinetyOneVisuelt-Light" w:hAnsi="Ninety One Visuelt Display Ligh" w:cs="NinetyOneVisuelt-Light"/>
          <w:color w:val="009D80"/>
          <w:sz w:val="28"/>
          <w:lang w:eastAsia="en-GB" w:bidi="en-GB"/>
        </w:rPr>
        <w:t>While the transition to normalised monetary policy creates uncertainty for the macroeconomic outlook, continued vaccine roll-outs are expected to help underpin growth in 2022.  With this backdrop, where can investors turn to during the year ahead to find returns and invest for a better tomorrow?</w:t>
      </w:r>
      <w:r w:rsidR="007C7103" w:rsidRPr="00A974C3">
        <w:rPr>
          <w:rFonts w:ascii="Ninety One Visuelt Display Ligh" w:eastAsia="NinetyOneVisuelt-Light" w:hAnsi="Ninety One Visuelt Display Ligh" w:cs="NinetyOneVisuelt-Light"/>
          <w:color w:val="009D80"/>
          <w:sz w:val="28"/>
          <w:lang w:eastAsia="en-GB" w:bidi="en-GB"/>
        </w:rPr>
        <w:t xml:space="preserve">  </w:t>
      </w:r>
    </w:p>
    <w:p w14:paraId="624E1EBA" w14:textId="50425B7A" w:rsidR="008E5BE3" w:rsidRDefault="007C7103" w:rsidP="008E5BE3">
      <w:pPr>
        <w:rPr>
          <w:rFonts w:ascii="Ninety One Visuelt" w:hAnsi="Ninety One Visuelt"/>
          <w:color w:val="000000"/>
        </w:rPr>
      </w:pPr>
      <w:r w:rsidRPr="00A974C3">
        <w:rPr>
          <w:rFonts w:ascii="Ninety One Visuelt Display Ligh" w:eastAsia="NinetyOneVisuelt-Light" w:hAnsi="Ninety One Visuelt Display Ligh" w:cs="NinetyOneVisuelt-Light"/>
          <w:color w:val="009D80"/>
          <w:sz w:val="28"/>
          <w:lang w:eastAsia="en-GB" w:bidi="en-GB"/>
        </w:rPr>
        <w:t xml:space="preserve">Hendrik du Toit, Founder and Chief Executive, as well as </w:t>
      </w:r>
      <w:r w:rsidR="00697CB1" w:rsidRPr="00A974C3">
        <w:rPr>
          <w:rFonts w:ascii="Ninety One Visuelt Display Ligh" w:eastAsia="NinetyOneVisuelt-Light" w:hAnsi="Ninety One Visuelt Display Ligh" w:cs="NinetyOneVisuelt-Light"/>
          <w:color w:val="009D80"/>
          <w:sz w:val="28"/>
          <w:lang w:eastAsia="en-GB" w:bidi="en-GB"/>
        </w:rPr>
        <w:t>several</w:t>
      </w:r>
      <w:r w:rsidRPr="00A974C3">
        <w:rPr>
          <w:rFonts w:ascii="Ninety One Visuelt Display Ligh" w:eastAsia="NinetyOneVisuelt-Light" w:hAnsi="Ninety One Visuelt Display Ligh" w:cs="NinetyOneVisuelt-Light"/>
          <w:color w:val="009D80"/>
          <w:sz w:val="28"/>
          <w:lang w:eastAsia="en-GB" w:bidi="en-GB"/>
        </w:rPr>
        <w:t xml:space="preserve"> </w:t>
      </w:r>
      <w:r w:rsidR="00C552ED">
        <w:rPr>
          <w:rFonts w:ascii="Ninety One Visuelt Display Ligh" w:eastAsia="NinetyOneVisuelt-Light" w:hAnsi="Ninety One Visuelt Display Ligh" w:cs="NinetyOneVisuelt-Light"/>
          <w:color w:val="009D80"/>
          <w:sz w:val="28"/>
          <w:lang w:eastAsia="en-GB" w:bidi="en-GB"/>
        </w:rPr>
        <w:t xml:space="preserve">of </w:t>
      </w:r>
      <w:r w:rsidR="00F553A9">
        <w:rPr>
          <w:rFonts w:ascii="Ninety One Visuelt Display Ligh" w:eastAsia="NinetyOneVisuelt-Light" w:hAnsi="Ninety One Visuelt Display Ligh" w:cs="NinetyOneVisuelt-Light"/>
          <w:color w:val="009D80"/>
          <w:sz w:val="28"/>
          <w:lang w:eastAsia="en-GB" w:bidi="en-GB"/>
        </w:rPr>
        <w:t xml:space="preserve">Ninety One’s </w:t>
      </w:r>
      <w:r w:rsidRPr="00A974C3">
        <w:rPr>
          <w:rFonts w:ascii="Ninety One Visuelt Display Ligh" w:eastAsia="NinetyOneVisuelt-Light" w:hAnsi="Ninety One Visuelt Display Ligh" w:cs="NinetyOneVisuelt-Light"/>
          <w:color w:val="009D80"/>
          <w:sz w:val="28"/>
          <w:lang w:eastAsia="en-GB" w:bidi="en-GB"/>
        </w:rPr>
        <w:t>portfolio managers discuss their outlooks for</w:t>
      </w:r>
      <w:r>
        <w:rPr>
          <w:rFonts w:ascii="Ninety One Visuelt" w:hAnsi="Ninety One Visuelt"/>
          <w:color w:val="000000"/>
        </w:rPr>
        <w:t xml:space="preserve"> </w:t>
      </w:r>
      <w:r w:rsidRPr="00A974C3">
        <w:rPr>
          <w:rFonts w:ascii="Ninety One Visuelt Display Ligh" w:eastAsia="NinetyOneVisuelt-Light" w:hAnsi="Ninety One Visuelt Display Ligh" w:cs="NinetyOneVisuelt-Light"/>
          <w:color w:val="009D80"/>
          <w:sz w:val="28"/>
          <w:lang w:eastAsia="en-GB" w:bidi="en-GB"/>
        </w:rPr>
        <w:t>2022</w:t>
      </w:r>
      <w:bookmarkEnd w:id="0"/>
      <w:r>
        <w:rPr>
          <w:rFonts w:ascii="Ninety One Visuelt" w:hAnsi="Ninety One Visuelt"/>
          <w:color w:val="000000"/>
        </w:rPr>
        <w:t>.</w:t>
      </w:r>
    </w:p>
    <w:p w14:paraId="252344F0" w14:textId="456C8567" w:rsidR="00A974C3" w:rsidRDefault="00D74446" w:rsidP="008E5BE3">
      <w:pPr>
        <w:rPr>
          <w:rFonts w:ascii="Ninety One Visuelt" w:hAnsi="Ninety One Visuelt"/>
          <w:color w:val="000000"/>
        </w:rPr>
      </w:pPr>
      <w:r>
        <w:rPr>
          <w:rFonts w:ascii="Ninety One Visuelt" w:hAnsi="Ninety One Visuelt"/>
          <w:color w:val="000000"/>
        </w:rPr>
        <w:t>23 November 2021</w:t>
      </w:r>
    </w:p>
    <w:p w14:paraId="6F469443" w14:textId="489F4CB8" w:rsidR="00D119FA" w:rsidRPr="0088478C" w:rsidRDefault="00D119FA" w:rsidP="00D119FA">
      <w:pPr>
        <w:pStyle w:val="ListParagraph"/>
        <w:numPr>
          <w:ilvl w:val="0"/>
          <w:numId w:val="13"/>
        </w:numPr>
        <w:spacing w:after="0" w:line="240" w:lineRule="auto"/>
        <w:rPr>
          <w:rFonts w:ascii="Ninety One Visuelt" w:hAnsi="Ninety One Visuelt"/>
          <w:b/>
          <w:bCs/>
          <w:color w:val="595959" w:themeColor="text1" w:themeTint="A6"/>
          <w:sz w:val="19"/>
          <w:szCs w:val="19"/>
        </w:rPr>
      </w:pPr>
      <w:r w:rsidRPr="0088478C">
        <w:rPr>
          <w:rFonts w:ascii="Ninety One Visuelt" w:hAnsi="Ninety One Visuelt"/>
          <w:b/>
          <w:bCs/>
          <w:color w:val="595959" w:themeColor="text1" w:themeTint="A6"/>
          <w:sz w:val="19"/>
          <w:szCs w:val="19"/>
        </w:rPr>
        <w:t xml:space="preserve">Hendrik du Toit, Founder and Chief Executive </w:t>
      </w:r>
    </w:p>
    <w:p w14:paraId="224F0EE7" w14:textId="6ADEA231" w:rsidR="00D119FA" w:rsidRPr="0088478C" w:rsidRDefault="00D119FA" w:rsidP="00D119FA">
      <w:pPr>
        <w:pStyle w:val="ListParagraph"/>
        <w:numPr>
          <w:ilvl w:val="0"/>
          <w:numId w:val="13"/>
        </w:numPr>
        <w:spacing w:after="0" w:line="240" w:lineRule="auto"/>
        <w:rPr>
          <w:rFonts w:ascii="Ninety One Visuelt" w:hAnsi="Ninety One Visuelt"/>
          <w:b/>
          <w:bCs/>
          <w:color w:val="595959" w:themeColor="text1" w:themeTint="A6"/>
          <w:sz w:val="19"/>
          <w:szCs w:val="19"/>
        </w:rPr>
      </w:pPr>
      <w:r w:rsidRPr="0088478C">
        <w:rPr>
          <w:rFonts w:ascii="Ninety One Visuelt" w:hAnsi="Ninety One Visuelt"/>
          <w:b/>
          <w:bCs/>
          <w:color w:val="595959" w:themeColor="text1" w:themeTint="A6"/>
          <w:sz w:val="19"/>
          <w:szCs w:val="19"/>
        </w:rPr>
        <w:t>Simon Brazier, Co-Head of Quality and Portfolio Manager, UK Alpha Fund</w:t>
      </w:r>
    </w:p>
    <w:p w14:paraId="7A01343F" w14:textId="5A1750F4" w:rsidR="00D119FA" w:rsidRPr="0088478C" w:rsidRDefault="00D119FA" w:rsidP="00D119FA">
      <w:pPr>
        <w:pStyle w:val="ListParagraph"/>
        <w:numPr>
          <w:ilvl w:val="0"/>
          <w:numId w:val="13"/>
        </w:numPr>
        <w:spacing w:after="0" w:line="240" w:lineRule="auto"/>
        <w:rPr>
          <w:rFonts w:ascii="Ninety One Visuelt" w:hAnsi="Ninety One Visuelt"/>
          <w:b/>
          <w:bCs/>
          <w:color w:val="595959" w:themeColor="text1" w:themeTint="A6"/>
          <w:sz w:val="19"/>
          <w:szCs w:val="19"/>
        </w:rPr>
      </w:pPr>
      <w:r w:rsidRPr="0088478C">
        <w:rPr>
          <w:rFonts w:ascii="Ninety One Visuelt" w:hAnsi="Ninety One Visuelt"/>
          <w:b/>
          <w:bCs/>
          <w:color w:val="595959" w:themeColor="text1" w:themeTint="A6"/>
          <w:sz w:val="19"/>
          <w:szCs w:val="19"/>
        </w:rPr>
        <w:t>Deirdre Cooper, Co-Head of Thematic Equity and Co Portfolio Manager, Global Environment Fund</w:t>
      </w:r>
    </w:p>
    <w:p w14:paraId="4B8975E9" w14:textId="61DEC1BB" w:rsidR="00D119FA" w:rsidRPr="0088478C" w:rsidRDefault="00D119FA" w:rsidP="00D119FA">
      <w:pPr>
        <w:pStyle w:val="ListParagraph"/>
        <w:numPr>
          <w:ilvl w:val="0"/>
          <w:numId w:val="13"/>
        </w:numPr>
        <w:spacing w:after="0" w:line="240" w:lineRule="auto"/>
        <w:rPr>
          <w:rFonts w:ascii="Ninety One Visuelt" w:hAnsi="Ninety One Visuelt"/>
          <w:b/>
          <w:bCs/>
          <w:color w:val="595959" w:themeColor="text1" w:themeTint="A6"/>
          <w:sz w:val="19"/>
          <w:szCs w:val="19"/>
        </w:rPr>
      </w:pPr>
      <w:r w:rsidRPr="0088478C">
        <w:rPr>
          <w:rFonts w:ascii="Ninety One Visuelt" w:hAnsi="Ninety One Visuelt"/>
          <w:b/>
          <w:bCs/>
          <w:color w:val="595959" w:themeColor="text1" w:themeTint="A6"/>
          <w:sz w:val="19"/>
          <w:szCs w:val="19"/>
        </w:rPr>
        <w:t>John Stopford, Head of Multi Asset Income</w:t>
      </w:r>
      <w:r w:rsidR="0088478C" w:rsidRPr="0088478C">
        <w:rPr>
          <w:rFonts w:ascii="Ninety One Visuelt" w:hAnsi="Ninety One Visuelt"/>
          <w:b/>
          <w:bCs/>
          <w:color w:val="595959" w:themeColor="text1" w:themeTint="A6"/>
          <w:sz w:val="19"/>
          <w:szCs w:val="19"/>
        </w:rPr>
        <w:t xml:space="preserve"> and Co Portfolio Manager, Diversified Income and Global Income Opportunities Funds</w:t>
      </w:r>
    </w:p>
    <w:p w14:paraId="3B2D5104" w14:textId="5B8D8979" w:rsidR="00D119FA" w:rsidRPr="0088478C" w:rsidRDefault="00D119FA" w:rsidP="008E5BE3">
      <w:pPr>
        <w:pStyle w:val="ListParagraph"/>
        <w:numPr>
          <w:ilvl w:val="0"/>
          <w:numId w:val="13"/>
        </w:numPr>
        <w:spacing w:after="0" w:line="240" w:lineRule="auto"/>
        <w:rPr>
          <w:rFonts w:ascii="Ninety One Visuelt" w:hAnsi="Ninety One Visuelt"/>
          <w:color w:val="000000"/>
          <w:sz w:val="19"/>
          <w:szCs w:val="19"/>
        </w:rPr>
      </w:pPr>
      <w:r w:rsidRPr="0088478C">
        <w:rPr>
          <w:rFonts w:ascii="Ninety One Visuelt" w:hAnsi="Ninety One Visuelt"/>
          <w:b/>
          <w:bCs/>
          <w:color w:val="595959" w:themeColor="text1" w:themeTint="A6"/>
          <w:sz w:val="19"/>
          <w:szCs w:val="19"/>
        </w:rPr>
        <w:t>Jeff Boswell, Head of Alternative Credit</w:t>
      </w:r>
      <w:r w:rsidR="0088478C" w:rsidRPr="0088478C">
        <w:rPr>
          <w:rFonts w:ascii="Ninety One Visuelt" w:hAnsi="Ninety One Visuelt"/>
          <w:b/>
          <w:bCs/>
          <w:color w:val="595959" w:themeColor="text1" w:themeTint="A6"/>
          <w:sz w:val="19"/>
          <w:szCs w:val="19"/>
        </w:rPr>
        <w:t xml:space="preserve"> and Co Portfolio Manager, Global Total Return Credit Fund</w:t>
      </w:r>
    </w:p>
    <w:p w14:paraId="5FDFC750" w14:textId="77777777" w:rsidR="0088478C" w:rsidRPr="0088478C" w:rsidRDefault="0088478C" w:rsidP="0088478C">
      <w:pPr>
        <w:pStyle w:val="ListParagraph"/>
        <w:spacing w:after="0" w:line="240" w:lineRule="auto"/>
        <w:rPr>
          <w:rFonts w:ascii="Ninety One Visuelt" w:hAnsi="Ninety One Visuelt"/>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40EFE" w:rsidRPr="00C40EFE" w14:paraId="7C99F57E" w14:textId="77777777" w:rsidTr="00A974C3">
        <w:tc>
          <w:tcPr>
            <w:tcW w:w="9016" w:type="dxa"/>
          </w:tcPr>
          <w:p w14:paraId="77AEBFDC" w14:textId="03ABE695" w:rsidR="009E7C1B" w:rsidRPr="00C40EFE" w:rsidRDefault="007C7103" w:rsidP="008E5BE3">
            <w:pPr>
              <w:rPr>
                <w:rFonts w:ascii="Ninety One Visuelt" w:hAnsi="Ninety One Visuelt"/>
                <w:b/>
                <w:bCs/>
                <w:color w:val="595959" w:themeColor="text1" w:themeTint="A6"/>
                <w:sz w:val="20"/>
                <w:szCs w:val="20"/>
              </w:rPr>
            </w:pPr>
            <w:bookmarkStart w:id="3" w:name="_Hlk88480635"/>
            <w:r w:rsidRPr="00C40EFE">
              <w:rPr>
                <w:rFonts w:ascii="Ninety One Visuelt" w:hAnsi="Ninety One Visuelt"/>
                <w:b/>
                <w:bCs/>
                <w:noProof/>
                <w:color w:val="595959" w:themeColor="text1" w:themeTint="A6"/>
                <w:sz w:val="20"/>
                <w:szCs w:val="20"/>
              </w:rPr>
              <w:drawing>
                <wp:inline distT="0" distB="0" distL="0" distR="0" wp14:anchorId="5E2CA89E" wp14:editId="53872BE6">
                  <wp:extent cx="1152525" cy="1152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14:paraId="74B9954D" w14:textId="77777777" w:rsidR="007C7103" w:rsidRPr="00C40EFE" w:rsidRDefault="007C7103" w:rsidP="008E5BE3">
            <w:pPr>
              <w:rPr>
                <w:rFonts w:ascii="Ninety One Visuelt" w:hAnsi="Ninety One Visuelt"/>
                <w:b/>
                <w:bCs/>
                <w:color w:val="595959" w:themeColor="text1" w:themeTint="A6"/>
                <w:sz w:val="20"/>
                <w:szCs w:val="20"/>
              </w:rPr>
            </w:pPr>
          </w:p>
          <w:p w14:paraId="39E761A6" w14:textId="06034313" w:rsidR="009E7C1B" w:rsidRPr="00C40EFE" w:rsidRDefault="009E7C1B" w:rsidP="008E5BE3">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Hendrik du Toit, Founder &amp; Chief Executive</w:t>
            </w:r>
          </w:p>
        </w:tc>
      </w:tr>
      <w:tr w:rsidR="00C40EFE" w:rsidRPr="00C40EFE" w14:paraId="17F0F0CB" w14:textId="77777777" w:rsidTr="00A974C3">
        <w:tc>
          <w:tcPr>
            <w:tcW w:w="9016" w:type="dxa"/>
          </w:tcPr>
          <w:p w14:paraId="6AA4807A" w14:textId="77777777" w:rsidR="00697CB1" w:rsidRPr="00C40EFE" w:rsidRDefault="00697CB1" w:rsidP="00896887">
            <w:pPr>
              <w:rPr>
                <w:rFonts w:ascii="Ninety One Visuelt" w:hAnsi="Ninety One Visuelt"/>
                <w:b/>
                <w:bCs/>
                <w:color w:val="595959" w:themeColor="text1" w:themeTint="A6"/>
                <w:sz w:val="20"/>
                <w:szCs w:val="20"/>
              </w:rPr>
            </w:pPr>
          </w:p>
          <w:p w14:paraId="099296CE" w14:textId="28883663" w:rsidR="00896887" w:rsidRPr="00C40EFE" w:rsidRDefault="0088478C" w:rsidP="00896887">
            <w:pPr>
              <w:rPr>
                <w:rFonts w:ascii="Ninety One Visuelt" w:hAnsi="Ninety One Visuelt"/>
                <w:b/>
                <w:bCs/>
                <w:color w:val="595959" w:themeColor="text1" w:themeTint="A6"/>
                <w:sz w:val="20"/>
                <w:szCs w:val="20"/>
              </w:rPr>
            </w:pPr>
            <w:r w:rsidRPr="0088478C">
              <w:rPr>
                <w:rFonts w:ascii="Ninety One Visuelt" w:hAnsi="Ninety One Visuelt"/>
                <w:b/>
                <w:bCs/>
                <w:color w:val="595959" w:themeColor="text1" w:themeTint="A6"/>
                <w:sz w:val="20"/>
                <w:szCs w:val="20"/>
              </w:rPr>
              <w:t>As we look ahead to 2022, Ninety One has its sights set on a date much further into the future – 2050, by when we should reach global net zero.  To have any hope of achieving this target,</w:t>
            </w:r>
            <w:r>
              <w:rPr>
                <w:rFonts w:ascii="Ninety One Visuelt" w:hAnsi="Ninety One Visuelt"/>
                <w:b/>
                <w:bCs/>
                <w:sz w:val="20"/>
                <w:szCs w:val="20"/>
              </w:rPr>
              <w:t xml:space="preserve"> </w:t>
            </w:r>
            <w:r w:rsidR="00896887" w:rsidRPr="00C40EFE">
              <w:rPr>
                <w:rFonts w:ascii="Ninety One Visuelt" w:hAnsi="Ninety One Visuelt"/>
                <w:b/>
                <w:bCs/>
                <w:color w:val="595959" w:themeColor="text1" w:themeTint="A6"/>
                <w:sz w:val="20"/>
                <w:szCs w:val="20"/>
              </w:rPr>
              <w:t>Investors must direct capital towards reducing real-world emissions, rather than focusing on short-term ‘feel-good’ carbon targets</w:t>
            </w:r>
          </w:p>
          <w:p w14:paraId="7CFA5E29" w14:textId="77777777" w:rsidR="00896887" w:rsidRPr="00C40EFE" w:rsidRDefault="00896887" w:rsidP="008E5BE3">
            <w:pPr>
              <w:rPr>
                <w:rFonts w:ascii="Ninety One Visuelt" w:hAnsi="Ninety One Visuelt"/>
                <w:color w:val="595959" w:themeColor="text1" w:themeTint="A6"/>
                <w:sz w:val="20"/>
                <w:szCs w:val="20"/>
              </w:rPr>
            </w:pPr>
          </w:p>
          <w:p w14:paraId="4E2B0398" w14:textId="77777777" w:rsidR="00896887" w:rsidRPr="00C40EFE" w:rsidRDefault="00896887" w:rsidP="008E5BE3">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What did you make of COP26?</w:t>
            </w:r>
          </w:p>
          <w:p w14:paraId="26F20D1E" w14:textId="466AB30F" w:rsidR="009E7C1B" w:rsidRPr="00C40EFE" w:rsidRDefault="00C5456F" w:rsidP="008E5BE3">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This was the first COP where the finance sector was present in force. We will only achieve a successful energy transition if finance is involved at scale. At COP26 there was also growing recognition that we need to support the emerging world’s net</w:t>
            </w:r>
            <w:r w:rsidR="007C7103" w:rsidRPr="00C40EFE">
              <w:rPr>
                <w:rFonts w:ascii="Ninety One Visuelt" w:hAnsi="Ninety One Visuelt"/>
                <w:color w:val="595959" w:themeColor="text1" w:themeTint="A6"/>
                <w:sz w:val="20"/>
                <w:szCs w:val="20"/>
              </w:rPr>
              <w:t xml:space="preserve"> </w:t>
            </w:r>
            <w:r w:rsidRPr="00C40EFE">
              <w:rPr>
                <w:rFonts w:ascii="Ninety One Visuelt" w:hAnsi="Ninety One Visuelt"/>
                <w:color w:val="595959" w:themeColor="text1" w:themeTint="A6"/>
                <w:sz w:val="20"/>
                <w:szCs w:val="20"/>
              </w:rPr>
              <w:t>zero transition, and that it will necessarily be slower. This is important because there is now an honest conversation about how we can build a realistic net</w:t>
            </w:r>
            <w:r w:rsidR="007C7103" w:rsidRPr="00C40EFE">
              <w:rPr>
                <w:rFonts w:ascii="Ninety One Visuelt" w:hAnsi="Ninety One Visuelt"/>
                <w:color w:val="595959" w:themeColor="text1" w:themeTint="A6"/>
                <w:sz w:val="20"/>
                <w:szCs w:val="20"/>
              </w:rPr>
              <w:t xml:space="preserve"> </w:t>
            </w:r>
            <w:r w:rsidRPr="00C40EFE">
              <w:rPr>
                <w:rFonts w:ascii="Ninety One Visuelt" w:hAnsi="Ninety One Visuelt"/>
                <w:color w:val="595959" w:themeColor="text1" w:themeTint="A6"/>
                <w:sz w:val="20"/>
                <w:szCs w:val="20"/>
              </w:rPr>
              <w:t>zero pathway for the whole world, including emerging markets. I came away from COP26 reasonably optimistic, but there’s a huge amount of work to do to keep global warming below 2-degrees Celsius.</w:t>
            </w:r>
          </w:p>
          <w:p w14:paraId="5BB4AE63" w14:textId="265D7B54" w:rsidR="00C5456F" w:rsidRPr="00C40EFE" w:rsidRDefault="00C5456F" w:rsidP="008E5BE3">
            <w:pPr>
              <w:rPr>
                <w:rFonts w:ascii="Ninety One Visuelt" w:hAnsi="Ninety One Visuelt"/>
                <w:b/>
                <w:bCs/>
                <w:color w:val="595959" w:themeColor="text1" w:themeTint="A6"/>
                <w:sz w:val="20"/>
                <w:szCs w:val="20"/>
              </w:rPr>
            </w:pPr>
          </w:p>
          <w:p w14:paraId="6B510294" w14:textId="4C7DD601" w:rsidR="00896887" w:rsidRPr="00C40EFE" w:rsidRDefault="00896887" w:rsidP="008E5BE3">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 xml:space="preserve">Are asset managers and owners tackling the net zero transition in the right way? </w:t>
            </w:r>
          </w:p>
          <w:p w14:paraId="506FA634" w14:textId="4EF71E1F" w:rsidR="00C5456F" w:rsidRPr="00C40EFE" w:rsidRDefault="00C5456F" w:rsidP="008E5BE3">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My concern is that the initial drive for net zero focused largely on creating low-carbon portfolios. It’s not difficult for investors – in developed countries especially – to divest from ‘dirty’ industries, most of which are based in emerging markets. But that risks starving the emerging world of the capital it needs to transition and leaving high-carbon assets in the hands of less scrupulous owners with no interest in decarbonisation. Ninety One is arguing strongly for a focus on financing real-world, sustainable emissions reductions, rather than creating low-carbon portfolios.</w:t>
            </w:r>
          </w:p>
          <w:p w14:paraId="4869F74A" w14:textId="16ED7011" w:rsidR="00C5456F" w:rsidRPr="00C40EFE" w:rsidRDefault="00C5456F" w:rsidP="008E5BE3">
            <w:pPr>
              <w:rPr>
                <w:rFonts w:ascii="Ninety One Visuelt" w:hAnsi="Ninety One Visuelt"/>
                <w:color w:val="595959" w:themeColor="text1" w:themeTint="A6"/>
                <w:sz w:val="20"/>
                <w:szCs w:val="20"/>
              </w:rPr>
            </w:pPr>
          </w:p>
          <w:p w14:paraId="2DF0FE57" w14:textId="115A11FF" w:rsidR="00896887" w:rsidRPr="00C40EFE" w:rsidRDefault="00896887" w:rsidP="008E5BE3">
            <w:pPr>
              <w:rPr>
                <w:rFonts w:ascii="Ninety One Visuelt" w:hAnsi="Ninety One Visuelt"/>
                <w:color w:val="595959" w:themeColor="text1" w:themeTint="A6"/>
                <w:sz w:val="20"/>
                <w:szCs w:val="20"/>
              </w:rPr>
            </w:pPr>
            <w:r w:rsidRPr="00C40EFE">
              <w:rPr>
                <w:rFonts w:ascii="Ninety One Visuelt" w:hAnsi="Ninety One Visuelt"/>
                <w:b/>
                <w:bCs/>
                <w:color w:val="595959" w:themeColor="text1" w:themeTint="A6"/>
                <w:sz w:val="20"/>
                <w:szCs w:val="20"/>
              </w:rPr>
              <w:t>Can you explain the difference between a low-carbon portfolio and a portfolio that supports real-world decarbonisation?</w:t>
            </w:r>
          </w:p>
          <w:p w14:paraId="48C85C69" w14:textId="2F9EBBBD" w:rsidR="00C5456F" w:rsidRPr="00C40EFE" w:rsidRDefault="00CB0134" w:rsidP="008E5BE3">
            <w:pPr>
              <w:rPr>
                <w:rFonts w:ascii="Ninety One Visuelt" w:hAnsi="Ninety One Visuelt"/>
                <w:color w:val="595959" w:themeColor="text1" w:themeTint="A6"/>
                <w:sz w:val="20"/>
                <w:szCs w:val="20"/>
              </w:rPr>
            </w:pPr>
            <w:r>
              <w:rPr>
                <w:rFonts w:ascii="Ninety One Visuelt" w:hAnsi="Ninety One Visuelt"/>
                <w:color w:val="595959" w:themeColor="text1" w:themeTint="A6"/>
                <w:sz w:val="20"/>
                <w:szCs w:val="20"/>
              </w:rPr>
              <w:t>A</w:t>
            </w:r>
            <w:r w:rsidR="00C5456F" w:rsidRPr="00C40EFE">
              <w:rPr>
                <w:rFonts w:ascii="Ninety One Visuelt" w:hAnsi="Ninety One Visuelt"/>
                <w:color w:val="595959" w:themeColor="text1" w:themeTint="A6"/>
                <w:sz w:val="20"/>
                <w:szCs w:val="20"/>
              </w:rPr>
              <w:t xml:space="preserve"> tiny number of stocks account for the bulk of emissions. In South Africa, two companies produce almost half of all emissions, namely Eskom, the electricity utility, and Sasol, the energy and chemical company. If an investor divested from a heavy emitter, they would have a lower-carbon portfolio. </w:t>
            </w:r>
            <w:r w:rsidR="007C7103" w:rsidRPr="00C40EFE">
              <w:rPr>
                <w:rFonts w:ascii="Ninety One Visuelt" w:hAnsi="Ninety One Visuelt"/>
                <w:color w:val="595959" w:themeColor="text1" w:themeTint="A6"/>
                <w:sz w:val="20"/>
                <w:szCs w:val="20"/>
              </w:rPr>
              <w:t>However, if</w:t>
            </w:r>
            <w:r w:rsidR="00C5456F" w:rsidRPr="00C40EFE">
              <w:rPr>
                <w:rFonts w:ascii="Ninety One Visuelt" w:hAnsi="Ninety One Visuelt"/>
                <w:color w:val="595959" w:themeColor="text1" w:themeTint="A6"/>
                <w:sz w:val="20"/>
                <w:szCs w:val="20"/>
              </w:rPr>
              <w:t xml:space="preserve"> that emitter is then bought by an unscrupulous investor with no interest in decarbonisation and who is simply aiming to maximise cashflows, the world is no closer to net zero. Responsible ownership will play a key role in the transition to a cleaner greener world.</w:t>
            </w:r>
          </w:p>
          <w:p w14:paraId="62EB68A4" w14:textId="15F90B5D" w:rsidR="00C5456F" w:rsidRPr="00C40EFE" w:rsidRDefault="00C5456F" w:rsidP="008E5BE3">
            <w:pPr>
              <w:rPr>
                <w:rFonts w:ascii="Ninety One Visuelt" w:hAnsi="Ninety One Visuelt"/>
                <w:color w:val="595959" w:themeColor="text1" w:themeTint="A6"/>
                <w:sz w:val="20"/>
                <w:szCs w:val="20"/>
              </w:rPr>
            </w:pPr>
          </w:p>
          <w:p w14:paraId="7480A1E3" w14:textId="725AD738" w:rsidR="00C5456F" w:rsidRPr="00C40EFE" w:rsidRDefault="00896887" w:rsidP="00C5456F">
            <w:pPr>
              <w:rPr>
                <w:rFonts w:ascii="Ninety One Visuelt" w:hAnsi="Ninety One Visuelt"/>
                <w:color w:val="595959" w:themeColor="text1" w:themeTint="A6"/>
                <w:sz w:val="20"/>
                <w:szCs w:val="20"/>
              </w:rPr>
            </w:pPr>
            <w:r w:rsidRPr="00C40EFE">
              <w:rPr>
                <w:rFonts w:ascii="Ninety One Visuelt" w:hAnsi="Ninety One Visuelt"/>
                <w:b/>
                <w:bCs/>
                <w:color w:val="595959" w:themeColor="text1" w:themeTint="A6"/>
                <w:sz w:val="20"/>
                <w:szCs w:val="20"/>
              </w:rPr>
              <w:t>What are the risks of focusing on reducing emissions at the portfolio level?</w:t>
            </w:r>
            <w:r w:rsidR="00EB57F8" w:rsidRPr="00C40EFE">
              <w:rPr>
                <w:rFonts w:ascii="Ninety One Visuelt" w:hAnsi="Ninety One Visuelt"/>
                <w:color w:val="595959" w:themeColor="text1" w:themeTint="A6"/>
                <w:sz w:val="20"/>
                <w:szCs w:val="20"/>
              </w:rPr>
              <w:t xml:space="preserve"> </w:t>
            </w:r>
            <w:r w:rsidR="00C5456F" w:rsidRPr="00C40EFE">
              <w:rPr>
                <w:rFonts w:ascii="Ninety One Visuelt" w:hAnsi="Ninety One Visuelt"/>
                <w:color w:val="595959" w:themeColor="text1" w:themeTint="A6"/>
                <w:sz w:val="20"/>
                <w:szCs w:val="20"/>
              </w:rPr>
              <w:t>The risks of focusing on reducing emissions at the portfolio level would</w:t>
            </w:r>
            <w:r w:rsidRPr="00C40EFE">
              <w:rPr>
                <w:rFonts w:ascii="Ninety One Visuelt" w:hAnsi="Ninety One Visuelt"/>
                <w:color w:val="595959" w:themeColor="text1" w:themeTint="A6"/>
                <w:sz w:val="20"/>
                <w:szCs w:val="20"/>
              </w:rPr>
              <w:t xml:space="preserve"> mean</w:t>
            </w:r>
            <w:r w:rsidR="00C5456F" w:rsidRPr="00C40EFE">
              <w:rPr>
                <w:rFonts w:ascii="Ninety One Visuelt" w:hAnsi="Ninety One Visuelt"/>
                <w:color w:val="595959" w:themeColor="text1" w:themeTint="A6"/>
                <w:sz w:val="20"/>
                <w:szCs w:val="20"/>
              </w:rPr>
              <w:t xml:space="preserve"> deny</w:t>
            </w:r>
            <w:r w:rsidRPr="00C40EFE">
              <w:rPr>
                <w:rFonts w:ascii="Ninety One Visuelt" w:hAnsi="Ninety One Visuelt"/>
                <w:color w:val="595959" w:themeColor="text1" w:themeTint="A6"/>
                <w:sz w:val="20"/>
                <w:szCs w:val="20"/>
              </w:rPr>
              <w:t>ing</w:t>
            </w:r>
            <w:r w:rsidR="00C5456F" w:rsidRPr="00C40EFE">
              <w:rPr>
                <w:rFonts w:ascii="Ninety One Visuelt" w:hAnsi="Ninety One Visuelt"/>
                <w:color w:val="595959" w:themeColor="text1" w:themeTint="A6"/>
                <w:sz w:val="20"/>
                <w:szCs w:val="20"/>
              </w:rPr>
              <w:t xml:space="preserve"> capital to countries with carbon-intensive energy systems, which primarily means emerging markets. That would create a social disaster and likely result in no net zero at all. So it is very important that we don’t leave anyone behind and that the net</w:t>
            </w:r>
            <w:r w:rsidR="007C7103" w:rsidRPr="00C40EFE">
              <w:rPr>
                <w:rFonts w:ascii="Ninety One Visuelt" w:hAnsi="Ninety One Visuelt"/>
                <w:color w:val="595959" w:themeColor="text1" w:themeTint="A6"/>
                <w:sz w:val="20"/>
                <w:szCs w:val="20"/>
              </w:rPr>
              <w:t xml:space="preserve"> </w:t>
            </w:r>
            <w:r w:rsidR="00C5456F" w:rsidRPr="00C40EFE">
              <w:rPr>
                <w:rFonts w:ascii="Ninety One Visuelt" w:hAnsi="Ninety One Visuelt"/>
                <w:color w:val="595959" w:themeColor="text1" w:themeTint="A6"/>
                <w:sz w:val="20"/>
                <w:szCs w:val="20"/>
              </w:rPr>
              <w:t>zero transition is inclusive. As investors, we need to be focused on achieving net zero by 2050, rather than short-term goals that do not support real-world emissions reductions.</w:t>
            </w:r>
          </w:p>
          <w:p w14:paraId="16B0A254" w14:textId="77777777" w:rsidR="00C5456F" w:rsidRPr="00C40EFE" w:rsidRDefault="00C5456F" w:rsidP="00C5456F">
            <w:pPr>
              <w:rPr>
                <w:rFonts w:ascii="Ninety One Visuelt" w:hAnsi="Ninety One Visuelt"/>
                <w:color w:val="595959" w:themeColor="text1" w:themeTint="A6"/>
                <w:sz w:val="20"/>
                <w:szCs w:val="20"/>
              </w:rPr>
            </w:pPr>
          </w:p>
          <w:p w14:paraId="74CE3574" w14:textId="4C8D6DA8" w:rsidR="00EB57F8" w:rsidRPr="00C40EFE" w:rsidRDefault="00EB57F8" w:rsidP="0014606F">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How can investors support the net</w:t>
            </w:r>
            <w:r w:rsidR="007C7103" w:rsidRPr="00C40EFE">
              <w:rPr>
                <w:rFonts w:ascii="Ninety One Visuelt" w:hAnsi="Ninety One Visuelt"/>
                <w:b/>
                <w:bCs/>
                <w:color w:val="595959" w:themeColor="text1" w:themeTint="A6"/>
                <w:sz w:val="20"/>
                <w:szCs w:val="20"/>
              </w:rPr>
              <w:t xml:space="preserve"> </w:t>
            </w:r>
            <w:r w:rsidRPr="00C40EFE">
              <w:rPr>
                <w:rFonts w:ascii="Ninety One Visuelt" w:hAnsi="Ninety One Visuelt"/>
                <w:b/>
                <w:bCs/>
                <w:color w:val="595959" w:themeColor="text1" w:themeTint="A6"/>
                <w:sz w:val="20"/>
                <w:szCs w:val="20"/>
              </w:rPr>
              <w:t>zero transition?</w:t>
            </w:r>
          </w:p>
          <w:p w14:paraId="65CA2B6D" w14:textId="1CBC3522" w:rsidR="00C5456F" w:rsidRPr="00C40EFE" w:rsidRDefault="00905D00" w:rsidP="00F553A9">
            <w:pPr>
              <w:rPr>
                <w:rFonts w:ascii="Ninety One Visuelt" w:hAnsi="Ninety One Visuelt"/>
                <w:b/>
                <w:bCs/>
                <w:color w:val="595959" w:themeColor="text1" w:themeTint="A6"/>
                <w:sz w:val="20"/>
                <w:szCs w:val="20"/>
              </w:rPr>
            </w:pPr>
            <w:r w:rsidRPr="00C40EFE">
              <w:rPr>
                <w:rFonts w:ascii="Ninety One Visuelt" w:hAnsi="Ninety One Visuelt"/>
                <w:color w:val="595959" w:themeColor="text1" w:themeTint="A6"/>
                <w:sz w:val="20"/>
                <w:szCs w:val="20"/>
              </w:rPr>
              <w:t>I</w:t>
            </w:r>
            <w:r w:rsidR="00C5456F" w:rsidRPr="00C40EFE">
              <w:rPr>
                <w:rFonts w:ascii="Ninety One Visuelt" w:hAnsi="Ninety One Visuelt"/>
                <w:color w:val="595959" w:themeColor="text1" w:themeTint="A6"/>
                <w:sz w:val="20"/>
                <w:szCs w:val="20"/>
              </w:rPr>
              <w:t>nvestors</w:t>
            </w:r>
            <w:r w:rsidRPr="00C40EFE">
              <w:rPr>
                <w:rFonts w:ascii="Ninety One Visuelt" w:hAnsi="Ninety One Visuelt"/>
                <w:color w:val="595959" w:themeColor="text1" w:themeTint="A6"/>
                <w:sz w:val="20"/>
                <w:szCs w:val="20"/>
              </w:rPr>
              <w:t xml:space="preserve"> can</w:t>
            </w:r>
            <w:r w:rsidR="00C5456F" w:rsidRPr="00C40EFE">
              <w:rPr>
                <w:rFonts w:ascii="Ninety One Visuelt" w:hAnsi="Ninety One Visuelt"/>
                <w:color w:val="595959" w:themeColor="text1" w:themeTint="A6"/>
                <w:sz w:val="20"/>
                <w:szCs w:val="20"/>
              </w:rPr>
              <w:t xml:space="preserve"> support the net</w:t>
            </w:r>
            <w:r w:rsidR="007C7103" w:rsidRPr="00C40EFE">
              <w:rPr>
                <w:rFonts w:ascii="Ninety One Visuelt" w:hAnsi="Ninety One Visuelt"/>
                <w:color w:val="595959" w:themeColor="text1" w:themeTint="A6"/>
                <w:sz w:val="20"/>
                <w:szCs w:val="20"/>
              </w:rPr>
              <w:t xml:space="preserve"> </w:t>
            </w:r>
            <w:r w:rsidR="00C5456F" w:rsidRPr="00C40EFE">
              <w:rPr>
                <w:rFonts w:ascii="Ninety One Visuelt" w:hAnsi="Ninety One Visuelt"/>
                <w:color w:val="595959" w:themeColor="text1" w:themeTint="A6"/>
                <w:sz w:val="20"/>
                <w:szCs w:val="20"/>
              </w:rPr>
              <w:t>zero transition in two ways - remain invested in companies and engage with them to support their transitions. The other is to invest in companies whose products and services are enabling or accelerating the transition to net zero. We need to do both, and Ninety One is committed to doing so.</w:t>
            </w:r>
          </w:p>
        </w:tc>
      </w:tr>
      <w:tr w:rsidR="00C40EFE" w:rsidRPr="00C40EFE" w14:paraId="3BC03C86" w14:textId="77777777" w:rsidTr="00A974C3">
        <w:tc>
          <w:tcPr>
            <w:tcW w:w="9016" w:type="dxa"/>
          </w:tcPr>
          <w:p w14:paraId="77A2CDDB" w14:textId="2F6F373A" w:rsidR="00CF41B3" w:rsidRPr="00C40EFE" w:rsidRDefault="00CF41B3" w:rsidP="008E5BE3">
            <w:pPr>
              <w:rPr>
                <w:rFonts w:ascii="Ninety One Visuelt" w:hAnsi="Ninety One Visuelt"/>
                <w:color w:val="595959" w:themeColor="text1" w:themeTint="A6"/>
                <w:sz w:val="20"/>
                <w:szCs w:val="20"/>
              </w:rPr>
            </w:pPr>
          </w:p>
        </w:tc>
      </w:tr>
      <w:tr w:rsidR="00C40EFE" w:rsidRPr="00C40EFE" w14:paraId="7AB9C666" w14:textId="77777777" w:rsidTr="00A974C3">
        <w:tc>
          <w:tcPr>
            <w:tcW w:w="9016" w:type="dxa"/>
          </w:tcPr>
          <w:p w14:paraId="196B9218" w14:textId="77777777" w:rsidR="007C7103" w:rsidRPr="00C40EFE" w:rsidRDefault="007C7103" w:rsidP="009E7C1B">
            <w:pPr>
              <w:rPr>
                <w:rFonts w:ascii="Ninety One Visuelt" w:hAnsi="Ninety One Visuelt"/>
                <w:b/>
                <w:bCs/>
                <w:color w:val="595959" w:themeColor="text1" w:themeTint="A6"/>
                <w:sz w:val="20"/>
                <w:szCs w:val="20"/>
              </w:rPr>
            </w:pPr>
          </w:p>
          <w:p w14:paraId="67C7CBB3" w14:textId="5548B5C6" w:rsidR="007C7103" w:rsidRPr="00C40EFE" w:rsidRDefault="007C7103" w:rsidP="009E7C1B">
            <w:pPr>
              <w:rPr>
                <w:rFonts w:ascii="Ninety One Visuelt" w:hAnsi="Ninety One Visuelt"/>
                <w:b/>
                <w:bCs/>
                <w:color w:val="595959" w:themeColor="text1" w:themeTint="A6"/>
                <w:sz w:val="20"/>
                <w:szCs w:val="20"/>
              </w:rPr>
            </w:pPr>
            <w:r w:rsidRPr="00C40EFE">
              <w:rPr>
                <w:rFonts w:ascii="Ninety One Visuelt" w:hAnsi="Ninety One Visuelt"/>
                <w:b/>
                <w:bCs/>
                <w:noProof/>
                <w:color w:val="595959" w:themeColor="text1" w:themeTint="A6"/>
                <w:sz w:val="20"/>
                <w:szCs w:val="20"/>
              </w:rPr>
              <w:drawing>
                <wp:inline distT="0" distB="0" distL="0" distR="0" wp14:anchorId="49D775C9" wp14:editId="2B5C6C12">
                  <wp:extent cx="1205280" cy="1343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940" r="10253" b="17457"/>
                          <a:stretch/>
                        </pic:blipFill>
                        <pic:spPr bwMode="auto">
                          <a:xfrm>
                            <a:off x="0" y="0"/>
                            <a:ext cx="1220789" cy="1360306"/>
                          </a:xfrm>
                          <a:prstGeom prst="rect">
                            <a:avLst/>
                          </a:prstGeom>
                          <a:noFill/>
                          <a:ln>
                            <a:noFill/>
                          </a:ln>
                          <a:extLst>
                            <a:ext uri="{53640926-AAD7-44D8-BBD7-CCE9431645EC}">
                              <a14:shadowObscured xmlns:a14="http://schemas.microsoft.com/office/drawing/2010/main"/>
                            </a:ext>
                          </a:extLst>
                        </pic:spPr>
                      </pic:pic>
                    </a:graphicData>
                  </a:graphic>
                </wp:inline>
              </w:drawing>
            </w:r>
          </w:p>
          <w:p w14:paraId="61724378" w14:textId="77777777" w:rsidR="00697CB1" w:rsidRPr="00C40EFE" w:rsidRDefault="00697CB1" w:rsidP="009E7C1B">
            <w:pPr>
              <w:rPr>
                <w:rFonts w:ascii="Ninety One Visuelt" w:hAnsi="Ninety One Visuelt"/>
                <w:b/>
                <w:bCs/>
                <w:color w:val="595959" w:themeColor="text1" w:themeTint="A6"/>
                <w:sz w:val="20"/>
                <w:szCs w:val="20"/>
              </w:rPr>
            </w:pPr>
          </w:p>
          <w:p w14:paraId="2E367881" w14:textId="03D043DB" w:rsidR="009E7C1B" w:rsidRPr="00C40EFE" w:rsidRDefault="009E7C1B" w:rsidP="009E7C1B">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Simon Brazier, Co-Head of Quality and Portfolio Manager, UK Alpha Fund</w:t>
            </w:r>
          </w:p>
        </w:tc>
      </w:tr>
      <w:tr w:rsidR="00C40EFE" w:rsidRPr="00C40EFE" w14:paraId="4B3CA30B" w14:textId="77777777" w:rsidTr="00A974C3">
        <w:tc>
          <w:tcPr>
            <w:tcW w:w="9016" w:type="dxa"/>
          </w:tcPr>
          <w:p w14:paraId="104520F1" w14:textId="77777777" w:rsidR="00697CB1" w:rsidRPr="00C40EFE" w:rsidRDefault="00697CB1" w:rsidP="00EB57F8">
            <w:pPr>
              <w:rPr>
                <w:rFonts w:ascii="Ninety One Visuelt" w:hAnsi="Ninety One Visuelt"/>
                <w:b/>
                <w:bCs/>
                <w:color w:val="595959" w:themeColor="text1" w:themeTint="A6"/>
                <w:sz w:val="20"/>
                <w:szCs w:val="20"/>
              </w:rPr>
            </w:pPr>
          </w:p>
          <w:p w14:paraId="6D47637E" w14:textId="3BAA5329" w:rsidR="00EB57F8" w:rsidRPr="00C40EFE" w:rsidRDefault="00EB57F8" w:rsidP="00EB57F8">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Margins are set to come under pressure in 2022, but the key is to pick those businesses still able to grow their profits.</w:t>
            </w:r>
          </w:p>
          <w:p w14:paraId="0CD85D06" w14:textId="283445C4" w:rsidR="00EB57F8" w:rsidRPr="00C40EFE" w:rsidRDefault="00EB57F8" w:rsidP="00EB57F8">
            <w:pPr>
              <w:rPr>
                <w:rFonts w:ascii="Ninety One Visuelt" w:hAnsi="Ninety One Visuelt"/>
                <w:b/>
                <w:bCs/>
                <w:color w:val="595959" w:themeColor="text1" w:themeTint="A6"/>
                <w:sz w:val="20"/>
                <w:szCs w:val="20"/>
              </w:rPr>
            </w:pPr>
          </w:p>
          <w:p w14:paraId="786543D2" w14:textId="5FE7C466" w:rsidR="00EB57F8" w:rsidRPr="00C40EFE" w:rsidRDefault="00EB57F8" w:rsidP="00EB57F8">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How would you summarise the current environment?</w:t>
            </w:r>
          </w:p>
          <w:p w14:paraId="16AD8A10" w14:textId="13DCEFFC" w:rsidR="00064660" w:rsidRPr="00C40EFE" w:rsidRDefault="00064660" w:rsidP="00064660">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It is one of huge uncertainty, despite the vaccination programme in place and some form of resolution around Brexit. However, I think the biggest uncertainty comes from the future for inflation and, therefore, interest rates and growth. I believe that will determine the investment outcome for the next year – and maybe years – ahead.</w:t>
            </w:r>
          </w:p>
          <w:p w14:paraId="1DEF4E85" w14:textId="7B4F1CB5" w:rsidR="00064660" w:rsidRDefault="00064660" w:rsidP="00064660">
            <w:pPr>
              <w:rPr>
                <w:rFonts w:ascii="Ninety One Visuelt" w:hAnsi="Ninety One Visuelt"/>
                <w:color w:val="595959" w:themeColor="text1" w:themeTint="A6"/>
                <w:sz w:val="20"/>
                <w:szCs w:val="20"/>
              </w:rPr>
            </w:pPr>
          </w:p>
          <w:p w14:paraId="250D5746" w14:textId="0BD9D44D" w:rsidR="00F553A9" w:rsidRDefault="00F553A9" w:rsidP="00064660">
            <w:pPr>
              <w:rPr>
                <w:rFonts w:ascii="Ninety One Visuelt" w:hAnsi="Ninety One Visuelt"/>
                <w:color w:val="595959" w:themeColor="text1" w:themeTint="A6"/>
                <w:sz w:val="20"/>
                <w:szCs w:val="20"/>
              </w:rPr>
            </w:pPr>
          </w:p>
          <w:p w14:paraId="3EB24678" w14:textId="77777777" w:rsidR="00F553A9" w:rsidRPr="00C40EFE" w:rsidRDefault="00F553A9" w:rsidP="00064660">
            <w:pPr>
              <w:rPr>
                <w:rFonts w:ascii="Ninety One Visuelt" w:hAnsi="Ninety One Visuelt"/>
                <w:color w:val="595959" w:themeColor="text1" w:themeTint="A6"/>
                <w:sz w:val="20"/>
                <w:szCs w:val="20"/>
              </w:rPr>
            </w:pPr>
          </w:p>
          <w:p w14:paraId="1A568DD8" w14:textId="77777777" w:rsidR="00F553A9" w:rsidRDefault="00F553A9" w:rsidP="00064660">
            <w:pPr>
              <w:rPr>
                <w:rFonts w:ascii="Ninety One Visuelt" w:hAnsi="Ninety One Visuelt"/>
                <w:b/>
                <w:bCs/>
                <w:color w:val="595959" w:themeColor="text1" w:themeTint="A6"/>
                <w:sz w:val="20"/>
                <w:szCs w:val="20"/>
              </w:rPr>
            </w:pPr>
          </w:p>
          <w:p w14:paraId="147DBDDF" w14:textId="584641C8" w:rsidR="00EB57F8" w:rsidRPr="00C40EFE" w:rsidRDefault="00EB57F8" w:rsidP="00064660">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What are your expectations for 2022?</w:t>
            </w:r>
          </w:p>
          <w:p w14:paraId="6E8329E2" w14:textId="455011B8" w:rsidR="00064660" w:rsidRPr="00C40EFE" w:rsidRDefault="00064660" w:rsidP="00064660">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 xml:space="preserve">If I had my glass half empty hat on, I would say that things could be quite tricky in 2022, particularly economically, as governments are having to tighten their purses, and central banks are unable to help, as we maybe see a tightening cycle on the monetary side. </w:t>
            </w:r>
            <w:r w:rsidR="00EB57F8" w:rsidRPr="00C40EFE">
              <w:rPr>
                <w:rFonts w:ascii="Ninety One Visuelt" w:hAnsi="Ninety One Visuelt"/>
                <w:color w:val="595959" w:themeColor="text1" w:themeTint="A6"/>
                <w:sz w:val="20"/>
                <w:szCs w:val="20"/>
              </w:rPr>
              <w:t>Therefore</w:t>
            </w:r>
            <w:r w:rsidRPr="00C40EFE">
              <w:rPr>
                <w:rFonts w:ascii="Ninety One Visuelt" w:hAnsi="Ninety One Visuelt"/>
                <w:color w:val="595959" w:themeColor="text1" w:themeTint="A6"/>
                <w:sz w:val="20"/>
                <w:szCs w:val="20"/>
              </w:rPr>
              <w:t>, I think consumers will be asked to take on quite a bit of that burden and may find themselves quite strained.</w:t>
            </w:r>
            <w:r w:rsidRPr="00C40EFE">
              <w:rPr>
                <w:rFonts w:ascii="Arial" w:hAnsi="Arial" w:cs="Arial"/>
                <w:color w:val="595959" w:themeColor="text1" w:themeTint="A6"/>
                <w:sz w:val="20"/>
                <w:szCs w:val="20"/>
              </w:rPr>
              <w:t> </w:t>
            </w:r>
            <w:r w:rsidRPr="00C40EFE">
              <w:rPr>
                <w:rFonts w:ascii="Ninety One Visuelt" w:hAnsi="Ninety One Visuelt"/>
                <w:color w:val="595959" w:themeColor="text1" w:themeTint="A6"/>
                <w:sz w:val="20"/>
                <w:szCs w:val="20"/>
              </w:rPr>
              <w:t>Having said that, putting the glass half full hat on, if we do see a post-pandemic normalisation with consumers back out</w:t>
            </w:r>
            <w:r w:rsidRPr="00C40EFE">
              <w:rPr>
                <w:rFonts w:ascii="Arial" w:hAnsi="Arial" w:cs="Arial"/>
                <w:color w:val="595959" w:themeColor="text1" w:themeTint="A6"/>
                <w:sz w:val="20"/>
                <w:szCs w:val="20"/>
              </w:rPr>
              <w:t> </w:t>
            </w:r>
            <w:r w:rsidRPr="00C40EFE">
              <w:rPr>
                <w:rFonts w:ascii="Ninety One Visuelt" w:hAnsi="Ninety One Visuelt"/>
                <w:color w:val="595959" w:themeColor="text1" w:themeTint="A6"/>
                <w:sz w:val="20"/>
                <w:szCs w:val="20"/>
              </w:rPr>
              <w:t>spending, then we may see certain areas of the economy, such as leisure and travel, doing much better.</w:t>
            </w:r>
          </w:p>
          <w:p w14:paraId="2BC4968A" w14:textId="77777777" w:rsidR="0014606F" w:rsidRPr="00C40EFE" w:rsidRDefault="0014606F" w:rsidP="00064660">
            <w:pPr>
              <w:rPr>
                <w:rFonts w:ascii="Ninety One Visuelt" w:hAnsi="Ninety One Visuelt"/>
                <w:color w:val="595959" w:themeColor="text1" w:themeTint="A6"/>
                <w:sz w:val="20"/>
                <w:szCs w:val="20"/>
              </w:rPr>
            </w:pPr>
          </w:p>
          <w:p w14:paraId="4F6E601A" w14:textId="77777777" w:rsidR="00EB57F8" w:rsidRPr="00C40EFE" w:rsidRDefault="00EB57F8" w:rsidP="00064660">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What is the biggest risk facing companies?</w:t>
            </w:r>
          </w:p>
          <w:p w14:paraId="503AF72B" w14:textId="48BF54BD" w:rsidR="00064660" w:rsidRPr="00C40EFE" w:rsidRDefault="00EB57F8" w:rsidP="00064660">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 xml:space="preserve">Clearly, this </w:t>
            </w:r>
            <w:r w:rsidR="00064660" w:rsidRPr="00C40EFE">
              <w:rPr>
                <w:rFonts w:ascii="Ninety One Visuelt" w:hAnsi="Ninety One Visuelt"/>
                <w:color w:val="595959" w:themeColor="text1" w:themeTint="A6"/>
                <w:sz w:val="20"/>
                <w:szCs w:val="20"/>
              </w:rPr>
              <w:t>is the input cost inflation that we have started to see already; the tightening of supply chains, input cost increases coming through from commodity prices, but also wage increases. The debate as to whether these inflation increases are transitory is still raging and, if we were to see more persistent – particularly wage – increases coming through next year, then that would be more difficult for equities as companies would find it more difficult on the margin front.</w:t>
            </w:r>
          </w:p>
          <w:p w14:paraId="3ADFB6F5" w14:textId="77777777" w:rsidR="00EB57F8" w:rsidRPr="00C40EFE" w:rsidRDefault="00EB57F8" w:rsidP="00064660">
            <w:pPr>
              <w:rPr>
                <w:rFonts w:ascii="Ninety One Visuelt" w:hAnsi="Ninety One Visuelt"/>
                <w:color w:val="595959" w:themeColor="text1" w:themeTint="A6"/>
                <w:sz w:val="20"/>
                <w:szCs w:val="20"/>
              </w:rPr>
            </w:pPr>
          </w:p>
          <w:p w14:paraId="2F50B4BA" w14:textId="5FB0A9AC" w:rsidR="00064660" w:rsidRPr="00C40EFE" w:rsidRDefault="00EB57F8" w:rsidP="00064660">
            <w:pPr>
              <w:rPr>
                <w:rFonts w:ascii="Ninety One Visuelt" w:hAnsi="Ninety One Visuelt"/>
                <w:color w:val="595959" w:themeColor="text1" w:themeTint="A6"/>
                <w:sz w:val="20"/>
                <w:szCs w:val="20"/>
              </w:rPr>
            </w:pPr>
            <w:r w:rsidRPr="00C40EFE">
              <w:rPr>
                <w:rFonts w:ascii="Ninety One Visuelt" w:hAnsi="Ninety One Visuelt"/>
                <w:b/>
                <w:bCs/>
                <w:color w:val="595959" w:themeColor="text1" w:themeTint="A6"/>
                <w:sz w:val="20"/>
                <w:szCs w:val="20"/>
              </w:rPr>
              <w:t>How are you positioning UK Alpha?</w:t>
            </w:r>
          </w:p>
          <w:p w14:paraId="6400FA69" w14:textId="2FCFE5AE" w:rsidR="00EB57F8" w:rsidRPr="00C40EFE" w:rsidRDefault="00EB57F8" w:rsidP="00EB57F8">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 xml:space="preserve">We are relatively defensively positioned, and still want to own those compounding growth companies that typically are cash-generative, defensive and, come what may next year, will continue to grow their profits and, therefore, their cash flows and be able to reinvest those at good rates of return. On the other hand, I do own cyclicals, particularly around travel and leisure that can potentially normalise their revenue streams into next year. I do think you will start to see airlines, particularly in short haul, fill again </w:t>
            </w:r>
            <w:proofErr w:type="gramStart"/>
            <w:r w:rsidRPr="00C40EFE">
              <w:rPr>
                <w:rFonts w:ascii="Ninety One Visuelt" w:hAnsi="Ninety One Visuelt"/>
                <w:color w:val="595959" w:themeColor="text1" w:themeTint="A6"/>
                <w:sz w:val="20"/>
                <w:szCs w:val="20"/>
              </w:rPr>
              <w:t>and also</w:t>
            </w:r>
            <w:proofErr w:type="gramEnd"/>
            <w:r w:rsidRPr="00C40EFE">
              <w:rPr>
                <w:rFonts w:ascii="Ninety One Visuelt" w:hAnsi="Ninety One Visuelt"/>
                <w:color w:val="595959" w:themeColor="text1" w:themeTint="A6"/>
                <w:sz w:val="20"/>
                <w:szCs w:val="20"/>
              </w:rPr>
              <w:t xml:space="preserve"> people back in pubs and restaurants.</w:t>
            </w:r>
          </w:p>
          <w:p w14:paraId="053BFE84" w14:textId="77777777" w:rsidR="00EB57F8" w:rsidRPr="00C40EFE" w:rsidRDefault="00EB57F8" w:rsidP="00EB57F8">
            <w:pPr>
              <w:rPr>
                <w:rFonts w:ascii="Ninety One Visuelt" w:hAnsi="Ninety One Visuelt"/>
                <w:color w:val="595959" w:themeColor="text1" w:themeTint="A6"/>
                <w:sz w:val="20"/>
                <w:szCs w:val="20"/>
              </w:rPr>
            </w:pPr>
          </w:p>
          <w:p w14:paraId="063020D6" w14:textId="390D512C" w:rsidR="00EB57F8" w:rsidRPr="00C40EFE" w:rsidRDefault="00EB57F8" w:rsidP="00EB57F8">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Which companies have benefited from the pandemic?</w:t>
            </w:r>
          </w:p>
          <w:p w14:paraId="6404ADA8" w14:textId="54A7DA12" w:rsidR="00EB57F8" w:rsidRPr="00C40EFE" w:rsidRDefault="00EB57F8" w:rsidP="0014606F">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 xml:space="preserve">The pandemic has clearly been terrible for most, </w:t>
            </w:r>
            <w:r w:rsidR="0014606F" w:rsidRPr="00C40EFE">
              <w:rPr>
                <w:rFonts w:ascii="Ninety One Visuelt" w:hAnsi="Ninety One Visuelt"/>
                <w:color w:val="595959" w:themeColor="text1" w:themeTint="A6"/>
                <w:sz w:val="20"/>
                <w:szCs w:val="20"/>
              </w:rPr>
              <w:t>however,</w:t>
            </w:r>
            <w:r w:rsidRPr="00C40EFE">
              <w:rPr>
                <w:rFonts w:ascii="Ninety One Visuelt" w:hAnsi="Ninety One Visuelt"/>
                <w:color w:val="595959" w:themeColor="text1" w:themeTint="A6"/>
                <w:sz w:val="20"/>
                <w:szCs w:val="20"/>
              </w:rPr>
              <w:t xml:space="preserve"> there have been companies where it may have accelerated their growth opportunities. For example, some of the European low-cost airlines have seen their competitors go bust. </w:t>
            </w:r>
          </w:p>
          <w:p w14:paraId="6ABEC338" w14:textId="77777777" w:rsidR="00EB57F8" w:rsidRPr="00C40EFE" w:rsidRDefault="00EB57F8" w:rsidP="00EB57F8">
            <w:pPr>
              <w:rPr>
                <w:rFonts w:ascii="Ninety One Visuelt" w:hAnsi="Ninety One Visuelt"/>
                <w:color w:val="595959" w:themeColor="text1" w:themeTint="A6"/>
                <w:sz w:val="20"/>
                <w:szCs w:val="20"/>
              </w:rPr>
            </w:pPr>
          </w:p>
          <w:p w14:paraId="358F0842" w14:textId="7D4D3A09" w:rsidR="009E7C1B" w:rsidRPr="00C40EFE" w:rsidRDefault="00EB57F8" w:rsidP="009E7C1B">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 xml:space="preserve">On the UK high street, those companies with a very attractive online proposition have prospered, while many competitors have really fallen behind as online shopping has accelerated. Therefore, if you find the right companies in the right areas that </w:t>
            </w:r>
            <w:proofErr w:type="gramStart"/>
            <w:r w:rsidRPr="00C40EFE">
              <w:rPr>
                <w:rFonts w:ascii="Ninety One Visuelt" w:hAnsi="Ninety One Visuelt"/>
                <w:color w:val="595959" w:themeColor="text1" w:themeTint="A6"/>
                <w:sz w:val="20"/>
                <w:szCs w:val="20"/>
              </w:rPr>
              <w:t>are able to</w:t>
            </w:r>
            <w:proofErr w:type="gramEnd"/>
            <w:r w:rsidRPr="00C40EFE">
              <w:rPr>
                <w:rFonts w:ascii="Ninety One Visuelt" w:hAnsi="Ninety One Visuelt"/>
                <w:color w:val="595959" w:themeColor="text1" w:themeTint="A6"/>
                <w:sz w:val="20"/>
                <w:szCs w:val="20"/>
              </w:rPr>
              <w:t xml:space="preserve"> benefit from</w:t>
            </w:r>
            <w:r w:rsidRPr="00C40EFE">
              <w:rPr>
                <w:rFonts w:ascii="Arial" w:hAnsi="Arial" w:cs="Arial"/>
                <w:color w:val="595959" w:themeColor="text1" w:themeTint="A6"/>
                <w:sz w:val="20"/>
                <w:szCs w:val="20"/>
              </w:rPr>
              <w:t> </w:t>
            </w:r>
            <w:r w:rsidRPr="00C40EFE">
              <w:rPr>
                <w:rFonts w:ascii="Ninety One Visuelt" w:hAnsi="Ninety One Visuelt"/>
                <w:color w:val="595959" w:themeColor="text1" w:themeTint="A6"/>
                <w:sz w:val="20"/>
                <w:szCs w:val="20"/>
              </w:rPr>
              <w:t>some of the wider trends we are seeing in the economy, then there are some good opportunities ahead.</w:t>
            </w:r>
          </w:p>
        </w:tc>
      </w:tr>
      <w:tr w:rsidR="00C40EFE" w:rsidRPr="00C40EFE" w14:paraId="6974761A" w14:textId="77777777" w:rsidTr="00A974C3">
        <w:tc>
          <w:tcPr>
            <w:tcW w:w="9016" w:type="dxa"/>
          </w:tcPr>
          <w:p w14:paraId="308B421F" w14:textId="77777777" w:rsidR="00697CB1" w:rsidRPr="00C40EFE" w:rsidRDefault="00697CB1" w:rsidP="00EB57F8">
            <w:pPr>
              <w:rPr>
                <w:rFonts w:ascii="Ninety One Visuelt" w:hAnsi="Ninety One Visuelt"/>
                <w:b/>
                <w:bCs/>
                <w:color w:val="595959" w:themeColor="text1" w:themeTint="A6"/>
                <w:sz w:val="20"/>
                <w:szCs w:val="20"/>
              </w:rPr>
            </w:pPr>
          </w:p>
        </w:tc>
      </w:tr>
      <w:tr w:rsidR="00C40EFE" w:rsidRPr="00C40EFE" w14:paraId="03F3BC9B" w14:textId="77777777" w:rsidTr="00A974C3">
        <w:tc>
          <w:tcPr>
            <w:tcW w:w="9016" w:type="dxa"/>
          </w:tcPr>
          <w:p w14:paraId="54A3A094" w14:textId="621D6C60" w:rsidR="00697CB1" w:rsidRPr="00C40EFE" w:rsidRDefault="00697CB1" w:rsidP="00EB57F8">
            <w:pPr>
              <w:rPr>
                <w:rFonts w:ascii="Ninety One Visuelt" w:hAnsi="Ninety One Visuelt"/>
                <w:b/>
                <w:bCs/>
                <w:color w:val="595959" w:themeColor="text1" w:themeTint="A6"/>
                <w:sz w:val="20"/>
                <w:szCs w:val="20"/>
              </w:rPr>
            </w:pPr>
            <w:r w:rsidRPr="00C40EFE">
              <w:rPr>
                <w:rFonts w:ascii="Ninety One Visuelt" w:hAnsi="Ninety One Visuelt"/>
                <w:b/>
                <w:bCs/>
                <w:noProof/>
                <w:color w:val="595959" w:themeColor="text1" w:themeTint="A6"/>
                <w:sz w:val="20"/>
                <w:szCs w:val="20"/>
              </w:rPr>
              <w:drawing>
                <wp:inline distT="0" distB="0" distL="0" distR="0" wp14:anchorId="66A4C9B8" wp14:editId="174F8E93">
                  <wp:extent cx="1145582" cy="1152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823" t="1" r="16471" b="2352"/>
                          <a:stretch/>
                        </pic:blipFill>
                        <pic:spPr bwMode="auto">
                          <a:xfrm>
                            <a:off x="0" y="0"/>
                            <a:ext cx="1148266" cy="1155225"/>
                          </a:xfrm>
                          <a:prstGeom prst="rect">
                            <a:avLst/>
                          </a:prstGeom>
                          <a:noFill/>
                          <a:ln>
                            <a:noFill/>
                          </a:ln>
                          <a:extLst>
                            <a:ext uri="{53640926-AAD7-44D8-BBD7-CCE9431645EC}">
                              <a14:shadowObscured xmlns:a14="http://schemas.microsoft.com/office/drawing/2010/main"/>
                            </a:ext>
                          </a:extLst>
                        </pic:spPr>
                      </pic:pic>
                    </a:graphicData>
                  </a:graphic>
                </wp:inline>
              </w:drawing>
            </w:r>
          </w:p>
          <w:p w14:paraId="1DD389F3" w14:textId="77777777" w:rsidR="00697CB1" w:rsidRPr="00C40EFE" w:rsidRDefault="00697CB1" w:rsidP="00EB57F8">
            <w:pPr>
              <w:rPr>
                <w:rFonts w:ascii="Ninety One Visuelt" w:hAnsi="Ninety One Visuelt"/>
                <w:b/>
                <w:bCs/>
                <w:color w:val="595959" w:themeColor="text1" w:themeTint="A6"/>
                <w:sz w:val="20"/>
                <w:szCs w:val="20"/>
              </w:rPr>
            </w:pPr>
          </w:p>
          <w:p w14:paraId="68AE5B5C" w14:textId="55FFE290" w:rsidR="00697CB1" w:rsidRPr="00C40EFE" w:rsidRDefault="00697CB1" w:rsidP="00EB57F8">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Deirdre Cooper, Co-Head of Thematic Equity and Co Portfolio Manager, Global Environment Fund</w:t>
            </w:r>
          </w:p>
        </w:tc>
      </w:tr>
      <w:tr w:rsidR="00C40EFE" w:rsidRPr="00C40EFE" w14:paraId="4B88EE00" w14:textId="77777777" w:rsidTr="00A974C3">
        <w:tc>
          <w:tcPr>
            <w:tcW w:w="9016" w:type="dxa"/>
          </w:tcPr>
          <w:p w14:paraId="0DE23F7D" w14:textId="77777777" w:rsidR="00697CB1" w:rsidRPr="00C40EFE" w:rsidRDefault="00697CB1" w:rsidP="00EB57F8">
            <w:pPr>
              <w:rPr>
                <w:rFonts w:ascii="Ninety One Visuelt" w:hAnsi="Ninety One Visuelt"/>
                <w:b/>
                <w:bCs/>
                <w:color w:val="595959" w:themeColor="text1" w:themeTint="A6"/>
                <w:sz w:val="20"/>
                <w:szCs w:val="20"/>
              </w:rPr>
            </w:pPr>
          </w:p>
          <w:p w14:paraId="7CB7DE73" w14:textId="42A34D88" w:rsidR="00EB57F8" w:rsidRPr="00C40EFE" w:rsidRDefault="00EB57F8" w:rsidP="00EB57F8">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Rise of the carbon-cutters: investing in climate-solution companies: The intensifying focus on tackling climate change is driving growth for a select group of businesses.</w:t>
            </w:r>
          </w:p>
          <w:p w14:paraId="772ECD92" w14:textId="77777777" w:rsidR="00EB57F8" w:rsidRPr="00C40EFE" w:rsidRDefault="00EB57F8" w:rsidP="00EB57F8">
            <w:pPr>
              <w:rPr>
                <w:rFonts w:ascii="Ninety One Visuelt" w:hAnsi="Ninety One Visuelt"/>
                <w:color w:val="595959" w:themeColor="text1" w:themeTint="A6"/>
                <w:sz w:val="20"/>
                <w:szCs w:val="20"/>
              </w:rPr>
            </w:pPr>
          </w:p>
          <w:p w14:paraId="2F018CCB" w14:textId="3603B3FD" w:rsidR="00EB57F8" w:rsidRPr="00C40EFE" w:rsidRDefault="00EB57F8" w:rsidP="00EB57F8">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What are your takeaways for investors from COP26?</w:t>
            </w:r>
          </w:p>
          <w:p w14:paraId="028B8626" w14:textId="22977C21" w:rsidR="00EB57F8" w:rsidRPr="00C40EFE" w:rsidRDefault="00EB57F8" w:rsidP="0014606F">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 xml:space="preserve">It was perhaps most </w:t>
            </w:r>
            <w:proofErr w:type="gramStart"/>
            <w:r w:rsidRPr="00C40EFE">
              <w:rPr>
                <w:rFonts w:ascii="Ninety One Visuelt" w:hAnsi="Ninety One Visuelt"/>
                <w:color w:val="595959" w:themeColor="text1" w:themeTint="A6"/>
                <w:sz w:val="20"/>
                <w:szCs w:val="20"/>
              </w:rPr>
              <w:t>telling</w:t>
            </w:r>
            <w:proofErr w:type="gramEnd"/>
            <w:r w:rsidRPr="00C40EFE">
              <w:rPr>
                <w:rFonts w:ascii="Ninety One Visuelt" w:hAnsi="Ninety One Visuelt"/>
                <w:color w:val="595959" w:themeColor="text1" w:themeTint="A6"/>
                <w:sz w:val="20"/>
                <w:szCs w:val="20"/>
              </w:rPr>
              <w:t xml:space="preserve"> that attention was already turning to COP27 in Egypt in 2022. The previous pattern was that a major climate summit happened every five years, but now these events are going to be significant each year. That shows how much decarbonisation has </w:t>
            </w:r>
            <w:proofErr w:type="gramStart"/>
            <w:r w:rsidRPr="00C40EFE">
              <w:rPr>
                <w:rFonts w:ascii="Ninety One Visuelt" w:hAnsi="Ninety One Visuelt"/>
                <w:color w:val="595959" w:themeColor="text1" w:themeTint="A6"/>
                <w:sz w:val="20"/>
                <w:szCs w:val="20"/>
              </w:rPr>
              <w:t>risen up</w:t>
            </w:r>
            <w:proofErr w:type="gramEnd"/>
            <w:r w:rsidRPr="00C40EFE">
              <w:rPr>
                <w:rFonts w:ascii="Ninety One Visuelt" w:hAnsi="Ninety One Visuelt"/>
                <w:color w:val="595959" w:themeColor="text1" w:themeTint="A6"/>
                <w:sz w:val="20"/>
                <w:szCs w:val="20"/>
              </w:rPr>
              <w:t xml:space="preserve"> the agenda – and consequently why this issue has become so important for investors, from both a return-generation and risk-management perspective.</w:t>
            </w:r>
          </w:p>
          <w:p w14:paraId="471CBB04" w14:textId="485D70B6" w:rsidR="00EB57F8" w:rsidRPr="00C40EFE" w:rsidRDefault="00EB57F8" w:rsidP="00EB57F8">
            <w:pPr>
              <w:rPr>
                <w:rFonts w:ascii="Ninety One Visuelt" w:hAnsi="Ninety One Visuelt"/>
                <w:b/>
                <w:bCs/>
                <w:color w:val="595959" w:themeColor="text1" w:themeTint="A6"/>
                <w:sz w:val="20"/>
                <w:szCs w:val="20"/>
                <w:u w:val="single"/>
              </w:rPr>
            </w:pPr>
          </w:p>
          <w:p w14:paraId="7429604E" w14:textId="77777777" w:rsidR="00F553A9" w:rsidRDefault="00F553A9" w:rsidP="00EB57F8">
            <w:pPr>
              <w:rPr>
                <w:rFonts w:ascii="Ninety One Visuelt" w:hAnsi="Ninety One Visuelt"/>
                <w:b/>
                <w:bCs/>
                <w:color w:val="595959" w:themeColor="text1" w:themeTint="A6"/>
                <w:sz w:val="20"/>
                <w:szCs w:val="20"/>
              </w:rPr>
            </w:pPr>
          </w:p>
          <w:p w14:paraId="4A016076" w14:textId="058C586F" w:rsidR="00EB57F8" w:rsidRPr="00C40EFE" w:rsidRDefault="00EB57F8" w:rsidP="00EB57F8">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What should investors in climate-solutions companies keep an eye on next year?</w:t>
            </w:r>
          </w:p>
          <w:p w14:paraId="1BD7BB49" w14:textId="0A4E2E36" w:rsidR="00EB57F8" w:rsidRPr="00C40EFE" w:rsidRDefault="00EB57F8" w:rsidP="0014606F">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The three key drivers of the structural-growth being fuelled by decarbonisation are regulatory developments, technology advances and changes in consumer preferences. All of them will remain highly relevant in 2022. On the regulatory side, the Build Back Better legislation in the US is expected to pass towards the end of 2021, and we’ll start to see its impacts from next year. Although the stimulus plan has been cut from US$3 trillion to US$1.5 trillion, what remains are essentially all the climate measures. In China, the central bank’s decision to provide subsidised financing for ‘green’ sectors will also fuel growth for select companies in 2022 and beyond.</w:t>
            </w:r>
          </w:p>
          <w:p w14:paraId="3E38A175" w14:textId="77777777" w:rsidR="00EB57F8" w:rsidRPr="00C40EFE" w:rsidRDefault="00EB57F8" w:rsidP="00EB57F8">
            <w:pPr>
              <w:rPr>
                <w:rFonts w:ascii="Ninety One Visuelt" w:hAnsi="Ninety One Visuelt"/>
                <w:b/>
                <w:bCs/>
                <w:color w:val="595959" w:themeColor="text1" w:themeTint="A6"/>
                <w:sz w:val="20"/>
                <w:szCs w:val="20"/>
              </w:rPr>
            </w:pPr>
          </w:p>
          <w:p w14:paraId="1D96D95A" w14:textId="27241DE5" w:rsidR="00EB57F8" w:rsidRPr="00C40EFE" w:rsidRDefault="00EB57F8" w:rsidP="00EB57F8">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Where are you seeing technological advances?</w:t>
            </w:r>
          </w:p>
          <w:p w14:paraId="3F1D0EFD" w14:textId="77777777" w:rsidR="00EB57F8" w:rsidRPr="00C40EFE" w:rsidRDefault="00EB57F8" w:rsidP="0014606F">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 xml:space="preserve">The pace of technological development is rapid across many areas linked to tackling climate change, particularly in some sectors that are earlier in their decarbonisation journeys. </w:t>
            </w:r>
          </w:p>
          <w:p w14:paraId="58D4C9B7" w14:textId="77777777" w:rsidR="00EB57F8" w:rsidRPr="00C40EFE" w:rsidRDefault="00EB57F8" w:rsidP="0014606F">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 xml:space="preserve">For example, we have been adding exposure to software companies that are helping to make buildings more efficient, and to companies developing clean-tech solutions for areas that are difficult to decarbonise, like air transport. </w:t>
            </w:r>
          </w:p>
          <w:p w14:paraId="764B4818" w14:textId="77777777" w:rsidR="00EB57F8" w:rsidRPr="00C40EFE" w:rsidRDefault="00EB57F8" w:rsidP="0014606F">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Food has been another focus of our research, given the need to reduce emissions from agriculture and food production. There have been exciting advances in this field too, for example in developing meat-alternative proteins.</w:t>
            </w:r>
          </w:p>
          <w:p w14:paraId="334FF459" w14:textId="77777777" w:rsidR="0014606F" w:rsidRPr="00C40EFE" w:rsidRDefault="0014606F" w:rsidP="00EB57F8">
            <w:pPr>
              <w:rPr>
                <w:rFonts w:ascii="Ninety One Visuelt" w:hAnsi="Ninety One Visuelt"/>
                <w:b/>
                <w:bCs/>
                <w:color w:val="595959" w:themeColor="text1" w:themeTint="A6"/>
                <w:sz w:val="20"/>
                <w:szCs w:val="20"/>
              </w:rPr>
            </w:pPr>
          </w:p>
          <w:p w14:paraId="13E87109" w14:textId="017EFDCB" w:rsidR="00EB57F8" w:rsidRPr="00C40EFE" w:rsidRDefault="00EB57F8" w:rsidP="00EB57F8">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What consumer trends are you watching?</w:t>
            </w:r>
          </w:p>
          <w:p w14:paraId="57452B5A" w14:textId="7A710279" w:rsidR="00EB57F8" w:rsidRPr="00C40EFE" w:rsidRDefault="00EB57F8" w:rsidP="0014606F">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 xml:space="preserve">One striking aspect of COP26 was how engaged civil society was in the discussions. Addressing climate change is on almost everyone’s agenda, and </w:t>
            </w:r>
            <w:r w:rsidR="0088478C">
              <w:rPr>
                <w:rFonts w:ascii="Ninety One Visuelt" w:hAnsi="Ninety One Visuelt"/>
                <w:color w:val="595959" w:themeColor="text1" w:themeTint="A6"/>
                <w:sz w:val="20"/>
                <w:szCs w:val="20"/>
              </w:rPr>
              <w:t>consequently</w:t>
            </w:r>
            <w:r w:rsidRPr="00C40EFE">
              <w:rPr>
                <w:rFonts w:ascii="Ninety One Visuelt" w:hAnsi="Ninety One Visuelt"/>
                <w:color w:val="595959" w:themeColor="text1" w:themeTint="A6"/>
                <w:sz w:val="20"/>
                <w:szCs w:val="20"/>
              </w:rPr>
              <w:t xml:space="preserve"> consumer preferences are shifting further towards sustainable offerings. </w:t>
            </w:r>
          </w:p>
          <w:p w14:paraId="139D07AC" w14:textId="77777777" w:rsidR="00EB57F8" w:rsidRPr="00C40EFE" w:rsidRDefault="00EB57F8" w:rsidP="0014606F">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We see this as a major opportunity for companies that make the materials for sustainable consumer products, such as ingredients for bio-based shampoos and other household goods, as well as more sustainable food.</w:t>
            </w:r>
          </w:p>
          <w:p w14:paraId="6FA66B59" w14:textId="77777777" w:rsidR="0014606F" w:rsidRPr="00C40EFE" w:rsidRDefault="0014606F" w:rsidP="00EB57F8">
            <w:pPr>
              <w:rPr>
                <w:rFonts w:ascii="Ninety One Visuelt" w:hAnsi="Ninety One Visuelt"/>
                <w:b/>
                <w:bCs/>
                <w:color w:val="595959" w:themeColor="text1" w:themeTint="A6"/>
                <w:sz w:val="20"/>
                <w:szCs w:val="20"/>
              </w:rPr>
            </w:pPr>
          </w:p>
          <w:p w14:paraId="0A3BFB26" w14:textId="0E929E82" w:rsidR="00EB57F8" w:rsidRPr="00C40EFE" w:rsidRDefault="00EB57F8" w:rsidP="00EB57F8">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What are the key risks to watch out for next year?</w:t>
            </w:r>
          </w:p>
          <w:p w14:paraId="5BEE79D7" w14:textId="4E5F4FD6" w:rsidR="00EB57F8" w:rsidRPr="00C40EFE" w:rsidRDefault="00EB57F8" w:rsidP="0014606F">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Supply-chain disruptions are yet to be resolved. They have pushed up the prices of various components, which is a benefit for some companies but a headwind for others. Some businesses in our universe have seen slower sales because they haven’t been able to access raw materials, as well as lower margins. We expect these issues to dissipate during next year, but they need to be monitored. That said, as long-term investors, we view some of these short-term market dislocations as opportunities to gain exposure to companies we like at appealing prices.</w:t>
            </w:r>
          </w:p>
          <w:p w14:paraId="4A443882" w14:textId="77777777" w:rsidR="0014606F" w:rsidRPr="00C40EFE" w:rsidRDefault="0014606F" w:rsidP="00EB57F8">
            <w:pPr>
              <w:rPr>
                <w:rFonts w:ascii="Ninety One Visuelt" w:hAnsi="Ninety One Visuelt"/>
                <w:b/>
                <w:bCs/>
                <w:color w:val="595959" w:themeColor="text1" w:themeTint="A6"/>
                <w:sz w:val="20"/>
                <w:szCs w:val="20"/>
              </w:rPr>
            </w:pPr>
          </w:p>
          <w:p w14:paraId="66C52031" w14:textId="0021E1E7" w:rsidR="00EB57F8" w:rsidRPr="00C40EFE" w:rsidRDefault="00EB57F8" w:rsidP="00EB57F8">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What other big issues are you keeping an eye on?</w:t>
            </w:r>
          </w:p>
          <w:p w14:paraId="2E5F02A9" w14:textId="7F173E34" w:rsidR="00EB57F8" w:rsidRPr="00C40EFE" w:rsidRDefault="00EB57F8" w:rsidP="0014606F">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The energy crisis is clearly one to watch. It’s really two separate issues. In Europe, the energy squeeze is supply-driven, and primarily hinges on the availability of Russian gas. But in China, it’s demand-driven. Chinese power demand is up 20% this year alone.</w:t>
            </w:r>
            <w:r w:rsidR="0014606F" w:rsidRPr="00C40EFE">
              <w:rPr>
                <w:rFonts w:ascii="Ninety One Visuelt" w:hAnsi="Ninety One Visuelt"/>
                <w:color w:val="595959" w:themeColor="text1" w:themeTint="A6"/>
                <w:sz w:val="20"/>
                <w:szCs w:val="20"/>
              </w:rPr>
              <w:t xml:space="preserve"> </w:t>
            </w:r>
            <w:r w:rsidRPr="00C40EFE">
              <w:rPr>
                <w:rFonts w:ascii="Ninety One Visuelt" w:hAnsi="Ninety One Visuelt"/>
                <w:color w:val="595959" w:themeColor="text1" w:themeTint="A6"/>
                <w:sz w:val="20"/>
                <w:szCs w:val="20"/>
              </w:rPr>
              <w:t>One consequence of more expensive fossil fuels is to make clean energy even cheaper by comparison. The cost of renewables has been falling over time anyway, and in many parts of the world wind is already by far the cheapest way to generate electricity. I think the steep rises in fossil-fuel prices this year will accelerate demand for clean energy in the medium term. That will be a tailwind for a diverse group of companies, from clean-energy utilities to manufacturers of the technologies and components needed to ‘green’ the grid.</w:t>
            </w:r>
          </w:p>
          <w:p w14:paraId="458E9772" w14:textId="77777777" w:rsidR="0014606F" w:rsidRPr="00C40EFE" w:rsidRDefault="0014606F" w:rsidP="00EB57F8">
            <w:pPr>
              <w:rPr>
                <w:rFonts w:ascii="Ninety One Visuelt" w:hAnsi="Ninety One Visuelt"/>
                <w:b/>
                <w:bCs/>
                <w:color w:val="595959" w:themeColor="text1" w:themeTint="A6"/>
                <w:sz w:val="20"/>
                <w:szCs w:val="20"/>
              </w:rPr>
            </w:pPr>
          </w:p>
          <w:p w14:paraId="0DF5DBA0" w14:textId="3D4CC5E1" w:rsidR="00EB57F8" w:rsidRPr="00C40EFE" w:rsidRDefault="00EB57F8" w:rsidP="00EB57F8">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How is your portfolio positioned heading into 2022?</w:t>
            </w:r>
          </w:p>
          <w:p w14:paraId="44C049EE" w14:textId="5C78E67F" w:rsidR="00EB57F8" w:rsidRPr="00C40EFE" w:rsidRDefault="00EB57F8" w:rsidP="0014606F">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 xml:space="preserve">We own </w:t>
            </w:r>
            <w:r w:rsidR="0092088E" w:rsidRPr="00C40EFE">
              <w:rPr>
                <w:rFonts w:ascii="Ninety One Visuelt" w:hAnsi="Ninety One Visuelt"/>
                <w:color w:val="595959" w:themeColor="text1" w:themeTint="A6"/>
                <w:sz w:val="20"/>
                <w:szCs w:val="20"/>
              </w:rPr>
              <w:t>several</w:t>
            </w:r>
            <w:r w:rsidRPr="00C40EFE">
              <w:rPr>
                <w:rFonts w:ascii="Ninety One Visuelt" w:hAnsi="Ninety One Visuelt"/>
                <w:color w:val="595959" w:themeColor="text1" w:themeTint="A6"/>
                <w:sz w:val="20"/>
                <w:szCs w:val="20"/>
              </w:rPr>
              <w:t xml:space="preserve"> companies that we think are well-positioned to benefit from decarbonisation in the US, including clean-energy companies and businesses that make efficient heating and cooling systems. If the Build Back Better legislation makes it through Congress, as we expect, that would significantly increase our forecasts for them.</w:t>
            </w:r>
            <w:r w:rsidR="0014606F" w:rsidRPr="00C40EFE">
              <w:rPr>
                <w:rFonts w:ascii="Ninety One Visuelt" w:hAnsi="Ninety One Visuelt"/>
                <w:color w:val="595959" w:themeColor="text1" w:themeTint="A6"/>
                <w:sz w:val="20"/>
                <w:szCs w:val="20"/>
              </w:rPr>
              <w:t xml:space="preserve"> Additionally, w</w:t>
            </w:r>
            <w:r w:rsidRPr="00C40EFE">
              <w:rPr>
                <w:rFonts w:ascii="Ninety One Visuelt" w:hAnsi="Ninety One Visuelt"/>
                <w:color w:val="595959" w:themeColor="text1" w:themeTint="A6"/>
                <w:sz w:val="20"/>
                <w:szCs w:val="20"/>
              </w:rPr>
              <w:t>e have extensive exposure to electric vehicles (EVs) across the value chain, including via companies that make EV battery components and mobility software.</w:t>
            </w:r>
          </w:p>
          <w:p w14:paraId="7F448C60" w14:textId="77777777" w:rsidR="0014606F" w:rsidRPr="00C40EFE" w:rsidRDefault="0014606F" w:rsidP="0014606F">
            <w:pPr>
              <w:rPr>
                <w:rFonts w:ascii="Ninety One Visuelt" w:hAnsi="Ninety One Visuelt"/>
                <w:color w:val="595959" w:themeColor="text1" w:themeTint="A6"/>
                <w:sz w:val="20"/>
                <w:szCs w:val="20"/>
              </w:rPr>
            </w:pPr>
          </w:p>
          <w:p w14:paraId="7B9626E5" w14:textId="77777777" w:rsidR="00F553A9" w:rsidRDefault="00EB57F8" w:rsidP="008E5BE3">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 xml:space="preserve"> In October 2021, 23% of new car sales in Europe were electric, which highlights how the switch to electrified transport is accelerating. And we are continuing to explore relatively undiscovered </w:t>
            </w:r>
          </w:p>
          <w:p w14:paraId="3FF3640A" w14:textId="77777777" w:rsidR="00F553A9" w:rsidRDefault="00F553A9" w:rsidP="008E5BE3">
            <w:pPr>
              <w:rPr>
                <w:rFonts w:ascii="Ninety One Visuelt" w:hAnsi="Ninety One Visuelt"/>
                <w:color w:val="595959" w:themeColor="text1" w:themeTint="A6"/>
                <w:sz w:val="20"/>
                <w:szCs w:val="20"/>
              </w:rPr>
            </w:pPr>
          </w:p>
          <w:p w14:paraId="6F23CD53" w14:textId="4A5F2AA2" w:rsidR="00EB57F8" w:rsidRPr="00C40EFE" w:rsidRDefault="00EB57F8" w:rsidP="008E5BE3">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 xml:space="preserve">decarbonisation sectors, such as sustainable food and agriculture. </w:t>
            </w:r>
            <w:r w:rsidR="0014606F" w:rsidRPr="00C40EFE">
              <w:rPr>
                <w:rFonts w:ascii="Ninety One Visuelt" w:hAnsi="Ninety One Visuelt"/>
                <w:color w:val="595959" w:themeColor="text1" w:themeTint="A6"/>
                <w:sz w:val="20"/>
                <w:szCs w:val="20"/>
              </w:rPr>
              <w:t xml:space="preserve"> </w:t>
            </w:r>
            <w:r w:rsidRPr="00C40EFE">
              <w:rPr>
                <w:rFonts w:ascii="Ninety One Visuelt" w:hAnsi="Ninety One Visuelt"/>
                <w:color w:val="595959" w:themeColor="text1" w:themeTint="A6"/>
                <w:sz w:val="20"/>
                <w:szCs w:val="20"/>
              </w:rPr>
              <w:t>Overall, we are maintaining our investment approach, which is to focus on a diverse but very select group of leading companies with competitive advantages, all of which are enabling sustainable decarbonisation.</w:t>
            </w:r>
          </w:p>
        </w:tc>
      </w:tr>
      <w:tr w:rsidR="00C40EFE" w:rsidRPr="00C40EFE" w14:paraId="074625A5" w14:textId="77777777" w:rsidTr="00A974C3">
        <w:tc>
          <w:tcPr>
            <w:tcW w:w="9016" w:type="dxa"/>
          </w:tcPr>
          <w:p w14:paraId="560B36E7" w14:textId="77777777" w:rsidR="00697CB1" w:rsidRPr="00C40EFE" w:rsidRDefault="00697CB1" w:rsidP="00EB57F8">
            <w:pPr>
              <w:rPr>
                <w:rFonts w:ascii="Ninety One Visuelt" w:hAnsi="Ninety One Visuelt"/>
                <w:b/>
                <w:bCs/>
                <w:color w:val="595959" w:themeColor="text1" w:themeTint="A6"/>
                <w:sz w:val="20"/>
                <w:szCs w:val="20"/>
              </w:rPr>
            </w:pPr>
          </w:p>
        </w:tc>
      </w:tr>
      <w:tr w:rsidR="00C40EFE" w:rsidRPr="00C40EFE" w14:paraId="2613E10A" w14:textId="77777777" w:rsidTr="00A974C3">
        <w:tc>
          <w:tcPr>
            <w:tcW w:w="9016" w:type="dxa"/>
          </w:tcPr>
          <w:p w14:paraId="263EB7DE" w14:textId="19F7B20E" w:rsidR="009E7C1B" w:rsidRPr="00C40EFE" w:rsidRDefault="00697CB1" w:rsidP="008E5BE3">
            <w:pPr>
              <w:rPr>
                <w:rFonts w:ascii="Ninety One Visuelt" w:hAnsi="Ninety One Visuelt"/>
                <w:b/>
                <w:bCs/>
                <w:color w:val="595959" w:themeColor="text1" w:themeTint="A6"/>
                <w:sz w:val="20"/>
                <w:szCs w:val="20"/>
              </w:rPr>
            </w:pPr>
            <w:r w:rsidRPr="00C40EFE">
              <w:rPr>
                <w:rFonts w:ascii="Ninety One Visuelt" w:hAnsi="Ninety One Visuelt"/>
                <w:b/>
                <w:bCs/>
                <w:noProof/>
                <w:color w:val="595959" w:themeColor="text1" w:themeTint="A6"/>
                <w:sz w:val="20"/>
                <w:szCs w:val="20"/>
              </w:rPr>
              <w:drawing>
                <wp:inline distT="0" distB="0" distL="0" distR="0" wp14:anchorId="341CF71F" wp14:editId="338A3F7F">
                  <wp:extent cx="1123950" cy="1123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14:paraId="574D6253" w14:textId="77777777" w:rsidR="00697CB1" w:rsidRPr="00C40EFE" w:rsidRDefault="00697CB1" w:rsidP="008E5BE3">
            <w:pPr>
              <w:rPr>
                <w:rFonts w:ascii="Ninety One Visuelt" w:hAnsi="Ninety One Visuelt"/>
                <w:b/>
                <w:bCs/>
                <w:color w:val="595959" w:themeColor="text1" w:themeTint="A6"/>
                <w:sz w:val="20"/>
                <w:szCs w:val="20"/>
              </w:rPr>
            </w:pPr>
          </w:p>
          <w:p w14:paraId="0710AEF0" w14:textId="4734F44B" w:rsidR="009E7C1B" w:rsidRPr="00C40EFE" w:rsidRDefault="009E7C1B" w:rsidP="008E5BE3">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 xml:space="preserve">John Stopford, Head of Multi Asset Income </w:t>
            </w:r>
            <w:r w:rsidR="0088478C" w:rsidRPr="0088478C">
              <w:rPr>
                <w:rFonts w:ascii="Ninety One Visuelt" w:hAnsi="Ninety One Visuelt"/>
                <w:b/>
                <w:bCs/>
                <w:color w:val="595959" w:themeColor="text1" w:themeTint="A6"/>
                <w:sz w:val="20"/>
                <w:szCs w:val="20"/>
              </w:rPr>
              <w:t>and Co Portfolio Manager, Diversified Income and Global Income Opportunities Funds</w:t>
            </w:r>
          </w:p>
        </w:tc>
      </w:tr>
      <w:tr w:rsidR="00C40EFE" w:rsidRPr="00C40EFE" w14:paraId="109CAE6E" w14:textId="77777777" w:rsidTr="00A974C3">
        <w:tc>
          <w:tcPr>
            <w:tcW w:w="9016" w:type="dxa"/>
          </w:tcPr>
          <w:p w14:paraId="69DC472C" w14:textId="77777777" w:rsidR="00697CB1" w:rsidRPr="00C40EFE" w:rsidRDefault="00697CB1" w:rsidP="0014606F">
            <w:pPr>
              <w:rPr>
                <w:rFonts w:ascii="Ninety One Visuelt" w:hAnsi="Ninety One Visuelt"/>
                <w:b/>
                <w:bCs/>
                <w:color w:val="595959" w:themeColor="text1" w:themeTint="A6"/>
                <w:sz w:val="20"/>
                <w:szCs w:val="20"/>
              </w:rPr>
            </w:pPr>
          </w:p>
          <w:p w14:paraId="2976FABC" w14:textId="3EFF7946" w:rsidR="0014606F" w:rsidRPr="00C40EFE" w:rsidRDefault="0014606F" w:rsidP="0014606F">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 xml:space="preserve">We think things could </w:t>
            </w:r>
            <w:proofErr w:type="gramStart"/>
            <w:r w:rsidRPr="00C40EFE">
              <w:rPr>
                <w:rFonts w:ascii="Ninety One Visuelt" w:hAnsi="Ninety One Visuelt"/>
                <w:b/>
                <w:bCs/>
                <w:color w:val="595959" w:themeColor="text1" w:themeTint="A6"/>
                <w:sz w:val="20"/>
                <w:szCs w:val="20"/>
              </w:rPr>
              <w:t>actually turn</w:t>
            </w:r>
            <w:proofErr w:type="gramEnd"/>
            <w:r w:rsidRPr="00C40EFE">
              <w:rPr>
                <w:rFonts w:ascii="Ninety One Visuelt" w:hAnsi="Ninety One Visuelt"/>
                <w:b/>
                <w:bCs/>
                <w:color w:val="595959" w:themeColor="text1" w:themeTint="A6"/>
                <w:sz w:val="20"/>
                <w:szCs w:val="20"/>
              </w:rPr>
              <w:t xml:space="preserve"> out better in terms of rate expectations than perhaps the market is beginning to fear.</w:t>
            </w:r>
          </w:p>
          <w:p w14:paraId="79AE95D5" w14:textId="77777777" w:rsidR="0014606F" w:rsidRPr="00C40EFE" w:rsidRDefault="0014606F" w:rsidP="0014606F">
            <w:pPr>
              <w:rPr>
                <w:rFonts w:ascii="Ninety One Visuelt" w:hAnsi="Ninety One Visuelt"/>
                <w:b/>
                <w:bCs/>
                <w:color w:val="595959" w:themeColor="text1" w:themeTint="A6"/>
                <w:sz w:val="20"/>
                <w:szCs w:val="20"/>
              </w:rPr>
            </w:pPr>
          </w:p>
          <w:p w14:paraId="43AFBEA7" w14:textId="547DD058" w:rsidR="0014606F" w:rsidRPr="00C40EFE" w:rsidRDefault="0014606F" w:rsidP="0014606F">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 xml:space="preserve"> What is your outlook for 2022?</w:t>
            </w:r>
          </w:p>
          <w:p w14:paraId="0E625DB3" w14:textId="6C147EB8" w:rsidR="0014606F" w:rsidRPr="00C40EFE" w:rsidRDefault="0014606F" w:rsidP="0014606F">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 xml:space="preserve">We would argue valuations within income-generating assets look relatively attractive, both in terms of good quality, high-yielding equities, and elements of the credit market.  I think we are getting to a point where some markets are already pricing in a significant normalisation in policy and investors are also pricing in higher inflation.  Next year might start with some of the themes that are playing out currently – caution in terms of both growth and policy – but we </w:t>
            </w:r>
            <w:r w:rsidR="0088478C">
              <w:rPr>
                <w:rFonts w:ascii="Ninety One Visuelt" w:hAnsi="Ninety One Visuelt"/>
                <w:color w:val="595959" w:themeColor="text1" w:themeTint="A6"/>
                <w:sz w:val="20"/>
                <w:szCs w:val="20"/>
              </w:rPr>
              <w:t xml:space="preserve">expect </w:t>
            </w:r>
            <w:r w:rsidRPr="00C40EFE">
              <w:rPr>
                <w:rFonts w:ascii="Ninety One Visuelt" w:hAnsi="Ninety One Visuelt"/>
                <w:color w:val="595959" w:themeColor="text1" w:themeTint="A6"/>
                <w:sz w:val="20"/>
                <w:szCs w:val="20"/>
              </w:rPr>
              <w:t xml:space="preserve">some </w:t>
            </w:r>
            <w:proofErr w:type="gramStart"/>
            <w:r w:rsidRPr="00C40EFE">
              <w:rPr>
                <w:rFonts w:ascii="Ninety One Visuelt" w:hAnsi="Ninety One Visuelt"/>
                <w:color w:val="595959" w:themeColor="text1" w:themeTint="A6"/>
                <w:sz w:val="20"/>
                <w:szCs w:val="20"/>
              </w:rPr>
              <w:t>pretty exciting</w:t>
            </w:r>
            <w:proofErr w:type="gramEnd"/>
            <w:r w:rsidRPr="00C40EFE">
              <w:rPr>
                <w:rFonts w:ascii="Ninety One Visuelt" w:hAnsi="Ninety One Visuelt"/>
                <w:color w:val="595959" w:themeColor="text1" w:themeTint="A6"/>
                <w:sz w:val="20"/>
                <w:szCs w:val="20"/>
              </w:rPr>
              <w:t xml:space="preserve"> opportunities for resilient income investors such as ourselves, particularly from the bottom up.</w:t>
            </w:r>
            <w:r w:rsidRPr="00C40EFE">
              <w:rPr>
                <w:rFonts w:ascii="Arial" w:hAnsi="Arial" w:cs="Arial"/>
                <w:color w:val="595959" w:themeColor="text1" w:themeTint="A6"/>
                <w:sz w:val="20"/>
                <w:szCs w:val="20"/>
              </w:rPr>
              <w:t> </w:t>
            </w:r>
          </w:p>
          <w:p w14:paraId="6EB155DF" w14:textId="77777777" w:rsidR="0014606F" w:rsidRPr="00C40EFE" w:rsidRDefault="0014606F" w:rsidP="0014606F">
            <w:pPr>
              <w:rPr>
                <w:rFonts w:ascii="Ninety One Visuelt" w:hAnsi="Ninety One Visuelt"/>
                <w:color w:val="595959" w:themeColor="text1" w:themeTint="A6"/>
                <w:sz w:val="20"/>
                <w:szCs w:val="20"/>
              </w:rPr>
            </w:pPr>
          </w:p>
          <w:p w14:paraId="24382E8B" w14:textId="4EF8B794" w:rsidR="0014606F" w:rsidRPr="00C40EFE" w:rsidRDefault="0014606F" w:rsidP="0014606F">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How do you expect this normalisation in policy to play out?</w:t>
            </w:r>
          </w:p>
          <w:p w14:paraId="40610A45" w14:textId="35D78F0F" w:rsidR="0014606F" w:rsidRPr="00C40EFE" w:rsidRDefault="0014606F" w:rsidP="0014606F">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 xml:space="preserve">Policymakers are gradually removing super-easy policy, initially through running down their quantitative easing programmes and then, ultimately, we may get higher interest rates.  However, the market’s current fixation is the extent to which inflation is likely to be transient or longer lasting.  Whilst we think that there are medium-term inflation pressures, we are probably close to peak bottleneck, peak supply pressure, inflation and base effects going into next year could be </w:t>
            </w:r>
            <w:r w:rsidR="00697CB1" w:rsidRPr="00C40EFE">
              <w:rPr>
                <w:rFonts w:ascii="Ninety One Visuelt" w:hAnsi="Ninety One Visuelt"/>
                <w:color w:val="595959" w:themeColor="text1" w:themeTint="A6"/>
                <w:sz w:val="20"/>
                <w:szCs w:val="20"/>
              </w:rPr>
              <w:t>significant</w:t>
            </w:r>
            <w:r w:rsidRPr="00C40EFE">
              <w:rPr>
                <w:rFonts w:ascii="Ninety One Visuelt" w:hAnsi="Ninety One Visuelt"/>
                <w:color w:val="595959" w:themeColor="text1" w:themeTint="A6"/>
                <w:sz w:val="20"/>
                <w:szCs w:val="20"/>
              </w:rPr>
              <w:t>.</w:t>
            </w:r>
          </w:p>
          <w:p w14:paraId="740933A7" w14:textId="77777777" w:rsidR="0014606F" w:rsidRPr="00C40EFE" w:rsidRDefault="0014606F" w:rsidP="0014606F">
            <w:pPr>
              <w:rPr>
                <w:rFonts w:ascii="Ninety One Visuelt" w:hAnsi="Ninety One Visuelt"/>
                <w:color w:val="595959" w:themeColor="text1" w:themeTint="A6"/>
                <w:sz w:val="20"/>
                <w:szCs w:val="20"/>
              </w:rPr>
            </w:pPr>
          </w:p>
          <w:p w14:paraId="0A464058" w14:textId="56A5E525" w:rsidR="0014606F" w:rsidRPr="00C40EFE" w:rsidRDefault="0014606F" w:rsidP="0014606F">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There is quite a lot already priced into some markets in terms of higher rates</w:t>
            </w:r>
            <w:r w:rsidR="0088478C">
              <w:rPr>
                <w:rFonts w:ascii="Ninety One Visuelt" w:hAnsi="Ninety One Visuelt"/>
                <w:color w:val="595959" w:themeColor="text1" w:themeTint="A6"/>
                <w:sz w:val="20"/>
                <w:szCs w:val="20"/>
              </w:rPr>
              <w:t xml:space="preserve">. Additionally, </w:t>
            </w:r>
            <w:r w:rsidRPr="00C40EFE">
              <w:rPr>
                <w:rFonts w:ascii="Ninety One Visuelt" w:hAnsi="Ninety One Visuelt"/>
                <w:color w:val="595959" w:themeColor="text1" w:themeTint="A6"/>
                <w:sz w:val="20"/>
                <w:szCs w:val="20"/>
              </w:rPr>
              <w:t xml:space="preserve">central banks might get away with doing a bit less or being under less pressure if inflation starts to come back down towards target into the middle to second-half of 2022. Therefore, we think things could </w:t>
            </w:r>
            <w:proofErr w:type="gramStart"/>
            <w:r w:rsidRPr="00C40EFE">
              <w:rPr>
                <w:rFonts w:ascii="Ninety One Visuelt" w:hAnsi="Ninety One Visuelt"/>
                <w:color w:val="595959" w:themeColor="text1" w:themeTint="A6"/>
                <w:sz w:val="20"/>
                <w:szCs w:val="20"/>
              </w:rPr>
              <w:t>actually turn</w:t>
            </w:r>
            <w:proofErr w:type="gramEnd"/>
            <w:r w:rsidRPr="00C40EFE">
              <w:rPr>
                <w:rFonts w:ascii="Ninety One Visuelt" w:hAnsi="Ninety One Visuelt"/>
                <w:color w:val="595959" w:themeColor="text1" w:themeTint="A6"/>
                <w:sz w:val="20"/>
                <w:szCs w:val="20"/>
              </w:rPr>
              <w:t xml:space="preserve"> out better in terms of rate expectations than perhaps the market is beginning to fear.</w:t>
            </w:r>
          </w:p>
          <w:p w14:paraId="441F2F5C" w14:textId="77777777" w:rsidR="0014606F" w:rsidRPr="00C40EFE" w:rsidRDefault="0014606F" w:rsidP="0014606F">
            <w:pPr>
              <w:rPr>
                <w:rFonts w:ascii="Ninety One Visuelt" w:hAnsi="Ninety One Visuelt"/>
                <w:color w:val="595959" w:themeColor="text1" w:themeTint="A6"/>
                <w:sz w:val="20"/>
                <w:szCs w:val="20"/>
              </w:rPr>
            </w:pPr>
          </w:p>
          <w:p w14:paraId="7B68A985" w14:textId="2303F820" w:rsidR="0014606F" w:rsidRPr="00C40EFE" w:rsidRDefault="0088478C" w:rsidP="0014606F">
            <w:pPr>
              <w:rPr>
                <w:rFonts w:ascii="Ninety One Visuelt" w:hAnsi="Ninety One Visuelt"/>
                <w:b/>
                <w:bCs/>
                <w:color w:val="595959" w:themeColor="text1" w:themeTint="A6"/>
                <w:sz w:val="20"/>
                <w:szCs w:val="20"/>
              </w:rPr>
            </w:pPr>
            <w:r>
              <w:rPr>
                <w:rFonts w:ascii="Ninety One Visuelt" w:hAnsi="Ninety One Visuelt"/>
                <w:b/>
                <w:bCs/>
                <w:color w:val="595959" w:themeColor="text1" w:themeTint="A6"/>
                <w:sz w:val="20"/>
                <w:szCs w:val="20"/>
              </w:rPr>
              <w:t>W</w:t>
            </w:r>
            <w:r w:rsidR="0014606F" w:rsidRPr="00C40EFE">
              <w:rPr>
                <w:rFonts w:ascii="Ninety One Visuelt" w:hAnsi="Ninety One Visuelt"/>
                <w:b/>
                <w:bCs/>
                <w:color w:val="595959" w:themeColor="text1" w:themeTint="A6"/>
                <w:sz w:val="20"/>
                <w:szCs w:val="20"/>
              </w:rPr>
              <w:t>ill you add more risk in 2022?</w:t>
            </w:r>
          </w:p>
          <w:p w14:paraId="13CC28E2" w14:textId="77777777" w:rsidR="009E7C1B" w:rsidRDefault="0014606F" w:rsidP="009E7C1B">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We think that there may be an opportunity to add exposure in areas that are looking a little bit out of favour or distressed, but it is important to be selective. It is not as easy an environment in terms of loose policy and strong growth that we saw in 2020 and early 2021.  It is going to be more mixed, but we think we are getting to a point where investors are potentially beginning to price in too much risk in terms of inflation, policy tightening and weak growth, and that should present opportunities.</w:t>
            </w:r>
          </w:p>
          <w:p w14:paraId="00AF1CB8" w14:textId="77777777" w:rsidR="00F553A9" w:rsidRDefault="00F553A9" w:rsidP="009E7C1B">
            <w:pPr>
              <w:rPr>
                <w:rFonts w:ascii="Ninety One Visuelt" w:hAnsi="Ninety One Visuelt"/>
                <w:color w:val="595959" w:themeColor="text1" w:themeTint="A6"/>
                <w:sz w:val="20"/>
                <w:szCs w:val="20"/>
              </w:rPr>
            </w:pPr>
          </w:p>
          <w:p w14:paraId="277E4E84" w14:textId="77777777" w:rsidR="00F553A9" w:rsidRDefault="00F553A9" w:rsidP="009E7C1B">
            <w:pPr>
              <w:rPr>
                <w:rFonts w:ascii="Ninety One Visuelt" w:hAnsi="Ninety One Visuelt"/>
                <w:color w:val="595959" w:themeColor="text1" w:themeTint="A6"/>
                <w:sz w:val="20"/>
                <w:szCs w:val="20"/>
              </w:rPr>
            </w:pPr>
          </w:p>
          <w:p w14:paraId="637B69F4" w14:textId="58ED6D13" w:rsidR="00F553A9" w:rsidRPr="00C40EFE" w:rsidRDefault="00F553A9" w:rsidP="009E7C1B">
            <w:pPr>
              <w:rPr>
                <w:rFonts w:ascii="Ninety One Visuelt" w:hAnsi="Ninety One Visuelt"/>
                <w:color w:val="595959" w:themeColor="text1" w:themeTint="A6"/>
                <w:sz w:val="20"/>
                <w:szCs w:val="20"/>
              </w:rPr>
            </w:pPr>
          </w:p>
        </w:tc>
      </w:tr>
      <w:tr w:rsidR="00C40EFE" w:rsidRPr="00C40EFE" w14:paraId="3FC33785" w14:textId="77777777" w:rsidTr="00A974C3">
        <w:tc>
          <w:tcPr>
            <w:tcW w:w="9016" w:type="dxa"/>
          </w:tcPr>
          <w:p w14:paraId="4384A67E" w14:textId="77777777" w:rsidR="00697CB1" w:rsidRDefault="00697CB1" w:rsidP="0014606F">
            <w:pPr>
              <w:rPr>
                <w:rFonts w:ascii="Ninety One Visuelt" w:hAnsi="Ninety One Visuelt"/>
                <w:b/>
                <w:bCs/>
                <w:color w:val="595959" w:themeColor="text1" w:themeTint="A6"/>
                <w:sz w:val="20"/>
                <w:szCs w:val="20"/>
              </w:rPr>
            </w:pPr>
          </w:p>
          <w:p w14:paraId="75897011" w14:textId="77777777" w:rsidR="00F553A9" w:rsidRDefault="00F553A9" w:rsidP="0014606F">
            <w:pPr>
              <w:rPr>
                <w:rFonts w:ascii="Ninety One Visuelt" w:hAnsi="Ninety One Visuelt"/>
                <w:color w:val="595959" w:themeColor="text1" w:themeTint="A6"/>
                <w:sz w:val="20"/>
                <w:szCs w:val="20"/>
              </w:rPr>
            </w:pPr>
          </w:p>
          <w:p w14:paraId="108696F4" w14:textId="77777777" w:rsidR="00F553A9" w:rsidRDefault="00F553A9" w:rsidP="0014606F">
            <w:pPr>
              <w:rPr>
                <w:rFonts w:ascii="Ninety One Visuelt" w:hAnsi="Ninety One Visuelt"/>
                <w:color w:val="595959" w:themeColor="text1" w:themeTint="A6"/>
                <w:sz w:val="20"/>
                <w:szCs w:val="20"/>
              </w:rPr>
            </w:pPr>
          </w:p>
          <w:p w14:paraId="0B9B7488" w14:textId="77777777" w:rsidR="00F553A9" w:rsidRDefault="00F553A9" w:rsidP="0014606F">
            <w:pPr>
              <w:rPr>
                <w:rFonts w:ascii="Ninety One Visuelt" w:hAnsi="Ninety One Visuelt"/>
                <w:color w:val="595959" w:themeColor="text1" w:themeTint="A6"/>
                <w:sz w:val="20"/>
                <w:szCs w:val="20"/>
              </w:rPr>
            </w:pPr>
          </w:p>
          <w:p w14:paraId="4E5B5693" w14:textId="77777777" w:rsidR="00F553A9" w:rsidRDefault="00F553A9" w:rsidP="0014606F">
            <w:pPr>
              <w:rPr>
                <w:rFonts w:ascii="Ninety One Visuelt" w:hAnsi="Ninety One Visuelt"/>
                <w:color w:val="595959" w:themeColor="text1" w:themeTint="A6"/>
                <w:sz w:val="20"/>
                <w:szCs w:val="20"/>
              </w:rPr>
            </w:pPr>
          </w:p>
          <w:p w14:paraId="40A492FB" w14:textId="77777777" w:rsidR="00F553A9" w:rsidRDefault="00F553A9" w:rsidP="0014606F">
            <w:pPr>
              <w:rPr>
                <w:rFonts w:ascii="Ninety One Visuelt" w:hAnsi="Ninety One Visuelt"/>
                <w:color w:val="595959" w:themeColor="text1" w:themeTint="A6"/>
                <w:sz w:val="20"/>
                <w:szCs w:val="20"/>
              </w:rPr>
            </w:pPr>
          </w:p>
          <w:p w14:paraId="2B7D58CA" w14:textId="77777777" w:rsidR="00F553A9" w:rsidRDefault="00F553A9" w:rsidP="0014606F">
            <w:pPr>
              <w:rPr>
                <w:rFonts w:ascii="Ninety One Visuelt" w:hAnsi="Ninety One Visuelt"/>
                <w:color w:val="595959" w:themeColor="text1" w:themeTint="A6"/>
                <w:sz w:val="20"/>
                <w:szCs w:val="20"/>
              </w:rPr>
            </w:pPr>
          </w:p>
          <w:p w14:paraId="7CE6DD42" w14:textId="04A79149" w:rsidR="00F553A9" w:rsidRPr="00C40EFE" w:rsidRDefault="00F553A9" w:rsidP="0014606F">
            <w:pPr>
              <w:rPr>
                <w:rFonts w:ascii="Ninety One Visuelt" w:hAnsi="Ninety One Visuelt"/>
                <w:b/>
                <w:bCs/>
                <w:color w:val="595959" w:themeColor="text1" w:themeTint="A6"/>
                <w:sz w:val="20"/>
                <w:szCs w:val="20"/>
              </w:rPr>
            </w:pPr>
          </w:p>
        </w:tc>
      </w:tr>
      <w:tr w:rsidR="00C40EFE" w:rsidRPr="00C40EFE" w14:paraId="312EDB0C" w14:textId="77777777" w:rsidTr="00A974C3">
        <w:tc>
          <w:tcPr>
            <w:tcW w:w="9016" w:type="dxa"/>
          </w:tcPr>
          <w:p w14:paraId="1A1BFE82" w14:textId="77777777" w:rsidR="00697CB1" w:rsidRPr="00C40EFE" w:rsidRDefault="00697CB1" w:rsidP="009E7C1B">
            <w:pPr>
              <w:rPr>
                <w:rFonts w:ascii="Ninety One Visuelt" w:hAnsi="Ninety One Visuelt"/>
                <w:b/>
                <w:bCs/>
                <w:color w:val="595959" w:themeColor="text1" w:themeTint="A6"/>
                <w:sz w:val="20"/>
                <w:szCs w:val="20"/>
              </w:rPr>
            </w:pPr>
            <w:r w:rsidRPr="00C40EFE">
              <w:rPr>
                <w:rFonts w:ascii="Ninety One Visuelt" w:hAnsi="Ninety One Visuelt"/>
                <w:b/>
                <w:bCs/>
                <w:noProof/>
                <w:color w:val="595959" w:themeColor="text1" w:themeTint="A6"/>
                <w:sz w:val="20"/>
                <w:szCs w:val="20"/>
              </w:rPr>
              <w:lastRenderedPageBreak/>
              <w:drawing>
                <wp:inline distT="0" distB="0" distL="0" distR="0" wp14:anchorId="137278A5" wp14:editId="67DE7CDB">
                  <wp:extent cx="1305409" cy="126682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301" t="-1" r="11004" b="4368"/>
                          <a:stretch/>
                        </pic:blipFill>
                        <pic:spPr bwMode="auto">
                          <a:xfrm>
                            <a:off x="0" y="0"/>
                            <a:ext cx="1309282" cy="1270584"/>
                          </a:xfrm>
                          <a:prstGeom prst="rect">
                            <a:avLst/>
                          </a:prstGeom>
                          <a:noFill/>
                          <a:ln>
                            <a:noFill/>
                          </a:ln>
                          <a:extLst>
                            <a:ext uri="{53640926-AAD7-44D8-BBD7-CCE9431645EC}">
                              <a14:shadowObscured xmlns:a14="http://schemas.microsoft.com/office/drawing/2010/main"/>
                            </a:ext>
                          </a:extLst>
                        </pic:spPr>
                      </pic:pic>
                    </a:graphicData>
                  </a:graphic>
                </wp:inline>
              </w:drawing>
            </w:r>
          </w:p>
          <w:p w14:paraId="40906539" w14:textId="77777777" w:rsidR="00F553A9" w:rsidRDefault="00F553A9" w:rsidP="0088478C">
            <w:pPr>
              <w:rPr>
                <w:rFonts w:ascii="Ninety One Visuelt" w:hAnsi="Ninety One Visuelt"/>
                <w:b/>
                <w:bCs/>
                <w:color w:val="595959" w:themeColor="text1" w:themeTint="A6"/>
                <w:sz w:val="20"/>
                <w:szCs w:val="20"/>
              </w:rPr>
            </w:pPr>
          </w:p>
          <w:p w14:paraId="590CD0F8" w14:textId="3396F060" w:rsidR="0088478C" w:rsidRDefault="009E7C1B" w:rsidP="0088478C">
            <w:pPr>
              <w:rPr>
                <w:rFonts w:ascii="Ninety One Visuelt" w:hAnsi="Ninety One Visuelt"/>
                <w:b/>
                <w:bCs/>
                <w:sz w:val="20"/>
                <w:szCs w:val="20"/>
              </w:rPr>
            </w:pPr>
            <w:r w:rsidRPr="00C40EFE">
              <w:rPr>
                <w:rFonts w:ascii="Ninety One Visuelt" w:hAnsi="Ninety One Visuelt"/>
                <w:b/>
                <w:bCs/>
                <w:color w:val="595959" w:themeColor="text1" w:themeTint="A6"/>
                <w:sz w:val="20"/>
                <w:szCs w:val="20"/>
              </w:rPr>
              <w:t xml:space="preserve">Jeff Boswell, Head of Alternative Credit </w:t>
            </w:r>
            <w:r w:rsidR="0088478C" w:rsidRPr="0088478C">
              <w:rPr>
                <w:rFonts w:ascii="Ninety One Visuelt" w:hAnsi="Ninety One Visuelt"/>
                <w:b/>
                <w:bCs/>
                <w:color w:val="595959" w:themeColor="text1" w:themeTint="A6"/>
                <w:sz w:val="20"/>
                <w:szCs w:val="20"/>
              </w:rPr>
              <w:t>and Co Portfolio Manager, Global Total Return Credit Fund</w:t>
            </w:r>
          </w:p>
          <w:p w14:paraId="1FAC5468" w14:textId="7B0CEDE8" w:rsidR="00BC01BA" w:rsidRPr="00C40EFE" w:rsidRDefault="00BC01BA" w:rsidP="009E7C1B">
            <w:pPr>
              <w:rPr>
                <w:rFonts w:ascii="Ninety One Visuelt" w:hAnsi="Ninety One Visuelt"/>
                <w:b/>
                <w:bCs/>
                <w:color w:val="595959" w:themeColor="text1" w:themeTint="A6"/>
                <w:sz w:val="20"/>
                <w:szCs w:val="20"/>
              </w:rPr>
            </w:pPr>
          </w:p>
        </w:tc>
      </w:tr>
      <w:tr w:rsidR="00C40EFE" w:rsidRPr="00C40EFE" w14:paraId="49A4A783" w14:textId="77777777" w:rsidTr="00A974C3">
        <w:tc>
          <w:tcPr>
            <w:tcW w:w="9016" w:type="dxa"/>
          </w:tcPr>
          <w:p w14:paraId="6A4DEAC8" w14:textId="77777777" w:rsidR="007C7103" w:rsidRPr="00C40EFE" w:rsidRDefault="007C7103" w:rsidP="007C7103">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Prepare for a shift in conditions and increasing dispersion in the performance of companies.</w:t>
            </w:r>
          </w:p>
          <w:p w14:paraId="683BEFA3" w14:textId="77777777" w:rsidR="007C7103" w:rsidRPr="00C40EFE" w:rsidRDefault="007C7103" w:rsidP="007C7103">
            <w:pPr>
              <w:rPr>
                <w:rFonts w:ascii="Ninety One Visuelt" w:hAnsi="Ninety One Visuelt"/>
                <w:b/>
                <w:bCs/>
                <w:color w:val="595959" w:themeColor="text1" w:themeTint="A6"/>
                <w:sz w:val="20"/>
                <w:szCs w:val="20"/>
              </w:rPr>
            </w:pPr>
          </w:p>
          <w:p w14:paraId="3B387028" w14:textId="4C80AD1E" w:rsidR="007C7103" w:rsidRPr="00C40EFE" w:rsidRDefault="007C7103" w:rsidP="007C7103">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How high are current valuations in credit markets?</w:t>
            </w:r>
          </w:p>
          <w:p w14:paraId="7EBDFDB6" w14:textId="1E39BFF5" w:rsidR="007C7103" w:rsidRPr="00C40EFE" w:rsidRDefault="007C7103" w:rsidP="007C7103">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 xml:space="preserve">Over the past year we’ve seen the phenomenon of ‘a rising tide lifting all boats’ in global credit markets, with spreads and yields approaching historically tight levels in most markets. This means that at the aggregate level credit market valuations appear expensive and some of these markets are looking particularly vulnerable to a price correction.  However, look beneath the surface and you find significant differentiation, with some markets still offering compelling valuations for active investors who </w:t>
            </w:r>
            <w:proofErr w:type="gramStart"/>
            <w:r w:rsidRPr="00C40EFE">
              <w:rPr>
                <w:rFonts w:ascii="Ninety One Visuelt" w:hAnsi="Ninety One Visuelt"/>
                <w:color w:val="595959" w:themeColor="text1" w:themeTint="A6"/>
                <w:sz w:val="20"/>
                <w:szCs w:val="20"/>
              </w:rPr>
              <w:t>are able to</w:t>
            </w:r>
            <w:proofErr w:type="gramEnd"/>
            <w:r w:rsidRPr="00C40EFE">
              <w:rPr>
                <w:rFonts w:ascii="Ninety One Visuelt" w:hAnsi="Ninety One Visuelt"/>
                <w:color w:val="595959" w:themeColor="text1" w:themeTint="A6"/>
                <w:sz w:val="20"/>
                <w:szCs w:val="20"/>
              </w:rPr>
              <w:t xml:space="preserve"> cast a wide net.  US high yield is a good example of where we think both the highest and lowest quality parts of the market are particularly expensive, masking attractively valued opportunities among the middle-rated categories.</w:t>
            </w:r>
          </w:p>
          <w:p w14:paraId="5EEDC8B2" w14:textId="77777777" w:rsidR="007C7103" w:rsidRPr="00C40EFE" w:rsidRDefault="007C7103" w:rsidP="007C7103">
            <w:pPr>
              <w:rPr>
                <w:rFonts w:ascii="Ninety One Visuelt" w:hAnsi="Ninety One Visuelt"/>
                <w:b/>
                <w:bCs/>
                <w:color w:val="595959" w:themeColor="text1" w:themeTint="A6"/>
                <w:sz w:val="20"/>
                <w:szCs w:val="20"/>
              </w:rPr>
            </w:pPr>
          </w:p>
          <w:p w14:paraId="59BB2BF2" w14:textId="3C59DFDC" w:rsidR="007C7103" w:rsidRPr="00C40EFE" w:rsidRDefault="007C7103" w:rsidP="007C7103">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How strong is the fundamental outlook?</w:t>
            </w:r>
          </w:p>
          <w:p w14:paraId="7485F301" w14:textId="724C8A09" w:rsidR="007C7103" w:rsidRPr="00C40EFE" w:rsidRDefault="007C7103" w:rsidP="007C7103">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Offsetting the theme of generically tight valuations is a more constructive outlook for company fundamentals. Default rates – a vital area of concern of credit investors – are exceptionally low across both European and US markets as the global growth backdrop improves. This favourable fundamental outlook arguably justifies tight valuations and favours credit investors who can find those areas of the market that are still attractive from a valuation perspective.</w:t>
            </w:r>
          </w:p>
          <w:p w14:paraId="5F344AF7" w14:textId="77777777" w:rsidR="007C7103" w:rsidRPr="00C40EFE" w:rsidRDefault="007C7103" w:rsidP="007C7103">
            <w:pPr>
              <w:rPr>
                <w:rFonts w:ascii="Ninety One Visuelt" w:hAnsi="Ninety One Visuelt"/>
                <w:b/>
                <w:bCs/>
                <w:color w:val="595959" w:themeColor="text1" w:themeTint="A6"/>
                <w:sz w:val="20"/>
                <w:szCs w:val="20"/>
              </w:rPr>
            </w:pPr>
          </w:p>
          <w:p w14:paraId="51C87330" w14:textId="0A93B285" w:rsidR="007C7103" w:rsidRPr="00C40EFE" w:rsidRDefault="007C7103" w:rsidP="007C7103">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What will be different in 2022?</w:t>
            </w:r>
          </w:p>
          <w:p w14:paraId="69A1529A" w14:textId="653C88F2" w:rsidR="007C7103" w:rsidRPr="00C40EFE" w:rsidRDefault="007C7103" w:rsidP="007C7103">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 xml:space="preserve">Returning to the theme of a rising tide lifting all boats and considering what challenges 2022 might hold, credit investors should prepare for a shift in conditions and increasing dispersion in the performance of companies. While all companies benefited from the unprecedented support measures from policymakers in 2021, as that tide of support recedes and new challenges (inflation/supply chain issues/labour shortages) emerge, vulnerabilities will be laid bare. </w:t>
            </w:r>
          </w:p>
          <w:p w14:paraId="021D0F17" w14:textId="77777777" w:rsidR="007C7103" w:rsidRPr="00C40EFE" w:rsidRDefault="007C7103" w:rsidP="007C7103">
            <w:pPr>
              <w:rPr>
                <w:rFonts w:ascii="Ninety One Visuelt" w:hAnsi="Ninety One Visuelt"/>
                <w:color w:val="595959" w:themeColor="text1" w:themeTint="A6"/>
                <w:sz w:val="20"/>
                <w:szCs w:val="20"/>
              </w:rPr>
            </w:pPr>
          </w:p>
          <w:p w14:paraId="40A5090D" w14:textId="42404FF9" w:rsidR="007C7103" w:rsidRPr="00C40EFE" w:rsidRDefault="007C7103" w:rsidP="007C7103">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This will ultimately reveal winners and losers within the corporate landscape.  Against this backdrop, credit investors will need to be more selective in their approach, aiming to avoid companies that are most vulnerable and to seek out those with resilience. Investors should also expect increased volatility against this backdrop.  As we see a moderation in growth momentum as markets adjust to a new economic normal, investors should not be tempted to buy into credit stories that are heavily reliant on a continued unrealistic economic trajectory, or that are not paying them sufficiently for the associated risk.</w:t>
            </w:r>
          </w:p>
          <w:p w14:paraId="212E3AA8" w14:textId="77777777" w:rsidR="007C7103" w:rsidRPr="00C40EFE" w:rsidRDefault="007C7103" w:rsidP="007C7103">
            <w:pPr>
              <w:rPr>
                <w:rFonts w:ascii="Ninety One Visuelt" w:hAnsi="Ninety One Visuelt"/>
                <w:color w:val="595959" w:themeColor="text1" w:themeTint="A6"/>
                <w:sz w:val="20"/>
                <w:szCs w:val="20"/>
              </w:rPr>
            </w:pPr>
          </w:p>
          <w:p w14:paraId="72C42A51" w14:textId="616D4EC6" w:rsidR="007C7103" w:rsidRPr="00C40EFE" w:rsidRDefault="007C7103" w:rsidP="007C7103">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Another continuing theme will be the ‘greening’ of credit markets, already demonstrated by the surging issuance of green and sustainability-linked bonds during 2021. Investors will need an increasingly wide lens and new analytical approaches to navigate opportunities arising in that field and, more broadly, to assess ESG risks and opportunities which are increasingly being priced into markets.</w:t>
            </w:r>
          </w:p>
          <w:p w14:paraId="3973E942" w14:textId="77777777" w:rsidR="007C7103" w:rsidRPr="00C40EFE" w:rsidRDefault="007C7103" w:rsidP="007C7103">
            <w:pPr>
              <w:rPr>
                <w:rFonts w:ascii="Ninety One Visuelt" w:hAnsi="Ninety One Visuelt"/>
                <w:color w:val="595959" w:themeColor="text1" w:themeTint="A6"/>
                <w:sz w:val="20"/>
                <w:szCs w:val="20"/>
              </w:rPr>
            </w:pPr>
          </w:p>
          <w:p w14:paraId="6A985D9C" w14:textId="218E6BF4" w:rsidR="007C7103" w:rsidRPr="00C40EFE" w:rsidRDefault="007C7103" w:rsidP="007C7103">
            <w:pPr>
              <w:rPr>
                <w:rFonts w:ascii="Ninety One Visuelt" w:hAnsi="Ninety One Visuelt"/>
                <w:b/>
                <w:bCs/>
                <w:color w:val="595959" w:themeColor="text1" w:themeTint="A6"/>
                <w:sz w:val="20"/>
                <w:szCs w:val="20"/>
              </w:rPr>
            </w:pPr>
            <w:r w:rsidRPr="00C40EFE">
              <w:rPr>
                <w:rFonts w:ascii="Ninety One Visuelt" w:hAnsi="Ninety One Visuelt"/>
                <w:b/>
                <w:bCs/>
                <w:color w:val="595959" w:themeColor="text1" w:themeTint="A6"/>
                <w:sz w:val="20"/>
                <w:szCs w:val="20"/>
              </w:rPr>
              <w:t>How are you positioned?</w:t>
            </w:r>
          </w:p>
          <w:p w14:paraId="35E16CB8" w14:textId="77777777" w:rsidR="00F553A9" w:rsidRDefault="007C7103" w:rsidP="007C7103">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 xml:space="preserve">Given the balance between the market valuation picture and the fundamental strength described above, we would describe our current positioning as cautiously constructive.  While the fundamental backdrop is strong, valuations in credit markets limit the potential for further spread compression-driven gains.  Our </w:t>
            </w:r>
          </w:p>
          <w:p w14:paraId="45F19D43" w14:textId="77777777" w:rsidR="00F553A9" w:rsidRDefault="00F553A9" w:rsidP="007C7103">
            <w:pPr>
              <w:rPr>
                <w:rFonts w:ascii="Ninety One Visuelt" w:hAnsi="Ninety One Visuelt"/>
                <w:color w:val="595959" w:themeColor="text1" w:themeTint="A6"/>
                <w:sz w:val="20"/>
                <w:szCs w:val="20"/>
              </w:rPr>
            </w:pPr>
          </w:p>
          <w:p w14:paraId="44392DA5" w14:textId="77777777" w:rsidR="00F553A9" w:rsidRDefault="00F553A9" w:rsidP="007C7103">
            <w:pPr>
              <w:rPr>
                <w:rFonts w:ascii="Ninety One Visuelt" w:hAnsi="Ninety One Visuelt"/>
                <w:color w:val="595959" w:themeColor="text1" w:themeTint="A6"/>
                <w:sz w:val="20"/>
                <w:szCs w:val="20"/>
              </w:rPr>
            </w:pPr>
          </w:p>
          <w:p w14:paraId="66787E0D" w14:textId="77777777" w:rsidR="00F553A9" w:rsidRDefault="00F553A9" w:rsidP="007C7103">
            <w:pPr>
              <w:rPr>
                <w:rFonts w:ascii="Ninety One Visuelt" w:hAnsi="Ninety One Visuelt"/>
                <w:color w:val="595959" w:themeColor="text1" w:themeTint="A6"/>
                <w:sz w:val="20"/>
                <w:szCs w:val="20"/>
              </w:rPr>
            </w:pPr>
          </w:p>
          <w:p w14:paraId="695A7A32" w14:textId="6098F193" w:rsidR="007C7103" w:rsidRPr="00C40EFE" w:rsidRDefault="007C7103" w:rsidP="007C7103">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focus is on earning attractive carry for investors in the parts of the market that still offer value, while the potential for increased dispersion leads us to tilt towards some of the more defensive areas of the market.</w:t>
            </w:r>
          </w:p>
          <w:p w14:paraId="27BCA362" w14:textId="77777777" w:rsidR="007C7103" w:rsidRPr="00C40EFE" w:rsidRDefault="007C7103" w:rsidP="007C7103">
            <w:pPr>
              <w:rPr>
                <w:rFonts w:ascii="Ninety One Visuelt" w:hAnsi="Ninety One Visuelt"/>
                <w:color w:val="595959" w:themeColor="text1" w:themeTint="A6"/>
                <w:sz w:val="20"/>
                <w:szCs w:val="20"/>
              </w:rPr>
            </w:pPr>
          </w:p>
          <w:p w14:paraId="055403B9" w14:textId="75D1FC06" w:rsidR="007C7103" w:rsidRPr="00C40EFE" w:rsidRDefault="007C7103" w:rsidP="007C7103">
            <w:pPr>
              <w:rPr>
                <w:rFonts w:ascii="Ninety One Visuelt" w:hAnsi="Ninety One Visuelt"/>
                <w:color w:val="595959" w:themeColor="text1" w:themeTint="A6"/>
                <w:sz w:val="20"/>
                <w:szCs w:val="20"/>
              </w:rPr>
            </w:pPr>
            <w:r w:rsidRPr="00C40EFE">
              <w:rPr>
                <w:rFonts w:ascii="Ninety One Visuelt" w:hAnsi="Ninety One Visuelt"/>
                <w:color w:val="595959" w:themeColor="text1" w:themeTint="A6"/>
                <w:sz w:val="20"/>
                <w:szCs w:val="20"/>
              </w:rPr>
              <w:t>2021 was about dynamically allocating across global credit markets to capture the rally that permeated across markets as economies reopened and seeking out companies where we saw strong scope for improvement. 2022 will be more about focusing on the more defensive areas of the market that offer the right balance of yield and downside protection.</w:t>
            </w:r>
          </w:p>
          <w:p w14:paraId="73C78E22" w14:textId="77777777" w:rsidR="00CF41B3" w:rsidRPr="00C40EFE" w:rsidRDefault="00CF41B3" w:rsidP="009E7C1B">
            <w:pPr>
              <w:rPr>
                <w:rFonts w:ascii="Ninety One Visuelt" w:hAnsi="Ninety One Visuelt"/>
                <w:b/>
                <w:bCs/>
                <w:color w:val="595959" w:themeColor="text1" w:themeTint="A6"/>
                <w:sz w:val="20"/>
                <w:szCs w:val="20"/>
              </w:rPr>
            </w:pPr>
          </w:p>
        </w:tc>
      </w:tr>
      <w:bookmarkEnd w:id="3"/>
    </w:tbl>
    <w:p w14:paraId="463D3E40" w14:textId="6DF01673" w:rsidR="008E5BE3" w:rsidRDefault="008E5BE3" w:rsidP="008E5BE3">
      <w:pPr>
        <w:rPr>
          <w:rFonts w:ascii="Ninety One Visuelt" w:hAnsi="Ninety One Visuelt"/>
          <w:b/>
          <w:bCs/>
          <w:u w:val="single"/>
        </w:rPr>
      </w:pPr>
    </w:p>
    <w:p w14:paraId="69D31864" w14:textId="77777777" w:rsidR="00E61CDE" w:rsidRPr="00A540E5" w:rsidRDefault="00E61CDE" w:rsidP="00E61CDE">
      <w:pPr>
        <w:adjustRightInd w:val="0"/>
        <w:spacing w:after="0" w:line="240" w:lineRule="auto"/>
        <w:jc w:val="center"/>
        <w:rPr>
          <w:b/>
          <w:bCs/>
          <w:sz w:val="20"/>
          <w:szCs w:val="20"/>
        </w:rPr>
      </w:pPr>
      <w:r w:rsidRPr="002E6B05">
        <w:rPr>
          <w:b/>
          <w:bCs/>
        </w:rPr>
        <w:t>-</w:t>
      </w:r>
      <w:r w:rsidRPr="00A540E5">
        <w:rPr>
          <w:b/>
          <w:bCs/>
          <w:sz w:val="20"/>
          <w:szCs w:val="20"/>
        </w:rPr>
        <w:t>End-</w:t>
      </w:r>
    </w:p>
    <w:p w14:paraId="3BE31F93" w14:textId="77777777" w:rsidR="00D74446" w:rsidRPr="001C7C6C" w:rsidRDefault="00D74446" w:rsidP="00D74446">
      <w:pPr>
        <w:rPr>
          <w:b/>
          <w:bCs/>
        </w:rPr>
      </w:pPr>
    </w:p>
    <w:p w14:paraId="42EC0B04" w14:textId="77777777" w:rsidR="00F553A9" w:rsidRDefault="00F553A9" w:rsidP="00D74446">
      <w:pPr>
        <w:pStyle w:val="Heading2"/>
        <w:rPr>
          <w:rFonts w:ascii="Ninety One Visuelt Medium" w:eastAsia="NinetyOneVisuelt-Light" w:hAnsi="Ninety One Visuelt Medium" w:cs="NinetyOneVisuelt-Light"/>
          <w:color w:val="009D80"/>
          <w:sz w:val="18"/>
          <w:szCs w:val="22"/>
          <w:lang w:eastAsia="en-GB" w:bidi="en-GB"/>
        </w:rPr>
      </w:pPr>
    </w:p>
    <w:p w14:paraId="17C0DF0D" w14:textId="14B37068" w:rsidR="00D74446" w:rsidRDefault="00D74446" w:rsidP="00D74446">
      <w:pPr>
        <w:pStyle w:val="Heading2"/>
        <w:rPr>
          <w:rFonts w:ascii="Ninety One Visuelt Medium" w:eastAsia="NinetyOneVisuelt-Light" w:hAnsi="Ninety One Visuelt Medium" w:cs="NinetyOneVisuelt-Light"/>
          <w:color w:val="009D80"/>
          <w:sz w:val="18"/>
          <w:szCs w:val="22"/>
          <w:lang w:eastAsia="en-GB" w:bidi="en-GB"/>
        </w:rPr>
      </w:pPr>
      <w:r w:rsidRPr="00D74446">
        <w:rPr>
          <w:rFonts w:ascii="Ninety One Visuelt Medium" w:eastAsia="NinetyOneVisuelt-Light" w:hAnsi="Ninety One Visuelt Medium" w:cs="NinetyOneVisuelt-Light"/>
          <w:color w:val="009D80"/>
          <w:sz w:val="18"/>
          <w:szCs w:val="22"/>
          <w:lang w:eastAsia="en-GB" w:bidi="en-GB"/>
        </w:rPr>
        <w:t>Notes to Editors</w:t>
      </w:r>
    </w:p>
    <w:p w14:paraId="718F03C7" w14:textId="77777777" w:rsidR="00F553A9" w:rsidRDefault="00F553A9" w:rsidP="00D74446">
      <w:pPr>
        <w:spacing w:after="0" w:line="240" w:lineRule="auto"/>
        <w:rPr>
          <w:b/>
          <w:bCs/>
          <w:sz w:val="18"/>
          <w:szCs w:val="18"/>
          <w:u w:val="single"/>
        </w:rPr>
      </w:pPr>
    </w:p>
    <w:p w14:paraId="4F059796" w14:textId="746F6BFF" w:rsidR="00D74446" w:rsidRPr="00F553A9" w:rsidRDefault="00D74446" w:rsidP="00D74446">
      <w:pPr>
        <w:spacing w:after="0" w:line="240" w:lineRule="auto"/>
        <w:rPr>
          <w:b/>
          <w:bCs/>
          <w:sz w:val="18"/>
          <w:szCs w:val="18"/>
          <w:u w:val="single"/>
        </w:rPr>
      </w:pPr>
      <w:r w:rsidRPr="00F553A9">
        <w:rPr>
          <w:b/>
          <w:bCs/>
          <w:sz w:val="18"/>
          <w:szCs w:val="18"/>
          <w:u w:val="single"/>
        </w:rPr>
        <w:t>Media contacts:</w:t>
      </w:r>
    </w:p>
    <w:p w14:paraId="24954789" w14:textId="0DEF030D" w:rsidR="00D74446" w:rsidRPr="00D74446" w:rsidRDefault="00F553A9" w:rsidP="00D74446">
      <w:pPr>
        <w:spacing w:after="0" w:line="240" w:lineRule="auto"/>
        <w:rPr>
          <w:rFonts w:eastAsia="NinetyOneVisuelt-Light" w:cs="NinetyOneVisuelt-Light"/>
          <w:color w:val="000000" w:themeColor="text1"/>
          <w:sz w:val="18"/>
          <w:lang w:eastAsia="en-GB" w:bidi="en-GB"/>
        </w:rPr>
      </w:pPr>
      <w:r>
        <w:rPr>
          <w:rFonts w:eastAsia="NinetyOneVisuelt-Light" w:cs="NinetyOneVisuelt-Light"/>
          <w:color w:val="000000" w:themeColor="text1"/>
          <w:sz w:val="18"/>
          <w:lang w:eastAsia="en-GB" w:bidi="en-GB"/>
        </w:rPr>
        <w:t>Kotie Basson,</w:t>
      </w:r>
      <w:r w:rsidR="00D74446" w:rsidRPr="00D74446">
        <w:rPr>
          <w:rFonts w:eastAsia="NinetyOneVisuelt-Light" w:cs="NinetyOneVisuelt-Light"/>
          <w:color w:val="000000" w:themeColor="text1"/>
          <w:sz w:val="18"/>
          <w:lang w:eastAsia="en-GB" w:bidi="en-GB"/>
        </w:rPr>
        <w:t xml:space="preserve"> Ninety One </w:t>
      </w:r>
    </w:p>
    <w:p w14:paraId="50E2DE82" w14:textId="6CAC510A" w:rsidR="00D74446" w:rsidRPr="00D74446" w:rsidRDefault="00F553A9" w:rsidP="00D74446">
      <w:pPr>
        <w:spacing w:after="0" w:line="240" w:lineRule="auto"/>
        <w:rPr>
          <w:rFonts w:eastAsia="NinetyOneVisuelt-Light" w:cs="NinetyOneVisuelt-Light"/>
          <w:color w:val="000000" w:themeColor="text1"/>
          <w:sz w:val="18"/>
          <w:lang w:eastAsia="en-GB" w:bidi="en-GB"/>
        </w:rPr>
      </w:pPr>
      <w:r>
        <w:rPr>
          <w:rFonts w:eastAsia="NinetyOneVisuelt-Light" w:cs="NinetyOneVisuelt-Light"/>
          <w:color w:val="000000" w:themeColor="text1"/>
          <w:sz w:val="18"/>
          <w:lang w:eastAsia="en-GB" w:bidi="en-GB"/>
        </w:rPr>
        <w:t>+27 82 375 1317</w:t>
      </w:r>
    </w:p>
    <w:p w14:paraId="2A7F0B07" w14:textId="21A0C0B8" w:rsidR="00D74446" w:rsidRPr="00D74446" w:rsidRDefault="00F553A9" w:rsidP="00D74446">
      <w:pPr>
        <w:rPr>
          <w:b/>
          <w:bCs/>
          <w:sz w:val="18"/>
          <w:szCs w:val="18"/>
        </w:rPr>
      </w:pPr>
      <w:hyperlink r:id="rId12" w:history="1">
        <w:r w:rsidRPr="009E2C78">
          <w:rPr>
            <w:rStyle w:val="Hyperlink"/>
            <w:b/>
            <w:bCs/>
            <w:sz w:val="18"/>
            <w:szCs w:val="18"/>
          </w:rPr>
          <w:t>kotie.basson@ninetyone.com</w:t>
        </w:r>
      </w:hyperlink>
    </w:p>
    <w:p w14:paraId="66D6D14D" w14:textId="085EE039" w:rsidR="00D74446" w:rsidRPr="00CF5F0D" w:rsidRDefault="00F553A9" w:rsidP="00D74446">
      <w:pPr>
        <w:rPr>
          <w:b/>
          <w:bCs/>
        </w:rPr>
      </w:pPr>
      <w:r>
        <w:rPr>
          <w:rFonts w:eastAsia="NinetyOneVisuelt-Light" w:cs="NinetyOneVisuelt-Light"/>
          <w:color w:val="000000" w:themeColor="text1"/>
          <w:sz w:val="18"/>
          <w:lang w:eastAsia="en-GB" w:bidi="en-GB"/>
        </w:rPr>
        <w:t>Gillian Gernetzky</w:t>
      </w:r>
      <w:r w:rsidR="00D74446" w:rsidRPr="00D74446">
        <w:rPr>
          <w:rFonts w:eastAsia="NinetyOneVisuelt-Light" w:cs="NinetyOneVisuelt-Light"/>
          <w:color w:val="000000" w:themeColor="text1"/>
          <w:sz w:val="18"/>
          <w:lang w:eastAsia="en-GB" w:bidi="en-GB"/>
        </w:rPr>
        <w:t xml:space="preserve">, </w:t>
      </w:r>
      <w:r>
        <w:rPr>
          <w:rFonts w:eastAsia="NinetyOneVisuelt-Light" w:cs="NinetyOneVisuelt-Light"/>
          <w:color w:val="000000" w:themeColor="text1"/>
          <w:sz w:val="18"/>
          <w:lang w:eastAsia="en-GB" w:bidi="en-GB"/>
        </w:rPr>
        <w:t>Fletcher Advisory</w:t>
      </w:r>
      <w:r w:rsidR="00D74446" w:rsidRPr="00D74446">
        <w:rPr>
          <w:rFonts w:eastAsia="NinetyOneVisuelt-Light" w:cs="NinetyOneVisuelt-Light"/>
          <w:color w:val="000000" w:themeColor="text1"/>
          <w:sz w:val="18"/>
          <w:lang w:eastAsia="en-GB" w:bidi="en-GB"/>
        </w:rPr>
        <w:t xml:space="preserve"> </w:t>
      </w:r>
      <w:r w:rsidR="00D74446" w:rsidRPr="00D74446">
        <w:rPr>
          <w:rFonts w:eastAsia="NinetyOneVisuelt-Light" w:cs="NinetyOneVisuelt-Light"/>
          <w:color w:val="000000" w:themeColor="text1"/>
          <w:sz w:val="18"/>
          <w:lang w:eastAsia="en-GB" w:bidi="en-GB"/>
        </w:rPr>
        <w:br/>
        <w:t>+</w:t>
      </w:r>
      <w:r>
        <w:rPr>
          <w:rFonts w:eastAsia="NinetyOneVisuelt-Light" w:cs="NinetyOneVisuelt-Light"/>
          <w:color w:val="000000" w:themeColor="text1"/>
          <w:sz w:val="18"/>
          <w:lang w:eastAsia="en-GB" w:bidi="en-GB"/>
        </w:rPr>
        <w:t>27 82 892 8378</w:t>
      </w:r>
      <w:r w:rsidR="00D74446" w:rsidRPr="00CF5F0D">
        <w:rPr>
          <w:b/>
          <w:bCs/>
        </w:rPr>
        <w:br/>
      </w:r>
      <w:hyperlink r:id="rId13" w:history="1">
        <w:r w:rsidRPr="009E2C78">
          <w:rPr>
            <w:rStyle w:val="Hyperlink"/>
            <w:b/>
            <w:bCs/>
            <w:sz w:val="18"/>
            <w:szCs w:val="18"/>
          </w:rPr>
          <w:t>gill@fletcheradvisory.com</w:t>
        </w:r>
      </w:hyperlink>
      <w:r w:rsidR="00D74446" w:rsidRPr="00CF5F0D">
        <w:rPr>
          <w:b/>
          <w:bCs/>
        </w:rPr>
        <w:t xml:space="preserve"> </w:t>
      </w:r>
      <w:r w:rsidR="00D74446" w:rsidRPr="00CF5F0D">
        <w:rPr>
          <w:b/>
          <w:bCs/>
          <w:noProof/>
        </w:rPr>
        <mc:AlternateContent>
          <mc:Choice Requires="wps">
            <w:drawing>
              <wp:anchor distT="0" distB="0" distL="114300" distR="114300" simplePos="0" relativeHeight="251659264" behindDoc="1" locked="0" layoutInCell="1" allowOverlap="1" wp14:anchorId="5A2854EE" wp14:editId="584F261F">
                <wp:simplePos x="0" y="0"/>
                <wp:positionH relativeFrom="page">
                  <wp:align>left</wp:align>
                </wp:positionH>
                <wp:positionV relativeFrom="page">
                  <wp:align>bottom</wp:align>
                </wp:positionV>
                <wp:extent cx="2026920" cy="2279015"/>
                <wp:effectExtent l="0" t="0" r="0" b="6985"/>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285" cy="2278380"/>
                        </a:xfrm>
                        <a:custGeom>
                          <a:avLst/>
                          <a:gdLst>
                            <a:gd name="T0" fmla="*/ 1222375 w 3193"/>
                            <a:gd name="T1" fmla="*/ 8759825 h 3591"/>
                            <a:gd name="T2" fmla="*/ 576580 w 3193"/>
                            <a:gd name="T3" fmla="*/ 8412480 h 3591"/>
                            <a:gd name="T4" fmla="*/ 0 w 3193"/>
                            <a:gd name="T5" fmla="*/ 9484995 h 3591"/>
                            <a:gd name="T6" fmla="*/ 0 w 3193"/>
                            <a:gd name="T7" fmla="*/ 10692130 h 3591"/>
                            <a:gd name="T8" fmla="*/ 184150 w 3193"/>
                            <a:gd name="T9" fmla="*/ 10692130 h 3591"/>
                            <a:gd name="T10" fmla="*/ 1222375 w 3193"/>
                            <a:gd name="T11" fmla="*/ 8759825 h 3591"/>
                            <a:gd name="T12" fmla="*/ 1660525 w 3193"/>
                            <a:gd name="T13" fmla="*/ 9363075 h 3591"/>
                            <a:gd name="T14" fmla="*/ 1102995 w 3193"/>
                            <a:gd name="T15" fmla="*/ 9112250 h 3591"/>
                            <a:gd name="T16" fmla="*/ 391795 w 3193"/>
                            <a:gd name="T17" fmla="*/ 10692130 h 3591"/>
                            <a:gd name="T18" fmla="*/ 1062355 w 3193"/>
                            <a:gd name="T19" fmla="*/ 10692130 h 3591"/>
                            <a:gd name="T20" fmla="*/ 1660525 w 3193"/>
                            <a:gd name="T21" fmla="*/ 9363075 h 3591"/>
                            <a:gd name="T22" fmla="*/ 2026920 w 3193"/>
                            <a:gd name="T23" fmla="*/ 9895840 h 3591"/>
                            <a:gd name="T24" fmla="*/ 1568450 w 3193"/>
                            <a:gd name="T25" fmla="*/ 9726930 h 3591"/>
                            <a:gd name="T26" fmla="*/ 1212215 w 3193"/>
                            <a:gd name="T27" fmla="*/ 10692130 h 3591"/>
                            <a:gd name="T28" fmla="*/ 1733550 w 3193"/>
                            <a:gd name="T29" fmla="*/ 10692130 h 3591"/>
                            <a:gd name="T30" fmla="*/ 2026920 w 3193"/>
                            <a:gd name="T31" fmla="*/ 9895840 h 3591"/>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3193" h="3591">
                              <a:moveTo>
                                <a:pt x="1925" y="547"/>
                              </a:moveTo>
                              <a:lnTo>
                                <a:pt x="908" y="0"/>
                              </a:lnTo>
                              <a:lnTo>
                                <a:pt x="0" y="1689"/>
                              </a:lnTo>
                              <a:lnTo>
                                <a:pt x="0" y="3590"/>
                              </a:lnTo>
                              <a:lnTo>
                                <a:pt x="290" y="3590"/>
                              </a:lnTo>
                              <a:lnTo>
                                <a:pt x="1925" y="547"/>
                              </a:lnTo>
                              <a:moveTo>
                                <a:pt x="2615" y="1497"/>
                              </a:moveTo>
                              <a:lnTo>
                                <a:pt x="1737" y="1102"/>
                              </a:lnTo>
                              <a:lnTo>
                                <a:pt x="617" y="3590"/>
                              </a:lnTo>
                              <a:lnTo>
                                <a:pt x="1673" y="3590"/>
                              </a:lnTo>
                              <a:lnTo>
                                <a:pt x="2615" y="1497"/>
                              </a:lnTo>
                              <a:moveTo>
                                <a:pt x="3192" y="2336"/>
                              </a:moveTo>
                              <a:lnTo>
                                <a:pt x="2470" y="2070"/>
                              </a:lnTo>
                              <a:lnTo>
                                <a:pt x="1909" y="3590"/>
                              </a:lnTo>
                              <a:lnTo>
                                <a:pt x="2730" y="3590"/>
                              </a:lnTo>
                              <a:lnTo>
                                <a:pt x="3192" y="2336"/>
                              </a:lnTo>
                            </a:path>
                          </a:pathLst>
                        </a:cu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7DED2" id="Freeform: Shape 16" o:spid="_x0000_s1026" style="position:absolute;margin-left:0;margin-top:0;width:159.6pt;height:179.45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coordsize="3193,3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" path="m1925,547l908,,,1689,,3590r290,l1925,547t690,950l1737,1102,617,3590r1056,l2615,1497t577,839l2470,2070,1909,3590r821,l3192,2336e" fillcolor="#ed7d31 [3205]" stroked="f">
                <v:path arrowok="t" o:connecttype="custom" o:connectlocs="775721931,2147483646;365898968,2147483646;0,2147483646;0,2147483646;116862005,2147483646;775721931,2147483646;1053772909,2147483646;699963114,2147483646;248633990,2147483646;674172879,2147483646;1053772909,2147483646;1286288003,2147483646;995341907,2147483646;769274372,2147483646;1100114739,2147483646;1286288003,2147483646" o:connectangles="0,0,0,0,0,0,0,0,0,0,0,0,0,0,0,0"/>
                <w10:wrap anchorx="page" anchory="page"/>
              </v:shape>
            </w:pict>
          </mc:Fallback>
        </mc:AlternateContent>
      </w:r>
    </w:p>
    <w:p w14:paraId="01810E13" w14:textId="77777777" w:rsidR="00D74446" w:rsidRPr="00D74446" w:rsidRDefault="00D74446" w:rsidP="00D74446">
      <w:pPr>
        <w:rPr>
          <w:lang w:eastAsia="en-GB" w:bidi="en-GB"/>
        </w:rPr>
      </w:pPr>
    </w:p>
    <w:p w14:paraId="5D39A4DA" w14:textId="77777777" w:rsidR="00D74446" w:rsidRPr="00D74446" w:rsidRDefault="00D74446" w:rsidP="00D74446">
      <w:pPr>
        <w:pStyle w:val="Heading2"/>
        <w:keepLines w:val="0"/>
        <w:widowControl w:val="0"/>
        <w:autoSpaceDE w:val="0"/>
        <w:autoSpaceDN w:val="0"/>
        <w:spacing w:before="240" w:after="240" w:line="264" w:lineRule="auto"/>
        <w:rPr>
          <w:rFonts w:ascii="Ninety One Visuelt Medium" w:eastAsia="NinetyOneVisuelt-Light" w:hAnsi="Ninety One Visuelt Medium" w:cs="NinetyOneVisuelt-Light"/>
          <w:color w:val="009D80"/>
          <w:sz w:val="18"/>
          <w:szCs w:val="22"/>
          <w:lang w:eastAsia="en-GB" w:bidi="en-GB"/>
        </w:rPr>
      </w:pPr>
      <w:r w:rsidRPr="00D74446">
        <w:rPr>
          <w:rFonts w:ascii="Ninety One Visuelt Medium" w:eastAsia="NinetyOneVisuelt-Light" w:hAnsi="Ninety One Visuelt Medium" w:cs="NinetyOneVisuelt-Light"/>
          <w:color w:val="009D80"/>
          <w:sz w:val="18"/>
          <w:szCs w:val="22"/>
          <w:lang w:eastAsia="en-GB" w:bidi="en-GB"/>
        </w:rPr>
        <w:t>About Ninety One</w:t>
      </w:r>
    </w:p>
    <w:p w14:paraId="077622B4" w14:textId="117989B8" w:rsidR="00D74446" w:rsidRPr="00D74446" w:rsidRDefault="00D74446" w:rsidP="00D74446">
      <w:pPr>
        <w:rPr>
          <w:rFonts w:eastAsia="NinetyOneVisuelt-Light" w:cs="NinetyOneVisuelt-Light"/>
          <w:color w:val="000000" w:themeColor="text1"/>
          <w:sz w:val="18"/>
          <w:lang w:eastAsia="en-GB" w:bidi="en-GB"/>
        </w:rPr>
      </w:pPr>
      <w:bookmarkStart w:id="4" w:name="_Hlk34898859"/>
      <w:r w:rsidRPr="00D74446">
        <w:rPr>
          <w:rFonts w:eastAsia="NinetyOneVisuelt-Light" w:cs="NinetyOneVisuelt-Light"/>
          <w:color w:val="000000" w:themeColor="text1"/>
          <w:sz w:val="18"/>
          <w:lang w:eastAsia="en-GB" w:bidi="en-GB"/>
        </w:rPr>
        <w:t>Ninety One is an independent, active global investment manager dedicated to delivering compelling outcomes for its clients, managing £1</w:t>
      </w:r>
      <w:r>
        <w:rPr>
          <w:rFonts w:eastAsia="NinetyOneVisuelt-Light" w:cs="NinetyOneVisuelt-Light"/>
          <w:color w:val="000000" w:themeColor="text1"/>
          <w:sz w:val="18"/>
          <w:lang w:eastAsia="en-GB" w:bidi="en-GB"/>
        </w:rPr>
        <w:t>40</w:t>
      </w:r>
      <w:r w:rsidRPr="00D74446">
        <w:rPr>
          <w:rFonts w:eastAsia="NinetyOneVisuelt-Light" w:cs="NinetyOneVisuelt-Light"/>
          <w:color w:val="000000" w:themeColor="text1"/>
          <w:sz w:val="18"/>
          <w:lang w:eastAsia="en-GB" w:bidi="en-GB"/>
        </w:rPr>
        <w:t xml:space="preserve"> billion in assets (as at 30.0</w:t>
      </w:r>
      <w:r>
        <w:rPr>
          <w:rFonts w:eastAsia="NinetyOneVisuelt-Light" w:cs="NinetyOneVisuelt-Light"/>
          <w:color w:val="000000" w:themeColor="text1"/>
          <w:sz w:val="18"/>
          <w:lang w:eastAsia="en-GB" w:bidi="en-GB"/>
        </w:rPr>
        <w:t>9</w:t>
      </w:r>
      <w:r w:rsidRPr="00D74446">
        <w:rPr>
          <w:rFonts w:eastAsia="NinetyOneVisuelt-Light" w:cs="NinetyOneVisuelt-Light"/>
          <w:color w:val="000000" w:themeColor="text1"/>
          <w:sz w:val="18"/>
          <w:lang w:eastAsia="en-GB" w:bidi="en-GB"/>
        </w:rPr>
        <w:t>.21).</w:t>
      </w:r>
    </w:p>
    <w:p w14:paraId="5A1E0F42" w14:textId="77777777" w:rsidR="00D74446" w:rsidRPr="00D74446" w:rsidRDefault="00D74446" w:rsidP="00D74446">
      <w:pPr>
        <w:rPr>
          <w:rFonts w:eastAsia="NinetyOneVisuelt-Light" w:cs="NinetyOneVisuelt-Light"/>
          <w:color w:val="000000" w:themeColor="text1"/>
          <w:sz w:val="18"/>
          <w:lang w:eastAsia="en-GB" w:bidi="en-GB"/>
        </w:rPr>
      </w:pPr>
      <w:r w:rsidRPr="00D74446">
        <w:rPr>
          <w:rFonts w:eastAsia="NinetyOneVisuelt-Light" w:cs="NinetyOneVisuelt-Light"/>
          <w:color w:val="000000" w:themeColor="text1"/>
          <w:sz w:val="18"/>
          <w:lang w:eastAsia="en-GB" w:bidi="en-GB"/>
        </w:rPr>
        <w:t>Established in South Africa in 1991, as Investec Asset Management, the firm started offering domestic investments in an emerging market.  In 2020, almost three decades of organic growth later, the firm demerged from Investec Group and became Ninety One. Today the firm offers distinctive active strategies across equities, fixed income, multi-asset and alternatives to institutions, advisors and individual investors around the world.</w:t>
      </w:r>
    </w:p>
    <w:p w14:paraId="4E3C35D6" w14:textId="77777777" w:rsidR="00D74446" w:rsidRPr="00D74446" w:rsidRDefault="00D74446" w:rsidP="00D74446">
      <w:pPr>
        <w:rPr>
          <w:rFonts w:eastAsia="NinetyOneVisuelt-Light" w:cs="NinetyOneVisuelt-Light"/>
          <w:color w:val="000000" w:themeColor="text1"/>
          <w:sz w:val="18"/>
          <w:lang w:eastAsia="en-GB" w:bidi="en-GB"/>
        </w:rPr>
      </w:pPr>
      <w:r w:rsidRPr="00D74446">
        <w:rPr>
          <w:rFonts w:eastAsia="NinetyOneVisuelt-Light" w:cs="NinetyOneVisuelt-Light"/>
          <w:color w:val="000000" w:themeColor="text1"/>
          <w:sz w:val="18"/>
          <w:lang w:eastAsia="en-GB" w:bidi="en-GB"/>
        </w:rPr>
        <w:t>For more information, please visit:</w:t>
      </w:r>
    </w:p>
    <w:p w14:paraId="76EA2AEE" w14:textId="77777777" w:rsidR="00D74446" w:rsidRPr="00D74446" w:rsidRDefault="00D74446" w:rsidP="00D74446">
      <w:pPr>
        <w:rPr>
          <w:sz w:val="18"/>
          <w:szCs w:val="18"/>
        </w:rPr>
      </w:pPr>
      <w:r w:rsidRPr="00D74446">
        <w:rPr>
          <w:rFonts w:eastAsia="NinetyOneVisuelt-Light" w:cs="NinetyOneVisuelt-Light"/>
          <w:color w:val="000000" w:themeColor="text1"/>
          <w:sz w:val="18"/>
          <w:szCs w:val="18"/>
          <w:lang w:eastAsia="en-GB" w:bidi="en-GB"/>
        </w:rPr>
        <w:t>Web</w:t>
      </w:r>
      <w:r w:rsidRPr="00D74446">
        <w:rPr>
          <w:sz w:val="18"/>
          <w:szCs w:val="18"/>
        </w:rPr>
        <w:t xml:space="preserve">: </w:t>
      </w:r>
      <w:hyperlink r:id="rId14" w:history="1">
        <w:r w:rsidRPr="00D74446">
          <w:rPr>
            <w:rStyle w:val="Hyperlink"/>
            <w:sz w:val="18"/>
            <w:szCs w:val="18"/>
          </w:rPr>
          <w:t>NinetyOne.com</w:t>
        </w:r>
      </w:hyperlink>
    </w:p>
    <w:p w14:paraId="107DE4A6" w14:textId="77777777" w:rsidR="00D74446" w:rsidRPr="00537F84" w:rsidRDefault="00D74446" w:rsidP="00D74446">
      <w:pPr>
        <w:pStyle w:val="Heading2"/>
        <w:keepLines w:val="0"/>
        <w:widowControl w:val="0"/>
        <w:autoSpaceDE w:val="0"/>
        <w:autoSpaceDN w:val="0"/>
        <w:spacing w:before="240" w:after="240" w:line="264" w:lineRule="auto"/>
      </w:pPr>
      <w:r w:rsidRPr="00D74446">
        <w:rPr>
          <w:rFonts w:ascii="Ninety One Visuelt Medium" w:eastAsia="NinetyOneVisuelt-Light" w:hAnsi="Ninety One Visuelt Medium" w:cs="NinetyOneVisuelt-Light"/>
          <w:color w:val="009D80"/>
          <w:sz w:val="18"/>
          <w:szCs w:val="22"/>
          <w:lang w:eastAsia="en-GB" w:bidi="en-GB"/>
        </w:rPr>
        <w:t>Disclaimer</w:t>
      </w:r>
    </w:p>
    <w:bookmarkEnd w:id="4"/>
    <w:p w14:paraId="48B97544" w14:textId="77777777" w:rsidR="00D74446" w:rsidRPr="00537F84" w:rsidRDefault="00D74446" w:rsidP="00D74446">
      <w:r w:rsidRPr="00D74446">
        <w:rPr>
          <w:rFonts w:eastAsia="NinetyOneVisuelt-Light" w:cs="NinetyOneVisuelt-Light"/>
          <w:color w:val="000000" w:themeColor="text1"/>
          <w:sz w:val="18"/>
          <w:lang w:eastAsia="en-GB" w:bidi="en-GB"/>
        </w:rPr>
        <w:t xml:space="preserve">All investments carry the risk of capital loss. The information contained in this press release is intended primarily for journalists and should not be relied upon by private investors or any other persons to make financial decisions.  Furthermore, the material contained herein is for informational purposes only and should not be construed as an offer, or solicitation of an offer, to buy or sell securities either generally or in any jurisdiction where the offer or sale is not permitted.  Offers are made only by prospectus or other offering materials and upon an investor meeting certain suitability standards and any other applicable requirements as required by law. </w:t>
      </w:r>
      <w:proofErr w:type="gramStart"/>
      <w:r w:rsidRPr="00D74446">
        <w:rPr>
          <w:rFonts w:eastAsia="NinetyOneVisuelt-Light" w:cs="NinetyOneVisuelt-Light"/>
          <w:color w:val="000000" w:themeColor="text1"/>
          <w:sz w:val="18"/>
          <w:lang w:eastAsia="en-GB" w:bidi="en-GB"/>
        </w:rPr>
        <w:t>All of</w:t>
      </w:r>
      <w:proofErr w:type="gramEnd"/>
      <w:r w:rsidRPr="00D74446">
        <w:rPr>
          <w:rFonts w:eastAsia="NinetyOneVisuelt-Light" w:cs="NinetyOneVisuelt-Light"/>
          <w:color w:val="000000" w:themeColor="text1"/>
          <w:sz w:val="18"/>
          <w:lang w:eastAsia="en-GB" w:bidi="en-GB"/>
        </w:rPr>
        <w:t xml:space="preserve"> the views expressed about the markets, securities or companies in this press comment accurately reflect the personal views of the individual fund manager (or team) named. While opinions stated are honestly held, they are not guarantees and should not be relied on. Ninety One in the normal course of its activities as </w:t>
      </w:r>
      <w:proofErr w:type="gramStart"/>
      <w:r w:rsidRPr="00D74446">
        <w:rPr>
          <w:rFonts w:eastAsia="NinetyOneVisuelt-Light" w:cs="NinetyOneVisuelt-Light"/>
          <w:color w:val="000000" w:themeColor="text1"/>
          <w:sz w:val="18"/>
          <w:lang w:eastAsia="en-GB" w:bidi="en-GB"/>
        </w:rPr>
        <w:t>an</w:t>
      </w:r>
      <w:proofErr w:type="gramEnd"/>
      <w:r w:rsidRPr="00D74446">
        <w:rPr>
          <w:rFonts w:eastAsia="NinetyOneVisuelt-Light" w:cs="NinetyOneVisuelt-Light"/>
          <w:color w:val="000000" w:themeColor="text1"/>
          <w:sz w:val="18"/>
          <w:lang w:eastAsia="en-GB" w:bidi="en-GB"/>
        </w:rPr>
        <w:t xml:space="preserve"> global asset manager may already hold or intend to purchase or sell the stocks mentioned on behalf of its clients.  The information or opinions provided should not be taken as specific advice on the merits of any investment decision.  This press release may contain statements about expected or anticipated future events and financial results that are forward-looking in nature and, as a result, are subject to certain risks and uncertainties, such as general economic, market and business conditions, new legislation and regulatory actions, competitive and general </w:t>
      </w:r>
      <w:r w:rsidRPr="00D74446">
        <w:rPr>
          <w:rFonts w:eastAsia="NinetyOneVisuelt-Light" w:cs="NinetyOneVisuelt-Light"/>
          <w:color w:val="000000" w:themeColor="text1"/>
          <w:sz w:val="18"/>
          <w:lang w:eastAsia="en-GB" w:bidi="en-GB"/>
        </w:rPr>
        <w:lastRenderedPageBreak/>
        <w:t xml:space="preserve">economic factors and conditions and the occurrence of unexpected events.  Actual results may differ materially from those stated herein. Telephone calls may be recorded for training, monitoring and regulatory purposes and to confirm investor’s instructions. Ninety One’s Privacy Notice is available at </w:t>
      </w:r>
      <w:hyperlink r:id="rId15" w:history="1">
        <w:r w:rsidRPr="00F553A9">
          <w:rPr>
            <w:rStyle w:val="Hyperlink"/>
            <w:sz w:val="18"/>
            <w:szCs w:val="18"/>
          </w:rPr>
          <w:t>www.ninetyone.com/privacynotice</w:t>
        </w:r>
      </w:hyperlink>
      <w:r w:rsidRPr="00F553A9">
        <w:rPr>
          <w:sz w:val="18"/>
          <w:szCs w:val="18"/>
        </w:rPr>
        <w:t>.</w:t>
      </w:r>
      <w:r w:rsidRPr="00537F84">
        <w:t xml:space="preserve"> </w:t>
      </w:r>
    </w:p>
    <w:bookmarkEnd w:id="1"/>
    <w:p w14:paraId="117EA50B" w14:textId="77777777" w:rsidR="00E61CDE" w:rsidRDefault="00E61CDE" w:rsidP="008E5BE3">
      <w:pPr>
        <w:rPr>
          <w:rFonts w:ascii="Ninety One Visuelt" w:hAnsi="Ninety One Visuelt"/>
          <w:b/>
          <w:bCs/>
          <w:u w:val="single"/>
        </w:rPr>
      </w:pPr>
    </w:p>
    <w:p w14:paraId="2BA16602" w14:textId="77777777" w:rsidR="00E61CDE" w:rsidRPr="007C7103" w:rsidRDefault="00E61CDE" w:rsidP="008E5BE3">
      <w:pPr>
        <w:rPr>
          <w:rFonts w:ascii="Ninety One Visuelt" w:hAnsi="Ninety One Visuelt"/>
          <w:b/>
          <w:bCs/>
          <w:u w:val="single"/>
        </w:rPr>
      </w:pPr>
    </w:p>
    <w:sectPr w:rsidR="00E61CDE" w:rsidRPr="007C7103">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84242" w14:textId="77777777" w:rsidR="003C2778" w:rsidRDefault="003C2778" w:rsidP="00D74446">
      <w:pPr>
        <w:spacing w:after="0" w:line="240" w:lineRule="auto"/>
      </w:pPr>
      <w:r>
        <w:separator/>
      </w:r>
    </w:p>
  </w:endnote>
  <w:endnote w:type="continuationSeparator" w:id="0">
    <w:p w14:paraId="00C9EA2F" w14:textId="77777777" w:rsidR="003C2778" w:rsidRDefault="003C2778" w:rsidP="00D7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nety One Visuelt Display Ligh">
    <w:altName w:val="Calibri"/>
    <w:charset w:val="00"/>
    <w:family w:val="swiss"/>
    <w:pitch w:val="variable"/>
    <w:sig w:usb0="A00002AF" w:usb1="5000205B" w:usb2="00000000" w:usb3="00000000" w:csb0="0000019F" w:csb1="00000000"/>
  </w:font>
  <w:font w:name="NinetyOneVisuelt-Light">
    <w:altName w:val="Calibri"/>
    <w:panose1 w:val="00000000000000000000"/>
    <w:charset w:val="00"/>
    <w:family w:val="swiss"/>
    <w:notTrueType/>
    <w:pitch w:val="variable"/>
    <w:sig w:usb0="800002AF" w:usb1="5000205B" w:usb2="00000000" w:usb3="00000000" w:csb0="0000019F" w:csb1="00000000"/>
  </w:font>
  <w:font w:name="Ninety One Visuelt">
    <w:altName w:val="Calibri"/>
    <w:charset w:val="00"/>
    <w:family w:val="swiss"/>
    <w:pitch w:val="variable"/>
    <w:sig w:usb0="A00002AF" w:usb1="5000205B" w:usb2="00000000" w:usb3="00000000" w:csb0="0000019F" w:csb1="00000000"/>
  </w:font>
  <w:font w:name="Arial">
    <w:panose1 w:val="020B0604020202020204"/>
    <w:charset w:val="00"/>
    <w:family w:val="swiss"/>
    <w:pitch w:val="variable"/>
    <w:sig w:usb0="E0002EFF" w:usb1="C000785B" w:usb2="00000009" w:usb3="00000000" w:csb0="000001FF" w:csb1="00000000"/>
  </w:font>
  <w:font w:name="Ninety One Visuelt Medium">
    <w:altName w:val="Calibri"/>
    <w:charset w:val="00"/>
    <w:family w:val="swiss"/>
    <w:pitch w:val="variable"/>
    <w:sig w:usb0="A00002AF" w:usb1="500020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1E144" w14:textId="77777777" w:rsidR="003C2778" w:rsidRDefault="003C2778" w:rsidP="00D74446">
      <w:pPr>
        <w:spacing w:after="0" w:line="240" w:lineRule="auto"/>
      </w:pPr>
      <w:r>
        <w:separator/>
      </w:r>
    </w:p>
  </w:footnote>
  <w:footnote w:type="continuationSeparator" w:id="0">
    <w:p w14:paraId="7FB48142" w14:textId="77777777" w:rsidR="003C2778" w:rsidRDefault="003C2778" w:rsidP="00D74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34FC" w14:textId="375A02B5" w:rsidR="00D74446" w:rsidRDefault="00D74446">
    <w:pPr>
      <w:pStyle w:val="Header"/>
    </w:pPr>
    <w:r>
      <w:rPr>
        <w:noProof/>
      </w:rPr>
      <w:drawing>
        <wp:anchor distT="0" distB="0" distL="114300" distR="114300" simplePos="0" relativeHeight="251659264" behindDoc="0" locked="0" layoutInCell="1" allowOverlap="1" wp14:anchorId="1326B88B" wp14:editId="4F82575B">
          <wp:simplePos x="0" y="0"/>
          <wp:positionH relativeFrom="margin">
            <wp:posOffset>0</wp:posOffset>
          </wp:positionH>
          <wp:positionV relativeFrom="paragraph">
            <wp:posOffset>170815</wp:posOffset>
          </wp:positionV>
          <wp:extent cx="1159510" cy="581025"/>
          <wp:effectExtent l="0" t="0" r="2540" b="9525"/>
          <wp:wrapSquare wrapText="bothSides"/>
          <wp:docPr id="21" name="Picture 21" descr="Ninety One | Partner Zone | Adviser Hub |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nety One | Partner Zone | Adviser Hub | 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1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449"/>
    <w:multiLevelType w:val="hybridMultilevel"/>
    <w:tmpl w:val="1AF45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373C1"/>
    <w:multiLevelType w:val="hybridMultilevel"/>
    <w:tmpl w:val="0178B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76B4D"/>
    <w:multiLevelType w:val="hybridMultilevel"/>
    <w:tmpl w:val="5DB0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75DE0"/>
    <w:multiLevelType w:val="hybridMultilevel"/>
    <w:tmpl w:val="575A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F0E3A"/>
    <w:multiLevelType w:val="hybridMultilevel"/>
    <w:tmpl w:val="1092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24C31"/>
    <w:multiLevelType w:val="hybridMultilevel"/>
    <w:tmpl w:val="82BA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690A85"/>
    <w:multiLevelType w:val="hybridMultilevel"/>
    <w:tmpl w:val="60AE6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33052"/>
    <w:multiLevelType w:val="hybridMultilevel"/>
    <w:tmpl w:val="08F63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84A5A"/>
    <w:multiLevelType w:val="hybridMultilevel"/>
    <w:tmpl w:val="3270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FB1F89"/>
    <w:multiLevelType w:val="hybridMultilevel"/>
    <w:tmpl w:val="EA6A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9210C3"/>
    <w:multiLevelType w:val="hybridMultilevel"/>
    <w:tmpl w:val="70888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9272A4"/>
    <w:multiLevelType w:val="hybridMultilevel"/>
    <w:tmpl w:val="60CE40E6"/>
    <w:lvl w:ilvl="0" w:tplc="6308C4EE">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916077"/>
    <w:multiLevelType w:val="hybridMultilevel"/>
    <w:tmpl w:val="1DD02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8"/>
  </w:num>
  <w:num w:numId="4">
    <w:abstractNumId w:val="2"/>
  </w:num>
  <w:num w:numId="5">
    <w:abstractNumId w:val="9"/>
  </w:num>
  <w:num w:numId="6">
    <w:abstractNumId w:val="6"/>
  </w:num>
  <w:num w:numId="7">
    <w:abstractNumId w:val="10"/>
  </w:num>
  <w:num w:numId="8">
    <w:abstractNumId w:val="12"/>
  </w:num>
  <w:num w:numId="9">
    <w:abstractNumId w:val="0"/>
  </w:num>
  <w:num w:numId="10">
    <w:abstractNumId w:val="3"/>
  </w:num>
  <w:num w:numId="11">
    <w:abstractNumId w:val="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E3"/>
    <w:rsid w:val="00064660"/>
    <w:rsid w:val="0012080F"/>
    <w:rsid w:val="0014606F"/>
    <w:rsid w:val="003C2778"/>
    <w:rsid w:val="003E2CB1"/>
    <w:rsid w:val="005045E3"/>
    <w:rsid w:val="00697CB1"/>
    <w:rsid w:val="007C7103"/>
    <w:rsid w:val="0088478C"/>
    <w:rsid w:val="00896887"/>
    <w:rsid w:val="008E5BE3"/>
    <w:rsid w:val="00905D00"/>
    <w:rsid w:val="0092088E"/>
    <w:rsid w:val="009E7C1B"/>
    <w:rsid w:val="00A974C3"/>
    <w:rsid w:val="00BC01BA"/>
    <w:rsid w:val="00C40EFE"/>
    <w:rsid w:val="00C5456F"/>
    <w:rsid w:val="00C552ED"/>
    <w:rsid w:val="00CB0134"/>
    <w:rsid w:val="00CF41B3"/>
    <w:rsid w:val="00D119FA"/>
    <w:rsid w:val="00D74446"/>
    <w:rsid w:val="00E446CF"/>
    <w:rsid w:val="00E61CDE"/>
    <w:rsid w:val="00EB57F8"/>
    <w:rsid w:val="00F24496"/>
    <w:rsid w:val="00F55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22A3"/>
  <w15:chartTrackingRefBased/>
  <w15:docId w15:val="{FB353B83-94CD-40B4-A4D2-6F57EA87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61C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qFormat/>
    <w:rsid w:val="00C5456F"/>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5456F"/>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C545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B57F8"/>
    <w:pPr>
      <w:ind w:left="720"/>
      <w:contextualSpacing/>
    </w:pPr>
  </w:style>
  <w:style w:type="character" w:styleId="Hyperlink">
    <w:name w:val="Hyperlink"/>
    <w:basedOn w:val="DefaultParagraphFont"/>
    <w:uiPriority w:val="99"/>
    <w:unhideWhenUsed/>
    <w:rsid w:val="00E61CDE"/>
    <w:rPr>
      <w:color w:val="0563C1" w:themeColor="hyperlink"/>
      <w:u w:val="single"/>
    </w:rPr>
  </w:style>
  <w:style w:type="character" w:styleId="UnresolvedMention">
    <w:name w:val="Unresolved Mention"/>
    <w:basedOn w:val="DefaultParagraphFont"/>
    <w:uiPriority w:val="99"/>
    <w:semiHidden/>
    <w:unhideWhenUsed/>
    <w:rsid w:val="00E61CDE"/>
    <w:rPr>
      <w:color w:val="605E5C"/>
      <w:shd w:val="clear" w:color="auto" w:fill="E1DFDD"/>
    </w:rPr>
  </w:style>
  <w:style w:type="character" w:customStyle="1" w:styleId="Heading2Char">
    <w:name w:val="Heading 2 Char"/>
    <w:basedOn w:val="DefaultParagraphFont"/>
    <w:link w:val="Heading2"/>
    <w:uiPriority w:val="9"/>
    <w:rsid w:val="00E61CDE"/>
    <w:rPr>
      <w:rFonts w:asciiTheme="majorHAnsi" w:eastAsiaTheme="majorEastAsia" w:hAnsiTheme="majorHAnsi" w:cstheme="majorBidi"/>
      <w:color w:val="2F5496" w:themeColor="accent1" w:themeShade="BF"/>
      <w:sz w:val="26"/>
      <w:szCs w:val="26"/>
    </w:rPr>
  </w:style>
  <w:style w:type="paragraph" w:customStyle="1" w:styleId="PressReleaseHeading">
    <w:name w:val="Press Release Heading"/>
    <w:qFormat/>
    <w:rsid w:val="00A974C3"/>
    <w:pPr>
      <w:widowControl w:val="0"/>
      <w:autoSpaceDE w:val="0"/>
      <w:autoSpaceDN w:val="0"/>
      <w:spacing w:before="2180" w:after="480" w:line="204" w:lineRule="auto"/>
      <w:ind w:left="2381"/>
    </w:pPr>
    <w:rPr>
      <w:rFonts w:ascii="Ninety One Visuelt Display Ligh" w:eastAsia="NinetyOneVisuelt-Light" w:hAnsi="Ninety One Visuelt Display Ligh" w:cs="NinetyOneVisuelt-Light"/>
      <w:color w:val="009D80"/>
      <w:sz w:val="64"/>
      <w:szCs w:val="80"/>
      <w:lang w:eastAsia="en-GB" w:bidi="en-GB"/>
    </w:rPr>
  </w:style>
  <w:style w:type="paragraph" w:styleId="Header">
    <w:name w:val="header"/>
    <w:basedOn w:val="Normal"/>
    <w:link w:val="HeaderChar"/>
    <w:uiPriority w:val="99"/>
    <w:unhideWhenUsed/>
    <w:rsid w:val="00D74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446"/>
  </w:style>
  <w:style w:type="paragraph" w:styleId="Footer">
    <w:name w:val="footer"/>
    <w:basedOn w:val="Normal"/>
    <w:link w:val="FooterChar"/>
    <w:uiPriority w:val="99"/>
    <w:unhideWhenUsed/>
    <w:rsid w:val="00D74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36348">
      <w:bodyDiv w:val="1"/>
      <w:marLeft w:val="0"/>
      <w:marRight w:val="0"/>
      <w:marTop w:val="0"/>
      <w:marBottom w:val="0"/>
      <w:divBdr>
        <w:top w:val="none" w:sz="0" w:space="0" w:color="auto"/>
        <w:left w:val="none" w:sz="0" w:space="0" w:color="auto"/>
        <w:bottom w:val="none" w:sz="0" w:space="0" w:color="auto"/>
        <w:right w:val="none" w:sz="0" w:space="0" w:color="auto"/>
      </w:divBdr>
    </w:div>
    <w:div w:id="858274299">
      <w:bodyDiv w:val="1"/>
      <w:marLeft w:val="0"/>
      <w:marRight w:val="0"/>
      <w:marTop w:val="0"/>
      <w:marBottom w:val="0"/>
      <w:divBdr>
        <w:top w:val="none" w:sz="0" w:space="0" w:color="auto"/>
        <w:left w:val="none" w:sz="0" w:space="0" w:color="auto"/>
        <w:bottom w:val="none" w:sz="0" w:space="0" w:color="auto"/>
        <w:right w:val="none" w:sz="0" w:space="0" w:color="auto"/>
      </w:divBdr>
    </w:div>
    <w:div w:id="908927846">
      <w:bodyDiv w:val="1"/>
      <w:marLeft w:val="0"/>
      <w:marRight w:val="0"/>
      <w:marTop w:val="0"/>
      <w:marBottom w:val="0"/>
      <w:divBdr>
        <w:top w:val="none" w:sz="0" w:space="0" w:color="auto"/>
        <w:left w:val="none" w:sz="0" w:space="0" w:color="auto"/>
        <w:bottom w:val="none" w:sz="0" w:space="0" w:color="auto"/>
        <w:right w:val="none" w:sz="0" w:space="0" w:color="auto"/>
      </w:divBdr>
    </w:div>
    <w:div w:id="12591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ill@fletcheradvisory.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otie.basson@ninetyon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ninetyone.com/privacynotice"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inetyo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3253</Words>
  <Characters>18547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Dumas</dc:creator>
  <cp:keywords/>
  <dc:description/>
  <cp:lastModifiedBy>Gillian Gernetzky</cp:lastModifiedBy>
  <cp:revision>2</cp:revision>
  <cp:lastPrinted>2021-11-22T13:15:00Z</cp:lastPrinted>
  <dcterms:created xsi:type="dcterms:W3CDTF">2021-11-23T09:47:00Z</dcterms:created>
  <dcterms:modified xsi:type="dcterms:W3CDTF">2021-11-23T09:47:00Z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