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54041764" w14:textId="3B270AF1" w:rsidR="00AB5637" w:rsidRPr="00A06583" w:rsidRDefault="008C19C4" w:rsidP="00467DA9">
      <w:pPr>
        <w:pStyle w:val="Heading1"/>
        <w:spacing w:before="0" w:after="0" w:line="36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B47480">
        <w:rPr>
          <w:rFonts w:ascii="Verdana" w:hAnsi="Verdana"/>
          <w:sz w:val="24"/>
          <w:szCs w:val="24"/>
        </w:rPr>
        <w:t xml:space="preserve">0 </w:t>
      </w:r>
      <w:r w:rsidR="00D653E2">
        <w:rPr>
          <w:rFonts w:ascii="Verdana" w:hAnsi="Verdana"/>
          <w:sz w:val="24"/>
          <w:szCs w:val="24"/>
        </w:rPr>
        <w:t>September</w:t>
      </w:r>
      <w:r w:rsidR="00870751">
        <w:rPr>
          <w:rFonts w:ascii="Verdana" w:hAnsi="Verdana"/>
          <w:sz w:val="24"/>
          <w:szCs w:val="24"/>
        </w:rPr>
        <w:t xml:space="preserve"> 20</w:t>
      </w:r>
      <w:r w:rsidR="00863949">
        <w:rPr>
          <w:rFonts w:ascii="Verdana" w:hAnsi="Verdana"/>
          <w:sz w:val="24"/>
          <w:szCs w:val="24"/>
        </w:rPr>
        <w:t>2</w:t>
      </w:r>
      <w:r w:rsidR="002F5364">
        <w:rPr>
          <w:rFonts w:ascii="Verdana" w:hAnsi="Verdana"/>
          <w:sz w:val="24"/>
          <w:szCs w:val="24"/>
        </w:rPr>
        <w:t>1</w:t>
      </w:r>
    </w:p>
    <w:p w14:paraId="54041766" w14:textId="77777777" w:rsidR="00AB5637" w:rsidRPr="00F7786F" w:rsidRDefault="00AB5637" w:rsidP="00467DA9">
      <w:pPr>
        <w:pStyle w:val="Heading1"/>
        <w:spacing w:before="0" w:after="0" w:line="360" w:lineRule="atLeast"/>
        <w:rPr>
          <w:rFonts w:ascii="Verdana" w:hAnsi="Verdana"/>
          <w:b w:val="0"/>
          <w:sz w:val="22"/>
          <w:szCs w:val="22"/>
        </w:rPr>
      </w:pPr>
      <w:r w:rsidRPr="00F7786F">
        <w:rPr>
          <w:rFonts w:ascii="Verdana" w:hAnsi="Verdana"/>
          <w:sz w:val="22"/>
          <w:szCs w:val="22"/>
        </w:rPr>
        <w:t>Mike Brown, Managing Director, etfSA.co.za</w:t>
      </w:r>
    </w:p>
    <w:p w14:paraId="10E219DF" w14:textId="73D075A9" w:rsidR="00DD75B5" w:rsidRDefault="00DD75B5" w:rsidP="001976A7">
      <w:pPr>
        <w:spacing w:after="0" w:line="320" w:lineRule="atLeast"/>
        <w:jc w:val="both"/>
        <w:rPr>
          <w:rFonts w:ascii="Verdana" w:hAnsi="Verdan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4671"/>
      </w:tblGrid>
      <w:tr w:rsidR="005509A2" w14:paraId="1F965989" w14:textId="77777777" w:rsidTr="00F2662C">
        <w:tc>
          <w:tcPr>
            <w:tcW w:w="4815" w:type="dxa"/>
          </w:tcPr>
          <w:p w14:paraId="5A817DEE" w14:textId="28ADF0CF" w:rsidR="00AE1262" w:rsidRDefault="00AE1262" w:rsidP="00467DA9">
            <w:pPr>
              <w:spacing w:line="360" w:lineRule="atLeast"/>
              <w:jc w:val="both"/>
              <w:rPr>
                <w:rFonts w:ascii="Verdana" w:hAnsi="Verdana"/>
                <w:sz w:val="21"/>
                <w:szCs w:val="21"/>
              </w:rPr>
            </w:pPr>
            <w:r>
              <w:rPr>
                <w:rFonts w:ascii="Verdana" w:hAnsi="Verdana"/>
                <w:sz w:val="21"/>
                <w:szCs w:val="21"/>
              </w:rPr>
              <w:t xml:space="preserve">The competition to be the largest issuing </w:t>
            </w:r>
            <w:r w:rsidR="009542C9">
              <w:rPr>
                <w:rFonts w:ascii="Verdana" w:hAnsi="Verdana"/>
                <w:sz w:val="21"/>
                <w:szCs w:val="21"/>
              </w:rPr>
              <w:t>company</w:t>
            </w:r>
            <w:r>
              <w:rPr>
                <w:rFonts w:ascii="Verdana" w:hAnsi="Verdana"/>
                <w:sz w:val="21"/>
                <w:szCs w:val="21"/>
              </w:rPr>
              <w:t xml:space="preserve"> for ETPs in South Africa continued over the past quarter.  Satrix Managers, who </w:t>
            </w:r>
            <w:r w:rsidR="009542C9">
              <w:rPr>
                <w:rFonts w:ascii="Verdana" w:hAnsi="Verdana"/>
                <w:sz w:val="21"/>
                <w:szCs w:val="21"/>
              </w:rPr>
              <w:t xml:space="preserve">recently </w:t>
            </w:r>
            <w:r>
              <w:rPr>
                <w:rFonts w:ascii="Verdana" w:hAnsi="Verdana"/>
                <w:sz w:val="21"/>
                <w:szCs w:val="21"/>
              </w:rPr>
              <w:t xml:space="preserve">overtook Absa Capital (NewFunds, NewWave, NewGold) as the top issuing house, measured by assets under management (AUM), retained this position in the third quarter of 2021. </w:t>
            </w:r>
          </w:p>
          <w:p w14:paraId="1E74CFEB" w14:textId="77777777" w:rsidR="00467DA9" w:rsidRDefault="00467DA9" w:rsidP="00467DA9">
            <w:pPr>
              <w:spacing w:line="360" w:lineRule="atLeast"/>
              <w:jc w:val="both"/>
              <w:rPr>
                <w:rFonts w:ascii="Verdana" w:hAnsi="Verdana"/>
                <w:sz w:val="21"/>
                <w:szCs w:val="21"/>
              </w:rPr>
            </w:pPr>
          </w:p>
          <w:p w14:paraId="7AAB780B" w14:textId="6F171298" w:rsidR="00467DA9" w:rsidRDefault="00467DA9" w:rsidP="00467DA9">
            <w:pPr>
              <w:spacing w:line="360" w:lineRule="atLeast"/>
              <w:jc w:val="both"/>
              <w:rPr>
                <w:rFonts w:ascii="Verdana" w:hAnsi="Verdana"/>
                <w:sz w:val="21"/>
                <w:szCs w:val="21"/>
              </w:rPr>
            </w:pPr>
            <w:r>
              <w:rPr>
                <w:rFonts w:ascii="Verdana" w:hAnsi="Verdana"/>
                <w:sz w:val="21"/>
                <w:szCs w:val="21"/>
              </w:rPr>
              <w:t xml:space="preserve">Sygnia Itrix has now also overtaken Absa Capital in the third quarter of 2021, to move into second spot, behind Satrix, in terms of total market </w:t>
            </w:r>
            <w:r w:rsidR="0048656A">
              <w:rPr>
                <w:rFonts w:ascii="Verdana" w:hAnsi="Verdana"/>
                <w:sz w:val="21"/>
                <w:szCs w:val="21"/>
              </w:rPr>
              <w:t>capitalisation</w:t>
            </w:r>
            <w:r>
              <w:rPr>
                <w:rFonts w:ascii="Verdana" w:hAnsi="Verdana"/>
                <w:sz w:val="21"/>
                <w:szCs w:val="21"/>
              </w:rPr>
              <w:t xml:space="preserve"> of all their ETFs in issue. </w:t>
            </w:r>
          </w:p>
        </w:tc>
        <w:tc>
          <w:tcPr>
            <w:tcW w:w="425" w:type="dxa"/>
          </w:tcPr>
          <w:p w14:paraId="1F293369" w14:textId="5B1D315D" w:rsidR="005509A2" w:rsidRDefault="00F2662C" w:rsidP="00467DA9">
            <w:pPr>
              <w:spacing w:line="360" w:lineRule="atLeast"/>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60288" behindDoc="0" locked="0" layoutInCell="1" allowOverlap="1" wp14:anchorId="09FB9A60" wp14:editId="7A916812">
                      <wp:simplePos x="0" y="0"/>
                      <wp:positionH relativeFrom="column">
                        <wp:posOffset>59055</wp:posOffset>
                      </wp:positionH>
                      <wp:positionV relativeFrom="paragraph">
                        <wp:posOffset>81280</wp:posOffset>
                      </wp:positionV>
                      <wp:extent cx="25400" cy="3365500"/>
                      <wp:effectExtent l="0" t="0" r="31750" b="25400"/>
                      <wp:wrapNone/>
                      <wp:docPr id="3" name="Straight Connector 3"/>
                      <wp:cNvGraphicFramePr/>
                      <a:graphic xmlns:a="http://schemas.openxmlformats.org/drawingml/2006/main">
                        <a:graphicData uri="http://schemas.microsoft.com/office/word/2010/wordprocessingShape">
                          <wps:wsp>
                            <wps:cNvCnPr/>
                            <wps:spPr>
                              <a:xfrm flipH="1">
                                <a:off x="0" y="0"/>
                                <a:ext cx="25400" cy="336550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DACA9"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6.4pt" to="6.65pt,2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" strokecolor="#c00000">
                      <v:stroke joinstyle="miter"/>
                    </v:line>
                  </w:pict>
                </mc:Fallback>
              </mc:AlternateContent>
            </w:r>
          </w:p>
        </w:tc>
        <w:tc>
          <w:tcPr>
            <w:tcW w:w="4671" w:type="dxa"/>
          </w:tcPr>
          <w:p w14:paraId="4153A7E6" w14:textId="149EF7FA" w:rsidR="002628F1" w:rsidRDefault="00467DA9" w:rsidP="00467DA9">
            <w:pPr>
              <w:spacing w:line="360" w:lineRule="atLeast"/>
              <w:jc w:val="both"/>
              <w:rPr>
                <w:rFonts w:ascii="Verdana" w:hAnsi="Verdana"/>
                <w:sz w:val="21"/>
                <w:szCs w:val="21"/>
              </w:rPr>
            </w:pPr>
            <w:r>
              <w:rPr>
                <w:rFonts w:ascii="Verdana" w:hAnsi="Verdana"/>
                <w:sz w:val="21"/>
                <w:szCs w:val="21"/>
              </w:rPr>
              <w:t>As pointed out many times before in this State of the Industry Report, Absa Capital has always been vulnerable to the key role played by commodity-based ETFs in their ETP offering portfolio and the s</w:t>
            </w:r>
            <w:r w:rsidR="009542C9">
              <w:rPr>
                <w:rFonts w:ascii="Verdana" w:hAnsi="Verdana"/>
                <w:sz w:val="21"/>
                <w:szCs w:val="21"/>
              </w:rPr>
              <w:t>harp</w:t>
            </w:r>
            <w:r>
              <w:rPr>
                <w:rFonts w:ascii="Verdana" w:hAnsi="Verdana"/>
                <w:sz w:val="21"/>
                <w:szCs w:val="21"/>
              </w:rPr>
              <w:t xml:space="preserve"> drop in m</w:t>
            </w:r>
            <w:r w:rsidR="009542C9">
              <w:rPr>
                <w:rFonts w:ascii="Verdana" w:hAnsi="Verdana"/>
                <w:sz w:val="21"/>
                <w:szCs w:val="21"/>
              </w:rPr>
              <w:t>any</w:t>
            </w:r>
            <w:r>
              <w:rPr>
                <w:rFonts w:ascii="Verdana" w:hAnsi="Verdana"/>
                <w:sz w:val="21"/>
                <w:szCs w:val="21"/>
              </w:rPr>
              <w:t xml:space="preserve"> commodity pri</w:t>
            </w:r>
            <w:r w:rsidR="009542C9">
              <w:rPr>
                <w:rFonts w:ascii="Verdana" w:hAnsi="Verdana"/>
                <w:sz w:val="21"/>
                <w:szCs w:val="21"/>
              </w:rPr>
              <w:t>c</w:t>
            </w:r>
            <w:r>
              <w:rPr>
                <w:rFonts w:ascii="Verdana" w:hAnsi="Verdana"/>
                <w:sz w:val="21"/>
                <w:szCs w:val="21"/>
              </w:rPr>
              <w:t xml:space="preserve">es in the third quarter of 2021 has dragged them to third place in the issuing </w:t>
            </w:r>
            <w:r w:rsidR="009542C9">
              <w:rPr>
                <w:rFonts w:ascii="Verdana" w:hAnsi="Verdana"/>
                <w:sz w:val="21"/>
                <w:szCs w:val="21"/>
              </w:rPr>
              <w:t xml:space="preserve">company league </w:t>
            </w:r>
            <w:r>
              <w:rPr>
                <w:rFonts w:ascii="Verdana" w:hAnsi="Verdana"/>
                <w:sz w:val="21"/>
                <w:szCs w:val="21"/>
              </w:rPr>
              <w:t xml:space="preserve">table. </w:t>
            </w:r>
          </w:p>
          <w:p w14:paraId="272EC1A9" w14:textId="77777777" w:rsidR="00467DA9" w:rsidRDefault="00467DA9" w:rsidP="00467DA9">
            <w:pPr>
              <w:spacing w:line="360" w:lineRule="atLeast"/>
              <w:jc w:val="both"/>
              <w:rPr>
                <w:rFonts w:ascii="Verdana" w:hAnsi="Verdana"/>
                <w:sz w:val="21"/>
                <w:szCs w:val="21"/>
              </w:rPr>
            </w:pPr>
          </w:p>
          <w:p w14:paraId="0AA60EE7" w14:textId="5471C8D0" w:rsidR="00467DA9" w:rsidRDefault="00467DA9" w:rsidP="00467DA9">
            <w:pPr>
              <w:spacing w:line="360" w:lineRule="atLeast"/>
              <w:jc w:val="both"/>
              <w:rPr>
                <w:rFonts w:ascii="Verdana" w:hAnsi="Verdana"/>
                <w:sz w:val="21"/>
                <w:szCs w:val="21"/>
              </w:rPr>
            </w:pPr>
            <w:r>
              <w:rPr>
                <w:rFonts w:ascii="Verdana" w:hAnsi="Verdana"/>
                <w:sz w:val="21"/>
                <w:szCs w:val="21"/>
              </w:rPr>
              <w:t>Th</w:t>
            </w:r>
            <w:r w:rsidR="00050A63">
              <w:rPr>
                <w:rFonts w:ascii="Verdana" w:hAnsi="Verdana"/>
                <w:sz w:val="21"/>
                <w:szCs w:val="21"/>
              </w:rPr>
              <w:t>e</w:t>
            </w:r>
            <w:r>
              <w:rPr>
                <w:rFonts w:ascii="Verdana" w:hAnsi="Verdana"/>
                <w:sz w:val="21"/>
                <w:szCs w:val="21"/>
              </w:rPr>
              <w:t xml:space="preserve"> competition for top spot in the South African industry, ranked by size, is an important element in the </w:t>
            </w:r>
            <w:r w:rsidR="00050A63">
              <w:rPr>
                <w:rFonts w:ascii="Verdana" w:hAnsi="Verdana"/>
                <w:sz w:val="21"/>
                <w:szCs w:val="21"/>
              </w:rPr>
              <w:t>growth</w:t>
            </w:r>
            <w:r>
              <w:rPr>
                <w:rFonts w:ascii="Verdana" w:hAnsi="Verdana"/>
                <w:sz w:val="21"/>
                <w:szCs w:val="21"/>
              </w:rPr>
              <w:t xml:space="preserve"> of the local index tracking business and further changes in the ranking order cannot be rule</w:t>
            </w:r>
            <w:r w:rsidR="009542C9">
              <w:rPr>
                <w:rFonts w:ascii="Verdana" w:hAnsi="Verdana"/>
                <w:sz w:val="21"/>
                <w:szCs w:val="21"/>
              </w:rPr>
              <w:t>d</w:t>
            </w:r>
            <w:r>
              <w:rPr>
                <w:rFonts w:ascii="Verdana" w:hAnsi="Verdana"/>
                <w:sz w:val="21"/>
                <w:szCs w:val="21"/>
              </w:rPr>
              <w:t xml:space="preserve"> out in future. </w:t>
            </w:r>
          </w:p>
        </w:tc>
      </w:tr>
    </w:tbl>
    <w:p w14:paraId="2CC46D88" w14:textId="06AAC39D" w:rsidR="00AE1262" w:rsidRDefault="00AE1262" w:rsidP="00A7546F">
      <w:pPr>
        <w:spacing w:after="0" w:line="320" w:lineRule="atLeast"/>
        <w:jc w:val="center"/>
        <w:rPr>
          <w:rFonts w:ascii="Verdana" w:hAnsi="Verdana"/>
          <w:sz w:val="21"/>
          <w:szCs w:val="2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559"/>
        <w:gridCol w:w="425"/>
        <w:gridCol w:w="709"/>
        <w:gridCol w:w="2268"/>
        <w:gridCol w:w="1417"/>
      </w:tblGrid>
      <w:tr w:rsidR="00A7546F" w:rsidRPr="003B4F95" w14:paraId="490C3FBD" w14:textId="52ADAD28" w:rsidTr="00A4782C">
        <w:tc>
          <w:tcPr>
            <w:tcW w:w="9355" w:type="dxa"/>
            <w:gridSpan w:val="7"/>
            <w:shd w:val="clear" w:color="auto" w:fill="C00000"/>
            <w:vAlign w:val="center"/>
          </w:tcPr>
          <w:p w14:paraId="0565C696" w14:textId="77777777" w:rsidR="00A7546F" w:rsidRDefault="00A7546F" w:rsidP="00B30A11">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T</w:t>
            </w:r>
            <w:r>
              <w:rPr>
                <w:rFonts w:ascii="Verdana" w:hAnsi="Verdana"/>
                <w:b/>
                <w:color w:val="FFFFFF"/>
                <w:sz w:val="18"/>
                <w:szCs w:val="18"/>
              </w:rPr>
              <w:t>op</w:t>
            </w:r>
            <w:r w:rsidRPr="003B4F95">
              <w:rPr>
                <w:rFonts w:ascii="Verdana" w:hAnsi="Verdana"/>
                <w:b/>
                <w:color w:val="FFFFFF"/>
                <w:sz w:val="18"/>
                <w:szCs w:val="18"/>
              </w:rPr>
              <w:t xml:space="preserve"> South African </w:t>
            </w:r>
            <w:r>
              <w:rPr>
                <w:rFonts w:ascii="Verdana" w:hAnsi="Verdana"/>
                <w:b/>
                <w:color w:val="FFFFFF"/>
                <w:sz w:val="18"/>
                <w:szCs w:val="18"/>
              </w:rPr>
              <w:t>ETP Issuing Companies</w:t>
            </w:r>
          </w:p>
          <w:p w14:paraId="6BD8A8D3" w14:textId="2C8028C8" w:rsidR="00A7546F" w:rsidRPr="003B4F95" w:rsidRDefault="00A7546F" w:rsidP="00B30A11">
            <w:pPr>
              <w:spacing w:before="40" w:after="40" w:line="280" w:lineRule="atLeast"/>
              <w:jc w:val="center"/>
              <w:rPr>
                <w:rFonts w:ascii="Verdana" w:hAnsi="Verdana"/>
                <w:b/>
                <w:color w:val="FFFFFF"/>
                <w:sz w:val="18"/>
                <w:szCs w:val="18"/>
              </w:rPr>
            </w:pPr>
            <w:r>
              <w:rPr>
                <w:rFonts w:ascii="Verdana" w:hAnsi="Verdana"/>
                <w:b/>
                <w:color w:val="FFFFFF"/>
                <w:sz w:val="18"/>
                <w:szCs w:val="18"/>
              </w:rPr>
              <w:t>(Total Market Capitalisation (AUM)</w:t>
            </w:r>
          </w:p>
        </w:tc>
      </w:tr>
      <w:tr w:rsidR="00A7546F" w:rsidRPr="003B4F95" w14:paraId="1A95F3C6" w14:textId="71D1A9ED" w:rsidTr="00A4782C">
        <w:trPr>
          <w:trHeight w:val="387"/>
        </w:trPr>
        <w:tc>
          <w:tcPr>
            <w:tcW w:w="4536" w:type="dxa"/>
            <w:gridSpan w:val="3"/>
            <w:tcBorders>
              <w:right w:val="single" w:sz="12" w:space="0" w:color="FFFFFF" w:themeColor="background1"/>
            </w:tcBorders>
            <w:shd w:val="clear" w:color="auto" w:fill="4C4C4C"/>
            <w:vAlign w:val="center"/>
          </w:tcPr>
          <w:p w14:paraId="43558163" w14:textId="0000A6D6" w:rsidR="00A7546F" w:rsidRDefault="00A7546F" w:rsidP="00B30A11">
            <w:pPr>
              <w:spacing w:before="40" w:after="40" w:line="280" w:lineRule="atLeast"/>
              <w:jc w:val="center"/>
              <w:rPr>
                <w:rFonts w:ascii="Verdana" w:hAnsi="Verdana"/>
                <w:b/>
                <w:color w:val="FFFFFF"/>
                <w:sz w:val="18"/>
                <w:szCs w:val="18"/>
              </w:rPr>
            </w:pPr>
            <w:r>
              <w:rPr>
                <w:rFonts w:ascii="Verdana" w:hAnsi="Verdana"/>
                <w:b/>
                <w:color w:val="FFFFFF"/>
                <w:sz w:val="18"/>
                <w:szCs w:val="18"/>
              </w:rPr>
              <w:t>End-December 2020</w:t>
            </w:r>
          </w:p>
        </w:tc>
        <w:tc>
          <w:tcPr>
            <w:tcW w:w="425" w:type="dxa"/>
            <w:tcBorders>
              <w:left w:val="single" w:sz="12" w:space="0" w:color="FFFFFF" w:themeColor="background1"/>
            </w:tcBorders>
            <w:shd w:val="clear" w:color="auto" w:fill="auto"/>
            <w:vAlign w:val="center"/>
          </w:tcPr>
          <w:p w14:paraId="7AF816F7" w14:textId="2BE91A1E" w:rsidR="00A7546F" w:rsidRPr="00A4782C" w:rsidRDefault="00A7546F" w:rsidP="00A7546F">
            <w:pPr>
              <w:spacing w:before="40" w:after="40" w:line="280" w:lineRule="atLeast"/>
              <w:jc w:val="center"/>
              <w:rPr>
                <w:rFonts w:ascii="Verdana" w:hAnsi="Verdana"/>
                <w:b/>
                <w:color w:val="FFFFFF"/>
                <w:sz w:val="8"/>
                <w:szCs w:val="8"/>
              </w:rPr>
            </w:pPr>
          </w:p>
        </w:tc>
        <w:tc>
          <w:tcPr>
            <w:tcW w:w="4394" w:type="dxa"/>
            <w:gridSpan w:val="3"/>
            <w:tcBorders>
              <w:left w:val="single" w:sz="12" w:space="0" w:color="FFFFFF" w:themeColor="background1"/>
            </w:tcBorders>
            <w:shd w:val="clear" w:color="auto" w:fill="4C4C4C"/>
          </w:tcPr>
          <w:p w14:paraId="1370CBEE" w14:textId="0A2E918C" w:rsidR="00A7546F" w:rsidRDefault="00A7546F" w:rsidP="00A7546F">
            <w:pPr>
              <w:spacing w:before="40" w:after="40" w:line="280" w:lineRule="atLeast"/>
              <w:jc w:val="center"/>
              <w:rPr>
                <w:rFonts w:ascii="Verdana" w:hAnsi="Verdana"/>
                <w:b/>
                <w:color w:val="FFFFFF"/>
                <w:sz w:val="18"/>
                <w:szCs w:val="18"/>
              </w:rPr>
            </w:pPr>
            <w:r>
              <w:rPr>
                <w:rFonts w:ascii="Verdana" w:hAnsi="Verdana"/>
                <w:b/>
                <w:color w:val="FFFFFF"/>
                <w:sz w:val="18"/>
                <w:szCs w:val="18"/>
              </w:rPr>
              <w:t>End-September 2021</w:t>
            </w:r>
          </w:p>
        </w:tc>
      </w:tr>
      <w:tr w:rsidR="00A7546F" w:rsidRPr="003B4F95" w14:paraId="75599FDD" w14:textId="694C336A" w:rsidTr="00A4782C">
        <w:trPr>
          <w:trHeight w:val="387"/>
        </w:trPr>
        <w:tc>
          <w:tcPr>
            <w:tcW w:w="2977" w:type="dxa"/>
            <w:gridSpan w:val="2"/>
            <w:shd w:val="clear" w:color="auto" w:fill="4C4C4C"/>
            <w:vAlign w:val="center"/>
          </w:tcPr>
          <w:p w14:paraId="7B36593F" w14:textId="05200A47" w:rsidR="00A7546F" w:rsidRPr="003B4F95" w:rsidRDefault="00A7546F" w:rsidP="00A7546F">
            <w:pPr>
              <w:spacing w:before="40" w:after="40" w:line="280" w:lineRule="atLeast"/>
              <w:rPr>
                <w:rFonts w:ascii="Verdana" w:hAnsi="Verdana"/>
                <w:b/>
                <w:color w:val="FFFFFF"/>
                <w:sz w:val="18"/>
                <w:szCs w:val="18"/>
              </w:rPr>
            </w:pPr>
            <w:r>
              <w:rPr>
                <w:rFonts w:ascii="Verdana" w:hAnsi="Verdana"/>
                <w:b/>
                <w:color w:val="FFFFFF"/>
                <w:sz w:val="18"/>
                <w:szCs w:val="18"/>
              </w:rPr>
              <w:t>Ranking</w:t>
            </w:r>
          </w:p>
        </w:tc>
        <w:tc>
          <w:tcPr>
            <w:tcW w:w="1559" w:type="dxa"/>
            <w:tcBorders>
              <w:right w:val="single" w:sz="12" w:space="0" w:color="auto"/>
            </w:tcBorders>
            <w:shd w:val="clear" w:color="auto" w:fill="4C4C4C"/>
            <w:vAlign w:val="center"/>
          </w:tcPr>
          <w:p w14:paraId="2BA55365" w14:textId="6132C54A" w:rsidR="00A7546F" w:rsidRPr="003B4F95" w:rsidRDefault="00A7546F" w:rsidP="00A7546F">
            <w:pPr>
              <w:spacing w:before="40" w:after="40" w:line="280" w:lineRule="atLeast"/>
              <w:jc w:val="right"/>
              <w:rPr>
                <w:rFonts w:ascii="Verdana" w:hAnsi="Verdana"/>
                <w:b/>
                <w:color w:val="FFFFFF"/>
                <w:sz w:val="18"/>
                <w:szCs w:val="18"/>
              </w:rPr>
            </w:pPr>
            <w:r>
              <w:rPr>
                <w:rFonts w:ascii="Verdana" w:hAnsi="Verdana"/>
                <w:b/>
                <w:color w:val="FFFFFF"/>
                <w:sz w:val="18"/>
                <w:szCs w:val="18"/>
              </w:rPr>
              <w:t>Rm</w:t>
            </w:r>
          </w:p>
        </w:tc>
        <w:tc>
          <w:tcPr>
            <w:tcW w:w="425" w:type="dxa"/>
            <w:tcBorders>
              <w:left w:val="single" w:sz="12" w:space="0" w:color="auto"/>
              <w:right w:val="single" w:sz="12" w:space="0" w:color="auto"/>
            </w:tcBorders>
            <w:shd w:val="clear" w:color="auto" w:fill="auto"/>
            <w:vAlign w:val="center"/>
          </w:tcPr>
          <w:p w14:paraId="5997BB47" w14:textId="364C3E1F" w:rsidR="00A7546F" w:rsidRPr="00A4782C" w:rsidRDefault="00A7546F" w:rsidP="00A7546F">
            <w:pPr>
              <w:spacing w:before="40" w:after="40" w:line="280" w:lineRule="atLeast"/>
              <w:rPr>
                <w:rFonts w:ascii="Verdana" w:hAnsi="Verdana"/>
                <w:b/>
                <w:color w:val="FFFFFF"/>
                <w:sz w:val="8"/>
                <w:szCs w:val="8"/>
              </w:rPr>
            </w:pPr>
          </w:p>
        </w:tc>
        <w:tc>
          <w:tcPr>
            <w:tcW w:w="2977" w:type="dxa"/>
            <w:gridSpan w:val="2"/>
            <w:tcBorders>
              <w:left w:val="single" w:sz="12" w:space="0" w:color="auto"/>
            </w:tcBorders>
            <w:shd w:val="clear" w:color="auto" w:fill="4C4C4C"/>
            <w:vAlign w:val="center"/>
          </w:tcPr>
          <w:p w14:paraId="0B97AF85" w14:textId="2B944448" w:rsidR="00A7546F" w:rsidRPr="003B4F95" w:rsidRDefault="00A7546F" w:rsidP="00467DA9">
            <w:pPr>
              <w:spacing w:before="40" w:after="40" w:line="280" w:lineRule="atLeast"/>
              <w:rPr>
                <w:rFonts w:ascii="Verdana" w:hAnsi="Verdana"/>
                <w:b/>
                <w:color w:val="FFFFFF"/>
                <w:sz w:val="18"/>
                <w:szCs w:val="18"/>
              </w:rPr>
            </w:pPr>
            <w:r>
              <w:rPr>
                <w:rFonts w:ascii="Verdana" w:hAnsi="Verdana"/>
                <w:b/>
                <w:color w:val="FFFFFF"/>
                <w:sz w:val="18"/>
                <w:szCs w:val="18"/>
              </w:rPr>
              <w:t>Ranking</w:t>
            </w:r>
          </w:p>
        </w:tc>
        <w:tc>
          <w:tcPr>
            <w:tcW w:w="1417" w:type="dxa"/>
            <w:shd w:val="clear" w:color="auto" w:fill="4C4C4C"/>
            <w:vAlign w:val="center"/>
          </w:tcPr>
          <w:p w14:paraId="2B5D4E10" w14:textId="720C3D78" w:rsidR="00A7546F" w:rsidRDefault="00A7546F" w:rsidP="00A7546F">
            <w:pPr>
              <w:spacing w:before="40" w:after="40" w:line="280" w:lineRule="atLeast"/>
              <w:jc w:val="right"/>
              <w:rPr>
                <w:rFonts w:ascii="Verdana" w:hAnsi="Verdana"/>
                <w:b/>
                <w:color w:val="FFFFFF"/>
                <w:sz w:val="18"/>
                <w:szCs w:val="18"/>
              </w:rPr>
            </w:pPr>
            <w:r>
              <w:rPr>
                <w:rFonts w:ascii="Verdana" w:hAnsi="Verdana"/>
                <w:b/>
                <w:color w:val="FFFFFF"/>
                <w:sz w:val="18"/>
                <w:szCs w:val="18"/>
              </w:rPr>
              <w:t>Rm</w:t>
            </w:r>
          </w:p>
        </w:tc>
      </w:tr>
      <w:tr w:rsidR="00467DA9" w14:paraId="0287459A" w14:textId="35888C83" w:rsidTr="00050A63">
        <w:tc>
          <w:tcPr>
            <w:tcW w:w="709" w:type="dxa"/>
            <w:shd w:val="clear" w:color="auto" w:fill="auto"/>
          </w:tcPr>
          <w:p w14:paraId="6E335376" w14:textId="35DCB16C" w:rsidR="00467DA9" w:rsidRPr="00A7546F" w:rsidRDefault="00467DA9" w:rsidP="00467DA9">
            <w:pPr>
              <w:spacing w:before="20" w:after="40" w:line="280" w:lineRule="atLeast"/>
              <w:jc w:val="center"/>
              <w:rPr>
                <w:rFonts w:ascii="Verdana" w:hAnsi="Verdana"/>
                <w:b/>
                <w:bCs/>
                <w:color w:val="000000"/>
                <w:sz w:val="18"/>
                <w:szCs w:val="18"/>
              </w:rPr>
            </w:pPr>
            <w:r>
              <w:rPr>
                <w:rFonts w:ascii="Verdana" w:hAnsi="Verdana"/>
                <w:b/>
                <w:bCs/>
                <w:color w:val="000000"/>
                <w:sz w:val="18"/>
                <w:szCs w:val="18"/>
              </w:rPr>
              <w:t>1</w:t>
            </w:r>
          </w:p>
        </w:tc>
        <w:tc>
          <w:tcPr>
            <w:tcW w:w="2268" w:type="dxa"/>
            <w:shd w:val="clear" w:color="auto" w:fill="auto"/>
          </w:tcPr>
          <w:p w14:paraId="4215CE34" w14:textId="4A4972B2" w:rsidR="00467DA9" w:rsidRPr="003B4F95" w:rsidRDefault="00467DA9" w:rsidP="00467DA9">
            <w:pPr>
              <w:spacing w:before="20" w:after="40" w:line="280" w:lineRule="atLeast"/>
              <w:rPr>
                <w:rFonts w:ascii="Verdana" w:hAnsi="Verdana"/>
                <w:color w:val="000000"/>
                <w:sz w:val="18"/>
                <w:szCs w:val="18"/>
              </w:rPr>
            </w:pPr>
            <w:r>
              <w:rPr>
                <w:rFonts w:ascii="Verdana" w:hAnsi="Verdana"/>
                <w:color w:val="000000"/>
                <w:sz w:val="18"/>
                <w:szCs w:val="18"/>
              </w:rPr>
              <w:t>Absa Capital</w:t>
            </w:r>
          </w:p>
        </w:tc>
        <w:tc>
          <w:tcPr>
            <w:tcW w:w="1559" w:type="dxa"/>
            <w:tcBorders>
              <w:right w:val="single" w:sz="12" w:space="0" w:color="auto"/>
            </w:tcBorders>
            <w:shd w:val="clear" w:color="auto" w:fill="auto"/>
            <w:vAlign w:val="center"/>
          </w:tcPr>
          <w:p w14:paraId="59946FF0" w14:textId="0A7CA113" w:rsidR="00467DA9" w:rsidRDefault="00467DA9" w:rsidP="00467DA9">
            <w:pPr>
              <w:spacing w:before="20" w:after="40" w:line="280" w:lineRule="atLeast"/>
              <w:jc w:val="right"/>
              <w:rPr>
                <w:rFonts w:ascii="Verdana" w:hAnsi="Verdana"/>
                <w:color w:val="000000"/>
                <w:sz w:val="18"/>
                <w:szCs w:val="18"/>
              </w:rPr>
            </w:pPr>
            <w:r>
              <w:rPr>
                <w:rFonts w:ascii="Verdana" w:hAnsi="Verdana"/>
                <w:color w:val="000000"/>
                <w:sz w:val="18"/>
                <w:szCs w:val="18"/>
              </w:rPr>
              <w:t>31 893,1</w:t>
            </w:r>
          </w:p>
        </w:tc>
        <w:tc>
          <w:tcPr>
            <w:tcW w:w="425" w:type="dxa"/>
            <w:tcBorders>
              <w:left w:val="single" w:sz="12" w:space="0" w:color="auto"/>
              <w:right w:val="single" w:sz="12" w:space="0" w:color="auto"/>
            </w:tcBorders>
            <w:shd w:val="clear" w:color="auto" w:fill="auto"/>
          </w:tcPr>
          <w:p w14:paraId="2E973C3B" w14:textId="31EDAB75" w:rsidR="00467DA9" w:rsidRPr="00467DA9" w:rsidRDefault="00467DA9" w:rsidP="00467DA9">
            <w:pPr>
              <w:spacing w:before="20" w:after="40" w:line="280" w:lineRule="atLeast"/>
              <w:jc w:val="center"/>
              <w:rPr>
                <w:rFonts w:ascii="Verdana" w:hAnsi="Verdana"/>
                <w:b/>
                <w:bCs/>
                <w:color w:val="000000"/>
                <w:sz w:val="8"/>
                <w:szCs w:val="8"/>
              </w:rPr>
            </w:pPr>
          </w:p>
        </w:tc>
        <w:tc>
          <w:tcPr>
            <w:tcW w:w="709" w:type="dxa"/>
            <w:tcBorders>
              <w:left w:val="single" w:sz="12" w:space="0" w:color="auto"/>
            </w:tcBorders>
          </w:tcPr>
          <w:p w14:paraId="7AEE6870" w14:textId="417547BE" w:rsidR="00467DA9" w:rsidRDefault="00467DA9" w:rsidP="00467DA9">
            <w:pPr>
              <w:spacing w:before="20" w:after="40" w:line="280" w:lineRule="atLeast"/>
              <w:jc w:val="center"/>
              <w:rPr>
                <w:rFonts w:ascii="Verdana" w:hAnsi="Verdana"/>
                <w:color w:val="000000"/>
                <w:sz w:val="18"/>
                <w:szCs w:val="18"/>
              </w:rPr>
            </w:pPr>
            <w:r>
              <w:rPr>
                <w:rFonts w:ascii="Verdana" w:hAnsi="Verdana"/>
                <w:b/>
                <w:bCs/>
                <w:color w:val="000000"/>
                <w:sz w:val="18"/>
                <w:szCs w:val="18"/>
              </w:rPr>
              <w:t>1</w:t>
            </w:r>
          </w:p>
        </w:tc>
        <w:tc>
          <w:tcPr>
            <w:tcW w:w="2268" w:type="dxa"/>
          </w:tcPr>
          <w:p w14:paraId="27299C0E" w14:textId="7AF75210" w:rsidR="00467DA9" w:rsidRDefault="00467DA9" w:rsidP="00467DA9">
            <w:pPr>
              <w:spacing w:before="20" w:after="40" w:line="280" w:lineRule="atLeast"/>
              <w:rPr>
                <w:rFonts w:ascii="Verdana" w:hAnsi="Verdana"/>
                <w:color w:val="000000"/>
                <w:sz w:val="18"/>
                <w:szCs w:val="18"/>
              </w:rPr>
            </w:pPr>
            <w:r>
              <w:rPr>
                <w:rFonts w:ascii="Verdana" w:hAnsi="Verdana"/>
                <w:color w:val="000000"/>
                <w:sz w:val="18"/>
                <w:szCs w:val="18"/>
              </w:rPr>
              <w:t>Satrix Managers</w:t>
            </w:r>
          </w:p>
        </w:tc>
        <w:tc>
          <w:tcPr>
            <w:tcW w:w="1417" w:type="dxa"/>
          </w:tcPr>
          <w:p w14:paraId="5283491E" w14:textId="50037C0D" w:rsidR="00467DA9" w:rsidRDefault="00467DA9" w:rsidP="00467DA9">
            <w:pPr>
              <w:spacing w:before="20" w:after="40" w:line="280" w:lineRule="atLeast"/>
              <w:jc w:val="right"/>
              <w:rPr>
                <w:rFonts w:ascii="Verdana" w:hAnsi="Verdana"/>
                <w:color w:val="000000"/>
                <w:sz w:val="18"/>
                <w:szCs w:val="18"/>
              </w:rPr>
            </w:pPr>
            <w:r>
              <w:rPr>
                <w:rFonts w:ascii="Verdana" w:hAnsi="Verdana"/>
                <w:color w:val="000000"/>
                <w:sz w:val="18"/>
                <w:szCs w:val="18"/>
              </w:rPr>
              <w:t>32 791,7</w:t>
            </w:r>
          </w:p>
        </w:tc>
      </w:tr>
      <w:tr w:rsidR="00467DA9" w:rsidRPr="003B4F95" w14:paraId="3A8A4404" w14:textId="1198E156" w:rsidTr="00050A63">
        <w:tc>
          <w:tcPr>
            <w:tcW w:w="709" w:type="dxa"/>
            <w:shd w:val="clear" w:color="auto" w:fill="auto"/>
          </w:tcPr>
          <w:p w14:paraId="1A85DE45" w14:textId="6E8F3E3E" w:rsidR="00467DA9" w:rsidRPr="00A7546F" w:rsidRDefault="00467DA9" w:rsidP="00467DA9">
            <w:pPr>
              <w:spacing w:before="20" w:after="40" w:line="280" w:lineRule="atLeast"/>
              <w:jc w:val="center"/>
              <w:rPr>
                <w:rFonts w:ascii="Verdana" w:hAnsi="Verdana"/>
                <w:b/>
                <w:bCs/>
                <w:color w:val="000000"/>
                <w:sz w:val="18"/>
                <w:szCs w:val="18"/>
              </w:rPr>
            </w:pPr>
            <w:r>
              <w:rPr>
                <w:rFonts w:ascii="Verdana" w:hAnsi="Verdana"/>
                <w:b/>
                <w:bCs/>
                <w:color w:val="000000"/>
                <w:sz w:val="18"/>
                <w:szCs w:val="18"/>
              </w:rPr>
              <w:t>2</w:t>
            </w:r>
          </w:p>
        </w:tc>
        <w:tc>
          <w:tcPr>
            <w:tcW w:w="2268" w:type="dxa"/>
            <w:shd w:val="clear" w:color="auto" w:fill="auto"/>
          </w:tcPr>
          <w:p w14:paraId="1CACC5D2" w14:textId="47B8160C" w:rsidR="00467DA9" w:rsidRPr="003B4F95" w:rsidRDefault="00467DA9" w:rsidP="00467DA9">
            <w:pPr>
              <w:spacing w:before="20" w:after="40" w:line="280" w:lineRule="atLeast"/>
              <w:rPr>
                <w:rFonts w:ascii="Verdana" w:hAnsi="Verdana"/>
                <w:color w:val="000000"/>
                <w:sz w:val="18"/>
                <w:szCs w:val="18"/>
              </w:rPr>
            </w:pPr>
            <w:r>
              <w:rPr>
                <w:rFonts w:ascii="Verdana" w:hAnsi="Verdana"/>
                <w:color w:val="000000"/>
                <w:sz w:val="18"/>
                <w:szCs w:val="18"/>
              </w:rPr>
              <w:t>Satrix Managers</w:t>
            </w:r>
          </w:p>
        </w:tc>
        <w:tc>
          <w:tcPr>
            <w:tcW w:w="1559" w:type="dxa"/>
            <w:tcBorders>
              <w:right w:val="single" w:sz="12" w:space="0" w:color="auto"/>
            </w:tcBorders>
            <w:shd w:val="clear" w:color="auto" w:fill="auto"/>
            <w:vAlign w:val="center"/>
          </w:tcPr>
          <w:p w14:paraId="2B2DC374" w14:textId="3AA5D774" w:rsidR="00467DA9" w:rsidRPr="003B4F95" w:rsidRDefault="00467DA9" w:rsidP="00467DA9">
            <w:pPr>
              <w:spacing w:before="20" w:after="40" w:line="280" w:lineRule="atLeast"/>
              <w:jc w:val="right"/>
              <w:rPr>
                <w:rFonts w:ascii="Verdana" w:hAnsi="Verdana"/>
                <w:color w:val="000000"/>
                <w:sz w:val="18"/>
                <w:szCs w:val="18"/>
              </w:rPr>
            </w:pPr>
            <w:r>
              <w:rPr>
                <w:rFonts w:ascii="Verdana" w:hAnsi="Verdana"/>
                <w:color w:val="000000"/>
                <w:sz w:val="18"/>
                <w:szCs w:val="18"/>
              </w:rPr>
              <w:t>25 473,1</w:t>
            </w:r>
          </w:p>
        </w:tc>
        <w:tc>
          <w:tcPr>
            <w:tcW w:w="425" w:type="dxa"/>
            <w:tcBorders>
              <w:left w:val="single" w:sz="12" w:space="0" w:color="auto"/>
              <w:right w:val="single" w:sz="12" w:space="0" w:color="auto"/>
            </w:tcBorders>
            <w:shd w:val="clear" w:color="auto" w:fill="auto"/>
          </w:tcPr>
          <w:p w14:paraId="15B00951" w14:textId="05D76D44" w:rsidR="00467DA9" w:rsidRPr="00467DA9" w:rsidRDefault="00467DA9" w:rsidP="00467DA9">
            <w:pPr>
              <w:spacing w:before="20" w:after="40" w:line="280" w:lineRule="atLeast"/>
              <w:jc w:val="center"/>
              <w:rPr>
                <w:rFonts w:ascii="Verdana" w:hAnsi="Verdana"/>
                <w:b/>
                <w:bCs/>
                <w:color w:val="000000"/>
                <w:sz w:val="8"/>
                <w:szCs w:val="8"/>
              </w:rPr>
            </w:pPr>
          </w:p>
        </w:tc>
        <w:tc>
          <w:tcPr>
            <w:tcW w:w="709" w:type="dxa"/>
            <w:tcBorders>
              <w:left w:val="single" w:sz="12" w:space="0" w:color="auto"/>
            </w:tcBorders>
          </w:tcPr>
          <w:p w14:paraId="1D62298A" w14:textId="4B4E14F2" w:rsidR="00467DA9" w:rsidRPr="003B4F95" w:rsidRDefault="00467DA9" w:rsidP="00467DA9">
            <w:pPr>
              <w:spacing w:before="20" w:after="40" w:line="280" w:lineRule="atLeast"/>
              <w:jc w:val="center"/>
              <w:rPr>
                <w:rFonts w:ascii="Verdana" w:hAnsi="Verdana"/>
                <w:color w:val="000000"/>
                <w:sz w:val="18"/>
                <w:szCs w:val="18"/>
              </w:rPr>
            </w:pPr>
            <w:r>
              <w:rPr>
                <w:rFonts w:ascii="Verdana" w:hAnsi="Verdana"/>
                <w:b/>
                <w:bCs/>
                <w:color w:val="000000"/>
                <w:sz w:val="18"/>
                <w:szCs w:val="18"/>
              </w:rPr>
              <w:t>2</w:t>
            </w:r>
          </w:p>
        </w:tc>
        <w:tc>
          <w:tcPr>
            <w:tcW w:w="2268" w:type="dxa"/>
          </w:tcPr>
          <w:p w14:paraId="59E0670D" w14:textId="7D1428F8" w:rsidR="00467DA9" w:rsidRPr="003B4F95" w:rsidRDefault="00467DA9" w:rsidP="00467DA9">
            <w:pPr>
              <w:spacing w:before="20" w:after="40" w:line="280" w:lineRule="atLeast"/>
              <w:rPr>
                <w:rFonts w:ascii="Verdana" w:hAnsi="Verdana"/>
                <w:color w:val="000000"/>
                <w:sz w:val="18"/>
                <w:szCs w:val="18"/>
              </w:rPr>
            </w:pPr>
            <w:r>
              <w:rPr>
                <w:rFonts w:ascii="Verdana" w:hAnsi="Verdana"/>
                <w:color w:val="000000"/>
                <w:sz w:val="18"/>
                <w:szCs w:val="18"/>
              </w:rPr>
              <w:t>Sygnia Itrix</w:t>
            </w:r>
          </w:p>
        </w:tc>
        <w:tc>
          <w:tcPr>
            <w:tcW w:w="1417" w:type="dxa"/>
          </w:tcPr>
          <w:p w14:paraId="31096720" w14:textId="60914927" w:rsidR="00467DA9" w:rsidRPr="003B4F95" w:rsidRDefault="00467DA9" w:rsidP="00467DA9">
            <w:pPr>
              <w:spacing w:before="20" w:after="40" w:line="280" w:lineRule="atLeast"/>
              <w:jc w:val="right"/>
              <w:rPr>
                <w:rFonts w:ascii="Verdana" w:hAnsi="Verdana"/>
                <w:color w:val="000000"/>
                <w:sz w:val="18"/>
                <w:szCs w:val="18"/>
              </w:rPr>
            </w:pPr>
            <w:r>
              <w:rPr>
                <w:rFonts w:ascii="Verdana" w:hAnsi="Verdana"/>
                <w:color w:val="000000"/>
                <w:sz w:val="18"/>
                <w:szCs w:val="18"/>
              </w:rPr>
              <w:t>31 161,9</w:t>
            </w:r>
          </w:p>
        </w:tc>
      </w:tr>
      <w:tr w:rsidR="00467DA9" w:rsidRPr="003B4F95" w14:paraId="0146B35F" w14:textId="50C60A05" w:rsidTr="00050A63">
        <w:tc>
          <w:tcPr>
            <w:tcW w:w="709" w:type="dxa"/>
            <w:shd w:val="clear" w:color="auto" w:fill="auto"/>
          </w:tcPr>
          <w:p w14:paraId="39C59E74" w14:textId="0853D1B4" w:rsidR="00467DA9" w:rsidRPr="00A7546F" w:rsidRDefault="00467DA9" w:rsidP="00467DA9">
            <w:pPr>
              <w:spacing w:before="20" w:after="40" w:line="280" w:lineRule="atLeast"/>
              <w:jc w:val="center"/>
              <w:rPr>
                <w:rFonts w:ascii="Verdana" w:hAnsi="Verdana"/>
                <w:b/>
                <w:bCs/>
                <w:color w:val="000000"/>
                <w:sz w:val="18"/>
                <w:szCs w:val="18"/>
              </w:rPr>
            </w:pPr>
            <w:r>
              <w:rPr>
                <w:rFonts w:ascii="Verdana" w:hAnsi="Verdana"/>
                <w:b/>
                <w:bCs/>
                <w:color w:val="000000"/>
                <w:sz w:val="18"/>
                <w:szCs w:val="18"/>
              </w:rPr>
              <w:t>3</w:t>
            </w:r>
          </w:p>
        </w:tc>
        <w:tc>
          <w:tcPr>
            <w:tcW w:w="2268" w:type="dxa"/>
            <w:shd w:val="clear" w:color="auto" w:fill="auto"/>
          </w:tcPr>
          <w:p w14:paraId="6D5C88F3" w14:textId="1496127D" w:rsidR="00467DA9" w:rsidRPr="003B4F95" w:rsidRDefault="00467DA9" w:rsidP="00467DA9">
            <w:pPr>
              <w:spacing w:before="20" w:after="40" w:line="280" w:lineRule="atLeast"/>
              <w:rPr>
                <w:rFonts w:ascii="Verdana" w:hAnsi="Verdana"/>
                <w:color w:val="000000"/>
                <w:sz w:val="18"/>
                <w:szCs w:val="18"/>
              </w:rPr>
            </w:pPr>
            <w:r>
              <w:rPr>
                <w:rFonts w:ascii="Verdana" w:hAnsi="Verdana"/>
                <w:color w:val="000000"/>
                <w:sz w:val="18"/>
                <w:szCs w:val="18"/>
              </w:rPr>
              <w:t>Sygnia Itrix</w:t>
            </w:r>
          </w:p>
        </w:tc>
        <w:tc>
          <w:tcPr>
            <w:tcW w:w="1559" w:type="dxa"/>
            <w:tcBorders>
              <w:right w:val="single" w:sz="12" w:space="0" w:color="auto"/>
            </w:tcBorders>
            <w:shd w:val="clear" w:color="auto" w:fill="auto"/>
            <w:vAlign w:val="center"/>
          </w:tcPr>
          <w:p w14:paraId="11FED70E" w14:textId="03DFB8D8" w:rsidR="00467DA9" w:rsidRDefault="00467DA9" w:rsidP="00467DA9">
            <w:pPr>
              <w:spacing w:before="20" w:after="40" w:line="280" w:lineRule="atLeast"/>
              <w:jc w:val="right"/>
              <w:rPr>
                <w:rFonts w:ascii="Verdana" w:hAnsi="Verdana"/>
                <w:color w:val="000000"/>
                <w:sz w:val="18"/>
                <w:szCs w:val="18"/>
              </w:rPr>
            </w:pPr>
            <w:r>
              <w:rPr>
                <w:rFonts w:ascii="Verdana" w:hAnsi="Verdana"/>
                <w:color w:val="000000"/>
                <w:sz w:val="18"/>
                <w:szCs w:val="18"/>
              </w:rPr>
              <w:t>24 546,2</w:t>
            </w:r>
          </w:p>
        </w:tc>
        <w:tc>
          <w:tcPr>
            <w:tcW w:w="425" w:type="dxa"/>
            <w:tcBorders>
              <w:left w:val="single" w:sz="12" w:space="0" w:color="auto"/>
              <w:right w:val="single" w:sz="12" w:space="0" w:color="auto"/>
            </w:tcBorders>
            <w:shd w:val="clear" w:color="auto" w:fill="auto"/>
          </w:tcPr>
          <w:p w14:paraId="788CE277" w14:textId="3487814D" w:rsidR="00467DA9" w:rsidRPr="00467DA9" w:rsidRDefault="00467DA9" w:rsidP="00467DA9">
            <w:pPr>
              <w:spacing w:before="20" w:after="40" w:line="280" w:lineRule="atLeast"/>
              <w:jc w:val="center"/>
              <w:rPr>
                <w:rFonts w:ascii="Verdana" w:hAnsi="Verdana"/>
                <w:b/>
                <w:bCs/>
                <w:color w:val="000000"/>
                <w:sz w:val="8"/>
                <w:szCs w:val="8"/>
              </w:rPr>
            </w:pPr>
          </w:p>
        </w:tc>
        <w:tc>
          <w:tcPr>
            <w:tcW w:w="709" w:type="dxa"/>
            <w:tcBorders>
              <w:left w:val="single" w:sz="12" w:space="0" w:color="auto"/>
            </w:tcBorders>
          </w:tcPr>
          <w:p w14:paraId="4FD8D9C7" w14:textId="0D86685A" w:rsidR="00467DA9" w:rsidRDefault="00467DA9" w:rsidP="00467DA9">
            <w:pPr>
              <w:spacing w:before="20" w:after="40" w:line="280" w:lineRule="atLeast"/>
              <w:jc w:val="center"/>
              <w:rPr>
                <w:rFonts w:ascii="Verdana" w:hAnsi="Verdana"/>
                <w:color w:val="000000"/>
                <w:sz w:val="18"/>
                <w:szCs w:val="18"/>
              </w:rPr>
            </w:pPr>
            <w:r>
              <w:rPr>
                <w:rFonts w:ascii="Verdana" w:hAnsi="Verdana"/>
                <w:b/>
                <w:bCs/>
                <w:color w:val="000000"/>
                <w:sz w:val="18"/>
                <w:szCs w:val="18"/>
              </w:rPr>
              <w:t>3</w:t>
            </w:r>
          </w:p>
        </w:tc>
        <w:tc>
          <w:tcPr>
            <w:tcW w:w="2268" w:type="dxa"/>
            <w:vAlign w:val="center"/>
          </w:tcPr>
          <w:p w14:paraId="4D278C85" w14:textId="2D20D4E4" w:rsidR="00467DA9" w:rsidRDefault="00467DA9" w:rsidP="00467DA9">
            <w:pPr>
              <w:spacing w:before="20" w:after="40" w:line="280" w:lineRule="atLeast"/>
              <w:rPr>
                <w:rFonts w:ascii="Verdana" w:hAnsi="Verdana"/>
                <w:color w:val="000000"/>
                <w:sz w:val="18"/>
                <w:szCs w:val="18"/>
              </w:rPr>
            </w:pPr>
            <w:r>
              <w:rPr>
                <w:rFonts w:ascii="Verdana" w:hAnsi="Verdana"/>
                <w:color w:val="000000"/>
                <w:sz w:val="18"/>
                <w:szCs w:val="18"/>
              </w:rPr>
              <w:t>Absa Capital</w:t>
            </w:r>
          </w:p>
        </w:tc>
        <w:tc>
          <w:tcPr>
            <w:tcW w:w="1417" w:type="dxa"/>
          </w:tcPr>
          <w:p w14:paraId="587B4206" w14:textId="6084CE31" w:rsidR="00467DA9" w:rsidRDefault="00467DA9" w:rsidP="00467DA9">
            <w:pPr>
              <w:spacing w:before="20" w:after="40" w:line="280" w:lineRule="atLeast"/>
              <w:jc w:val="right"/>
              <w:rPr>
                <w:rFonts w:ascii="Verdana" w:hAnsi="Verdana"/>
                <w:color w:val="000000"/>
                <w:sz w:val="18"/>
                <w:szCs w:val="18"/>
              </w:rPr>
            </w:pPr>
            <w:r>
              <w:rPr>
                <w:rFonts w:ascii="Verdana" w:hAnsi="Verdana"/>
                <w:color w:val="000000"/>
                <w:sz w:val="18"/>
                <w:szCs w:val="18"/>
              </w:rPr>
              <w:t>30 857,9</w:t>
            </w:r>
          </w:p>
        </w:tc>
      </w:tr>
    </w:tbl>
    <w:p w14:paraId="601F2344" w14:textId="61E71A85" w:rsidR="00AE1262" w:rsidRDefault="00AE1262" w:rsidP="00467DA9">
      <w:pPr>
        <w:spacing w:after="0" w:line="360" w:lineRule="atLeast"/>
        <w:jc w:val="both"/>
        <w:rPr>
          <w:rFonts w:ascii="Verdana" w:hAnsi="Verdana"/>
          <w:sz w:val="21"/>
          <w:szCs w:val="21"/>
        </w:rPr>
      </w:pPr>
    </w:p>
    <w:p w14:paraId="175F8A2F" w14:textId="49BFE47B" w:rsidR="00F2662C" w:rsidRDefault="00784C81" w:rsidP="001976A7">
      <w:pPr>
        <w:spacing w:after="0" w:line="320" w:lineRule="atLeast"/>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62336" behindDoc="0" locked="0" layoutInCell="1" allowOverlap="1" wp14:anchorId="2E263F76" wp14:editId="278BD6E5">
                <wp:simplePos x="0" y="0"/>
                <wp:positionH relativeFrom="margin">
                  <wp:posOffset>130810</wp:posOffset>
                </wp:positionH>
                <wp:positionV relativeFrom="paragraph">
                  <wp:posOffset>74930</wp:posOffset>
                </wp:positionV>
                <wp:extent cx="5962650" cy="44450"/>
                <wp:effectExtent l="0" t="0" r="19050" b="31750"/>
                <wp:wrapNone/>
                <wp:docPr id="5" name="Straight Connector 5"/>
                <wp:cNvGraphicFramePr/>
                <a:graphic xmlns:a="http://schemas.openxmlformats.org/drawingml/2006/main">
                  <a:graphicData uri="http://schemas.microsoft.com/office/word/2010/wordprocessingShape">
                    <wps:wsp>
                      <wps:cNvCnPr/>
                      <wps:spPr>
                        <a:xfrm flipH="1">
                          <a:off x="0" y="0"/>
                          <a:ext cx="5962650" cy="4445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E1AE0"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pt,5.9pt" to="479.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" strokecolor="#c00000">
                <v:stroke joinstyle="miter"/>
                <w10:wrap anchorx="margin"/>
              </v:line>
            </w:pict>
          </mc:Fallback>
        </mc:AlternateContent>
      </w:r>
    </w:p>
    <w:p w14:paraId="1235BD82" w14:textId="77777777" w:rsidR="00784C81" w:rsidRDefault="00784C81" w:rsidP="00FC62D1">
      <w:pPr>
        <w:spacing w:after="0" w:line="300" w:lineRule="atLeast"/>
        <w:jc w:val="both"/>
        <w:rPr>
          <w:rFonts w:ascii="Verdana" w:hAnsi="Verdana"/>
          <w:b/>
          <w:color w:val="C00000"/>
          <w:sz w:val="24"/>
          <w:szCs w:val="24"/>
        </w:rPr>
      </w:pPr>
    </w:p>
    <w:p w14:paraId="02968165" w14:textId="3ABFCC09" w:rsidR="007D1C48" w:rsidRDefault="00511FB5" w:rsidP="00E20B2D">
      <w:pPr>
        <w:spacing w:after="12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4DD40897" w:rsidR="00D72BC0" w:rsidRDefault="006C780E" w:rsidP="00467DA9">
      <w:pPr>
        <w:spacing w:after="0" w:line="360" w:lineRule="atLeast"/>
        <w:jc w:val="both"/>
        <w:rPr>
          <w:rFonts w:ascii="Verdana" w:hAnsi="Verdana"/>
          <w:color w:val="000000" w:themeColor="text1"/>
          <w:sz w:val="21"/>
          <w:szCs w:val="21"/>
        </w:rPr>
      </w:pPr>
      <w:r>
        <w:rPr>
          <w:rFonts w:ascii="Verdana" w:hAnsi="Verdana"/>
          <w:color w:val="000000" w:themeColor="text1"/>
          <w:sz w:val="21"/>
          <w:szCs w:val="21"/>
        </w:rPr>
        <w:t>T</w:t>
      </w:r>
      <w:r w:rsidR="004E7608">
        <w:rPr>
          <w:rFonts w:ascii="Verdana" w:hAnsi="Verdana"/>
          <w:color w:val="000000" w:themeColor="text1"/>
          <w:sz w:val="21"/>
          <w:szCs w:val="21"/>
        </w:rPr>
        <w:t>he total market capitalisation</w:t>
      </w:r>
      <w:r w:rsidR="004A53EA">
        <w:rPr>
          <w:rFonts w:ascii="Verdana" w:hAnsi="Verdana"/>
          <w:color w:val="000000" w:themeColor="text1"/>
          <w:sz w:val="21"/>
          <w:szCs w:val="21"/>
        </w:rPr>
        <w:t xml:space="preserve"> of </w:t>
      </w:r>
      <w:r w:rsidR="00B23C71">
        <w:rPr>
          <w:rFonts w:ascii="Verdana" w:hAnsi="Verdana"/>
          <w:color w:val="000000" w:themeColor="text1"/>
          <w:sz w:val="21"/>
          <w:szCs w:val="21"/>
        </w:rPr>
        <w:t>the entire South Africa ETF and ETN industry r</w:t>
      </w:r>
      <w:r w:rsidR="002F4117">
        <w:rPr>
          <w:rFonts w:ascii="Verdana" w:hAnsi="Verdana"/>
          <w:color w:val="000000" w:themeColor="text1"/>
          <w:sz w:val="21"/>
          <w:szCs w:val="21"/>
        </w:rPr>
        <w:t>ose</w:t>
      </w:r>
      <w:r>
        <w:rPr>
          <w:rFonts w:ascii="Verdana" w:hAnsi="Verdana"/>
          <w:color w:val="000000" w:themeColor="text1"/>
          <w:sz w:val="21"/>
          <w:szCs w:val="21"/>
        </w:rPr>
        <w:t xml:space="preserve"> from R1</w:t>
      </w:r>
      <w:r w:rsidR="00467DA9">
        <w:rPr>
          <w:rFonts w:ascii="Verdana" w:hAnsi="Verdana"/>
          <w:color w:val="000000" w:themeColor="text1"/>
          <w:sz w:val="21"/>
          <w:szCs w:val="21"/>
        </w:rPr>
        <w:t>24,5</w:t>
      </w:r>
      <w:r>
        <w:rPr>
          <w:rFonts w:ascii="Verdana" w:hAnsi="Verdana"/>
          <w:color w:val="000000" w:themeColor="text1"/>
          <w:sz w:val="21"/>
          <w:szCs w:val="21"/>
        </w:rPr>
        <w:t xml:space="preserve"> billion at the end of </w:t>
      </w:r>
      <w:r w:rsidR="00467DA9">
        <w:rPr>
          <w:rFonts w:ascii="Verdana" w:hAnsi="Verdana"/>
          <w:color w:val="000000" w:themeColor="text1"/>
          <w:sz w:val="21"/>
          <w:szCs w:val="21"/>
        </w:rPr>
        <w:t>June</w:t>
      </w:r>
      <w:r w:rsidR="004A687F">
        <w:rPr>
          <w:rFonts w:ascii="Verdana" w:hAnsi="Verdana"/>
          <w:color w:val="000000" w:themeColor="text1"/>
          <w:sz w:val="21"/>
          <w:szCs w:val="21"/>
        </w:rPr>
        <w:t xml:space="preserve"> 2021 </w:t>
      </w:r>
      <w:r>
        <w:rPr>
          <w:rFonts w:ascii="Verdana" w:hAnsi="Verdana"/>
          <w:color w:val="000000" w:themeColor="text1"/>
          <w:sz w:val="21"/>
          <w:szCs w:val="21"/>
        </w:rPr>
        <w:t>to R1</w:t>
      </w:r>
      <w:r w:rsidR="004A687F">
        <w:rPr>
          <w:rFonts w:ascii="Verdana" w:hAnsi="Verdana"/>
          <w:color w:val="000000" w:themeColor="text1"/>
          <w:sz w:val="21"/>
          <w:szCs w:val="21"/>
        </w:rPr>
        <w:t>25</w:t>
      </w:r>
      <w:r w:rsidR="00467DA9">
        <w:rPr>
          <w:rFonts w:ascii="Verdana" w:hAnsi="Verdana"/>
          <w:color w:val="000000" w:themeColor="text1"/>
          <w:sz w:val="21"/>
          <w:szCs w:val="21"/>
        </w:rPr>
        <w:t>,5</w:t>
      </w:r>
      <w:r>
        <w:rPr>
          <w:rFonts w:ascii="Verdana" w:hAnsi="Verdana"/>
          <w:color w:val="000000" w:themeColor="text1"/>
          <w:sz w:val="21"/>
          <w:szCs w:val="21"/>
        </w:rPr>
        <w:t xml:space="preserve"> billion at </w:t>
      </w:r>
      <w:r w:rsidR="00685233">
        <w:rPr>
          <w:rFonts w:ascii="Verdana" w:hAnsi="Verdana"/>
          <w:color w:val="000000" w:themeColor="text1"/>
          <w:sz w:val="21"/>
          <w:szCs w:val="21"/>
        </w:rPr>
        <w:t xml:space="preserve">the end of </w:t>
      </w:r>
      <w:r w:rsidR="00467DA9">
        <w:rPr>
          <w:rFonts w:ascii="Verdana" w:hAnsi="Verdana"/>
          <w:color w:val="000000" w:themeColor="text1"/>
          <w:sz w:val="21"/>
          <w:szCs w:val="21"/>
        </w:rPr>
        <w:t>September</w:t>
      </w:r>
      <w:r w:rsidR="004A687F">
        <w:rPr>
          <w:rFonts w:ascii="Verdana" w:hAnsi="Verdana"/>
          <w:color w:val="000000" w:themeColor="text1"/>
          <w:sz w:val="21"/>
          <w:szCs w:val="21"/>
        </w:rPr>
        <w:t xml:space="preserve"> 2021</w:t>
      </w:r>
      <w:r>
        <w:rPr>
          <w:rFonts w:ascii="Verdana" w:hAnsi="Verdana"/>
          <w:color w:val="000000" w:themeColor="text1"/>
          <w:sz w:val="21"/>
          <w:szCs w:val="21"/>
        </w:rPr>
        <w:t xml:space="preserve">.  </w:t>
      </w:r>
    </w:p>
    <w:p w14:paraId="5A5A6F6E" w14:textId="5A71C259" w:rsidR="00467DA9" w:rsidRDefault="00467DA9" w:rsidP="00467DA9">
      <w:pPr>
        <w:spacing w:after="0" w:line="360" w:lineRule="atLeast"/>
        <w:jc w:val="both"/>
        <w:rPr>
          <w:rFonts w:ascii="Verdana" w:hAnsi="Verdana"/>
          <w:color w:val="000000" w:themeColor="text1"/>
          <w:sz w:val="21"/>
          <w:szCs w:val="21"/>
        </w:rPr>
      </w:pPr>
    </w:p>
    <w:p w14:paraId="5939C60B" w14:textId="4BF03417" w:rsidR="00467DA9" w:rsidRDefault="00467DA9" w:rsidP="00467DA9">
      <w:pPr>
        <w:spacing w:after="0" w:line="360" w:lineRule="atLeast"/>
        <w:jc w:val="both"/>
        <w:rPr>
          <w:rFonts w:ascii="Verdana" w:hAnsi="Verdana"/>
          <w:color w:val="000000" w:themeColor="text1"/>
          <w:sz w:val="21"/>
          <w:szCs w:val="21"/>
        </w:rPr>
      </w:pPr>
      <w:r>
        <w:rPr>
          <w:rFonts w:ascii="Verdana" w:hAnsi="Verdana"/>
          <w:color w:val="000000" w:themeColor="text1"/>
          <w:sz w:val="21"/>
          <w:szCs w:val="21"/>
        </w:rPr>
        <w:t xml:space="preserve">This fairly marginal increase in the size of the ETP industry in the third quarter of 2021, </w:t>
      </w:r>
      <w:r w:rsidR="009542C9">
        <w:rPr>
          <w:rFonts w:ascii="Verdana" w:hAnsi="Verdana"/>
          <w:color w:val="000000" w:themeColor="text1"/>
          <w:sz w:val="21"/>
          <w:szCs w:val="21"/>
        </w:rPr>
        <w:t>hide</w:t>
      </w:r>
      <w:r>
        <w:rPr>
          <w:rFonts w:ascii="Verdana" w:hAnsi="Verdana"/>
          <w:color w:val="000000" w:themeColor="text1"/>
          <w:sz w:val="21"/>
          <w:szCs w:val="21"/>
        </w:rPr>
        <w:t>s the solid growth in the ETP business as a whole</w:t>
      </w:r>
      <w:r w:rsidR="009542C9">
        <w:rPr>
          <w:rFonts w:ascii="Verdana" w:hAnsi="Verdana"/>
          <w:color w:val="000000" w:themeColor="text1"/>
          <w:sz w:val="21"/>
          <w:szCs w:val="21"/>
        </w:rPr>
        <w:t xml:space="preserve"> this year</w:t>
      </w:r>
      <w:r>
        <w:rPr>
          <w:rFonts w:ascii="Verdana" w:hAnsi="Verdana"/>
          <w:color w:val="000000" w:themeColor="text1"/>
          <w:sz w:val="21"/>
          <w:szCs w:val="21"/>
        </w:rPr>
        <w:t>, which has increased from R111</w:t>
      </w:r>
      <w:r w:rsidR="009542C9">
        <w:rPr>
          <w:rFonts w:ascii="Verdana" w:hAnsi="Verdana"/>
          <w:color w:val="000000" w:themeColor="text1"/>
          <w:sz w:val="21"/>
          <w:szCs w:val="21"/>
        </w:rPr>
        <w:t>,0</w:t>
      </w:r>
      <w:r>
        <w:rPr>
          <w:rFonts w:ascii="Verdana" w:hAnsi="Verdana"/>
          <w:color w:val="000000" w:themeColor="text1"/>
          <w:sz w:val="21"/>
          <w:szCs w:val="21"/>
        </w:rPr>
        <w:t xml:space="preserve"> billion at end-2020 to R125,5 billion over the past nine months, a growth of 13,1%. </w:t>
      </w:r>
    </w:p>
    <w:p w14:paraId="07AF6E62" w14:textId="2BBFDAF1" w:rsidR="00467DA9" w:rsidRDefault="00467DA9">
      <w:pPr>
        <w:rPr>
          <w:rFonts w:ascii="Verdana" w:hAnsi="Verdana"/>
          <w:color w:val="000000" w:themeColor="text1"/>
          <w:sz w:val="21"/>
          <w:szCs w:val="21"/>
        </w:rPr>
      </w:pPr>
      <w:r>
        <w:rPr>
          <w:rFonts w:ascii="Verdana" w:hAnsi="Verdana"/>
          <w:color w:val="000000" w:themeColor="text1"/>
          <w:sz w:val="21"/>
          <w:szCs w:val="21"/>
        </w:rPr>
        <w:br w:type="page"/>
      </w:r>
    </w:p>
    <w:p w14:paraId="7A3F15E8" w14:textId="77777777" w:rsidR="00D826DB" w:rsidRDefault="00D826DB" w:rsidP="00137500">
      <w:pPr>
        <w:spacing w:after="0" w:line="34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67DA9" w14:paraId="02D18F07" w14:textId="77777777" w:rsidTr="009542C9">
        <w:tc>
          <w:tcPr>
            <w:tcW w:w="9498" w:type="dxa"/>
            <w:vAlign w:val="center"/>
          </w:tcPr>
          <w:p w14:paraId="237962D7" w14:textId="23F3B034" w:rsidR="00467DA9" w:rsidRDefault="009542C9" w:rsidP="00467DA9">
            <w:pPr>
              <w:spacing w:line="340" w:lineRule="atLeast"/>
              <w:jc w:val="center"/>
              <w:rPr>
                <w:rFonts w:ascii="Verdana" w:hAnsi="Verdana"/>
                <w:color w:val="000000" w:themeColor="text1"/>
                <w:sz w:val="21"/>
                <w:szCs w:val="21"/>
              </w:rPr>
            </w:pPr>
            <w:r>
              <w:rPr>
                <w:noProof/>
              </w:rPr>
              <w:drawing>
                <wp:inline distT="0" distB="0" distL="0" distR="0" wp14:anchorId="56BB84EB" wp14:editId="72E716E4">
                  <wp:extent cx="4686301" cy="3019425"/>
                  <wp:effectExtent l="0" t="0" r="0" b="9525"/>
                  <wp:docPr id="10" name="Chart 10">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7CCC5C48" w14:textId="396195E0" w:rsidR="00AE720D" w:rsidRDefault="00AE720D" w:rsidP="00CD37BB">
      <w:pPr>
        <w:spacing w:after="0" w:line="320" w:lineRule="atLeast"/>
        <w:jc w:val="both"/>
        <w:rPr>
          <w:rFonts w:ascii="Verdana" w:hAnsi="Verdana"/>
          <w:color w:val="000000" w:themeColor="text1"/>
          <w:sz w:val="21"/>
          <w:szCs w:val="21"/>
        </w:rPr>
      </w:pPr>
    </w:p>
    <w:p w14:paraId="6FBF83F8" w14:textId="77777777" w:rsidR="00A4782C" w:rsidRDefault="00A4782C" w:rsidP="00CD37BB">
      <w:pPr>
        <w:spacing w:after="0" w:line="320" w:lineRule="atLeast"/>
        <w:jc w:val="both"/>
        <w:rPr>
          <w:rFonts w:ascii="Verdana" w:hAnsi="Verdana"/>
          <w:color w:val="000000" w:themeColor="text1"/>
          <w:sz w:val="21"/>
          <w:szCs w:val="21"/>
        </w:rPr>
      </w:pPr>
    </w:p>
    <w:p w14:paraId="6B7A6171" w14:textId="737EC05E" w:rsidR="004B0713" w:rsidRPr="003A3D19" w:rsidRDefault="00B5062D" w:rsidP="00FA5C9F">
      <w:pPr>
        <w:spacing w:after="120" w:line="340" w:lineRule="atLeast"/>
        <w:jc w:val="both"/>
        <w:rPr>
          <w:rFonts w:ascii="Verdana" w:hAnsi="Verdana"/>
          <w:b/>
          <w:color w:val="C00000"/>
          <w:sz w:val="24"/>
          <w:szCs w:val="24"/>
        </w:rPr>
      </w:pPr>
      <w:r>
        <w:rPr>
          <w:rFonts w:ascii="Verdana" w:hAnsi="Verdana"/>
          <w:b/>
          <w:color w:val="C00000"/>
          <w:sz w:val="24"/>
          <w:szCs w:val="24"/>
        </w:rPr>
        <w:t>N</w:t>
      </w:r>
      <w:r w:rsidR="00CE3CC2">
        <w:rPr>
          <w:rFonts w:ascii="Verdana" w:hAnsi="Verdana"/>
          <w:b/>
          <w:color w:val="C00000"/>
          <w:sz w:val="24"/>
          <w:szCs w:val="24"/>
        </w:rPr>
        <w:t>e</w:t>
      </w:r>
      <w:r w:rsidR="00FA5C9F">
        <w:rPr>
          <w:rFonts w:ascii="Verdana" w:hAnsi="Verdana"/>
          <w:b/>
          <w:color w:val="C00000"/>
          <w:sz w:val="24"/>
          <w:szCs w:val="24"/>
        </w:rPr>
        <w:t>w Capital Raised</w:t>
      </w:r>
    </w:p>
    <w:p w14:paraId="42F177DB" w14:textId="3E129E1C" w:rsidR="006F12EA" w:rsidRDefault="00DD1C15" w:rsidP="00213163">
      <w:pPr>
        <w:spacing w:after="0" w:line="320" w:lineRule="atLeast"/>
        <w:rPr>
          <w:rFonts w:ascii="Verdana" w:hAnsi="Verdana"/>
          <w:color w:val="000000"/>
          <w:sz w:val="21"/>
          <w:szCs w:val="21"/>
        </w:rPr>
      </w:pPr>
      <w:r>
        <w:rPr>
          <w:rFonts w:ascii="Verdana" w:hAnsi="Verdana"/>
          <w:color w:val="000000"/>
          <w:sz w:val="21"/>
          <w:szCs w:val="21"/>
        </w:rPr>
        <w:t>The growth of R14</w:t>
      </w:r>
      <w:r w:rsidR="009542C9">
        <w:rPr>
          <w:rFonts w:ascii="Verdana" w:hAnsi="Verdana"/>
          <w:color w:val="000000"/>
          <w:sz w:val="21"/>
          <w:szCs w:val="21"/>
        </w:rPr>
        <w:t>,</w:t>
      </w:r>
      <w:r>
        <w:rPr>
          <w:rFonts w:ascii="Verdana" w:hAnsi="Verdana"/>
          <w:color w:val="000000"/>
          <w:sz w:val="21"/>
          <w:szCs w:val="21"/>
        </w:rPr>
        <w:t xml:space="preserve">5 billion in the total market capitalisation of the entire ETP industry during the first three quarters of 2021, was due to both growth in the underlying value of the ETPs already in issue, plus </w:t>
      </w:r>
      <w:r w:rsidR="009542C9">
        <w:rPr>
          <w:rFonts w:ascii="Verdana" w:hAnsi="Verdana"/>
          <w:color w:val="000000"/>
          <w:sz w:val="21"/>
          <w:szCs w:val="21"/>
        </w:rPr>
        <w:t xml:space="preserve">incremental </w:t>
      </w:r>
      <w:r>
        <w:rPr>
          <w:rFonts w:ascii="Verdana" w:hAnsi="Verdana"/>
          <w:color w:val="000000"/>
          <w:sz w:val="21"/>
          <w:szCs w:val="21"/>
        </w:rPr>
        <w:t>new capital raised from the new listings or delistings of ETPs, as well as creations or redemptions of ETPs already in issue.  The net new capital raised in the first 9 months of 2021 amounted to R</w:t>
      </w:r>
      <w:r w:rsidR="009542C9">
        <w:rPr>
          <w:rFonts w:ascii="Verdana" w:hAnsi="Verdana"/>
          <w:color w:val="000000"/>
          <w:sz w:val="21"/>
          <w:szCs w:val="21"/>
        </w:rPr>
        <w:t>5</w:t>
      </w:r>
      <w:r>
        <w:rPr>
          <w:rFonts w:ascii="Verdana" w:hAnsi="Verdana"/>
          <w:color w:val="000000"/>
          <w:sz w:val="21"/>
          <w:szCs w:val="21"/>
        </w:rPr>
        <w:t xml:space="preserve"> 773,2 million. </w:t>
      </w:r>
    </w:p>
    <w:p w14:paraId="0E93263B" w14:textId="3E2E4BDF" w:rsidR="00A547A7" w:rsidRDefault="00A547A7" w:rsidP="003F5A9C">
      <w:pPr>
        <w:spacing w:after="0" w:line="360" w:lineRule="atLeast"/>
        <w:rPr>
          <w:rFonts w:ascii="Verdana" w:hAnsi="Verdana"/>
          <w:color w:val="000000"/>
          <w:sz w:val="21"/>
          <w:szCs w:val="21"/>
        </w:rPr>
      </w:pPr>
    </w:p>
    <w:tbl>
      <w:tblPr>
        <w:tblW w:w="737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9"/>
        <w:gridCol w:w="1985"/>
      </w:tblGrid>
      <w:tr w:rsidR="00DD75B5" w:rsidRPr="00AB6CBE" w14:paraId="66B25586" w14:textId="77777777" w:rsidTr="00D653E2">
        <w:tc>
          <w:tcPr>
            <w:tcW w:w="7371" w:type="dxa"/>
            <w:gridSpan w:val="3"/>
            <w:shd w:val="clear" w:color="auto" w:fill="C00000"/>
          </w:tcPr>
          <w:p w14:paraId="432F6E41" w14:textId="535B1AC3" w:rsidR="00DD75B5" w:rsidRDefault="00DD1C15"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 xml:space="preserve">New </w:t>
            </w:r>
            <w:r w:rsidR="00DD75B5">
              <w:rPr>
                <w:rFonts w:ascii="Verdana" w:hAnsi="Verdana"/>
                <w:b/>
                <w:color w:val="FFFFFF"/>
                <w:sz w:val="18"/>
                <w:szCs w:val="18"/>
              </w:rPr>
              <w:t xml:space="preserve">Capital </w:t>
            </w:r>
            <w:r w:rsidR="00575220">
              <w:rPr>
                <w:rFonts w:ascii="Verdana" w:hAnsi="Verdana"/>
                <w:b/>
                <w:color w:val="FFFFFF"/>
                <w:sz w:val="18"/>
                <w:szCs w:val="18"/>
              </w:rPr>
              <w:t>Raised</w:t>
            </w:r>
            <w:r>
              <w:rPr>
                <w:rFonts w:ascii="Verdana" w:hAnsi="Verdana"/>
                <w:b/>
                <w:color w:val="FFFFFF"/>
                <w:sz w:val="18"/>
                <w:szCs w:val="18"/>
              </w:rPr>
              <w:t xml:space="preserve"> / Redeemed</w:t>
            </w:r>
          </w:p>
          <w:p w14:paraId="3CD9D8EC" w14:textId="77777777" w:rsidR="00DD75B5" w:rsidRDefault="003F5A9C"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w:t>
            </w:r>
            <w:r w:rsidR="00DD1C15">
              <w:rPr>
                <w:rFonts w:ascii="Verdana" w:hAnsi="Verdana"/>
                <w:b/>
                <w:color w:val="FFFFFF"/>
                <w:sz w:val="18"/>
                <w:szCs w:val="18"/>
              </w:rPr>
              <w:t>1 January - 30</w:t>
            </w:r>
            <w:r w:rsidR="00575220">
              <w:rPr>
                <w:rFonts w:ascii="Verdana" w:hAnsi="Verdana"/>
                <w:b/>
                <w:color w:val="FFFFFF"/>
                <w:sz w:val="18"/>
                <w:szCs w:val="18"/>
              </w:rPr>
              <w:t xml:space="preserve"> </w:t>
            </w:r>
            <w:r w:rsidR="00D653E2">
              <w:rPr>
                <w:rFonts w:ascii="Verdana" w:hAnsi="Verdana"/>
                <w:b/>
                <w:color w:val="FFFFFF"/>
                <w:sz w:val="18"/>
                <w:szCs w:val="18"/>
              </w:rPr>
              <w:t>September</w:t>
            </w:r>
            <w:r w:rsidR="00575220">
              <w:rPr>
                <w:rFonts w:ascii="Verdana" w:hAnsi="Verdana"/>
                <w:b/>
                <w:color w:val="FFFFFF"/>
                <w:sz w:val="18"/>
                <w:szCs w:val="18"/>
              </w:rPr>
              <w:t xml:space="preserve"> 2021</w:t>
            </w:r>
            <w:r>
              <w:rPr>
                <w:rFonts w:ascii="Verdana" w:hAnsi="Verdana"/>
                <w:b/>
                <w:color w:val="FFFFFF"/>
                <w:sz w:val="18"/>
                <w:szCs w:val="18"/>
              </w:rPr>
              <w:t>)</w:t>
            </w:r>
          </w:p>
          <w:p w14:paraId="40DFD9C6" w14:textId="63313FF6" w:rsidR="00DD1C15" w:rsidRPr="003B4F95" w:rsidRDefault="00DD1C15" w:rsidP="00771D6F">
            <w:pPr>
              <w:spacing w:before="40" w:after="40" w:line="280" w:lineRule="atLeast"/>
              <w:jc w:val="center"/>
              <w:rPr>
                <w:rFonts w:ascii="Verdana" w:hAnsi="Verdana"/>
                <w:b/>
                <w:color w:val="FFFFFF"/>
                <w:sz w:val="18"/>
                <w:szCs w:val="18"/>
              </w:rPr>
            </w:pPr>
            <w:r>
              <w:rPr>
                <w:rFonts w:ascii="Verdana" w:hAnsi="Verdana"/>
                <w:b/>
                <w:color w:val="FFFFFF"/>
                <w:sz w:val="18"/>
                <w:szCs w:val="18"/>
              </w:rPr>
              <w:t>(by Issuing House)</w:t>
            </w:r>
          </w:p>
        </w:tc>
      </w:tr>
      <w:tr w:rsidR="00575220" w:rsidRPr="00AB6CBE" w14:paraId="44633A99" w14:textId="77777777" w:rsidTr="00D653E2">
        <w:trPr>
          <w:trHeight w:val="360"/>
        </w:trPr>
        <w:tc>
          <w:tcPr>
            <w:tcW w:w="5386" w:type="dxa"/>
            <w:gridSpan w:val="2"/>
            <w:shd w:val="clear" w:color="auto" w:fill="4C4C4C"/>
          </w:tcPr>
          <w:p w14:paraId="40E23C79" w14:textId="24F929A1" w:rsidR="00575220" w:rsidRPr="003B4F95" w:rsidRDefault="00575220" w:rsidP="00771D6F">
            <w:pPr>
              <w:spacing w:before="40" w:after="40" w:line="280" w:lineRule="atLeast"/>
              <w:rPr>
                <w:rFonts w:ascii="Verdana" w:hAnsi="Verdana"/>
                <w:b/>
                <w:color w:val="FFFFFF"/>
                <w:sz w:val="18"/>
                <w:szCs w:val="18"/>
              </w:rPr>
            </w:pPr>
            <w:r>
              <w:rPr>
                <w:rFonts w:ascii="Verdana" w:hAnsi="Verdana"/>
                <w:b/>
                <w:color w:val="FFFFFF"/>
                <w:sz w:val="18"/>
                <w:szCs w:val="18"/>
              </w:rPr>
              <w:t xml:space="preserve">Issuing </w:t>
            </w:r>
            <w:r w:rsidR="00A87409">
              <w:rPr>
                <w:rFonts w:ascii="Verdana" w:hAnsi="Verdana"/>
                <w:b/>
                <w:color w:val="FFFFFF"/>
                <w:sz w:val="18"/>
                <w:szCs w:val="18"/>
              </w:rPr>
              <w:t>Product</w:t>
            </w:r>
          </w:p>
        </w:tc>
        <w:tc>
          <w:tcPr>
            <w:tcW w:w="1985" w:type="dxa"/>
            <w:shd w:val="clear" w:color="auto" w:fill="4C4C4C"/>
            <w:vAlign w:val="center"/>
          </w:tcPr>
          <w:p w14:paraId="6E441194" w14:textId="3EB1C03F" w:rsidR="00575220" w:rsidRPr="003B4F95" w:rsidRDefault="00575220" w:rsidP="00771D6F">
            <w:pPr>
              <w:spacing w:before="40" w:after="40" w:line="280" w:lineRule="atLeast"/>
              <w:jc w:val="right"/>
              <w:rPr>
                <w:rFonts w:ascii="Verdana" w:hAnsi="Verdana"/>
                <w:b/>
                <w:color w:val="FFFFFF"/>
                <w:sz w:val="18"/>
                <w:szCs w:val="18"/>
              </w:rPr>
            </w:pPr>
            <w:r>
              <w:rPr>
                <w:rFonts w:ascii="Verdana" w:hAnsi="Verdana"/>
                <w:b/>
                <w:color w:val="FFFFFF"/>
                <w:sz w:val="18"/>
                <w:szCs w:val="18"/>
              </w:rPr>
              <w:t>(R million)</w:t>
            </w:r>
          </w:p>
        </w:tc>
      </w:tr>
      <w:tr w:rsidR="00DD1C15" w:rsidRPr="00AB6CBE" w14:paraId="3D947CC4" w14:textId="77777777" w:rsidTr="00DD1C15">
        <w:tc>
          <w:tcPr>
            <w:tcW w:w="567" w:type="dxa"/>
            <w:shd w:val="clear" w:color="auto" w:fill="auto"/>
          </w:tcPr>
          <w:p w14:paraId="06C62803" w14:textId="77777777" w:rsidR="00DD1C15" w:rsidRPr="00DD1C15" w:rsidRDefault="00DD1C15" w:rsidP="00DD1C15">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2C6A203A" w14:textId="1EA51E22" w:rsidR="00DD1C15" w:rsidRDefault="00DD1C15" w:rsidP="00771D6F">
            <w:pPr>
              <w:spacing w:before="40" w:after="40" w:line="280" w:lineRule="atLeast"/>
              <w:rPr>
                <w:rFonts w:ascii="Verdana" w:hAnsi="Verdana"/>
                <w:color w:val="000000"/>
                <w:sz w:val="18"/>
                <w:szCs w:val="18"/>
              </w:rPr>
            </w:pPr>
            <w:r>
              <w:rPr>
                <w:rFonts w:ascii="Verdana" w:hAnsi="Verdana"/>
                <w:color w:val="000000"/>
                <w:sz w:val="18"/>
                <w:szCs w:val="18"/>
              </w:rPr>
              <w:t>Satrix Managers (ETFs)</w:t>
            </w:r>
          </w:p>
        </w:tc>
        <w:tc>
          <w:tcPr>
            <w:tcW w:w="1985" w:type="dxa"/>
            <w:vAlign w:val="center"/>
          </w:tcPr>
          <w:p w14:paraId="7E632BCE" w14:textId="2AB750AC" w:rsidR="00DD1C15" w:rsidRDefault="00DD1C15" w:rsidP="00771D6F">
            <w:pPr>
              <w:spacing w:before="40" w:after="40" w:line="280" w:lineRule="atLeast"/>
              <w:jc w:val="right"/>
              <w:rPr>
                <w:rFonts w:ascii="Verdana" w:hAnsi="Verdana"/>
                <w:color w:val="000000"/>
                <w:sz w:val="18"/>
                <w:szCs w:val="18"/>
              </w:rPr>
            </w:pPr>
            <w:r>
              <w:rPr>
                <w:rFonts w:ascii="Verdana" w:hAnsi="Verdana"/>
                <w:color w:val="000000"/>
                <w:sz w:val="18"/>
                <w:szCs w:val="18"/>
              </w:rPr>
              <w:t>4 178,6</w:t>
            </w:r>
          </w:p>
        </w:tc>
      </w:tr>
      <w:tr w:rsidR="00DD1C15" w:rsidRPr="00AB6CBE" w14:paraId="2A870CDE" w14:textId="77777777" w:rsidTr="00DD1C15">
        <w:tc>
          <w:tcPr>
            <w:tcW w:w="567" w:type="dxa"/>
            <w:shd w:val="clear" w:color="auto" w:fill="auto"/>
          </w:tcPr>
          <w:p w14:paraId="6CD3D01D" w14:textId="77777777" w:rsidR="00DD1C15" w:rsidRPr="00DD1C15" w:rsidRDefault="00DD1C15" w:rsidP="00DD1C15">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330C1FFD" w14:textId="641FB7B3" w:rsidR="00DD1C15" w:rsidRDefault="00DD1C15" w:rsidP="00771D6F">
            <w:pPr>
              <w:spacing w:before="40" w:after="40" w:line="280" w:lineRule="atLeast"/>
              <w:rPr>
                <w:rFonts w:ascii="Verdana" w:hAnsi="Verdana"/>
                <w:color w:val="000000"/>
                <w:sz w:val="18"/>
                <w:szCs w:val="18"/>
              </w:rPr>
            </w:pPr>
            <w:r>
              <w:rPr>
                <w:rFonts w:ascii="Verdana" w:hAnsi="Verdana"/>
                <w:color w:val="000000"/>
                <w:sz w:val="18"/>
                <w:szCs w:val="18"/>
              </w:rPr>
              <w:t>Sygnia Itrix (ETFs)</w:t>
            </w:r>
          </w:p>
        </w:tc>
        <w:tc>
          <w:tcPr>
            <w:tcW w:w="1985" w:type="dxa"/>
            <w:vAlign w:val="center"/>
          </w:tcPr>
          <w:p w14:paraId="7333EFE5" w14:textId="0172F402" w:rsidR="00DD1C15" w:rsidRDefault="00DD1C15" w:rsidP="00771D6F">
            <w:pPr>
              <w:spacing w:before="40" w:after="40" w:line="280" w:lineRule="atLeast"/>
              <w:jc w:val="right"/>
              <w:rPr>
                <w:rFonts w:ascii="Verdana" w:hAnsi="Verdana"/>
                <w:color w:val="000000"/>
                <w:sz w:val="18"/>
                <w:szCs w:val="18"/>
              </w:rPr>
            </w:pPr>
            <w:r>
              <w:rPr>
                <w:rFonts w:ascii="Verdana" w:hAnsi="Verdana"/>
                <w:color w:val="000000"/>
                <w:sz w:val="18"/>
                <w:szCs w:val="18"/>
              </w:rPr>
              <w:t>3 032,1</w:t>
            </w:r>
          </w:p>
        </w:tc>
      </w:tr>
      <w:tr w:rsidR="00DD1C15" w:rsidRPr="00AB6CBE" w14:paraId="34BCC300" w14:textId="77777777" w:rsidTr="00DD1C15">
        <w:tc>
          <w:tcPr>
            <w:tcW w:w="567" w:type="dxa"/>
            <w:shd w:val="clear" w:color="auto" w:fill="auto"/>
          </w:tcPr>
          <w:p w14:paraId="386F6099" w14:textId="77777777" w:rsidR="00DD1C15" w:rsidRPr="00DD1C15" w:rsidRDefault="00DD1C15" w:rsidP="00DD1C15">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08A06E8A" w14:textId="3B98B023" w:rsidR="00DD1C15" w:rsidRDefault="00DD1C15" w:rsidP="00771D6F">
            <w:pPr>
              <w:spacing w:before="40" w:after="40" w:line="280" w:lineRule="atLeast"/>
              <w:rPr>
                <w:rFonts w:ascii="Verdana" w:hAnsi="Verdana"/>
                <w:color w:val="000000"/>
                <w:sz w:val="18"/>
                <w:szCs w:val="18"/>
              </w:rPr>
            </w:pPr>
            <w:r>
              <w:rPr>
                <w:rFonts w:ascii="Verdana" w:hAnsi="Verdana"/>
                <w:color w:val="000000"/>
                <w:sz w:val="18"/>
                <w:szCs w:val="18"/>
              </w:rPr>
              <w:t>Absa Capital (ETNs)</w:t>
            </w:r>
          </w:p>
        </w:tc>
        <w:tc>
          <w:tcPr>
            <w:tcW w:w="1985" w:type="dxa"/>
            <w:vAlign w:val="center"/>
          </w:tcPr>
          <w:p w14:paraId="0DBD5D9B" w14:textId="0A3B485F" w:rsidR="00DD1C15" w:rsidRDefault="00DD1C15" w:rsidP="00771D6F">
            <w:pPr>
              <w:spacing w:before="40" w:after="40" w:line="280" w:lineRule="atLeast"/>
              <w:jc w:val="right"/>
              <w:rPr>
                <w:rFonts w:ascii="Verdana" w:hAnsi="Verdana"/>
                <w:color w:val="000000"/>
                <w:sz w:val="18"/>
                <w:szCs w:val="18"/>
              </w:rPr>
            </w:pPr>
            <w:r>
              <w:rPr>
                <w:rFonts w:ascii="Verdana" w:hAnsi="Verdana"/>
                <w:color w:val="000000"/>
                <w:sz w:val="18"/>
                <w:szCs w:val="18"/>
              </w:rPr>
              <w:t>1 069,8</w:t>
            </w:r>
          </w:p>
        </w:tc>
      </w:tr>
      <w:tr w:rsidR="00DD1C15" w:rsidRPr="00AB6CBE" w14:paraId="6D712E85" w14:textId="77777777" w:rsidTr="00DD1C15">
        <w:tc>
          <w:tcPr>
            <w:tcW w:w="567" w:type="dxa"/>
            <w:shd w:val="clear" w:color="auto" w:fill="auto"/>
          </w:tcPr>
          <w:p w14:paraId="3D8A8BB5" w14:textId="77777777" w:rsidR="00DD1C15" w:rsidRPr="00DD1C15" w:rsidRDefault="00DD1C15" w:rsidP="00DD1C15">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6A0611E6" w14:textId="57302D72" w:rsidR="00DD1C15" w:rsidRDefault="00DD1C15" w:rsidP="00771D6F">
            <w:pPr>
              <w:spacing w:before="40" w:after="40" w:line="280" w:lineRule="atLeast"/>
              <w:rPr>
                <w:rFonts w:ascii="Verdana" w:hAnsi="Verdana"/>
                <w:color w:val="000000"/>
                <w:sz w:val="18"/>
                <w:szCs w:val="18"/>
              </w:rPr>
            </w:pPr>
            <w:r>
              <w:rPr>
                <w:rFonts w:ascii="Verdana" w:hAnsi="Verdana"/>
                <w:color w:val="000000"/>
                <w:sz w:val="18"/>
                <w:szCs w:val="18"/>
              </w:rPr>
              <w:t>Ashburton (ETFs)</w:t>
            </w:r>
          </w:p>
        </w:tc>
        <w:tc>
          <w:tcPr>
            <w:tcW w:w="1985" w:type="dxa"/>
            <w:vAlign w:val="center"/>
          </w:tcPr>
          <w:p w14:paraId="05E997CC" w14:textId="0B799616" w:rsidR="00DD1C15" w:rsidRDefault="00DD1C15" w:rsidP="00771D6F">
            <w:pPr>
              <w:spacing w:before="40" w:after="40" w:line="280" w:lineRule="atLeast"/>
              <w:jc w:val="right"/>
              <w:rPr>
                <w:rFonts w:ascii="Verdana" w:hAnsi="Verdana"/>
                <w:color w:val="000000"/>
                <w:sz w:val="18"/>
                <w:szCs w:val="18"/>
              </w:rPr>
            </w:pPr>
            <w:r>
              <w:rPr>
                <w:rFonts w:ascii="Verdana" w:hAnsi="Verdana"/>
                <w:color w:val="000000"/>
                <w:sz w:val="18"/>
                <w:szCs w:val="18"/>
              </w:rPr>
              <w:t>730,8</w:t>
            </w:r>
          </w:p>
        </w:tc>
      </w:tr>
      <w:tr w:rsidR="009542C9" w:rsidRPr="00AB6CBE" w14:paraId="386F2CDB" w14:textId="77777777" w:rsidTr="00DD1C15">
        <w:tc>
          <w:tcPr>
            <w:tcW w:w="567" w:type="dxa"/>
            <w:shd w:val="clear" w:color="auto" w:fill="auto"/>
          </w:tcPr>
          <w:p w14:paraId="454EE817"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7F2AA008" w14:textId="53C824EE" w:rsidR="009542C9"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Cloud Atlas (ETFs)</w:t>
            </w:r>
          </w:p>
        </w:tc>
        <w:tc>
          <w:tcPr>
            <w:tcW w:w="1985" w:type="dxa"/>
            <w:vAlign w:val="center"/>
          </w:tcPr>
          <w:p w14:paraId="214A3F68" w14:textId="0E92A609" w:rsidR="009542C9"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69</w:t>
            </w:r>
            <w:r>
              <w:rPr>
                <w:rFonts w:ascii="Verdana" w:hAnsi="Verdana"/>
                <w:color w:val="000000"/>
                <w:sz w:val="18"/>
                <w:szCs w:val="18"/>
              </w:rPr>
              <w:t>5,6</w:t>
            </w:r>
          </w:p>
        </w:tc>
      </w:tr>
      <w:tr w:rsidR="009542C9" w:rsidRPr="00AB6CBE" w14:paraId="56DA63A1" w14:textId="77777777" w:rsidTr="00DD1C15">
        <w:tc>
          <w:tcPr>
            <w:tcW w:w="567" w:type="dxa"/>
            <w:shd w:val="clear" w:color="auto" w:fill="auto"/>
          </w:tcPr>
          <w:p w14:paraId="05DA1576"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1938B90E" w14:textId="00A27769" w:rsidR="009542C9"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Union Bank of Switzerland (ETNs)</w:t>
            </w:r>
          </w:p>
        </w:tc>
        <w:tc>
          <w:tcPr>
            <w:tcW w:w="1985" w:type="dxa"/>
            <w:vAlign w:val="center"/>
          </w:tcPr>
          <w:p w14:paraId="30200130" w14:textId="1B7A979A" w:rsidR="009542C9"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550,0</w:t>
            </w:r>
          </w:p>
        </w:tc>
      </w:tr>
      <w:tr w:rsidR="009542C9" w:rsidRPr="006015AB" w14:paraId="10504CE8" w14:textId="77777777" w:rsidTr="00DD1C15">
        <w:tc>
          <w:tcPr>
            <w:tcW w:w="567" w:type="dxa"/>
            <w:shd w:val="clear" w:color="auto" w:fill="auto"/>
          </w:tcPr>
          <w:p w14:paraId="49D2D333"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023840B3" w14:textId="5C2C9A67" w:rsidR="009542C9" w:rsidRPr="006015AB"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CoreShares (ETFs)</w:t>
            </w:r>
          </w:p>
        </w:tc>
        <w:tc>
          <w:tcPr>
            <w:tcW w:w="1985" w:type="dxa"/>
            <w:vAlign w:val="center"/>
          </w:tcPr>
          <w:p w14:paraId="623B198E" w14:textId="4E4328C4" w:rsidR="009542C9" w:rsidRPr="006015AB"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410,5</w:t>
            </w:r>
          </w:p>
        </w:tc>
      </w:tr>
      <w:tr w:rsidR="009542C9" w:rsidRPr="006015AB" w14:paraId="47CE536E" w14:textId="77777777" w:rsidTr="00DD1C15">
        <w:tc>
          <w:tcPr>
            <w:tcW w:w="567" w:type="dxa"/>
            <w:shd w:val="clear" w:color="auto" w:fill="auto"/>
          </w:tcPr>
          <w:p w14:paraId="23D4C5D4"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5EF7A6A4" w14:textId="7BF2154B" w:rsidR="009542C9" w:rsidRPr="006015AB"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FirstRand (ETNs)</w:t>
            </w:r>
          </w:p>
        </w:tc>
        <w:tc>
          <w:tcPr>
            <w:tcW w:w="1985" w:type="dxa"/>
            <w:vAlign w:val="center"/>
          </w:tcPr>
          <w:p w14:paraId="5DC0C83A" w14:textId="6DF3F712" w:rsidR="009542C9" w:rsidRPr="006015AB"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300,0</w:t>
            </w:r>
          </w:p>
        </w:tc>
      </w:tr>
      <w:tr w:rsidR="009542C9" w:rsidRPr="006015AB" w14:paraId="7AE90974" w14:textId="77777777" w:rsidTr="00DD1C15">
        <w:tc>
          <w:tcPr>
            <w:tcW w:w="567" w:type="dxa"/>
            <w:shd w:val="clear" w:color="auto" w:fill="auto"/>
          </w:tcPr>
          <w:p w14:paraId="6396FBF8"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4737B4A9" w14:textId="59B8B672" w:rsidR="009542C9" w:rsidRPr="00AE03BE"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FirstRand (ETFs)</w:t>
            </w:r>
          </w:p>
        </w:tc>
        <w:tc>
          <w:tcPr>
            <w:tcW w:w="1985" w:type="dxa"/>
            <w:vAlign w:val="center"/>
          </w:tcPr>
          <w:p w14:paraId="3F1A9C40" w14:textId="78E79056" w:rsidR="009542C9" w:rsidRPr="00AE03BE"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1,8</w:t>
            </w:r>
          </w:p>
        </w:tc>
      </w:tr>
      <w:tr w:rsidR="009542C9" w:rsidRPr="00FA556D" w14:paraId="69C2292D" w14:textId="77777777" w:rsidTr="00DD1C15">
        <w:tc>
          <w:tcPr>
            <w:tcW w:w="567" w:type="dxa"/>
            <w:shd w:val="clear" w:color="auto" w:fill="auto"/>
          </w:tcPr>
          <w:p w14:paraId="3AF79AB5"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64A9024E" w14:textId="543040BA" w:rsidR="009542C9" w:rsidRPr="00FA556D"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Standard Bank (ETNs)</w:t>
            </w:r>
          </w:p>
        </w:tc>
        <w:tc>
          <w:tcPr>
            <w:tcW w:w="1985" w:type="dxa"/>
            <w:vAlign w:val="center"/>
          </w:tcPr>
          <w:p w14:paraId="42CA6644" w14:textId="7B7AF59B" w:rsidR="009542C9" w:rsidRPr="00FA556D"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(274,0)</w:t>
            </w:r>
          </w:p>
        </w:tc>
      </w:tr>
      <w:tr w:rsidR="009542C9" w:rsidRPr="00FA556D" w14:paraId="35E68D46" w14:textId="77777777" w:rsidTr="00DD1C15">
        <w:tc>
          <w:tcPr>
            <w:tcW w:w="567" w:type="dxa"/>
            <w:shd w:val="clear" w:color="auto" w:fill="auto"/>
          </w:tcPr>
          <w:p w14:paraId="48BB6067"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6ECC8133" w14:textId="6FAAABD0" w:rsidR="009542C9" w:rsidRPr="00FA556D"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Absa Capital (ETFs)</w:t>
            </w:r>
          </w:p>
        </w:tc>
        <w:tc>
          <w:tcPr>
            <w:tcW w:w="1985" w:type="dxa"/>
            <w:vAlign w:val="center"/>
          </w:tcPr>
          <w:p w14:paraId="368560FD" w14:textId="1F6B0762" w:rsidR="009542C9" w:rsidRPr="00FA556D"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(1 299,0)</w:t>
            </w:r>
          </w:p>
        </w:tc>
      </w:tr>
      <w:tr w:rsidR="009542C9" w:rsidRPr="00FA556D" w14:paraId="7213EA0A" w14:textId="77777777" w:rsidTr="00DD1C15">
        <w:tc>
          <w:tcPr>
            <w:tcW w:w="567" w:type="dxa"/>
            <w:shd w:val="clear" w:color="auto" w:fill="auto"/>
          </w:tcPr>
          <w:p w14:paraId="6FBB9033" w14:textId="77777777" w:rsidR="009542C9" w:rsidRPr="00DD1C15" w:rsidRDefault="009542C9" w:rsidP="009542C9">
            <w:pPr>
              <w:pStyle w:val="ListParagraph"/>
              <w:numPr>
                <w:ilvl w:val="0"/>
                <w:numId w:val="21"/>
              </w:numPr>
              <w:spacing w:before="40" w:after="40" w:line="280" w:lineRule="atLeast"/>
              <w:ind w:left="357" w:hanging="357"/>
              <w:rPr>
                <w:rFonts w:ascii="Verdana" w:hAnsi="Verdana"/>
                <w:color w:val="000000"/>
                <w:sz w:val="18"/>
                <w:szCs w:val="18"/>
              </w:rPr>
            </w:pPr>
          </w:p>
        </w:tc>
        <w:tc>
          <w:tcPr>
            <w:tcW w:w="4819" w:type="dxa"/>
            <w:shd w:val="clear" w:color="auto" w:fill="auto"/>
          </w:tcPr>
          <w:p w14:paraId="0997E8AB" w14:textId="3C7627AC" w:rsidR="009542C9" w:rsidRPr="00FA556D" w:rsidRDefault="009542C9" w:rsidP="009542C9">
            <w:pPr>
              <w:spacing w:before="40" w:after="40" w:line="280" w:lineRule="atLeast"/>
              <w:rPr>
                <w:rFonts w:ascii="Verdana" w:hAnsi="Verdana"/>
                <w:color w:val="000000"/>
                <w:sz w:val="18"/>
                <w:szCs w:val="18"/>
              </w:rPr>
            </w:pPr>
            <w:r>
              <w:rPr>
                <w:rFonts w:ascii="Verdana" w:hAnsi="Verdana"/>
                <w:color w:val="000000"/>
                <w:sz w:val="18"/>
                <w:szCs w:val="18"/>
              </w:rPr>
              <w:t>1nvest (ETFs)</w:t>
            </w:r>
          </w:p>
        </w:tc>
        <w:tc>
          <w:tcPr>
            <w:tcW w:w="1985" w:type="dxa"/>
            <w:vAlign w:val="center"/>
          </w:tcPr>
          <w:p w14:paraId="23C5B094" w14:textId="76926DBE" w:rsidR="009542C9" w:rsidRPr="00FA556D" w:rsidRDefault="009542C9" w:rsidP="009542C9">
            <w:pPr>
              <w:spacing w:before="40" w:after="40" w:line="280" w:lineRule="atLeast"/>
              <w:jc w:val="right"/>
              <w:rPr>
                <w:rFonts w:ascii="Verdana" w:hAnsi="Verdana"/>
                <w:color w:val="000000"/>
                <w:sz w:val="18"/>
                <w:szCs w:val="18"/>
              </w:rPr>
            </w:pPr>
            <w:r>
              <w:rPr>
                <w:rFonts w:ascii="Verdana" w:hAnsi="Verdana"/>
                <w:color w:val="000000"/>
                <w:sz w:val="18"/>
                <w:szCs w:val="18"/>
              </w:rPr>
              <w:t>(3 173,0)</w:t>
            </w:r>
          </w:p>
        </w:tc>
      </w:tr>
      <w:tr w:rsidR="009542C9" w:rsidRPr="00DD1C15" w14:paraId="1A8F052D" w14:textId="77777777" w:rsidTr="00DD1C15">
        <w:tc>
          <w:tcPr>
            <w:tcW w:w="567" w:type="dxa"/>
            <w:shd w:val="clear" w:color="auto" w:fill="auto"/>
          </w:tcPr>
          <w:p w14:paraId="5CEF949A" w14:textId="77777777" w:rsidR="009542C9" w:rsidRPr="00DD1C15" w:rsidRDefault="009542C9" w:rsidP="009542C9">
            <w:pPr>
              <w:pStyle w:val="ListParagraph"/>
              <w:spacing w:before="40" w:after="40" w:line="280" w:lineRule="atLeast"/>
              <w:ind w:left="357"/>
              <w:rPr>
                <w:rFonts w:ascii="Verdana" w:hAnsi="Verdana"/>
                <w:b/>
                <w:bCs/>
                <w:color w:val="000000"/>
                <w:sz w:val="18"/>
                <w:szCs w:val="18"/>
              </w:rPr>
            </w:pPr>
          </w:p>
        </w:tc>
        <w:tc>
          <w:tcPr>
            <w:tcW w:w="4819" w:type="dxa"/>
            <w:shd w:val="clear" w:color="auto" w:fill="auto"/>
          </w:tcPr>
          <w:p w14:paraId="6E24D107" w14:textId="39006290" w:rsidR="009542C9" w:rsidRPr="00DD1C15" w:rsidRDefault="009542C9" w:rsidP="009542C9">
            <w:pPr>
              <w:spacing w:before="40" w:after="40" w:line="280" w:lineRule="atLeast"/>
              <w:rPr>
                <w:rFonts w:ascii="Verdana" w:hAnsi="Verdana"/>
                <w:b/>
                <w:bCs/>
                <w:color w:val="000000"/>
                <w:sz w:val="18"/>
                <w:szCs w:val="18"/>
              </w:rPr>
            </w:pPr>
            <w:r>
              <w:rPr>
                <w:rFonts w:ascii="Verdana" w:hAnsi="Verdana"/>
                <w:b/>
                <w:bCs/>
                <w:color w:val="000000"/>
                <w:sz w:val="18"/>
                <w:szCs w:val="18"/>
              </w:rPr>
              <w:t>Total</w:t>
            </w:r>
          </w:p>
        </w:tc>
        <w:tc>
          <w:tcPr>
            <w:tcW w:w="1985" w:type="dxa"/>
            <w:vAlign w:val="center"/>
          </w:tcPr>
          <w:p w14:paraId="1573E7C4" w14:textId="1C6CA687" w:rsidR="009542C9" w:rsidRPr="00DD1C15" w:rsidRDefault="009542C9" w:rsidP="009542C9">
            <w:pPr>
              <w:spacing w:before="40" w:after="40" w:line="280" w:lineRule="atLeast"/>
              <w:jc w:val="right"/>
              <w:rPr>
                <w:rFonts w:ascii="Verdana" w:hAnsi="Verdana"/>
                <w:b/>
                <w:bCs/>
                <w:color w:val="000000"/>
                <w:sz w:val="18"/>
                <w:szCs w:val="18"/>
              </w:rPr>
            </w:pPr>
            <w:r>
              <w:rPr>
                <w:rFonts w:ascii="Verdana" w:hAnsi="Verdana"/>
                <w:b/>
                <w:bCs/>
                <w:color w:val="000000"/>
                <w:sz w:val="18"/>
                <w:szCs w:val="18"/>
              </w:rPr>
              <w:t>5 773,2</w:t>
            </w:r>
          </w:p>
        </w:tc>
      </w:tr>
      <w:tr w:rsidR="009542C9" w:rsidRPr="006015AB" w14:paraId="444EC8A9" w14:textId="77777777" w:rsidTr="00D653E2">
        <w:trPr>
          <w:trHeight w:val="217"/>
        </w:trPr>
        <w:tc>
          <w:tcPr>
            <w:tcW w:w="7371" w:type="dxa"/>
            <w:gridSpan w:val="3"/>
            <w:shd w:val="clear" w:color="auto" w:fill="auto"/>
            <w:vAlign w:val="center"/>
          </w:tcPr>
          <w:p w14:paraId="3DF6E8D3" w14:textId="50A8674A" w:rsidR="009542C9" w:rsidRPr="006015AB" w:rsidRDefault="009542C9" w:rsidP="009542C9">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(September 2021).</w:t>
            </w:r>
          </w:p>
        </w:tc>
      </w:tr>
    </w:tbl>
    <w:p w14:paraId="6B951023" w14:textId="77777777" w:rsidR="00DD1C15" w:rsidRDefault="00DD1C15">
      <w:pPr>
        <w:rPr>
          <w:rFonts w:ascii="Verdana" w:hAnsi="Verdana"/>
          <w:color w:val="000000"/>
          <w:sz w:val="21"/>
          <w:szCs w:val="21"/>
        </w:rPr>
      </w:pPr>
      <w:r>
        <w:rPr>
          <w:rFonts w:ascii="Verdana" w:hAnsi="Verdana"/>
          <w:color w:val="000000"/>
          <w:sz w:val="21"/>
          <w:szCs w:val="21"/>
        </w:rPr>
        <w:br w:type="page"/>
      </w:r>
    </w:p>
    <w:p w14:paraId="14BEB6FF" w14:textId="65C84DDB" w:rsidR="00A547A7" w:rsidRDefault="00A547A7" w:rsidP="00617B74">
      <w:pPr>
        <w:spacing w:after="0" w:line="240" w:lineRule="auto"/>
        <w:rPr>
          <w:rFonts w:ascii="Verdana" w:hAnsi="Verdana"/>
          <w:color w:val="000000"/>
          <w:sz w:val="21"/>
          <w:szCs w:val="21"/>
        </w:rPr>
      </w:pPr>
    </w:p>
    <w:p w14:paraId="505FA4B2" w14:textId="77777777" w:rsidR="00617B74" w:rsidRPr="006C5667" w:rsidRDefault="00617B74" w:rsidP="00617B74">
      <w:pPr>
        <w:spacing w:after="0" w:line="240" w:lineRule="auto"/>
        <w:rPr>
          <w:rFonts w:ascii="Verdana" w:hAnsi="Verdana"/>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
        <w:gridCol w:w="572"/>
        <w:gridCol w:w="2977"/>
        <w:gridCol w:w="1122"/>
      </w:tblGrid>
      <w:tr w:rsidR="00617B74" w14:paraId="1D070236" w14:textId="77777777" w:rsidTr="00617B74">
        <w:trPr>
          <w:trHeight w:val="380"/>
        </w:trPr>
        <w:tc>
          <w:tcPr>
            <w:tcW w:w="4815" w:type="dxa"/>
            <w:shd w:val="clear" w:color="auto" w:fill="auto"/>
          </w:tcPr>
          <w:p w14:paraId="50A52083" w14:textId="77777777" w:rsidR="00617B74" w:rsidRDefault="00617B74" w:rsidP="00617B74">
            <w:pPr>
              <w:spacing w:line="400" w:lineRule="atLeast"/>
              <w:jc w:val="both"/>
              <w:rPr>
                <w:rFonts w:ascii="Verdana" w:hAnsi="Verdana"/>
                <w:sz w:val="21"/>
                <w:szCs w:val="21"/>
              </w:rPr>
            </w:pPr>
          </w:p>
        </w:tc>
        <w:tc>
          <w:tcPr>
            <w:tcW w:w="425" w:type="dxa"/>
            <w:shd w:val="clear" w:color="auto" w:fill="auto"/>
          </w:tcPr>
          <w:p w14:paraId="69DD1BA7" w14:textId="77777777" w:rsidR="00617B74" w:rsidRDefault="00617B74" w:rsidP="000C447C">
            <w:pPr>
              <w:spacing w:line="360" w:lineRule="atLeast"/>
              <w:jc w:val="both"/>
              <w:rPr>
                <w:rFonts w:ascii="Verdana" w:hAnsi="Verdana"/>
                <w:noProof/>
                <w:sz w:val="21"/>
                <w:szCs w:val="21"/>
              </w:rPr>
            </w:pPr>
          </w:p>
        </w:tc>
        <w:tc>
          <w:tcPr>
            <w:tcW w:w="4671" w:type="dxa"/>
            <w:gridSpan w:val="3"/>
            <w:shd w:val="clear" w:color="auto" w:fill="auto"/>
            <w:vAlign w:val="center"/>
          </w:tcPr>
          <w:p w14:paraId="627AD33F" w14:textId="77777777" w:rsidR="00617B74" w:rsidRPr="005B5FC4" w:rsidRDefault="00617B74" w:rsidP="00617B74">
            <w:pPr>
              <w:spacing w:line="320" w:lineRule="atLeast"/>
              <w:jc w:val="center"/>
              <w:rPr>
                <w:rFonts w:ascii="Verdana" w:hAnsi="Verdana"/>
                <w:b/>
                <w:bCs/>
                <w:color w:val="F2F2F2" w:themeColor="background1" w:themeShade="F2"/>
                <w:sz w:val="18"/>
                <w:szCs w:val="18"/>
              </w:rPr>
            </w:pPr>
          </w:p>
        </w:tc>
      </w:tr>
      <w:tr w:rsidR="00BB3813" w14:paraId="43DAAC7C" w14:textId="77777777" w:rsidTr="00617B74">
        <w:trPr>
          <w:trHeight w:val="380"/>
        </w:trPr>
        <w:tc>
          <w:tcPr>
            <w:tcW w:w="4815" w:type="dxa"/>
            <w:vMerge w:val="restart"/>
          </w:tcPr>
          <w:p w14:paraId="32B05C58" w14:textId="7B4BFAD1" w:rsidR="00BB3813" w:rsidRDefault="00BB3813" w:rsidP="00617B74">
            <w:pPr>
              <w:spacing w:line="400" w:lineRule="atLeast"/>
              <w:jc w:val="both"/>
              <w:rPr>
                <w:rFonts w:ascii="Verdana" w:hAnsi="Verdana"/>
                <w:sz w:val="21"/>
                <w:szCs w:val="21"/>
              </w:rPr>
            </w:pPr>
            <w:r>
              <w:rPr>
                <w:rFonts w:ascii="Verdana" w:hAnsi="Verdana"/>
                <w:sz w:val="21"/>
                <w:szCs w:val="21"/>
              </w:rPr>
              <w:t xml:space="preserve">The winners, in terms of growing their </w:t>
            </w:r>
            <w:r w:rsidR="009542C9">
              <w:rPr>
                <w:rFonts w:ascii="Verdana" w:hAnsi="Verdana"/>
                <w:sz w:val="21"/>
                <w:szCs w:val="21"/>
              </w:rPr>
              <w:t>total</w:t>
            </w:r>
            <w:r>
              <w:rPr>
                <w:rFonts w:ascii="Verdana" w:hAnsi="Verdana"/>
                <w:sz w:val="21"/>
                <w:szCs w:val="21"/>
              </w:rPr>
              <w:t xml:space="preserve"> capital base, have been Satrix and Sygnia Itrix, with their focus on foreign referenced ETFs.  </w:t>
            </w:r>
            <w:r w:rsidR="009542C9">
              <w:rPr>
                <w:rFonts w:ascii="Verdana" w:hAnsi="Verdana"/>
                <w:sz w:val="21"/>
                <w:szCs w:val="21"/>
              </w:rPr>
              <w:t>T</w:t>
            </w:r>
            <w:r>
              <w:rPr>
                <w:rFonts w:ascii="Verdana" w:hAnsi="Verdana"/>
                <w:sz w:val="21"/>
                <w:szCs w:val="21"/>
              </w:rPr>
              <w:t xml:space="preserve">he investment returns on these offshore products have been disappointing in 2021, mainly because of the appreciation of the rand/dollar exchange rate.  However, the unique access to foreign referenced assets provided by “inward listed” ETFs and ETNs on the JSE, whereby exchange control restrictions are not applicable for corporate and individual investors, has provided </w:t>
            </w:r>
            <w:r w:rsidR="009542C9">
              <w:rPr>
                <w:rFonts w:ascii="Verdana" w:hAnsi="Verdana"/>
                <w:sz w:val="21"/>
                <w:szCs w:val="21"/>
              </w:rPr>
              <w:t xml:space="preserve">good </w:t>
            </w:r>
            <w:r>
              <w:rPr>
                <w:rFonts w:ascii="Verdana" w:hAnsi="Verdana"/>
                <w:sz w:val="21"/>
                <w:szCs w:val="21"/>
              </w:rPr>
              <w:t xml:space="preserve">demand for foreign assets easily traded </w:t>
            </w:r>
            <w:r w:rsidR="009542C9">
              <w:rPr>
                <w:rFonts w:ascii="Verdana" w:hAnsi="Verdana"/>
                <w:sz w:val="21"/>
                <w:szCs w:val="21"/>
              </w:rPr>
              <w:t xml:space="preserve">as ETFs/ETNs </w:t>
            </w:r>
            <w:r>
              <w:rPr>
                <w:rFonts w:ascii="Verdana" w:hAnsi="Verdana"/>
                <w:sz w:val="21"/>
                <w:szCs w:val="21"/>
              </w:rPr>
              <w:t xml:space="preserve">on local exchanges, rather than the cumbersome process of </w:t>
            </w:r>
            <w:r w:rsidR="009542C9">
              <w:rPr>
                <w:rFonts w:ascii="Verdana" w:hAnsi="Verdana"/>
                <w:sz w:val="21"/>
                <w:szCs w:val="21"/>
              </w:rPr>
              <w:t>transferring</w:t>
            </w:r>
            <w:r>
              <w:rPr>
                <w:rFonts w:ascii="Verdana" w:hAnsi="Verdana"/>
                <w:sz w:val="21"/>
                <w:szCs w:val="21"/>
              </w:rPr>
              <w:t xml:space="preserve"> and re</w:t>
            </w:r>
            <w:r w:rsidR="009542C9">
              <w:rPr>
                <w:rFonts w:ascii="Verdana" w:hAnsi="Verdana"/>
                <w:sz w:val="21"/>
                <w:szCs w:val="21"/>
              </w:rPr>
              <w:t>patriating</w:t>
            </w:r>
            <w:r>
              <w:rPr>
                <w:rFonts w:ascii="Verdana" w:hAnsi="Verdana"/>
                <w:sz w:val="21"/>
                <w:szCs w:val="21"/>
              </w:rPr>
              <w:t xml:space="preserve"> funds abroad through the bureaucratic exchange control process. </w:t>
            </w:r>
          </w:p>
          <w:p w14:paraId="75D6F24F" w14:textId="77777777" w:rsidR="00BB3813" w:rsidRDefault="00BB3813" w:rsidP="00617B74">
            <w:pPr>
              <w:spacing w:line="400" w:lineRule="atLeast"/>
              <w:jc w:val="both"/>
              <w:rPr>
                <w:rFonts w:ascii="Verdana" w:hAnsi="Verdana"/>
                <w:sz w:val="21"/>
                <w:szCs w:val="21"/>
              </w:rPr>
            </w:pPr>
          </w:p>
          <w:p w14:paraId="6C0559A6" w14:textId="372871F0" w:rsidR="00BB3813" w:rsidRDefault="00BB3813" w:rsidP="00617B74">
            <w:pPr>
              <w:spacing w:line="400" w:lineRule="atLeast"/>
              <w:jc w:val="both"/>
              <w:rPr>
                <w:rFonts w:ascii="Verdana" w:hAnsi="Verdana"/>
                <w:sz w:val="21"/>
                <w:szCs w:val="21"/>
              </w:rPr>
            </w:pPr>
            <w:r>
              <w:rPr>
                <w:rFonts w:ascii="Verdana" w:hAnsi="Verdana"/>
                <w:sz w:val="21"/>
                <w:szCs w:val="21"/>
              </w:rPr>
              <w:t>The tables alongside, showing the</w:t>
            </w:r>
            <w:r w:rsidR="00050A63">
              <w:rPr>
                <w:rFonts w:ascii="Verdana" w:hAnsi="Verdana"/>
                <w:sz w:val="21"/>
                <w:szCs w:val="21"/>
              </w:rPr>
              <w:t xml:space="preserve"> top</w:t>
            </w:r>
            <w:r>
              <w:rPr>
                <w:rFonts w:ascii="Verdana" w:hAnsi="Verdana"/>
                <w:sz w:val="21"/>
                <w:szCs w:val="21"/>
              </w:rPr>
              <w:t xml:space="preserve"> individual ETFs/ETNs that have raised, or redeemed, the </w:t>
            </w:r>
            <w:r w:rsidR="009542C9">
              <w:rPr>
                <w:rFonts w:ascii="Verdana" w:hAnsi="Verdana"/>
                <w:sz w:val="21"/>
                <w:szCs w:val="21"/>
              </w:rPr>
              <w:t xml:space="preserve">most </w:t>
            </w:r>
            <w:r>
              <w:rPr>
                <w:rFonts w:ascii="Verdana" w:hAnsi="Verdana"/>
                <w:sz w:val="21"/>
                <w:szCs w:val="21"/>
              </w:rPr>
              <w:t>capital in the past nine months, is re</w:t>
            </w:r>
            <w:r w:rsidR="009542C9">
              <w:rPr>
                <w:rFonts w:ascii="Verdana" w:hAnsi="Verdana"/>
                <w:sz w:val="21"/>
                <w:szCs w:val="21"/>
              </w:rPr>
              <w:t xml:space="preserve">vealing </w:t>
            </w:r>
            <w:r>
              <w:rPr>
                <w:rFonts w:ascii="Verdana" w:hAnsi="Verdana"/>
                <w:sz w:val="21"/>
                <w:szCs w:val="21"/>
              </w:rPr>
              <w:t xml:space="preserve">as it displays the predominant role of foreign referenced ETPs in the raising or redemption of capital. </w:t>
            </w:r>
          </w:p>
        </w:tc>
        <w:tc>
          <w:tcPr>
            <w:tcW w:w="425" w:type="dxa"/>
            <w:vMerge w:val="restart"/>
            <w:tcBorders>
              <w:right w:val="single" w:sz="4" w:space="0" w:color="auto"/>
            </w:tcBorders>
          </w:tcPr>
          <w:p w14:paraId="244D3941" w14:textId="77777777" w:rsidR="00BB3813" w:rsidRDefault="00BB3813" w:rsidP="000C447C">
            <w:pPr>
              <w:spacing w:line="360" w:lineRule="atLeast"/>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72576" behindDoc="0" locked="0" layoutInCell="1" allowOverlap="1" wp14:anchorId="3717DF0C" wp14:editId="762C5E9A">
                      <wp:simplePos x="0" y="0"/>
                      <wp:positionH relativeFrom="column">
                        <wp:posOffset>14605</wp:posOffset>
                      </wp:positionH>
                      <wp:positionV relativeFrom="paragraph">
                        <wp:posOffset>-70485</wp:posOffset>
                      </wp:positionV>
                      <wp:extent cx="0" cy="6381750"/>
                      <wp:effectExtent l="0" t="0" r="38100" b="19050"/>
                      <wp:wrapNone/>
                      <wp:docPr id="6" name="Straight Connector 6"/>
                      <wp:cNvGraphicFramePr/>
                      <a:graphic xmlns:a="http://schemas.openxmlformats.org/drawingml/2006/main">
                        <a:graphicData uri="http://schemas.microsoft.com/office/word/2010/wordprocessingShape">
                          <wps:wsp>
                            <wps:cNvCnPr/>
                            <wps:spPr>
                              <a:xfrm flipH="1">
                                <a:off x="0" y="0"/>
                                <a:ext cx="0" cy="638175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A356D" id="Straight Connector 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5.55pt" to="1.15pt,4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" strokecolor="#c00000">
                      <v:stroke joinstyle="miter"/>
                    </v:line>
                  </w:pict>
                </mc:Fallback>
              </mc:AlternateContent>
            </w:r>
          </w:p>
        </w:tc>
        <w:tc>
          <w:tcPr>
            <w:tcW w:w="4671" w:type="dxa"/>
            <w:gridSpan w:val="3"/>
            <w:tcBorders>
              <w:left w:val="single" w:sz="4" w:space="0" w:color="auto"/>
              <w:bottom w:val="single" w:sz="4" w:space="0" w:color="auto"/>
              <w:right w:val="single" w:sz="4" w:space="0" w:color="auto"/>
            </w:tcBorders>
            <w:shd w:val="clear" w:color="auto" w:fill="CB2229"/>
            <w:vAlign w:val="center"/>
          </w:tcPr>
          <w:p w14:paraId="60E08258" w14:textId="77777777" w:rsidR="00BB3813" w:rsidRDefault="00BB3813" w:rsidP="00617B74">
            <w:pPr>
              <w:spacing w:line="320" w:lineRule="atLeast"/>
              <w:jc w:val="center"/>
              <w:rPr>
                <w:rFonts w:ascii="Verdana" w:hAnsi="Verdana"/>
                <w:b/>
                <w:bCs/>
                <w:color w:val="F2F2F2" w:themeColor="background1" w:themeShade="F2"/>
                <w:sz w:val="18"/>
                <w:szCs w:val="18"/>
              </w:rPr>
            </w:pPr>
            <w:r w:rsidRPr="005B5FC4">
              <w:rPr>
                <w:rFonts w:ascii="Verdana" w:hAnsi="Verdana"/>
                <w:b/>
                <w:bCs/>
                <w:color w:val="F2F2F2" w:themeColor="background1" w:themeShade="F2"/>
                <w:sz w:val="18"/>
                <w:szCs w:val="18"/>
              </w:rPr>
              <w:t>New Capital Raised/Redeemed</w:t>
            </w:r>
          </w:p>
          <w:p w14:paraId="30F33E48" w14:textId="77777777" w:rsidR="005B5FC4" w:rsidRDefault="005B5FC4" w:rsidP="00617B74">
            <w:pPr>
              <w:spacing w:line="320" w:lineRule="atLeast"/>
              <w:jc w:val="center"/>
              <w:rPr>
                <w:rFonts w:ascii="Verdana" w:hAnsi="Verdana"/>
                <w:b/>
                <w:bCs/>
                <w:color w:val="F2F2F2" w:themeColor="background1" w:themeShade="F2"/>
                <w:sz w:val="18"/>
                <w:szCs w:val="18"/>
              </w:rPr>
            </w:pPr>
            <w:r>
              <w:rPr>
                <w:rFonts w:ascii="Verdana" w:hAnsi="Verdana"/>
                <w:b/>
                <w:bCs/>
                <w:color w:val="F2F2F2" w:themeColor="background1" w:themeShade="F2"/>
                <w:sz w:val="18"/>
                <w:szCs w:val="18"/>
              </w:rPr>
              <w:t>1 January – 30 September 2021</w:t>
            </w:r>
          </w:p>
          <w:p w14:paraId="22D0EB2C" w14:textId="6C65B5E7" w:rsidR="005B5FC4" w:rsidRPr="005B5FC4" w:rsidRDefault="005B5FC4" w:rsidP="00617B74">
            <w:pPr>
              <w:spacing w:line="320" w:lineRule="atLeast"/>
              <w:jc w:val="center"/>
              <w:rPr>
                <w:rFonts w:ascii="Verdana" w:hAnsi="Verdana"/>
                <w:b/>
                <w:bCs/>
                <w:color w:val="F2F2F2" w:themeColor="background1" w:themeShade="F2"/>
                <w:sz w:val="18"/>
                <w:szCs w:val="18"/>
              </w:rPr>
            </w:pPr>
            <w:r>
              <w:rPr>
                <w:rFonts w:ascii="Verdana" w:hAnsi="Verdana"/>
                <w:b/>
                <w:bCs/>
                <w:color w:val="F2F2F2" w:themeColor="background1" w:themeShade="F2"/>
                <w:sz w:val="18"/>
                <w:szCs w:val="18"/>
              </w:rPr>
              <w:t>(Individual Securities)</w:t>
            </w:r>
          </w:p>
        </w:tc>
      </w:tr>
      <w:tr w:rsidR="005B5FC4" w14:paraId="6DAFFFEC" w14:textId="77777777" w:rsidTr="005B5FC4">
        <w:trPr>
          <w:trHeight w:val="272"/>
        </w:trPr>
        <w:tc>
          <w:tcPr>
            <w:tcW w:w="4815" w:type="dxa"/>
            <w:vMerge/>
          </w:tcPr>
          <w:p w14:paraId="71F05F27" w14:textId="77777777" w:rsidR="005B5FC4" w:rsidRDefault="005B5FC4" w:rsidP="000C447C">
            <w:pPr>
              <w:spacing w:line="360" w:lineRule="atLeast"/>
              <w:jc w:val="both"/>
              <w:rPr>
                <w:rFonts w:ascii="Verdana" w:hAnsi="Verdana"/>
                <w:sz w:val="21"/>
                <w:szCs w:val="21"/>
              </w:rPr>
            </w:pPr>
          </w:p>
        </w:tc>
        <w:tc>
          <w:tcPr>
            <w:tcW w:w="425" w:type="dxa"/>
            <w:vMerge/>
            <w:tcBorders>
              <w:right w:val="single" w:sz="4" w:space="0" w:color="auto"/>
            </w:tcBorders>
          </w:tcPr>
          <w:p w14:paraId="2D7F3CBA" w14:textId="77777777" w:rsidR="005B5FC4" w:rsidRDefault="005B5FC4" w:rsidP="000C447C">
            <w:pPr>
              <w:spacing w:line="360" w:lineRule="atLeast"/>
              <w:jc w:val="both"/>
              <w:rPr>
                <w:rFonts w:ascii="Verdana" w:hAnsi="Verdana"/>
                <w:noProof/>
                <w:sz w:val="21"/>
                <w:szCs w:val="21"/>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4C4C4C"/>
            <w:vAlign w:val="center"/>
          </w:tcPr>
          <w:p w14:paraId="0549723B" w14:textId="493B18E1" w:rsidR="005B5FC4" w:rsidRPr="005B5FC4" w:rsidRDefault="005B5FC4" w:rsidP="00617B74">
            <w:pPr>
              <w:spacing w:before="40" w:after="40" w:line="360" w:lineRule="atLeast"/>
              <w:jc w:val="center"/>
              <w:rPr>
                <w:rFonts w:ascii="Verdana" w:hAnsi="Verdana"/>
                <w:b/>
                <w:bCs/>
                <w:color w:val="F2F2F2" w:themeColor="background1" w:themeShade="F2"/>
                <w:sz w:val="18"/>
                <w:szCs w:val="18"/>
              </w:rPr>
            </w:pPr>
            <w:r>
              <w:rPr>
                <w:rFonts w:ascii="Verdana" w:hAnsi="Verdana"/>
                <w:b/>
                <w:bCs/>
                <w:color w:val="F2F2F2" w:themeColor="background1" w:themeShade="F2"/>
                <w:sz w:val="18"/>
                <w:szCs w:val="18"/>
              </w:rPr>
              <w:t>Capital Raised</w:t>
            </w:r>
          </w:p>
        </w:tc>
      </w:tr>
      <w:tr w:rsidR="005B5FC4" w14:paraId="09B6A7F3" w14:textId="77777777" w:rsidTr="005B5FC4">
        <w:trPr>
          <w:trHeight w:val="333"/>
        </w:trPr>
        <w:tc>
          <w:tcPr>
            <w:tcW w:w="4815" w:type="dxa"/>
            <w:vMerge/>
          </w:tcPr>
          <w:p w14:paraId="1B4D6F8A" w14:textId="77777777" w:rsidR="005B5FC4" w:rsidRDefault="005B5FC4" w:rsidP="000C447C">
            <w:pPr>
              <w:spacing w:line="360" w:lineRule="atLeast"/>
              <w:jc w:val="both"/>
              <w:rPr>
                <w:rFonts w:ascii="Verdana" w:hAnsi="Verdana"/>
                <w:sz w:val="21"/>
                <w:szCs w:val="21"/>
              </w:rPr>
            </w:pPr>
          </w:p>
        </w:tc>
        <w:tc>
          <w:tcPr>
            <w:tcW w:w="425" w:type="dxa"/>
            <w:vMerge/>
            <w:tcBorders>
              <w:right w:val="single" w:sz="4" w:space="0" w:color="auto"/>
            </w:tcBorders>
          </w:tcPr>
          <w:p w14:paraId="04BCCEFD" w14:textId="77777777" w:rsidR="005B5FC4" w:rsidRDefault="005B5FC4"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5A5D68D2" w14:textId="77777777" w:rsidR="005B5FC4" w:rsidRDefault="005B5FC4" w:rsidP="00617B74">
            <w:pPr>
              <w:spacing w:line="320" w:lineRule="atLeast"/>
              <w:jc w:val="both"/>
              <w:rPr>
                <w:rFonts w:ascii="Verdana" w:hAnsi="Verdana"/>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C8B20DF" w14:textId="77777777" w:rsidR="005B5FC4" w:rsidRPr="005B5FC4" w:rsidRDefault="005B5FC4" w:rsidP="00617B74">
            <w:pPr>
              <w:spacing w:line="320" w:lineRule="atLeast"/>
              <w:rPr>
                <w:rFonts w:ascii="Verdana" w:hAnsi="Verdana"/>
                <w:sz w:val="18"/>
                <w:szCs w:val="18"/>
              </w:rPr>
            </w:pPr>
          </w:p>
        </w:tc>
        <w:tc>
          <w:tcPr>
            <w:tcW w:w="1122" w:type="dxa"/>
            <w:tcBorders>
              <w:top w:val="single" w:sz="4" w:space="0" w:color="auto"/>
              <w:left w:val="single" w:sz="4" w:space="0" w:color="auto"/>
              <w:bottom w:val="single" w:sz="4" w:space="0" w:color="auto"/>
              <w:right w:val="single" w:sz="4" w:space="0" w:color="auto"/>
            </w:tcBorders>
            <w:vAlign w:val="center"/>
          </w:tcPr>
          <w:p w14:paraId="1078EA06" w14:textId="2E5BEB0B" w:rsidR="005B5FC4" w:rsidRPr="005B5FC4" w:rsidRDefault="005B5FC4" w:rsidP="00617B74">
            <w:pPr>
              <w:spacing w:line="320" w:lineRule="atLeast"/>
              <w:jc w:val="right"/>
              <w:rPr>
                <w:rFonts w:ascii="Verdana" w:hAnsi="Verdana"/>
                <w:b/>
                <w:bCs/>
                <w:sz w:val="18"/>
                <w:szCs w:val="18"/>
              </w:rPr>
            </w:pPr>
            <w:r>
              <w:rPr>
                <w:rFonts w:ascii="Verdana" w:hAnsi="Verdana"/>
                <w:b/>
                <w:bCs/>
                <w:sz w:val="18"/>
                <w:szCs w:val="18"/>
              </w:rPr>
              <w:t>R million</w:t>
            </w:r>
          </w:p>
        </w:tc>
      </w:tr>
      <w:tr w:rsidR="00BB3813" w14:paraId="1EC7150E" w14:textId="77777777" w:rsidTr="005B5FC4">
        <w:trPr>
          <w:trHeight w:val="333"/>
        </w:trPr>
        <w:tc>
          <w:tcPr>
            <w:tcW w:w="4815" w:type="dxa"/>
            <w:vMerge/>
          </w:tcPr>
          <w:p w14:paraId="13F9ED4F" w14:textId="77777777" w:rsidR="00BB3813" w:rsidRDefault="00BB3813" w:rsidP="000C447C">
            <w:pPr>
              <w:spacing w:line="360" w:lineRule="atLeast"/>
              <w:jc w:val="both"/>
              <w:rPr>
                <w:rFonts w:ascii="Verdana" w:hAnsi="Verdana"/>
                <w:sz w:val="21"/>
                <w:szCs w:val="21"/>
              </w:rPr>
            </w:pPr>
          </w:p>
        </w:tc>
        <w:tc>
          <w:tcPr>
            <w:tcW w:w="425" w:type="dxa"/>
            <w:vMerge/>
            <w:tcBorders>
              <w:right w:val="single" w:sz="4" w:space="0" w:color="auto"/>
            </w:tcBorders>
          </w:tcPr>
          <w:p w14:paraId="7611AAD1"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5AA6AD74" w14:textId="54F73441" w:rsidR="00BB3813" w:rsidRPr="005B5FC4" w:rsidRDefault="005B5FC4" w:rsidP="00617B74">
            <w:pPr>
              <w:spacing w:line="320" w:lineRule="atLeast"/>
              <w:jc w:val="both"/>
              <w:rPr>
                <w:rFonts w:ascii="Verdana" w:hAnsi="Verdana"/>
                <w:sz w:val="18"/>
                <w:szCs w:val="18"/>
              </w:rPr>
            </w:pPr>
            <w:r>
              <w:rPr>
                <w:rFonts w:ascii="Verdana" w:hAnsi="Verdana"/>
                <w:sz w:val="18"/>
                <w:szCs w:val="1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75918BA" w14:textId="409CF592" w:rsidR="00BB3813" w:rsidRPr="005B5FC4" w:rsidRDefault="005B5FC4" w:rsidP="00617B74">
            <w:pPr>
              <w:spacing w:line="320" w:lineRule="atLeast"/>
              <w:rPr>
                <w:rFonts w:ascii="Verdana" w:hAnsi="Verdana"/>
                <w:sz w:val="18"/>
                <w:szCs w:val="18"/>
              </w:rPr>
            </w:pPr>
            <w:r>
              <w:rPr>
                <w:rFonts w:ascii="Verdana" w:hAnsi="Verdana"/>
                <w:sz w:val="18"/>
                <w:szCs w:val="18"/>
              </w:rPr>
              <w:t>Sygnia Itrix Emerging Markets 50 ETF</w:t>
            </w:r>
          </w:p>
        </w:tc>
        <w:tc>
          <w:tcPr>
            <w:tcW w:w="1122" w:type="dxa"/>
            <w:tcBorders>
              <w:top w:val="single" w:sz="4" w:space="0" w:color="auto"/>
              <w:left w:val="single" w:sz="4" w:space="0" w:color="auto"/>
              <w:bottom w:val="single" w:sz="4" w:space="0" w:color="auto"/>
              <w:right w:val="single" w:sz="4" w:space="0" w:color="auto"/>
            </w:tcBorders>
            <w:vAlign w:val="center"/>
          </w:tcPr>
          <w:p w14:paraId="1ED2F9D5" w14:textId="6A08AE2A" w:rsidR="00BB3813" w:rsidRPr="005B5FC4" w:rsidRDefault="005B5FC4" w:rsidP="00617B74">
            <w:pPr>
              <w:spacing w:line="320" w:lineRule="atLeast"/>
              <w:jc w:val="right"/>
              <w:rPr>
                <w:rFonts w:ascii="Verdana" w:hAnsi="Verdana"/>
                <w:sz w:val="18"/>
                <w:szCs w:val="18"/>
              </w:rPr>
            </w:pPr>
            <w:r>
              <w:rPr>
                <w:rFonts w:ascii="Verdana" w:hAnsi="Verdana"/>
                <w:sz w:val="18"/>
                <w:szCs w:val="18"/>
              </w:rPr>
              <w:t>1 270,1</w:t>
            </w:r>
          </w:p>
        </w:tc>
      </w:tr>
      <w:tr w:rsidR="00BB3813" w14:paraId="34C61765" w14:textId="77777777" w:rsidTr="005B5FC4">
        <w:trPr>
          <w:trHeight w:val="302"/>
        </w:trPr>
        <w:tc>
          <w:tcPr>
            <w:tcW w:w="4815" w:type="dxa"/>
            <w:vMerge/>
          </w:tcPr>
          <w:p w14:paraId="567F8829" w14:textId="77777777" w:rsidR="00BB3813" w:rsidRDefault="00BB3813" w:rsidP="000C447C">
            <w:pPr>
              <w:spacing w:line="360" w:lineRule="atLeast"/>
              <w:jc w:val="both"/>
              <w:rPr>
                <w:rFonts w:ascii="Verdana" w:hAnsi="Verdana"/>
                <w:sz w:val="21"/>
                <w:szCs w:val="21"/>
              </w:rPr>
            </w:pPr>
          </w:p>
        </w:tc>
        <w:tc>
          <w:tcPr>
            <w:tcW w:w="425" w:type="dxa"/>
            <w:vMerge/>
            <w:tcBorders>
              <w:right w:val="single" w:sz="4" w:space="0" w:color="auto"/>
            </w:tcBorders>
          </w:tcPr>
          <w:p w14:paraId="75977112"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6427A60D" w14:textId="521BCD16" w:rsidR="00BB3813" w:rsidRPr="005B5FC4" w:rsidRDefault="005B5FC4" w:rsidP="00617B74">
            <w:pPr>
              <w:spacing w:line="320" w:lineRule="atLeast"/>
              <w:jc w:val="both"/>
              <w:rPr>
                <w:rFonts w:ascii="Verdana" w:hAnsi="Verdana"/>
                <w:sz w:val="18"/>
                <w:szCs w:val="18"/>
              </w:rPr>
            </w:pPr>
            <w:r>
              <w:rPr>
                <w:rFonts w:ascii="Verdana" w:hAnsi="Verdana"/>
                <w:sz w:val="18"/>
                <w:szCs w:val="18"/>
              </w:rPr>
              <w:t>2.</w:t>
            </w:r>
          </w:p>
        </w:tc>
        <w:tc>
          <w:tcPr>
            <w:tcW w:w="2977" w:type="dxa"/>
            <w:tcBorders>
              <w:top w:val="single" w:sz="4" w:space="0" w:color="auto"/>
              <w:left w:val="single" w:sz="4" w:space="0" w:color="auto"/>
              <w:bottom w:val="single" w:sz="4" w:space="0" w:color="auto"/>
              <w:right w:val="single" w:sz="4" w:space="0" w:color="auto"/>
            </w:tcBorders>
            <w:vAlign w:val="center"/>
          </w:tcPr>
          <w:p w14:paraId="601A1DA2" w14:textId="01CE2CFE" w:rsidR="00BB3813" w:rsidRPr="005B5FC4" w:rsidRDefault="005B5FC4" w:rsidP="00617B74">
            <w:pPr>
              <w:spacing w:line="320" w:lineRule="atLeast"/>
              <w:rPr>
                <w:rFonts w:ascii="Verdana" w:hAnsi="Verdana"/>
                <w:sz w:val="18"/>
                <w:szCs w:val="18"/>
              </w:rPr>
            </w:pPr>
            <w:r>
              <w:rPr>
                <w:rFonts w:ascii="Verdana" w:hAnsi="Verdana"/>
                <w:sz w:val="18"/>
                <w:szCs w:val="18"/>
              </w:rPr>
              <w:t>Satrix MSCI World ETF</w:t>
            </w:r>
          </w:p>
        </w:tc>
        <w:tc>
          <w:tcPr>
            <w:tcW w:w="1122" w:type="dxa"/>
            <w:tcBorders>
              <w:top w:val="single" w:sz="4" w:space="0" w:color="auto"/>
              <w:left w:val="single" w:sz="4" w:space="0" w:color="auto"/>
              <w:bottom w:val="single" w:sz="4" w:space="0" w:color="auto"/>
              <w:right w:val="single" w:sz="4" w:space="0" w:color="auto"/>
            </w:tcBorders>
            <w:vAlign w:val="center"/>
          </w:tcPr>
          <w:p w14:paraId="4DD9BA1F" w14:textId="6FF598F3" w:rsidR="00BB3813" w:rsidRPr="005B5FC4" w:rsidRDefault="005B5FC4" w:rsidP="00617B74">
            <w:pPr>
              <w:spacing w:line="320" w:lineRule="atLeast"/>
              <w:jc w:val="right"/>
              <w:rPr>
                <w:rFonts w:ascii="Verdana" w:hAnsi="Verdana"/>
                <w:sz w:val="18"/>
                <w:szCs w:val="18"/>
              </w:rPr>
            </w:pPr>
            <w:r>
              <w:rPr>
                <w:rFonts w:ascii="Verdana" w:hAnsi="Verdana"/>
                <w:sz w:val="18"/>
                <w:szCs w:val="18"/>
              </w:rPr>
              <w:t>1 </w:t>
            </w:r>
            <w:r w:rsidR="009542C9">
              <w:rPr>
                <w:rFonts w:ascii="Verdana" w:hAnsi="Verdana"/>
                <w:sz w:val="18"/>
                <w:szCs w:val="18"/>
              </w:rPr>
              <w:t>0</w:t>
            </w:r>
            <w:r>
              <w:rPr>
                <w:rFonts w:ascii="Verdana" w:hAnsi="Verdana"/>
                <w:sz w:val="18"/>
                <w:szCs w:val="18"/>
              </w:rPr>
              <w:t>95,2</w:t>
            </w:r>
          </w:p>
        </w:tc>
      </w:tr>
      <w:tr w:rsidR="00BB3813" w14:paraId="33F065EC" w14:textId="77777777" w:rsidTr="005B5FC4">
        <w:trPr>
          <w:trHeight w:val="251"/>
        </w:trPr>
        <w:tc>
          <w:tcPr>
            <w:tcW w:w="4815" w:type="dxa"/>
            <w:vMerge/>
          </w:tcPr>
          <w:p w14:paraId="2E7C5941" w14:textId="77777777" w:rsidR="00BB3813" w:rsidRDefault="00BB3813" w:rsidP="000C447C">
            <w:pPr>
              <w:spacing w:line="360" w:lineRule="atLeast"/>
              <w:jc w:val="both"/>
              <w:rPr>
                <w:rFonts w:ascii="Verdana" w:hAnsi="Verdana"/>
                <w:sz w:val="21"/>
                <w:szCs w:val="21"/>
              </w:rPr>
            </w:pPr>
          </w:p>
        </w:tc>
        <w:tc>
          <w:tcPr>
            <w:tcW w:w="425" w:type="dxa"/>
            <w:vMerge/>
            <w:tcBorders>
              <w:right w:val="single" w:sz="4" w:space="0" w:color="auto"/>
            </w:tcBorders>
          </w:tcPr>
          <w:p w14:paraId="7378EB1A"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53DA2726" w14:textId="465EE6EE" w:rsidR="00BB3813" w:rsidRPr="005B5FC4" w:rsidRDefault="005B5FC4" w:rsidP="00617B74">
            <w:pPr>
              <w:spacing w:line="320" w:lineRule="atLeast"/>
              <w:jc w:val="both"/>
              <w:rPr>
                <w:rFonts w:ascii="Verdana" w:hAnsi="Verdana"/>
                <w:sz w:val="18"/>
                <w:szCs w:val="18"/>
              </w:rPr>
            </w:pPr>
            <w:r>
              <w:rPr>
                <w:rFonts w:ascii="Verdana" w:hAnsi="Verdana"/>
                <w:sz w:val="18"/>
                <w:szCs w:val="18"/>
              </w:rPr>
              <w:t>3.</w:t>
            </w:r>
          </w:p>
        </w:tc>
        <w:tc>
          <w:tcPr>
            <w:tcW w:w="2977" w:type="dxa"/>
            <w:tcBorders>
              <w:top w:val="single" w:sz="4" w:space="0" w:color="auto"/>
              <w:left w:val="single" w:sz="4" w:space="0" w:color="auto"/>
              <w:bottom w:val="single" w:sz="4" w:space="0" w:color="auto"/>
              <w:right w:val="single" w:sz="4" w:space="0" w:color="auto"/>
            </w:tcBorders>
            <w:vAlign w:val="center"/>
          </w:tcPr>
          <w:p w14:paraId="731CBFDB" w14:textId="53EE85EC" w:rsidR="00BB3813" w:rsidRPr="005B5FC4" w:rsidRDefault="005B5FC4" w:rsidP="00617B74">
            <w:pPr>
              <w:spacing w:line="320" w:lineRule="atLeast"/>
              <w:rPr>
                <w:rFonts w:ascii="Verdana" w:hAnsi="Verdana"/>
                <w:sz w:val="18"/>
                <w:szCs w:val="18"/>
              </w:rPr>
            </w:pPr>
            <w:r>
              <w:rPr>
                <w:rFonts w:ascii="Verdana" w:hAnsi="Verdana"/>
                <w:sz w:val="18"/>
                <w:szCs w:val="18"/>
              </w:rPr>
              <w:t>Satrix 40 ETF</w:t>
            </w:r>
          </w:p>
        </w:tc>
        <w:tc>
          <w:tcPr>
            <w:tcW w:w="1122" w:type="dxa"/>
            <w:tcBorders>
              <w:top w:val="single" w:sz="4" w:space="0" w:color="auto"/>
              <w:left w:val="single" w:sz="4" w:space="0" w:color="auto"/>
              <w:bottom w:val="single" w:sz="4" w:space="0" w:color="auto"/>
              <w:right w:val="single" w:sz="4" w:space="0" w:color="auto"/>
            </w:tcBorders>
            <w:vAlign w:val="center"/>
          </w:tcPr>
          <w:p w14:paraId="00E03225" w14:textId="0FBC52C1" w:rsidR="00BB3813" w:rsidRPr="005B5FC4" w:rsidRDefault="005B5FC4" w:rsidP="00617B74">
            <w:pPr>
              <w:spacing w:line="320" w:lineRule="atLeast"/>
              <w:jc w:val="right"/>
              <w:rPr>
                <w:rFonts w:ascii="Verdana" w:hAnsi="Verdana"/>
                <w:sz w:val="18"/>
                <w:szCs w:val="18"/>
              </w:rPr>
            </w:pPr>
            <w:r>
              <w:rPr>
                <w:rFonts w:ascii="Verdana" w:hAnsi="Verdana"/>
                <w:sz w:val="18"/>
                <w:szCs w:val="18"/>
              </w:rPr>
              <w:t>973,5</w:t>
            </w:r>
          </w:p>
        </w:tc>
      </w:tr>
      <w:tr w:rsidR="00BB3813" w14:paraId="72C75AF8" w14:textId="77777777" w:rsidTr="005B5FC4">
        <w:trPr>
          <w:trHeight w:val="341"/>
        </w:trPr>
        <w:tc>
          <w:tcPr>
            <w:tcW w:w="4815" w:type="dxa"/>
            <w:vMerge/>
          </w:tcPr>
          <w:p w14:paraId="2882D638" w14:textId="77777777" w:rsidR="00BB3813" w:rsidRDefault="00BB3813" w:rsidP="000C447C">
            <w:pPr>
              <w:spacing w:line="360" w:lineRule="atLeast"/>
              <w:jc w:val="both"/>
              <w:rPr>
                <w:rFonts w:ascii="Verdana" w:hAnsi="Verdana"/>
                <w:sz w:val="21"/>
                <w:szCs w:val="21"/>
              </w:rPr>
            </w:pPr>
          </w:p>
        </w:tc>
        <w:tc>
          <w:tcPr>
            <w:tcW w:w="425" w:type="dxa"/>
            <w:vMerge/>
            <w:tcBorders>
              <w:right w:val="single" w:sz="4" w:space="0" w:color="auto"/>
            </w:tcBorders>
          </w:tcPr>
          <w:p w14:paraId="3E60EC43"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22A5C227" w14:textId="1AD757AE" w:rsidR="00BB3813" w:rsidRPr="005B5FC4" w:rsidRDefault="005B5FC4" w:rsidP="00617B74">
            <w:pPr>
              <w:spacing w:line="320" w:lineRule="atLeast"/>
              <w:jc w:val="both"/>
              <w:rPr>
                <w:rFonts w:ascii="Verdana" w:hAnsi="Verdana"/>
                <w:sz w:val="18"/>
                <w:szCs w:val="18"/>
              </w:rPr>
            </w:pPr>
            <w:r>
              <w:rPr>
                <w:rFonts w:ascii="Verdana" w:hAnsi="Verdana"/>
                <w:sz w:val="18"/>
                <w:szCs w:val="18"/>
              </w:rPr>
              <w:t>4.</w:t>
            </w:r>
          </w:p>
        </w:tc>
        <w:tc>
          <w:tcPr>
            <w:tcW w:w="2977" w:type="dxa"/>
            <w:tcBorders>
              <w:top w:val="single" w:sz="4" w:space="0" w:color="auto"/>
              <w:left w:val="single" w:sz="4" w:space="0" w:color="auto"/>
              <w:bottom w:val="single" w:sz="4" w:space="0" w:color="auto"/>
              <w:right w:val="single" w:sz="4" w:space="0" w:color="auto"/>
            </w:tcBorders>
            <w:vAlign w:val="center"/>
          </w:tcPr>
          <w:p w14:paraId="4C16117B" w14:textId="2F656746" w:rsidR="00BB3813" w:rsidRPr="005B5FC4" w:rsidRDefault="005B5FC4" w:rsidP="00617B74">
            <w:pPr>
              <w:spacing w:line="320" w:lineRule="atLeast"/>
              <w:rPr>
                <w:rFonts w:ascii="Verdana" w:hAnsi="Verdana"/>
                <w:sz w:val="18"/>
                <w:szCs w:val="18"/>
              </w:rPr>
            </w:pPr>
            <w:r>
              <w:rPr>
                <w:rFonts w:ascii="Verdana" w:hAnsi="Verdana"/>
                <w:sz w:val="18"/>
                <w:szCs w:val="18"/>
              </w:rPr>
              <w:t>Sygnia Itrix 4</w:t>
            </w:r>
            <w:r w:rsidRPr="005B5FC4">
              <w:rPr>
                <w:rFonts w:ascii="Verdana" w:hAnsi="Verdana"/>
                <w:sz w:val="18"/>
                <w:szCs w:val="18"/>
                <w:vertAlign w:val="superscript"/>
              </w:rPr>
              <w:t>th</w:t>
            </w:r>
            <w:r>
              <w:rPr>
                <w:rFonts w:ascii="Verdana" w:hAnsi="Verdana"/>
                <w:sz w:val="18"/>
                <w:szCs w:val="18"/>
              </w:rPr>
              <w:t xml:space="preserve"> Industrial Revolution ETF</w:t>
            </w:r>
          </w:p>
        </w:tc>
        <w:tc>
          <w:tcPr>
            <w:tcW w:w="1122" w:type="dxa"/>
            <w:tcBorders>
              <w:top w:val="single" w:sz="4" w:space="0" w:color="auto"/>
              <w:left w:val="single" w:sz="4" w:space="0" w:color="auto"/>
              <w:bottom w:val="single" w:sz="4" w:space="0" w:color="auto"/>
              <w:right w:val="single" w:sz="4" w:space="0" w:color="auto"/>
            </w:tcBorders>
            <w:vAlign w:val="center"/>
          </w:tcPr>
          <w:p w14:paraId="2754943B" w14:textId="0936D2CE" w:rsidR="00BB3813" w:rsidRPr="005B5FC4" w:rsidRDefault="005B5FC4" w:rsidP="00617B74">
            <w:pPr>
              <w:spacing w:line="320" w:lineRule="atLeast"/>
              <w:jc w:val="right"/>
              <w:rPr>
                <w:rFonts w:ascii="Verdana" w:hAnsi="Verdana"/>
                <w:sz w:val="18"/>
                <w:szCs w:val="18"/>
              </w:rPr>
            </w:pPr>
            <w:r>
              <w:rPr>
                <w:rFonts w:ascii="Verdana" w:hAnsi="Verdana"/>
                <w:sz w:val="18"/>
                <w:szCs w:val="18"/>
              </w:rPr>
              <w:t>626,1</w:t>
            </w:r>
          </w:p>
        </w:tc>
      </w:tr>
      <w:tr w:rsidR="00BB3813" w14:paraId="48D95638" w14:textId="77777777" w:rsidTr="005B5FC4">
        <w:trPr>
          <w:trHeight w:val="275"/>
        </w:trPr>
        <w:tc>
          <w:tcPr>
            <w:tcW w:w="4815" w:type="dxa"/>
            <w:vMerge/>
          </w:tcPr>
          <w:p w14:paraId="64F9DD7E" w14:textId="77777777" w:rsidR="00BB3813" w:rsidRDefault="00BB3813" w:rsidP="000C447C">
            <w:pPr>
              <w:spacing w:line="360" w:lineRule="atLeast"/>
              <w:jc w:val="both"/>
              <w:rPr>
                <w:rFonts w:ascii="Verdana" w:hAnsi="Verdana"/>
                <w:sz w:val="21"/>
                <w:szCs w:val="21"/>
              </w:rPr>
            </w:pPr>
          </w:p>
        </w:tc>
        <w:tc>
          <w:tcPr>
            <w:tcW w:w="425" w:type="dxa"/>
            <w:vMerge/>
            <w:tcBorders>
              <w:right w:val="single" w:sz="4" w:space="0" w:color="auto"/>
            </w:tcBorders>
          </w:tcPr>
          <w:p w14:paraId="60B31F49"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30EB601B" w14:textId="33289501" w:rsidR="00BB3813" w:rsidRPr="005B5FC4" w:rsidRDefault="005B5FC4" w:rsidP="00617B74">
            <w:pPr>
              <w:spacing w:line="320" w:lineRule="atLeast"/>
              <w:jc w:val="both"/>
              <w:rPr>
                <w:rFonts w:ascii="Verdana" w:hAnsi="Verdana"/>
                <w:sz w:val="18"/>
                <w:szCs w:val="18"/>
              </w:rPr>
            </w:pPr>
            <w:r>
              <w:rPr>
                <w:rFonts w:ascii="Verdana" w:hAnsi="Verdana"/>
                <w:sz w:val="18"/>
                <w:szCs w:val="18"/>
              </w:rPr>
              <w:t>5.</w:t>
            </w:r>
          </w:p>
        </w:tc>
        <w:tc>
          <w:tcPr>
            <w:tcW w:w="2977" w:type="dxa"/>
            <w:tcBorders>
              <w:top w:val="single" w:sz="4" w:space="0" w:color="auto"/>
              <w:left w:val="single" w:sz="4" w:space="0" w:color="auto"/>
              <w:bottom w:val="single" w:sz="4" w:space="0" w:color="auto"/>
              <w:right w:val="single" w:sz="4" w:space="0" w:color="auto"/>
            </w:tcBorders>
            <w:vAlign w:val="center"/>
          </w:tcPr>
          <w:p w14:paraId="50D2ABA6" w14:textId="70C4A425" w:rsidR="00BB3813" w:rsidRPr="005B5FC4" w:rsidRDefault="005B5FC4" w:rsidP="00617B74">
            <w:pPr>
              <w:spacing w:line="320" w:lineRule="atLeast"/>
              <w:rPr>
                <w:rFonts w:ascii="Verdana" w:hAnsi="Verdana"/>
                <w:sz w:val="18"/>
                <w:szCs w:val="18"/>
              </w:rPr>
            </w:pPr>
            <w:r>
              <w:rPr>
                <w:rFonts w:ascii="Verdana" w:hAnsi="Verdana"/>
                <w:sz w:val="18"/>
                <w:szCs w:val="18"/>
              </w:rPr>
              <w:t>NewWave Silver ETN</w:t>
            </w:r>
          </w:p>
        </w:tc>
        <w:tc>
          <w:tcPr>
            <w:tcW w:w="1122" w:type="dxa"/>
            <w:tcBorders>
              <w:top w:val="single" w:sz="4" w:space="0" w:color="auto"/>
              <w:left w:val="single" w:sz="4" w:space="0" w:color="auto"/>
              <w:bottom w:val="single" w:sz="4" w:space="0" w:color="auto"/>
              <w:right w:val="single" w:sz="4" w:space="0" w:color="auto"/>
            </w:tcBorders>
            <w:vAlign w:val="center"/>
          </w:tcPr>
          <w:p w14:paraId="52C41EAB" w14:textId="4C3C8C9E" w:rsidR="00BB3813" w:rsidRPr="005B5FC4" w:rsidRDefault="005B5FC4" w:rsidP="00617B74">
            <w:pPr>
              <w:spacing w:line="320" w:lineRule="atLeast"/>
              <w:jc w:val="right"/>
              <w:rPr>
                <w:rFonts w:ascii="Verdana" w:hAnsi="Verdana"/>
                <w:sz w:val="18"/>
                <w:szCs w:val="18"/>
              </w:rPr>
            </w:pPr>
            <w:r>
              <w:rPr>
                <w:rFonts w:ascii="Verdana" w:hAnsi="Verdana"/>
                <w:sz w:val="18"/>
                <w:szCs w:val="18"/>
              </w:rPr>
              <w:t>621,3</w:t>
            </w:r>
          </w:p>
        </w:tc>
      </w:tr>
      <w:tr w:rsidR="00BB3813" w14:paraId="3B7A42B7" w14:textId="77777777" w:rsidTr="005B5FC4">
        <w:trPr>
          <w:trHeight w:val="237"/>
        </w:trPr>
        <w:tc>
          <w:tcPr>
            <w:tcW w:w="4815" w:type="dxa"/>
            <w:vMerge/>
          </w:tcPr>
          <w:p w14:paraId="54CD82DA" w14:textId="77777777" w:rsidR="00BB3813" w:rsidRDefault="00BB3813" w:rsidP="000C447C">
            <w:pPr>
              <w:spacing w:line="360" w:lineRule="atLeast"/>
              <w:jc w:val="both"/>
              <w:rPr>
                <w:rFonts w:ascii="Verdana" w:hAnsi="Verdana"/>
                <w:sz w:val="21"/>
                <w:szCs w:val="21"/>
              </w:rPr>
            </w:pPr>
          </w:p>
        </w:tc>
        <w:tc>
          <w:tcPr>
            <w:tcW w:w="425" w:type="dxa"/>
            <w:vMerge/>
            <w:tcBorders>
              <w:right w:val="single" w:sz="4" w:space="0" w:color="auto"/>
            </w:tcBorders>
          </w:tcPr>
          <w:p w14:paraId="6B21BD3C"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281092B0" w14:textId="6FC417C8" w:rsidR="00BB3813" w:rsidRPr="005B5FC4" w:rsidRDefault="005B5FC4" w:rsidP="00617B74">
            <w:pPr>
              <w:spacing w:line="320" w:lineRule="atLeast"/>
              <w:jc w:val="both"/>
              <w:rPr>
                <w:rFonts w:ascii="Verdana" w:hAnsi="Verdana"/>
                <w:sz w:val="18"/>
                <w:szCs w:val="18"/>
              </w:rPr>
            </w:pPr>
            <w:r>
              <w:rPr>
                <w:rFonts w:ascii="Verdana" w:hAnsi="Verdana"/>
                <w:sz w:val="18"/>
                <w:szCs w:val="18"/>
              </w:rPr>
              <w:t>6.</w:t>
            </w:r>
          </w:p>
        </w:tc>
        <w:tc>
          <w:tcPr>
            <w:tcW w:w="2977" w:type="dxa"/>
            <w:tcBorders>
              <w:top w:val="single" w:sz="4" w:space="0" w:color="auto"/>
              <w:left w:val="single" w:sz="4" w:space="0" w:color="auto"/>
              <w:bottom w:val="single" w:sz="4" w:space="0" w:color="auto"/>
              <w:right w:val="single" w:sz="4" w:space="0" w:color="auto"/>
            </w:tcBorders>
            <w:vAlign w:val="center"/>
          </w:tcPr>
          <w:p w14:paraId="1ED82236" w14:textId="47193089" w:rsidR="00BB3813" w:rsidRPr="005B5FC4" w:rsidRDefault="005B5FC4" w:rsidP="00617B74">
            <w:pPr>
              <w:spacing w:line="320" w:lineRule="atLeast"/>
              <w:rPr>
                <w:rFonts w:ascii="Verdana" w:hAnsi="Verdana"/>
                <w:sz w:val="18"/>
                <w:szCs w:val="18"/>
              </w:rPr>
            </w:pPr>
            <w:r>
              <w:rPr>
                <w:rFonts w:ascii="Verdana" w:hAnsi="Verdana"/>
                <w:sz w:val="18"/>
                <w:szCs w:val="18"/>
              </w:rPr>
              <w:t>Standard Bank Oil ETN (new listing)</w:t>
            </w:r>
          </w:p>
        </w:tc>
        <w:tc>
          <w:tcPr>
            <w:tcW w:w="1122" w:type="dxa"/>
            <w:tcBorders>
              <w:top w:val="single" w:sz="4" w:space="0" w:color="auto"/>
              <w:left w:val="single" w:sz="4" w:space="0" w:color="auto"/>
              <w:bottom w:val="single" w:sz="4" w:space="0" w:color="auto"/>
              <w:right w:val="single" w:sz="4" w:space="0" w:color="auto"/>
            </w:tcBorders>
            <w:vAlign w:val="center"/>
          </w:tcPr>
          <w:p w14:paraId="0865910D" w14:textId="310A4133" w:rsidR="00BB3813" w:rsidRPr="005B5FC4" w:rsidRDefault="005B5FC4" w:rsidP="00617B74">
            <w:pPr>
              <w:spacing w:line="320" w:lineRule="atLeast"/>
              <w:jc w:val="right"/>
              <w:rPr>
                <w:rFonts w:ascii="Verdana" w:hAnsi="Verdana"/>
                <w:sz w:val="18"/>
                <w:szCs w:val="18"/>
              </w:rPr>
            </w:pPr>
            <w:r>
              <w:rPr>
                <w:rFonts w:ascii="Verdana" w:hAnsi="Verdana"/>
                <w:sz w:val="18"/>
                <w:szCs w:val="18"/>
              </w:rPr>
              <w:t>503,0</w:t>
            </w:r>
          </w:p>
        </w:tc>
      </w:tr>
      <w:tr w:rsidR="00BB3813" w14:paraId="7C52AB27" w14:textId="77777777" w:rsidTr="005B5FC4">
        <w:trPr>
          <w:trHeight w:val="263"/>
        </w:trPr>
        <w:tc>
          <w:tcPr>
            <w:tcW w:w="4815" w:type="dxa"/>
            <w:vMerge/>
          </w:tcPr>
          <w:p w14:paraId="5C5E39A6" w14:textId="77777777" w:rsidR="00BB3813" w:rsidRDefault="00BB3813" w:rsidP="000C447C">
            <w:pPr>
              <w:spacing w:line="360" w:lineRule="atLeast"/>
              <w:jc w:val="both"/>
              <w:rPr>
                <w:rFonts w:ascii="Verdana" w:hAnsi="Verdana"/>
                <w:sz w:val="21"/>
                <w:szCs w:val="21"/>
              </w:rPr>
            </w:pPr>
          </w:p>
        </w:tc>
        <w:tc>
          <w:tcPr>
            <w:tcW w:w="425" w:type="dxa"/>
            <w:vMerge/>
          </w:tcPr>
          <w:p w14:paraId="25D686F9" w14:textId="77777777" w:rsidR="00BB3813" w:rsidRDefault="00BB3813" w:rsidP="000C447C">
            <w:pPr>
              <w:spacing w:line="360" w:lineRule="atLeast"/>
              <w:jc w:val="both"/>
              <w:rPr>
                <w:rFonts w:ascii="Verdana" w:hAnsi="Verdana"/>
                <w:noProof/>
                <w:sz w:val="21"/>
                <w:szCs w:val="21"/>
              </w:rPr>
            </w:pPr>
          </w:p>
        </w:tc>
        <w:tc>
          <w:tcPr>
            <w:tcW w:w="572" w:type="dxa"/>
            <w:tcBorders>
              <w:top w:val="single" w:sz="4" w:space="0" w:color="auto"/>
              <w:bottom w:val="single" w:sz="4" w:space="0" w:color="auto"/>
            </w:tcBorders>
          </w:tcPr>
          <w:p w14:paraId="40762EAE" w14:textId="77777777" w:rsidR="00BB3813" w:rsidRPr="005B5FC4" w:rsidRDefault="00BB3813" w:rsidP="00617B74">
            <w:pPr>
              <w:jc w:val="both"/>
              <w:rPr>
                <w:rFonts w:ascii="Verdana" w:hAnsi="Verdana"/>
                <w:sz w:val="18"/>
                <w:szCs w:val="18"/>
              </w:rPr>
            </w:pPr>
          </w:p>
        </w:tc>
        <w:tc>
          <w:tcPr>
            <w:tcW w:w="2977" w:type="dxa"/>
            <w:tcBorders>
              <w:top w:val="single" w:sz="4" w:space="0" w:color="auto"/>
              <w:bottom w:val="single" w:sz="4" w:space="0" w:color="auto"/>
            </w:tcBorders>
            <w:vAlign w:val="center"/>
          </w:tcPr>
          <w:p w14:paraId="10E996FD" w14:textId="77777777" w:rsidR="00BB3813" w:rsidRPr="005B5FC4" w:rsidRDefault="00BB3813" w:rsidP="00617B74">
            <w:pPr>
              <w:rPr>
                <w:rFonts w:ascii="Verdana" w:hAnsi="Verdana"/>
                <w:sz w:val="18"/>
                <w:szCs w:val="18"/>
              </w:rPr>
            </w:pPr>
          </w:p>
        </w:tc>
        <w:tc>
          <w:tcPr>
            <w:tcW w:w="1122" w:type="dxa"/>
            <w:tcBorders>
              <w:top w:val="single" w:sz="4" w:space="0" w:color="auto"/>
              <w:bottom w:val="single" w:sz="4" w:space="0" w:color="auto"/>
            </w:tcBorders>
            <w:vAlign w:val="center"/>
          </w:tcPr>
          <w:p w14:paraId="3204C6FD" w14:textId="5D7DDC38" w:rsidR="00BB3813" w:rsidRPr="005B5FC4" w:rsidRDefault="00BB3813" w:rsidP="00617B74">
            <w:pPr>
              <w:jc w:val="right"/>
              <w:rPr>
                <w:rFonts w:ascii="Verdana" w:hAnsi="Verdana"/>
                <w:sz w:val="18"/>
                <w:szCs w:val="18"/>
              </w:rPr>
            </w:pPr>
          </w:p>
        </w:tc>
      </w:tr>
      <w:tr w:rsidR="005B5FC4" w14:paraId="129E77E9" w14:textId="77777777" w:rsidTr="005B5FC4">
        <w:trPr>
          <w:trHeight w:val="277"/>
        </w:trPr>
        <w:tc>
          <w:tcPr>
            <w:tcW w:w="4815" w:type="dxa"/>
            <w:vMerge/>
          </w:tcPr>
          <w:p w14:paraId="0A7CEFCE" w14:textId="77777777" w:rsidR="005B5FC4" w:rsidRDefault="005B5FC4" w:rsidP="000C447C">
            <w:pPr>
              <w:spacing w:line="360" w:lineRule="atLeast"/>
              <w:jc w:val="both"/>
              <w:rPr>
                <w:rFonts w:ascii="Verdana" w:hAnsi="Verdana"/>
                <w:sz w:val="21"/>
                <w:szCs w:val="21"/>
              </w:rPr>
            </w:pPr>
          </w:p>
        </w:tc>
        <w:tc>
          <w:tcPr>
            <w:tcW w:w="425" w:type="dxa"/>
            <w:vMerge/>
            <w:tcBorders>
              <w:right w:val="single" w:sz="4" w:space="0" w:color="auto"/>
            </w:tcBorders>
          </w:tcPr>
          <w:p w14:paraId="76087664" w14:textId="77777777" w:rsidR="005B5FC4" w:rsidRDefault="005B5FC4" w:rsidP="000C447C">
            <w:pPr>
              <w:spacing w:line="360" w:lineRule="atLeast"/>
              <w:jc w:val="both"/>
              <w:rPr>
                <w:rFonts w:ascii="Verdana" w:hAnsi="Verdana"/>
                <w:noProof/>
                <w:sz w:val="21"/>
                <w:szCs w:val="21"/>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4C4C4C"/>
          </w:tcPr>
          <w:p w14:paraId="3DB2E240" w14:textId="7F9DF2C9" w:rsidR="005B5FC4" w:rsidRPr="005B5FC4" w:rsidRDefault="005B5FC4" w:rsidP="00617B74">
            <w:pPr>
              <w:spacing w:before="40" w:after="40" w:line="360" w:lineRule="atLeast"/>
              <w:jc w:val="center"/>
              <w:rPr>
                <w:rFonts w:ascii="Verdana" w:hAnsi="Verdana"/>
                <w:b/>
                <w:bCs/>
                <w:color w:val="FFFFFF" w:themeColor="background1"/>
                <w:sz w:val="18"/>
                <w:szCs w:val="18"/>
              </w:rPr>
            </w:pPr>
            <w:r>
              <w:rPr>
                <w:rFonts w:ascii="Verdana" w:hAnsi="Verdana"/>
                <w:b/>
                <w:bCs/>
                <w:color w:val="FFFFFF" w:themeColor="background1"/>
                <w:sz w:val="18"/>
                <w:szCs w:val="18"/>
              </w:rPr>
              <w:t>Capital Redeemed</w:t>
            </w:r>
          </w:p>
        </w:tc>
      </w:tr>
      <w:tr w:rsidR="005B5FC4" w14:paraId="1342BF04" w14:textId="77777777" w:rsidTr="005B5FC4">
        <w:trPr>
          <w:trHeight w:val="225"/>
        </w:trPr>
        <w:tc>
          <w:tcPr>
            <w:tcW w:w="4815" w:type="dxa"/>
            <w:vMerge/>
          </w:tcPr>
          <w:p w14:paraId="646AE422" w14:textId="77777777" w:rsidR="005B5FC4" w:rsidRDefault="005B5FC4" w:rsidP="005B5FC4">
            <w:pPr>
              <w:spacing w:line="360" w:lineRule="atLeast"/>
              <w:jc w:val="both"/>
              <w:rPr>
                <w:rFonts w:ascii="Verdana" w:hAnsi="Verdana"/>
                <w:sz w:val="21"/>
                <w:szCs w:val="21"/>
              </w:rPr>
            </w:pPr>
          </w:p>
        </w:tc>
        <w:tc>
          <w:tcPr>
            <w:tcW w:w="425" w:type="dxa"/>
            <w:vMerge/>
            <w:tcBorders>
              <w:right w:val="single" w:sz="4" w:space="0" w:color="auto"/>
            </w:tcBorders>
          </w:tcPr>
          <w:p w14:paraId="73BED8EB"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41F1408D" w14:textId="70A3A003" w:rsidR="005B5FC4" w:rsidRPr="005B5FC4" w:rsidRDefault="005B5FC4" w:rsidP="00617B74">
            <w:pPr>
              <w:spacing w:line="320" w:lineRule="atLeast"/>
              <w:jc w:val="both"/>
              <w:rPr>
                <w:rFonts w:ascii="Verdana" w:hAnsi="Verdana"/>
                <w:sz w:val="18"/>
                <w:szCs w:val="18"/>
              </w:rPr>
            </w:pPr>
            <w:r>
              <w:rPr>
                <w:rFonts w:ascii="Verdana" w:hAnsi="Verdana"/>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5F4641CE" w14:textId="59FF6BEA" w:rsidR="005B5FC4" w:rsidRPr="005B5FC4" w:rsidRDefault="005B5FC4" w:rsidP="00050A63">
            <w:pPr>
              <w:spacing w:line="320" w:lineRule="atLeast"/>
              <w:rPr>
                <w:rFonts w:ascii="Verdana" w:hAnsi="Verdana"/>
                <w:sz w:val="18"/>
                <w:szCs w:val="18"/>
              </w:rPr>
            </w:pPr>
            <w:r>
              <w:rPr>
                <w:rFonts w:ascii="Verdana" w:hAnsi="Verdana"/>
                <w:sz w:val="18"/>
                <w:szCs w:val="18"/>
              </w:rPr>
              <w:t>1nvest Platinum ETF</w:t>
            </w:r>
          </w:p>
        </w:tc>
        <w:tc>
          <w:tcPr>
            <w:tcW w:w="1122" w:type="dxa"/>
            <w:tcBorders>
              <w:top w:val="single" w:sz="4" w:space="0" w:color="auto"/>
              <w:left w:val="single" w:sz="4" w:space="0" w:color="auto"/>
              <w:bottom w:val="single" w:sz="4" w:space="0" w:color="auto"/>
              <w:right w:val="single" w:sz="4" w:space="0" w:color="auto"/>
            </w:tcBorders>
            <w:vAlign w:val="center"/>
          </w:tcPr>
          <w:p w14:paraId="7B94B723" w14:textId="1E385765" w:rsidR="005B5FC4" w:rsidRPr="005B5FC4" w:rsidRDefault="005B5FC4" w:rsidP="00617B74">
            <w:pPr>
              <w:spacing w:line="320" w:lineRule="atLeast"/>
              <w:jc w:val="right"/>
              <w:rPr>
                <w:rFonts w:ascii="Verdana" w:hAnsi="Verdana"/>
                <w:sz w:val="18"/>
                <w:szCs w:val="18"/>
              </w:rPr>
            </w:pPr>
            <w:r>
              <w:rPr>
                <w:rFonts w:ascii="Verdana" w:hAnsi="Verdana"/>
                <w:sz w:val="18"/>
                <w:szCs w:val="18"/>
              </w:rPr>
              <w:t>(2</w:t>
            </w:r>
            <w:r w:rsidR="009542C9">
              <w:rPr>
                <w:rFonts w:ascii="Verdana" w:hAnsi="Verdana"/>
                <w:sz w:val="18"/>
                <w:szCs w:val="18"/>
              </w:rPr>
              <w:t> </w:t>
            </w:r>
            <w:r>
              <w:rPr>
                <w:rFonts w:ascii="Verdana" w:hAnsi="Verdana"/>
                <w:sz w:val="18"/>
                <w:szCs w:val="18"/>
              </w:rPr>
              <w:t>469</w:t>
            </w:r>
            <w:r w:rsidR="009542C9">
              <w:rPr>
                <w:rFonts w:ascii="Verdana" w:hAnsi="Verdana"/>
                <w:sz w:val="18"/>
                <w:szCs w:val="18"/>
              </w:rPr>
              <w:t>,0</w:t>
            </w:r>
            <w:r>
              <w:rPr>
                <w:rFonts w:ascii="Verdana" w:hAnsi="Verdana"/>
                <w:sz w:val="18"/>
                <w:szCs w:val="18"/>
              </w:rPr>
              <w:t>)</w:t>
            </w:r>
          </w:p>
        </w:tc>
      </w:tr>
      <w:tr w:rsidR="005B5FC4" w14:paraId="1AD5179B" w14:textId="77777777" w:rsidTr="005B5FC4">
        <w:trPr>
          <w:trHeight w:val="225"/>
        </w:trPr>
        <w:tc>
          <w:tcPr>
            <w:tcW w:w="4815" w:type="dxa"/>
            <w:vMerge/>
          </w:tcPr>
          <w:p w14:paraId="06294432" w14:textId="77777777" w:rsidR="005B5FC4" w:rsidRDefault="005B5FC4" w:rsidP="005B5FC4">
            <w:pPr>
              <w:spacing w:line="360" w:lineRule="atLeast"/>
              <w:jc w:val="both"/>
              <w:rPr>
                <w:rFonts w:ascii="Verdana" w:hAnsi="Verdana"/>
                <w:sz w:val="21"/>
                <w:szCs w:val="21"/>
              </w:rPr>
            </w:pPr>
          </w:p>
        </w:tc>
        <w:tc>
          <w:tcPr>
            <w:tcW w:w="425" w:type="dxa"/>
            <w:vMerge/>
            <w:tcBorders>
              <w:right w:val="single" w:sz="4" w:space="0" w:color="auto"/>
            </w:tcBorders>
          </w:tcPr>
          <w:p w14:paraId="7829E20A"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79D19C74" w14:textId="503E8F9F" w:rsidR="005B5FC4" w:rsidRPr="005B5FC4" w:rsidRDefault="005B5FC4" w:rsidP="00617B74">
            <w:pPr>
              <w:spacing w:line="320" w:lineRule="atLeast"/>
              <w:jc w:val="both"/>
              <w:rPr>
                <w:rFonts w:ascii="Verdana" w:hAnsi="Verdana"/>
                <w:sz w:val="18"/>
                <w:szCs w:val="18"/>
              </w:rPr>
            </w:pPr>
            <w:r>
              <w:rPr>
                <w:rFonts w:ascii="Verdana" w:hAnsi="Verdana"/>
                <w:sz w:val="18"/>
                <w:szCs w:val="18"/>
              </w:rPr>
              <w:t>2.</w:t>
            </w:r>
          </w:p>
        </w:tc>
        <w:tc>
          <w:tcPr>
            <w:tcW w:w="2977" w:type="dxa"/>
            <w:tcBorders>
              <w:top w:val="single" w:sz="4" w:space="0" w:color="auto"/>
              <w:left w:val="single" w:sz="4" w:space="0" w:color="auto"/>
              <w:bottom w:val="single" w:sz="4" w:space="0" w:color="auto"/>
              <w:right w:val="single" w:sz="4" w:space="0" w:color="auto"/>
            </w:tcBorders>
          </w:tcPr>
          <w:p w14:paraId="796C1409" w14:textId="76B84FCB" w:rsidR="005B5FC4" w:rsidRPr="005B5FC4" w:rsidRDefault="005B5FC4" w:rsidP="00050A63">
            <w:pPr>
              <w:spacing w:line="320" w:lineRule="atLeast"/>
              <w:rPr>
                <w:rFonts w:ascii="Verdana" w:hAnsi="Verdana"/>
                <w:sz w:val="18"/>
                <w:szCs w:val="18"/>
              </w:rPr>
            </w:pPr>
            <w:r>
              <w:rPr>
                <w:rFonts w:ascii="Verdana" w:hAnsi="Verdana"/>
                <w:sz w:val="18"/>
                <w:szCs w:val="18"/>
              </w:rPr>
              <w:t>NewGold Platinum ETF</w:t>
            </w:r>
          </w:p>
        </w:tc>
        <w:tc>
          <w:tcPr>
            <w:tcW w:w="1122" w:type="dxa"/>
            <w:tcBorders>
              <w:top w:val="single" w:sz="4" w:space="0" w:color="auto"/>
              <w:left w:val="single" w:sz="4" w:space="0" w:color="auto"/>
              <w:bottom w:val="single" w:sz="4" w:space="0" w:color="auto"/>
              <w:right w:val="single" w:sz="4" w:space="0" w:color="auto"/>
            </w:tcBorders>
            <w:vAlign w:val="center"/>
          </w:tcPr>
          <w:p w14:paraId="42498DE3" w14:textId="26AE05CD" w:rsidR="005B5FC4" w:rsidRPr="005B5FC4" w:rsidRDefault="005B5FC4" w:rsidP="00617B74">
            <w:pPr>
              <w:spacing w:line="320" w:lineRule="atLeast"/>
              <w:jc w:val="right"/>
              <w:rPr>
                <w:rFonts w:ascii="Verdana" w:hAnsi="Verdana"/>
                <w:sz w:val="18"/>
                <w:szCs w:val="18"/>
              </w:rPr>
            </w:pPr>
            <w:r>
              <w:rPr>
                <w:rFonts w:ascii="Verdana" w:hAnsi="Verdana"/>
                <w:sz w:val="18"/>
                <w:szCs w:val="18"/>
              </w:rPr>
              <w:t>(962,1)</w:t>
            </w:r>
          </w:p>
        </w:tc>
      </w:tr>
      <w:tr w:rsidR="005B5FC4" w14:paraId="339C46B1" w14:textId="77777777" w:rsidTr="005B5FC4">
        <w:trPr>
          <w:trHeight w:val="225"/>
        </w:trPr>
        <w:tc>
          <w:tcPr>
            <w:tcW w:w="4815" w:type="dxa"/>
            <w:vMerge/>
          </w:tcPr>
          <w:p w14:paraId="20B6FFB0" w14:textId="77777777" w:rsidR="005B5FC4" w:rsidRDefault="005B5FC4" w:rsidP="005B5FC4">
            <w:pPr>
              <w:spacing w:line="360" w:lineRule="atLeast"/>
              <w:jc w:val="both"/>
              <w:rPr>
                <w:rFonts w:ascii="Verdana" w:hAnsi="Verdana"/>
                <w:sz w:val="21"/>
                <w:szCs w:val="21"/>
              </w:rPr>
            </w:pPr>
          </w:p>
        </w:tc>
        <w:tc>
          <w:tcPr>
            <w:tcW w:w="425" w:type="dxa"/>
            <w:vMerge/>
            <w:tcBorders>
              <w:right w:val="single" w:sz="4" w:space="0" w:color="auto"/>
            </w:tcBorders>
          </w:tcPr>
          <w:p w14:paraId="277BB3DE"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4FB01693" w14:textId="0B189C69" w:rsidR="005B5FC4" w:rsidRPr="005B5FC4" w:rsidRDefault="005B5FC4" w:rsidP="00617B74">
            <w:pPr>
              <w:spacing w:line="320" w:lineRule="atLeast"/>
              <w:jc w:val="both"/>
              <w:rPr>
                <w:rFonts w:ascii="Verdana" w:hAnsi="Verdana"/>
                <w:sz w:val="18"/>
                <w:szCs w:val="18"/>
              </w:rPr>
            </w:pPr>
            <w:r>
              <w:rPr>
                <w:rFonts w:ascii="Verdana" w:hAnsi="Verdana"/>
                <w:sz w:val="18"/>
                <w:szCs w:val="18"/>
              </w:rPr>
              <w:t>3.</w:t>
            </w:r>
          </w:p>
        </w:tc>
        <w:tc>
          <w:tcPr>
            <w:tcW w:w="2977" w:type="dxa"/>
            <w:tcBorders>
              <w:top w:val="single" w:sz="4" w:space="0" w:color="auto"/>
              <w:left w:val="single" w:sz="4" w:space="0" w:color="auto"/>
              <w:bottom w:val="single" w:sz="4" w:space="0" w:color="auto"/>
              <w:right w:val="single" w:sz="4" w:space="0" w:color="auto"/>
            </w:tcBorders>
          </w:tcPr>
          <w:p w14:paraId="315EF7D2" w14:textId="3315FDC9" w:rsidR="005B5FC4" w:rsidRPr="005B5FC4" w:rsidRDefault="005B5FC4" w:rsidP="00050A63">
            <w:pPr>
              <w:spacing w:line="320" w:lineRule="atLeast"/>
              <w:rPr>
                <w:rFonts w:ascii="Verdana" w:hAnsi="Verdana"/>
                <w:sz w:val="18"/>
                <w:szCs w:val="18"/>
              </w:rPr>
            </w:pPr>
            <w:r>
              <w:rPr>
                <w:rFonts w:ascii="Verdana" w:hAnsi="Verdana"/>
                <w:sz w:val="18"/>
                <w:szCs w:val="18"/>
              </w:rPr>
              <w:t>NewGold ETF</w:t>
            </w:r>
          </w:p>
        </w:tc>
        <w:tc>
          <w:tcPr>
            <w:tcW w:w="1122" w:type="dxa"/>
            <w:tcBorders>
              <w:top w:val="single" w:sz="4" w:space="0" w:color="auto"/>
              <w:left w:val="single" w:sz="4" w:space="0" w:color="auto"/>
              <w:bottom w:val="single" w:sz="4" w:space="0" w:color="auto"/>
              <w:right w:val="single" w:sz="4" w:space="0" w:color="auto"/>
            </w:tcBorders>
            <w:vAlign w:val="center"/>
          </w:tcPr>
          <w:p w14:paraId="2355F4C7" w14:textId="68FB2C24" w:rsidR="005B5FC4" w:rsidRPr="005B5FC4" w:rsidRDefault="005B5FC4" w:rsidP="00617B74">
            <w:pPr>
              <w:spacing w:line="320" w:lineRule="atLeast"/>
              <w:jc w:val="right"/>
              <w:rPr>
                <w:rFonts w:ascii="Verdana" w:hAnsi="Verdana"/>
                <w:sz w:val="18"/>
                <w:szCs w:val="18"/>
              </w:rPr>
            </w:pPr>
            <w:r>
              <w:rPr>
                <w:rFonts w:ascii="Verdana" w:hAnsi="Verdana"/>
                <w:sz w:val="18"/>
                <w:szCs w:val="18"/>
              </w:rPr>
              <w:t>(814,8)</w:t>
            </w:r>
          </w:p>
        </w:tc>
      </w:tr>
      <w:tr w:rsidR="005B5FC4" w14:paraId="69CD624A" w14:textId="77777777" w:rsidTr="005B5FC4">
        <w:trPr>
          <w:trHeight w:val="225"/>
        </w:trPr>
        <w:tc>
          <w:tcPr>
            <w:tcW w:w="4815" w:type="dxa"/>
            <w:vMerge/>
          </w:tcPr>
          <w:p w14:paraId="39359BC2" w14:textId="77777777" w:rsidR="005B5FC4" w:rsidRDefault="005B5FC4" w:rsidP="005B5FC4">
            <w:pPr>
              <w:spacing w:line="360" w:lineRule="atLeast"/>
              <w:jc w:val="both"/>
              <w:rPr>
                <w:rFonts w:ascii="Verdana" w:hAnsi="Verdana"/>
                <w:sz w:val="21"/>
                <w:szCs w:val="21"/>
              </w:rPr>
            </w:pPr>
          </w:p>
        </w:tc>
        <w:tc>
          <w:tcPr>
            <w:tcW w:w="425" w:type="dxa"/>
            <w:vMerge/>
            <w:tcBorders>
              <w:right w:val="single" w:sz="4" w:space="0" w:color="auto"/>
            </w:tcBorders>
          </w:tcPr>
          <w:p w14:paraId="58A52C2E"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539CBE38" w14:textId="4A350CDC" w:rsidR="005B5FC4" w:rsidRPr="005B5FC4" w:rsidRDefault="005B5FC4" w:rsidP="00617B74">
            <w:pPr>
              <w:spacing w:line="320" w:lineRule="atLeast"/>
              <w:jc w:val="both"/>
              <w:rPr>
                <w:rFonts w:ascii="Verdana" w:hAnsi="Verdana"/>
                <w:sz w:val="18"/>
                <w:szCs w:val="18"/>
              </w:rPr>
            </w:pPr>
            <w:r>
              <w:rPr>
                <w:rFonts w:ascii="Verdana" w:hAnsi="Verdana"/>
                <w:sz w:val="18"/>
                <w:szCs w:val="18"/>
              </w:rPr>
              <w:t>4.</w:t>
            </w:r>
          </w:p>
        </w:tc>
        <w:tc>
          <w:tcPr>
            <w:tcW w:w="2977" w:type="dxa"/>
            <w:tcBorders>
              <w:top w:val="single" w:sz="4" w:space="0" w:color="auto"/>
              <w:left w:val="single" w:sz="4" w:space="0" w:color="auto"/>
              <w:bottom w:val="single" w:sz="4" w:space="0" w:color="auto"/>
              <w:right w:val="single" w:sz="4" w:space="0" w:color="auto"/>
            </w:tcBorders>
          </w:tcPr>
          <w:p w14:paraId="3F3A5E8F" w14:textId="61161126" w:rsidR="005B5FC4" w:rsidRPr="005B5FC4" w:rsidRDefault="005B5FC4" w:rsidP="00050A63">
            <w:pPr>
              <w:spacing w:line="320" w:lineRule="atLeast"/>
              <w:rPr>
                <w:rFonts w:ascii="Verdana" w:hAnsi="Verdana"/>
                <w:sz w:val="18"/>
                <w:szCs w:val="18"/>
              </w:rPr>
            </w:pPr>
            <w:r>
              <w:rPr>
                <w:rFonts w:ascii="Verdana" w:hAnsi="Verdana"/>
                <w:sz w:val="18"/>
                <w:szCs w:val="18"/>
              </w:rPr>
              <w:t xml:space="preserve">Standard Bank </w:t>
            </w:r>
            <w:r w:rsidR="00050A63">
              <w:rPr>
                <w:rFonts w:ascii="Verdana" w:hAnsi="Verdana"/>
                <w:sz w:val="18"/>
                <w:szCs w:val="18"/>
              </w:rPr>
              <w:t xml:space="preserve">Oil </w:t>
            </w:r>
            <w:r>
              <w:rPr>
                <w:rFonts w:ascii="Verdana" w:hAnsi="Verdana"/>
                <w:sz w:val="18"/>
                <w:szCs w:val="18"/>
              </w:rPr>
              <w:t>ETN (delisting)</w:t>
            </w:r>
          </w:p>
        </w:tc>
        <w:tc>
          <w:tcPr>
            <w:tcW w:w="1122" w:type="dxa"/>
            <w:tcBorders>
              <w:top w:val="single" w:sz="4" w:space="0" w:color="auto"/>
              <w:left w:val="single" w:sz="4" w:space="0" w:color="auto"/>
              <w:bottom w:val="single" w:sz="4" w:space="0" w:color="auto"/>
              <w:right w:val="single" w:sz="4" w:space="0" w:color="auto"/>
            </w:tcBorders>
            <w:vAlign w:val="center"/>
          </w:tcPr>
          <w:p w14:paraId="3D4A6339" w14:textId="4742B0F4" w:rsidR="005B5FC4" w:rsidRPr="005B5FC4" w:rsidRDefault="005B5FC4" w:rsidP="00617B74">
            <w:pPr>
              <w:spacing w:line="320" w:lineRule="atLeast"/>
              <w:jc w:val="right"/>
              <w:rPr>
                <w:rFonts w:ascii="Verdana" w:hAnsi="Verdana"/>
                <w:sz w:val="18"/>
                <w:szCs w:val="18"/>
              </w:rPr>
            </w:pPr>
            <w:r>
              <w:rPr>
                <w:rFonts w:ascii="Verdana" w:hAnsi="Verdana"/>
                <w:sz w:val="18"/>
                <w:szCs w:val="18"/>
              </w:rPr>
              <w:t>(707,2)</w:t>
            </w:r>
          </w:p>
        </w:tc>
      </w:tr>
      <w:tr w:rsidR="005B5FC4" w14:paraId="35BF3308" w14:textId="77777777" w:rsidTr="005B5FC4">
        <w:trPr>
          <w:trHeight w:val="225"/>
        </w:trPr>
        <w:tc>
          <w:tcPr>
            <w:tcW w:w="4815" w:type="dxa"/>
            <w:vMerge/>
          </w:tcPr>
          <w:p w14:paraId="404A46D2" w14:textId="77777777" w:rsidR="005B5FC4" w:rsidRDefault="005B5FC4" w:rsidP="005B5FC4">
            <w:pPr>
              <w:spacing w:line="360" w:lineRule="atLeast"/>
              <w:jc w:val="both"/>
              <w:rPr>
                <w:rFonts w:ascii="Verdana" w:hAnsi="Verdana"/>
                <w:sz w:val="21"/>
                <w:szCs w:val="21"/>
              </w:rPr>
            </w:pPr>
          </w:p>
        </w:tc>
        <w:tc>
          <w:tcPr>
            <w:tcW w:w="425" w:type="dxa"/>
            <w:vMerge/>
            <w:tcBorders>
              <w:right w:val="single" w:sz="4" w:space="0" w:color="auto"/>
            </w:tcBorders>
          </w:tcPr>
          <w:p w14:paraId="7C8BAEF7"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15C44147" w14:textId="703B2DE8" w:rsidR="005B5FC4" w:rsidRPr="005B5FC4" w:rsidRDefault="005B5FC4" w:rsidP="00617B74">
            <w:pPr>
              <w:spacing w:line="320" w:lineRule="atLeast"/>
              <w:jc w:val="both"/>
              <w:rPr>
                <w:rFonts w:ascii="Verdana" w:hAnsi="Verdana"/>
                <w:sz w:val="18"/>
                <w:szCs w:val="18"/>
              </w:rPr>
            </w:pPr>
            <w:r>
              <w:rPr>
                <w:rFonts w:ascii="Verdana" w:hAnsi="Verdana"/>
                <w:sz w:val="18"/>
                <w:szCs w:val="18"/>
              </w:rPr>
              <w:t>5.</w:t>
            </w:r>
          </w:p>
        </w:tc>
        <w:tc>
          <w:tcPr>
            <w:tcW w:w="2977" w:type="dxa"/>
            <w:tcBorders>
              <w:top w:val="single" w:sz="4" w:space="0" w:color="auto"/>
              <w:left w:val="single" w:sz="4" w:space="0" w:color="auto"/>
              <w:bottom w:val="single" w:sz="4" w:space="0" w:color="auto"/>
              <w:right w:val="single" w:sz="4" w:space="0" w:color="auto"/>
            </w:tcBorders>
          </w:tcPr>
          <w:p w14:paraId="25090AE6" w14:textId="54307890" w:rsidR="005B5FC4" w:rsidRPr="005B5FC4" w:rsidRDefault="005B5FC4" w:rsidP="00050A63">
            <w:pPr>
              <w:spacing w:line="320" w:lineRule="atLeast"/>
              <w:rPr>
                <w:rFonts w:ascii="Verdana" w:hAnsi="Verdana"/>
                <w:sz w:val="18"/>
                <w:szCs w:val="18"/>
              </w:rPr>
            </w:pPr>
            <w:r>
              <w:rPr>
                <w:rFonts w:ascii="Verdana" w:hAnsi="Verdana"/>
                <w:sz w:val="18"/>
                <w:szCs w:val="18"/>
              </w:rPr>
              <w:t>1nvest Gold ETF</w:t>
            </w:r>
          </w:p>
        </w:tc>
        <w:tc>
          <w:tcPr>
            <w:tcW w:w="1122" w:type="dxa"/>
            <w:tcBorders>
              <w:top w:val="single" w:sz="4" w:space="0" w:color="auto"/>
              <w:left w:val="single" w:sz="4" w:space="0" w:color="auto"/>
              <w:bottom w:val="single" w:sz="4" w:space="0" w:color="auto"/>
              <w:right w:val="single" w:sz="4" w:space="0" w:color="auto"/>
            </w:tcBorders>
            <w:vAlign w:val="center"/>
          </w:tcPr>
          <w:p w14:paraId="66F3E5AE" w14:textId="15D25B8B" w:rsidR="005B5FC4" w:rsidRPr="005B5FC4" w:rsidRDefault="005B5FC4" w:rsidP="00617B74">
            <w:pPr>
              <w:spacing w:line="320" w:lineRule="atLeast"/>
              <w:jc w:val="right"/>
              <w:rPr>
                <w:rFonts w:ascii="Verdana" w:hAnsi="Verdana"/>
                <w:sz w:val="18"/>
                <w:szCs w:val="18"/>
              </w:rPr>
            </w:pPr>
            <w:r>
              <w:rPr>
                <w:rFonts w:ascii="Verdana" w:hAnsi="Verdana"/>
                <w:sz w:val="18"/>
                <w:szCs w:val="18"/>
              </w:rPr>
              <w:t>(492,9)</w:t>
            </w:r>
          </w:p>
        </w:tc>
      </w:tr>
      <w:tr w:rsidR="005B5FC4" w14:paraId="75B14F74" w14:textId="77777777" w:rsidTr="00617B74">
        <w:trPr>
          <w:trHeight w:val="225"/>
        </w:trPr>
        <w:tc>
          <w:tcPr>
            <w:tcW w:w="4815" w:type="dxa"/>
            <w:vMerge/>
          </w:tcPr>
          <w:p w14:paraId="78121916" w14:textId="77777777" w:rsidR="005B5FC4" w:rsidRDefault="005B5FC4" w:rsidP="005B5FC4">
            <w:pPr>
              <w:spacing w:line="360" w:lineRule="atLeast"/>
              <w:jc w:val="both"/>
              <w:rPr>
                <w:rFonts w:ascii="Verdana" w:hAnsi="Verdana"/>
                <w:sz w:val="21"/>
                <w:szCs w:val="21"/>
              </w:rPr>
            </w:pPr>
          </w:p>
        </w:tc>
        <w:tc>
          <w:tcPr>
            <w:tcW w:w="425" w:type="dxa"/>
            <w:vMerge/>
            <w:tcBorders>
              <w:right w:val="single" w:sz="4" w:space="0" w:color="auto"/>
            </w:tcBorders>
          </w:tcPr>
          <w:p w14:paraId="69594864"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left w:val="single" w:sz="4" w:space="0" w:color="auto"/>
              <w:bottom w:val="single" w:sz="4" w:space="0" w:color="auto"/>
              <w:right w:val="single" w:sz="4" w:space="0" w:color="auto"/>
            </w:tcBorders>
          </w:tcPr>
          <w:p w14:paraId="213B17A5" w14:textId="295D2341" w:rsidR="005B5FC4" w:rsidRPr="005B5FC4" w:rsidRDefault="005B5FC4" w:rsidP="00617B74">
            <w:pPr>
              <w:spacing w:line="320" w:lineRule="atLeast"/>
              <w:jc w:val="both"/>
              <w:rPr>
                <w:rFonts w:ascii="Verdana" w:hAnsi="Verdana"/>
                <w:sz w:val="18"/>
                <w:szCs w:val="18"/>
              </w:rPr>
            </w:pPr>
            <w:r>
              <w:rPr>
                <w:rFonts w:ascii="Verdana" w:hAnsi="Verdana"/>
                <w:sz w:val="18"/>
                <w:szCs w:val="18"/>
              </w:rPr>
              <w:t>6.</w:t>
            </w:r>
          </w:p>
        </w:tc>
        <w:tc>
          <w:tcPr>
            <w:tcW w:w="2977" w:type="dxa"/>
            <w:tcBorders>
              <w:top w:val="single" w:sz="4" w:space="0" w:color="auto"/>
              <w:left w:val="single" w:sz="4" w:space="0" w:color="auto"/>
              <w:bottom w:val="single" w:sz="4" w:space="0" w:color="auto"/>
              <w:right w:val="single" w:sz="4" w:space="0" w:color="auto"/>
            </w:tcBorders>
          </w:tcPr>
          <w:p w14:paraId="7306DD52" w14:textId="352E2745" w:rsidR="005B5FC4" w:rsidRPr="005B5FC4" w:rsidRDefault="005B5FC4" w:rsidP="00050A63">
            <w:pPr>
              <w:spacing w:line="320" w:lineRule="atLeast"/>
              <w:rPr>
                <w:rFonts w:ascii="Verdana" w:hAnsi="Verdana"/>
                <w:sz w:val="18"/>
                <w:szCs w:val="18"/>
              </w:rPr>
            </w:pPr>
            <w:r>
              <w:rPr>
                <w:rFonts w:ascii="Verdana" w:hAnsi="Verdana"/>
                <w:sz w:val="18"/>
                <w:szCs w:val="18"/>
              </w:rPr>
              <w:t>1nvest Rhodium ETF</w:t>
            </w:r>
          </w:p>
        </w:tc>
        <w:tc>
          <w:tcPr>
            <w:tcW w:w="1122" w:type="dxa"/>
            <w:tcBorders>
              <w:top w:val="single" w:sz="4" w:space="0" w:color="auto"/>
              <w:left w:val="single" w:sz="4" w:space="0" w:color="auto"/>
              <w:bottom w:val="single" w:sz="4" w:space="0" w:color="auto"/>
              <w:right w:val="single" w:sz="4" w:space="0" w:color="auto"/>
            </w:tcBorders>
            <w:vAlign w:val="center"/>
          </w:tcPr>
          <w:p w14:paraId="69657E75" w14:textId="0268754E" w:rsidR="005B5FC4" w:rsidRPr="005B5FC4" w:rsidRDefault="005B5FC4" w:rsidP="00617B74">
            <w:pPr>
              <w:spacing w:line="320" w:lineRule="atLeast"/>
              <w:jc w:val="right"/>
              <w:rPr>
                <w:rFonts w:ascii="Verdana" w:hAnsi="Verdana"/>
                <w:sz w:val="18"/>
                <w:szCs w:val="18"/>
              </w:rPr>
            </w:pPr>
            <w:r>
              <w:rPr>
                <w:rFonts w:ascii="Verdana" w:hAnsi="Verdana"/>
                <w:sz w:val="18"/>
                <w:szCs w:val="18"/>
              </w:rPr>
              <w:t>(428,1)</w:t>
            </w:r>
          </w:p>
        </w:tc>
      </w:tr>
      <w:tr w:rsidR="005B5FC4" w14:paraId="338140DA" w14:textId="77777777" w:rsidTr="00617B74">
        <w:trPr>
          <w:trHeight w:val="251"/>
        </w:trPr>
        <w:tc>
          <w:tcPr>
            <w:tcW w:w="4815" w:type="dxa"/>
            <w:vMerge/>
          </w:tcPr>
          <w:p w14:paraId="02A6B554" w14:textId="77777777" w:rsidR="005B5FC4" w:rsidRDefault="005B5FC4" w:rsidP="005B5FC4">
            <w:pPr>
              <w:spacing w:line="360" w:lineRule="atLeast"/>
              <w:jc w:val="both"/>
              <w:rPr>
                <w:rFonts w:ascii="Verdana" w:hAnsi="Verdana"/>
                <w:sz w:val="21"/>
                <w:szCs w:val="21"/>
              </w:rPr>
            </w:pPr>
          </w:p>
        </w:tc>
        <w:tc>
          <w:tcPr>
            <w:tcW w:w="425" w:type="dxa"/>
            <w:vMerge/>
          </w:tcPr>
          <w:p w14:paraId="508705D2" w14:textId="77777777" w:rsidR="005B5FC4" w:rsidRDefault="005B5FC4" w:rsidP="005B5FC4">
            <w:pPr>
              <w:spacing w:line="360" w:lineRule="atLeast"/>
              <w:jc w:val="both"/>
              <w:rPr>
                <w:rFonts w:ascii="Verdana" w:hAnsi="Verdana"/>
                <w:noProof/>
                <w:sz w:val="21"/>
                <w:szCs w:val="21"/>
              </w:rPr>
            </w:pPr>
          </w:p>
        </w:tc>
        <w:tc>
          <w:tcPr>
            <w:tcW w:w="572" w:type="dxa"/>
            <w:tcBorders>
              <w:top w:val="single" w:sz="4" w:space="0" w:color="auto"/>
            </w:tcBorders>
          </w:tcPr>
          <w:p w14:paraId="360CB872" w14:textId="77777777" w:rsidR="005B5FC4" w:rsidRDefault="005B5FC4" w:rsidP="00617B74">
            <w:pPr>
              <w:jc w:val="both"/>
              <w:rPr>
                <w:rFonts w:ascii="Verdana" w:hAnsi="Verdana"/>
                <w:sz w:val="21"/>
                <w:szCs w:val="21"/>
              </w:rPr>
            </w:pPr>
          </w:p>
        </w:tc>
        <w:tc>
          <w:tcPr>
            <w:tcW w:w="2977" w:type="dxa"/>
            <w:tcBorders>
              <w:top w:val="single" w:sz="4" w:space="0" w:color="auto"/>
            </w:tcBorders>
          </w:tcPr>
          <w:p w14:paraId="210CCAED" w14:textId="77777777" w:rsidR="005B5FC4" w:rsidRDefault="005B5FC4" w:rsidP="00617B74">
            <w:pPr>
              <w:jc w:val="both"/>
              <w:rPr>
                <w:rFonts w:ascii="Verdana" w:hAnsi="Verdana"/>
                <w:sz w:val="21"/>
                <w:szCs w:val="21"/>
              </w:rPr>
            </w:pPr>
          </w:p>
        </w:tc>
        <w:tc>
          <w:tcPr>
            <w:tcW w:w="1122" w:type="dxa"/>
            <w:tcBorders>
              <w:top w:val="single" w:sz="4" w:space="0" w:color="auto"/>
            </w:tcBorders>
          </w:tcPr>
          <w:p w14:paraId="66F72CDE" w14:textId="55298CD5" w:rsidR="005B5FC4" w:rsidRDefault="005B5FC4" w:rsidP="00617B74">
            <w:pPr>
              <w:jc w:val="both"/>
              <w:rPr>
                <w:rFonts w:ascii="Verdana" w:hAnsi="Verdana"/>
                <w:sz w:val="21"/>
                <w:szCs w:val="21"/>
              </w:rPr>
            </w:pPr>
          </w:p>
        </w:tc>
      </w:tr>
      <w:tr w:rsidR="005B5FC4" w14:paraId="48F734FB" w14:textId="77777777" w:rsidTr="00617B74">
        <w:trPr>
          <w:trHeight w:val="441"/>
        </w:trPr>
        <w:tc>
          <w:tcPr>
            <w:tcW w:w="4815" w:type="dxa"/>
            <w:vMerge/>
          </w:tcPr>
          <w:p w14:paraId="6788E309" w14:textId="77777777" w:rsidR="005B5FC4" w:rsidRDefault="005B5FC4" w:rsidP="005B5FC4">
            <w:pPr>
              <w:spacing w:line="360" w:lineRule="atLeast"/>
              <w:jc w:val="both"/>
              <w:rPr>
                <w:rFonts w:ascii="Verdana" w:hAnsi="Verdana"/>
                <w:sz w:val="21"/>
                <w:szCs w:val="21"/>
              </w:rPr>
            </w:pPr>
          </w:p>
        </w:tc>
        <w:tc>
          <w:tcPr>
            <w:tcW w:w="425" w:type="dxa"/>
            <w:vMerge/>
          </w:tcPr>
          <w:p w14:paraId="097AC6CF" w14:textId="77777777" w:rsidR="005B5FC4" w:rsidRDefault="005B5FC4" w:rsidP="005B5FC4">
            <w:pPr>
              <w:spacing w:line="360" w:lineRule="atLeast"/>
              <w:jc w:val="both"/>
              <w:rPr>
                <w:rFonts w:ascii="Verdana" w:hAnsi="Verdana"/>
                <w:noProof/>
                <w:sz w:val="21"/>
                <w:szCs w:val="21"/>
              </w:rPr>
            </w:pPr>
          </w:p>
        </w:tc>
        <w:tc>
          <w:tcPr>
            <w:tcW w:w="4671" w:type="dxa"/>
            <w:gridSpan w:val="3"/>
          </w:tcPr>
          <w:p w14:paraId="4629B450" w14:textId="78DCC932" w:rsidR="005B5FC4" w:rsidRDefault="00617B74" w:rsidP="00617B74">
            <w:pPr>
              <w:spacing w:line="400" w:lineRule="atLeast"/>
              <w:jc w:val="both"/>
              <w:rPr>
                <w:rFonts w:ascii="Verdana" w:hAnsi="Verdana"/>
                <w:sz w:val="21"/>
                <w:szCs w:val="21"/>
              </w:rPr>
            </w:pPr>
            <w:r>
              <w:rPr>
                <w:rFonts w:ascii="Verdana" w:hAnsi="Verdana"/>
                <w:sz w:val="21"/>
                <w:szCs w:val="21"/>
              </w:rPr>
              <w:t xml:space="preserve">The individual securities listing/delisting rankings table shows that the winners have been </w:t>
            </w:r>
            <w:r w:rsidR="009542C9">
              <w:rPr>
                <w:rFonts w:ascii="Verdana" w:hAnsi="Verdana"/>
                <w:sz w:val="21"/>
                <w:szCs w:val="21"/>
              </w:rPr>
              <w:t xml:space="preserve">typically </w:t>
            </w:r>
            <w:r>
              <w:rPr>
                <w:rFonts w:ascii="Verdana" w:hAnsi="Verdana"/>
                <w:sz w:val="21"/>
                <w:szCs w:val="21"/>
              </w:rPr>
              <w:t xml:space="preserve">foreign referenced </w:t>
            </w:r>
            <w:r w:rsidR="009542C9">
              <w:rPr>
                <w:rFonts w:ascii="Verdana" w:hAnsi="Verdana"/>
                <w:sz w:val="21"/>
                <w:szCs w:val="21"/>
              </w:rPr>
              <w:t xml:space="preserve">equity </w:t>
            </w:r>
            <w:r>
              <w:rPr>
                <w:rFonts w:ascii="Verdana" w:hAnsi="Verdana"/>
                <w:sz w:val="21"/>
                <w:szCs w:val="21"/>
              </w:rPr>
              <w:t>ETPs and the losers, foreign referenced commodity-based ETPs.</w:t>
            </w:r>
          </w:p>
        </w:tc>
      </w:tr>
    </w:tbl>
    <w:p w14:paraId="133A4A00" w14:textId="77777777" w:rsidR="00617B74" w:rsidRDefault="00617B74" w:rsidP="00D653E2">
      <w:pPr>
        <w:rPr>
          <w:rFonts w:ascii="Verdana" w:hAnsi="Verdana"/>
          <w:color w:val="000000"/>
          <w:sz w:val="21"/>
          <w:szCs w:val="21"/>
        </w:rPr>
      </w:pPr>
    </w:p>
    <w:p w14:paraId="412F3BEF" w14:textId="4DFA37C4" w:rsidR="00617B74" w:rsidRPr="00D653E2" w:rsidRDefault="00617B74" w:rsidP="00D653E2">
      <w:pPr>
        <w:rPr>
          <w:rFonts w:ascii="Verdana" w:hAnsi="Verdana"/>
          <w:color w:val="000000"/>
          <w:sz w:val="21"/>
          <w:szCs w:val="21"/>
        </w:rPr>
      </w:pPr>
      <w:r>
        <w:rPr>
          <w:rFonts w:ascii="Verdana" w:hAnsi="Verdana"/>
          <w:noProof/>
          <w:sz w:val="21"/>
          <w:szCs w:val="21"/>
        </w:rPr>
        <mc:AlternateContent>
          <mc:Choice Requires="wps">
            <w:drawing>
              <wp:anchor distT="0" distB="0" distL="114300" distR="114300" simplePos="0" relativeHeight="251674624" behindDoc="0" locked="0" layoutInCell="1" allowOverlap="1" wp14:anchorId="78E5EDA3" wp14:editId="27DA7556">
                <wp:simplePos x="0" y="0"/>
                <wp:positionH relativeFrom="margin">
                  <wp:posOffset>0</wp:posOffset>
                </wp:positionH>
                <wp:positionV relativeFrom="paragraph">
                  <wp:posOffset>-635</wp:posOffset>
                </wp:positionV>
                <wp:extent cx="5962650" cy="44450"/>
                <wp:effectExtent l="0" t="0" r="19050" b="31750"/>
                <wp:wrapNone/>
                <wp:docPr id="9" name="Straight Connector 9"/>
                <wp:cNvGraphicFramePr/>
                <a:graphic xmlns:a="http://schemas.openxmlformats.org/drawingml/2006/main">
                  <a:graphicData uri="http://schemas.microsoft.com/office/word/2010/wordprocessingShape">
                    <wps:wsp>
                      <wps:cNvCnPr/>
                      <wps:spPr>
                        <a:xfrm flipH="1">
                          <a:off x="0" y="0"/>
                          <a:ext cx="5962650" cy="4445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CF500" id="Straight Connector 9" o:spid="_x0000_s1026" style="position:absolute;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" strokecolor="#c00000">
                <v:stroke joinstyle="miter"/>
                <w10:wrap anchorx="margin"/>
              </v:line>
            </w:pict>
          </mc:Fallback>
        </mc:AlternateContent>
      </w:r>
    </w:p>
    <w:p w14:paraId="28BFBA7A" w14:textId="5E61A339" w:rsidR="00617B74" w:rsidRDefault="00617B74">
      <w:pPr>
        <w:rPr>
          <w:rFonts w:ascii="Verdana" w:hAnsi="Verdana"/>
          <w:b/>
          <w:bCs/>
          <w:color w:val="C00000"/>
        </w:rPr>
      </w:pPr>
      <w:r>
        <w:rPr>
          <w:rFonts w:ascii="Verdana" w:hAnsi="Verdana"/>
          <w:b/>
          <w:bCs/>
          <w:color w:val="C00000"/>
        </w:rPr>
        <w:br w:type="page"/>
      </w:r>
    </w:p>
    <w:p w14:paraId="346C865D" w14:textId="77777777" w:rsidR="0048656A" w:rsidRDefault="0048656A" w:rsidP="00617B74">
      <w:pPr>
        <w:spacing w:after="240" w:line="320" w:lineRule="atLeast"/>
        <w:rPr>
          <w:rFonts w:ascii="Verdana" w:hAnsi="Verdana"/>
          <w:b/>
          <w:bCs/>
          <w:color w:val="C00000"/>
        </w:rPr>
      </w:pPr>
    </w:p>
    <w:p w14:paraId="7AF34A1E" w14:textId="3C3ABCDF" w:rsidR="006015AB" w:rsidRPr="00617B74" w:rsidRDefault="003F5A9C" w:rsidP="00617B74">
      <w:pPr>
        <w:spacing w:after="240" w:line="320" w:lineRule="atLeast"/>
        <w:rPr>
          <w:rFonts w:ascii="Verdana" w:hAnsi="Verdana"/>
          <w:b/>
          <w:bCs/>
          <w:color w:val="C00000"/>
        </w:rPr>
      </w:pPr>
      <w:r w:rsidRPr="007A7050">
        <w:rPr>
          <w:rFonts w:ascii="Verdana" w:hAnsi="Verdana"/>
          <w:b/>
          <w:bCs/>
          <w:color w:val="C00000"/>
        </w:rPr>
        <w:t>Snapshot of the SA ETP Industry as at 3</w:t>
      </w:r>
      <w:r w:rsidR="004B0423">
        <w:rPr>
          <w:rFonts w:ascii="Verdana" w:hAnsi="Verdana"/>
          <w:b/>
          <w:bCs/>
          <w:color w:val="C00000"/>
        </w:rPr>
        <w:t>0</w:t>
      </w:r>
      <w:r w:rsidRPr="007A7050">
        <w:rPr>
          <w:rFonts w:ascii="Verdana" w:hAnsi="Verdana"/>
          <w:b/>
          <w:bCs/>
          <w:color w:val="C00000"/>
        </w:rPr>
        <w:t xml:space="preserve"> </w:t>
      </w:r>
      <w:r w:rsidR="00D653E2">
        <w:rPr>
          <w:rFonts w:ascii="Verdana" w:hAnsi="Verdana"/>
          <w:b/>
          <w:bCs/>
          <w:color w:val="C00000"/>
        </w:rPr>
        <w:t>September</w:t>
      </w:r>
      <w:r w:rsidRPr="007A7050">
        <w:rPr>
          <w:rFonts w:ascii="Verdana" w:hAnsi="Verdana"/>
          <w:b/>
          <w:bCs/>
          <w:color w:val="C00000"/>
        </w:rPr>
        <w:t xml:space="preserve"> 20</w:t>
      </w:r>
      <w:r>
        <w:rPr>
          <w:rFonts w:ascii="Verdana" w:hAnsi="Verdana"/>
          <w:b/>
          <w:bCs/>
          <w:color w:val="C00000"/>
        </w:rPr>
        <w:t>2</w:t>
      </w:r>
      <w:r w:rsidR="006015AB">
        <w:rPr>
          <w:rFonts w:ascii="Verdana" w:hAnsi="Verdana"/>
          <w:b/>
          <w:bCs/>
          <w:color w:val="C00000"/>
        </w:rPr>
        <w:t>1</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6015AB" w:rsidRPr="00AB6CBE" w14:paraId="1D20FF11" w14:textId="77777777" w:rsidTr="001C1A83">
        <w:tc>
          <w:tcPr>
            <w:tcW w:w="9214" w:type="dxa"/>
            <w:gridSpan w:val="8"/>
            <w:shd w:val="clear" w:color="auto" w:fill="C00000"/>
            <w:vAlign w:val="center"/>
          </w:tcPr>
          <w:p w14:paraId="626F61D9"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18AD6D13"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sidR="004B0423">
              <w:rPr>
                <w:rFonts w:ascii="Verdana" w:hAnsi="Verdana"/>
                <w:b/>
                <w:color w:val="FFFFFF"/>
                <w:sz w:val="18"/>
                <w:szCs w:val="18"/>
              </w:rPr>
              <w:t>0</w:t>
            </w:r>
            <w:r>
              <w:rPr>
                <w:rFonts w:ascii="Verdana" w:hAnsi="Verdana"/>
                <w:b/>
                <w:color w:val="FFFFFF"/>
                <w:sz w:val="18"/>
                <w:szCs w:val="18"/>
              </w:rPr>
              <w:t xml:space="preserve"> </w:t>
            </w:r>
            <w:r w:rsidR="00D653E2">
              <w:rPr>
                <w:rFonts w:ascii="Verdana" w:hAnsi="Verdana"/>
                <w:b/>
                <w:color w:val="FFFFFF"/>
                <w:sz w:val="18"/>
                <w:szCs w:val="18"/>
              </w:rPr>
              <w:t>September</w:t>
            </w:r>
            <w:r w:rsidRPr="003B4F95">
              <w:rPr>
                <w:rFonts w:ascii="Verdana" w:hAnsi="Verdana"/>
                <w:b/>
                <w:color w:val="FFFFFF"/>
                <w:sz w:val="18"/>
                <w:szCs w:val="18"/>
              </w:rPr>
              <w:t xml:space="preserve"> 20</w:t>
            </w:r>
            <w:r>
              <w:rPr>
                <w:rFonts w:ascii="Verdana" w:hAnsi="Verdana"/>
                <w:b/>
                <w:color w:val="FFFFFF"/>
                <w:sz w:val="18"/>
                <w:szCs w:val="18"/>
              </w:rPr>
              <w:t>21</w:t>
            </w:r>
            <w:r w:rsidRPr="003B4F95">
              <w:rPr>
                <w:rFonts w:ascii="Verdana" w:hAnsi="Verdana"/>
                <w:b/>
                <w:color w:val="FFFFFF"/>
                <w:sz w:val="18"/>
                <w:szCs w:val="18"/>
              </w:rPr>
              <w:t>)</w:t>
            </w:r>
          </w:p>
        </w:tc>
      </w:tr>
      <w:tr w:rsidR="006015AB" w:rsidRPr="00AB6CBE" w14:paraId="76BF6CAD" w14:textId="77777777" w:rsidTr="001C1A83">
        <w:trPr>
          <w:trHeight w:val="311"/>
        </w:trPr>
        <w:tc>
          <w:tcPr>
            <w:tcW w:w="567" w:type="dxa"/>
            <w:vMerge w:val="restart"/>
            <w:shd w:val="clear" w:color="auto" w:fill="4C4C4C"/>
            <w:vAlign w:val="center"/>
          </w:tcPr>
          <w:p w14:paraId="15E5FD07" w14:textId="77777777" w:rsidR="006015AB" w:rsidRPr="003B4F95" w:rsidRDefault="006015AB" w:rsidP="001C1A83">
            <w:pPr>
              <w:spacing w:before="40" w:after="40" w:line="280" w:lineRule="atLeast"/>
              <w:rPr>
                <w:rFonts w:ascii="Verdana" w:hAnsi="Verdana"/>
                <w:b/>
                <w:color w:val="FFFFFF"/>
                <w:sz w:val="18"/>
                <w:szCs w:val="18"/>
              </w:rPr>
            </w:pPr>
          </w:p>
        </w:tc>
        <w:tc>
          <w:tcPr>
            <w:tcW w:w="1984" w:type="dxa"/>
            <w:gridSpan w:val="2"/>
            <w:vMerge w:val="restart"/>
            <w:shd w:val="clear" w:color="auto" w:fill="4C4C4C"/>
            <w:vAlign w:val="center"/>
          </w:tcPr>
          <w:p w14:paraId="3328C4D1" w14:textId="77777777" w:rsidR="006015AB" w:rsidRPr="003B4F95" w:rsidRDefault="006015AB" w:rsidP="001C1A83">
            <w:pPr>
              <w:spacing w:before="40" w:after="40" w:line="28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3E136682" w14:textId="77777777" w:rsidR="006015AB" w:rsidRPr="003B4F95" w:rsidRDefault="006015AB" w:rsidP="001C1A83">
            <w:pPr>
              <w:spacing w:before="40" w:after="4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950683D"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CBBABEC" w14:textId="77777777" w:rsidR="006015AB" w:rsidRPr="003B4F95" w:rsidRDefault="006015AB" w:rsidP="001C1A83">
            <w:pPr>
              <w:spacing w:before="40" w:after="40" w:line="28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6015AB" w:rsidRPr="00AB6CBE" w14:paraId="17CB071B" w14:textId="77777777" w:rsidTr="001C1A83">
        <w:trPr>
          <w:trHeight w:val="311"/>
        </w:trPr>
        <w:tc>
          <w:tcPr>
            <w:tcW w:w="567" w:type="dxa"/>
            <w:vMerge/>
            <w:shd w:val="clear" w:color="auto" w:fill="4C4C4C"/>
            <w:vAlign w:val="center"/>
          </w:tcPr>
          <w:p w14:paraId="28B91113" w14:textId="77777777" w:rsidR="006015AB" w:rsidRPr="003B4F95" w:rsidRDefault="006015AB" w:rsidP="001C1A83">
            <w:pPr>
              <w:spacing w:before="40" w:after="40" w:line="280" w:lineRule="atLeast"/>
              <w:rPr>
                <w:rFonts w:ascii="Verdana" w:hAnsi="Verdana"/>
                <w:b/>
                <w:color w:val="FFFFFF"/>
                <w:sz w:val="18"/>
                <w:szCs w:val="18"/>
              </w:rPr>
            </w:pPr>
          </w:p>
        </w:tc>
        <w:tc>
          <w:tcPr>
            <w:tcW w:w="1984" w:type="dxa"/>
            <w:gridSpan w:val="2"/>
            <w:vMerge/>
            <w:shd w:val="clear" w:color="auto" w:fill="4C4C4C"/>
          </w:tcPr>
          <w:p w14:paraId="5ED0D2DA" w14:textId="77777777" w:rsidR="006015AB" w:rsidRPr="003B4F95" w:rsidRDefault="006015AB" w:rsidP="001C1A83">
            <w:pPr>
              <w:spacing w:before="40" w:after="40" w:line="280" w:lineRule="atLeast"/>
              <w:rPr>
                <w:rFonts w:ascii="Verdana" w:hAnsi="Verdana"/>
                <w:b/>
                <w:color w:val="FFFFFF"/>
                <w:sz w:val="18"/>
                <w:szCs w:val="18"/>
              </w:rPr>
            </w:pPr>
          </w:p>
        </w:tc>
        <w:tc>
          <w:tcPr>
            <w:tcW w:w="993" w:type="dxa"/>
            <w:shd w:val="clear" w:color="auto" w:fill="4C4C4C"/>
            <w:vAlign w:val="center"/>
          </w:tcPr>
          <w:p w14:paraId="0C35E3F1" w14:textId="77777777" w:rsidR="006015AB" w:rsidRPr="003B4F95" w:rsidRDefault="006015AB" w:rsidP="001C1A83">
            <w:pPr>
              <w:spacing w:before="40" w:after="4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0A7659DD" w14:textId="77777777" w:rsidR="006015AB" w:rsidRPr="003B4F95" w:rsidRDefault="006015AB" w:rsidP="001C1A83">
            <w:pPr>
              <w:spacing w:before="40" w:after="4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962276F" w14:textId="77777777" w:rsidR="006015AB" w:rsidRPr="003B4F95" w:rsidRDefault="006015AB" w:rsidP="001C1A83">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458FB759" w14:textId="77777777" w:rsidR="006015AB" w:rsidRPr="003B4F95" w:rsidRDefault="006015AB" w:rsidP="001C1A83">
            <w:pPr>
              <w:spacing w:before="40" w:after="4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3579AC12" w14:textId="77777777" w:rsidR="006015AB" w:rsidRPr="003B4F95" w:rsidRDefault="006015AB" w:rsidP="001C1A83">
            <w:pPr>
              <w:spacing w:before="40" w:after="40" w:line="280" w:lineRule="atLeast"/>
              <w:jc w:val="right"/>
              <w:rPr>
                <w:rFonts w:ascii="Verdana" w:hAnsi="Verdana"/>
                <w:b/>
                <w:color w:val="FFFFFF"/>
                <w:sz w:val="18"/>
                <w:szCs w:val="18"/>
              </w:rPr>
            </w:pPr>
          </w:p>
        </w:tc>
      </w:tr>
      <w:tr w:rsidR="00FE6736" w:rsidRPr="00AB6CBE" w14:paraId="4B891F5E" w14:textId="77777777" w:rsidTr="001C1A83">
        <w:tc>
          <w:tcPr>
            <w:tcW w:w="567" w:type="dxa"/>
            <w:shd w:val="clear" w:color="auto" w:fill="auto"/>
          </w:tcPr>
          <w:p w14:paraId="4B77F61A" w14:textId="77777777" w:rsidR="00FE6736" w:rsidRPr="00771D6F" w:rsidRDefault="00FE6736" w:rsidP="00A7546F">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54291318" w14:textId="2CB37C84" w:rsidR="00FE6736" w:rsidRPr="003B4F95" w:rsidRDefault="00FE6736" w:rsidP="003453E4">
            <w:pPr>
              <w:spacing w:before="20" w:after="40" w:line="28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46CE5CC8" w14:textId="572C640B" w:rsidR="00FE6736"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22</w:t>
            </w:r>
          </w:p>
        </w:tc>
        <w:tc>
          <w:tcPr>
            <w:tcW w:w="992" w:type="dxa"/>
            <w:shd w:val="clear" w:color="auto" w:fill="auto"/>
            <w:vAlign w:val="center"/>
          </w:tcPr>
          <w:p w14:paraId="75CA2F0F" w14:textId="25DAB28B" w:rsidR="00FE6736"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87C3A73" w14:textId="47990B38" w:rsidR="00FE6736"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32 791,7</w:t>
            </w:r>
          </w:p>
        </w:tc>
        <w:tc>
          <w:tcPr>
            <w:tcW w:w="1418" w:type="dxa"/>
            <w:vAlign w:val="center"/>
          </w:tcPr>
          <w:p w14:paraId="00DB2C1E" w14:textId="5D593011" w:rsidR="00FE6736"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338224F" w14:textId="0D99A368" w:rsidR="00FE6736"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32 791,7</w:t>
            </w:r>
          </w:p>
        </w:tc>
      </w:tr>
      <w:tr w:rsidR="00B1692D" w:rsidRPr="00AB6CBE" w14:paraId="0FE5F3BE" w14:textId="77777777" w:rsidTr="001C1A83">
        <w:tc>
          <w:tcPr>
            <w:tcW w:w="567" w:type="dxa"/>
            <w:shd w:val="clear" w:color="auto" w:fill="auto"/>
          </w:tcPr>
          <w:p w14:paraId="3512065C" w14:textId="77777777" w:rsidR="00B1692D" w:rsidRPr="00771D6F" w:rsidRDefault="00B1692D" w:rsidP="00A7546F">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0F8AB803" w14:textId="34697103" w:rsidR="00B1692D" w:rsidRPr="003B4F95" w:rsidRDefault="00B1692D" w:rsidP="003453E4">
            <w:pPr>
              <w:spacing w:before="20" w:after="40" w:line="280" w:lineRule="atLeast"/>
              <w:rPr>
                <w:rFonts w:ascii="Verdana" w:hAnsi="Verdana"/>
                <w:color w:val="000000"/>
                <w:sz w:val="18"/>
                <w:szCs w:val="18"/>
              </w:rPr>
            </w:pPr>
            <w:r>
              <w:rPr>
                <w:rFonts w:ascii="Verdana" w:hAnsi="Verdana"/>
                <w:color w:val="000000"/>
                <w:sz w:val="18"/>
                <w:szCs w:val="18"/>
              </w:rPr>
              <w:t>Sygnia</w:t>
            </w:r>
            <w:r>
              <w:rPr>
                <w:rFonts w:ascii="Verdana" w:hAnsi="Verdana"/>
                <w:color w:val="000000"/>
                <w:sz w:val="18"/>
                <w:szCs w:val="18"/>
              </w:rPr>
              <w:t xml:space="preserve"> </w:t>
            </w:r>
            <w:r>
              <w:rPr>
                <w:rFonts w:ascii="Verdana" w:hAnsi="Verdana"/>
                <w:color w:val="000000"/>
                <w:sz w:val="18"/>
                <w:szCs w:val="18"/>
              </w:rPr>
              <w:t>Itrix</w:t>
            </w:r>
          </w:p>
        </w:tc>
        <w:tc>
          <w:tcPr>
            <w:tcW w:w="993" w:type="dxa"/>
            <w:shd w:val="clear" w:color="auto" w:fill="auto"/>
            <w:vAlign w:val="center"/>
          </w:tcPr>
          <w:p w14:paraId="57C21498" w14:textId="6C832D2F" w:rsidR="00B1692D" w:rsidRPr="003B4F95"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4B9CEC53" w14:textId="52004DEB" w:rsidR="00B1692D" w:rsidRPr="003B4F95"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E231593" w14:textId="10163318" w:rsidR="00B1692D"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31 161,9</w:t>
            </w:r>
          </w:p>
        </w:tc>
        <w:tc>
          <w:tcPr>
            <w:tcW w:w="1418" w:type="dxa"/>
            <w:vAlign w:val="center"/>
          </w:tcPr>
          <w:p w14:paraId="02FF980D" w14:textId="4195F1D0" w:rsidR="00B1692D"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278D090" w14:textId="79B1959B" w:rsidR="00B1692D"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31 161,9</w:t>
            </w:r>
          </w:p>
        </w:tc>
      </w:tr>
      <w:tr w:rsidR="00FE6736" w:rsidRPr="00AB6CBE" w14:paraId="3E5AB5DE" w14:textId="77777777" w:rsidTr="001C1A83">
        <w:tc>
          <w:tcPr>
            <w:tcW w:w="567" w:type="dxa"/>
            <w:shd w:val="clear" w:color="auto" w:fill="auto"/>
          </w:tcPr>
          <w:p w14:paraId="62DC651B" w14:textId="77777777" w:rsidR="00FE6736" w:rsidRPr="00771D6F" w:rsidRDefault="00FE6736" w:rsidP="00A7546F">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3C1FB5E5" w14:textId="77777777" w:rsidR="00FE6736" w:rsidRPr="003B4F95" w:rsidRDefault="00FE6736" w:rsidP="003453E4">
            <w:pPr>
              <w:spacing w:before="20" w:after="40" w:line="28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791DA0D" w14:textId="078F5CAF" w:rsidR="00FE6736" w:rsidRPr="003B4F95"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18</w:t>
            </w:r>
          </w:p>
        </w:tc>
        <w:tc>
          <w:tcPr>
            <w:tcW w:w="992" w:type="dxa"/>
            <w:shd w:val="clear" w:color="auto" w:fill="auto"/>
            <w:vAlign w:val="center"/>
          </w:tcPr>
          <w:p w14:paraId="2166DF9E" w14:textId="70BA1EE3" w:rsidR="00FE6736" w:rsidRPr="003B4F95"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29D8166" w14:textId="62210DF3" w:rsidR="00FE6736"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28 968,8</w:t>
            </w:r>
          </w:p>
        </w:tc>
        <w:tc>
          <w:tcPr>
            <w:tcW w:w="1418" w:type="dxa"/>
            <w:vAlign w:val="center"/>
          </w:tcPr>
          <w:p w14:paraId="6F79E717" w14:textId="3C0F8902" w:rsidR="00FE6736"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1 889,1</w:t>
            </w:r>
          </w:p>
        </w:tc>
        <w:tc>
          <w:tcPr>
            <w:tcW w:w="1843" w:type="dxa"/>
            <w:vAlign w:val="center"/>
          </w:tcPr>
          <w:p w14:paraId="32A350AC" w14:textId="1196223A" w:rsidR="00FE6736"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30 857,9</w:t>
            </w:r>
          </w:p>
        </w:tc>
      </w:tr>
      <w:tr w:rsidR="00FE6736" w:rsidRPr="000435BE" w14:paraId="56CF23E8" w14:textId="77777777" w:rsidTr="001C1A83">
        <w:tc>
          <w:tcPr>
            <w:tcW w:w="567" w:type="dxa"/>
            <w:shd w:val="clear" w:color="auto" w:fill="auto"/>
          </w:tcPr>
          <w:p w14:paraId="7FD80757" w14:textId="77777777" w:rsidR="00FE6736" w:rsidRPr="00771D6F" w:rsidRDefault="00FE6736" w:rsidP="00A7546F">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1D9E85AD" w14:textId="77777777" w:rsidR="00FE6736" w:rsidRPr="003B4F95" w:rsidRDefault="00FE6736" w:rsidP="003453E4">
            <w:pPr>
              <w:spacing w:before="20" w:after="40" w:line="28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57AF511" w14:textId="2A4394BE" w:rsidR="00FE6736" w:rsidRPr="003B4F95"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3918885C" w14:textId="2F3FE799" w:rsidR="00FE6736" w:rsidRPr="003B4F95" w:rsidRDefault="00B1692D" w:rsidP="003453E4">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D33FC92" w14:textId="26AAC524" w:rsidR="00FE6736"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8 065,7</w:t>
            </w:r>
          </w:p>
        </w:tc>
        <w:tc>
          <w:tcPr>
            <w:tcW w:w="1418" w:type="dxa"/>
            <w:vAlign w:val="center"/>
          </w:tcPr>
          <w:p w14:paraId="4E6D745C" w14:textId="3B07DBC2" w:rsidR="00FE6736"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815C90F" w14:textId="328C2EFC" w:rsidR="00FE6736" w:rsidRPr="003B4F95" w:rsidRDefault="00B1692D" w:rsidP="003453E4">
            <w:pPr>
              <w:spacing w:before="20" w:after="40" w:line="280" w:lineRule="atLeast"/>
              <w:jc w:val="right"/>
              <w:rPr>
                <w:rFonts w:ascii="Verdana" w:hAnsi="Verdana"/>
                <w:color w:val="000000"/>
                <w:sz w:val="18"/>
                <w:szCs w:val="18"/>
              </w:rPr>
            </w:pPr>
            <w:r>
              <w:rPr>
                <w:rFonts w:ascii="Verdana" w:hAnsi="Verdana"/>
                <w:color w:val="000000"/>
                <w:sz w:val="18"/>
                <w:szCs w:val="18"/>
              </w:rPr>
              <w:t>8 065,7</w:t>
            </w:r>
          </w:p>
        </w:tc>
      </w:tr>
      <w:tr w:rsidR="00B1692D" w:rsidRPr="000435BE" w14:paraId="323EC4B6" w14:textId="77777777" w:rsidTr="001C1A83">
        <w:tc>
          <w:tcPr>
            <w:tcW w:w="567" w:type="dxa"/>
            <w:shd w:val="clear" w:color="auto" w:fill="auto"/>
          </w:tcPr>
          <w:p w14:paraId="09270A99"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39CE430F" w14:textId="3BF495DC" w:rsidR="00B1692D" w:rsidRDefault="00B1692D" w:rsidP="00B1692D">
            <w:pPr>
              <w:spacing w:before="20" w:after="40" w:line="28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38EF681F" w14:textId="12828699"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537A46A6" w14:textId="41A4993F"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14F542E5" w14:textId="53A86C79" w:rsidR="00B1692D" w:rsidRPr="003B4F95" w:rsidRDefault="00C130B1" w:rsidP="00B1692D">
            <w:pPr>
              <w:spacing w:before="20" w:after="40" w:line="280" w:lineRule="atLeast"/>
              <w:jc w:val="right"/>
              <w:rPr>
                <w:rFonts w:ascii="Verdana" w:hAnsi="Verdana"/>
                <w:color w:val="000000"/>
                <w:sz w:val="18"/>
                <w:szCs w:val="18"/>
              </w:rPr>
            </w:pPr>
            <w:r>
              <w:rPr>
                <w:rFonts w:ascii="Verdana" w:hAnsi="Verdana"/>
                <w:color w:val="000000"/>
                <w:sz w:val="18"/>
                <w:szCs w:val="18"/>
              </w:rPr>
              <w:t>5</w:t>
            </w:r>
            <w:r w:rsidR="00B1692D">
              <w:rPr>
                <w:rFonts w:ascii="Verdana" w:hAnsi="Verdana"/>
                <w:color w:val="000000"/>
                <w:sz w:val="18"/>
                <w:szCs w:val="18"/>
              </w:rPr>
              <w:t> 130,5</w:t>
            </w:r>
          </w:p>
        </w:tc>
        <w:tc>
          <w:tcPr>
            <w:tcW w:w="1418" w:type="dxa"/>
            <w:vAlign w:val="center"/>
          </w:tcPr>
          <w:p w14:paraId="201416F2" w14:textId="378666A3"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3DC10DE4" w14:textId="32B348DB"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5 130,5</w:t>
            </w:r>
          </w:p>
        </w:tc>
      </w:tr>
      <w:tr w:rsidR="00B1692D" w:rsidRPr="000435BE" w14:paraId="282E0210" w14:textId="77777777" w:rsidTr="001C1A83">
        <w:tc>
          <w:tcPr>
            <w:tcW w:w="567" w:type="dxa"/>
            <w:shd w:val="clear" w:color="auto" w:fill="auto"/>
          </w:tcPr>
          <w:p w14:paraId="4AEECEAB"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467B5FEB" w14:textId="7ED9A59A" w:rsidR="00B1692D" w:rsidRDefault="00B1692D" w:rsidP="00B1692D">
            <w:pPr>
              <w:spacing w:before="20" w:after="40" w:line="28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061BA67F" w14:textId="34725AAC"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6DCF0DBB" w14:textId="76076468"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14</w:t>
            </w:r>
          </w:p>
        </w:tc>
        <w:tc>
          <w:tcPr>
            <w:tcW w:w="1417" w:type="dxa"/>
            <w:vAlign w:val="center"/>
          </w:tcPr>
          <w:p w14:paraId="3B4EB698" w14:textId="551923E4"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5BFC234" w14:textId="4D433003"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5 046,0</w:t>
            </w:r>
          </w:p>
        </w:tc>
        <w:tc>
          <w:tcPr>
            <w:tcW w:w="1843" w:type="dxa"/>
            <w:vAlign w:val="center"/>
          </w:tcPr>
          <w:p w14:paraId="388A2EB1" w14:textId="78DB415A"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5 046,0</w:t>
            </w:r>
          </w:p>
        </w:tc>
      </w:tr>
      <w:tr w:rsidR="00B1692D" w:rsidRPr="000435BE" w14:paraId="058F621E" w14:textId="77777777" w:rsidTr="001C1A83">
        <w:tc>
          <w:tcPr>
            <w:tcW w:w="567" w:type="dxa"/>
            <w:shd w:val="clear" w:color="auto" w:fill="auto"/>
          </w:tcPr>
          <w:p w14:paraId="13960C14"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7E5A07EB" w14:textId="4C65BD2C" w:rsidR="00B1692D" w:rsidRPr="003B4F95" w:rsidRDefault="00B1692D" w:rsidP="00B1692D">
            <w:pPr>
              <w:spacing w:before="20" w:after="40" w:line="28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5EEECC76" w14:textId="220D5014"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0A26C215" w14:textId="14A3D395"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BF052BC" w14:textId="008EDAB7"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4 466,6</w:t>
            </w:r>
          </w:p>
        </w:tc>
        <w:tc>
          <w:tcPr>
            <w:tcW w:w="1418" w:type="dxa"/>
            <w:vAlign w:val="center"/>
          </w:tcPr>
          <w:p w14:paraId="1DA2A521" w14:textId="2595CC5E"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3A5AAA0" w14:textId="0407F0BB"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4 466,6</w:t>
            </w:r>
          </w:p>
        </w:tc>
      </w:tr>
      <w:tr w:rsidR="00B1692D" w:rsidRPr="000435BE" w14:paraId="02650938" w14:textId="77777777" w:rsidTr="001C1A83">
        <w:tc>
          <w:tcPr>
            <w:tcW w:w="567" w:type="dxa"/>
            <w:shd w:val="clear" w:color="auto" w:fill="auto"/>
          </w:tcPr>
          <w:p w14:paraId="0B4EF678"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6F5208A5" w14:textId="77777777" w:rsidR="00B1692D" w:rsidRPr="003B4F95" w:rsidRDefault="00B1692D" w:rsidP="00B1692D">
            <w:pPr>
              <w:spacing w:before="20" w:after="40" w:line="28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w:t>
            </w:r>
          </w:p>
        </w:tc>
        <w:tc>
          <w:tcPr>
            <w:tcW w:w="993" w:type="dxa"/>
            <w:shd w:val="clear" w:color="auto" w:fill="auto"/>
            <w:vAlign w:val="center"/>
          </w:tcPr>
          <w:p w14:paraId="3922A4D8" w14:textId="73C5CFB3"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011AB289" w14:textId="410CA26D"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42</w:t>
            </w:r>
          </w:p>
        </w:tc>
        <w:tc>
          <w:tcPr>
            <w:tcW w:w="1417" w:type="dxa"/>
            <w:vAlign w:val="center"/>
          </w:tcPr>
          <w:p w14:paraId="783FF0DB" w14:textId="0C8F976A"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1 296,6</w:t>
            </w:r>
          </w:p>
        </w:tc>
        <w:tc>
          <w:tcPr>
            <w:tcW w:w="1418" w:type="dxa"/>
            <w:vAlign w:val="center"/>
          </w:tcPr>
          <w:p w14:paraId="4807FF84" w14:textId="15162EFB"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2 977,6</w:t>
            </w:r>
          </w:p>
        </w:tc>
        <w:tc>
          <w:tcPr>
            <w:tcW w:w="1843" w:type="dxa"/>
            <w:vAlign w:val="center"/>
          </w:tcPr>
          <w:p w14:paraId="75E23701" w14:textId="38CD33D4"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4 274,2</w:t>
            </w:r>
          </w:p>
        </w:tc>
      </w:tr>
      <w:tr w:rsidR="00B1692D" w:rsidRPr="000435BE" w14:paraId="74FFBACF" w14:textId="77777777" w:rsidTr="001C1A83">
        <w:tc>
          <w:tcPr>
            <w:tcW w:w="567" w:type="dxa"/>
            <w:shd w:val="clear" w:color="auto" w:fill="auto"/>
          </w:tcPr>
          <w:p w14:paraId="115A2173"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49C1F41F" w14:textId="77777777" w:rsidR="00B1692D" w:rsidRPr="003B4F95" w:rsidRDefault="00B1692D" w:rsidP="00B1692D">
            <w:pPr>
              <w:spacing w:before="20" w:after="40" w:line="28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0BF1DB5" w14:textId="06BE0E53"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EE3776E" w14:textId="1CC0010C"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7698628" w14:textId="7BB07CD2"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4CAC82" w14:textId="40D54015"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2 252,4</w:t>
            </w:r>
          </w:p>
        </w:tc>
        <w:tc>
          <w:tcPr>
            <w:tcW w:w="1843" w:type="dxa"/>
            <w:vAlign w:val="center"/>
          </w:tcPr>
          <w:p w14:paraId="5682DA5B" w14:textId="6B910EAD"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2 252,4</w:t>
            </w:r>
          </w:p>
        </w:tc>
      </w:tr>
      <w:tr w:rsidR="00B1692D" w:rsidRPr="000435BE" w14:paraId="5FB42103" w14:textId="77777777" w:rsidTr="001C1A83">
        <w:tc>
          <w:tcPr>
            <w:tcW w:w="567" w:type="dxa"/>
            <w:shd w:val="clear" w:color="auto" w:fill="auto"/>
          </w:tcPr>
          <w:p w14:paraId="11AE8AAB"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700A7226" w14:textId="77777777" w:rsidR="00B1692D" w:rsidRPr="003B4F95" w:rsidRDefault="00B1692D" w:rsidP="00B1692D">
            <w:pPr>
              <w:spacing w:before="20" w:after="40" w:line="28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5BCA0634" w14:textId="44384937"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05CD008" w14:textId="0CF4EDD9" w:rsidR="00B1692D"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33A5A643" w14:textId="3CB170C9"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4E82CC8" w14:textId="60D0DE10"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800,2</w:t>
            </w:r>
          </w:p>
        </w:tc>
        <w:tc>
          <w:tcPr>
            <w:tcW w:w="1843" w:type="dxa"/>
            <w:vAlign w:val="center"/>
          </w:tcPr>
          <w:p w14:paraId="0A0AE9B3" w14:textId="1ECE9854" w:rsidR="00B1692D"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800,2</w:t>
            </w:r>
          </w:p>
        </w:tc>
      </w:tr>
      <w:tr w:rsidR="00B1692D" w:rsidRPr="000435BE" w14:paraId="0F1A63F0" w14:textId="77777777" w:rsidTr="001C1A83">
        <w:tc>
          <w:tcPr>
            <w:tcW w:w="567" w:type="dxa"/>
            <w:shd w:val="clear" w:color="auto" w:fill="auto"/>
          </w:tcPr>
          <w:p w14:paraId="1C6357A5" w14:textId="77777777" w:rsidR="00B1692D" w:rsidRPr="00771D6F" w:rsidRDefault="00B1692D" w:rsidP="00B1692D">
            <w:pPr>
              <w:pStyle w:val="ListParagraph"/>
              <w:numPr>
                <w:ilvl w:val="0"/>
                <w:numId w:val="20"/>
              </w:numPr>
              <w:spacing w:before="20" w:after="40" w:line="280" w:lineRule="atLeast"/>
              <w:ind w:left="357" w:hanging="357"/>
              <w:rPr>
                <w:rFonts w:ascii="Verdana" w:hAnsi="Verdana"/>
                <w:color w:val="000000"/>
                <w:sz w:val="18"/>
                <w:szCs w:val="18"/>
              </w:rPr>
            </w:pPr>
          </w:p>
        </w:tc>
        <w:tc>
          <w:tcPr>
            <w:tcW w:w="1984" w:type="dxa"/>
            <w:gridSpan w:val="2"/>
            <w:shd w:val="clear" w:color="auto" w:fill="auto"/>
          </w:tcPr>
          <w:p w14:paraId="2A260978" w14:textId="77777777" w:rsidR="00B1692D" w:rsidRPr="003B4F95" w:rsidRDefault="00B1692D" w:rsidP="00B1692D">
            <w:pPr>
              <w:spacing w:before="20" w:after="40" w:line="28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104600BC" w14:textId="3E5D8C43" w:rsidR="00B1692D" w:rsidRPr="003B4F95"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6896F25A" w14:textId="2B55520F" w:rsidR="00B1692D" w:rsidRPr="003B4F95" w:rsidRDefault="00B1692D" w:rsidP="00B1692D">
            <w:pPr>
              <w:spacing w:before="20" w:after="40" w:line="28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1DC6088" w14:textId="72223D30"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670,0</w:t>
            </w:r>
          </w:p>
        </w:tc>
        <w:tc>
          <w:tcPr>
            <w:tcW w:w="1418" w:type="dxa"/>
            <w:vAlign w:val="center"/>
          </w:tcPr>
          <w:p w14:paraId="7E700237" w14:textId="47E3F3D0"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A11FCC2" w14:textId="363BBAE2" w:rsidR="00B1692D" w:rsidRPr="003B4F95" w:rsidRDefault="00B1692D" w:rsidP="00B1692D">
            <w:pPr>
              <w:spacing w:before="20" w:after="40" w:line="280" w:lineRule="atLeast"/>
              <w:jc w:val="right"/>
              <w:rPr>
                <w:rFonts w:ascii="Verdana" w:hAnsi="Verdana"/>
                <w:color w:val="000000"/>
                <w:sz w:val="18"/>
                <w:szCs w:val="18"/>
              </w:rPr>
            </w:pPr>
            <w:r>
              <w:rPr>
                <w:rFonts w:ascii="Verdana" w:hAnsi="Verdana"/>
                <w:color w:val="000000"/>
                <w:sz w:val="18"/>
                <w:szCs w:val="18"/>
              </w:rPr>
              <w:t>670,0</w:t>
            </w:r>
          </w:p>
        </w:tc>
      </w:tr>
      <w:tr w:rsidR="00B1692D" w:rsidRPr="000435BE" w14:paraId="1AE5CE6C" w14:textId="77777777" w:rsidTr="001C1A83">
        <w:tc>
          <w:tcPr>
            <w:tcW w:w="2551" w:type="dxa"/>
            <w:gridSpan w:val="3"/>
            <w:shd w:val="clear" w:color="auto" w:fill="auto"/>
          </w:tcPr>
          <w:p w14:paraId="0278B047" w14:textId="77777777" w:rsidR="00B1692D" w:rsidRPr="003B4F95" w:rsidRDefault="00B1692D" w:rsidP="00B1692D">
            <w:pPr>
              <w:spacing w:before="20" w:after="40" w:line="28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0F4F35" w14:textId="180452D5" w:rsidR="00B1692D" w:rsidRPr="003B4F95" w:rsidRDefault="00B1692D" w:rsidP="00B1692D">
            <w:pPr>
              <w:spacing w:before="20" w:after="40" w:line="280" w:lineRule="atLeast"/>
              <w:jc w:val="center"/>
              <w:rPr>
                <w:rFonts w:ascii="Verdana" w:hAnsi="Verdana"/>
                <w:b/>
                <w:color w:val="000000"/>
                <w:sz w:val="18"/>
                <w:szCs w:val="18"/>
              </w:rPr>
            </w:pPr>
            <w:r>
              <w:rPr>
                <w:rFonts w:ascii="Verdana" w:hAnsi="Verdana"/>
                <w:b/>
                <w:color w:val="000000"/>
                <w:sz w:val="18"/>
                <w:szCs w:val="18"/>
              </w:rPr>
              <w:t>85</w:t>
            </w:r>
          </w:p>
        </w:tc>
        <w:tc>
          <w:tcPr>
            <w:tcW w:w="992" w:type="dxa"/>
            <w:shd w:val="clear" w:color="auto" w:fill="auto"/>
            <w:vAlign w:val="center"/>
          </w:tcPr>
          <w:p w14:paraId="455EA608" w14:textId="5C89D9CE" w:rsidR="00B1692D" w:rsidRPr="003B4F95" w:rsidRDefault="00B1692D" w:rsidP="00B1692D">
            <w:pPr>
              <w:spacing w:before="20" w:after="40" w:line="280" w:lineRule="atLeast"/>
              <w:jc w:val="center"/>
              <w:rPr>
                <w:rFonts w:ascii="Verdana" w:hAnsi="Verdana"/>
                <w:b/>
                <w:color w:val="000000"/>
                <w:sz w:val="18"/>
                <w:szCs w:val="18"/>
              </w:rPr>
            </w:pPr>
            <w:r>
              <w:rPr>
                <w:rFonts w:ascii="Verdana" w:hAnsi="Verdana"/>
                <w:b/>
                <w:color w:val="000000"/>
                <w:sz w:val="18"/>
                <w:szCs w:val="18"/>
              </w:rPr>
              <w:t>65</w:t>
            </w:r>
          </w:p>
        </w:tc>
        <w:tc>
          <w:tcPr>
            <w:tcW w:w="1417" w:type="dxa"/>
            <w:vAlign w:val="center"/>
          </w:tcPr>
          <w:p w14:paraId="5B146289" w14:textId="5F1C5797" w:rsidR="00B1692D" w:rsidRPr="003B4F95" w:rsidRDefault="00B1692D" w:rsidP="00B1692D">
            <w:pPr>
              <w:spacing w:before="20" w:after="40" w:line="280" w:lineRule="atLeast"/>
              <w:jc w:val="right"/>
              <w:rPr>
                <w:rFonts w:ascii="Verdana" w:hAnsi="Verdana"/>
                <w:b/>
                <w:color w:val="000000"/>
                <w:sz w:val="18"/>
                <w:szCs w:val="18"/>
              </w:rPr>
            </w:pPr>
            <w:r>
              <w:rPr>
                <w:rFonts w:ascii="Verdana" w:hAnsi="Verdana"/>
                <w:b/>
                <w:color w:val="000000"/>
                <w:sz w:val="18"/>
                <w:szCs w:val="18"/>
              </w:rPr>
              <w:t>112 551,8</w:t>
            </w:r>
          </w:p>
        </w:tc>
        <w:tc>
          <w:tcPr>
            <w:tcW w:w="1418" w:type="dxa"/>
            <w:vAlign w:val="center"/>
          </w:tcPr>
          <w:p w14:paraId="3815159C" w14:textId="592AB791" w:rsidR="00B1692D" w:rsidRPr="003B4F95" w:rsidRDefault="00B1692D" w:rsidP="00B1692D">
            <w:pPr>
              <w:spacing w:before="20" w:after="40" w:line="280" w:lineRule="atLeast"/>
              <w:jc w:val="right"/>
              <w:rPr>
                <w:rFonts w:ascii="Verdana" w:hAnsi="Verdana"/>
                <w:b/>
                <w:color w:val="000000"/>
                <w:sz w:val="18"/>
                <w:szCs w:val="18"/>
              </w:rPr>
            </w:pPr>
            <w:r>
              <w:rPr>
                <w:rFonts w:ascii="Verdana" w:hAnsi="Verdana"/>
                <w:b/>
                <w:color w:val="000000"/>
                <w:sz w:val="18"/>
                <w:szCs w:val="18"/>
              </w:rPr>
              <w:t>12 965,3</w:t>
            </w:r>
          </w:p>
        </w:tc>
        <w:tc>
          <w:tcPr>
            <w:tcW w:w="1843" w:type="dxa"/>
            <w:vAlign w:val="center"/>
          </w:tcPr>
          <w:p w14:paraId="1BEAD478" w14:textId="48CA31E8" w:rsidR="00B1692D" w:rsidRPr="003B4F95" w:rsidRDefault="00B1692D" w:rsidP="00B1692D">
            <w:pPr>
              <w:spacing w:before="20" w:after="40" w:line="280" w:lineRule="atLeast"/>
              <w:jc w:val="right"/>
              <w:rPr>
                <w:rFonts w:ascii="Verdana" w:hAnsi="Verdana"/>
                <w:b/>
                <w:color w:val="000000"/>
                <w:sz w:val="18"/>
                <w:szCs w:val="18"/>
              </w:rPr>
            </w:pPr>
            <w:r>
              <w:rPr>
                <w:rFonts w:ascii="Verdana" w:hAnsi="Verdana"/>
                <w:b/>
                <w:color w:val="000000"/>
                <w:sz w:val="18"/>
                <w:szCs w:val="18"/>
              </w:rPr>
              <w:t>125 517,1</w:t>
            </w:r>
          </w:p>
        </w:tc>
      </w:tr>
      <w:tr w:rsidR="00B1692D" w:rsidRPr="00A4782C" w14:paraId="7434251C" w14:textId="77777777" w:rsidTr="001C1A83">
        <w:trPr>
          <w:trHeight w:val="217"/>
        </w:trPr>
        <w:tc>
          <w:tcPr>
            <w:tcW w:w="850" w:type="dxa"/>
            <w:gridSpan w:val="2"/>
            <w:tcBorders>
              <w:right w:val="nil"/>
            </w:tcBorders>
            <w:shd w:val="clear" w:color="auto" w:fill="auto"/>
            <w:vAlign w:val="center"/>
          </w:tcPr>
          <w:p w14:paraId="7D2CBC01" w14:textId="77777777" w:rsidR="00B1692D" w:rsidRPr="000435BE" w:rsidRDefault="00B1692D" w:rsidP="00B1692D">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8356A19" w14:textId="7C661DCF" w:rsidR="00B1692D" w:rsidRPr="00573EA2" w:rsidRDefault="00B1692D" w:rsidP="00B1692D">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Pr>
                <w:rFonts w:ascii="Verdana" w:hAnsi="Verdana"/>
                <w:i/>
                <w:color w:val="000000"/>
                <w:sz w:val="14"/>
                <w:szCs w:val="14"/>
                <w:lang w:val="it-IT"/>
              </w:rPr>
              <w:t>0</w:t>
            </w:r>
            <w:r w:rsidRPr="00573EA2">
              <w:rPr>
                <w:rFonts w:ascii="Verdana" w:hAnsi="Verdana"/>
                <w:i/>
                <w:color w:val="000000"/>
                <w:sz w:val="14"/>
                <w:szCs w:val="14"/>
                <w:lang w:val="it-IT"/>
              </w:rPr>
              <w:t>/</w:t>
            </w:r>
            <w:r>
              <w:rPr>
                <w:rFonts w:ascii="Verdana" w:hAnsi="Verdana"/>
                <w:i/>
                <w:color w:val="000000"/>
                <w:sz w:val="14"/>
                <w:szCs w:val="14"/>
                <w:lang w:val="it-IT"/>
              </w:rPr>
              <w:t>9</w:t>
            </w:r>
            <w:r w:rsidRPr="00573EA2">
              <w:rPr>
                <w:rFonts w:ascii="Verdana" w:hAnsi="Verdana"/>
                <w:i/>
                <w:color w:val="000000"/>
                <w:sz w:val="14"/>
                <w:szCs w:val="14"/>
                <w:lang w:val="it-IT"/>
              </w:rPr>
              <w:t>/202</w:t>
            </w:r>
            <w:r>
              <w:rPr>
                <w:rFonts w:ascii="Verdana" w:hAnsi="Verdana"/>
                <w:i/>
                <w:color w:val="000000"/>
                <w:sz w:val="14"/>
                <w:szCs w:val="14"/>
                <w:lang w:val="it-IT"/>
              </w:rPr>
              <w:t>1</w:t>
            </w:r>
            <w:r w:rsidRPr="00573EA2">
              <w:rPr>
                <w:rFonts w:ascii="Verdana" w:hAnsi="Verdana"/>
                <w:i/>
                <w:color w:val="000000"/>
                <w:sz w:val="14"/>
                <w:szCs w:val="14"/>
                <w:lang w:val="it-IT"/>
              </w:rPr>
              <w:t xml:space="preserve">). </w:t>
            </w:r>
          </w:p>
        </w:tc>
      </w:tr>
    </w:tbl>
    <w:p w14:paraId="0F808FD2" w14:textId="77777777" w:rsidR="006015AB" w:rsidRPr="002F5364" w:rsidRDefault="006015AB" w:rsidP="00681EB2">
      <w:pPr>
        <w:spacing w:after="0" w:line="340" w:lineRule="atLeast"/>
        <w:jc w:val="both"/>
        <w:rPr>
          <w:rFonts w:ascii="Verdana" w:hAnsi="Verdana"/>
          <w:color w:val="000000"/>
          <w:sz w:val="21"/>
          <w:szCs w:val="21"/>
          <w:lang w:val="it-IT"/>
        </w:rPr>
      </w:pPr>
    </w:p>
    <w:p w14:paraId="6D193A44" w14:textId="77777777" w:rsidR="00B1692D" w:rsidRDefault="00A547A7" w:rsidP="0048656A">
      <w:pPr>
        <w:spacing w:after="120" w:line="360" w:lineRule="atLeast"/>
        <w:jc w:val="both"/>
        <w:rPr>
          <w:rFonts w:ascii="Verdana" w:hAnsi="Verdana"/>
          <w:color w:val="000000"/>
          <w:sz w:val="21"/>
          <w:szCs w:val="21"/>
        </w:rPr>
      </w:pPr>
      <w:r w:rsidRPr="00E674AE">
        <w:rPr>
          <w:rFonts w:ascii="Verdana" w:hAnsi="Verdana"/>
          <w:b/>
          <w:bCs/>
          <w:color w:val="000000"/>
          <w:sz w:val="21"/>
          <w:szCs w:val="21"/>
        </w:rPr>
        <w:t>Satrix Managers</w:t>
      </w:r>
      <w:r>
        <w:rPr>
          <w:rFonts w:ascii="Verdana" w:hAnsi="Verdana"/>
          <w:color w:val="000000"/>
          <w:sz w:val="21"/>
          <w:szCs w:val="21"/>
        </w:rPr>
        <w:t xml:space="preserve"> </w:t>
      </w:r>
    </w:p>
    <w:p w14:paraId="2673AF93" w14:textId="7B62536D" w:rsidR="0013275D" w:rsidRDefault="00B1692D" w:rsidP="0048656A">
      <w:pPr>
        <w:spacing w:after="0" w:line="360" w:lineRule="atLeast"/>
        <w:jc w:val="both"/>
        <w:rPr>
          <w:rFonts w:ascii="Verdana" w:hAnsi="Verdana"/>
          <w:color w:val="000000"/>
          <w:sz w:val="21"/>
          <w:szCs w:val="21"/>
        </w:rPr>
      </w:pPr>
      <w:r>
        <w:rPr>
          <w:rFonts w:ascii="Verdana" w:hAnsi="Verdana"/>
          <w:color w:val="000000"/>
          <w:sz w:val="21"/>
          <w:szCs w:val="21"/>
        </w:rPr>
        <w:t>Since mid-year 2021, Satrix has taken back the top spot from Absa Capital as the biggest issue</w:t>
      </w:r>
      <w:r w:rsidR="00C130B1">
        <w:rPr>
          <w:rFonts w:ascii="Verdana" w:hAnsi="Verdana"/>
          <w:color w:val="000000"/>
          <w:sz w:val="21"/>
          <w:szCs w:val="21"/>
        </w:rPr>
        <w:t>r</w:t>
      </w:r>
      <w:r>
        <w:rPr>
          <w:rFonts w:ascii="Verdana" w:hAnsi="Verdana"/>
          <w:color w:val="000000"/>
          <w:sz w:val="21"/>
          <w:szCs w:val="21"/>
        </w:rPr>
        <w:t xml:space="preserve"> (measured by market capitalisation o</w:t>
      </w:r>
      <w:r w:rsidR="00C130B1">
        <w:rPr>
          <w:rFonts w:ascii="Verdana" w:hAnsi="Verdana"/>
          <w:color w:val="000000"/>
          <w:sz w:val="21"/>
          <w:szCs w:val="21"/>
        </w:rPr>
        <w:t>r</w:t>
      </w:r>
      <w:r>
        <w:rPr>
          <w:rFonts w:ascii="Verdana" w:hAnsi="Verdana"/>
          <w:color w:val="000000"/>
          <w:sz w:val="21"/>
          <w:szCs w:val="21"/>
        </w:rPr>
        <w:t xml:space="preserve"> AUM) in the </w:t>
      </w:r>
      <w:r w:rsidR="00C130B1">
        <w:rPr>
          <w:rFonts w:ascii="Verdana" w:hAnsi="Verdana"/>
          <w:color w:val="000000"/>
          <w:sz w:val="21"/>
          <w:szCs w:val="21"/>
        </w:rPr>
        <w:t>South</w:t>
      </w:r>
      <w:r>
        <w:rPr>
          <w:rFonts w:ascii="Verdana" w:hAnsi="Verdana"/>
          <w:color w:val="000000"/>
          <w:sz w:val="21"/>
          <w:szCs w:val="21"/>
        </w:rPr>
        <w:t xml:space="preserve"> Africa</w:t>
      </w:r>
      <w:r w:rsidR="00C130B1">
        <w:rPr>
          <w:rFonts w:ascii="Verdana" w:hAnsi="Verdana"/>
          <w:color w:val="000000"/>
          <w:sz w:val="21"/>
          <w:szCs w:val="21"/>
        </w:rPr>
        <w:t>n</w:t>
      </w:r>
      <w:r>
        <w:rPr>
          <w:rFonts w:ascii="Verdana" w:hAnsi="Verdana"/>
          <w:color w:val="000000"/>
          <w:sz w:val="21"/>
          <w:szCs w:val="21"/>
        </w:rPr>
        <w:t xml:space="preserve"> ETP industry.  </w:t>
      </w:r>
      <w:r w:rsidR="00C130B1">
        <w:rPr>
          <w:rFonts w:ascii="Verdana" w:hAnsi="Verdana"/>
          <w:color w:val="000000"/>
          <w:sz w:val="21"/>
          <w:szCs w:val="21"/>
        </w:rPr>
        <w:t>Satrix</w:t>
      </w:r>
      <w:r>
        <w:rPr>
          <w:rFonts w:ascii="Verdana" w:hAnsi="Verdana"/>
          <w:color w:val="000000"/>
          <w:sz w:val="21"/>
          <w:szCs w:val="21"/>
        </w:rPr>
        <w:t xml:space="preserve"> last held top spot late in 2008, so it has </w:t>
      </w:r>
      <w:r w:rsidR="00C130B1">
        <w:rPr>
          <w:rFonts w:ascii="Verdana" w:hAnsi="Verdana"/>
          <w:color w:val="000000"/>
          <w:sz w:val="21"/>
          <w:szCs w:val="21"/>
        </w:rPr>
        <w:t>taken</w:t>
      </w:r>
      <w:r>
        <w:rPr>
          <w:rFonts w:ascii="Verdana" w:hAnsi="Verdana"/>
          <w:color w:val="000000"/>
          <w:sz w:val="21"/>
          <w:szCs w:val="21"/>
        </w:rPr>
        <w:t xml:space="preserve"> a long time for Satrix to regain its predominant position in the </w:t>
      </w:r>
      <w:r w:rsidR="00C130B1">
        <w:rPr>
          <w:rFonts w:ascii="Verdana" w:hAnsi="Verdana"/>
          <w:color w:val="000000"/>
          <w:sz w:val="21"/>
          <w:szCs w:val="21"/>
        </w:rPr>
        <w:t>local</w:t>
      </w:r>
      <w:r w:rsidR="00867BCA">
        <w:rPr>
          <w:rFonts w:ascii="Verdana" w:hAnsi="Verdana"/>
          <w:color w:val="000000"/>
          <w:sz w:val="21"/>
          <w:szCs w:val="21"/>
        </w:rPr>
        <w:t xml:space="preserve"> ETP business. </w:t>
      </w:r>
    </w:p>
    <w:p w14:paraId="42D4855E" w14:textId="6E0D4255" w:rsidR="00867BCA" w:rsidRDefault="00867BCA" w:rsidP="0048656A">
      <w:pPr>
        <w:spacing w:after="0" w:line="360" w:lineRule="atLeast"/>
        <w:jc w:val="both"/>
        <w:rPr>
          <w:rFonts w:ascii="Verdana" w:hAnsi="Verdana"/>
          <w:color w:val="000000"/>
          <w:sz w:val="21"/>
          <w:szCs w:val="21"/>
        </w:rPr>
      </w:pPr>
    </w:p>
    <w:p w14:paraId="0DB6B942" w14:textId="062786FE" w:rsidR="00867BCA" w:rsidRDefault="00867BCA" w:rsidP="0048656A">
      <w:pPr>
        <w:spacing w:after="0" w:line="360" w:lineRule="atLeast"/>
        <w:jc w:val="both"/>
        <w:rPr>
          <w:rFonts w:ascii="Verdana" w:hAnsi="Verdana"/>
          <w:color w:val="000000"/>
          <w:sz w:val="21"/>
          <w:szCs w:val="21"/>
        </w:rPr>
      </w:pPr>
      <w:r>
        <w:rPr>
          <w:rFonts w:ascii="Verdana" w:hAnsi="Verdana"/>
          <w:color w:val="000000"/>
          <w:sz w:val="21"/>
          <w:szCs w:val="21"/>
        </w:rPr>
        <w:t>Satrix were very active in the third quarter of 2021.  Two new ETFs were issue</w:t>
      </w:r>
      <w:r w:rsidR="00C130B1">
        <w:rPr>
          <w:rFonts w:ascii="Verdana" w:hAnsi="Verdana"/>
          <w:color w:val="000000"/>
          <w:sz w:val="21"/>
          <w:szCs w:val="21"/>
        </w:rPr>
        <w:t>d</w:t>
      </w:r>
      <w:r>
        <w:rPr>
          <w:rFonts w:ascii="Verdana" w:hAnsi="Verdana"/>
          <w:color w:val="000000"/>
          <w:sz w:val="21"/>
          <w:szCs w:val="21"/>
        </w:rPr>
        <w:t xml:space="preserve">, namely: </w:t>
      </w:r>
    </w:p>
    <w:p w14:paraId="07B1C084" w14:textId="49334D69" w:rsidR="00867BCA" w:rsidRDefault="00867BCA" w:rsidP="0048656A">
      <w:pPr>
        <w:spacing w:after="0" w:line="360" w:lineRule="atLeast"/>
        <w:jc w:val="both"/>
        <w:rPr>
          <w:rFonts w:ascii="Verdana" w:hAnsi="Verdana"/>
          <w:color w:val="000000"/>
          <w:sz w:val="21"/>
          <w:szCs w:val="21"/>
        </w:rPr>
      </w:pPr>
    </w:p>
    <w:p w14:paraId="502D9D98" w14:textId="4FAAE6C7" w:rsidR="00867BCA" w:rsidRPr="00867BCA" w:rsidRDefault="00867BCA" w:rsidP="0048656A">
      <w:pPr>
        <w:pStyle w:val="ListParagraph"/>
        <w:numPr>
          <w:ilvl w:val="0"/>
          <w:numId w:val="22"/>
        </w:numPr>
        <w:spacing w:after="0" w:line="360" w:lineRule="atLeast"/>
        <w:jc w:val="both"/>
        <w:rPr>
          <w:rFonts w:ascii="Verdana" w:hAnsi="Verdana"/>
          <w:b/>
          <w:bCs/>
          <w:color w:val="000000"/>
          <w:sz w:val="21"/>
          <w:szCs w:val="21"/>
        </w:rPr>
      </w:pPr>
      <w:r w:rsidRPr="00867BCA">
        <w:rPr>
          <w:rFonts w:ascii="Verdana" w:hAnsi="Verdana"/>
          <w:b/>
          <w:bCs/>
          <w:color w:val="000000"/>
          <w:sz w:val="21"/>
          <w:szCs w:val="21"/>
        </w:rPr>
        <w:t>Satrix Global Infrastructure ETF</w:t>
      </w:r>
      <w:r w:rsidRPr="00867BCA">
        <w:rPr>
          <w:rFonts w:ascii="Verdana" w:hAnsi="Verdana"/>
          <w:color w:val="000000"/>
          <w:sz w:val="21"/>
          <w:szCs w:val="21"/>
        </w:rPr>
        <w:t xml:space="preserve"> – tracks an i</w:t>
      </w:r>
      <w:r>
        <w:rPr>
          <w:rFonts w:ascii="Verdana" w:hAnsi="Verdana"/>
          <w:color w:val="000000"/>
          <w:sz w:val="21"/>
          <w:szCs w:val="21"/>
        </w:rPr>
        <w:t>ndex of companies around the world that derive at least 65% of their revenue from infrastruc</w:t>
      </w:r>
      <w:r w:rsidR="0048656A">
        <w:rPr>
          <w:rFonts w:ascii="Verdana" w:hAnsi="Verdana"/>
          <w:color w:val="000000"/>
          <w:sz w:val="21"/>
          <w:szCs w:val="21"/>
        </w:rPr>
        <w:t>tur</w:t>
      </w:r>
      <w:r>
        <w:rPr>
          <w:rFonts w:ascii="Verdana" w:hAnsi="Verdana"/>
          <w:color w:val="000000"/>
          <w:sz w:val="21"/>
          <w:szCs w:val="21"/>
        </w:rPr>
        <w:t xml:space="preserve">al projects.  With major infrastructural programmes underway in the US, Europe and the Far East, predominantly driven by the need for “green infrastructure”, this ETF will probably prove to be a good long-term investment. </w:t>
      </w:r>
    </w:p>
    <w:p w14:paraId="1CB00FAE" w14:textId="77777777" w:rsidR="00867BCA" w:rsidRPr="00867BCA" w:rsidRDefault="00867BCA" w:rsidP="0048656A">
      <w:pPr>
        <w:pStyle w:val="ListParagraph"/>
        <w:spacing w:after="0" w:line="360" w:lineRule="atLeast"/>
        <w:jc w:val="both"/>
        <w:rPr>
          <w:rFonts w:ascii="Verdana" w:hAnsi="Verdana"/>
          <w:b/>
          <w:bCs/>
          <w:color w:val="000000"/>
          <w:sz w:val="21"/>
          <w:szCs w:val="21"/>
        </w:rPr>
      </w:pPr>
    </w:p>
    <w:p w14:paraId="7A844158" w14:textId="12547AF1" w:rsidR="00867BCA" w:rsidRPr="00867BCA" w:rsidRDefault="00867BCA" w:rsidP="0048656A">
      <w:pPr>
        <w:pStyle w:val="ListParagraph"/>
        <w:numPr>
          <w:ilvl w:val="0"/>
          <w:numId w:val="22"/>
        </w:numPr>
        <w:spacing w:after="0" w:line="360" w:lineRule="atLeast"/>
        <w:jc w:val="both"/>
        <w:rPr>
          <w:rFonts w:ascii="Verdana" w:hAnsi="Verdana"/>
          <w:b/>
          <w:bCs/>
          <w:color w:val="000000"/>
          <w:sz w:val="21"/>
          <w:szCs w:val="21"/>
        </w:rPr>
      </w:pPr>
      <w:r w:rsidRPr="00867BCA">
        <w:rPr>
          <w:rFonts w:ascii="Verdana" w:hAnsi="Verdana"/>
          <w:b/>
          <w:bCs/>
          <w:color w:val="000000"/>
          <w:sz w:val="21"/>
          <w:szCs w:val="21"/>
        </w:rPr>
        <w:t>Satrix Inclusion &amp; Diversity ETF</w:t>
      </w:r>
      <w:r w:rsidRPr="00867BCA">
        <w:rPr>
          <w:rFonts w:ascii="Verdana" w:hAnsi="Verdana"/>
          <w:color w:val="000000"/>
          <w:sz w:val="21"/>
          <w:szCs w:val="21"/>
        </w:rPr>
        <w:t xml:space="preserve"> </w:t>
      </w:r>
      <w:r>
        <w:rPr>
          <w:rFonts w:ascii="Verdana" w:hAnsi="Verdana"/>
          <w:color w:val="000000"/>
          <w:sz w:val="21"/>
          <w:szCs w:val="21"/>
        </w:rPr>
        <w:t>–</w:t>
      </w:r>
      <w:r w:rsidRPr="00867BCA">
        <w:rPr>
          <w:rFonts w:ascii="Verdana" w:hAnsi="Verdana"/>
          <w:color w:val="000000"/>
          <w:sz w:val="21"/>
          <w:szCs w:val="21"/>
        </w:rPr>
        <w:t xml:space="preserve"> track</w:t>
      </w:r>
      <w:r>
        <w:rPr>
          <w:rFonts w:ascii="Verdana" w:hAnsi="Verdana"/>
          <w:color w:val="000000"/>
          <w:sz w:val="21"/>
          <w:szCs w:val="21"/>
        </w:rPr>
        <w:t xml:space="preserve">s an index of 30 JSE-listed companies that best demonstrate diversity and inclusion in the workplace, based on gender, race, physical </w:t>
      </w:r>
      <w:r w:rsidR="00C130B1">
        <w:rPr>
          <w:rFonts w:ascii="Verdana" w:hAnsi="Verdana"/>
          <w:color w:val="000000"/>
          <w:sz w:val="21"/>
          <w:szCs w:val="21"/>
        </w:rPr>
        <w:t>ability</w:t>
      </w:r>
      <w:r>
        <w:rPr>
          <w:rFonts w:ascii="Verdana" w:hAnsi="Verdana"/>
          <w:color w:val="000000"/>
          <w:sz w:val="21"/>
          <w:szCs w:val="21"/>
        </w:rPr>
        <w:t xml:space="preserve"> and background.  </w:t>
      </w:r>
    </w:p>
    <w:p w14:paraId="394C53AA" w14:textId="567D8FFF" w:rsidR="0048656A" w:rsidRDefault="0048656A">
      <w:pPr>
        <w:rPr>
          <w:rFonts w:ascii="Verdana" w:hAnsi="Verdana"/>
          <w:b/>
          <w:bCs/>
          <w:color w:val="000000"/>
          <w:sz w:val="21"/>
          <w:szCs w:val="21"/>
        </w:rPr>
      </w:pPr>
      <w:r>
        <w:rPr>
          <w:rFonts w:ascii="Verdana" w:hAnsi="Verdana"/>
          <w:b/>
          <w:bCs/>
          <w:color w:val="000000"/>
          <w:sz w:val="21"/>
          <w:szCs w:val="21"/>
        </w:rPr>
        <w:br w:type="page"/>
      </w:r>
    </w:p>
    <w:p w14:paraId="2A0A17DC" w14:textId="77777777" w:rsidR="00867BCA" w:rsidRPr="00867BCA" w:rsidRDefault="00867BCA" w:rsidP="0048656A">
      <w:pPr>
        <w:pStyle w:val="ListParagraph"/>
        <w:spacing w:after="0" w:line="360" w:lineRule="atLeast"/>
        <w:jc w:val="both"/>
        <w:rPr>
          <w:rFonts w:ascii="Verdana" w:hAnsi="Verdana"/>
          <w:b/>
          <w:bCs/>
          <w:color w:val="000000"/>
          <w:sz w:val="21"/>
          <w:szCs w:val="21"/>
        </w:rPr>
      </w:pPr>
    </w:p>
    <w:p w14:paraId="3B8A0771" w14:textId="03D06691" w:rsidR="00867BCA" w:rsidRDefault="00867BCA"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Late in the third quarter, it was announced that the purchase of Absa’s </w:t>
      </w:r>
      <w:r w:rsidR="004B7AF5">
        <w:rPr>
          <w:rFonts w:ascii="Verdana" w:hAnsi="Verdana"/>
          <w:color w:val="000000"/>
          <w:sz w:val="21"/>
          <w:szCs w:val="21"/>
        </w:rPr>
        <w:t xml:space="preserve">managed </w:t>
      </w:r>
      <w:r>
        <w:rPr>
          <w:rFonts w:ascii="Verdana" w:hAnsi="Verdana"/>
          <w:color w:val="000000"/>
          <w:sz w:val="21"/>
          <w:szCs w:val="21"/>
        </w:rPr>
        <w:t>investments</w:t>
      </w:r>
      <w:r w:rsidR="004B7AF5">
        <w:rPr>
          <w:rFonts w:ascii="Verdana" w:hAnsi="Verdana"/>
          <w:color w:val="000000"/>
          <w:sz w:val="21"/>
          <w:szCs w:val="21"/>
        </w:rPr>
        <w:t xml:space="preserve"> division</w:t>
      </w:r>
      <w:r>
        <w:rPr>
          <w:rFonts w:ascii="Verdana" w:hAnsi="Verdana"/>
          <w:color w:val="000000"/>
          <w:sz w:val="21"/>
          <w:szCs w:val="21"/>
        </w:rPr>
        <w:t xml:space="preserve"> by Sanlam, w</w:t>
      </w:r>
      <w:r w:rsidR="004B7AF5">
        <w:rPr>
          <w:rFonts w:ascii="Verdana" w:hAnsi="Verdana"/>
          <w:color w:val="000000"/>
          <w:sz w:val="21"/>
          <w:szCs w:val="21"/>
        </w:rPr>
        <w:t>ill</w:t>
      </w:r>
      <w:r>
        <w:rPr>
          <w:rFonts w:ascii="Verdana" w:hAnsi="Verdana"/>
          <w:color w:val="000000"/>
          <w:sz w:val="21"/>
          <w:szCs w:val="21"/>
        </w:rPr>
        <w:t xml:space="preserve"> include the NewFunds ETFs, </w:t>
      </w:r>
      <w:r w:rsidR="004B7AF5">
        <w:rPr>
          <w:rFonts w:ascii="Verdana" w:hAnsi="Verdana"/>
          <w:color w:val="000000"/>
          <w:sz w:val="21"/>
          <w:szCs w:val="21"/>
        </w:rPr>
        <w:t>less</w:t>
      </w:r>
      <w:r>
        <w:rPr>
          <w:rFonts w:ascii="Verdana" w:hAnsi="Verdana"/>
          <w:color w:val="000000"/>
          <w:sz w:val="21"/>
          <w:szCs w:val="21"/>
        </w:rPr>
        <w:t xml:space="preserve"> the commodity-based ETFs which will remain with Absa Capital, as will the ETNs.  </w:t>
      </w:r>
    </w:p>
    <w:p w14:paraId="42FFEEBF" w14:textId="6F76E016" w:rsidR="00867BCA" w:rsidRDefault="00867BCA" w:rsidP="0048656A">
      <w:pPr>
        <w:spacing w:after="0" w:line="360" w:lineRule="atLeast"/>
        <w:jc w:val="both"/>
        <w:rPr>
          <w:rFonts w:ascii="Verdana" w:hAnsi="Verdana"/>
          <w:color w:val="000000"/>
          <w:sz w:val="21"/>
          <w:szCs w:val="21"/>
        </w:rPr>
      </w:pPr>
    </w:p>
    <w:p w14:paraId="3E7FAFDE" w14:textId="6D386B7C" w:rsidR="00867BCA" w:rsidRDefault="00867BCA"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The deal, when it is finalised, probably only </w:t>
      </w:r>
      <w:r w:rsidR="004B7AF5">
        <w:rPr>
          <w:rFonts w:ascii="Verdana" w:hAnsi="Verdana"/>
          <w:color w:val="000000"/>
          <w:sz w:val="21"/>
          <w:szCs w:val="21"/>
        </w:rPr>
        <w:t>i</w:t>
      </w:r>
      <w:r>
        <w:rPr>
          <w:rFonts w:ascii="Verdana" w:hAnsi="Verdana"/>
          <w:color w:val="000000"/>
          <w:sz w:val="21"/>
          <w:szCs w:val="21"/>
        </w:rPr>
        <w:t xml:space="preserve">n the first half of 2022, will add 15 ETFs to the Satrix stable, with a value of R4 850 million (at 30/9/2021).  This will likely help cement Satrix Managers’ position as the </w:t>
      </w:r>
      <w:r w:rsidR="004B7AF5">
        <w:rPr>
          <w:rFonts w:ascii="Verdana" w:hAnsi="Verdana"/>
          <w:color w:val="000000"/>
          <w:sz w:val="21"/>
          <w:szCs w:val="21"/>
        </w:rPr>
        <w:t>biggest</w:t>
      </w:r>
      <w:r>
        <w:rPr>
          <w:rFonts w:ascii="Verdana" w:hAnsi="Verdana"/>
          <w:color w:val="000000"/>
          <w:sz w:val="21"/>
          <w:szCs w:val="21"/>
        </w:rPr>
        <w:t xml:space="preserve"> provider in the SA ETP industry. </w:t>
      </w:r>
    </w:p>
    <w:p w14:paraId="3E0F1531" w14:textId="60420DD0" w:rsidR="00867BCA" w:rsidRDefault="00867BCA" w:rsidP="0048656A">
      <w:pPr>
        <w:spacing w:line="360" w:lineRule="atLeast"/>
        <w:jc w:val="both"/>
        <w:rPr>
          <w:rFonts w:ascii="Verdana" w:hAnsi="Verdana"/>
          <w:color w:val="000000"/>
          <w:sz w:val="21"/>
          <w:szCs w:val="21"/>
        </w:rPr>
      </w:pPr>
    </w:p>
    <w:p w14:paraId="04710B51" w14:textId="2F0AA77A" w:rsidR="00867BCA" w:rsidRDefault="00867BCA" w:rsidP="0048656A">
      <w:pPr>
        <w:spacing w:after="120" w:line="360" w:lineRule="atLeast"/>
        <w:jc w:val="both"/>
        <w:rPr>
          <w:rFonts w:ascii="Verdana" w:hAnsi="Verdana"/>
          <w:color w:val="000000"/>
          <w:sz w:val="21"/>
          <w:szCs w:val="21"/>
        </w:rPr>
      </w:pPr>
      <w:r>
        <w:rPr>
          <w:rFonts w:ascii="Verdana" w:hAnsi="Verdana"/>
          <w:b/>
          <w:bCs/>
          <w:color w:val="000000"/>
          <w:sz w:val="21"/>
          <w:szCs w:val="21"/>
        </w:rPr>
        <w:t>Sygnia Itrix</w:t>
      </w:r>
    </w:p>
    <w:p w14:paraId="39F03505" w14:textId="1F15F51C" w:rsidR="00867BCA" w:rsidRDefault="002519C3" w:rsidP="0048656A">
      <w:pPr>
        <w:spacing w:after="0" w:line="360" w:lineRule="atLeast"/>
        <w:jc w:val="both"/>
        <w:rPr>
          <w:rFonts w:ascii="Verdana" w:hAnsi="Verdana"/>
          <w:color w:val="000000"/>
          <w:sz w:val="21"/>
          <w:szCs w:val="21"/>
        </w:rPr>
      </w:pPr>
      <w:r>
        <w:rPr>
          <w:rFonts w:ascii="Verdana" w:hAnsi="Verdana"/>
          <w:color w:val="000000"/>
          <w:sz w:val="21"/>
          <w:szCs w:val="21"/>
        </w:rPr>
        <w:t>Sygnia Itrix h</w:t>
      </w:r>
      <w:r w:rsidR="00867BCA">
        <w:rPr>
          <w:rFonts w:ascii="Verdana" w:hAnsi="Verdana"/>
          <w:color w:val="000000"/>
          <w:sz w:val="21"/>
          <w:szCs w:val="21"/>
        </w:rPr>
        <w:t xml:space="preserve">as </w:t>
      </w:r>
      <w:r w:rsidR="004B7AF5">
        <w:rPr>
          <w:rFonts w:ascii="Verdana" w:hAnsi="Verdana"/>
          <w:color w:val="000000"/>
          <w:sz w:val="21"/>
          <w:szCs w:val="21"/>
        </w:rPr>
        <w:t xml:space="preserve">also </w:t>
      </w:r>
      <w:r w:rsidR="00867BCA">
        <w:rPr>
          <w:rFonts w:ascii="Verdana" w:hAnsi="Verdana"/>
          <w:color w:val="000000"/>
          <w:sz w:val="21"/>
          <w:szCs w:val="21"/>
        </w:rPr>
        <w:t xml:space="preserve">climbed above Absa Capital, to </w:t>
      </w:r>
      <w:r w:rsidR="004B7AF5">
        <w:rPr>
          <w:rFonts w:ascii="Verdana" w:hAnsi="Verdana"/>
          <w:color w:val="000000"/>
          <w:sz w:val="21"/>
          <w:szCs w:val="21"/>
        </w:rPr>
        <w:t xml:space="preserve">closely follow </w:t>
      </w:r>
      <w:r w:rsidR="00867BCA">
        <w:rPr>
          <w:rFonts w:ascii="Verdana" w:hAnsi="Verdana"/>
          <w:color w:val="000000"/>
          <w:sz w:val="21"/>
          <w:szCs w:val="21"/>
        </w:rPr>
        <w:t xml:space="preserve">Satrix in second place in the local ETP industry.  Like Satrix, Sygnia Itrix benefits from its mix of diversified ETFs </w:t>
      </w:r>
      <w:r>
        <w:rPr>
          <w:rFonts w:ascii="Verdana" w:hAnsi="Verdana"/>
          <w:color w:val="000000"/>
          <w:sz w:val="21"/>
          <w:szCs w:val="21"/>
        </w:rPr>
        <w:t xml:space="preserve">covering most major global equity markets. </w:t>
      </w:r>
    </w:p>
    <w:p w14:paraId="6C857784" w14:textId="5746F165" w:rsidR="002519C3" w:rsidRDefault="002519C3" w:rsidP="0048656A">
      <w:pPr>
        <w:spacing w:after="0" w:line="360" w:lineRule="atLeast"/>
        <w:jc w:val="both"/>
        <w:rPr>
          <w:rFonts w:ascii="Verdana" w:hAnsi="Verdana"/>
          <w:color w:val="000000"/>
          <w:sz w:val="21"/>
          <w:szCs w:val="21"/>
        </w:rPr>
      </w:pPr>
    </w:p>
    <w:p w14:paraId="56593F44" w14:textId="0133252A" w:rsidR="002519C3" w:rsidRDefault="002519C3"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It has also pioneered the “thematic” ETF space in the South African market, through its </w:t>
      </w:r>
      <w:r w:rsidR="004B7AF5">
        <w:rPr>
          <w:rFonts w:ascii="Verdana" w:hAnsi="Verdana"/>
          <w:color w:val="000000"/>
          <w:sz w:val="21"/>
          <w:szCs w:val="21"/>
        </w:rPr>
        <w:t xml:space="preserve">listing </w:t>
      </w:r>
      <w:r>
        <w:rPr>
          <w:rFonts w:ascii="Verdana" w:hAnsi="Verdana"/>
          <w:color w:val="000000"/>
          <w:sz w:val="21"/>
          <w:szCs w:val="21"/>
        </w:rPr>
        <w:t>of the Sygnia Itrix 4</w:t>
      </w:r>
      <w:r w:rsidRPr="002519C3">
        <w:rPr>
          <w:rFonts w:ascii="Verdana" w:hAnsi="Verdana"/>
          <w:color w:val="000000"/>
          <w:sz w:val="21"/>
          <w:szCs w:val="21"/>
          <w:vertAlign w:val="superscript"/>
        </w:rPr>
        <w:t>th</w:t>
      </w:r>
      <w:r>
        <w:rPr>
          <w:rFonts w:ascii="Verdana" w:hAnsi="Verdana"/>
          <w:color w:val="000000"/>
          <w:sz w:val="21"/>
          <w:szCs w:val="21"/>
        </w:rPr>
        <w:t xml:space="preserve"> Industrial Revolution ETF, back in 2017.  </w:t>
      </w:r>
    </w:p>
    <w:p w14:paraId="1182DD4A" w14:textId="77777777" w:rsidR="002519C3" w:rsidRDefault="002519C3" w:rsidP="0048656A">
      <w:pPr>
        <w:spacing w:after="0" w:line="360" w:lineRule="atLeast"/>
        <w:jc w:val="both"/>
        <w:rPr>
          <w:rFonts w:ascii="Verdana" w:hAnsi="Verdana"/>
          <w:color w:val="000000"/>
          <w:sz w:val="21"/>
          <w:szCs w:val="21"/>
        </w:rPr>
      </w:pPr>
    </w:p>
    <w:p w14:paraId="57A7A601" w14:textId="68F037B2" w:rsidR="002519C3" w:rsidRDefault="002519C3"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Newly </w:t>
      </w:r>
      <w:r w:rsidR="004B7AF5">
        <w:rPr>
          <w:rFonts w:ascii="Verdana" w:hAnsi="Verdana"/>
          <w:color w:val="000000"/>
          <w:sz w:val="21"/>
          <w:szCs w:val="21"/>
        </w:rPr>
        <w:t>issued</w:t>
      </w:r>
      <w:r>
        <w:rPr>
          <w:rFonts w:ascii="Verdana" w:hAnsi="Verdana"/>
          <w:color w:val="000000"/>
          <w:sz w:val="21"/>
          <w:szCs w:val="21"/>
        </w:rPr>
        <w:t xml:space="preserve"> in the </w:t>
      </w:r>
      <w:r w:rsidR="004B7AF5">
        <w:rPr>
          <w:rFonts w:ascii="Verdana" w:hAnsi="Verdana"/>
          <w:color w:val="000000"/>
          <w:sz w:val="21"/>
          <w:szCs w:val="21"/>
        </w:rPr>
        <w:t>third</w:t>
      </w:r>
      <w:r>
        <w:rPr>
          <w:rFonts w:ascii="Verdana" w:hAnsi="Verdana"/>
          <w:color w:val="000000"/>
          <w:sz w:val="21"/>
          <w:szCs w:val="21"/>
        </w:rPr>
        <w:t xml:space="preserve"> quarter was the </w:t>
      </w:r>
      <w:r>
        <w:rPr>
          <w:rFonts w:ascii="Verdana" w:hAnsi="Verdana"/>
          <w:b/>
          <w:bCs/>
          <w:color w:val="000000"/>
          <w:sz w:val="21"/>
          <w:szCs w:val="21"/>
        </w:rPr>
        <w:t>Sygnia Itrix Solactive Healthcare 150 ETF</w:t>
      </w:r>
      <w:r>
        <w:rPr>
          <w:rFonts w:ascii="Verdana" w:hAnsi="Verdana"/>
          <w:color w:val="000000"/>
          <w:sz w:val="21"/>
          <w:szCs w:val="21"/>
        </w:rPr>
        <w:t>, listed on 6 August 2021.  This ETF tracks 150 companies in the healthcare business spread across all developed markets.  The</w:t>
      </w:r>
      <w:r w:rsidR="004B7AF5">
        <w:rPr>
          <w:rFonts w:ascii="Verdana" w:hAnsi="Verdana"/>
          <w:color w:val="000000"/>
          <w:sz w:val="21"/>
          <w:szCs w:val="21"/>
        </w:rPr>
        <w:t>se</w:t>
      </w:r>
      <w:r>
        <w:rPr>
          <w:rFonts w:ascii="Verdana" w:hAnsi="Verdana"/>
          <w:color w:val="000000"/>
          <w:sz w:val="21"/>
          <w:szCs w:val="21"/>
        </w:rPr>
        <w:t xml:space="preserve"> innovati</w:t>
      </w:r>
      <w:r w:rsidR="004B7AF5">
        <w:rPr>
          <w:rFonts w:ascii="Verdana" w:hAnsi="Verdana"/>
          <w:color w:val="000000"/>
          <w:sz w:val="21"/>
          <w:szCs w:val="21"/>
        </w:rPr>
        <w:t>ve</w:t>
      </w:r>
      <w:r>
        <w:rPr>
          <w:rFonts w:ascii="Verdana" w:hAnsi="Verdana"/>
          <w:color w:val="000000"/>
          <w:sz w:val="21"/>
          <w:szCs w:val="21"/>
        </w:rPr>
        <w:t xml:space="preserve"> healthcare companies are likely to comprise a mega-trend in the next decade or more, which is the key </w:t>
      </w:r>
      <w:r w:rsidR="004B7AF5">
        <w:rPr>
          <w:rFonts w:ascii="Verdana" w:hAnsi="Verdana"/>
          <w:color w:val="000000"/>
          <w:sz w:val="21"/>
          <w:szCs w:val="21"/>
        </w:rPr>
        <w:t>long-term focus</w:t>
      </w:r>
      <w:r>
        <w:rPr>
          <w:rFonts w:ascii="Verdana" w:hAnsi="Verdana"/>
          <w:color w:val="000000"/>
          <w:sz w:val="21"/>
          <w:szCs w:val="21"/>
        </w:rPr>
        <w:t xml:space="preserve"> of thematic-type ETFs. </w:t>
      </w:r>
    </w:p>
    <w:p w14:paraId="21271B5B" w14:textId="74514500" w:rsidR="002519C3" w:rsidRDefault="002519C3" w:rsidP="0048656A">
      <w:pPr>
        <w:spacing w:after="0" w:line="360" w:lineRule="atLeast"/>
        <w:jc w:val="both"/>
        <w:rPr>
          <w:rFonts w:ascii="Verdana" w:hAnsi="Verdana"/>
          <w:color w:val="000000"/>
          <w:sz w:val="21"/>
          <w:szCs w:val="21"/>
        </w:rPr>
      </w:pPr>
    </w:p>
    <w:p w14:paraId="6CD1141F" w14:textId="3FDE696D" w:rsidR="002519C3" w:rsidRPr="002519C3" w:rsidRDefault="002519C3"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Sygnia Itrix is reported to be </w:t>
      </w:r>
      <w:r w:rsidR="004B7AF5">
        <w:rPr>
          <w:rFonts w:ascii="Verdana" w:hAnsi="Verdana"/>
          <w:color w:val="000000"/>
          <w:sz w:val="21"/>
          <w:szCs w:val="21"/>
        </w:rPr>
        <w:t>considering the introduction of</w:t>
      </w:r>
      <w:r>
        <w:rPr>
          <w:rFonts w:ascii="Verdana" w:hAnsi="Verdana"/>
          <w:color w:val="000000"/>
          <w:sz w:val="21"/>
          <w:szCs w:val="21"/>
        </w:rPr>
        <w:t xml:space="preserve"> further thematic ETFs to the South Africa market and these products will be awaited with keen interest. </w:t>
      </w:r>
    </w:p>
    <w:p w14:paraId="49BFF1C1" w14:textId="63AA514D" w:rsidR="00867BCA" w:rsidRDefault="00867BCA" w:rsidP="0048656A">
      <w:pPr>
        <w:spacing w:after="0" w:line="360" w:lineRule="atLeast"/>
        <w:jc w:val="both"/>
        <w:rPr>
          <w:rFonts w:ascii="Verdana" w:hAnsi="Verdana"/>
          <w:color w:val="000000"/>
          <w:sz w:val="21"/>
          <w:szCs w:val="21"/>
        </w:rPr>
      </w:pPr>
    </w:p>
    <w:p w14:paraId="137B5F03" w14:textId="77777777" w:rsidR="002519C3" w:rsidRDefault="006B399B" w:rsidP="004B7AF5">
      <w:pPr>
        <w:spacing w:after="120" w:line="360" w:lineRule="atLeast"/>
        <w:jc w:val="both"/>
        <w:rPr>
          <w:rFonts w:ascii="Verdana" w:hAnsi="Verdana"/>
          <w:color w:val="000000"/>
          <w:sz w:val="21"/>
          <w:szCs w:val="21"/>
        </w:rPr>
      </w:pPr>
      <w:r>
        <w:rPr>
          <w:rFonts w:ascii="Verdana" w:hAnsi="Verdana"/>
          <w:b/>
          <w:bCs/>
          <w:color w:val="000000"/>
          <w:sz w:val="21"/>
          <w:szCs w:val="21"/>
        </w:rPr>
        <w:t>Absa Capital</w:t>
      </w:r>
      <w:r>
        <w:rPr>
          <w:rFonts w:ascii="Verdana" w:hAnsi="Verdana"/>
          <w:color w:val="000000"/>
          <w:sz w:val="21"/>
          <w:szCs w:val="21"/>
        </w:rPr>
        <w:t xml:space="preserve"> </w:t>
      </w:r>
    </w:p>
    <w:p w14:paraId="4106C96B" w14:textId="2DE81925" w:rsidR="00EE2E17" w:rsidRDefault="002519C3" w:rsidP="0048656A">
      <w:pPr>
        <w:spacing w:after="0" w:line="360" w:lineRule="atLeast"/>
        <w:jc w:val="both"/>
        <w:rPr>
          <w:rFonts w:ascii="Verdana" w:hAnsi="Verdana"/>
          <w:color w:val="000000"/>
          <w:sz w:val="21"/>
          <w:szCs w:val="21"/>
        </w:rPr>
      </w:pPr>
      <w:r>
        <w:rPr>
          <w:rFonts w:ascii="Verdana" w:hAnsi="Verdana"/>
          <w:color w:val="000000"/>
          <w:sz w:val="21"/>
          <w:szCs w:val="21"/>
        </w:rPr>
        <w:t>Ab</w:t>
      </w:r>
      <w:r w:rsidR="006B399B">
        <w:rPr>
          <w:rFonts w:ascii="Verdana" w:hAnsi="Verdana"/>
          <w:color w:val="000000"/>
          <w:sz w:val="21"/>
          <w:szCs w:val="21"/>
        </w:rPr>
        <w:t>s</w:t>
      </w:r>
      <w:r>
        <w:rPr>
          <w:rFonts w:ascii="Verdana" w:hAnsi="Verdana"/>
          <w:color w:val="000000"/>
          <w:sz w:val="21"/>
          <w:szCs w:val="21"/>
        </w:rPr>
        <w:t xml:space="preserve">a’s focus on commodity referenced ETFs, which </w:t>
      </w:r>
      <w:r w:rsidR="004B7AF5">
        <w:rPr>
          <w:rFonts w:ascii="Verdana" w:hAnsi="Verdana"/>
          <w:color w:val="000000"/>
          <w:sz w:val="21"/>
          <w:szCs w:val="21"/>
        </w:rPr>
        <w:t>h</w:t>
      </w:r>
      <w:r>
        <w:rPr>
          <w:rFonts w:ascii="Verdana" w:hAnsi="Verdana"/>
          <w:color w:val="000000"/>
          <w:sz w:val="21"/>
          <w:szCs w:val="21"/>
        </w:rPr>
        <w:t xml:space="preserve">as driven its growth to </w:t>
      </w:r>
      <w:r w:rsidR="004B7AF5">
        <w:rPr>
          <w:rFonts w:ascii="Verdana" w:hAnsi="Verdana"/>
          <w:color w:val="000000"/>
          <w:sz w:val="21"/>
          <w:szCs w:val="21"/>
        </w:rPr>
        <w:t xml:space="preserve">becoming </w:t>
      </w:r>
      <w:r>
        <w:rPr>
          <w:rFonts w:ascii="Verdana" w:hAnsi="Verdana"/>
          <w:color w:val="000000"/>
          <w:sz w:val="21"/>
          <w:szCs w:val="21"/>
        </w:rPr>
        <w:t xml:space="preserve">the biggest participant in the SA ETP industry from 2008 to 2020, finally experienced a </w:t>
      </w:r>
      <w:r w:rsidR="0048656A">
        <w:rPr>
          <w:rFonts w:ascii="Verdana" w:hAnsi="Verdana"/>
          <w:color w:val="000000"/>
          <w:sz w:val="21"/>
          <w:szCs w:val="21"/>
        </w:rPr>
        <w:t>nemesis</w:t>
      </w:r>
      <w:r>
        <w:rPr>
          <w:rFonts w:ascii="Verdana" w:hAnsi="Verdana"/>
          <w:color w:val="000000"/>
          <w:sz w:val="21"/>
          <w:szCs w:val="21"/>
        </w:rPr>
        <w:t xml:space="preserve"> this year, with the </w:t>
      </w:r>
      <w:r w:rsidR="004B7AF5">
        <w:rPr>
          <w:rFonts w:ascii="Verdana" w:hAnsi="Verdana"/>
          <w:color w:val="000000"/>
          <w:sz w:val="21"/>
          <w:szCs w:val="21"/>
        </w:rPr>
        <w:t xml:space="preserve">recent </w:t>
      </w:r>
      <w:r>
        <w:rPr>
          <w:rFonts w:ascii="Verdana" w:hAnsi="Verdana"/>
          <w:color w:val="000000"/>
          <w:sz w:val="21"/>
          <w:szCs w:val="21"/>
        </w:rPr>
        <w:t>sharp drop in precious metal prices.  Of course, fundamental demand factors still look favourable for Platinum Group Metals, in particular, when slow</w:t>
      </w:r>
      <w:r w:rsidR="004B7AF5">
        <w:rPr>
          <w:rFonts w:ascii="Verdana" w:hAnsi="Verdana"/>
          <w:color w:val="000000"/>
          <w:sz w:val="21"/>
          <w:szCs w:val="21"/>
        </w:rPr>
        <w:t>ing</w:t>
      </w:r>
      <w:r>
        <w:rPr>
          <w:rFonts w:ascii="Verdana" w:hAnsi="Verdana"/>
          <w:color w:val="000000"/>
          <w:sz w:val="21"/>
          <w:szCs w:val="21"/>
        </w:rPr>
        <w:t xml:space="preserve"> </w:t>
      </w:r>
      <w:r w:rsidR="004B7AF5">
        <w:rPr>
          <w:rFonts w:ascii="Verdana" w:hAnsi="Verdana"/>
          <w:color w:val="000000"/>
          <w:sz w:val="21"/>
          <w:szCs w:val="21"/>
        </w:rPr>
        <w:t xml:space="preserve">automobile industry </w:t>
      </w:r>
      <w:r>
        <w:rPr>
          <w:rFonts w:ascii="Verdana" w:hAnsi="Verdana"/>
          <w:color w:val="000000"/>
          <w:sz w:val="21"/>
          <w:szCs w:val="21"/>
        </w:rPr>
        <w:t xml:space="preserve">demand caused by the global shortage of semi-conductors and electronic chips are redressed, but the speculative demand </w:t>
      </w:r>
      <w:r w:rsidR="004B7AF5">
        <w:rPr>
          <w:rFonts w:ascii="Verdana" w:hAnsi="Verdana"/>
          <w:color w:val="000000"/>
          <w:sz w:val="21"/>
          <w:szCs w:val="21"/>
        </w:rPr>
        <w:t xml:space="preserve">that </w:t>
      </w:r>
      <w:r>
        <w:rPr>
          <w:rFonts w:ascii="Verdana" w:hAnsi="Verdana"/>
          <w:color w:val="000000"/>
          <w:sz w:val="21"/>
          <w:szCs w:val="21"/>
        </w:rPr>
        <w:t>drove PGM prices to re</w:t>
      </w:r>
      <w:r w:rsidR="004B7AF5">
        <w:rPr>
          <w:rFonts w:ascii="Verdana" w:hAnsi="Verdana"/>
          <w:color w:val="000000"/>
          <w:sz w:val="21"/>
          <w:szCs w:val="21"/>
        </w:rPr>
        <w:t>cord</w:t>
      </w:r>
      <w:r>
        <w:rPr>
          <w:rFonts w:ascii="Verdana" w:hAnsi="Verdana"/>
          <w:color w:val="000000"/>
          <w:sz w:val="21"/>
          <w:szCs w:val="21"/>
        </w:rPr>
        <w:t xml:space="preserve"> highs in late-2020, will be </w:t>
      </w:r>
      <w:r w:rsidR="004B7AF5">
        <w:rPr>
          <w:rFonts w:ascii="Verdana" w:hAnsi="Verdana"/>
          <w:color w:val="000000"/>
          <w:sz w:val="21"/>
          <w:szCs w:val="21"/>
        </w:rPr>
        <w:t>followed</w:t>
      </w:r>
      <w:r>
        <w:rPr>
          <w:rFonts w:ascii="Verdana" w:hAnsi="Verdana"/>
          <w:color w:val="000000"/>
          <w:sz w:val="21"/>
          <w:szCs w:val="21"/>
        </w:rPr>
        <w:t xml:space="preserve"> with </w:t>
      </w:r>
      <w:r w:rsidR="004B7AF5">
        <w:rPr>
          <w:rFonts w:ascii="Verdana" w:hAnsi="Verdana"/>
          <w:color w:val="000000"/>
          <w:sz w:val="21"/>
          <w:szCs w:val="21"/>
        </w:rPr>
        <w:t>greater</w:t>
      </w:r>
      <w:r>
        <w:rPr>
          <w:rFonts w:ascii="Verdana" w:hAnsi="Verdana"/>
          <w:color w:val="000000"/>
          <w:sz w:val="21"/>
          <w:szCs w:val="21"/>
        </w:rPr>
        <w:t xml:space="preserve"> caution by many investors. </w:t>
      </w:r>
    </w:p>
    <w:p w14:paraId="374A6C0B" w14:textId="3D1FAD60" w:rsidR="002519C3" w:rsidRDefault="002519C3" w:rsidP="0048656A">
      <w:pPr>
        <w:spacing w:after="0" w:line="360" w:lineRule="atLeast"/>
        <w:jc w:val="both"/>
        <w:rPr>
          <w:rFonts w:ascii="Verdana" w:hAnsi="Verdana"/>
          <w:color w:val="000000"/>
          <w:sz w:val="21"/>
          <w:szCs w:val="21"/>
        </w:rPr>
      </w:pPr>
    </w:p>
    <w:p w14:paraId="034B1904" w14:textId="0BF665B7" w:rsidR="002519C3" w:rsidRDefault="002519C3" w:rsidP="0048656A">
      <w:pPr>
        <w:spacing w:after="0" w:line="360" w:lineRule="atLeast"/>
        <w:jc w:val="both"/>
        <w:rPr>
          <w:rFonts w:ascii="Verdana" w:hAnsi="Verdana"/>
          <w:color w:val="000000"/>
          <w:sz w:val="21"/>
          <w:szCs w:val="21"/>
        </w:rPr>
      </w:pPr>
      <w:r>
        <w:rPr>
          <w:rFonts w:ascii="Verdana" w:hAnsi="Verdana"/>
          <w:color w:val="000000"/>
          <w:sz w:val="21"/>
          <w:szCs w:val="21"/>
        </w:rPr>
        <w:t>The sale of the Absa non-commodity ETFs to Sanlam/Satrix, will also have an impact on Absa</w:t>
      </w:r>
      <w:r w:rsidR="00681EB2">
        <w:rPr>
          <w:rFonts w:ascii="Verdana" w:hAnsi="Verdana"/>
          <w:color w:val="000000"/>
          <w:sz w:val="21"/>
          <w:szCs w:val="21"/>
        </w:rPr>
        <w:t xml:space="preserve">’s ETP business and their </w:t>
      </w:r>
      <w:r w:rsidR="004B7AF5">
        <w:rPr>
          <w:rFonts w:ascii="Verdana" w:hAnsi="Verdana"/>
          <w:color w:val="000000"/>
          <w:sz w:val="21"/>
          <w:szCs w:val="21"/>
        </w:rPr>
        <w:t xml:space="preserve">future </w:t>
      </w:r>
      <w:r w:rsidR="00681EB2">
        <w:rPr>
          <w:rFonts w:ascii="Verdana" w:hAnsi="Verdana"/>
          <w:color w:val="000000"/>
          <w:sz w:val="21"/>
          <w:szCs w:val="21"/>
        </w:rPr>
        <w:t xml:space="preserve">restructuring plans and strategies, will be of interest. </w:t>
      </w:r>
    </w:p>
    <w:p w14:paraId="6789EF93" w14:textId="6118DBEC" w:rsidR="0048656A" w:rsidRDefault="0048656A">
      <w:pPr>
        <w:rPr>
          <w:rFonts w:ascii="Verdana" w:hAnsi="Verdana"/>
          <w:color w:val="000000"/>
          <w:sz w:val="21"/>
          <w:szCs w:val="21"/>
        </w:rPr>
      </w:pPr>
      <w:r>
        <w:rPr>
          <w:rFonts w:ascii="Verdana" w:hAnsi="Verdana"/>
          <w:color w:val="000000"/>
          <w:sz w:val="21"/>
          <w:szCs w:val="21"/>
        </w:rPr>
        <w:br w:type="page"/>
      </w:r>
    </w:p>
    <w:p w14:paraId="11B9D423" w14:textId="77777777" w:rsidR="00681EB2" w:rsidRDefault="00681EB2" w:rsidP="0048656A">
      <w:pPr>
        <w:spacing w:after="0" w:line="360" w:lineRule="atLeast"/>
        <w:jc w:val="both"/>
        <w:rPr>
          <w:rFonts w:ascii="Verdana" w:hAnsi="Verdana"/>
          <w:color w:val="000000"/>
          <w:sz w:val="21"/>
          <w:szCs w:val="21"/>
        </w:rPr>
      </w:pPr>
    </w:p>
    <w:p w14:paraId="1A1D6FB3" w14:textId="6D8BE4F8" w:rsidR="00681EB2" w:rsidRDefault="00681EB2" w:rsidP="0048656A">
      <w:pPr>
        <w:spacing w:after="120" w:line="360" w:lineRule="atLeast"/>
        <w:jc w:val="both"/>
        <w:rPr>
          <w:rFonts w:ascii="Verdana" w:hAnsi="Verdana"/>
          <w:color w:val="000000"/>
          <w:sz w:val="21"/>
          <w:szCs w:val="21"/>
        </w:rPr>
      </w:pPr>
      <w:r>
        <w:rPr>
          <w:rFonts w:ascii="Verdana" w:hAnsi="Verdana"/>
          <w:b/>
          <w:bCs/>
          <w:color w:val="000000"/>
          <w:sz w:val="21"/>
          <w:szCs w:val="21"/>
        </w:rPr>
        <w:t>1nvest</w:t>
      </w:r>
    </w:p>
    <w:p w14:paraId="224E6EF9" w14:textId="5C2D9956" w:rsidR="00681EB2" w:rsidRDefault="00681EB2"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Invest has suffered even more </w:t>
      </w:r>
      <w:r w:rsidR="0048656A">
        <w:rPr>
          <w:rFonts w:ascii="Verdana" w:hAnsi="Verdana"/>
          <w:color w:val="000000"/>
          <w:sz w:val="21"/>
          <w:szCs w:val="21"/>
        </w:rPr>
        <w:t>damage</w:t>
      </w:r>
      <w:r>
        <w:rPr>
          <w:rFonts w:ascii="Verdana" w:hAnsi="Verdana"/>
          <w:color w:val="000000"/>
          <w:sz w:val="21"/>
          <w:szCs w:val="21"/>
        </w:rPr>
        <w:t xml:space="preserve"> </w:t>
      </w:r>
      <w:r w:rsidR="00744B64">
        <w:rPr>
          <w:rFonts w:ascii="Verdana" w:hAnsi="Verdana"/>
          <w:color w:val="000000"/>
          <w:sz w:val="21"/>
          <w:szCs w:val="21"/>
        </w:rPr>
        <w:t xml:space="preserve">than Absa </w:t>
      </w:r>
      <w:r>
        <w:rPr>
          <w:rFonts w:ascii="Verdana" w:hAnsi="Verdana"/>
          <w:color w:val="000000"/>
          <w:sz w:val="21"/>
          <w:szCs w:val="21"/>
        </w:rPr>
        <w:t xml:space="preserve">from the scaling down in commodity prices.  In the first three quarters of 2021, some R3,5 billion 1nvest commodity ETFs were redeemed and delisted from the JSE, compared with R2 billion for Absa Capital. </w:t>
      </w:r>
    </w:p>
    <w:p w14:paraId="7AEC16AF" w14:textId="4E2F3DB2" w:rsidR="00681EB2" w:rsidRDefault="00681EB2" w:rsidP="0048656A">
      <w:pPr>
        <w:spacing w:after="0" w:line="360" w:lineRule="atLeast"/>
        <w:jc w:val="both"/>
        <w:rPr>
          <w:rFonts w:ascii="Verdana" w:hAnsi="Verdana"/>
          <w:color w:val="000000"/>
          <w:sz w:val="21"/>
          <w:szCs w:val="21"/>
        </w:rPr>
      </w:pPr>
    </w:p>
    <w:p w14:paraId="055EB4E7" w14:textId="0657E3AC" w:rsidR="00681EB2" w:rsidRDefault="00681EB2" w:rsidP="0048656A">
      <w:pPr>
        <w:spacing w:after="0" w:line="360" w:lineRule="atLeast"/>
        <w:jc w:val="both"/>
        <w:rPr>
          <w:rFonts w:ascii="Verdana" w:hAnsi="Verdana"/>
          <w:color w:val="000000"/>
          <w:sz w:val="21"/>
          <w:szCs w:val="21"/>
        </w:rPr>
      </w:pPr>
      <w:r>
        <w:rPr>
          <w:rFonts w:ascii="Verdana" w:hAnsi="Verdana"/>
          <w:color w:val="000000"/>
          <w:sz w:val="21"/>
          <w:szCs w:val="21"/>
        </w:rPr>
        <w:t>1nvest still holds on to its fourth position in the ETP industry by a clear margin, but here again, some restr</w:t>
      </w:r>
      <w:r w:rsidR="00744B64">
        <w:rPr>
          <w:rFonts w:ascii="Verdana" w:hAnsi="Verdana"/>
          <w:color w:val="000000"/>
          <w:sz w:val="21"/>
          <w:szCs w:val="21"/>
        </w:rPr>
        <w:t>u</w:t>
      </w:r>
      <w:r>
        <w:rPr>
          <w:rFonts w:ascii="Verdana" w:hAnsi="Verdana"/>
          <w:color w:val="000000"/>
          <w:sz w:val="21"/>
          <w:szCs w:val="21"/>
        </w:rPr>
        <w:t>ct</w:t>
      </w:r>
      <w:r w:rsidR="00C266EE">
        <w:rPr>
          <w:rFonts w:ascii="Verdana" w:hAnsi="Verdana"/>
          <w:color w:val="000000"/>
          <w:sz w:val="21"/>
          <w:szCs w:val="21"/>
        </w:rPr>
        <w:t>ure</w:t>
      </w:r>
      <w:r>
        <w:rPr>
          <w:rFonts w:ascii="Verdana" w:hAnsi="Verdana"/>
          <w:color w:val="000000"/>
          <w:sz w:val="21"/>
          <w:szCs w:val="21"/>
        </w:rPr>
        <w:t xml:space="preserve"> and </w:t>
      </w:r>
      <w:r w:rsidR="00744B64">
        <w:rPr>
          <w:rFonts w:ascii="Verdana" w:hAnsi="Verdana"/>
          <w:color w:val="000000"/>
          <w:sz w:val="21"/>
          <w:szCs w:val="21"/>
        </w:rPr>
        <w:t>less</w:t>
      </w:r>
      <w:r>
        <w:rPr>
          <w:rFonts w:ascii="Verdana" w:hAnsi="Verdana"/>
          <w:color w:val="000000"/>
          <w:sz w:val="21"/>
          <w:szCs w:val="21"/>
        </w:rPr>
        <w:t xml:space="preserve"> focus </w:t>
      </w:r>
      <w:r w:rsidR="00744B64">
        <w:rPr>
          <w:rFonts w:ascii="Verdana" w:hAnsi="Verdana"/>
          <w:color w:val="000000"/>
          <w:sz w:val="21"/>
          <w:szCs w:val="21"/>
        </w:rPr>
        <w:t xml:space="preserve">on commodities </w:t>
      </w:r>
      <w:r>
        <w:rPr>
          <w:rFonts w:ascii="Verdana" w:hAnsi="Verdana"/>
          <w:color w:val="000000"/>
          <w:sz w:val="21"/>
          <w:szCs w:val="21"/>
        </w:rPr>
        <w:t xml:space="preserve">might be anticipated. </w:t>
      </w:r>
    </w:p>
    <w:p w14:paraId="21F044F9" w14:textId="1992C99E" w:rsidR="00681EB2" w:rsidRDefault="00681EB2" w:rsidP="0048656A">
      <w:pPr>
        <w:spacing w:after="0" w:line="360" w:lineRule="atLeast"/>
        <w:jc w:val="both"/>
        <w:rPr>
          <w:rFonts w:ascii="Verdana" w:hAnsi="Verdana"/>
          <w:color w:val="000000"/>
          <w:sz w:val="21"/>
          <w:szCs w:val="21"/>
        </w:rPr>
      </w:pPr>
    </w:p>
    <w:p w14:paraId="2F4D7EFA" w14:textId="3C163DC5" w:rsidR="00681EB2" w:rsidRDefault="00681EB2" w:rsidP="0048656A">
      <w:pPr>
        <w:spacing w:after="120" w:line="360" w:lineRule="atLeast"/>
        <w:jc w:val="both"/>
        <w:rPr>
          <w:rFonts w:ascii="Verdana" w:hAnsi="Verdana"/>
          <w:color w:val="000000"/>
          <w:sz w:val="21"/>
          <w:szCs w:val="21"/>
        </w:rPr>
      </w:pPr>
      <w:r>
        <w:rPr>
          <w:rFonts w:ascii="Verdana" w:hAnsi="Verdana"/>
          <w:b/>
          <w:bCs/>
          <w:color w:val="000000"/>
          <w:sz w:val="21"/>
          <w:szCs w:val="21"/>
        </w:rPr>
        <w:t>Union Bank of Switzerland</w:t>
      </w:r>
    </w:p>
    <w:p w14:paraId="3C4C7BD1" w14:textId="25A7E79F" w:rsidR="00681EB2" w:rsidRDefault="00681EB2" w:rsidP="0048656A">
      <w:pPr>
        <w:spacing w:after="0" w:line="360" w:lineRule="atLeast"/>
        <w:jc w:val="both"/>
        <w:rPr>
          <w:rFonts w:ascii="Verdana" w:hAnsi="Verdana"/>
          <w:color w:val="000000"/>
          <w:sz w:val="21"/>
          <w:szCs w:val="21"/>
        </w:rPr>
      </w:pPr>
      <w:r>
        <w:rPr>
          <w:rFonts w:ascii="Verdana" w:hAnsi="Verdana"/>
          <w:color w:val="000000"/>
          <w:sz w:val="21"/>
          <w:szCs w:val="21"/>
        </w:rPr>
        <w:t>UBS continues with its programme of underwriting the issue of actively man</w:t>
      </w:r>
      <w:r w:rsidR="00050A63">
        <w:rPr>
          <w:rFonts w:ascii="Verdana" w:hAnsi="Verdana"/>
          <w:color w:val="000000"/>
          <w:sz w:val="21"/>
          <w:szCs w:val="21"/>
        </w:rPr>
        <w:t>a</w:t>
      </w:r>
      <w:r>
        <w:rPr>
          <w:rFonts w:ascii="Verdana" w:hAnsi="Verdana"/>
          <w:color w:val="000000"/>
          <w:sz w:val="21"/>
          <w:szCs w:val="21"/>
        </w:rPr>
        <w:t>ged ETNs, which require the support of a b</w:t>
      </w:r>
      <w:r w:rsidR="00744B64">
        <w:rPr>
          <w:rFonts w:ascii="Verdana" w:hAnsi="Verdana"/>
          <w:color w:val="000000"/>
          <w:sz w:val="21"/>
          <w:szCs w:val="21"/>
        </w:rPr>
        <w:t xml:space="preserve">ank </w:t>
      </w:r>
      <w:r>
        <w:rPr>
          <w:rFonts w:ascii="Verdana" w:hAnsi="Verdana"/>
          <w:color w:val="000000"/>
          <w:sz w:val="21"/>
          <w:szCs w:val="21"/>
        </w:rPr>
        <w:t xml:space="preserve">balance sheet.  Since kicking-off in late-2018, the UBS stable now covers 14 different products. </w:t>
      </w:r>
    </w:p>
    <w:p w14:paraId="7AD65730" w14:textId="0BDBC5AD" w:rsidR="00681EB2" w:rsidRDefault="00681EB2" w:rsidP="0048656A">
      <w:pPr>
        <w:spacing w:after="0" w:line="360" w:lineRule="atLeast"/>
        <w:jc w:val="both"/>
        <w:rPr>
          <w:rFonts w:ascii="Verdana" w:hAnsi="Verdana"/>
          <w:color w:val="000000"/>
          <w:sz w:val="21"/>
          <w:szCs w:val="21"/>
        </w:rPr>
      </w:pPr>
    </w:p>
    <w:p w14:paraId="093B2D6E" w14:textId="258112A5" w:rsidR="00681EB2" w:rsidRDefault="00681EB2"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Two new </w:t>
      </w:r>
      <w:r w:rsidR="00050A63">
        <w:rPr>
          <w:rFonts w:ascii="Verdana" w:hAnsi="Verdana"/>
          <w:color w:val="000000"/>
          <w:sz w:val="21"/>
          <w:szCs w:val="21"/>
        </w:rPr>
        <w:t xml:space="preserve">ETN </w:t>
      </w:r>
      <w:r>
        <w:rPr>
          <w:rFonts w:ascii="Verdana" w:hAnsi="Verdana"/>
          <w:color w:val="000000"/>
          <w:sz w:val="21"/>
          <w:szCs w:val="21"/>
        </w:rPr>
        <w:t xml:space="preserve">products issued by Absa (Private Clients) and Old Mutual Wealth, have been added to the UBS range </w:t>
      </w:r>
      <w:r w:rsidR="00744B64">
        <w:rPr>
          <w:rFonts w:ascii="Verdana" w:hAnsi="Verdana"/>
          <w:color w:val="000000"/>
          <w:sz w:val="21"/>
          <w:szCs w:val="21"/>
        </w:rPr>
        <w:t xml:space="preserve">available through the JSE </w:t>
      </w:r>
      <w:r>
        <w:rPr>
          <w:rFonts w:ascii="Verdana" w:hAnsi="Verdana"/>
          <w:color w:val="000000"/>
          <w:sz w:val="21"/>
          <w:szCs w:val="21"/>
        </w:rPr>
        <w:t xml:space="preserve">during 2021. </w:t>
      </w:r>
    </w:p>
    <w:p w14:paraId="66C1DB80" w14:textId="77777777" w:rsidR="0048656A" w:rsidRDefault="0048656A" w:rsidP="0048656A">
      <w:pPr>
        <w:spacing w:after="0" w:line="360" w:lineRule="atLeast"/>
        <w:jc w:val="both"/>
        <w:rPr>
          <w:rFonts w:ascii="Verdana" w:hAnsi="Verdana"/>
          <w:color w:val="000000"/>
          <w:sz w:val="21"/>
          <w:szCs w:val="21"/>
        </w:rPr>
      </w:pPr>
    </w:p>
    <w:p w14:paraId="39E5CA34" w14:textId="525929A6" w:rsidR="00681EB2" w:rsidRDefault="00681EB2" w:rsidP="00744B64">
      <w:pPr>
        <w:spacing w:after="120" w:line="360" w:lineRule="atLeast"/>
        <w:jc w:val="both"/>
        <w:rPr>
          <w:rFonts w:ascii="Verdana" w:hAnsi="Verdana"/>
          <w:color w:val="000000"/>
          <w:sz w:val="21"/>
          <w:szCs w:val="21"/>
        </w:rPr>
      </w:pPr>
      <w:r>
        <w:rPr>
          <w:rFonts w:ascii="Verdana" w:hAnsi="Verdana"/>
          <w:b/>
          <w:bCs/>
          <w:color w:val="000000"/>
          <w:sz w:val="21"/>
          <w:szCs w:val="21"/>
        </w:rPr>
        <w:t>FirstRand</w:t>
      </w:r>
    </w:p>
    <w:p w14:paraId="419F958E" w14:textId="083E3DB5" w:rsidR="00681EB2" w:rsidRDefault="00681EB2"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The introduction of single stock tracking ETNs, listed on the JSE, </w:t>
      </w:r>
      <w:r w:rsidR="00744B64">
        <w:rPr>
          <w:rFonts w:ascii="Verdana" w:hAnsi="Verdana"/>
          <w:color w:val="000000"/>
          <w:sz w:val="21"/>
          <w:szCs w:val="21"/>
        </w:rPr>
        <w:t>has</w:t>
      </w:r>
      <w:r>
        <w:rPr>
          <w:rFonts w:ascii="Verdana" w:hAnsi="Verdana"/>
          <w:color w:val="000000"/>
          <w:sz w:val="21"/>
          <w:szCs w:val="21"/>
        </w:rPr>
        <w:t xml:space="preserve"> provided easy</w:t>
      </w:r>
      <w:r w:rsidR="00FB09AA">
        <w:rPr>
          <w:rFonts w:ascii="Verdana" w:hAnsi="Verdana"/>
          <w:color w:val="000000"/>
          <w:sz w:val="21"/>
          <w:szCs w:val="21"/>
        </w:rPr>
        <w:t xml:space="preserve"> and low cost access to the most </w:t>
      </w:r>
      <w:r w:rsidR="00744B64">
        <w:rPr>
          <w:rFonts w:ascii="Verdana" w:hAnsi="Verdana"/>
          <w:color w:val="000000"/>
          <w:sz w:val="21"/>
          <w:szCs w:val="21"/>
        </w:rPr>
        <w:t xml:space="preserve">highly </w:t>
      </w:r>
      <w:r w:rsidR="00FB09AA">
        <w:rPr>
          <w:rFonts w:ascii="Verdana" w:hAnsi="Verdana"/>
          <w:color w:val="000000"/>
          <w:sz w:val="21"/>
          <w:szCs w:val="21"/>
        </w:rPr>
        <w:t>traded US shares</w:t>
      </w:r>
      <w:r w:rsidR="00744B64">
        <w:rPr>
          <w:rFonts w:ascii="Verdana" w:hAnsi="Verdana"/>
          <w:color w:val="000000"/>
          <w:sz w:val="21"/>
          <w:szCs w:val="21"/>
        </w:rPr>
        <w:t>.  The JSE listing does not require</w:t>
      </w:r>
      <w:r w:rsidR="00FB09AA">
        <w:rPr>
          <w:rFonts w:ascii="Verdana" w:hAnsi="Verdana"/>
          <w:color w:val="000000"/>
          <w:sz w:val="21"/>
          <w:szCs w:val="21"/>
        </w:rPr>
        <w:t xml:space="preserve"> exchange control permission for </w:t>
      </w:r>
      <w:r w:rsidR="00744B64">
        <w:rPr>
          <w:rFonts w:ascii="Verdana" w:hAnsi="Verdana"/>
          <w:color w:val="000000"/>
          <w:sz w:val="21"/>
          <w:szCs w:val="21"/>
        </w:rPr>
        <w:t xml:space="preserve">investment by </w:t>
      </w:r>
      <w:r w:rsidR="00FB09AA">
        <w:rPr>
          <w:rFonts w:ascii="Verdana" w:hAnsi="Verdana"/>
          <w:color w:val="000000"/>
          <w:sz w:val="21"/>
          <w:szCs w:val="21"/>
        </w:rPr>
        <w:t xml:space="preserve">corporate and individual investors. </w:t>
      </w:r>
    </w:p>
    <w:p w14:paraId="174A26E8" w14:textId="12C34A08" w:rsidR="00FB09AA" w:rsidRDefault="00FB09AA" w:rsidP="0048656A">
      <w:pPr>
        <w:spacing w:after="0" w:line="360" w:lineRule="atLeast"/>
        <w:jc w:val="both"/>
        <w:rPr>
          <w:rFonts w:ascii="Verdana" w:hAnsi="Verdana"/>
          <w:color w:val="000000"/>
          <w:sz w:val="21"/>
          <w:szCs w:val="21"/>
        </w:rPr>
      </w:pPr>
    </w:p>
    <w:p w14:paraId="68FBCDC6" w14:textId="7E391AF6" w:rsidR="00FB09AA" w:rsidRDefault="00FB09AA"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In the third quarter of 2021, FirstRand added 6 new ETNs to its stable, which track thematic indices, rather than individual stocks.  These are: </w:t>
      </w:r>
    </w:p>
    <w:p w14:paraId="304DD007" w14:textId="343279D4" w:rsidR="00FB09AA" w:rsidRDefault="00FB09AA" w:rsidP="0048656A">
      <w:pPr>
        <w:spacing w:after="0" w:line="360" w:lineRule="atLeast"/>
        <w:jc w:val="both"/>
        <w:rPr>
          <w:rFonts w:ascii="Verdana" w:hAnsi="Verdana"/>
          <w:color w:val="000000"/>
          <w:sz w:val="21"/>
          <w:szCs w:val="21"/>
        </w:rPr>
      </w:pPr>
    </w:p>
    <w:p w14:paraId="0F789954" w14:textId="56D2078B" w:rsidR="00FB09AA" w:rsidRDefault="00FB09AA" w:rsidP="0048656A">
      <w:pPr>
        <w:pStyle w:val="ListParagraph"/>
        <w:numPr>
          <w:ilvl w:val="0"/>
          <w:numId w:val="23"/>
        </w:numPr>
        <w:spacing w:after="0" w:line="360" w:lineRule="atLeast"/>
        <w:jc w:val="both"/>
        <w:rPr>
          <w:rFonts w:ascii="Verdana" w:hAnsi="Verdana"/>
          <w:color w:val="000000"/>
          <w:sz w:val="21"/>
          <w:szCs w:val="21"/>
        </w:rPr>
      </w:pPr>
      <w:r>
        <w:rPr>
          <w:rFonts w:ascii="Verdana" w:hAnsi="Verdana"/>
          <w:color w:val="000000"/>
          <w:sz w:val="21"/>
          <w:szCs w:val="21"/>
        </w:rPr>
        <w:t>iShares Global Cle</w:t>
      </w:r>
      <w:r w:rsidR="00744B64">
        <w:rPr>
          <w:rFonts w:ascii="Verdana" w:hAnsi="Verdana"/>
          <w:color w:val="000000"/>
          <w:sz w:val="21"/>
          <w:szCs w:val="21"/>
        </w:rPr>
        <w:t>a</w:t>
      </w:r>
      <w:r>
        <w:rPr>
          <w:rFonts w:ascii="Verdana" w:hAnsi="Verdana"/>
          <w:color w:val="000000"/>
          <w:sz w:val="21"/>
          <w:szCs w:val="21"/>
        </w:rPr>
        <w:t>n Energy ETN</w:t>
      </w:r>
    </w:p>
    <w:p w14:paraId="36676710" w14:textId="2DD07136" w:rsidR="00FB09AA" w:rsidRDefault="00FB09AA" w:rsidP="0048656A">
      <w:pPr>
        <w:pStyle w:val="ListParagraph"/>
        <w:numPr>
          <w:ilvl w:val="0"/>
          <w:numId w:val="23"/>
        </w:numPr>
        <w:spacing w:after="0" w:line="360" w:lineRule="atLeast"/>
        <w:jc w:val="both"/>
        <w:rPr>
          <w:rFonts w:ascii="Verdana" w:hAnsi="Verdana"/>
          <w:color w:val="000000"/>
          <w:sz w:val="21"/>
          <w:szCs w:val="21"/>
        </w:rPr>
      </w:pPr>
      <w:r>
        <w:rPr>
          <w:rFonts w:ascii="Verdana" w:hAnsi="Verdana"/>
          <w:color w:val="000000"/>
          <w:sz w:val="21"/>
          <w:szCs w:val="21"/>
        </w:rPr>
        <w:t>iShares Global Water ETN</w:t>
      </w:r>
    </w:p>
    <w:p w14:paraId="3093F025" w14:textId="14D1F1FF" w:rsidR="00FB09AA" w:rsidRDefault="00FB09AA" w:rsidP="0048656A">
      <w:pPr>
        <w:pStyle w:val="ListParagraph"/>
        <w:numPr>
          <w:ilvl w:val="0"/>
          <w:numId w:val="23"/>
        </w:numPr>
        <w:spacing w:after="0" w:line="360" w:lineRule="atLeast"/>
        <w:jc w:val="both"/>
        <w:rPr>
          <w:rFonts w:ascii="Verdana" w:hAnsi="Verdana"/>
          <w:color w:val="000000"/>
          <w:sz w:val="21"/>
          <w:szCs w:val="21"/>
        </w:rPr>
      </w:pPr>
      <w:r>
        <w:rPr>
          <w:rFonts w:ascii="Verdana" w:hAnsi="Verdana"/>
          <w:color w:val="000000"/>
          <w:sz w:val="21"/>
          <w:szCs w:val="21"/>
        </w:rPr>
        <w:t>UBS MSCI World Socially Responsible ETN</w:t>
      </w:r>
    </w:p>
    <w:p w14:paraId="553D923C" w14:textId="286FB0C5" w:rsidR="00FB09AA" w:rsidRDefault="00FB09AA" w:rsidP="0048656A">
      <w:pPr>
        <w:spacing w:after="0" w:line="360" w:lineRule="atLeast"/>
        <w:jc w:val="both"/>
        <w:rPr>
          <w:rFonts w:ascii="Verdana" w:hAnsi="Verdana"/>
          <w:color w:val="000000"/>
          <w:sz w:val="21"/>
          <w:szCs w:val="21"/>
        </w:rPr>
      </w:pPr>
    </w:p>
    <w:p w14:paraId="5FDD3029" w14:textId="13FE0096" w:rsidR="00FB09AA" w:rsidRDefault="00FB09AA" w:rsidP="0048656A">
      <w:pPr>
        <w:spacing w:after="0" w:line="360" w:lineRule="atLeast"/>
        <w:jc w:val="both"/>
        <w:rPr>
          <w:rFonts w:ascii="Verdana" w:hAnsi="Verdana"/>
          <w:color w:val="000000"/>
          <w:sz w:val="21"/>
          <w:szCs w:val="21"/>
        </w:rPr>
      </w:pPr>
      <w:r>
        <w:rPr>
          <w:rFonts w:ascii="Verdana" w:hAnsi="Verdana"/>
          <w:color w:val="000000"/>
          <w:sz w:val="21"/>
          <w:szCs w:val="21"/>
        </w:rPr>
        <w:t>All of th</w:t>
      </w:r>
      <w:r w:rsidR="0048656A">
        <w:rPr>
          <w:rFonts w:ascii="Verdana" w:hAnsi="Verdana"/>
          <w:color w:val="000000"/>
          <w:sz w:val="21"/>
          <w:szCs w:val="21"/>
        </w:rPr>
        <w:t>e</w:t>
      </w:r>
      <w:r>
        <w:rPr>
          <w:rFonts w:ascii="Verdana" w:hAnsi="Verdana"/>
          <w:color w:val="000000"/>
          <w:sz w:val="21"/>
          <w:szCs w:val="21"/>
        </w:rPr>
        <w:t xml:space="preserve">se </w:t>
      </w:r>
      <w:r w:rsidR="00744B64">
        <w:rPr>
          <w:rFonts w:ascii="Verdana" w:hAnsi="Verdana"/>
          <w:color w:val="000000"/>
          <w:sz w:val="21"/>
          <w:szCs w:val="21"/>
        </w:rPr>
        <w:t xml:space="preserve">new </w:t>
      </w:r>
      <w:r>
        <w:rPr>
          <w:rFonts w:ascii="Verdana" w:hAnsi="Verdana"/>
          <w:color w:val="000000"/>
          <w:sz w:val="21"/>
          <w:szCs w:val="21"/>
        </w:rPr>
        <w:t xml:space="preserve">products use globally listed ETFs as the feeder funds and are all available in compo (rand only) or quanto (dollar/rand) form. </w:t>
      </w:r>
    </w:p>
    <w:p w14:paraId="2DF86846" w14:textId="2DC52364" w:rsidR="00FB09AA" w:rsidRDefault="00FB09AA" w:rsidP="0048656A">
      <w:pPr>
        <w:spacing w:after="0" w:line="360" w:lineRule="atLeast"/>
        <w:jc w:val="both"/>
        <w:rPr>
          <w:rFonts w:ascii="Verdana" w:hAnsi="Verdana"/>
          <w:color w:val="000000"/>
          <w:sz w:val="21"/>
          <w:szCs w:val="21"/>
        </w:rPr>
      </w:pPr>
    </w:p>
    <w:p w14:paraId="7EEB849F" w14:textId="6DD22B4C" w:rsidR="00FB09AA" w:rsidRDefault="00FB09AA" w:rsidP="0048656A">
      <w:pPr>
        <w:spacing w:after="0" w:line="360" w:lineRule="atLeast"/>
        <w:jc w:val="both"/>
        <w:rPr>
          <w:rFonts w:ascii="Verdana" w:hAnsi="Verdana"/>
          <w:color w:val="000000"/>
          <w:sz w:val="21"/>
          <w:szCs w:val="21"/>
        </w:rPr>
      </w:pPr>
      <w:r>
        <w:rPr>
          <w:rFonts w:ascii="Verdana" w:hAnsi="Verdana"/>
          <w:color w:val="000000"/>
          <w:sz w:val="21"/>
          <w:szCs w:val="21"/>
        </w:rPr>
        <w:t>Market acceptance of these new thematic ETNs appears to have been m</w:t>
      </w:r>
      <w:r w:rsidR="0048656A">
        <w:rPr>
          <w:rFonts w:ascii="Verdana" w:hAnsi="Verdana"/>
          <w:color w:val="000000"/>
          <w:sz w:val="21"/>
          <w:szCs w:val="21"/>
        </w:rPr>
        <w:t xml:space="preserve">uted, possibly because of very little publicity or marketing of these index tracking products. </w:t>
      </w:r>
    </w:p>
    <w:p w14:paraId="32D3E345" w14:textId="05C28DD6" w:rsidR="0048656A" w:rsidRDefault="0048656A" w:rsidP="0048656A">
      <w:pPr>
        <w:spacing w:after="0" w:line="360" w:lineRule="atLeast"/>
        <w:jc w:val="both"/>
        <w:rPr>
          <w:rFonts w:ascii="Verdana" w:hAnsi="Verdana"/>
          <w:color w:val="000000"/>
          <w:sz w:val="21"/>
          <w:szCs w:val="21"/>
        </w:rPr>
      </w:pPr>
    </w:p>
    <w:p w14:paraId="13C7EDF6" w14:textId="5F89B253" w:rsidR="0048656A" w:rsidRDefault="0048656A" w:rsidP="0048656A">
      <w:pPr>
        <w:spacing w:after="0" w:line="360" w:lineRule="atLeast"/>
        <w:jc w:val="both"/>
        <w:rPr>
          <w:rFonts w:ascii="Verdana" w:hAnsi="Verdana"/>
          <w:color w:val="000000"/>
          <w:sz w:val="21"/>
          <w:szCs w:val="21"/>
        </w:rPr>
      </w:pPr>
      <w:r>
        <w:rPr>
          <w:rFonts w:ascii="Verdana" w:hAnsi="Verdana"/>
          <w:color w:val="000000"/>
          <w:sz w:val="21"/>
          <w:szCs w:val="21"/>
        </w:rPr>
        <w:t>The FirstRand stable of ETPs now consists of the actively manage</w:t>
      </w:r>
      <w:r w:rsidR="00744B64">
        <w:rPr>
          <w:rFonts w:ascii="Verdana" w:hAnsi="Verdana"/>
          <w:color w:val="000000"/>
          <w:sz w:val="21"/>
          <w:szCs w:val="21"/>
        </w:rPr>
        <w:t>d</w:t>
      </w:r>
      <w:r>
        <w:rPr>
          <w:rFonts w:ascii="Verdana" w:hAnsi="Verdana"/>
          <w:color w:val="000000"/>
          <w:sz w:val="21"/>
          <w:szCs w:val="21"/>
        </w:rPr>
        <w:t xml:space="preserve"> ETNs, dollar b</w:t>
      </w:r>
      <w:r w:rsidR="00744B64">
        <w:rPr>
          <w:rFonts w:ascii="Verdana" w:hAnsi="Verdana"/>
          <w:color w:val="000000"/>
          <w:sz w:val="21"/>
          <w:szCs w:val="21"/>
        </w:rPr>
        <w:t>ond</w:t>
      </w:r>
      <w:r>
        <w:rPr>
          <w:rFonts w:ascii="Verdana" w:hAnsi="Verdana"/>
          <w:color w:val="000000"/>
          <w:sz w:val="21"/>
          <w:szCs w:val="21"/>
        </w:rPr>
        <w:t xml:space="preserve"> and Krugerrand ETFs and the Ashburton range of ETFs, all separately branded and some consolidation of these products in th</w:t>
      </w:r>
      <w:r w:rsidR="00744B64">
        <w:rPr>
          <w:rFonts w:ascii="Verdana" w:hAnsi="Verdana"/>
          <w:color w:val="000000"/>
          <w:sz w:val="21"/>
          <w:szCs w:val="21"/>
        </w:rPr>
        <w:t>e</w:t>
      </w:r>
      <w:r>
        <w:rPr>
          <w:rFonts w:ascii="Verdana" w:hAnsi="Verdana"/>
          <w:color w:val="000000"/>
          <w:sz w:val="21"/>
          <w:szCs w:val="21"/>
        </w:rPr>
        <w:t xml:space="preserve"> FNB portfolio, c</w:t>
      </w:r>
      <w:r w:rsidR="00744B64">
        <w:rPr>
          <w:rFonts w:ascii="Verdana" w:hAnsi="Verdana"/>
          <w:color w:val="000000"/>
          <w:sz w:val="21"/>
          <w:szCs w:val="21"/>
        </w:rPr>
        <w:t>ould</w:t>
      </w:r>
      <w:r>
        <w:rPr>
          <w:rFonts w:ascii="Verdana" w:hAnsi="Verdana"/>
          <w:color w:val="000000"/>
          <w:sz w:val="21"/>
          <w:szCs w:val="21"/>
        </w:rPr>
        <w:t xml:space="preserve"> be expected in due course. </w:t>
      </w:r>
    </w:p>
    <w:p w14:paraId="2ED75F2F" w14:textId="6B7CD77F" w:rsidR="0048656A" w:rsidRDefault="0048656A">
      <w:pPr>
        <w:rPr>
          <w:rFonts w:ascii="Verdana" w:hAnsi="Verdana"/>
          <w:color w:val="000000"/>
          <w:sz w:val="21"/>
          <w:szCs w:val="21"/>
        </w:rPr>
      </w:pPr>
      <w:r>
        <w:rPr>
          <w:rFonts w:ascii="Verdana" w:hAnsi="Verdana"/>
          <w:color w:val="000000"/>
          <w:sz w:val="21"/>
          <w:szCs w:val="21"/>
        </w:rPr>
        <w:br w:type="page"/>
      </w:r>
    </w:p>
    <w:p w14:paraId="2F640D29" w14:textId="77777777" w:rsidR="0048656A" w:rsidRDefault="0048656A" w:rsidP="0048656A">
      <w:pPr>
        <w:spacing w:after="0" w:line="360" w:lineRule="atLeast"/>
        <w:jc w:val="both"/>
        <w:rPr>
          <w:rFonts w:ascii="Verdana" w:hAnsi="Verdana"/>
          <w:color w:val="000000"/>
          <w:sz w:val="21"/>
          <w:szCs w:val="21"/>
        </w:rPr>
      </w:pPr>
    </w:p>
    <w:p w14:paraId="09A4858D" w14:textId="55F00962" w:rsidR="0048656A" w:rsidRDefault="0048656A" w:rsidP="0048656A">
      <w:pPr>
        <w:spacing w:after="120" w:line="360" w:lineRule="atLeast"/>
        <w:jc w:val="both"/>
        <w:rPr>
          <w:rFonts w:ascii="Verdana" w:hAnsi="Verdana"/>
          <w:color w:val="000000"/>
          <w:sz w:val="21"/>
          <w:szCs w:val="21"/>
        </w:rPr>
      </w:pPr>
      <w:r>
        <w:rPr>
          <w:rFonts w:ascii="Verdana" w:hAnsi="Verdana"/>
          <w:b/>
          <w:bCs/>
          <w:color w:val="000000"/>
          <w:sz w:val="21"/>
          <w:szCs w:val="21"/>
        </w:rPr>
        <w:t>Cloud Atlas</w:t>
      </w:r>
    </w:p>
    <w:p w14:paraId="74A4E30B" w14:textId="35A07AB3" w:rsidR="0048656A" w:rsidRPr="0048656A" w:rsidRDefault="0048656A" w:rsidP="0048656A">
      <w:pPr>
        <w:spacing w:after="0" w:line="360" w:lineRule="atLeast"/>
        <w:jc w:val="both"/>
        <w:rPr>
          <w:rFonts w:ascii="Verdana" w:hAnsi="Verdana"/>
          <w:color w:val="000000"/>
          <w:sz w:val="21"/>
          <w:szCs w:val="21"/>
        </w:rPr>
      </w:pPr>
      <w:r>
        <w:rPr>
          <w:rFonts w:ascii="Verdana" w:hAnsi="Verdana"/>
          <w:color w:val="000000"/>
          <w:sz w:val="21"/>
          <w:szCs w:val="21"/>
        </w:rPr>
        <w:t xml:space="preserve">This issuing house, whilst still the smallest in South Africa, has attracted some institutional interest for its </w:t>
      </w:r>
      <w:r>
        <w:rPr>
          <w:rFonts w:ascii="Verdana" w:hAnsi="Verdana"/>
          <w:b/>
          <w:bCs/>
          <w:color w:val="000000"/>
          <w:sz w:val="21"/>
          <w:szCs w:val="21"/>
        </w:rPr>
        <w:t>AMI Big 50</w:t>
      </w:r>
      <w:r>
        <w:rPr>
          <w:rFonts w:ascii="Verdana" w:hAnsi="Verdana"/>
          <w:color w:val="000000"/>
          <w:sz w:val="21"/>
          <w:szCs w:val="21"/>
        </w:rPr>
        <w:t xml:space="preserve"> </w:t>
      </w:r>
      <w:r w:rsidRPr="004A6384">
        <w:rPr>
          <w:rFonts w:ascii="Verdana" w:hAnsi="Verdana"/>
          <w:b/>
          <w:bCs/>
          <w:color w:val="000000"/>
          <w:sz w:val="21"/>
          <w:szCs w:val="21"/>
        </w:rPr>
        <w:t xml:space="preserve">Africa </w:t>
      </w:r>
      <w:r w:rsidR="00050A63">
        <w:rPr>
          <w:rFonts w:ascii="Verdana" w:hAnsi="Verdana"/>
          <w:b/>
          <w:bCs/>
          <w:color w:val="000000"/>
          <w:sz w:val="21"/>
          <w:szCs w:val="21"/>
        </w:rPr>
        <w:t>E</w:t>
      </w:r>
      <w:r w:rsidRPr="004A6384">
        <w:rPr>
          <w:rFonts w:ascii="Verdana" w:hAnsi="Verdana"/>
          <w:b/>
          <w:bCs/>
          <w:color w:val="000000"/>
          <w:sz w:val="21"/>
          <w:szCs w:val="21"/>
        </w:rPr>
        <w:t>quity ETF</w:t>
      </w:r>
      <w:r>
        <w:rPr>
          <w:rFonts w:ascii="Verdana" w:hAnsi="Verdana"/>
          <w:color w:val="000000"/>
          <w:sz w:val="21"/>
          <w:szCs w:val="21"/>
        </w:rPr>
        <w:t xml:space="preserve"> and the newly listed </w:t>
      </w:r>
      <w:r>
        <w:rPr>
          <w:rFonts w:ascii="Verdana" w:hAnsi="Verdana"/>
          <w:b/>
          <w:bCs/>
          <w:color w:val="000000"/>
          <w:sz w:val="21"/>
          <w:szCs w:val="21"/>
        </w:rPr>
        <w:t>S&amp;P African Sovereign Bond ETF</w:t>
      </w:r>
      <w:r>
        <w:rPr>
          <w:rFonts w:ascii="Verdana" w:hAnsi="Verdana"/>
          <w:color w:val="000000"/>
          <w:sz w:val="21"/>
          <w:szCs w:val="21"/>
        </w:rPr>
        <w:t xml:space="preserve">, which have raised an additional R695,6 million </w:t>
      </w:r>
      <w:r w:rsidR="004A6384">
        <w:rPr>
          <w:rFonts w:ascii="Verdana" w:hAnsi="Verdana"/>
          <w:color w:val="000000"/>
          <w:sz w:val="21"/>
          <w:szCs w:val="21"/>
        </w:rPr>
        <w:t xml:space="preserve">new capital </w:t>
      </w:r>
      <w:r>
        <w:rPr>
          <w:rFonts w:ascii="Verdana" w:hAnsi="Verdana"/>
          <w:color w:val="000000"/>
          <w:sz w:val="21"/>
          <w:szCs w:val="21"/>
        </w:rPr>
        <w:t xml:space="preserve">for this </w:t>
      </w:r>
      <w:r w:rsidR="004A6384">
        <w:rPr>
          <w:rFonts w:ascii="Verdana" w:hAnsi="Verdana"/>
          <w:color w:val="000000"/>
          <w:sz w:val="21"/>
          <w:szCs w:val="21"/>
        </w:rPr>
        <w:t>company</w:t>
      </w:r>
      <w:r>
        <w:rPr>
          <w:rFonts w:ascii="Verdana" w:hAnsi="Verdana"/>
          <w:color w:val="000000"/>
          <w:sz w:val="21"/>
          <w:szCs w:val="21"/>
        </w:rPr>
        <w:t xml:space="preserve"> in 2021. </w:t>
      </w: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B4786EE">
                <wp:simplePos x="0" y="0"/>
                <wp:positionH relativeFrom="column">
                  <wp:posOffset>797560</wp:posOffset>
                </wp:positionH>
                <wp:positionV relativeFrom="paragraph">
                  <wp:posOffset>208915</wp:posOffset>
                </wp:positionV>
                <wp:extent cx="4622800" cy="25400"/>
                <wp:effectExtent l="0" t="0" r="25400" b="31750"/>
                <wp:wrapNone/>
                <wp:docPr id="4" name="Straight Connector 4"/>
                <wp:cNvGraphicFramePr/>
                <a:graphic xmlns:a="http://schemas.openxmlformats.org/drawingml/2006/main">
                  <a:graphicData uri="http://schemas.microsoft.com/office/word/2010/wordprocessingShape">
                    <wps:wsp>
                      <wps:cNvCnPr/>
                      <wps:spPr>
                        <a:xfrm>
                          <a:off x="0" y="0"/>
                          <a:ext cx="4622800" cy="2540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B5E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8pt,16.45pt" to="426.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" strokecolor="#c00000" strokeweight="1pt">
                <v:stroke joinstyle="miter"/>
              </v:line>
            </w:pict>
          </mc:Fallback>
        </mc:AlternateContent>
      </w:r>
    </w:p>
    <w:p w14:paraId="30AD915B" w14:textId="2C59B8A2" w:rsidR="0067082E" w:rsidRDefault="0067082E" w:rsidP="00FA51FA">
      <w:pPr>
        <w:spacing w:after="0" w:line="360" w:lineRule="atLeast"/>
        <w:rPr>
          <w:rFonts w:ascii="Verdana" w:hAnsi="Verdana"/>
          <w:color w:val="000000"/>
          <w:sz w:val="21"/>
          <w:szCs w:val="21"/>
        </w:rPr>
      </w:pPr>
    </w:p>
    <w:p w14:paraId="090CF76C" w14:textId="77777777" w:rsidR="0048656A" w:rsidRDefault="0048656A" w:rsidP="00FA51FA">
      <w:pPr>
        <w:spacing w:after="0" w:line="360" w:lineRule="atLeast"/>
        <w:rPr>
          <w:rFonts w:ascii="Verdana" w:hAnsi="Verdana"/>
          <w:color w:val="000000"/>
          <w:sz w:val="21"/>
          <w:szCs w:val="21"/>
        </w:rPr>
      </w:pPr>
    </w:p>
    <w:p w14:paraId="3094944C" w14:textId="72616E4A" w:rsidR="00F13A0B" w:rsidRPr="00602DDF" w:rsidRDefault="00602DDF" w:rsidP="00602DDF">
      <w:pPr>
        <w:spacing w:after="0" w:line="34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0"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602DDF">
      <w:pPr>
        <w:spacing w:after="0" w:line="340" w:lineRule="atLeast"/>
        <w:jc w:val="both"/>
        <w:rPr>
          <w:rFonts w:ascii="Verdana" w:hAnsi="Verdana"/>
          <w:sz w:val="21"/>
          <w:szCs w:val="21"/>
        </w:rPr>
      </w:pPr>
    </w:p>
    <w:p w14:paraId="54885B65" w14:textId="02DD6C8D" w:rsid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48656A">
        <w:rPr>
          <w:rFonts w:ascii="Verdana" w:hAnsi="Verdana"/>
          <w:sz w:val="21"/>
          <w:szCs w:val="21"/>
        </w:rPr>
        <w:t>September</w:t>
      </w:r>
      <w:r w:rsidR="0067082E">
        <w:rPr>
          <w:rFonts w:ascii="Verdana" w:hAnsi="Verdana"/>
          <w:sz w:val="21"/>
          <w:szCs w:val="21"/>
        </w:rPr>
        <w:t xml:space="preserve"> 2021</w:t>
      </w:r>
      <w:r>
        <w:rPr>
          <w:rFonts w:ascii="Verdana" w:hAnsi="Verdana"/>
          <w:sz w:val="21"/>
          <w:szCs w:val="21"/>
        </w:rPr>
        <w:t xml:space="preserve">. </w:t>
      </w:r>
    </w:p>
    <w:p w14:paraId="687B4DFB" w14:textId="77777777" w:rsidR="0025163D" w:rsidRDefault="0025163D" w:rsidP="0025163D">
      <w:pPr>
        <w:pStyle w:val="ListParagraph"/>
        <w:spacing w:after="0" w:line="340" w:lineRule="atLeast"/>
        <w:jc w:val="both"/>
        <w:rPr>
          <w:rFonts w:ascii="Verdana" w:hAnsi="Verdana"/>
          <w:sz w:val="21"/>
          <w:szCs w:val="21"/>
        </w:rPr>
      </w:pPr>
    </w:p>
    <w:p w14:paraId="045E74ED" w14:textId="3DDC01B8" w:rsidR="00602DDF" w:rsidRP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E31961">
        <w:rPr>
          <w:rFonts w:ascii="Verdana" w:hAnsi="Verdana"/>
          <w:sz w:val="21"/>
          <w:szCs w:val="21"/>
        </w:rPr>
        <w:t>0</w:t>
      </w:r>
      <w:r>
        <w:rPr>
          <w:rFonts w:ascii="Verdana" w:hAnsi="Verdana"/>
          <w:sz w:val="21"/>
          <w:szCs w:val="21"/>
        </w:rPr>
        <w:t xml:space="preserve"> </w:t>
      </w:r>
      <w:r w:rsidR="0048656A">
        <w:rPr>
          <w:rFonts w:ascii="Verdana" w:hAnsi="Verdana"/>
          <w:sz w:val="21"/>
          <w:szCs w:val="21"/>
        </w:rPr>
        <w:t>September</w:t>
      </w:r>
      <w:r>
        <w:rPr>
          <w:rFonts w:ascii="Verdana" w:hAnsi="Verdana"/>
          <w:sz w:val="21"/>
          <w:szCs w:val="21"/>
        </w:rPr>
        <w:t xml:space="preserve"> 202</w:t>
      </w:r>
      <w:r w:rsidR="0067082E">
        <w:rPr>
          <w:rFonts w:ascii="Verdana" w:hAnsi="Verdana"/>
          <w:sz w:val="21"/>
          <w:szCs w:val="21"/>
        </w:rPr>
        <w:t>1</w:t>
      </w:r>
      <w:r>
        <w:rPr>
          <w:rFonts w:ascii="Verdana" w:hAnsi="Verdana"/>
          <w:sz w:val="21"/>
          <w:szCs w:val="21"/>
        </w:rPr>
        <w:t xml:space="preserve">). </w:t>
      </w:r>
    </w:p>
    <w:p w14:paraId="5572BBC4" w14:textId="517C922C" w:rsidR="0067082E" w:rsidRDefault="0067082E" w:rsidP="00DB4A11">
      <w:pPr>
        <w:spacing w:after="0" w:line="320" w:lineRule="atLeast"/>
        <w:jc w:val="both"/>
        <w:rPr>
          <w:rFonts w:ascii="Verdana" w:hAnsi="Verdana"/>
          <w:sz w:val="21"/>
          <w:szCs w:val="21"/>
        </w:rPr>
      </w:pPr>
    </w:p>
    <w:p w14:paraId="330074B5" w14:textId="338A0B9C" w:rsidR="0048656A" w:rsidRDefault="0048656A" w:rsidP="00DB4A11">
      <w:pPr>
        <w:spacing w:after="0" w:line="320" w:lineRule="atLeast"/>
        <w:jc w:val="both"/>
        <w:rPr>
          <w:rFonts w:ascii="Verdana" w:hAnsi="Verdana"/>
          <w:sz w:val="21"/>
          <w:szCs w:val="21"/>
        </w:rPr>
      </w:pPr>
    </w:p>
    <w:p w14:paraId="51EC40EE" w14:textId="77777777" w:rsidR="0048656A" w:rsidRDefault="0048656A" w:rsidP="00DB4A11">
      <w:pPr>
        <w:spacing w:after="0" w:line="320" w:lineRule="atLeast"/>
        <w:jc w:val="both"/>
        <w:rPr>
          <w:rFonts w:ascii="Verdana" w:hAnsi="Verdana"/>
          <w:sz w:val="21"/>
          <w:szCs w:val="21"/>
        </w:rPr>
      </w:pPr>
    </w:p>
    <w:p w14:paraId="1EBB0F1C" w14:textId="083E2B73" w:rsidR="0067082E" w:rsidRDefault="0067082E" w:rsidP="0067082E">
      <w:pPr>
        <w:spacing w:after="0" w:line="320" w:lineRule="atLeast"/>
        <w:jc w:val="center"/>
        <w:rPr>
          <w:rFonts w:ascii="Verdana" w:hAnsi="Verdana"/>
          <w:sz w:val="21"/>
          <w:szCs w:val="21"/>
        </w:rPr>
      </w:pPr>
      <w:r>
        <w:rPr>
          <w:rFonts w:ascii="Verdana" w:hAnsi="Verdana"/>
          <w:noProof/>
          <w:sz w:val="21"/>
          <w:szCs w:val="21"/>
        </w:rPr>
        <w:drawing>
          <wp:inline distT="0" distB="0" distL="0" distR="0" wp14:anchorId="5415876F" wp14:editId="58F9910D">
            <wp:extent cx="5715000" cy="142875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15000" cy="1428750"/>
                    </a:xfrm>
                    <a:prstGeom prst="rect">
                      <a:avLst/>
                    </a:prstGeom>
                  </pic:spPr>
                </pic:pic>
              </a:graphicData>
            </a:graphic>
          </wp:inline>
        </w:drawing>
      </w:r>
    </w:p>
    <w:p w14:paraId="4F220B47" w14:textId="6F83BB75" w:rsidR="00D07C81" w:rsidRDefault="00D07C81" w:rsidP="00DB4A11">
      <w:pPr>
        <w:spacing w:after="0" w:line="320" w:lineRule="atLeast"/>
        <w:jc w:val="both"/>
        <w:rPr>
          <w:rFonts w:ascii="Verdana" w:hAnsi="Verdana"/>
          <w:sz w:val="21"/>
          <w:szCs w:val="21"/>
        </w:rPr>
      </w:pPr>
    </w:p>
    <w:p w14:paraId="2BBB5EE8" w14:textId="4E34B73B" w:rsidR="0048656A" w:rsidRDefault="0048656A" w:rsidP="00DB4A11">
      <w:pPr>
        <w:spacing w:after="0" w:line="320" w:lineRule="atLeast"/>
        <w:jc w:val="both"/>
        <w:rPr>
          <w:rFonts w:ascii="Verdana" w:hAnsi="Verdana"/>
          <w:sz w:val="21"/>
          <w:szCs w:val="21"/>
        </w:rPr>
      </w:pPr>
    </w:p>
    <w:p w14:paraId="5766412D" w14:textId="08DF4706" w:rsidR="0048656A" w:rsidRDefault="0048656A" w:rsidP="00DB4A11">
      <w:pPr>
        <w:spacing w:after="0" w:line="320" w:lineRule="atLeast"/>
        <w:jc w:val="both"/>
        <w:rPr>
          <w:rFonts w:ascii="Verdana" w:hAnsi="Verdana"/>
          <w:sz w:val="21"/>
          <w:szCs w:val="21"/>
        </w:rPr>
      </w:pPr>
    </w:p>
    <w:p w14:paraId="78B46554" w14:textId="3BA0318A" w:rsidR="0048656A" w:rsidRDefault="0048656A" w:rsidP="00DB4A11">
      <w:pPr>
        <w:spacing w:after="0" w:line="320" w:lineRule="atLeast"/>
        <w:jc w:val="both"/>
        <w:rPr>
          <w:rFonts w:ascii="Verdana" w:hAnsi="Verdana"/>
          <w:sz w:val="21"/>
          <w:szCs w:val="21"/>
        </w:rPr>
      </w:pPr>
    </w:p>
    <w:p w14:paraId="13081012" w14:textId="375D2EE6" w:rsidR="0048656A" w:rsidRDefault="0048656A" w:rsidP="00DB4A11">
      <w:pPr>
        <w:spacing w:after="0" w:line="320" w:lineRule="atLeast"/>
        <w:jc w:val="both"/>
        <w:rPr>
          <w:rFonts w:ascii="Verdana" w:hAnsi="Verdana"/>
          <w:sz w:val="21"/>
          <w:szCs w:val="21"/>
        </w:rPr>
      </w:pPr>
    </w:p>
    <w:p w14:paraId="0CDCF56A" w14:textId="77777777" w:rsidR="0048656A" w:rsidRDefault="0048656A" w:rsidP="00DB4A11">
      <w:pPr>
        <w:spacing w:after="0" w:line="320" w:lineRule="atLeast"/>
        <w:jc w:val="both"/>
        <w:rPr>
          <w:rFonts w:ascii="Verdana" w:hAnsi="Verdana"/>
          <w:sz w:val="21"/>
          <w:szCs w:val="21"/>
        </w:rPr>
      </w:pPr>
    </w:p>
    <w:p w14:paraId="10B3C081" w14:textId="77777777" w:rsidR="0067082E" w:rsidRDefault="0067082E"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8555E3">
      <w:footerReference w:type="default" r:id="rId12"/>
      <w:pgSz w:w="11906" w:h="16838" w:code="9"/>
      <w:pgMar w:top="851" w:right="851" w:bottom="567" w:left="1134"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BA78" w14:textId="77777777" w:rsidR="00D54A88" w:rsidRDefault="00D54A88" w:rsidP="001860C2">
      <w:pPr>
        <w:spacing w:after="0" w:line="240" w:lineRule="auto"/>
      </w:pPr>
      <w:r>
        <w:separator/>
      </w:r>
    </w:p>
  </w:endnote>
  <w:endnote w:type="continuationSeparator" w:id="0">
    <w:p w14:paraId="55785617" w14:textId="77777777" w:rsidR="00D54A88" w:rsidRDefault="00D54A88"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888" w14:textId="77777777" w:rsidR="00D54A88" w:rsidRDefault="00D54A88" w:rsidP="001860C2">
      <w:pPr>
        <w:spacing w:after="0" w:line="240" w:lineRule="auto"/>
      </w:pPr>
      <w:r>
        <w:separator/>
      </w:r>
    </w:p>
  </w:footnote>
  <w:footnote w:type="continuationSeparator" w:id="0">
    <w:p w14:paraId="3504ECAE" w14:textId="77777777" w:rsidR="00D54A88" w:rsidRDefault="00D54A88"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2"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
  </w:num>
  <w:num w:numId="3">
    <w:abstractNumId w:val="11"/>
  </w:num>
  <w:num w:numId="4">
    <w:abstractNumId w:val="8"/>
  </w:num>
  <w:num w:numId="5">
    <w:abstractNumId w:val="2"/>
  </w:num>
  <w:num w:numId="6">
    <w:abstractNumId w:val="16"/>
  </w:num>
  <w:num w:numId="7">
    <w:abstractNumId w:val="6"/>
  </w:num>
  <w:num w:numId="8">
    <w:abstractNumId w:val="9"/>
  </w:num>
  <w:num w:numId="9">
    <w:abstractNumId w:val="3"/>
  </w:num>
  <w:num w:numId="10">
    <w:abstractNumId w:val="10"/>
  </w:num>
  <w:num w:numId="11">
    <w:abstractNumId w:val="12"/>
  </w:num>
  <w:num w:numId="12">
    <w:abstractNumId w:val="14"/>
  </w:num>
  <w:num w:numId="13">
    <w:abstractNumId w:val="13"/>
  </w:num>
  <w:num w:numId="14">
    <w:abstractNumId w:val="21"/>
  </w:num>
  <w:num w:numId="15">
    <w:abstractNumId w:val="22"/>
  </w:num>
  <w:num w:numId="16">
    <w:abstractNumId w:val="18"/>
  </w:num>
  <w:num w:numId="17">
    <w:abstractNumId w:val="5"/>
  </w:num>
  <w:num w:numId="18">
    <w:abstractNumId w:val="20"/>
  </w:num>
  <w:num w:numId="19">
    <w:abstractNumId w:val="19"/>
  </w:num>
  <w:num w:numId="20">
    <w:abstractNumId w:val="17"/>
  </w:num>
  <w:num w:numId="21">
    <w:abstractNumId w:val="4"/>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35BE"/>
    <w:rsid w:val="00046AC3"/>
    <w:rsid w:val="00050A63"/>
    <w:rsid w:val="00051559"/>
    <w:rsid w:val="0005247E"/>
    <w:rsid w:val="0005437D"/>
    <w:rsid w:val="00054445"/>
    <w:rsid w:val="00063719"/>
    <w:rsid w:val="00064D86"/>
    <w:rsid w:val="0006568F"/>
    <w:rsid w:val="00065FC4"/>
    <w:rsid w:val="00067065"/>
    <w:rsid w:val="00072FB5"/>
    <w:rsid w:val="000736A9"/>
    <w:rsid w:val="0007371D"/>
    <w:rsid w:val="000752F6"/>
    <w:rsid w:val="00080314"/>
    <w:rsid w:val="00083E17"/>
    <w:rsid w:val="00086ECE"/>
    <w:rsid w:val="00093396"/>
    <w:rsid w:val="000A3329"/>
    <w:rsid w:val="000B189D"/>
    <w:rsid w:val="000B77EA"/>
    <w:rsid w:val="000C1ACB"/>
    <w:rsid w:val="000C2A04"/>
    <w:rsid w:val="000C74EB"/>
    <w:rsid w:val="000D0FF5"/>
    <w:rsid w:val="000D5C7D"/>
    <w:rsid w:val="000F1A9D"/>
    <w:rsid w:val="000F2E19"/>
    <w:rsid w:val="000F4D11"/>
    <w:rsid w:val="000F676D"/>
    <w:rsid w:val="001004CA"/>
    <w:rsid w:val="00100BC7"/>
    <w:rsid w:val="001011BA"/>
    <w:rsid w:val="00110027"/>
    <w:rsid w:val="001113DA"/>
    <w:rsid w:val="001113EA"/>
    <w:rsid w:val="00111B11"/>
    <w:rsid w:val="00112914"/>
    <w:rsid w:val="001149F4"/>
    <w:rsid w:val="001161FE"/>
    <w:rsid w:val="001169ED"/>
    <w:rsid w:val="001204A0"/>
    <w:rsid w:val="00121080"/>
    <w:rsid w:val="00121661"/>
    <w:rsid w:val="00122449"/>
    <w:rsid w:val="001255EF"/>
    <w:rsid w:val="0013147F"/>
    <w:rsid w:val="0013275D"/>
    <w:rsid w:val="00137500"/>
    <w:rsid w:val="00141CB8"/>
    <w:rsid w:val="00143C23"/>
    <w:rsid w:val="00145C7E"/>
    <w:rsid w:val="00147712"/>
    <w:rsid w:val="00161566"/>
    <w:rsid w:val="0016315C"/>
    <w:rsid w:val="0016524A"/>
    <w:rsid w:val="0017124F"/>
    <w:rsid w:val="001723F2"/>
    <w:rsid w:val="00175BD4"/>
    <w:rsid w:val="0018165B"/>
    <w:rsid w:val="00185009"/>
    <w:rsid w:val="001860C2"/>
    <w:rsid w:val="00187148"/>
    <w:rsid w:val="00193608"/>
    <w:rsid w:val="0019419C"/>
    <w:rsid w:val="001945CA"/>
    <w:rsid w:val="001951A8"/>
    <w:rsid w:val="001976A7"/>
    <w:rsid w:val="001A440E"/>
    <w:rsid w:val="001A631C"/>
    <w:rsid w:val="001A6952"/>
    <w:rsid w:val="001B0CAA"/>
    <w:rsid w:val="001C419C"/>
    <w:rsid w:val="001C426E"/>
    <w:rsid w:val="001C48EF"/>
    <w:rsid w:val="001D1426"/>
    <w:rsid w:val="001D296F"/>
    <w:rsid w:val="001D3AD8"/>
    <w:rsid w:val="001E36F8"/>
    <w:rsid w:val="001F12A9"/>
    <w:rsid w:val="001F6BD9"/>
    <w:rsid w:val="00201C15"/>
    <w:rsid w:val="00202A1E"/>
    <w:rsid w:val="00211E65"/>
    <w:rsid w:val="00213163"/>
    <w:rsid w:val="00214624"/>
    <w:rsid w:val="00215EC5"/>
    <w:rsid w:val="00217F89"/>
    <w:rsid w:val="00222E4A"/>
    <w:rsid w:val="00227D37"/>
    <w:rsid w:val="00231639"/>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821C1"/>
    <w:rsid w:val="00283442"/>
    <w:rsid w:val="0028371C"/>
    <w:rsid w:val="0028580C"/>
    <w:rsid w:val="00287580"/>
    <w:rsid w:val="002944F7"/>
    <w:rsid w:val="00295FE0"/>
    <w:rsid w:val="002A024C"/>
    <w:rsid w:val="002A12CA"/>
    <w:rsid w:val="002A439C"/>
    <w:rsid w:val="002A4EC3"/>
    <w:rsid w:val="002A6914"/>
    <w:rsid w:val="002A6D67"/>
    <w:rsid w:val="002B51E7"/>
    <w:rsid w:val="002D1ED9"/>
    <w:rsid w:val="002D4D18"/>
    <w:rsid w:val="002E30E8"/>
    <w:rsid w:val="002E4F01"/>
    <w:rsid w:val="002E55EA"/>
    <w:rsid w:val="002E6A24"/>
    <w:rsid w:val="002F162B"/>
    <w:rsid w:val="002F16E9"/>
    <w:rsid w:val="002F19B0"/>
    <w:rsid w:val="002F4117"/>
    <w:rsid w:val="002F5364"/>
    <w:rsid w:val="00302AA8"/>
    <w:rsid w:val="00321934"/>
    <w:rsid w:val="00322BD7"/>
    <w:rsid w:val="003230DF"/>
    <w:rsid w:val="00325F2F"/>
    <w:rsid w:val="00330C63"/>
    <w:rsid w:val="00332256"/>
    <w:rsid w:val="003353CB"/>
    <w:rsid w:val="00336154"/>
    <w:rsid w:val="00337675"/>
    <w:rsid w:val="00340ED3"/>
    <w:rsid w:val="00345103"/>
    <w:rsid w:val="003453A7"/>
    <w:rsid w:val="003453E4"/>
    <w:rsid w:val="003455BD"/>
    <w:rsid w:val="00354846"/>
    <w:rsid w:val="00356055"/>
    <w:rsid w:val="00362595"/>
    <w:rsid w:val="00371A95"/>
    <w:rsid w:val="00374625"/>
    <w:rsid w:val="003768E4"/>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C278D"/>
    <w:rsid w:val="003C3187"/>
    <w:rsid w:val="003C34BA"/>
    <w:rsid w:val="003C36D7"/>
    <w:rsid w:val="003C4CE2"/>
    <w:rsid w:val="003C6031"/>
    <w:rsid w:val="003C700A"/>
    <w:rsid w:val="003D13C9"/>
    <w:rsid w:val="003D3AB6"/>
    <w:rsid w:val="003D5B90"/>
    <w:rsid w:val="003E41CF"/>
    <w:rsid w:val="003F1BC4"/>
    <w:rsid w:val="003F5A00"/>
    <w:rsid w:val="003F5A9C"/>
    <w:rsid w:val="003F6A02"/>
    <w:rsid w:val="003F76E0"/>
    <w:rsid w:val="003F7712"/>
    <w:rsid w:val="004038EE"/>
    <w:rsid w:val="0040423E"/>
    <w:rsid w:val="00405F9A"/>
    <w:rsid w:val="00407678"/>
    <w:rsid w:val="00410B7D"/>
    <w:rsid w:val="00410B90"/>
    <w:rsid w:val="00416503"/>
    <w:rsid w:val="00417CC4"/>
    <w:rsid w:val="0042225F"/>
    <w:rsid w:val="00433C1B"/>
    <w:rsid w:val="00434DA5"/>
    <w:rsid w:val="00435E56"/>
    <w:rsid w:val="00441724"/>
    <w:rsid w:val="004423A7"/>
    <w:rsid w:val="00443433"/>
    <w:rsid w:val="00451766"/>
    <w:rsid w:val="00451A86"/>
    <w:rsid w:val="004568F5"/>
    <w:rsid w:val="00467DA9"/>
    <w:rsid w:val="0048656A"/>
    <w:rsid w:val="00486A17"/>
    <w:rsid w:val="0049405F"/>
    <w:rsid w:val="004A1759"/>
    <w:rsid w:val="004A2267"/>
    <w:rsid w:val="004A28B2"/>
    <w:rsid w:val="004A53EA"/>
    <w:rsid w:val="004A6384"/>
    <w:rsid w:val="004A687F"/>
    <w:rsid w:val="004A7DA9"/>
    <w:rsid w:val="004B0423"/>
    <w:rsid w:val="004B0713"/>
    <w:rsid w:val="004B2D37"/>
    <w:rsid w:val="004B7AF5"/>
    <w:rsid w:val="004C1102"/>
    <w:rsid w:val="004C60DA"/>
    <w:rsid w:val="004D0295"/>
    <w:rsid w:val="004D1524"/>
    <w:rsid w:val="004D6498"/>
    <w:rsid w:val="004E2922"/>
    <w:rsid w:val="004E4DAF"/>
    <w:rsid w:val="004E5FC6"/>
    <w:rsid w:val="004E7608"/>
    <w:rsid w:val="004F0766"/>
    <w:rsid w:val="004F1DF6"/>
    <w:rsid w:val="004F47FC"/>
    <w:rsid w:val="00506218"/>
    <w:rsid w:val="0050685E"/>
    <w:rsid w:val="00511FB5"/>
    <w:rsid w:val="005135D4"/>
    <w:rsid w:val="005138C3"/>
    <w:rsid w:val="0051590D"/>
    <w:rsid w:val="005248F6"/>
    <w:rsid w:val="00527C9E"/>
    <w:rsid w:val="00532E7F"/>
    <w:rsid w:val="005355B2"/>
    <w:rsid w:val="0054188E"/>
    <w:rsid w:val="005447D2"/>
    <w:rsid w:val="005475A6"/>
    <w:rsid w:val="005509A2"/>
    <w:rsid w:val="00557D80"/>
    <w:rsid w:val="00561C75"/>
    <w:rsid w:val="005628FE"/>
    <w:rsid w:val="00573EA2"/>
    <w:rsid w:val="0057426E"/>
    <w:rsid w:val="00574800"/>
    <w:rsid w:val="00575220"/>
    <w:rsid w:val="00576C93"/>
    <w:rsid w:val="00581B69"/>
    <w:rsid w:val="00587E90"/>
    <w:rsid w:val="005923A8"/>
    <w:rsid w:val="005A16E0"/>
    <w:rsid w:val="005A21ED"/>
    <w:rsid w:val="005A77A2"/>
    <w:rsid w:val="005B0992"/>
    <w:rsid w:val="005B0C73"/>
    <w:rsid w:val="005B25BF"/>
    <w:rsid w:val="005B450E"/>
    <w:rsid w:val="005B4FD8"/>
    <w:rsid w:val="005B5FC4"/>
    <w:rsid w:val="005B6048"/>
    <w:rsid w:val="005B62B4"/>
    <w:rsid w:val="005B7CFF"/>
    <w:rsid w:val="005C3133"/>
    <w:rsid w:val="005C4D11"/>
    <w:rsid w:val="005C6EDE"/>
    <w:rsid w:val="005D1205"/>
    <w:rsid w:val="005D52D2"/>
    <w:rsid w:val="005D54DF"/>
    <w:rsid w:val="005D7F9E"/>
    <w:rsid w:val="005E6456"/>
    <w:rsid w:val="005F02F6"/>
    <w:rsid w:val="005F2A62"/>
    <w:rsid w:val="005F3B27"/>
    <w:rsid w:val="005F5553"/>
    <w:rsid w:val="005F72F5"/>
    <w:rsid w:val="005F7544"/>
    <w:rsid w:val="006015AB"/>
    <w:rsid w:val="00602DDF"/>
    <w:rsid w:val="006052EB"/>
    <w:rsid w:val="00605876"/>
    <w:rsid w:val="00606273"/>
    <w:rsid w:val="00607890"/>
    <w:rsid w:val="00610270"/>
    <w:rsid w:val="00611D35"/>
    <w:rsid w:val="006124A0"/>
    <w:rsid w:val="00614644"/>
    <w:rsid w:val="00617B74"/>
    <w:rsid w:val="0062560E"/>
    <w:rsid w:val="00630A2B"/>
    <w:rsid w:val="00634A9D"/>
    <w:rsid w:val="00636507"/>
    <w:rsid w:val="00637C5B"/>
    <w:rsid w:val="006427A5"/>
    <w:rsid w:val="00650F13"/>
    <w:rsid w:val="0065322B"/>
    <w:rsid w:val="00653EAC"/>
    <w:rsid w:val="006557AA"/>
    <w:rsid w:val="00665208"/>
    <w:rsid w:val="00665C94"/>
    <w:rsid w:val="00667B94"/>
    <w:rsid w:val="0067082E"/>
    <w:rsid w:val="00670E82"/>
    <w:rsid w:val="006806B9"/>
    <w:rsid w:val="00681EB2"/>
    <w:rsid w:val="006820C0"/>
    <w:rsid w:val="00685233"/>
    <w:rsid w:val="00690162"/>
    <w:rsid w:val="006924BC"/>
    <w:rsid w:val="00695F0A"/>
    <w:rsid w:val="006A0C56"/>
    <w:rsid w:val="006A24D6"/>
    <w:rsid w:val="006A6635"/>
    <w:rsid w:val="006B399B"/>
    <w:rsid w:val="006B620E"/>
    <w:rsid w:val="006C1593"/>
    <w:rsid w:val="006C31C8"/>
    <w:rsid w:val="006C3432"/>
    <w:rsid w:val="006C3AD1"/>
    <w:rsid w:val="006C5667"/>
    <w:rsid w:val="006C58B8"/>
    <w:rsid w:val="006C780E"/>
    <w:rsid w:val="006D30DE"/>
    <w:rsid w:val="006D32E9"/>
    <w:rsid w:val="006D3930"/>
    <w:rsid w:val="006D3B08"/>
    <w:rsid w:val="006E0E3D"/>
    <w:rsid w:val="006E70F6"/>
    <w:rsid w:val="006F12EA"/>
    <w:rsid w:val="006F464E"/>
    <w:rsid w:val="007017CF"/>
    <w:rsid w:val="007026CA"/>
    <w:rsid w:val="00702765"/>
    <w:rsid w:val="007028A0"/>
    <w:rsid w:val="00705212"/>
    <w:rsid w:val="007153E8"/>
    <w:rsid w:val="00715DF1"/>
    <w:rsid w:val="00727AC5"/>
    <w:rsid w:val="00737776"/>
    <w:rsid w:val="0074101D"/>
    <w:rsid w:val="00742511"/>
    <w:rsid w:val="00744360"/>
    <w:rsid w:val="00744B64"/>
    <w:rsid w:val="0075135D"/>
    <w:rsid w:val="00752C5D"/>
    <w:rsid w:val="00754226"/>
    <w:rsid w:val="007549A4"/>
    <w:rsid w:val="0075574D"/>
    <w:rsid w:val="007561FE"/>
    <w:rsid w:val="0075656E"/>
    <w:rsid w:val="007617B4"/>
    <w:rsid w:val="00761DC1"/>
    <w:rsid w:val="007624E8"/>
    <w:rsid w:val="007640DF"/>
    <w:rsid w:val="00765BCF"/>
    <w:rsid w:val="00767654"/>
    <w:rsid w:val="00771D6F"/>
    <w:rsid w:val="00774D53"/>
    <w:rsid w:val="00774F11"/>
    <w:rsid w:val="00784C81"/>
    <w:rsid w:val="0078657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0BD2"/>
    <w:rsid w:val="007F2E9B"/>
    <w:rsid w:val="007F4718"/>
    <w:rsid w:val="007F543C"/>
    <w:rsid w:val="007F5E1E"/>
    <w:rsid w:val="0080262B"/>
    <w:rsid w:val="0080317E"/>
    <w:rsid w:val="008033A1"/>
    <w:rsid w:val="00803DCA"/>
    <w:rsid w:val="00805B57"/>
    <w:rsid w:val="00810312"/>
    <w:rsid w:val="0082551A"/>
    <w:rsid w:val="00826CE1"/>
    <w:rsid w:val="00831695"/>
    <w:rsid w:val="00834896"/>
    <w:rsid w:val="00837416"/>
    <w:rsid w:val="008468F3"/>
    <w:rsid w:val="008555E3"/>
    <w:rsid w:val="00863949"/>
    <w:rsid w:val="008678CF"/>
    <w:rsid w:val="00867BCA"/>
    <w:rsid w:val="00870751"/>
    <w:rsid w:val="008723C3"/>
    <w:rsid w:val="00873A85"/>
    <w:rsid w:val="00874BC3"/>
    <w:rsid w:val="008767CE"/>
    <w:rsid w:val="008927A0"/>
    <w:rsid w:val="0089761A"/>
    <w:rsid w:val="008A3D62"/>
    <w:rsid w:val="008A4C09"/>
    <w:rsid w:val="008A7891"/>
    <w:rsid w:val="008B14A6"/>
    <w:rsid w:val="008B1AB4"/>
    <w:rsid w:val="008B4F73"/>
    <w:rsid w:val="008B6F18"/>
    <w:rsid w:val="008C19C4"/>
    <w:rsid w:val="008C2BE8"/>
    <w:rsid w:val="008C4FF1"/>
    <w:rsid w:val="008C6006"/>
    <w:rsid w:val="008C75B2"/>
    <w:rsid w:val="008C7E9E"/>
    <w:rsid w:val="008D1027"/>
    <w:rsid w:val="008D5DE6"/>
    <w:rsid w:val="008D743D"/>
    <w:rsid w:val="008E2FDF"/>
    <w:rsid w:val="008F5B96"/>
    <w:rsid w:val="00900106"/>
    <w:rsid w:val="00900795"/>
    <w:rsid w:val="00902C9D"/>
    <w:rsid w:val="0090715C"/>
    <w:rsid w:val="00912273"/>
    <w:rsid w:val="0091603A"/>
    <w:rsid w:val="00921CF9"/>
    <w:rsid w:val="00925D2A"/>
    <w:rsid w:val="0092766E"/>
    <w:rsid w:val="0093030D"/>
    <w:rsid w:val="009307DF"/>
    <w:rsid w:val="00931166"/>
    <w:rsid w:val="00932B35"/>
    <w:rsid w:val="00933922"/>
    <w:rsid w:val="00935C75"/>
    <w:rsid w:val="00947A6D"/>
    <w:rsid w:val="009542C9"/>
    <w:rsid w:val="00964DB3"/>
    <w:rsid w:val="00967F07"/>
    <w:rsid w:val="00972CCD"/>
    <w:rsid w:val="009732C5"/>
    <w:rsid w:val="00975BA8"/>
    <w:rsid w:val="00975CA7"/>
    <w:rsid w:val="00976701"/>
    <w:rsid w:val="00976971"/>
    <w:rsid w:val="00977364"/>
    <w:rsid w:val="00980BD8"/>
    <w:rsid w:val="00990E6C"/>
    <w:rsid w:val="009928D9"/>
    <w:rsid w:val="00993934"/>
    <w:rsid w:val="009A0517"/>
    <w:rsid w:val="009A4055"/>
    <w:rsid w:val="009A4B52"/>
    <w:rsid w:val="009C3FDD"/>
    <w:rsid w:val="009C71D3"/>
    <w:rsid w:val="009D06A1"/>
    <w:rsid w:val="009D1D25"/>
    <w:rsid w:val="009D2502"/>
    <w:rsid w:val="009D49A1"/>
    <w:rsid w:val="009D539F"/>
    <w:rsid w:val="009D63BC"/>
    <w:rsid w:val="009E06CC"/>
    <w:rsid w:val="009E08B1"/>
    <w:rsid w:val="009E19AA"/>
    <w:rsid w:val="009E4AA6"/>
    <w:rsid w:val="009F598B"/>
    <w:rsid w:val="009F66FE"/>
    <w:rsid w:val="009F7261"/>
    <w:rsid w:val="00A00FDB"/>
    <w:rsid w:val="00A018BA"/>
    <w:rsid w:val="00A01E0B"/>
    <w:rsid w:val="00A029E7"/>
    <w:rsid w:val="00A051FB"/>
    <w:rsid w:val="00A06583"/>
    <w:rsid w:val="00A1052C"/>
    <w:rsid w:val="00A1059D"/>
    <w:rsid w:val="00A167E1"/>
    <w:rsid w:val="00A24DE7"/>
    <w:rsid w:val="00A25A8D"/>
    <w:rsid w:val="00A30C9E"/>
    <w:rsid w:val="00A3197A"/>
    <w:rsid w:val="00A32F36"/>
    <w:rsid w:val="00A34964"/>
    <w:rsid w:val="00A35AAF"/>
    <w:rsid w:val="00A37F02"/>
    <w:rsid w:val="00A41EC0"/>
    <w:rsid w:val="00A4782C"/>
    <w:rsid w:val="00A547A7"/>
    <w:rsid w:val="00A572A0"/>
    <w:rsid w:val="00A65E16"/>
    <w:rsid w:val="00A668A9"/>
    <w:rsid w:val="00A6703F"/>
    <w:rsid w:val="00A67209"/>
    <w:rsid w:val="00A7546F"/>
    <w:rsid w:val="00A836BC"/>
    <w:rsid w:val="00A8447A"/>
    <w:rsid w:val="00A85809"/>
    <w:rsid w:val="00A85AC4"/>
    <w:rsid w:val="00A87409"/>
    <w:rsid w:val="00A904A9"/>
    <w:rsid w:val="00A933CB"/>
    <w:rsid w:val="00A94957"/>
    <w:rsid w:val="00A95B1E"/>
    <w:rsid w:val="00A96CC9"/>
    <w:rsid w:val="00A97831"/>
    <w:rsid w:val="00AA2591"/>
    <w:rsid w:val="00AA3690"/>
    <w:rsid w:val="00AB1469"/>
    <w:rsid w:val="00AB5637"/>
    <w:rsid w:val="00AB659F"/>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6B7A"/>
    <w:rsid w:val="00AE720D"/>
    <w:rsid w:val="00AF734A"/>
    <w:rsid w:val="00AF7BAB"/>
    <w:rsid w:val="00B010F5"/>
    <w:rsid w:val="00B04A5D"/>
    <w:rsid w:val="00B0556F"/>
    <w:rsid w:val="00B064A2"/>
    <w:rsid w:val="00B06DBF"/>
    <w:rsid w:val="00B11A47"/>
    <w:rsid w:val="00B11DFE"/>
    <w:rsid w:val="00B133BE"/>
    <w:rsid w:val="00B15601"/>
    <w:rsid w:val="00B157B7"/>
    <w:rsid w:val="00B1692D"/>
    <w:rsid w:val="00B17F8F"/>
    <w:rsid w:val="00B228FA"/>
    <w:rsid w:val="00B238F4"/>
    <w:rsid w:val="00B23C71"/>
    <w:rsid w:val="00B33939"/>
    <w:rsid w:val="00B352AB"/>
    <w:rsid w:val="00B373FE"/>
    <w:rsid w:val="00B43C70"/>
    <w:rsid w:val="00B46D9E"/>
    <w:rsid w:val="00B47480"/>
    <w:rsid w:val="00B5062D"/>
    <w:rsid w:val="00B53321"/>
    <w:rsid w:val="00B5384D"/>
    <w:rsid w:val="00B539B4"/>
    <w:rsid w:val="00B53CF2"/>
    <w:rsid w:val="00B544F8"/>
    <w:rsid w:val="00B600A0"/>
    <w:rsid w:val="00B6448D"/>
    <w:rsid w:val="00B65933"/>
    <w:rsid w:val="00B7090D"/>
    <w:rsid w:val="00B7153C"/>
    <w:rsid w:val="00B76B5D"/>
    <w:rsid w:val="00B80A20"/>
    <w:rsid w:val="00B80B89"/>
    <w:rsid w:val="00B81DF4"/>
    <w:rsid w:val="00B822A3"/>
    <w:rsid w:val="00B82C05"/>
    <w:rsid w:val="00B84B3B"/>
    <w:rsid w:val="00B8742E"/>
    <w:rsid w:val="00BA3DC2"/>
    <w:rsid w:val="00BA7F27"/>
    <w:rsid w:val="00BB3618"/>
    <w:rsid w:val="00BB3813"/>
    <w:rsid w:val="00BB61E9"/>
    <w:rsid w:val="00BC4EB7"/>
    <w:rsid w:val="00BC6FBB"/>
    <w:rsid w:val="00BD198C"/>
    <w:rsid w:val="00BD2909"/>
    <w:rsid w:val="00BD2BD9"/>
    <w:rsid w:val="00BD35C4"/>
    <w:rsid w:val="00BD4AED"/>
    <w:rsid w:val="00BD60FD"/>
    <w:rsid w:val="00BD73DC"/>
    <w:rsid w:val="00BE106B"/>
    <w:rsid w:val="00BE1AB8"/>
    <w:rsid w:val="00BE387A"/>
    <w:rsid w:val="00BE58F6"/>
    <w:rsid w:val="00BF214D"/>
    <w:rsid w:val="00BF60E0"/>
    <w:rsid w:val="00C11C7B"/>
    <w:rsid w:val="00C130B1"/>
    <w:rsid w:val="00C16778"/>
    <w:rsid w:val="00C2040D"/>
    <w:rsid w:val="00C262C9"/>
    <w:rsid w:val="00C266EE"/>
    <w:rsid w:val="00C34AA3"/>
    <w:rsid w:val="00C361AA"/>
    <w:rsid w:val="00C36612"/>
    <w:rsid w:val="00C36D78"/>
    <w:rsid w:val="00C43586"/>
    <w:rsid w:val="00C6212D"/>
    <w:rsid w:val="00C648B8"/>
    <w:rsid w:val="00C67C90"/>
    <w:rsid w:val="00C70110"/>
    <w:rsid w:val="00C74DB9"/>
    <w:rsid w:val="00C83652"/>
    <w:rsid w:val="00C848CE"/>
    <w:rsid w:val="00C9155D"/>
    <w:rsid w:val="00C96C19"/>
    <w:rsid w:val="00C9721C"/>
    <w:rsid w:val="00C97248"/>
    <w:rsid w:val="00CA0778"/>
    <w:rsid w:val="00CA0977"/>
    <w:rsid w:val="00CA5F6B"/>
    <w:rsid w:val="00CB421E"/>
    <w:rsid w:val="00CC34CF"/>
    <w:rsid w:val="00CC53BB"/>
    <w:rsid w:val="00CD0246"/>
    <w:rsid w:val="00CD1139"/>
    <w:rsid w:val="00CD37BB"/>
    <w:rsid w:val="00CD5761"/>
    <w:rsid w:val="00CE0539"/>
    <w:rsid w:val="00CE0B76"/>
    <w:rsid w:val="00CE27F1"/>
    <w:rsid w:val="00CE2B2F"/>
    <w:rsid w:val="00CE3BAE"/>
    <w:rsid w:val="00CE3CC2"/>
    <w:rsid w:val="00CE72B9"/>
    <w:rsid w:val="00CF2053"/>
    <w:rsid w:val="00CF7150"/>
    <w:rsid w:val="00CF7569"/>
    <w:rsid w:val="00CF781A"/>
    <w:rsid w:val="00D01489"/>
    <w:rsid w:val="00D019A9"/>
    <w:rsid w:val="00D02BBA"/>
    <w:rsid w:val="00D040F4"/>
    <w:rsid w:val="00D07C81"/>
    <w:rsid w:val="00D10188"/>
    <w:rsid w:val="00D11DEF"/>
    <w:rsid w:val="00D121D5"/>
    <w:rsid w:val="00D17A57"/>
    <w:rsid w:val="00D20525"/>
    <w:rsid w:val="00D22956"/>
    <w:rsid w:val="00D250C6"/>
    <w:rsid w:val="00D2618D"/>
    <w:rsid w:val="00D271F3"/>
    <w:rsid w:val="00D27571"/>
    <w:rsid w:val="00D307D7"/>
    <w:rsid w:val="00D33107"/>
    <w:rsid w:val="00D331A9"/>
    <w:rsid w:val="00D3426D"/>
    <w:rsid w:val="00D36A69"/>
    <w:rsid w:val="00D40369"/>
    <w:rsid w:val="00D435A8"/>
    <w:rsid w:val="00D43D4C"/>
    <w:rsid w:val="00D5059A"/>
    <w:rsid w:val="00D5118F"/>
    <w:rsid w:val="00D515DF"/>
    <w:rsid w:val="00D52692"/>
    <w:rsid w:val="00D529C5"/>
    <w:rsid w:val="00D52C3B"/>
    <w:rsid w:val="00D53225"/>
    <w:rsid w:val="00D54A88"/>
    <w:rsid w:val="00D57E29"/>
    <w:rsid w:val="00D653E2"/>
    <w:rsid w:val="00D65796"/>
    <w:rsid w:val="00D65EA8"/>
    <w:rsid w:val="00D72BC0"/>
    <w:rsid w:val="00D75B21"/>
    <w:rsid w:val="00D826DB"/>
    <w:rsid w:val="00D9077C"/>
    <w:rsid w:val="00D90B55"/>
    <w:rsid w:val="00D92FEA"/>
    <w:rsid w:val="00D958E2"/>
    <w:rsid w:val="00D97D04"/>
    <w:rsid w:val="00DA0759"/>
    <w:rsid w:val="00DA4AAF"/>
    <w:rsid w:val="00DB1C85"/>
    <w:rsid w:val="00DB291B"/>
    <w:rsid w:val="00DB4A11"/>
    <w:rsid w:val="00DB6E1D"/>
    <w:rsid w:val="00DB6EB9"/>
    <w:rsid w:val="00DB71F9"/>
    <w:rsid w:val="00DC1373"/>
    <w:rsid w:val="00DD1C15"/>
    <w:rsid w:val="00DD461D"/>
    <w:rsid w:val="00DD75B5"/>
    <w:rsid w:val="00DE5C90"/>
    <w:rsid w:val="00DF6902"/>
    <w:rsid w:val="00DF7E2F"/>
    <w:rsid w:val="00E01551"/>
    <w:rsid w:val="00E01C02"/>
    <w:rsid w:val="00E06C77"/>
    <w:rsid w:val="00E07C73"/>
    <w:rsid w:val="00E132EA"/>
    <w:rsid w:val="00E2008F"/>
    <w:rsid w:val="00E20B2D"/>
    <w:rsid w:val="00E21946"/>
    <w:rsid w:val="00E23E04"/>
    <w:rsid w:val="00E24F85"/>
    <w:rsid w:val="00E30126"/>
    <w:rsid w:val="00E3031D"/>
    <w:rsid w:val="00E31961"/>
    <w:rsid w:val="00E34CCA"/>
    <w:rsid w:val="00E35FA2"/>
    <w:rsid w:val="00E378EF"/>
    <w:rsid w:val="00E444E6"/>
    <w:rsid w:val="00E54244"/>
    <w:rsid w:val="00E61D18"/>
    <w:rsid w:val="00E63CE0"/>
    <w:rsid w:val="00E64BE4"/>
    <w:rsid w:val="00E674AE"/>
    <w:rsid w:val="00E67F46"/>
    <w:rsid w:val="00E71803"/>
    <w:rsid w:val="00E72DBE"/>
    <w:rsid w:val="00E742FD"/>
    <w:rsid w:val="00E7506A"/>
    <w:rsid w:val="00E761AB"/>
    <w:rsid w:val="00E7626C"/>
    <w:rsid w:val="00E8446A"/>
    <w:rsid w:val="00E913B6"/>
    <w:rsid w:val="00E93A18"/>
    <w:rsid w:val="00E973F2"/>
    <w:rsid w:val="00EA0580"/>
    <w:rsid w:val="00EB416B"/>
    <w:rsid w:val="00EB74F9"/>
    <w:rsid w:val="00EC0455"/>
    <w:rsid w:val="00EC06B5"/>
    <w:rsid w:val="00ED17B2"/>
    <w:rsid w:val="00ED1C62"/>
    <w:rsid w:val="00EE0926"/>
    <w:rsid w:val="00EE147E"/>
    <w:rsid w:val="00EE2E17"/>
    <w:rsid w:val="00EE7BDC"/>
    <w:rsid w:val="00EF38EC"/>
    <w:rsid w:val="00EF6A3A"/>
    <w:rsid w:val="00F00380"/>
    <w:rsid w:val="00F019F8"/>
    <w:rsid w:val="00F06EC5"/>
    <w:rsid w:val="00F13A0B"/>
    <w:rsid w:val="00F14551"/>
    <w:rsid w:val="00F14ACA"/>
    <w:rsid w:val="00F246CA"/>
    <w:rsid w:val="00F25E18"/>
    <w:rsid w:val="00F2662C"/>
    <w:rsid w:val="00F27D65"/>
    <w:rsid w:val="00F32170"/>
    <w:rsid w:val="00F3655E"/>
    <w:rsid w:val="00F40D88"/>
    <w:rsid w:val="00F411F7"/>
    <w:rsid w:val="00F41953"/>
    <w:rsid w:val="00F44D41"/>
    <w:rsid w:val="00F44F89"/>
    <w:rsid w:val="00F45041"/>
    <w:rsid w:val="00F52AAE"/>
    <w:rsid w:val="00F52F55"/>
    <w:rsid w:val="00F565F3"/>
    <w:rsid w:val="00F56643"/>
    <w:rsid w:val="00F6273E"/>
    <w:rsid w:val="00F65131"/>
    <w:rsid w:val="00F660FB"/>
    <w:rsid w:val="00F70495"/>
    <w:rsid w:val="00F72AA3"/>
    <w:rsid w:val="00F7786F"/>
    <w:rsid w:val="00F822BF"/>
    <w:rsid w:val="00F83240"/>
    <w:rsid w:val="00F90B5E"/>
    <w:rsid w:val="00F9104A"/>
    <w:rsid w:val="00F91371"/>
    <w:rsid w:val="00F94FB2"/>
    <w:rsid w:val="00FA0979"/>
    <w:rsid w:val="00FA0A82"/>
    <w:rsid w:val="00FA2E82"/>
    <w:rsid w:val="00FA4675"/>
    <w:rsid w:val="00FA51FA"/>
    <w:rsid w:val="00FA556D"/>
    <w:rsid w:val="00FA5C9F"/>
    <w:rsid w:val="00FB09AA"/>
    <w:rsid w:val="00FB18DD"/>
    <w:rsid w:val="00FB21A9"/>
    <w:rsid w:val="00FB4766"/>
    <w:rsid w:val="00FB618E"/>
    <w:rsid w:val="00FC15C7"/>
    <w:rsid w:val="00FC5593"/>
    <w:rsid w:val="00FC62D1"/>
    <w:rsid w:val="00FC7345"/>
    <w:rsid w:val="00FD20B5"/>
    <w:rsid w:val="00FD2AB9"/>
    <w:rsid w:val="00FD49C7"/>
    <w:rsid w:val="00FD7DBB"/>
    <w:rsid w:val="00FE0A9D"/>
    <w:rsid w:val="00FE2ED4"/>
    <w:rsid w:val="00FE4355"/>
    <w:rsid w:val="00FE4A84"/>
    <w:rsid w:val="00FE5ACF"/>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www.etfsa.co.z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21\market%20cap%202008%20to%20Sept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DD-43DA-862D-F0B78DBE15D8}"/>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DD-43DA-862D-F0B78DBE15D8}"/>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DD-43DA-862D-F0B78DBE15D8}"/>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DD-43DA-862D-F0B78DBE15D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Sheet1!$A$2:$A$15</c:f>
              <c:strCach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 Sept</c:v>
                </c:pt>
              </c:strCache>
            </c:strRef>
          </c:cat>
          <c:val>
            <c:numRef>
              <c:f>Sheet1!$B$2:$B$15</c:f>
              <c:numCache>
                <c:formatCode>General</c:formatCode>
                <c:ptCount val="14"/>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125517</c:v>
                </c:pt>
              </c:numCache>
            </c:numRef>
          </c:val>
          <c:extLst>
            <c:ext xmlns:c16="http://schemas.microsoft.com/office/drawing/2014/chart" uri="{C3380CC4-5D6E-409C-BE32-E72D297353CC}">
              <c16:uniqueId val="{00000004-2ADD-43DA-862D-F0B78DBE15D8}"/>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end/period)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0.45156</cdr:x>
      <cdr:y>0.84359</cdr:y>
    </cdr:from>
    <cdr:to>
      <cdr:x>0.631</cdr:x>
      <cdr:y>0.92843</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116144" y="2547152"/>
          <a:ext cx="840910" cy="25616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(Sept. 2021)</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17</cp:revision>
  <cp:lastPrinted>2021-10-15T09:43:00Z</cp:lastPrinted>
  <dcterms:created xsi:type="dcterms:W3CDTF">2021-10-14T09:53:00Z</dcterms:created>
  <dcterms:modified xsi:type="dcterms:W3CDTF">2021-10-15T10:14:00Z</dcterms:modified>
</cp:coreProperties>
</file>