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96DA317" w14:textId="2BF5DB44" w:rsidR="00866128" w:rsidRDefault="00866128" w:rsidP="008740C5">
      <w:pPr>
        <w:widowControl w:val="0"/>
        <w:tabs>
          <w:tab w:val="left" w:pos="4678"/>
        </w:tabs>
        <w:suppressAutoHyphens/>
        <w:spacing w:after="0" w:line="200" w:lineRule="exact"/>
        <w:ind w:right="-119"/>
        <w:jc w:val="left"/>
        <w:rPr>
          <w:rFonts w:eastAsia="MS Mincho" w:cs="Arial"/>
          <w:bCs/>
          <w:color w:val="000000"/>
          <w:lang w:eastAsia="ar-SA"/>
        </w:rPr>
      </w:pPr>
      <w:r w:rsidRPr="00F308BF">
        <w:rPr>
          <w:rFonts w:eastAsia="MS Mincho" w:cs="Arial"/>
          <w:bCs/>
          <w:color w:val="000000"/>
          <w:lang w:eastAsia="ar-SA"/>
        </w:rPr>
        <w:t xml:space="preserve">Paris, </w:t>
      </w:r>
      <w:r w:rsidR="00D6485F" w:rsidRPr="00F308BF">
        <w:rPr>
          <w:rFonts w:eastAsia="MS Mincho" w:cs="Arial"/>
          <w:bCs/>
          <w:color w:val="000000"/>
          <w:lang w:eastAsia="ar-SA"/>
        </w:rPr>
        <w:t>27</w:t>
      </w:r>
      <w:r w:rsidR="009113BD" w:rsidRPr="00F308BF">
        <w:rPr>
          <w:rFonts w:eastAsia="MS Mincho" w:cs="Arial"/>
          <w:bCs/>
          <w:color w:val="000000"/>
          <w:lang w:eastAsia="ar-SA"/>
        </w:rPr>
        <w:t xml:space="preserve"> April 202</w:t>
      </w:r>
      <w:r w:rsidR="00D6485F" w:rsidRPr="00F308BF">
        <w:rPr>
          <w:rFonts w:eastAsia="MS Mincho" w:cs="Arial"/>
          <w:bCs/>
          <w:color w:val="000000"/>
          <w:lang w:eastAsia="ar-SA"/>
        </w:rPr>
        <w:t>1</w:t>
      </w:r>
      <w:r w:rsidR="000A758E" w:rsidRPr="00F308BF">
        <w:rPr>
          <w:rFonts w:eastAsia="MS Mincho" w:cs="Arial"/>
          <w:bCs/>
          <w:color w:val="000000"/>
          <w:lang w:eastAsia="ar-SA"/>
        </w:rPr>
        <w:t xml:space="preserve"> </w:t>
      </w:r>
      <w:r w:rsidR="002C3F4A" w:rsidRPr="00F308BF">
        <w:rPr>
          <w:rFonts w:eastAsia="MS Mincho" w:cs="Arial"/>
          <w:bCs/>
          <w:color w:val="000000"/>
          <w:lang w:eastAsia="ar-SA"/>
        </w:rPr>
        <w:t>–</w:t>
      </w:r>
      <w:r w:rsidR="00D52A4A" w:rsidRPr="00F308BF">
        <w:rPr>
          <w:rFonts w:eastAsia="MS Mincho" w:cs="Arial"/>
          <w:bCs/>
          <w:color w:val="000000"/>
          <w:lang w:eastAsia="ar-SA"/>
        </w:rPr>
        <w:t xml:space="preserve"> </w:t>
      </w:r>
      <w:r w:rsidR="008F7787" w:rsidRPr="00F308BF">
        <w:rPr>
          <w:rFonts w:eastAsia="MS Mincho" w:cs="Arial"/>
          <w:bCs/>
          <w:color w:val="000000"/>
          <w:lang w:eastAsia="ar-SA"/>
        </w:rPr>
        <w:t>1</w:t>
      </w:r>
      <w:r w:rsidR="00C064C3" w:rsidRPr="00F308BF">
        <w:rPr>
          <w:rFonts w:eastAsia="MS Mincho" w:cs="Arial"/>
          <w:bCs/>
          <w:color w:val="000000"/>
          <w:lang w:eastAsia="ar-SA"/>
        </w:rPr>
        <w:t>7</w:t>
      </w:r>
      <w:r w:rsidR="00D6485F" w:rsidRPr="00F308BF">
        <w:rPr>
          <w:rFonts w:eastAsia="MS Mincho" w:cs="Arial"/>
          <w:bCs/>
          <w:color w:val="000000"/>
          <w:lang w:eastAsia="ar-SA"/>
        </w:rPr>
        <w:t>.</w:t>
      </w:r>
      <w:r w:rsidR="00C064C3" w:rsidRPr="00F308BF">
        <w:rPr>
          <w:rFonts w:eastAsia="MS Mincho" w:cs="Arial"/>
          <w:bCs/>
          <w:color w:val="000000"/>
          <w:lang w:eastAsia="ar-SA"/>
        </w:rPr>
        <w:t>35</w:t>
      </w:r>
    </w:p>
    <w:p w14:paraId="01C909F0" w14:textId="77777777" w:rsidR="00A07187" w:rsidRPr="00F308BF" w:rsidRDefault="00A07187" w:rsidP="008740C5">
      <w:pPr>
        <w:widowControl w:val="0"/>
        <w:tabs>
          <w:tab w:val="left" w:pos="4678"/>
        </w:tabs>
        <w:suppressAutoHyphens/>
        <w:spacing w:after="0" w:line="200" w:lineRule="exact"/>
        <w:ind w:right="-119"/>
        <w:jc w:val="left"/>
        <w:rPr>
          <w:rFonts w:eastAsia="MS Mincho" w:cs="Arial"/>
          <w:bCs/>
          <w:color w:val="000000"/>
          <w:lang w:eastAsia="ar-SA"/>
        </w:rPr>
      </w:pPr>
    </w:p>
    <w:p w14:paraId="6E166F7C" w14:textId="56D71E2C" w:rsidR="00BF24FF" w:rsidRPr="00F308BF" w:rsidRDefault="00CA35AB" w:rsidP="008740C5">
      <w:pPr>
        <w:widowControl w:val="0"/>
        <w:spacing w:before="120" w:after="120" w:line="240" w:lineRule="auto"/>
        <w:ind w:right="-119"/>
        <w:jc w:val="left"/>
        <w:rPr>
          <w:rFonts w:eastAsia="MS Mincho" w:cs="Arial"/>
          <w:b/>
          <w:bCs/>
          <w:sz w:val="28"/>
          <w:szCs w:val="26"/>
          <w:lang w:eastAsia="ar-SA"/>
        </w:rPr>
      </w:pPr>
      <w:r w:rsidRPr="00F308BF">
        <w:rPr>
          <w:rFonts w:eastAsia="MS Mincho" w:cs="Arial"/>
          <w:b/>
          <w:bCs/>
          <w:sz w:val="28"/>
          <w:szCs w:val="26"/>
          <w:lang w:eastAsia="ar-SA"/>
        </w:rPr>
        <w:t>Coface records a good start to the year with a net income of €56.4m</w:t>
      </w:r>
    </w:p>
    <w:p w14:paraId="44EFFF8E" w14:textId="77777777" w:rsidR="00F308BF" w:rsidRPr="00F308BF" w:rsidRDefault="00F308BF" w:rsidP="00F308BF">
      <w:pPr>
        <w:numPr>
          <w:ilvl w:val="0"/>
          <w:numId w:val="15"/>
        </w:numPr>
        <w:tabs>
          <w:tab w:val="clear" w:pos="720"/>
          <w:tab w:val="num" w:pos="284"/>
          <w:tab w:val="num" w:pos="3600"/>
        </w:tabs>
        <w:spacing w:before="60" w:after="100" w:afterAutospacing="1"/>
        <w:ind w:left="714" w:hanging="714"/>
        <w:rPr>
          <w:rFonts w:eastAsia="MS Mincho" w:cs="Arial"/>
          <w:b/>
          <w:bCs/>
          <w:lang w:eastAsia="ar-SA"/>
        </w:rPr>
      </w:pPr>
      <w:r w:rsidRPr="00F308BF">
        <w:rPr>
          <w:rFonts w:eastAsia="MS Mincho" w:cs="Arial"/>
          <w:b/>
          <w:bCs/>
          <w:lang w:eastAsia="ar-SA"/>
        </w:rPr>
        <w:t>Turnover: €378m, up 4.2% at constant FX and perimeter</w:t>
      </w:r>
    </w:p>
    <w:p w14:paraId="462BC5C6" w14:textId="20AE53B9" w:rsidR="00F308BF" w:rsidRPr="00F308BF" w:rsidRDefault="00F308BF" w:rsidP="00F308BF">
      <w:pPr>
        <w:numPr>
          <w:ilvl w:val="1"/>
          <w:numId w:val="15"/>
        </w:numPr>
        <w:tabs>
          <w:tab w:val="num" w:pos="851"/>
          <w:tab w:val="num" w:pos="2880"/>
        </w:tabs>
        <w:spacing w:before="100" w:beforeAutospacing="1" w:after="100" w:afterAutospacing="1"/>
        <w:ind w:left="567" w:hanging="283"/>
        <w:rPr>
          <w:rFonts w:cs="Cambria"/>
        </w:rPr>
      </w:pPr>
      <w:r w:rsidRPr="00F308BF">
        <w:t xml:space="preserve">Trade credit insurance growing by 6.1% at constant FX benefiting from </w:t>
      </w:r>
      <w:r w:rsidRPr="00A07187">
        <w:rPr>
          <w:lang w:val="en-GB"/>
        </w:rPr>
        <w:t>stabili</w:t>
      </w:r>
      <w:r w:rsidR="00A07187" w:rsidRPr="00A07187">
        <w:rPr>
          <w:lang w:val="en-GB"/>
        </w:rPr>
        <w:t>s</w:t>
      </w:r>
      <w:r w:rsidRPr="00A07187">
        <w:rPr>
          <w:lang w:val="en-GB"/>
        </w:rPr>
        <w:t>ing</w:t>
      </w:r>
      <w:r w:rsidRPr="00F308BF">
        <w:t xml:space="preserve"> client activity</w:t>
      </w:r>
    </w:p>
    <w:p w14:paraId="184F18F2" w14:textId="4A1AE90F" w:rsidR="00F308BF" w:rsidRPr="00F308BF" w:rsidRDefault="00F308BF" w:rsidP="00F308BF">
      <w:pPr>
        <w:numPr>
          <w:ilvl w:val="1"/>
          <w:numId w:val="15"/>
        </w:numPr>
        <w:tabs>
          <w:tab w:val="num" w:pos="851"/>
          <w:tab w:val="num" w:pos="2880"/>
        </w:tabs>
        <w:spacing w:before="100" w:beforeAutospacing="1" w:after="100" w:afterAutospacing="1"/>
        <w:ind w:left="567" w:hanging="283"/>
        <w:rPr>
          <w:rFonts w:cs="Arial"/>
          <w:bCs/>
        </w:rPr>
      </w:pPr>
      <w:r w:rsidRPr="00F308BF">
        <w:t>Client retention close to record highs; positive price effect (+</w:t>
      </w:r>
      <w:r w:rsidR="007D733A">
        <w:t>2</w:t>
      </w:r>
      <w:r w:rsidRPr="00F308BF">
        <w:t>.</w:t>
      </w:r>
      <w:r w:rsidR="007D733A">
        <w:t>9</w:t>
      </w:r>
      <w:r w:rsidRPr="00F308BF">
        <w:t>%)</w:t>
      </w:r>
    </w:p>
    <w:p w14:paraId="2D7CB17D" w14:textId="77777777" w:rsidR="00F308BF" w:rsidRPr="00F308BF" w:rsidRDefault="00F308BF" w:rsidP="00F308BF">
      <w:pPr>
        <w:numPr>
          <w:ilvl w:val="1"/>
          <w:numId w:val="15"/>
        </w:numPr>
        <w:tabs>
          <w:tab w:val="num" w:pos="851"/>
          <w:tab w:val="num" w:pos="2880"/>
        </w:tabs>
        <w:spacing w:before="100" w:beforeAutospacing="1" w:after="100" w:afterAutospacing="1"/>
        <w:ind w:left="567" w:hanging="283"/>
        <w:rPr>
          <w:rFonts w:cs="Arial"/>
          <w:bCs/>
        </w:rPr>
      </w:pPr>
      <w:r w:rsidRPr="00F308BF">
        <w:t>Business Information continues to grow (+9% at constant FX)</w:t>
      </w:r>
    </w:p>
    <w:p w14:paraId="23B1DD62" w14:textId="77777777" w:rsidR="00F308BF" w:rsidRPr="00F308BF" w:rsidRDefault="00F308BF" w:rsidP="00F308BF">
      <w:pPr>
        <w:numPr>
          <w:ilvl w:val="1"/>
          <w:numId w:val="15"/>
        </w:numPr>
        <w:tabs>
          <w:tab w:val="num" w:pos="851"/>
          <w:tab w:val="num" w:pos="2880"/>
        </w:tabs>
        <w:spacing w:before="100" w:beforeAutospacing="1" w:after="100" w:afterAutospacing="1"/>
        <w:ind w:left="567" w:hanging="283"/>
        <w:rPr>
          <w:rFonts w:cs="Arial"/>
          <w:bCs/>
        </w:rPr>
      </w:pPr>
      <w:r w:rsidRPr="00F308BF">
        <w:t>Factoring and debt collection down on lower volumes</w:t>
      </w:r>
    </w:p>
    <w:p w14:paraId="7986AB53" w14:textId="2F00A426" w:rsidR="00F308BF" w:rsidRPr="00F308BF" w:rsidRDefault="00BE20F1" w:rsidP="00F308BF">
      <w:pPr>
        <w:numPr>
          <w:ilvl w:val="0"/>
          <w:numId w:val="15"/>
        </w:numPr>
        <w:tabs>
          <w:tab w:val="clear" w:pos="720"/>
          <w:tab w:val="num" w:pos="284"/>
          <w:tab w:val="num" w:pos="3600"/>
        </w:tabs>
        <w:spacing w:before="60" w:after="100" w:afterAutospacing="1"/>
        <w:ind w:left="284" w:hanging="284"/>
        <w:rPr>
          <w:rFonts w:eastAsia="MS Mincho" w:cs="Arial"/>
          <w:b/>
          <w:bCs/>
          <w:lang w:eastAsia="ar-SA"/>
        </w:rPr>
      </w:pPr>
      <w:r>
        <w:rPr>
          <w:rFonts w:eastAsia="MS Mincho" w:cs="Arial"/>
          <w:b/>
          <w:bCs/>
          <w:lang w:eastAsia="ar-SA"/>
        </w:rPr>
        <w:t>Net loss ratio at 24</w:t>
      </w:r>
      <w:r w:rsidR="00F308BF" w:rsidRPr="00F308BF">
        <w:rPr>
          <w:rFonts w:eastAsia="MS Mincho" w:cs="Arial"/>
          <w:b/>
          <w:bCs/>
          <w:lang w:eastAsia="ar-SA"/>
        </w:rPr>
        <w:t>.</w:t>
      </w:r>
      <w:r>
        <w:rPr>
          <w:rFonts w:eastAsia="MS Mincho" w:cs="Arial"/>
          <w:b/>
          <w:bCs/>
          <w:lang w:eastAsia="ar-SA"/>
        </w:rPr>
        <w:t>5</w:t>
      </w:r>
      <w:r w:rsidR="00F308BF" w:rsidRPr="00F308BF">
        <w:rPr>
          <w:rFonts w:eastAsia="MS Mincho" w:cs="Arial"/>
          <w:b/>
          <w:bCs/>
          <w:lang w:eastAsia="ar-SA"/>
        </w:rPr>
        <w:t xml:space="preserve">%, down by </w:t>
      </w:r>
      <w:r w:rsidR="00B2684A">
        <w:rPr>
          <w:rFonts w:eastAsia="MS Mincho" w:cs="Arial"/>
          <w:b/>
          <w:bCs/>
          <w:lang w:eastAsia="ar-SA"/>
        </w:rPr>
        <w:t>32</w:t>
      </w:r>
      <w:r>
        <w:rPr>
          <w:rFonts w:eastAsia="MS Mincho" w:cs="Arial"/>
          <w:b/>
          <w:bCs/>
          <w:lang w:eastAsia="ar-SA"/>
        </w:rPr>
        <w:t>.6</w:t>
      </w:r>
      <w:r w:rsidR="00F308BF" w:rsidRPr="00F308BF">
        <w:rPr>
          <w:rFonts w:eastAsia="MS Mincho" w:cs="Arial"/>
          <w:b/>
          <w:bCs/>
          <w:lang w:eastAsia="ar-SA"/>
        </w:rPr>
        <w:t xml:space="preserve"> </w:t>
      </w:r>
      <w:proofErr w:type="spellStart"/>
      <w:r w:rsidR="00F308BF" w:rsidRPr="00F308BF">
        <w:rPr>
          <w:rFonts w:eastAsia="MS Mincho" w:cs="Arial"/>
          <w:b/>
          <w:bCs/>
          <w:lang w:eastAsia="ar-SA"/>
        </w:rPr>
        <w:t>ppts</w:t>
      </w:r>
      <w:proofErr w:type="spellEnd"/>
      <w:r w:rsidR="00F308BF" w:rsidRPr="00F308BF">
        <w:rPr>
          <w:rFonts w:eastAsia="MS Mincho" w:cs="Arial"/>
          <w:b/>
          <w:bCs/>
          <w:lang w:eastAsia="ar-SA"/>
        </w:rPr>
        <w:t>; combined ratio at 52.8% (61.1% excluding the effect of government schemes)</w:t>
      </w:r>
    </w:p>
    <w:p w14:paraId="3E678E3B" w14:textId="77777777" w:rsidR="00F308BF" w:rsidRPr="00F308BF" w:rsidRDefault="00F308BF" w:rsidP="00F308BF">
      <w:pPr>
        <w:numPr>
          <w:ilvl w:val="1"/>
          <w:numId w:val="15"/>
        </w:numPr>
        <w:tabs>
          <w:tab w:val="num" w:pos="567"/>
          <w:tab w:val="num" w:pos="2880"/>
        </w:tabs>
        <w:spacing w:before="100" w:beforeAutospacing="1" w:after="100" w:afterAutospacing="1"/>
        <w:ind w:left="567" w:hanging="283"/>
        <w:rPr>
          <w:rFonts w:cs="Arial"/>
          <w:bCs/>
        </w:rPr>
      </w:pPr>
      <w:r w:rsidRPr="00F308BF">
        <w:rPr>
          <w:bCs/>
        </w:rPr>
        <w:t xml:space="preserve">Gross loss ratio at 29.5%, an improvement by 25.7 </w:t>
      </w:r>
      <w:proofErr w:type="spellStart"/>
      <w:r w:rsidRPr="00F308BF">
        <w:rPr>
          <w:bCs/>
        </w:rPr>
        <w:t>ppts</w:t>
      </w:r>
      <w:proofErr w:type="spellEnd"/>
      <w:r w:rsidRPr="00F308BF">
        <w:rPr>
          <w:bCs/>
        </w:rPr>
        <w:t>; low level of claims worldwide</w:t>
      </w:r>
    </w:p>
    <w:p w14:paraId="25C849AC" w14:textId="77777777" w:rsidR="00F308BF" w:rsidRPr="00F308BF" w:rsidRDefault="00F308BF" w:rsidP="00F308BF">
      <w:pPr>
        <w:numPr>
          <w:ilvl w:val="1"/>
          <w:numId w:val="15"/>
        </w:numPr>
        <w:tabs>
          <w:tab w:val="num" w:pos="567"/>
          <w:tab w:val="num" w:pos="2880"/>
        </w:tabs>
        <w:spacing w:before="100" w:beforeAutospacing="1" w:after="100" w:afterAutospacing="1"/>
        <w:ind w:left="567" w:hanging="283"/>
        <w:rPr>
          <w:rFonts w:cs="Arial"/>
          <w:bCs/>
        </w:rPr>
      </w:pPr>
      <w:r w:rsidRPr="00F308BF">
        <w:rPr>
          <w:bCs/>
        </w:rPr>
        <w:t xml:space="preserve">Net cost ratio down by 1.5 </w:t>
      </w:r>
      <w:proofErr w:type="spellStart"/>
      <w:r w:rsidRPr="00F308BF">
        <w:rPr>
          <w:bCs/>
        </w:rPr>
        <w:t>ppt</w:t>
      </w:r>
      <w:proofErr w:type="spellEnd"/>
      <w:r w:rsidRPr="00F308BF">
        <w:rPr>
          <w:bCs/>
        </w:rPr>
        <w:t xml:space="preserve"> to 28.3%, thanks to strict cost discipline and revenue growth</w:t>
      </w:r>
    </w:p>
    <w:p w14:paraId="0FBF15F7" w14:textId="77777777" w:rsidR="00F308BF" w:rsidRPr="00F308BF" w:rsidRDefault="00F308BF" w:rsidP="00F308BF">
      <w:pPr>
        <w:numPr>
          <w:ilvl w:val="1"/>
          <w:numId w:val="15"/>
        </w:numPr>
        <w:tabs>
          <w:tab w:val="num" w:pos="567"/>
          <w:tab w:val="num" w:pos="2880"/>
        </w:tabs>
        <w:spacing w:before="100" w:beforeAutospacing="1" w:after="100" w:afterAutospacing="1"/>
        <w:ind w:left="567" w:hanging="283"/>
        <w:rPr>
          <w:rFonts w:cs="Arial"/>
          <w:bCs/>
        </w:rPr>
      </w:pPr>
      <w:r w:rsidRPr="00F308BF">
        <w:rPr>
          <w:bCs/>
        </w:rPr>
        <w:t>Government schemes have lowered pre-tax profit by €15m</w:t>
      </w:r>
    </w:p>
    <w:p w14:paraId="30BA6D56" w14:textId="0968E4D1" w:rsidR="00F308BF" w:rsidRPr="00A07187" w:rsidRDefault="00F308BF" w:rsidP="00F308BF">
      <w:pPr>
        <w:numPr>
          <w:ilvl w:val="0"/>
          <w:numId w:val="15"/>
        </w:numPr>
        <w:tabs>
          <w:tab w:val="clear" w:pos="720"/>
          <w:tab w:val="num" w:pos="284"/>
          <w:tab w:val="num" w:pos="3600"/>
        </w:tabs>
        <w:spacing w:before="60" w:after="100" w:afterAutospacing="1"/>
        <w:ind w:left="284" w:hanging="284"/>
        <w:rPr>
          <w:rFonts w:cs="Arial"/>
          <w:b/>
          <w:bCs/>
        </w:rPr>
      </w:pPr>
      <w:r w:rsidRPr="00F308BF">
        <w:rPr>
          <w:b/>
          <w:bCs/>
        </w:rPr>
        <w:t>Net income (group share) at €56.4m, grew more than four-fold over one year, up 55% vs Q1-2019</w:t>
      </w:r>
    </w:p>
    <w:p w14:paraId="302FE16E" w14:textId="77777777" w:rsidR="00BB6BFA" w:rsidRPr="00F308BF" w:rsidRDefault="00BB6BFA" w:rsidP="00BB6BFA">
      <w:pPr>
        <w:numPr>
          <w:ilvl w:val="0"/>
          <w:numId w:val="15"/>
        </w:numPr>
        <w:tabs>
          <w:tab w:val="clear" w:pos="720"/>
          <w:tab w:val="num" w:pos="284"/>
          <w:tab w:val="num" w:pos="3600"/>
        </w:tabs>
        <w:spacing w:before="60" w:after="100" w:afterAutospacing="1"/>
        <w:ind w:left="284" w:hanging="284"/>
        <w:rPr>
          <w:rFonts w:cs="Arial"/>
          <w:b/>
          <w:bCs/>
        </w:rPr>
      </w:pPr>
      <w:proofErr w:type="spellStart"/>
      <w:r w:rsidRPr="00F308BF">
        <w:rPr>
          <w:b/>
          <w:bCs/>
        </w:rPr>
        <w:t>Annualised</w:t>
      </w:r>
      <w:proofErr w:type="spellEnd"/>
      <w:r w:rsidRPr="00F308BF">
        <w:rPr>
          <w:b/>
          <w:bCs/>
        </w:rPr>
        <w:t xml:space="preserve"> </w:t>
      </w:r>
      <w:proofErr w:type="spellStart"/>
      <w:r w:rsidRPr="00F308BF">
        <w:rPr>
          <w:b/>
          <w:bCs/>
        </w:rPr>
        <w:t>RoATE</w:t>
      </w:r>
      <w:proofErr w:type="spellEnd"/>
      <w:r w:rsidRPr="00F308BF">
        <w:rPr>
          <w:rStyle w:val="FootnoteReference"/>
          <w:rFonts w:cs="Arial"/>
          <w:b/>
          <w:bCs/>
        </w:rPr>
        <w:footnoteReference w:id="2"/>
      </w:r>
      <w:r w:rsidRPr="00F308BF">
        <w:rPr>
          <w:b/>
          <w:bCs/>
        </w:rPr>
        <w:t xml:space="preserve"> at 12.0%, benefiting from extraordinary low level of claims</w:t>
      </w:r>
    </w:p>
    <w:p w14:paraId="181EE1CC" w14:textId="108FEB61" w:rsidR="00A07187" w:rsidRPr="00A07187" w:rsidRDefault="00A07187" w:rsidP="00A07187">
      <w:pPr>
        <w:numPr>
          <w:ilvl w:val="0"/>
          <w:numId w:val="15"/>
        </w:numPr>
        <w:tabs>
          <w:tab w:val="clear" w:pos="720"/>
          <w:tab w:val="num" w:pos="284"/>
          <w:tab w:val="num" w:pos="3600"/>
        </w:tabs>
        <w:spacing w:before="60" w:after="100" w:afterAutospacing="1"/>
        <w:ind w:left="284" w:hanging="284"/>
        <w:rPr>
          <w:b/>
          <w:bCs/>
        </w:rPr>
      </w:pPr>
      <w:r w:rsidRPr="00A07187">
        <w:rPr>
          <w:b/>
          <w:bCs/>
        </w:rPr>
        <w:t xml:space="preserve">Financial </w:t>
      </w:r>
      <w:r w:rsidR="00BB6BFA">
        <w:rPr>
          <w:b/>
          <w:bCs/>
        </w:rPr>
        <w:t>strength</w:t>
      </w:r>
      <w:r w:rsidRPr="00A07187">
        <w:rPr>
          <w:b/>
          <w:bCs/>
        </w:rPr>
        <w:t xml:space="preserve"> </w:t>
      </w:r>
      <w:r w:rsidR="00BB6BFA">
        <w:rPr>
          <w:b/>
          <w:bCs/>
        </w:rPr>
        <w:t>reinforced</w:t>
      </w:r>
      <w:r w:rsidRPr="00A07187">
        <w:rPr>
          <w:b/>
          <w:bCs/>
        </w:rPr>
        <w:t>; Fitch raises rating outlook to stable</w:t>
      </w:r>
    </w:p>
    <w:p w14:paraId="66B35482" w14:textId="72041D15" w:rsidR="00F308BF" w:rsidRPr="00F308BF" w:rsidRDefault="00F308BF" w:rsidP="00F308BF">
      <w:pPr>
        <w:numPr>
          <w:ilvl w:val="0"/>
          <w:numId w:val="15"/>
        </w:numPr>
        <w:tabs>
          <w:tab w:val="clear" w:pos="720"/>
          <w:tab w:val="num" w:pos="284"/>
          <w:tab w:val="num" w:pos="3600"/>
        </w:tabs>
        <w:spacing w:before="60" w:after="100" w:afterAutospacing="1"/>
        <w:ind w:left="714" w:hanging="714"/>
        <w:rPr>
          <w:rFonts w:cs="Arial"/>
          <w:b/>
          <w:bCs/>
        </w:rPr>
      </w:pPr>
      <w:r w:rsidRPr="00F308BF">
        <w:rPr>
          <w:b/>
          <w:bCs/>
        </w:rPr>
        <w:t>Coface pursue</w:t>
      </w:r>
      <w:r w:rsidR="00BB6BFA">
        <w:rPr>
          <w:b/>
          <w:bCs/>
        </w:rPr>
        <w:t>s</w:t>
      </w:r>
      <w:r w:rsidRPr="00F308BF">
        <w:rPr>
          <w:b/>
          <w:bCs/>
        </w:rPr>
        <w:t xml:space="preserve"> its strategy by appointing a Chief Operating Officer</w:t>
      </w:r>
    </w:p>
    <w:p w14:paraId="651DB9A4" w14:textId="2E8A4FA9" w:rsidR="006702AD" w:rsidRPr="00F308BF" w:rsidRDefault="00024DBA" w:rsidP="00E716E4">
      <w:pPr>
        <w:tabs>
          <w:tab w:val="num" w:pos="2880"/>
        </w:tabs>
        <w:spacing w:after="40" w:line="240" w:lineRule="auto"/>
        <w:jc w:val="right"/>
        <w:rPr>
          <w:rFonts w:eastAsia="MS Mincho" w:cs="Arial"/>
          <w:bCs/>
          <w:i/>
          <w:sz w:val="14"/>
          <w:szCs w:val="21"/>
          <w:lang w:eastAsia="ar-SA"/>
        </w:rPr>
      </w:pPr>
      <w:r w:rsidRPr="00F308BF">
        <w:rPr>
          <w:rFonts w:eastAsia="MS Mincho" w:cs="Arial"/>
          <w:bCs/>
          <w:i/>
          <w:sz w:val="14"/>
          <w:szCs w:val="21"/>
          <w:lang w:eastAsia="ar-SA"/>
        </w:rPr>
        <w:t xml:space="preserve">Unless otherwise indicated, change comparisons refer to the results as at </w:t>
      </w:r>
      <w:r w:rsidR="00CC6422" w:rsidRPr="00F308BF">
        <w:rPr>
          <w:rFonts w:eastAsia="MS Mincho" w:cs="Arial"/>
          <w:bCs/>
          <w:i/>
          <w:sz w:val="14"/>
          <w:szCs w:val="21"/>
          <w:lang w:eastAsia="ar-SA"/>
        </w:rPr>
        <w:t>March 31,</w:t>
      </w:r>
      <w:r w:rsidR="009113BD" w:rsidRPr="00F308BF">
        <w:rPr>
          <w:rFonts w:eastAsia="MS Mincho" w:cs="Arial"/>
          <w:bCs/>
          <w:i/>
          <w:sz w:val="14"/>
          <w:szCs w:val="21"/>
          <w:lang w:eastAsia="ar-SA"/>
        </w:rPr>
        <w:t xml:space="preserve"> 20</w:t>
      </w:r>
      <w:r w:rsidR="00D6485F" w:rsidRPr="00F308BF">
        <w:rPr>
          <w:rFonts w:eastAsia="MS Mincho" w:cs="Arial"/>
          <w:bCs/>
          <w:i/>
          <w:sz w:val="14"/>
          <w:szCs w:val="21"/>
          <w:lang w:eastAsia="ar-SA"/>
        </w:rPr>
        <w:t>20</w:t>
      </w:r>
      <w:r w:rsidRPr="00F308BF">
        <w:rPr>
          <w:rFonts w:eastAsia="MS Mincho" w:cs="Arial"/>
          <w:bCs/>
          <w:i/>
          <w:sz w:val="14"/>
          <w:szCs w:val="21"/>
          <w:lang w:eastAsia="ar-SA"/>
        </w:rPr>
        <w:t>.</w:t>
      </w:r>
    </w:p>
    <w:p w14:paraId="4CED983E" w14:textId="77777777" w:rsidR="00F308BF" w:rsidRPr="00F308BF" w:rsidRDefault="00F308BF" w:rsidP="008740C5">
      <w:pPr>
        <w:widowControl w:val="0"/>
        <w:suppressAutoHyphens/>
        <w:spacing w:after="0"/>
        <w:rPr>
          <w:rFonts w:eastAsia="MS Mincho" w:cs="Arial"/>
          <w:b/>
          <w:bCs/>
          <w:lang w:val="en-GB" w:eastAsia="ar-SA"/>
        </w:rPr>
      </w:pPr>
    </w:p>
    <w:p w14:paraId="54F26B50" w14:textId="77777777" w:rsidR="00F308BF" w:rsidRDefault="00F308BF" w:rsidP="008740C5">
      <w:pPr>
        <w:widowControl w:val="0"/>
        <w:suppressAutoHyphens/>
        <w:spacing w:after="0"/>
        <w:rPr>
          <w:rFonts w:ascii="Arial Narrow" w:eastAsia="MS Mincho" w:hAnsi="Arial Narrow" w:cs="Arial"/>
          <w:b/>
          <w:bCs/>
          <w:lang w:val="en-GB" w:eastAsia="ar-SA"/>
        </w:rPr>
      </w:pPr>
    </w:p>
    <w:p w14:paraId="4067BD18" w14:textId="5609E711" w:rsidR="00620666" w:rsidRPr="00892F40" w:rsidRDefault="007A503D" w:rsidP="008740C5">
      <w:pPr>
        <w:widowControl w:val="0"/>
        <w:suppressAutoHyphens/>
        <w:spacing w:after="0"/>
        <w:rPr>
          <w:rFonts w:ascii="Arial Narrow" w:eastAsia="MS Mincho" w:hAnsi="Arial Narrow" w:cs="Arial"/>
          <w:b/>
          <w:bCs/>
          <w:lang w:val="en-GB" w:eastAsia="ar-SA"/>
        </w:rPr>
      </w:pPr>
      <w:r w:rsidRPr="00892F40">
        <w:rPr>
          <w:rFonts w:ascii="Arial Narrow" w:eastAsia="MS Mincho" w:hAnsi="Arial Narrow" w:cs="Arial"/>
          <w:b/>
          <w:bCs/>
          <w:lang w:val="en-GB" w:eastAsia="ar-SA"/>
        </w:rPr>
        <w:t xml:space="preserve">Xavier Durand, Coface CEO, </w:t>
      </w:r>
      <w:r w:rsidR="00E83EC2" w:rsidRPr="00892F40">
        <w:rPr>
          <w:rFonts w:ascii="Arial Narrow" w:eastAsia="MS Mincho" w:hAnsi="Arial Narrow" w:cs="Arial"/>
          <w:b/>
          <w:bCs/>
          <w:lang w:val="en-GB" w:eastAsia="ar-SA"/>
        </w:rPr>
        <w:t>commented</w:t>
      </w:r>
      <w:r w:rsidRPr="00892F40">
        <w:rPr>
          <w:rFonts w:ascii="Arial Narrow" w:eastAsia="MS Mincho" w:hAnsi="Arial Narrow" w:cs="Arial"/>
          <w:b/>
          <w:bCs/>
          <w:lang w:val="en-GB" w:eastAsia="ar-SA"/>
        </w:rPr>
        <w:t>:</w:t>
      </w:r>
    </w:p>
    <w:p w14:paraId="01A836FD" w14:textId="3A963344" w:rsidR="00670DC1" w:rsidRPr="003C32A0" w:rsidRDefault="00670DC1" w:rsidP="00670DC1">
      <w:pPr>
        <w:suppressAutoHyphens/>
        <w:spacing w:after="60"/>
        <w:rPr>
          <w:rFonts w:ascii="Arial Narrow" w:hAnsi="Arial Narrow" w:cs="Arial"/>
          <w:bCs/>
          <w:i/>
        </w:rPr>
      </w:pPr>
      <w:r>
        <w:rPr>
          <w:rFonts w:ascii="Arial Narrow" w:hAnsi="Arial Narrow"/>
          <w:bCs/>
          <w:i/>
        </w:rPr>
        <w:t xml:space="preserve">“Our first-quarter results reflect our continued strong operating performance and an exceptional environment, where the number of </w:t>
      </w:r>
      <w:r w:rsidRPr="004E0544">
        <w:rPr>
          <w:rFonts w:ascii="Arial Narrow" w:hAnsi="Arial Narrow"/>
          <w:bCs/>
          <w:i/>
        </w:rPr>
        <w:t>bankruptcies</w:t>
      </w:r>
      <w:r>
        <w:rPr>
          <w:rFonts w:ascii="Arial Narrow" w:hAnsi="Arial Narrow"/>
          <w:bCs/>
          <w:i/>
        </w:rPr>
        <w:t xml:space="preserve"> has declined. We anticipate that </w:t>
      </w:r>
      <w:r w:rsidRPr="004E0544">
        <w:rPr>
          <w:rFonts w:ascii="Arial Narrow" w:hAnsi="Arial Narrow"/>
          <w:bCs/>
          <w:i/>
        </w:rPr>
        <w:t>bankruptcies</w:t>
      </w:r>
      <w:r>
        <w:rPr>
          <w:rFonts w:ascii="Arial Narrow" w:hAnsi="Arial Narrow"/>
          <w:bCs/>
          <w:i/>
        </w:rPr>
        <w:t xml:space="preserve"> will increase again once the health crisis is over and special measures to support the economy </w:t>
      </w:r>
      <w:proofErr w:type="gramStart"/>
      <w:r>
        <w:rPr>
          <w:rFonts w:ascii="Arial Narrow" w:hAnsi="Arial Narrow"/>
          <w:bCs/>
          <w:i/>
        </w:rPr>
        <w:t>are phased out</w:t>
      </w:r>
      <w:proofErr w:type="gramEnd"/>
      <w:r>
        <w:rPr>
          <w:rFonts w:ascii="Arial Narrow" w:hAnsi="Arial Narrow"/>
          <w:bCs/>
          <w:i/>
        </w:rPr>
        <w:t>.</w:t>
      </w:r>
    </w:p>
    <w:p w14:paraId="2D522A74" w14:textId="51FD2DB2" w:rsidR="00670DC1" w:rsidRPr="003C32A0" w:rsidRDefault="00670DC1" w:rsidP="00670DC1">
      <w:pPr>
        <w:suppressAutoHyphens/>
        <w:spacing w:after="60"/>
        <w:rPr>
          <w:rFonts w:ascii="Arial Narrow" w:hAnsi="Arial Narrow" w:cs="Arial"/>
          <w:bCs/>
          <w:i/>
        </w:rPr>
      </w:pPr>
      <w:r w:rsidRPr="008A6CE6">
        <w:rPr>
          <w:rFonts w:ascii="Arial Narrow" w:hAnsi="Arial Narrow" w:cs="Arial"/>
          <w:bCs/>
          <w:i/>
          <w:lang w:val="en-GB"/>
        </w:rPr>
        <w:t xml:space="preserve">In the context of a vigorous economic </w:t>
      </w:r>
      <w:r w:rsidR="009A4928">
        <w:rPr>
          <w:rFonts w:ascii="Arial Narrow" w:hAnsi="Arial Narrow" w:cs="Arial"/>
          <w:bCs/>
          <w:i/>
          <w:lang w:val="en-GB"/>
        </w:rPr>
        <w:t>rebound</w:t>
      </w:r>
      <w:r>
        <w:rPr>
          <w:rFonts w:ascii="Arial Narrow" w:hAnsi="Arial Narrow"/>
          <w:bCs/>
          <w:i/>
        </w:rPr>
        <w:t xml:space="preserve">, but one that is varying widely by sector and by region, we are supporting our clients' business recovery. This </w:t>
      </w:r>
      <w:proofErr w:type="gramStart"/>
      <w:r>
        <w:rPr>
          <w:rFonts w:ascii="Arial Narrow" w:hAnsi="Arial Narrow"/>
          <w:bCs/>
          <w:i/>
        </w:rPr>
        <w:t>is reflected</w:t>
      </w:r>
      <w:proofErr w:type="gramEnd"/>
      <w:r>
        <w:rPr>
          <w:rFonts w:ascii="Arial Narrow" w:hAnsi="Arial Narrow"/>
          <w:bCs/>
          <w:i/>
        </w:rPr>
        <w:t xml:space="preserve"> in a 2.7% increase in our exposures during the first quarter, </w:t>
      </w:r>
      <w:r w:rsidR="009A4928">
        <w:rPr>
          <w:rFonts w:ascii="Arial Narrow" w:hAnsi="Arial Narrow"/>
          <w:bCs/>
          <w:i/>
        </w:rPr>
        <w:t>while</w:t>
      </w:r>
      <w:r>
        <w:rPr>
          <w:rFonts w:ascii="Arial Narrow" w:hAnsi="Arial Narrow"/>
          <w:bCs/>
          <w:i/>
        </w:rPr>
        <w:t xml:space="preserve"> our preventive actions are back to pre-crisis levels. At the same time, we continue to cooperate with governments to support the withdrawal of government</w:t>
      </w:r>
      <w:r w:rsidR="009A4928">
        <w:rPr>
          <w:rFonts w:ascii="Arial Narrow" w:hAnsi="Arial Narrow"/>
          <w:bCs/>
          <w:i/>
        </w:rPr>
        <w:t>al</w:t>
      </w:r>
      <w:r>
        <w:rPr>
          <w:rFonts w:ascii="Arial Narrow" w:hAnsi="Arial Narrow"/>
          <w:bCs/>
          <w:i/>
        </w:rPr>
        <w:t xml:space="preserve"> schemes, under which we paid €15m in the first quarter.</w:t>
      </w:r>
    </w:p>
    <w:p w14:paraId="4FB04EEC" w14:textId="0C3B9B85" w:rsidR="00A07187" w:rsidRPr="00670DC1" w:rsidRDefault="00A07187" w:rsidP="00670DC1">
      <w:pPr>
        <w:suppressAutoHyphens/>
        <w:spacing w:after="60"/>
        <w:rPr>
          <w:rFonts w:ascii="Arial Narrow" w:hAnsi="Arial Narrow"/>
          <w:bCs/>
          <w:i/>
        </w:rPr>
      </w:pPr>
      <w:r w:rsidRPr="00A07187">
        <w:rPr>
          <w:rFonts w:ascii="Arial Narrow" w:hAnsi="Arial Narrow"/>
          <w:bCs/>
          <w:i/>
        </w:rPr>
        <w:t>Finally, we are continuing to implement our strategic plan and to strengthen our operational efficiency and the quality of service we provide to our customers with the appointment of a Group Operations Director."</w:t>
      </w:r>
    </w:p>
    <w:p w14:paraId="076787E1" w14:textId="48F4DAC6" w:rsidR="003362A3" w:rsidRPr="008740C5" w:rsidRDefault="003362A3" w:rsidP="008740C5">
      <w:pPr>
        <w:widowControl w:val="0"/>
        <w:suppressAutoHyphens/>
        <w:spacing w:after="60"/>
        <w:rPr>
          <w:rFonts w:ascii="Arial Narrow" w:hAnsi="Arial Narrow" w:cs="Arial"/>
          <w:bCs/>
          <w:i/>
          <w:highlight w:val="yellow"/>
          <w:lang w:val="en-GB" w:eastAsia="ar-SA"/>
        </w:rPr>
      </w:pPr>
      <w:r w:rsidRPr="008740C5">
        <w:rPr>
          <w:rFonts w:ascii="Arial Narrow" w:hAnsi="Arial Narrow" w:cs="Arial"/>
          <w:bCs/>
          <w:i/>
          <w:highlight w:val="yellow"/>
          <w:lang w:val="en-GB" w:eastAsia="ar-SA"/>
        </w:rPr>
        <w:br w:type="page"/>
      </w:r>
    </w:p>
    <w:p w14:paraId="29D4746B" w14:textId="0775900C" w:rsidR="00E0314E" w:rsidRPr="00B30555" w:rsidRDefault="00E0314E" w:rsidP="00022DA0">
      <w:pPr>
        <w:spacing w:after="0" w:line="270" w:lineRule="exact"/>
        <w:rPr>
          <w:rFonts w:ascii="Arial Narrow" w:hAnsi="Arial Narrow" w:cs="Arial"/>
          <w:b/>
          <w:bCs/>
          <w:lang w:val="en-GB" w:eastAsia="ar-SA"/>
        </w:rPr>
      </w:pPr>
      <w:r w:rsidRPr="00B30555">
        <w:rPr>
          <w:rFonts w:ascii="Arial Narrow" w:hAnsi="Arial Narrow" w:cs="Arial"/>
          <w:b/>
          <w:bCs/>
          <w:lang w:val="en-GB" w:eastAsia="ar-SA"/>
        </w:rPr>
        <w:lastRenderedPageBreak/>
        <w:t xml:space="preserve">Key figures at 31 </w:t>
      </w:r>
      <w:r w:rsidR="00D6485F">
        <w:rPr>
          <w:rFonts w:ascii="Arial Narrow" w:hAnsi="Arial Narrow" w:cs="Arial"/>
          <w:b/>
          <w:bCs/>
          <w:lang w:val="en-GB" w:eastAsia="ar-SA"/>
        </w:rPr>
        <w:t>March 2021</w:t>
      </w:r>
    </w:p>
    <w:p w14:paraId="5682F0C1" w14:textId="77777777" w:rsidR="00E0314E" w:rsidRPr="00B30555" w:rsidRDefault="00E0314E" w:rsidP="00022DA0">
      <w:pPr>
        <w:tabs>
          <w:tab w:val="center" w:pos="4703"/>
          <w:tab w:val="right" w:pos="9406"/>
        </w:tabs>
        <w:suppressAutoHyphens/>
        <w:spacing w:after="0" w:line="270" w:lineRule="exact"/>
        <w:ind w:left="-851" w:right="360"/>
        <w:rPr>
          <w:rFonts w:ascii="Arial Narrow" w:hAnsi="Arial Narrow" w:cs="Arial"/>
          <w:sz w:val="18"/>
          <w:szCs w:val="18"/>
          <w:highlight w:val="yellow"/>
          <w:lang w:val="en-GB" w:eastAsia="ar-SA"/>
        </w:rPr>
      </w:pPr>
    </w:p>
    <w:p w14:paraId="785B0BAE" w14:textId="069DB3ED" w:rsidR="00E0314E" w:rsidRPr="009E5E1D" w:rsidRDefault="009113BD" w:rsidP="00022DA0">
      <w:pPr>
        <w:pBdr>
          <w:top w:val="single" w:sz="4" w:space="1" w:color="auto"/>
          <w:left w:val="single" w:sz="4" w:space="4" w:color="auto"/>
          <w:bottom w:val="single" w:sz="4" w:space="1" w:color="auto"/>
          <w:right w:val="single" w:sz="4" w:space="4" w:color="auto"/>
        </w:pBdr>
        <w:suppressAutoHyphens/>
        <w:spacing w:after="0" w:line="270" w:lineRule="exact"/>
        <w:rPr>
          <w:rFonts w:ascii="Arial Narrow" w:hAnsi="Arial Narrow" w:cs="Arial"/>
          <w:sz w:val="18"/>
          <w:szCs w:val="16"/>
          <w:lang w:val="en-GB" w:eastAsia="ar-SA"/>
        </w:rPr>
      </w:pPr>
      <w:r w:rsidRPr="009E5E1D">
        <w:rPr>
          <w:rFonts w:ascii="Arial Narrow" w:hAnsi="Arial Narrow" w:cs="Arial"/>
          <w:sz w:val="18"/>
          <w:szCs w:val="16"/>
          <w:lang w:val="en-GB" w:eastAsia="ar-SA"/>
        </w:rPr>
        <w:t>The Board of Directors of COFACE SA examined the summary consolidated financial statements for the first three months (non-audited) during its meeting on 2</w:t>
      </w:r>
      <w:r w:rsidR="00D6485F">
        <w:rPr>
          <w:rFonts w:ascii="Arial Narrow" w:hAnsi="Arial Narrow" w:cs="Arial"/>
          <w:sz w:val="18"/>
          <w:szCs w:val="16"/>
          <w:lang w:val="en-GB" w:eastAsia="ar-SA"/>
        </w:rPr>
        <w:t>7 April 2021</w:t>
      </w:r>
      <w:r w:rsidRPr="009E5E1D">
        <w:rPr>
          <w:rFonts w:ascii="Arial Narrow" w:hAnsi="Arial Narrow" w:cs="Arial"/>
          <w:sz w:val="18"/>
          <w:szCs w:val="16"/>
          <w:lang w:val="en-GB" w:eastAsia="ar-SA"/>
        </w:rPr>
        <w:t>. The Audit Committee ha</w:t>
      </w:r>
      <w:r w:rsidR="00111820" w:rsidRPr="009E5E1D">
        <w:rPr>
          <w:rFonts w:ascii="Arial Narrow" w:hAnsi="Arial Narrow" w:cs="Arial"/>
          <w:sz w:val="18"/>
          <w:szCs w:val="16"/>
          <w:lang w:val="en-GB" w:eastAsia="ar-SA"/>
        </w:rPr>
        <w:t>d</w:t>
      </w:r>
      <w:r w:rsidRPr="009E5E1D">
        <w:rPr>
          <w:rFonts w:ascii="Arial Narrow" w:hAnsi="Arial Narrow" w:cs="Arial"/>
          <w:sz w:val="18"/>
          <w:szCs w:val="16"/>
          <w:lang w:val="en-GB" w:eastAsia="ar-SA"/>
        </w:rPr>
        <w:t xml:space="preserve"> previously reviewed them</w:t>
      </w:r>
      <w:r w:rsidR="00111820" w:rsidRPr="009E5E1D">
        <w:rPr>
          <w:rFonts w:ascii="Arial Narrow" w:hAnsi="Arial Narrow" w:cs="Arial"/>
          <w:sz w:val="18"/>
          <w:szCs w:val="16"/>
          <w:lang w:val="en-GB" w:eastAsia="ar-SA"/>
        </w:rPr>
        <w:t xml:space="preserve"> at its meeting on </w:t>
      </w:r>
      <w:r w:rsidR="00D6485F">
        <w:rPr>
          <w:rFonts w:ascii="Arial Narrow" w:hAnsi="Arial Narrow" w:cs="Arial"/>
          <w:sz w:val="18"/>
          <w:szCs w:val="16"/>
          <w:lang w:val="en-GB" w:eastAsia="ar-SA"/>
        </w:rPr>
        <w:t>23</w:t>
      </w:r>
      <w:r w:rsidR="00111820" w:rsidRPr="009E5E1D">
        <w:rPr>
          <w:rFonts w:ascii="Arial Narrow" w:hAnsi="Arial Narrow" w:cs="Arial"/>
          <w:sz w:val="18"/>
          <w:szCs w:val="16"/>
          <w:lang w:val="en-GB" w:eastAsia="ar-SA"/>
        </w:rPr>
        <w:t xml:space="preserve"> April 202</w:t>
      </w:r>
      <w:r w:rsidR="00D6485F">
        <w:rPr>
          <w:rFonts w:ascii="Arial Narrow" w:hAnsi="Arial Narrow" w:cs="Arial"/>
          <w:sz w:val="18"/>
          <w:szCs w:val="16"/>
          <w:lang w:val="en-GB" w:eastAsia="ar-SA"/>
        </w:rPr>
        <w:t>1</w:t>
      </w:r>
      <w:r w:rsidR="009E5E1D">
        <w:rPr>
          <w:rFonts w:ascii="Arial Narrow" w:hAnsi="Arial Narrow" w:cs="Arial"/>
          <w:sz w:val="18"/>
          <w:szCs w:val="16"/>
          <w:lang w:val="en-GB" w:eastAsia="ar-SA"/>
        </w:rPr>
        <w:t>.</w:t>
      </w:r>
    </w:p>
    <w:p w14:paraId="57DBFDCF" w14:textId="77777777" w:rsidR="00E0314E" w:rsidRPr="00B30555" w:rsidRDefault="00E0314E" w:rsidP="00022DA0">
      <w:pPr>
        <w:pStyle w:val="FootnoteText"/>
        <w:spacing w:after="0"/>
        <w:rPr>
          <w:rFonts w:ascii="Arial Narrow" w:hAnsi="Arial Narrow"/>
          <w:sz w:val="14"/>
          <w:szCs w:val="14"/>
          <w:lang w:val="en-GB"/>
        </w:rPr>
      </w:pPr>
    </w:p>
    <w:tbl>
      <w:tblPr>
        <w:tblW w:w="7521" w:type="dxa"/>
        <w:jc w:val="center"/>
        <w:tblLook w:val="04A0" w:firstRow="1" w:lastRow="0" w:firstColumn="1" w:lastColumn="0" w:noHBand="0" w:noVBand="1"/>
      </w:tblPr>
      <w:tblGrid>
        <w:gridCol w:w="4169"/>
        <w:gridCol w:w="791"/>
        <w:gridCol w:w="791"/>
        <w:gridCol w:w="885"/>
        <w:gridCol w:w="885"/>
      </w:tblGrid>
      <w:tr w:rsidR="009A3D69" w:rsidRPr="009A3D69" w14:paraId="7231FB95" w14:textId="77777777" w:rsidTr="00A07BB6">
        <w:trPr>
          <w:trHeight w:val="510"/>
          <w:jc w:val="center"/>
        </w:trPr>
        <w:tc>
          <w:tcPr>
            <w:tcW w:w="4169" w:type="dxa"/>
            <w:tcBorders>
              <w:top w:val="nil"/>
              <w:left w:val="nil"/>
              <w:bottom w:val="nil"/>
              <w:right w:val="nil"/>
            </w:tcBorders>
            <w:shd w:val="clear" w:color="000000" w:fill="03365F"/>
            <w:noWrap/>
            <w:vAlign w:val="center"/>
            <w:hideMark/>
          </w:tcPr>
          <w:p w14:paraId="7CEC64A3" w14:textId="77777777" w:rsidR="009A3D69" w:rsidRPr="009A3D69" w:rsidRDefault="009A3D69" w:rsidP="009A3D69">
            <w:pPr>
              <w:spacing w:after="0" w:line="240" w:lineRule="auto"/>
              <w:jc w:val="left"/>
              <w:rPr>
                <w:rFonts w:ascii="Arial Narrow" w:eastAsia="Times New Roman" w:hAnsi="Arial Narrow" w:cs="Calibri"/>
                <w:b/>
                <w:bCs/>
                <w:color w:val="FFFFFF"/>
                <w:sz w:val="18"/>
                <w:szCs w:val="18"/>
                <w:lang w:val="en-GB" w:eastAsia="en-GB"/>
              </w:rPr>
            </w:pPr>
            <w:r w:rsidRPr="009A3D69">
              <w:rPr>
                <w:rFonts w:ascii="Arial Narrow" w:eastAsia="Times New Roman" w:hAnsi="Arial Narrow" w:cs="Calibri"/>
                <w:b/>
                <w:bCs/>
                <w:color w:val="FFFFFF"/>
                <w:sz w:val="18"/>
                <w:szCs w:val="18"/>
                <w:lang w:val="en-GB" w:eastAsia="en-GB"/>
              </w:rPr>
              <w:t>Income statements items in €m</w:t>
            </w:r>
          </w:p>
        </w:tc>
        <w:tc>
          <w:tcPr>
            <w:tcW w:w="791" w:type="dxa"/>
            <w:tcBorders>
              <w:top w:val="nil"/>
              <w:left w:val="nil"/>
              <w:bottom w:val="nil"/>
              <w:right w:val="nil"/>
            </w:tcBorders>
            <w:shd w:val="clear" w:color="000000" w:fill="03365F"/>
            <w:vAlign w:val="center"/>
            <w:hideMark/>
          </w:tcPr>
          <w:p w14:paraId="13DDCCE2" w14:textId="77777777" w:rsidR="009A3D69" w:rsidRPr="009A3D69" w:rsidRDefault="009A3D69" w:rsidP="009A3D69">
            <w:pPr>
              <w:spacing w:after="0" w:line="240" w:lineRule="auto"/>
              <w:jc w:val="right"/>
              <w:rPr>
                <w:rFonts w:ascii="Arial Narrow" w:eastAsia="Times New Roman" w:hAnsi="Arial Narrow" w:cs="Calibri"/>
                <w:b/>
                <w:bCs/>
                <w:color w:val="FFFFFF"/>
                <w:sz w:val="18"/>
                <w:szCs w:val="18"/>
                <w:lang w:val="en-GB" w:eastAsia="en-GB"/>
              </w:rPr>
            </w:pPr>
            <w:r w:rsidRPr="009A3D69">
              <w:rPr>
                <w:rFonts w:ascii="Arial Narrow" w:eastAsia="Times New Roman" w:hAnsi="Arial Narrow" w:cs="Calibri"/>
                <w:b/>
                <w:bCs/>
                <w:color w:val="FFFFFF"/>
                <w:sz w:val="18"/>
                <w:szCs w:val="18"/>
                <w:lang w:val="en-GB" w:eastAsia="en-GB"/>
              </w:rPr>
              <w:t>Q1-20</w:t>
            </w:r>
          </w:p>
        </w:tc>
        <w:tc>
          <w:tcPr>
            <w:tcW w:w="791" w:type="dxa"/>
            <w:tcBorders>
              <w:top w:val="nil"/>
              <w:left w:val="nil"/>
              <w:bottom w:val="nil"/>
              <w:right w:val="nil"/>
            </w:tcBorders>
            <w:shd w:val="clear" w:color="000000" w:fill="18B3B9"/>
            <w:noWrap/>
            <w:vAlign w:val="center"/>
            <w:hideMark/>
          </w:tcPr>
          <w:p w14:paraId="3F09C3C2" w14:textId="77777777" w:rsidR="009A3D69" w:rsidRPr="009A3D69" w:rsidRDefault="009A3D69" w:rsidP="009A3D69">
            <w:pPr>
              <w:spacing w:after="0" w:line="240" w:lineRule="auto"/>
              <w:jc w:val="right"/>
              <w:rPr>
                <w:rFonts w:ascii="Arial Narrow" w:eastAsia="Times New Roman" w:hAnsi="Arial Narrow" w:cs="Calibri"/>
                <w:b/>
                <w:bCs/>
                <w:color w:val="FFFFFF"/>
                <w:sz w:val="18"/>
                <w:szCs w:val="18"/>
                <w:lang w:val="en-GB" w:eastAsia="en-GB"/>
              </w:rPr>
            </w:pPr>
            <w:r w:rsidRPr="009A3D69">
              <w:rPr>
                <w:rFonts w:ascii="Arial Narrow" w:eastAsia="Times New Roman" w:hAnsi="Arial Narrow" w:cs="Calibri"/>
                <w:b/>
                <w:bCs/>
                <w:color w:val="FFFFFF"/>
                <w:sz w:val="18"/>
                <w:szCs w:val="18"/>
                <w:lang w:val="en-GB" w:eastAsia="en-GB"/>
              </w:rPr>
              <w:t>Q1-21</w:t>
            </w:r>
          </w:p>
        </w:tc>
        <w:tc>
          <w:tcPr>
            <w:tcW w:w="885" w:type="dxa"/>
            <w:tcBorders>
              <w:top w:val="nil"/>
              <w:left w:val="nil"/>
              <w:bottom w:val="nil"/>
              <w:right w:val="nil"/>
            </w:tcBorders>
            <w:shd w:val="clear" w:color="000000" w:fill="03365F"/>
            <w:noWrap/>
            <w:vAlign w:val="center"/>
            <w:hideMark/>
          </w:tcPr>
          <w:p w14:paraId="74A7B227" w14:textId="77777777" w:rsidR="009A3D69" w:rsidRPr="009A3D69" w:rsidRDefault="009A3D69" w:rsidP="009A3D69">
            <w:pPr>
              <w:spacing w:after="0" w:line="240" w:lineRule="auto"/>
              <w:jc w:val="center"/>
              <w:rPr>
                <w:rFonts w:ascii="Arial Narrow" w:eastAsia="Times New Roman" w:hAnsi="Arial Narrow" w:cs="Calibri"/>
                <w:b/>
                <w:bCs/>
                <w:color w:val="FFFFFF"/>
                <w:sz w:val="18"/>
                <w:szCs w:val="18"/>
                <w:lang w:val="en-GB" w:eastAsia="en-GB"/>
              </w:rPr>
            </w:pPr>
            <w:r w:rsidRPr="009A3D69">
              <w:rPr>
                <w:rFonts w:ascii="Arial Narrow" w:eastAsia="Times New Roman" w:hAnsi="Arial Narrow" w:cs="Calibri"/>
                <w:b/>
                <w:bCs/>
                <w:color w:val="FFFFFF"/>
                <w:sz w:val="18"/>
                <w:szCs w:val="18"/>
                <w:lang w:val="en-GB" w:eastAsia="en-GB"/>
              </w:rPr>
              <w:t>%</w:t>
            </w:r>
          </w:p>
        </w:tc>
        <w:tc>
          <w:tcPr>
            <w:tcW w:w="885" w:type="dxa"/>
            <w:tcBorders>
              <w:top w:val="nil"/>
              <w:left w:val="nil"/>
              <w:bottom w:val="nil"/>
              <w:right w:val="nil"/>
            </w:tcBorders>
            <w:shd w:val="clear" w:color="000000" w:fill="03365F"/>
            <w:vAlign w:val="center"/>
            <w:hideMark/>
          </w:tcPr>
          <w:p w14:paraId="606A89B6" w14:textId="4DED176D" w:rsidR="009A3D69" w:rsidRPr="009A3D69" w:rsidRDefault="009A3D69" w:rsidP="009A3D69">
            <w:pPr>
              <w:spacing w:after="0" w:line="240" w:lineRule="auto"/>
              <w:jc w:val="center"/>
              <w:rPr>
                <w:rFonts w:ascii="Arial Narrow" w:eastAsia="Times New Roman" w:hAnsi="Arial Narrow" w:cs="Calibri"/>
                <w:b/>
                <w:bCs/>
                <w:color w:val="FFFFFF"/>
                <w:sz w:val="18"/>
                <w:szCs w:val="18"/>
                <w:lang w:val="en-GB" w:eastAsia="en-GB"/>
              </w:rPr>
            </w:pPr>
            <w:r w:rsidRPr="009A3D69">
              <w:rPr>
                <w:rFonts w:ascii="Arial Narrow" w:eastAsia="Times New Roman" w:hAnsi="Arial Narrow" w:cs="Calibri"/>
                <w:b/>
                <w:bCs/>
                <w:color w:val="FFFFFF"/>
                <w:sz w:val="18"/>
                <w:szCs w:val="18"/>
                <w:lang w:val="en-GB" w:eastAsia="en-GB"/>
              </w:rPr>
              <w:t xml:space="preserve">% </w:t>
            </w:r>
            <w:r w:rsidRPr="009A3D69">
              <w:rPr>
                <w:rFonts w:ascii="Arial Narrow" w:eastAsia="Times New Roman" w:hAnsi="Arial Narrow" w:cs="Calibri"/>
                <w:b/>
                <w:bCs/>
                <w:color w:val="FFFFFF"/>
                <w:sz w:val="18"/>
                <w:szCs w:val="18"/>
                <w:lang w:val="en-GB" w:eastAsia="en-GB"/>
              </w:rPr>
              <w:br/>
              <w:t>ex. FX</w:t>
            </w:r>
            <w:r>
              <w:rPr>
                <w:rFonts w:ascii="Arial Narrow" w:eastAsia="Times New Roman" w:hAnsi="Arial Narrow" w:cs="Calibri"/>
                <w:b/>
                <w:bCs/>
                <w:color w:val="FFFFFF"/>
                <w:sz w:val="18"/>
                <w:szCs w:val="18"/>
                <w:lang w:val="en-GB" w:eastAsia="en-GB"/>
              </w:rPr>
              <w:t>*</w:t>
            </w:r>
          </w:p>
        </w:tc>
      </w:tr>
      <w:tr w:rsidR="009A3D69" w:rsidRPr="009A3D69" w14:paraId="6F25ADF5" w14:textId="77777777" w:rsidTr="00A07BB6">
        <w:trPr>
          <w:trHeight w:val="300"/>
          <w:jc w:val="center"/>
        </w:trPr>
        <w:tc>
          <w:tcPr>
            <w:tcW w:w="4169" w:type="dxa"/>
            <w:tcBorders>
              <w:top w:val="single" w:sz="4" w:space="0" w:color="BFBFBF"/>
              <w:left w:val="nil"/>
              <w:bottom w:val="single" w:sz="4" w:space="0" w:color="BFBFBF"/>
              <w:right w:val="nil"/>
            </w:tcBorders>
            <w:shd w:val="clear" w:color="auto" w:fill="auto"/>
            <w:noWrap/>
            <w:vAlign w:val="bottom"/>
            <w:hideMark/>
          </w:tcPr>
          <w:p w14:paraId="028D75A0" w14:textId="77777777" w:rsidR="009A3D69" w:rsidRPr="009A3D69" w:rsidRDefault="009A3D69" w:rsidP="009A3D69">
            <w:pPr>
              <w:spacing w:after="0" w:line="240" w:lineRule="auto"/>
              <w:jc w:val="left"/>
              <w:rPr>
                <w:rFonts w:ascii="Arial Narrow" w:eastAsia="Times New Roman" w:hAnsi="Arial Narrow" w:cs="Calibri"/>
                <w:sz w:val="18"/>
                <w:szCs w:val="18"/>
                <w:lang w:val="en-GB" w:eastAsia="en-GB"/>
              </w:rPr>
            </w:pPr>
            <w:r w:rsidRPr="009A3D69">
              <w:rPr>
                <w:rFonts w:ascii="Arial Narrow" w:eastAsia="Times New Roman" w:hAnsi="Arial Narrow" w:cs="Calibri"/>
                <w:sz w:val="18"/>
                <w:szCs w:val="18"/>
                <w:lang w:val="en-GB" w:eastAsia="en-GB"/>
              </w:rPr>
              <w:t>Gross earned premiums</w:t>
            </w:r>
          </w:p>
        </w:tc>
        <w:tc>
          <w:tcPr>
            <w:tcW w:w="791" w:type="dxa"/>
            <w:tcBorders>
              <w:top w:val="single" w:sz="4" w:space="0" w:color="BFBFBF"/>
              <w:left w:val="nil"/>
              <w:bottom w:val="single" w:sz="4" w:space="0" w:color="BFBFBF"/>
              <w:right w:val="nil"/>
            </w:tcBorders>
            <w:shd w:val="clear" w:color="000000" w:fill="F2F2F2"/>
            <w:noWrap/>
            <w:vAlign w:val="bottom"/>
            <w:hideMark/>
          </w:tcPr>
          <w:p w14:paraId="07E61D39" w14:textId="77777777" w:rsidR="009A3D69" w:rsidRPr="009A3D69" w:rsidRDefault="009A3D69" w:rsidP="009A3D69">
            <w:pPr>
              <w:spacing w:after="0" w:line="240" w:lineRule="auto"/>
              <w:jc w:val="right"/>
              <w:rPr>
                <w:rFonts w:ascii="Arial Narrow" w:eastAsia="Times New Roman" w:hAnsi="Arial Narrow" w:cs="Calibri"/>
                <w:sz w:val="18"/>
                <w:szCs w:val="18"/>
                <w:lang w:val="en-GB" w:eastAsia="en-GB"/>
              </w:rPr>
            </w:pPr>
            <w:r w:rsidRPr="009A3D69">
              <w:rPr>
                <w:rFonts w:ascii="Arial Narrow" w:eastAsia="Times New Roman" w:hAnsi="Arial Narrow" w:cs="Calibri"/>
                <w:sz w:val="18"/>
                <w:szCs w:val="18"/>
                <w:lang w:val="en-GB" w:eastAsia="en-GB"/>
              </w:rPr>
              <w:t>301.2</w:t>
            </w:r>
          </w:p>
        </w:tc>
        <w:tc>
          <w:tcPr>
            <w:tcW w:w="791" w:type="dxa"/>
            <w:tcBorders>
              <w:top w:val="single" w:sz="4" w:space="0" w:color="BFBFBF"/>
              <w:left w:val="nil"/>
              <w:bottom w:val="single" w:sz="4" w:space="0" w:color="BFBFBF"/>
              <w:right w:val="nil"/>
            </w:tcBorders>
            <w:shd w:val="clear" w:color="000000" w:fill="D1F0F1"/>
            <w:noWrap/>
            <w:vAlign w:val="bottom"/>
            <w:hideMark/>
          </w:tcPr>
          <w:p w14:paraId="21FBB9A0" w14:textId="77777777" w:rsidR="009A3D69" w:rsidRPr="009A3D69" w:rsidRDefault="009A3D69" w:rsidP="009A3D69">
            <w:pPr>
              <w:spacing w:after="0" w:line="240" w:lineRule="auto"/>
              <w:jc w:val="right"/>
              <w:rPr>
                <w:rFonts w:ascii="Arial Narrow" w:eastAsia="Times New Roman" w:hAnsi="Arial Narrow" w:cs="Calibri"/>
                <w:sz w:val="18"/>
                <w:szCs w:val="18"/>
                <w:lang w:val="en-GB" w:eastAsia="en-GB"/>
              </w:rPr>
            </w:pPr>
            <w:r w:rsidRPr="009A3D69">
              <w:rPr>
                <w:rFonts w:ascii="Arial Narrow" w:eastAsia="Times New Roman" w:hAnsi="Arial Narrow" w:cs="Calibri"/>
                <w:sz w:val="18"/>
                <w:szCs w:val="18"/>
                <w:lang w:val="en-GB" w:eastAsia="en-GB"/>
              </w:rPr>
              <w:t>312.1</w:t>
            </w:r>
          </w:p>
        </w:tc>
        <w:tc>
          <w:tcPr>
            <w:tcW w:w="885" w:type="dxa"/>
            <w:tcBorders>
              <w:top w:val="single" w:sz="4" w:space="0" w:color="BFBFBF"/>
              <w:left w:val="nil"/>
              <w:bottom w:val="single" w:sz="4" w:space="0" w:color="BFBFBF"/>
              <w:right w:val="nil"/>
            </w:tcBorders>
            <w:shd w:val="clear" w:color="auto" w:fill="auto"/>
            <w:noWrap/>
            <w:vAlign w:val="bottom"/>
            <w:hideMark/>
          </w:tcPr>
          <w:p w14:paraId="510CF626" w14:textId="77777777" w:rsidR="009A3D69" w:rsidRPr="009A3D69" w:rsidRDefault="009A3D69" w:rsidP="009A3D69">
            <w:pPr>
              <w:spacing w:after="0" w:line="240" w:lineRule="auto"/>
              <w:jc w:val="right"/>
              <w:rPr>
                <w:rFonts w:ascii="Arial Narrow" w:eastAsia="Times New Roman" w:hAnsi="Arial Narrow" w:cs="Calibri"/>
                <w:sz w:val="18"/>
                <w:szCs w:val="18"/>
                <w:lang w:val="en-GB" w:eastAsia="en-GB"/>
              </w:rPr>
            </w:pPr>
            <w:r w:rsidRPr="009A3D69">
              <w:rPr>
                <w:rFonts w:ascii="Arial Narrow" w:eastAsia="Times New Roman" w:hAnsi="Arial Narrow" w:cs="Calibri"/>
                <w:sz w:val="18"/>
                <w:szCs w:val="18"/>
                <w:lang w:val="en-GB" w:eastAsia="en-GB"/>
              </w:rPr>
              <w:t>+3.6%</w:t>
            </w:r>
          </w:p>
        </w:tc>
        <w:tc>
          <w:tcPr>
            <w:tcW w:w="885" w:type="dxa"/>
            <w:tcBorders>
              <w:top w:val="single" w:sz="4" w:space="0" w:color="BFBFBF"/>
              <w:left w:val="nil"/>
              <w:bottom w:val="single" w:sz="4" w:space="0" w:color="BFBFBF"/>
              <w:right w:val="nil"/>
            </w:tcBorders>
            <w:shd w:val="clear" w:color="000000" w:fill="FFFFFF"/>
            <w:noWrap/>
            <w:vAlign w:val="bottom"/>
            <w:hideMark/>
          </w:tcPr>
          <w:p w14:paraId="794BE1E3" w14:textId="77777777" w:rsidR="009A3D69" w:rsidRPr="009A3D69" w:rsidRDefault="009A3D69" w:rsidP="009A3D69">
            <w:pPr>
              <w:spacing w:after="0" w:line="240" w:lineRule="auto"/>
              <w:jc w:val="right"/>
              <w:rPr>
                <w:rFonts w:ascii="Arial Narrow" w:eastAsia="Times New Roman" w:hAnsi="Arial Narrow" w:cs="Calibri"/>
                <w:sz w:val="18"/>
                <w:szCs w:val="18"/>
                <w:lang w:val="en-GB" w:eastAsia="en-GB"/>
              </w:rPr>
            </w:pPr>
            <w:r w:rsidRPr="009A3D69">
              <w:rPr>
                <w:rFonts w:ascii="Arial Narrow" w:eastAsia="Times New Roman" w:hAnsi="Arial Narrow" w:cs="Calibri"/>
                <w:sz w:val="18"/>
                <w:szCs w:val="18"/>
                <w:lang w:val="en-GB" w:eastAsia="en-GB"/>
              </w:rPr>
              <w:t>+6.1%</w:t>
            </w:r>
          </w:p>
        </w:tc>
      </w:tr>
      <w:tr w:rsidR="009A3D69" w:rsidRPr="009A3D69" w14:paraId="2A0450B1" w14:textId="77777777" w:rsidTr="00A07BB6">
        <w:trPr>
          <w:trHeight w:val="300"/>
          <w:jc w:val="center"/>
        </w:trPr>
        <w:tc>
          <w:tcPr>
            <w:tcW w:w="4169" w:type="dxa"/>
            <w:tcBorders>
              <w:top w:val="nil"/>
              <w:left w:val="nil"/>
              <w:bottom w:val="nil"/>
              <w:right w:val="nil"/>
            </w:tcBorders>
            <w:shd w:val="clear" w:color="auto" w:fill="auto"/>
            <w:noWrap/>
            <w:vAlign w:val="bottom"/>
            <w:hideMark/>
          </w:tcPr>
          <w:p w14:paraId="138F90CF" w14:textId="77777777" w:rsidR="009A3D69" w:rsidRPr="009A3D69" w:rsidRDefault="009A3D69" w:rsidP="009A3D69">
            <w:pPr>
              <w:spacing w:after="0" w:line="240" w:lineRule="auto"/>
              <w:jc w:val="left"/>
              <w:rPr>
                <w:rFonts w:ascii="Arial Narrow" w:eastAsia="Times New Roman" w:hAnsi="Arial Narrow" w:cs="Calibri"/>
                <w:sz w:val="18"/>
                <w:szCs w:val="18"/>
                <w:lang w:val="en-GB" w:eastAsia="en-GB"/>
              </w:rPr>
            </w:pPr>
            <w:r w:rsidRPr="009A3D69">
              <w:rPr>
                <w:rFonts w:ascii="Arial Narrow" w:eastAsia="Times New Roman" w:hAnsi="Arial Narrow" w:cs="Calibri"/>
                <w:sz w:val="18"/>
                <w:szCs w:val="18"/>
                <w:lang w:val="en-GB" w:eastAsia="en-GB"/>
              </w:rPr>
              <w:t>Services revenue</w:t>
            </w:r>
          </w:p>
        </w:tc>
        <w:tc>
          <w:tcPr>
            <w:tcW w:w="791" w:type="dxa"/>
            <w:tcBorders>
              <w:top w:val="nil"/>
              <w:left w:val="nil"/>
              <w:bottom w:val="nil"/>
              <w:right w:val="nil"/>
            </w:tcBorders>
            <w:shd w:val="clear" w:color="000000" w:fill="F2F2F2"/>
            <w:noWrap/>
            <w:vAlign w:val="bottom"/>
            <w:hideMark/>
          </w:tcPr>
          <w:p w14:paraId="05B311F8" w14:textId="77777777" w:rsidR="009A3D69" w:rsidRPr="009A3D69" w:rsidRDefault="009A3D69" w:rsidP="009A3D69">
            <w:pPr>
              <w:spacing w:after="0" w:line="240" w:lineRule="auto"/>
              <w:jc w:val="right"/>
              <w:rPr>
                <w:rFonts w:ascii="Arial Narrow" w:eastAsia="Times New Roman" w:hAnsi="Arial Narrow" w:cs="Calibri"/>
                <w:sz w:val="18"/>
                <w:szCs w:val="18"/>
                <w:lang w:val="en-GB" w:eastAsia="en-GB"/>
              </w:rPr>
            </w:pPr>
            <w:r w:rsidRPr="009A3D69">
              <w:rPr>
                <w:rFonts w:ascii="Arial Narrow" w:eastAsia="Times New Roman" w:hAnsi="Arial Narrow" w:cs="Calibri"/>
                <w:sz w:val="18"/>
                <w:szCs w:val="18"/>
                <w:lang w:val="en-GB" w:eastAsia="en-GB"/>
              </w:rPr>
              <w:t>69.3</w:t>
            </w:r>
          </w:p>
        </w:tc>
        <w:tc>
          <w:tcPr>
            <w:tcW w:w="791" w:type="dxa"/>
            <w:tcBorders>
              <w:top w:val="nil"/>
              <w:left w:val="nil"/>
              <w:bottom w:val="nil"/>
              <w:right w:val="nil"/>
            </w:tcBorders>
            <w:shd w:val="clear" w:color="000000" w:fill="D1F0F1"/>
            <w:noWrap/>
            <w:vAlign w:val="bottom"/>
            <w:hideMark/>
          </w:tcPr>
          <w:p w14:paraId="41C5167C" w14:textId="77777777" w:rsidR="009A3D69" w:rsidRPr="009A3D69" w:rsidRDefault="009A3D69" w:rsidP="009A3D69">
            <w:pPr>
              <w:spacing w:after="0" w:line="240" w:lineRule="auto"/>
              <w:jc w:val="right"/>
              <w:rPr>
                <w:rFonts w:ascii="Arial Narrow" w:eastAsia="Times New Roman" w:hAnsi="Arial Narrow" w:cs="Calibri"/>
                <w:sz w:val="18"/>
                <w:szCs w:val="18"/>
                <w:lang w:val="en-GB" w:eastAsia="en-GB"/>
              </w:rPr>
            </w:pPr>
            <w:r w:rsidRPr="009A3D69">
              <w:rPr>
                <w:rFonts w:ascii="Arial Narrow" w:eastAsia="Times New Roman" w:hAnsi="Arial Narrow" w:cs="Calibri"/>
                <w:sz w:val="18"/>
                <w:szCs w:val="18"/>
                <w:lang w:val="en-GB" w:eastAsia="en-GB"/>
              </w:rPr>
              <w:t>65.9</w:t>
            </w:r>
          </w:p>
        </w:tc>
        <w:tc>
          <w:tcPr>
            <w:tcW w:w="885" w:type="dxa"/>
            <w:tcBorders>
              <w:top w:val="nil"/>
              <w:left w:val="nil"/>
              <w:bottom w:val="nil"/>
              <w:right w:val="nil"/>
            </w:tcBorders>
            <w:shd w:val="clear" w:color="auto" w:fill="auto"/>
            <w:noWrap/>
            <w:vAlign w:val="bottom"/>
            <w:hideMark/>
          </w:tcPr>
          <w:p w14:paraId="40FC6026" w14:textId="77777777" w:rsidR="009A3D69" w:rsidRPr="009A3D69" w:rsidRDefault="009A3D69" w:rsidP="009A3D69">
            <w:pPr>
              <w:spacing w:after="0" w:line="240" w:lineRule="auto"/>
              <w:jc w:val="right"/>
              <w:rPr>
                <w:rFonts w:ascii="Arial Narrow" w:eastAsia="Times New Roman" w:hAnsi="Arial Narrow" w:cs="Calibri"/>
                <w:sz w:val="18"/>
                <w:szCs w:val="18"/>
                <w:lang w:val="en-GB" w:eastAsia="en-GB"/>
              </w:rPr>
            </w:pPr>
            <w:r w:rsidRPr="009A3D69">
              <w:rPr>
                <w:rFonts w:ascii="Arial Narrow" w:eastAsia="Times New Roman" w:hAnsi="Arial Narrow" w:cs="Calibri"/>
                <w:sz w:val="18"/>
                <w:szCs w:val="18"/>
                <w:lang w:val="en-GB" w:eastAsia="en-GB"/>
              </w:rPr>
              <w:t>(4.9)%</w:t>
            </w:r>
          </w:p>
        </w:tc>
        <w:tc>
          <w:tcPr>
            <w:tcW w:w="885" w:type="dxa"/>
            <w:tcBorders>
              <w:top w:val="nil"/>
              <w:left w:val="nil"/>
              <w:bottom w:val="nil"/>
              <w:right w:val="nil"/>
            </w:tcBorders>
            <w:shd w:val="clear" w:color="000000" w:fill="FFFFFF"/>
            <w:noWrap/>
            <w:vAlign w:val="bottom"/>
            <w:hideMark/>
          </w:tcPr>
          <w:p w14:paraId="2D016820" w14:textId="77777777" w:rsidR="009A3D69" w:rsidRPr="009A3D69" w:rsidRDefault="009A3D69" w:rsidP="009A3D69">
            <w:pPr>
              <w:spacing w:after="0" w:line="240" w:lineRule="auto"/>
              <w:jc w:val="right"/>
              <w:rPr>
                <w:rFonts w:ascii="Arial Narrow" w:eastAsia="Times New Roman" w:hAnsi="Arial Narrow" w:cs="Calibri"/>
                <w:sz w:val="18"/>
                <w:szCs w:val="18"/>
                <w:lang w:val="en-GB" w:eastAsia="en-GB"/>
              </w:rPr>
            </w:pPr>
            <w:r w:rsidRPr="009A3D69">
              <w:rPr>
                <w:rFonts w:ascii="Arial Narrow" w:eastAsia="Times New Roman" w:hAnsi="Arial Narrow" w:cs="Calibri"/>
                <w:sz w:val="18"/>
                <w:szCs w:val="18"/>
                <w:lang w:val="en-GB" w:eastAsia="en-GB"/>
              </w:rPr>
              <w:t>(3.9)%</w:t>
            </w:r>
          </w:p>
        </w:tc>
      </w:tr>
      <w:tr w:rsidR="009A3D69" w:rsidRPr="009A3D69" w14:paraId="315BE9BB" w14:textId="77777777" w:rsidTr="00A07BB6">
        <w:trPr>
          <w:trHeight w:val="315"/>
          <w:jc w:val="center"/>
        </w:trPr>
        <w:tc>
          <w:tcPr>
            <w:tcW w:w="4169" w:type="dxa"/>
            <w:tcBorders>
              <w:top w:val="single" w:sz="4" w:space="0" w:color="18B3B9"/>
              <w:left w:val="nil"/>
              <w:bottom w:val="single" w:sz="8" w:space="0" w:color="18B3B9"/>
              <w:right w:val="nil"/>
            </w:tcBorders>
            <w:shd w:val="clear" w:color="auto" w:fill="auto"/>
            <w:noWrap/>
            <w:vAlign w:val="bottom"/>
            <w:hideMark/>
          </w:tcPr>
          <w:p w14:paraId="02987191" w14:textId="77777777" w:rsidR="009A3D69" w:rsidRPr="009A3D69" w:rsidRDefault="009A3D69" w:rsidP="009A3D69">
            <w:pPr>
              <w:spacing w:after="0" w:line="240" w:lineRule="auto"/>
              <w:jc w:val="left"/>
              <w:rPr>
                <w:rFonts w:ascii="Arial Narrow" w:eastAsia="Times New Roman" w:hAnsi="Arial Narrow" w:cs="Calibri"/>
                <w:b/>
                <w:bCs/>
                <w:color w:val="18B3B9"/>
                <w:sz w:val="18"/>
                <w:szCs w:val="18"/>
                <w:lang w:val="en-GB" w:eastAsia="en-GB"/>
              </w:rPr>
            </w:pPr>
            <w:r w:rsidRPr="009A3D69">
              <w:rPr>
                <w:rFonts w:ascii="Arial Narrow" w:eastAsia="Times New Roman" w:hAnsi="Arial Narrow" w:cs="Calibri"/>
                <w:b/>
                <w:bCs/>
                <w:color w:val="18B3B9"/>
                <w:sz w:val="18"/>
                <w:szCs w:val="18"/>
                <w:lang w:val="en-GB" w:eastAsia="en-GB"/>
              </w:rPr>
              <w:t>REVENUE</w:t>
            </w:r>
          </w:p>
        </w:tc>
        <w:tc>
          <w:tcPr>
            <w:tcW w:w="791" w:type="dxa"/>
            <w:tcBorders>
              <w:top w:val="single" w:sz="4" w:space="0" w:color="18B3B9"/>
              <w:left w:val="nil"/>
              <w:bottom w:val="single" w:sz="8" w:space="0" w:color="18B3B9"/>
              <w:right w:val="nil"/>
            </w:tcBorders>
            <w:shd w:val="clear" w:color="000000" w:fill="F2F2F2"/>
            <w:noWrap/>
            <w:vAlign w:val="bottom"/>
            <w:hideMark/>
          </w:tcPr>
          <w:p w14:paraId="2D49844B" w14:textId="77777777" w:rsidR="009A3D69" w:rsidRPr="009A3D69" w:rsidRDefault="009A3D69" w:rsidP="009A3D69">
            <w:pPr>
              <w:spacing w:after="0" w:line="240" w:lineRule="auto"/>
              <w:jc w:val="right"/>
              <w:rPr>
                <w:rFonts w:ascii="Arial Narrow" w:eastAsia="Times New Roman" w:hAnsi="Arial Narrow" w:cs="Calibri"/>
                <w:b/>
                <w:bCs/>
                <w:color w:val="18B3B9"/>
                <w:sz w:val="18"/>
                <w:szCs w:val="18"/>
                <w:lang w:val="en-GB" w:eastAsia="en-GB"/>
              </w:rPr>
            </w:pPr>
            <w:r w:rsidRPr="009A3D69">
              <w:rPr>
                <w:rFonts w:ascii="Arial Narrow" w:eastAsia="Times New Roman" w:hAnsi="Arial Narrow" w:cs="Calibri"/>
                <w:b/>
                <w:bCs/>
                <w:color w:val="18B3B9"/>
                <w:sz w:val="18"/>
                <w:szCs w:val="18"/>
                <w:lang w:val="en-GB" w:eastAsia="en-GB"/>
              </w:rPr>
              <w:t>370.5</w:t>
            </w:r>
          </w:p>
        </w:tc>
        <w:tc>
          <w:tcPr>
            <w:tcW w:w="791" w:type="dxa"/>
            <w:tcBorders>
              <w:top w:val="single" w:sz="4" w:space="0" w:color="18B3B9"/>
              <w:left w:val="nil"/>
              <w:bottom w:val="single" w:sz="8" w:space="0" w:color="18B3B9"/>
              <w:right w:val="nil"/>
            </w:tcBorders>
            <w:shd w:val="clear" w:color="000000" w:fill="D1F0F1"/>
            <w:noWrap/>
            <w:vAlign w:val="bottom"/>
            <w:hideMark/>
          </w:tcPr>
          <w:p w14:paraId="78650910" w14:textId="77777777" w:rsidR="009A3D69" w:rsidRPr="009A3D69" w:rsidRDefault="009A3D69" w:rsidP="009A3D69">
            <w:pPr>
              <w:spacing w:after="0" w:line="240" w:lineRule="auto"/>
              <w:jc w:val="right"/>
              <w:rPr>
                <w:rFonts w:ascii="Arial Narrow" w:eastAsia="Times New Roman" w:hAnsi="Arial Narrow" w:cs="Calibri"/>
                <w:b/>
                <w:bCs/>
                <w:color w:val="18B3B9"/>
                <w:sz w:val="18"/>
                <w:szCs w:val="18"/>
                <w:lang w:val="en-GB" w:eastAsia="en-GB"/>
              </w:rPr>
            </w:pPr>
            <w:r w:rsidRPr="009A3D69">
              <w:rPr>
                <w:rFonts w:ascii="Arial Narrow" w:eastAsia="Times New Roman" w:hAnsi="Arial Narrow" w:cs="Calibri"/>
                <w:b/>
                <w:bCs/>
                <w:color w:val="18B3B9"/>
                <w:sz w:val="18"/>
                <w:szCs w:val="18"/>
                <w:lang w:val="en-GB" w:eastAsia="en-GB"/>
              </w:rPr>
              <w:t>377.9</w:t>
            </w:r>
          </w:p>
        </w:tc>
        <w:tc>
          <w:tcPr>
            <w:tcW w:w="885" w:type="dxa"/>
            <w:tcBorders>
              <w:top w:val="single" w:sz="4" w:space="0" w:color="18B3B9"/>
              <w:left w:val="nil"/>
              <w:bottom w:val="single" w:sz="8" w:space="0" w:color="18B3B9"/>
              <w:right w:val="nil"/>
            </w:tcBorders>
            <w:shd w:val="clear" w:color="auto" w:fill="auto"/>
            <w:noWrap/>
            <w:vAlign w:val="bottom"/>
            <w:hideMark/>
          </w:tcPr>
          <w:p w14:paraId="57199728" w14:textId="77777777" w:rsidR="009A3D69" w:rsidRPr="009A3D69" w:rsidRDefault="009A3D69" w:rsidP="009A3D69">
            <w:pPr>
              <w:spacing w:after="0" w:line="240" w:lineRule="auto"/>
              <w:jc w:val="right"/>
              <w:rPr>
                <w:rFonts w:ascii="Arial Narrow" w:eastAsia="Times New Roman" w:hAnsi="Arial Narrow" w:cs="Calibri"/>
                <w:b/>
                <w:bCs/>
                <w:color w:val="18B3B9"/>
                <w:sz w:val="18"/>
                <w:szCs w:val="18"/>
                <w:lang w:val="en-GB" w:eastAsia="en-GB"/>
              </w:rPr>
            </w:pPr>
            <w:r w:rsidRPr="009A3D69">
              <w:rPr>
                <w:rFonts w:ascii="Arial Narrow" w:eastAsia="Times New Roman" w:hAnsi="Arial Narrow" w:cs="Calibri"/>
                <w:b/>
                <w:bCs/>
                <w:color w:val="18B3B9"/>
                <w:sz w:val="18"/>
                <w:szCs w:val="18"/>
                <w:lang w:val="en-GB" w:eastAsia="en-GB"/>
              </w:rPr>
              <w:t>+2.0%</w:t>
            </w:r>
          </w:p>
        </w:tc>
        <w:tc>
          <w:tcPr>
            <w:tcW w:w="885" w:type="dxa"/>
            <w:tcBorders>
              <w:top w:val="single" w:sz="4" w:space="0" w:color="18B3B9"/>
              <w:left w:val="nil"/>
              <w:bottom w:val="single" w:sz="8" w:space="0" w:color="18B3B9"/>
              <w:right w:val="nil"/>
            </w:tcBorders>
            <w:shd w:val="clear" w:color="000000" w:fill="FFFFFF"/>
            <w:noWrap/>
            <w:vAlign w:val="bottom"/>
            <w:hideMark/>
          </w:tcPr>
          <w:p w14:paraId="0BC8CC8D" w14:textId="77777777" w:rsidR="009A3D69" w:rsidRPr="009A3D69" w:rsidRDefault="009A3D69" w:rsidP="009A3D69">
            <w:pPr>
              <w:spacing w:after="0" w:line="240" w:lineRule="auto"/>
              <w:jc w:val="right"/>
              <w:rPr>
                <w:rFonts w:ascii="Arial Narrow" w:eastAsia="Times New Roman" w:hAnsi="Arial Narrow" w:cs="Calibri"/>
                <w:b/>
                <w:bCs/>
                <w:color w:val="18B3B9"/>
                <w:sz w:val="18"/>
                <w:szCs w:val="18"/>
                <w:lang w:val="en-GB" w:eastAsia="en-GB"/>
              </w:rPr>
            </w:pPr>
            <w:r w:rsidRPr="009A3D69">
              <w:rPr>
                <w:rFonts w:ascii="Arial Narrow" w:eastAsia="Times New Roman" w:hAnsi="Arial Narrow" w:cs="Calibri"/>
                <w:b/>
                <w:bCs/>
                <w:color w:val="18B3B9"/>
                <w:sz w:val="18"/>
                <w:szCs w:val="18"/>
                <w:lang w:val="en-GB" w:eastAsia="en-GB"/>
              </w:rPr>
              <w:t>+4.2%</w:t>
            </w:r>
          </w:p>
        </w:tc>
      </w:tr>
      <w:tr w:rsidR="009A3D69" w:rsidRPr="009A3D69" w14:paraId="1A1A9541" w14:textId="77777777" w:rsidTr="00A07BB6">
        <w:trPr>
          <w:trHeight w:val="300"/>
          <w:jc w:val="center"/>
        </w:trPr>
        <w:tc>
          <w:tcPr>
            <w:tcW w:w="4169" w:type="dxa"/>
            <w:tcBorders>
              <w:top w:val="single" w:sz="4" w:space="0" w:color="BFBFBF"/>
              <w:left w:val="nil"/>
              <w:bottom w:val="single" w:sz="4" w:space="0" w:color="BFBFBF"/>
              <w:right w:val="nil"/>
            </w:tcBorders>
            <w:shd w:val="clear" w:color="auto" w:fill="auto"/>
            <w:noWrap/>
            <w:vAlign w:val="bottom"/>
            <w:hideMark/>
          </w:tcPr>
          <w:p w14:paraId="2E2280BA" w14:textId="77777777" w:rsidR="009A3D69" w:rsidRPr="009A3D69" w:rsidRDefault="009A3D69" w:rsidP="009A3D69">
            <w:pPr>
              <w:spacing w:after="0" w:line="240" w:lineRule="auto"/>
              <w:jc w:val="left"/>
              <w:rPr>
                <w:rFonts w:ascii="Arial Narrow" w:eastAsia="Times New Roman" w:hAnsi="Arial Narrow" w:cs="Calibri"/>
                <w:sz w:val="18"/>
                <w:szCs w:val="18"/>
                <w:lang w:val="en-GB" w:eastAsia="en-GB"/>
              </w:rPr>
            </w:pPr>
            <w:r w:rsidRPr="009A3D69">
              <w:rPr>
                <w:rFonts w:ascii="Arial Narrow" w:eastAsia="Times New Roman" w:hAnsi="Arial Narrow" w:cs="Calibri"/>
                <w:sz w:val="18"/>
                <w:szCs w:val="18"/>
                <w:lang w:val="en-GB" w:eastAsia="en-GB"/>
              </w:rPr>
              <w:t>UNDERWRITING INCOME/LOSS AFTER REINSURANCE</w:t>
            </w:r>
          </w:p>
        </w:tc>
        <w:tc>
          <w:tcPr>
            <w:tcW w:w="791" w:type="dxa"/>
            <w:tcBorders>
              <w:top w:val="single" w:sz="4" w:space="0" w:color="BFBFBF"/>
              <w:left w:val="nil"/>
              <w:bottom w:val="single" w:sz="4" w:space="0" w:color="BFBFBF"/>
              <w:right w:val="nil"/>
            </w:tcBorders>
            <w:shd w:val="clear" w:color="000000" w:fill="F2F2F2"/>
            <w:noWrap/>
            <w:vAlign w:val="bottom"/>
            <w:hideMark/>
          </w:tcPr>
          <w:p w14:paraId="7CB13895" w14:textId="77777777" w:rsidR="009A3D69" w:rsidRPr="009A3D69" w:rsidRDefault="009A3D69" w:rsidP="009A3D69">
            <w:pPr>
              <w:spacing w:after="0" w:line="240" w:lineRule="auto"/>
              <w:jc w:val="right"/>
              <w:rPr>
                <w:rFonts w:ascii="Arial Narrow" w:eastAsia="Times New Roman" w:hAnsi="Arial Narrow" w:cs="Calibri"/>
                <w:sz w:val="18"/>
                <w:szCs w:val="18"/>
                <w:lang w:val="en-GB" w:eastAsia="en-GB"/>
              </w:rPr>
            </w:pPr>
            <w:r w:rsidRPr="009A3D69">
              <w:rPr>
                <w:rFonts w:ascii="Arial Narrow" w:eastAsia="Times New Roman" w:hAnsi="Arial Narrow" w:cs="Calibri"/>
                <w:sz w:val="18"/>
                <w:szCs w:val="18"/>
                <w:lang w:val="en-GB" w:eastAsia="en-GB"/>
              </w:rPr>
              <w:t>28.2</w:t>
            </w:r>
          </w:p>
        </w:tc>
        <w:tc>
          <w:tcPr>
            <w:tcW w:w="791" w:type="dxa"/>
            <w:tcBorders>
              <w:top w:val="single" w:sz="4" w:space="0" w:color="BFBFBF"/>
              <w:left w:val="nil"/>
              <w:bottom w:val="single" w:sz="4" w:space="0" w:color="BFBFBF"/>
              <w:right w:val="nil"/>
            </w:tcBorders>
            <w:shd w:val="clear" w:color="000000" w:fill="D1F0F1"/>
            <w:noWrap/>
            <w:vAlign w:val="bottom"/>
            <w:hideMark/>
          </w:tcPr>
          <w:p w14:paraId="35D4A43D" w14:textId="77777777" w:rsidR="009A3D69" w:rsidRPr="009A3D69" w:rsidRDefault="009A3D69" w:rsidP="009A3D69">
            <w:pPr>
              <w:spacing w:after="0" w:line="240" w:lineRule="auto"/>
              <w:jc w:val="right"/>
              <w:rPr>
                <w:rFonts w:ascii="Arial Narrow" w:eastAsia="Times New Roman" w:hAnsi="Arial Narrow" w:cs="Calibri"/>
                <w:sz w:val="18"/>
                <w:szCs w:val="18"/>
                <w:lang w:val="en-GB" w:eastAsia="en-GB"/>
              </w:rPr>
            </w:pPr>
            <w:r w:rsidRPr="009A3D69">
              <w:rPr>
                <w:rFonts w:ascii="Arial Narrow" w:eastAsia="Times New Roman" w:hAnsi="Arial Narrow" w:cs="Calibri"/>
                <w:sz w:val="18"/>
                <w:szCs w:val="18"/>
                <w:lang w:val="en-GB" w:eastAsia="en-GB"/>
              </w:rPr>
              <w:t>74.3</w:t>
            </w:r>
          </w:p>
        </w:tc>
        <w:tc>
          <w:tcPr>
            <w:tcW w:w="885" w:type="dxa"/>
            <w:tcBorders>
              <w:top w:val="single" w:sz="4" w:space="0" w:color="BFBFBF"/>
              <w:left w:val="nil"/>
              <w:bottom w:val="nil"/>
              <w:right w:val="nil"/>
            </w:tcBorders>
            <w:shd w:val="clear" w:color="auto" w:fill="auto"/>
            <w:noWrap/>
            <w:vAlign w:val="bottom"/>
            <w:hideMark/>
          </w:tcPr>
          <w:p w14:paraId="39AD9898" w14:textId="77777777" w:rsidR="009A3D69" w:rsidRPr="009A3D69" w:rsidRDefault="009A3D69" w:rsidP="009A3D69">
            <w:pPr>
              <w:spacing w:after="0" w:line="240" w:lineRule="auto"/>
              <w:jc w:val="right"/>
              <w:rPr>
                <w:rFonts w:ascii="Arial Narrow" w:eastAsia="Times New Roman" w:hAnsi="Arial Narrow" w:cs="Calibri"/>
                <w:sz w:val="18"/>
                <w:szCs w:val="18"/>
                <w:lang w:val="en-GB" w:eastAsia="en-GB"/>
              </w:rPr>
            </w:pPr>
            <w:r w:rsidRPr="009A3D69">
              <w:rPr>
                <w:rFonts w:ascii="Arial Narrow" w:eastAsia="Times New Roman" w:hAnsi="Arial Narrow" w:cs="Calibri"/>
                <w:sz w:val="18"/>
                <w:szCs w:val="18"/>
                <w:lang w:val="en-GB" w:eastAsia="en-GB"/>
              </w:rPr>
              <w:t>+163.1%</w:t>
            </w:r>
          </w:p>
        </w:tc>
        <w:tc>
          <w:tcPr>
            <w:tcW w:w="885" w:type="dxa"/>
            <w:tcBorders>
              <w:top w:val="single" w:sz="4" w:space="0" w:color="BFBFBF"/>
              <w:left w:val="nil"/>
              <w:bottom w:val="single" w:sz="4" w:space="0" w:color="BFBFBF"/>
              <w:right w:val="nil"/>
            </w:tcBorders>
            <w:shd w:val="clear" w:color="000000" w:fill="FFFFFF"/>
            <w:noWrap/>
            <w:vAlign w:val="bottom"/>
            <w:hideMark/>
          </w:tcPr>
          <w:p w14:paraId="53C3D04A" w14:textId="77777777" w:rsidR="009A3D69" w:rsidRPr="009A3D69" w:rsidRDefault="009A3D69" w:rsidP="009A3D69">
            <w:pPr>
              <w:spacing w:after="0" w:line="240" w:lineRule="auto"/>
              <w:jc w:val="right"/>
              <w:rPr>
                <w:rFonts w:ascii="Arial Narrow" w:eastAsia="Times New Roman" w:hAnsi="Arial Narrow" w:cs="Calibri"/>
                <w:sz w:val="18"/>
                <w:szCs w:val="18"/>
                <w:lang w:val="en-GB" w:eastAsia="en-GB"/>
              </w:rPr>
            </w:pPr>
            <w:r w:rsidRPr="009A3D69">
              <w:rPr>
                <w:rFonts w:ascii="Arial Narrow" w:eastAsia="Times New Roman" w:hAnsi="Arial Narrow" w:cs="Calibri"/>
                <w:sz w:val="18"/>
                <w:szCs w:val="18"/>
                <w:lang w:val="en-GB" w:eastAsia="en-GB"/>
              </w:rPr>
              <w:t>+185.7%</w:t>
            </w:r>
          </w:p>
        </w:tc>
      </w:tr>
      <w:tr w:rsidR="009A3D69" w:rsidRPr="009A3D69" w14:paraId="495294A2" w14:textId="77777777" w:rsidTr="00A07BB6">
        <w:trPr>
          <w:trHeight w:val="300"/>
          <w:jc w:val="center"/>
        </w:trPr>
        <w:tc>
          <w:tcPr>
            <w:tcW w:w="4169" w:type="dxa"/>
            <w:tcBorders>
              <w:top w:val="nil"/>
              <w:left w:val="nil"/>
              <w:bottom w:val="nil"/>
              <w:right w:val="nil"/>
            </w:tcBorders>
            <w:shd w:val="clear" w:color="auto" w:fill="auto"/>
            <w:noWrap/>
            <w:vAlign w:val="bottom"/>
            <w:hideMark/>
          </w:tcPr>
          <w:p w14:paraId="08DCA773" w14:textId="77777777" w:rsidR="009A3D69" w:rsidRPr="009A3D69" w:rsidRDefault="009A3D69" w:rsidP="009A3D69">
            <w:pPr>
              <w:spacing w:after="0" w:line="240" w:lineRule="auto"/>
              <w:jc w:val="left"/>
              <w:rPr>
                <w:rFonts w:ascii="Arial Narrow" w:eastAsia="Times New Roman" w:hAnsi="Arial Narrow" w:cs="Calibri"/>
                <w:sz w:val="18"/>
                <w:szCs w:val="18"/>
                <w:lang w:val="en-GB" w:eastAsia="en-GB"/>
              </w:rPr>
            </w:pPr>
            <w:r w:rsidRPr="009A3D69">
              <w:rPr>
                <w:rFonts w:ascii="Arial Narrow" w:eastAsia="Times New Roman" w:hAnsi="Arial Narrow" w:cs="Calibri"/>
                <w:sz w:val="18"/>
                <w:szCs w:val="18"/>
                <w:lang w:val="en-GB" w:eastAsia="en-GB"/>
              </w:rPr>
              <w:t>Investment income, net of management expenses</w:t>
            </w:r>
          </w:p>
        </w:tc>
        <w:tc>
          <w:tcPr>
            <w:tcW w:w="791" w:type="dxa"/>
            <w:tcBorders>
              <w:top w:val="nil"/>
              <w:left w:val="nil"/>
              <w:bottom w:val="nil"/>
              <w:right w:val="nil"/>
            </w:tcBorders>
            <w:shd w:val="clear" w:color="000000" w:fill="F2F2F2"/>
            <w:noWrap/>
            <w:vAlign w:val="bottom"/>
            <w:hideMark/>
          </w:tcPr>
          <w:p w14:paraId="1410892C" w14:textId="77777777" w:rsidR="009A3D69" w:rsidRPr="009A3D69" w:rsidRDefault="009A3D69" w:rsidP="009A3D69">
            <w:pPr>
              <w:spacing w:after="0" w:line="240" w:lineRule="auto"/>
              <w:jc w:val="right"/>
              <w:rPr>
                <w:rFonts w:ascii="Arial Narrow" w:eastAsia="Times New Roman" w:hAnsi="Arial Narrow" w:cs="Calibri"/>
                <w:sz w:val="18"/>
                <w:szCs w:val="18"/>
                <w:lang w:val="en-GB" w:eastAsia="en-GB"/>
              </w:rPr>
            </w:pPr>
            <w:r w:rsidRPr="009A3D69">
              <w:rPr>
                <w:rFonts w:ascii="Arial Narrow" w:eastAsia="Times New Roman" w:hAnsi="Arial Narrow" w:cs="Calibri"/>
                <w:sz w:val="18"/>
                <w:szCs w:val="18"/>
                <w:lang w:val="en-GB" w:eastAsia="en-GB"/>
              </w:rPr>
              <w:t>2.7</w:t>
            </w:r>
          </w:p>
        </w:tc>
        <w:tc>
          <w:tcPr>
            <w:tcW w:w="791" w:type="dxa"/>
            <w:tcBorders>
              <w:top w:val="nil"/>
              <w:left w:val="nil"/>
              <w:bottom w:val="nil"/>
              <w:right w:val="nil"/>
            </w:tcBorders>
            <w:shd w:val="clear" w:color="000000" w:fill="D1F0F1"/>
            <w:noWrap/>
            <w:vAlign w:val="bottom"/>
            <w:hideMark/>
          </w:tcPr>
          <w:p w14:paraId="596B1EC5" w14:textId="77777777" w:rsidR="009A3D69" w:rsidRPr="009A3D69" w:rsidRDefault="009A3D69" w:rsidP="009A3D69">
            <w:pPr>
              <w:spacing w:after="0" w:line="240" w:lineRule="auto"/>
              <w:jc w:val="right"/>
              <w:rPr>
                <w:rFonts w:ascii="Arial Narrow" w:eastAsia="Times New Roman" w:hAnsi="Arial Narrow" w:cs="Calibri"/>
                <w:sz w:val="18"/>
                <w:szCs w:val="18"/>
                <w:lang w:val="en-GB" w:eastAsia="en-GB"/>
              </w:rPr>
            </w:pPr>
            <w:r w:rsidRPr="009A3D69">
              <w:rPr>
                <w:rFonts w:ascii="Arial Narrow" w:eastAsia="Times New Roman" w:hAnsi="Arial Narrow" w:cs="Calibri"/>
                <w:sz w:val="18"/>
                <w:szCs w:val="18"/>
                <w:lang w:val="en-GB" w:eastAsia="en-GB"/>
              </w:rPr>
              <w:t>5.7</w:t>
            </w:r>
          </w:p>
        </w:tc>
        <w:tc>
          <w:tcPr>
            <w:tcW w:w="885" w:type="dxa"/>
            <w:tcBorders>
              <w:top w:val="single" w:sz="4" w:space="0" w:color="BFBFBF"/>
              <w:left w:val="nil"/>
              <w:bottom w:val="nil"/>
              <w:right w:val="nil"/>
            </w:tcBorders>
            <w:shd w:val="clear" w:color="auto" w:fill="auto"/>
            <w:noWrap/>
            <w:vAlign w:val="bottom"/>
            <w:hideMark/>
          </w:tcPr>
          <w:p w14:paraId="7D8857D6" w14:textId="77777777" w:rsidR="009A3D69" w:rsidRPr="009A3D69" w:rsidRDefault="009A3D69" w:rsidP="009A3D69">
            <w:pPr>
              <w:spacing w:after="0" w:line="240" w:lineRule="auto"/>
              <w:jc w:val="right"/>
              <w:rPr>
                <w:rFonts w:ascii="Arial Narrow" w:eastAsia="Times New Roman" w:hAnsi="Arial Narrow" w:cs="Calibri"/>
                <w:sz w:val="18"/>
                <w:szCs w:val="18"/>
                <w:lang w:val="en-GB" w:eastAsia="en-GB"/>
              </w:rPr>
            </w:pPr>
            <w:r w:rsidRPr="009A3D69">
              <w:rPr>
                <w:rFonts w:ascii="Arial Narrow" w:eastAsia="Times New Roman" w:hAnsi="Arial Narrow" w:cs="Calibri"/>
                <w:sz w:val="18"/>
                <w:szCs w:val="18"/>
                <w:lang w:val="en-GB" w:eastAsia="en-GB"/>
              </w:rPr>
              <w:t>+113.7%</w:t>
            </w:r>
          </w:p>
        </w:tc>
        <w:tc>
          <w:tcPr>
            <w:tcW w:w="885" w:type="dxa"/>
            <w:tcBorders>
              <w:top w:val="nil"/>
              <w:left w:val="nil"/>
              <w:bottom w:val="nil"/>
              <w:right w:val="nil"/>
            </w:tcBorders>
            <w:shd w:val="clear" w:color="000000" w:fill="FFFFFF"/>
            <w:noWrap/>
            <w:vAlign w:val="bottom"/>
            <w:hideMark/>
          </w:tcPr>
          <w:p w14:paraId="729E98A3" w14:textId="77777777" w:rsidR="009A3D69" w:rsidRPr="009A3D69" w:rsidRDefault="009A3D69" w:rsidP="009A3D69">
            <w:pPr>
              <w:spacing w:after="0" w:line="240" w:lineRule="auto"/>
              <w:jc w:val="right"/>
              <w:rPr>
                <w:rFonts w:ascii="Arial Narrow" w:eastAsia="Times New Roman" w:hAnsi="Arial Narrow" w:cs="Calibri"/>
                <w:sz w:val="18"/>
                <w:szCs w:val="18"/>
                <w:lang w:val="en-GB" w:eastAsia="en-GB"/>
              </w:rPr>
            </w:pPr>
            <w:r w:rsidRPr="009A3D69">
              <w:rPr>
                <w:rFonts w:ascii="Arial Narrow" w:eastAsia="Times New Roman" w:hAnsi="Arial Narrow" w:cs="Calibri"/>
                <w:sz w:val="18"/>
                <w:szCs w:val="18"/>
                <w:lang w:val="en-GB" w:eastAsia="en-GB"/>
              </w:rPr>
              <w:t>+111.4%</w:t>
            </w:r>
          </w:p>
        </w:tc>
      </w:tr>
      <w:tr w:rsidR="009A3D69" w:rsidRPr="009A3D69" w14:paraId="693714E6" w14:textId="77777777" w:rsidTr="00A07BB6">
        <w:trPr>
          <w:trHeight w:val="315"/>
          <w:jc w:val="center"/>
        </w:trPr>
        <w:tc>
          <w:tcPr>
            <w:tcW w:w="4169" w:type="dxa"/>
            <w:tcBorders>
              <w:top w:val="single" w:sz="4" w:space="0" w:color="18B3B9"/>
              <w:left w:val="nil"/>
              <w:bottom w:val="single" w:sz="8" w:space="0" w:color="18B3B9"/>
              <w:right w:val="nil"/>
            </w:tcBorders>
            <w:shd w:val="clear" w:color="auto" w:fill="auto"/>
            <w:noWrap/>
            <w:vAlign w:val="bottom"/>
            <w:hideMark/>
          </w:tcPr>
          <w:p w14:paraId="001CE897" w14:textId="77777777" w:rsidR="009A3D69" w:rsidRPr="009A3D69" w:rsidRDefault="009A3D69" w:rsidP="009A3D69">
            <w:pPr>
              <w:spacing w:after="0" w:line="240" w:lineRule="auto"/>
              <w:jc w:val="left"/>
              <w:rPr>
                <w:rFonts w:ascii="Arial Narrow" w:eastAsia="Times New Roman" w:hAnsi="Arial Narrow" w:cs="Calibri"/>
                <w:b/>
                <w:bCs/>
                <w:color w:val="18B3B9"/>
                <w:sz w:val="18"/>
                <w:szCs w:val="18"/>
                <w:lang w:val="en-GB" w:eastAsia="en-GB"/>
              </w:rPr>
            </w:pPr>
            <w:r w:rsidRPr="009A3D69">
              <w:rPr>
                <w:rFonts w:ascii="Arial Narrow" w:eastAsia="Times New Roman" w:hAnsi="Arial Narrow" w:cs="Calibri"/>
                <w:b/>
                <w:bCs/>
                <w:color w:val="18B3B9"/>
                <w:sz w:val="18"/>
                <w:szCs w:val="18"/>
                <w:lang w:val="en-GB" w:eastAsia="en-GB"/>
              </w:rPr>
              <w:t>CURRENT OPERATING INCOME</w:t>
            </w:r>
          </w:p>
        </w:tc>
        <w:tc>
          <w:tcPr>
            <w:tcW w:w="791" w:type="dxa"/>
            <w:tcBorders>
              <w:top w:val="single" w:sz="4" w:space="0" w:color="18B3B9"/>
              <w:left w:val="nil"/>
              <w:bottom w:val="single" w:sz="8" w:space="0" w:color="18B3B9"/>
              <w:right w:val="nil"/>
            </w:tcBorders>
            <w:shd w:val="clear" w:color="000000" w:fill="F2F2F2"/>
            <w:noWrap/>
            <w:vAlign w:val="bottom"/>
            <w:hideMark/>
          </w:tcPr>
          <w:p w14:paraId="7013A53F" w14:textId="77777777" w:rsidR="009A3D69" w:rsidRPr="009A3D69" w:rsidRDefault="009A3D69" w:rsidP="009A3D69">
            <w:pPr>
              <w:spacing w:after="0" w:line="240" w:lineRule="auto"/>
              <w:jc w:val="right"/>
              <w:rPr>
                <w:rFonts w:ascii="Arial Narrow" w:eastAsia="Times New Roman" w:hAnsi="Arial Narrow" w:cs="Calibri"/>
                <w:b/>
                <w:bCs/>
                <w:color w:val="18B3B9"/>
                <w:sz w:val="18"/>
                <w:szCs w:val="18"/>
                <w:lang w:val="en-GB" w:eastAsia="en-GB"/>
              </w:rPr>
            </w:pPr>
            <w:r w:rsidRPr="009A3D69">
              <w:rPr>
                <w:rFonts w:ascii="Arial Narrow" w:eastAsia="Times New Roman" w:hAnsi="Arial Narrow" w:cs="Calibri"/>
                <w:b/>
                <w:bCs/>
                <w:color w:val="18B3B9"/>
                <w:sz w:val="18"/>
                <w:szCs w:val="18"/>
                <w:lang w:val="en-GB" w:eastAsia="en-GB"/>
              </w:rPr>
              <w:t>30.9</w:t>
            </w:r>
          </w:p>
        </w:tc>
        <w:tc>
          <w:tcPr>
            <w:tcW w:w="791" w:type="dxa"/>
            <w:tcBorders>
              <w:top w:val="single" w:sz="4" w:space="0" w:color="18B3B9"/>
              <w:left w:val="nil"/>
              <w:bottom w:val="single" w:sz="8" w:space="0" w:color="18B3B9"/>
              <w:right w:val="nil"/>
            </w:tcBorders>
            <w:shd w:val="clear" w:color="000000" w:fill="D1F0F1"/>
            <w:noWrap/>
            <w:vAlign w:val="bottom"/>
            <w:hideMark/>
          </w:tcPr>
          <w:p w14:paraId="3CB74B2A" w14:textId="77777777" w:rsidR="009A3D69" w:rsidRPr="009A3D69" w:rsidRDefault="009A3D69" w:rsidP="009A3D69">
            <w:pPr>
              <w:spacing w:after="0" w:line="240" w:lineRule="auto"/>
              <w:jc w:val="right"/>
              <w:rPr>
                <w:rFonts w:ascii="Arial Narrow" w:eastAsia="Times New Roman" w:hAnsi="Arial Narrow" w:cs="Calibri"/>
                <w:b/>
                <w:bCs/>
                <w:color w:val="18B3B9"/>
                <w:sz w:val="18"/>
                <w:szCs w:val="18"/>
                <w:lang w:val="en-GB" w:eastAsia="en-GB"/>
              </w:rPr>
            </w:pPr>
            <w:r w:rsidRPr="009A3D69">
              <w:rPr>
                <w:rFonts w:ascii="Arial Narrow" w:eastAsia="Times New Roman" w:hAnsi="Arial Narrow" w:cs="Calibri"/>
                <w:b/>
                <w:bCs/>
                <w:color w:val="18B3B9"/>
                <w:sz w:val="18"/>
                <w:szCs w:val="18"/>
                <w:lang w:val="en-GB" w:eastAsia="en-GB"/>
              </w:rPr>
              <w:t>80.0</w:t>
            </w:r>
          </w:p>
        </w:tc>
        <w:tc>
          <w:tcPr>
            <w:tcW w:w="885" w:type="dxa"/>
            <w:tcBorders>
              <w:top w:val="single" w:sz="4" w:space="0" w:color="18B3B9"/>
              <w:left w:val="nil"/>
              <w:bottom w:val="single" w:sz="8" w:space="0" w:color="18B3B9"/>
              <w:right w:val="nil"/>
            </w:tcBorders>
            <w:shd w:val="clear" w:color="auto" w:fill="auto"/>
            <w:noWrap/>
            <w:vAlign w:val="bottom"/>
            <w:hideMark/>
          </w:tcPr>
          <w:p w14:paraId="5ECB5410" w14:textId="01E065BA" w:rsidR="009A3D69" w:rsidRPr="009A3D69" w:rsidRDefault="00CB054B" w:rsidP="009A3D69">
            <w:pPr>
              <w:spacing w:after="0" w:line="240" w:lineRule="auto"/>
              <w:jc w:val="right"/>
              <w:rPr>
                <w:rFonts w:ascii="Arial Narrow" w:eastAsia="Times New Roman" w:hAnsi="Arial Narrow" w:cs="Calibri"/>
                <w:b/>
                <w:bCs/>
                <w:color w:val="18B3B9"/>
                <w:sz w:val="18"/>
                <w:szCs w:val="18"/>
                <w:lang w:val="en-GB" w:eastAsia="en-GB"/>
              </w:rPr>
            </w:pPr>
            <w:r>
              <w:rPr>
                <w:rFonts w:ascii="Arial Narrow" w:eastAsia="Times New Roman" w:hAnsi="Arial Narrow" w:cs="Calibri"/>
                <w:b/>
                <w:bCs/>
                <w:color w:val="18B3B9"/>
                <w:sz w:val="18"/>
                <w:szCs w:val="18"/>
                <w:lang w:val="en-GB" w:eastAsia="en-GB"/>
              </w:rPr>
              <w:t>+</w:t>
            </w:r>
            <w:r w:rsidR="009A3D69" w:rsidRPr="009A3D69">
              <w:rPr>
                <w:rFonts w:ascii="Arial Narrow" w:eastAsia="Times New Roman" w:hAnsi="Arial Narrow" w:cs="Calibri"/>
                <w:b/>
                <w:bCs/>
                <w:color w:val="18B3B9"/>
                <w:sz w:val="18"/>
                <w:szCs w:val="18"/>
                <w:lang w:val="en-GB" w:eastAsia="en-GB"/>
              </w:rPr>
              <w:t>158.8%</w:t>
            </w:r>
          </w:p>
        </w:tc>
        <w:tc>
          <w:tcPr>
            <w:tcW w:w="885" w:type="dxa"/>
            <w:tcBorders>
              <w:top w:val="single" w:sz="4" w:space="0" w:color="18B3B9"/>
              <w:left w:val="nil"/>
              <w:bottom w:val="single" w:sz="8" w:space="0" w:color="18B3B9"/>
              <w:right w:val="nil"/>
            </w:tcBorders>
            <w:shd w:val="clear" w:color="000000" w:fill="FFFFFF"/>
            <w:noWrap/>
            <w:vAlign w:val="bottom"/>
            <w:hideMark/>
          </w:tcPr>
          <w:p w14:paraId="3964C06E" w14:textId="77777777" w:rsidR="009A3D69" w:rsidRPr="009A3D69" w:rsidRDefault="009A3D69" w:rsidP="009A3D69">
            <w:pPr>
              <w:spacing w:after="0" w:line="240" w:lineRule="auto"/>
              <w:jc w:val="right"/>
              <w:rPr>
                <w:rFonts w:ascii="Arial Narrow" w:eastAsia="Times New Roman" w:hAnsi="Arial Narrow" w:cs="Calibri"/>
                <w:b/>
                <w:bCs/>
                <w:color w:val="18B3B9"/>
                <w:sz w:val="18"/>
                <w:szCs w:val="18"/>
                <w:lang w:val="en-GB" w:eastAsia="en-GB"/>
              </w:rPr>
            </w:pPr>
            <w:r w:rsidRPr="009A3D69">
              <w:rPr>
                <w:rFonts w:ascii="Arial Narrow" w:eastAsia="Times New Roman" w:hAnsi="Arial Narrow" w:cs="Calibri"/>
                <w:b/>
                <w:bCs/>
                <w:color w:val="18B3B9"/>
                <w:sz w:val="18"/>
                <w:szCs w:val="18"/>
                <w:lang w:val="en-GB" w:eastAsia="en-GB"/>
              </w:rPr>
              <w:t>+184.9%</w:t>
            </w:r>
          </w:p>
        </w:tc>
      </w:tr>
      <w:tr w:rsidR="00A07BB6" w:rsidRPr="009A3D69" w14:paraId="068800B0" w14:textId="77777777" w:rsidTr="00A07BB6">
        <w:trPr>
          <w:trHeight w:val="300"/>
          <w:jc w:val="center"/>
        </w:trPr>
        <w:tc>
          <w:tcPr>
            <w:tcW w:w="4169" w:type="dxa"/>
            <w:tcBorders>
              <w:top w:val="nil"/>
              <w:left w:val="nil"/>
              <w:bottom w:val="nil"/>
              <w:right w:val="nil"/>
            </w:tcBorders>
            <w:shd w:val="clear" w:color="auto" w:fill="auto"/>
            <w:noWrap/>
            <w:vAlign w:val="bottom"/>
            <w:hideMark/>
          </w:tcPr>
          <w:p w14:paraId="0129ACB3" w14:textId="77777777" w:rsidR="009A3D69" w:rsidRPr="009A3D69" w:rsidRDefault="009A3D69" w:rsidP="009A3D69">
            <w:pPr>
              <w:spacing w:after="0" w:line="240" w:lineRule="auto"/>
              <w:jc w:val="left"/>
              <w:rPr>
                <w:rFonts w:ascii="Arial Narrow" w:eastAsia="Times New Roman" w:hAnsi="Arial Narrow" w:cs="Calibri"/>
                <w:sz w:val="18"/>
                <w:szCs w:val="18"/>
                <w:lang w:val="en-GB" w:eastAsia="en-GB"/>
              </w:rPr>
            </w:pPr>
            <w:r w:rsidRPr="009A3D69">
              <w:rPr>
                <w:rFonts w:ascii="Arial Narrow" w:eastAsia="Times New Roman" w:hAnsi="Arial Narrow" w:cs="Calibri"/>
                <w:sz w:val="18"/>
                <w:szCs w:val="18"/>
                <w:lang w:val="en-GB" w:eastAsia="en-GB"/>
              </w:rPr>
              <w:t>Other operating income / expenses</w:t>
            </w:r>
          </w:p>
        </w:tc>
        <w:tc>
          <w:tcPr>
            <w:tcW w:w="791" w:type="dxa"/>
            <w:tcBorders>
              <w:top w:val="nil"/>
              <w:left w:val="nil"/>
              <w:bottom w:val="nil"/>
              <w:right w:val="nil"/>
            </w:tcBorders>
            <w:shd w:val="clear" w:color="000000" w:fill="F2F2F2"/>
            <w:noWrap/>
            <w:vAlign w:val="center"/>
            <w:hideMark/>
          </w:tcPr>
          <w:p w14:paraId="36D30D25" w14:textId="77777777" w:rsidR="009A3D69" w:rsidRPr="009A3D69" w:rsidRDefault="009A3D69" w:rsidP="009A3D69">
            <w:pPr>
              <w:spacing w:after="0" w:line="240" w:lineRule="auto"/>
              <w:jc w:val="right"/>
              <w:rPr>
                <w:rFonts w:ascii="Arial Narrow" w:eastAsia="Times New Roman" w:hAnsi="Arial Narrow" w:cs="Calibri"/>
                <w:sz w:val="18"/>
                <w:szCs w:val="18"/>
                <w:lang w:val="en-GB" w:eastAsia="en-GB"/>
              </w:rPr>
            </w:pPr>
            <w:r w:rsidRPr="009A3D69">
              <w:rPr>
                <w:rFonts w:ascii="Arial Narrow" w:eastAsia="Times New Roman" w:hAnsi="Arial Narrow" w:cs="Calibri"/>
                <w:sz w:val="18"/>
                <w:szCs w:val="18"/>
                <w:lang w:val="en-GB" w:eastAsia="en-GB"/>
              </w:rPr>
              <w:t>(0.2)</w:t>
            </w:r>
          </w:p>
        </w:tc>
        <w:tc>
          <w:tcPr>
            <w:tcW w:w="791" w:type="dxa"/>
            <w:tcBorders>
              <w:top w:val="nil"/>
              <w:left w:val="nil"/>
              <w:bottom w:val="nil"/>
              <w:right w:val="nil"/>
            </w:tcBorders>
            <w:shd w:val="clear" w:color="000000" w:fill="D1F0F1"/>
            <w:noWrap/>
            <w:vAlign w:val="center"/>
            <w:hideMark/>
          </w:tcPr>
          <w:p w14:paraId="59AC0E2C" w14:textId="77777777" w:rsidR="009A3D69" w:rsidRPr="009A3D69" w:rsidRDefault="009A3D69" w:rsidP="009A3D69">
            <w:pPr>
              <w:spacing w:after="0" w:line="240" w:lineRule="auto"/>
              <w:jc w:val="right"/>
              <w:rPr>
                <w:rFonts w:ascii="Arial Narrow" w:eastAsia="Times New Roman" w:hAnsi="Arial Narrow" w:cs="Calibri"/>
                <w:sz w:val="18"/>
                <w:szCs w:val="18"/>
                <w:lang w:val="en-GB" w:eastAsia="en-GB"/>
              </w:rPr>
            </w:pPr>
            <w:r w:rsidRPr="009A3D69">
              <w:rPr>
                <w:rFonts w:ascii="Arial Narrow" w:eastAsia="Times New Roman" w:hAnsi="Arial Narrow" w:cs="Calibri"/>
                <w:sz w:val="18"/>
                <w:szCs w:val="18"/>
                <w:lang w:val="en-GB" w:eastAsia="en-GB"/>
              </w:rPr>
              <w:t>(0.4)</w:t>
            </w:r>
          </w:p>
        </w:tc>
        <w:tc>
          <w:tcPr>
            <w:tcW w:w="885" w:type="dxa"/>
            <w:tcBorders>
              <w:top w:val="nil"/>
              <w:left w:val="nil"/>
              <w:bottom w:val="nil"/>
              <w:right w:val="nil"/>
            </w:tcBorders>
            <w:shd w:val="clear" w:color="000000" w:fill="FFFFFF"/>
            <w:noWrap/>
            <w:vAlign w:val="bottom"/>
            <w:hideMark/>
          </w:tcPr>
          <w:p w14:paraId="38A88919" w14:textId="77777777" w:rsidR="009A3D69" w:rsidRPr="009A3D69" w:rsidRDefault="009A3D69" w:rsidP="009A3D69">
            <w:pPr>
              <w:spacing w:after="0" w:line="240" w:lineRule="auto"/>
              <w:jc w:val="right"/>
              <w:rPr>
                <w:rFonts w:ascii="Arial Narrow" w:eastAsia="Times New Roman" w:hAnsi="Arial Narrow" w:cs="Calibri"/>
                <w:sz w:val="18"/>
                <w:szCs w:val="18"/>
                <w:lang w:val="en-GB" w:eastAsia="en-GB"/>
              </w:rPr>
            </w:pPr>
            <w:r w:rsidRPr="009A3D69">
              <w:rPr>
                <w:rFonts w:ascii="Arial Narrow" w:eastAsia="Times New Roman" w:hAnsi="Arial Narrow" w:cs="Calibri"/>
                <w:sz w:val="18"/>
                <w:szCs w:val="18"/>
                <w:lang w:val="en-GB" w:eastAsia="en-GB"/>
              </w:rPr>
              <w:t>+95.5%</w:t>
            </w:r>
          </w:p>
        </w:tc>
        <w:tc>
          <w:tcPr>
            <w:tcW w:w="885" w:type="dxa"/>
            <w:tcBorders>
              <w:top w:val="nil"/>
              <w:left w:val="nil"/>
              <w:bottom w:val="nil"/>
              <w:right w:val="nil"/>
            </w:tcBorders>
            <w:shd w:val="clear" w:color="000000" w:fill="FFFFFF"/>
            <w:noWrap/>
            <w:vAlign w:val="bottom"/>
            <w:hideMark/>
          </w:tcPr>
          <w:p w14:paraId="34A05920" w14:textId="77777777" w:rsidR="009A3D69" w:rsidRPr="009A3D69" w:rsidRDefault="009A3D69" w:rsidP="009A3D69">
            <w:pPr>
              <w:spacing w:after="0" w:line="240" w:lineRule="auto"/>
              <w:jc w:val="right"/>
              <w:rPr>
                <w:rFonts w:ascii="Arial Narrow" w:eastAsia="Times New Roman" w:hAnsi="Arial Narrow" w:cs="Calibri"/>
                <w:sz w:val="18"/>
                <w:szCs w:val="18"/>
                <w:lang w:val="en-GB" w:eastAsia="en-GB"/>
              </w:rPr>
            </w:pPr>
            <w:r w:rsidRPr="009A3D69">
              <w:rPr>
                <w:rFonts w:ascii="Arial Narrow" w:eastAsia="Times New Roman" w:hAnsi="Arial Narrow" w:cs="Calibri"/>
                <w:sz w:val="18"/>
                <w:szCs w:val="18"/>
                <w:lang w:val="en-GB" w:eastAsia="en-GB"/>
              </w:rPr>
              <w:t>(13.0)%</w:t>
            </w:r>
          </w:p>
        </w:tc>
      </w:tr>
      <w:tr w:rsidR="009A3D69" w:rsidRPr="009A3D69" w14:paraId="26287AB0" w14:textId="77777777" w:rsidTr="00A07BB6">
        <w:trPr>
          <w:trHeight w:val="315"/>
          <w:jc w:val="center"/>
        </w:trPr>
        <w:tc>
          <w:tcPr>
            <w:tcW w:w="4169" w:type="dxa"/>
            <w:tcBorders>
              <w:top w:val="single" w:sz="4" w:space="0" w:color="18B3B9"/>
              <w:left w:val="nil"/>
              <w:bottom w:val="nil"/>
              <w:right w:val="nil"/>
            </w:tcBorders>
            <w:shd w:val="clear" w:color="auto" w:fill="auto"/>
            <w:noWrap/>
            <w:vAlign w:val="bottom"/>
            <w:hideMark/>
          </w:tcPr>
          <w:p w14:paraId="2A8F0E2B" w14:textId="77777777" w:rsidR="009A3D69" w:rsidRPr="009A3D69" w:rsidRDefault="009A3D69" w:rsidP="009A3D69">
            <w:pPr>
              <w:spacing w:after="0" w:line="240" w:lineRule="auto"/>
              <w:jc w:val="left"/>
              <w:rPr>
                <w:rFonts w:ascii="Arial Narrow" w:eastAsia="Times New Roman" w:hAnsi="Arial Narrow" w:cs="Calibri"/>
                <w:b/>
                <w:bCs/>
                <w:color w:val="18B3B9"/>
                <w:sz w:val="18"/>
                <w:szCs w:val="18"/>
                <w:lang w:val="en-GB" w:eastAsia="en-GB"/>
              </w:rPr>
            </w:pPr>
            <w:r w:rsidRPr="009A3D69">
              <w:rPr>
                <w:rFonts w:ascii="Arial Narrow" w:eastAsia="Times New Roman" w:hAnsi="Arial Narrow" w:cs="Calibri"/>
                <w:b/>
                <w:bCs/>
                <w:color w:val="18B3B9"/>
                <w:sz w:val="18"/>
                <w:szCs w:val="18"/>
                <w:lang w:val="en-GB" w:eastAsia="en-GB"/>
              </w:rPr>
              <w:t>OPERATING INCOME</w:t>
            </w:r>
          </w:p>
        </w:tc>
        <w:tc>
          <w:tcPr>
            <w:tcW w:w="791" w:type="dxa"/>
            <w:tcBorders>
              <w:top w:val="single" w:sz="4" w:space="0" w:color="18B3B9"/>
              <w:left w:val="nil"/>
              <w:bottom w:val="nil"/>
              <w:right w:val="nil"/>
            </w:tcBorders>
            <w:shd w:val="clear" w:color="000000" w:fill="F2F2F2"/>
            <w:noWrap/>
            <w:vAlign w:val="bottom"/>
            <w:hideMark/>
          </w:tcPr>
          <w:p w14:paraId="4D1F643B" w14:textId="77777777" w:rsidR="009A3D69" w:rsidRPr="009A3D69" w:rsidRDefault="009A3D69" w:rsidP="009A3D69">
            <w:pPr>
              <w:spacing w:after="0" w:line="240" w:lineRule="auto"/>
              <w:jc w:val="right"/>
              <w:rPr>
                <w:rFonts w:ascii="Arial Narrow" w:eastAsia="Times New Roman" w:hAnsi="Arial Narrow" w:cs="Calibri"/>
                <w:b/>
                <w:bCs/>
                <w:color w:val="18B3B9"/>
                <w:sz w:val="18"/>
                <w:szCs w:val="18"/>
                <w:lang w:val="en-GB" w:eastAsia="en-GB"/>
              </w:rPr>
            </w:pPr>
            <w:r w:rsidRPr="009A3D69">
              <w:rPr>
                <w:rFonts w:ascii="Arial Narrow" w:eastAsia="Times New Roman" w:hAnsi="Arial Narrow" w:cs="Calibri"/>
                <w:b/>
                <w:bCs/>
                <w:color w:val="18B3B9"/>
                <w:sz w:val="18"/>
                <w:szCs w:val="18"/>
                <w:lang w:val="en-GB" w:eastAsia="en-GB"/>
              </w:rPr>
              <w:t>30.7</w:t>
            </w:r>
          </w:p>
        </w:tc>
        <w:tc>
          <w:tcPr>
            <w:tcW w:w="791" w:type="dxa"/>
            <w:tcBorders>
              <w:top w:val="single" w:sz="4" w:space="0" w:color="18B3B9"/>
              <w:left w:val="nil"/>
              <w:bottom w:val="nil"/>
              <w:right w:val="nil"/>
            </w:tcBorders>
            <w:shd w:val="clear" w:color="000000" w:fill="D1F0F1"/>
            <w:noWrap/>
            <w:vAlign w:val="bottom"/>
            <w:hideMark/>
          </w:tcPr>
          <w:p w14:paraId="485518C1" w14:textId="37DA0D7E" w:rsidR="009A3D69" w:rsidRPr="009A3D69" w:rsidRDefault="00B61946" w:rsidP="009A3D69">
            <w:pPr>
              <w:spacing w:after="0" w:line="240" w:lineRule="auto"/>
              <w:jc w:val="right"/>
              <w:rPr>
                <w:rFonts w:ascii="Arial Narrow" w:eastAsia="Times New Roman" w:hAnsi="Arial Narrow" w:cs="Calibri"/>
                <w:b/>
                <w:bCs/>
                <w:color w:val="18B3B9"/>
                <w:sz w:val="18"/>
                <w:szCs w:val="18"/>
                <w:lang w:val="en-GB" w:eastAsia="en-GB"/>
              </w:rPr>
            </w:pPr>
            <w:r>
              <w:rPr>
                <w:rFonts w:ascii="Arial Narrow" w:eastAsia="Times New Roman" w:hAnsi="Arial Narrow" w:cs="Calibri"/>
                <w:b/>
                <w:bCs/>
                <w:color w:val="18B3B9"/>
                <w:sz w:val="18"/>
                <w:szCs w:val="18"/>
                <w:lang w:val="en-GB" w:eastAsia="en-GB"/>
              </w:rPr>
              <w:t>79.6</w:t>
            </w:r>
          </w:p>
        </w:tc>
        <w:tc>
          <w:tcPr>
            <w:tcW w:w="885" w:type="dxa"/>
            <w:tcBorders>
              <w:top w:val="single" w:sz="4" w:space="0" w:color="18B3B9"/>
              <w:left w:val="nil"/>
              <w:bottom w:val="nil"/>
              <w:right w:val="nil"/>
            </w:tcBorders>
            <w:shd w:val="clear" w:color="auto" w:fill="auto"/>
            <w:noWrap/>
            <w:vAlign w:val="bottom"/>
            <w:hideMark/>
          </w:tcPr>
          <w:p w14:paraId="03A37E7B" w14:textId="7728843E" w:rsidR="009A3D69" w:rsidRPr="009A3D69" w:rsidRDefault="00CB054B" w:rsidP="009A3D69">
            <w:pPr>
              <w:spacing w:after="0" w:line="240" w:lineRule="auto"/>
              <w:jc w:val="right"/>
              <w:rPr>
                <w:rFonts w:ascii="Arial Narrow" w:eastAsia="Times New Roman" w:hAnsi="Arial Narrow" w:cs="Calibri"/>
                <w:b/>
                <w:bCs/>
                <w:color w:val="18B3B9"/>
                <w:sz w:val="18"/>
                <w:szCs w:val="18"/>
                <w:lang w:val="en-GB" w:eastAsia="en-GB"/>
              </w:rPr>
            </w:pPr>
            <w:r>
              <w:rPr>
                <w:rFonts w:ascii="Arial Narrow" w:eastAsia="Times New Roman" w:hAnsi="Arial Narrow" w:cs="Calibri"/>
                <w:b/>
                <w:bCs/>
                <w:color w:val="18B3B9"/>
                <w:sz w:val="18"/>
                <w:szCs w:val="18"/>
                <w:lang w:val="en-GB" w:eastAsia="en-GB"/>
              </w:rPr>
              <w:t>+</w:t>
            </w:r>
            <w:r w:rsidR="009A3D69" w:rsidRPr="009A3D69">
              <w:rPr>
                <w:rFonts w:ascii="Arial Narrow" w:eastAsia="Times New Roman" w:hAnsi="Arial Narrow" w:cs="Calibri"/>
                <w:b/>
                <w:bCs/>
                <w:color w:val="18B3B9"/>
                <w:sz w:val="18"/>
                <w:szCs w:val="18"/>
                <w:lang w:val="en-GB" w:eastAsia="en-GB"/>
              </w:rPr>
              <w:t>159.2%</w:t>
            </w:r>
          </w:p>
        </w:tc>
        <w:tc>
          <w:tcPr>
            <w:tcW w:w="885" w:type="dxa"/>
            <w:tcBorders>
              <w:top w:val="single" w:sz="4" w:space="0" w:color="18B3B9"/>
              <w:left w:val="nil"/>
              <w:bottom w:val="nil"/>
              <w:right w:val="nil"/>
            </w:tcBorders>
            <w:shd w:val="clear" w:color="000000" w:fill="FFFFFF"/>
            <w:noWrap/>
            <w:vAlign w:val="bottom"/>
            <w:hideMark/>
          </w:tcPr>
          <w:p w14:paraId="3237EA69" w14:textId="77777777" w:rsidR="009A3D69" w:rsidRPr="009A3D69" w:rsidRDefault="009A3D69" w:rsidP="009A3D69">
            <w:pPr>
              <w:spacing w:after="0" w:line="240" w:lineRule="auto"/>
              <w:jc w:val="right"/>
              <w:rPr>
                <w:rFonts w:ascii="Arial Narrow" w:eastAsia="Times New Roman" w:hAnsi="Arial Narrow" w:cs="Calibri"/>
                <w:b/>
                <w:bCs/>
                <w:color w:val="18B3B9"/>
                <w:sz w:val="18"/>
                <w:szCs w:val="18"/>
                <w:lang w:val="en-GB" w:eastAsia="en-GB"/>
              </w:rPr>
            </w:pPr>
            <w:r w:rsidRPr="009A3D69">
              <w:rPr>
                <w:rFonts w:ascii="Arial Narrow" w:eastAsia="Times New Roman" w:hAnsi="Arial Narrow" w:cs="Calibri"/>
                <w:b/>
                <w:bCs/>
                <w:color w:val="18B3B9"/>
                <w:sz w:val="18"/>
                <w:szCs w:val="18"/>
                <w:lang w:val="en-GB" w:eastAsia="en-GB"/>
              </w:rPr>
              <w:t>+185.5%</w:t>
            </w:r>
          </w:p>
        </w:tc>
      </w:tr>
      <w:tr w:rsidR="009A3D69" w:rsidRPr="009A3D69" w14:paraId="3119C3DE" w14:textId="77777777" w:rsidTr="00A07BB6">
        <w:trPr>
          <w:trHeight w:val="315"/>
          <w:jc w:val="center"/>
        </w:trPr>
        <w:tc>
          <w:tcPr>
            <w:tcW w:w="4169" w:type="dxa"/>
            <w:tcBorders>
              <w:top w:val="single" w:sz="4" w:space="0" w:color="03365F"/>
              <w:left w:val="nil"/>
              <w:bottom w:val="single" w:sz="8" w:space="0" w:color="03365F"/>
              <w:right w:val="nil"/>
            </w:tcBorders>
            <w:shd w:val="clear" w:color="auto" w:fill="auto"/>
            <w:noWrap/>
            <w:vAlign w:val="bottom"/>
            <w:hideMark/>
          </w:tcPr>
          <w:p w14:paraId="79F782C8" w14:textId="77777777" w:rsidR="009A3D69" w:rsidRPr="009A3D69" w:rsidRDefault="009A3D69" w:rsidP="009A3D69">
            <w:pPr>
              <w:spacing w:after="0" w:line="240" w:lineRule="auto"/>
              <w:jc w:val="left"/>
              <w:rPr>
                <w:rFonts w:ascii="Arial Narrow" w:eastAsia="Times New Roman" w:hAnsi="Arial Narrow" w:cs="Calibri"/>
                <w:b/>
                <w:bCs/>
                <w:color w:val="03365F"/>
                <w:sz w:val="18"/>
                <w:szCs w:val="18"/>
                <w:lang w:val="en-GB" w:eastAsia="en-GB"/>
              </w:rPr>
            </w:pPr>
            <w:r w:rsidRPr="009A3D69">
              <w:rPr>
                <w:rFonts w:ascii="Arial Narrow" w:eastAsia="Times New Roman" w:hAnsi="Arial Narrow" w:cs="Calibri"/>
                <w:b/>
                <w:bCs/>
                <w:color w:val="03365F"/>
                <w:sz w:val="18"/>
                <w:szCs w:val="18"/>
                <w:lang w:val="en-GB" w:eastAsia="en-GB"/>
              </w:rPr>
              <w:t>NET INCOME</w:t>
            </w:r>
          </w:p>
        </w:tc>
        <w:tc>
          <w:tcPr>
            <w:tcW w:w="791" w:type="dxa"/>
            <w:tcBorders>
              <w:top w:val="single" w:sz="4" w:space="0" w:color="03365F"/>
              <w:left w:val="nil"/>
              <w:bottom w:val="single" w:sz="8" w:space="0" w:color="03365F"/>
              <w:right w:val="nil"/>
            </w:tcBorders>
            <w:shd w:val="clear" w:color="000000" w:fill="F2F2F2"/>
            <w:noWrap/>
            <w:vAlign w:val="bottom"/>
            <w:hideMark/>
          </w:tcPr>
          <w:p w14:paraId="2761327C" w14:textId="77777777" w:rsidR="009A3D69" w:rsidRPr="009A3D69" w:rsidRDefault="009A3D69" w:rsidP="009A3D69">
            <w:pPr>
              <w:spacing w:after="0" w:line="240" w:lineRule="auto"/>
              <w:jc w:val="right"/>
              <w:rPr>
                <w:rFonts w:ascii="Arial Narrow" w:eastAsia="Times New Roman" w:hAnsi="Arial Narrow" w:cs="Calibri"/>
                <w:b/>
                <w:bCs/>
                <w:color w:val="03365F"/>
                <w:sz w:val="18"/>
                <w:szCs w:val="18"/>
                <w:lang w:val="en-GB" w:eastAsia="en-GB"/>
              </w:rPr>
            </w:pPr>
            <w:r w:rsidRPr="009A3D69">
              <w:rPr>
                <w:rFonts w:ascii="Arial Narrow" w:eastAsia="Times New Roman" w:hAnsi="Arial Narrow" w:cs="Calibri"/>
                <w:b/>
                <w:bCs/>
                <w:color w:val="03365F"/>
                <w:sz w:val="18"/>
                <w:szCs w:val="18"/>
                <w:lang w:val="en-GB" w:eastAsia="en-GB"/>
              </w:rPr>
              <w:t>12.7</w:t>
            </w:r>
          </w:p>
        </w:tc>
        <w:tc>
          <w:tcPr>
            <w:tcW w:w="791" w:type="dxa"/>
            <w:tcBorders>
              <w:top w:val="single" w:sz="4" w:space="0" w:color="03365F"/>
              <w:left w:val="nil"/>
              <w:bottom w:val="single" w:sz="8" w:space="0" w:color="03365F"/>
              <w:right w:val="nil"/>
            </w:tcBorders>
            <w:shd w:val="clear" w:color="000000" w:fill="D1F0F1"/>
            <w:noWrap/>
            <w:vAlign w:val="bottom"/>
            <w:hideMark/>
          </w:tcPr>
          <w:p w14:paraId="56DA9464" w14:textId="77777777" w:rsidR="009A3D69" w:rsidRPr="009A3D69" w:rsidRDefault="009A3D69" w:rsidP="009A3D69">
            <w:pPr>
              <w:spacing w:after="0" w:line="240" w:lineRule="auto"/>
              <w:jc w:val="right"/>
              <w:rPr>
                <w:rFonts w:ascii="Arial Narrow" w:eastAsia="Times New Roman" w:hAnsi="Arial Narrow" w:cs="Calibri"/>
                <w:b/>
                <w:bCs/>
                <w:color w:val="03365F"/>
                <w:sz w:val="18"/>
                <w:szCs w:val="18"/>
                <w:lang w:val="en-GB" w:eastAsia="en-GB"/>
              </w:rPr>
            </w:pPr>
            <w:r w:rsidRPr="009A3D69">
              <w:rPr>
                <w:rFonts w:ascii="Arial Narrow" w:eastAsia="Times New Roman" w:hAnsi="Arial Narrow" w:cs="Calibri"/>
                <w:b/>
                <w:bCs/>
                <w:color w:val="03365F"/>
                <w:sz w:val="18"/>
                <w:szCs w:val="18"/>
                <w:lang w:val="en-GB" w:eastAsia="en-GB"/>
              </w:rPr>
              <w:t>56.4</w:t>
            </w:r>
          </w:p>
        </w:tc>
        <w:tc>
          <w:tcPr>
            <w:tcW w:w="885" w:type="dxa"/>
            <w:tcBorders>
              <w:top w:val="single" w:sz="4" w:space="0" w:color="03365F"/>
              <w:left w:val="nil"/>
              <w:bottom w:val="single" w:sz="8" w:space="0" w:color="03365F"/>
              <w:right w:val="nil"/>
            </w:tcBorders>
            <w:shd w:val="clear" w:color="auto" w:fill="auto"/>
            <w:noWrap/>
            <w:vAlign w:val="bottom"/>
            <w:hideMark/>
          </w:tcPr>
          <w:p w14:paraId="1A7B95E6" w14:textId="77777777" w:rsidR="009A3D69" w:rsidRPr="009A3D69" w:rsidRDefault="009A3D69" w:rsidP="009A3D69">
            <w:pPr>
              <w:spacing w:after="0" w:line="240" w:lineRule="auto"/>
              <w:jc w:val="right"/>
              <w:rPr>
                <w:rFonts w:ascii="Arial Narrow" w:eastAsia="Times New Roman" w:hAnsi="Arial Narrow" w:cs="Calibri"/>
                <w:b/>
                <w:bCs/>
                <w:color w:val="03365F"/>
                <w:sz w:val="18"/>
                <w:szCs w:val="18"/>
                <w:lang w:val="en-GB" w:eastAsia="en-GB"/>
              </w:rPr>
            </w:pPr>
            <w:r w:rsidRPr="009A3D69">
              <w:rPr>
                <w:rFonts w:ascii="Arial Narrow" w:eastAsia="Times New Roman" w:hAnsi="Arial Narrow" w:cs="Calibri"/>
                <w:b/>
                <w:bCs/>
                <w:color w:val="03365F"/>
                <w:sz w:val="18"/>
                <w:szCs w:val="18"/>
                <w:lang w:val="en-GB" w:eastAsia="en-GB"/>
              </w:rPr>
              <w:t>+345.1%</w:t>
            </w:r>
          </w:p>
        </w:tc>
        <w:tc>
          <w:tcPr>
            <w:tcW w:w="885" w:type="dxa"/>
            <w:tcBorders>
              <w:top w:val="single" w:sz="4" w:space="0" w:color="03365F"/>
              <w:left w:val="nil"/>
              <w:bottom w:val="single" w:sz="8" w:space="0" w:color="03365F"/>
              <w:right w:val="nil"/>
            </w:tcBorders>
            <w:shd w:val="clear" w:color="auto" w:fill="auto"/>
            <w:noWrap/>
            <w:vAlign w:val="bottom"/>
            <w:hideMark/>
          </w:tcPr>
          <w:p w14:paraId="12325CAB" w14:textId="77777777" w:rsidR="009A3D69" w:rsidRPr="009A3D69" w:rsidRDefault="009A3D69" w:rsidP="009A3D69">
            <w:pPr>
              <w:spacing w:after="0" w:line="240" w:lineRule="auto"/>
              <w:jc w:val="right"/>
              <w:rPr>
                <w:rFonts w:ascii="Arial Narrow" w:eastAsia="Times New Roman" w:hAnsi="Arial Narrow" w:cs="Calibri"/>
                <w:b/>
                <w:bCs/>
                <w:color w:val="03365F"/>
                <w:sz w:val="18"/>
                <w:szCs w:val="18"/>
                <w:lang w:val="en-GB" w:eastAsia="en-GB"/>
              </w:rPr>
            </w:pPr>
            <w:r w:rsidRPr="009A3D69">
              <w:rPr>
                <w:rFonts w:ascii="Arial Narrow" w:eastAsia="Times New Roman" w:hAnsi="Arial Narrow" w:cs="Calibri"/>
                <w:b/>
                <w:bCs/>
                <w:color w:val="03365F"/>
                <w:sz w:val="18"/>
                <w:szCs w:val="18"/>
                <w:lang w:val="en-GB" w:eastAsia="en-GB"/>
              </w:rPr>
              <w:t>+452.0%</w:t>
            </w:r>
          </w:p>
        </w:tc>
      </w:tr>
      <w:tr w:rsidR="009A3D69" w:rsidRPr="009A3D69" w14:paraId="411ED6FE" w14:textId="77777777" w:rsidTr="00A07BB6">
        <w:trPr>
          <w:trHeight w:val="75"/>
          <w:jc w:val="center"/>
        </w:trPr>
        <w:tc>
          <w:tcPr>
            <w:tcW w:w="4169" w:type="dxa"/>
            <w:tcBorders>
              <w:top w:val="nil"/>
              <w:left w:val="nil"/>
              <w:bottom w:val="nil"/>
              <w:right w:val="nil"/>
            </w:tcBorders>
            <w:shd w:val="clear" w:color="auto" w:fill="auto"/>
            <w:noWrap/>
            <w:vAlign w:val="bottom"/>
            <w:hideMark/>
          </w:tcPr>
          <w:p w14:paraId="447BFAE2" w14:textId="77777777" w:rsidR="009A3D69" w:rsidRPr="009A3D69" w:rsidRDefault="009A3D69" w:rsidP="009A3D69">
            <w:pPr>
              <w:spacing w:after="0" w:line="240" w:lineRule="auto"/>
              <w:jc w:val="right"/>
              <w:rPr>
                <w:rFonts w:ascii="Arial Narrow" w:eastAsia="Times New Roman" w:hAnsi="Arial Narrow" w:cs="Calibri"/>
                <w:b/>
                <w:bCs/>
                <w:color w:val="03365F"/>
                <w:sz w:val="18"/>
                <w:szCs w:val="18"/>
                <w:lang w:val="en-GB" w:eastAsia="en-GB"/>
              </w:rPr>
            </w:pPr>
          </w:p>
        </w:tc>
        <w:tc>
          <w:tcPr>
            <w:tcW w:w="791" w:type="dxa"/>
            <w:tcBorders>
              <w:top w:val="nil"/>
              <w:left w:val="nil"/>
              <w:bottom w:val="nil"/>
              <w:right w:val="nil"/>
            </w:tcBorders>
            <w:shd w:val="clear" w:color="auto" w:fill="auto"/>
            <w:noWrap/>
            <w:vAlign w:val="bottom"/>
            <w:hideMark/>
          </w:tcPr>
          <w:p w14:paraId="635484C5" w14:textId="77777777" w:rsidR="009A3D69" w:rsidRPr="009A3D69" w:rsidRDefault="009A3D69" w:rsidP="009A3D69">
            <w:pPr>
              <w:spacing w:after="0" w:line="240" w:lineRule="auto"/>
              <w:jc w:val="left"/>
              <w:rPr>
                <w:rFonts w:ascii="Arial Narrow" w:eastAsia="Times New Roman" w:hAnsi="Arial Narrow" w:cs="Times New Roman"/>
                <w:sz w:val="18"/>
                <w:szCs w:val="18"/>
                <w:lang w:val="en-GB" w:eastAsia="en-GB"/>
              </w:rPr>
            </w:pPr>
          </w:p>
        </w:tc>
        <w:tc>
          <w:tcPr>
            <w:tcW w:w="791" w:type="dxa"/>
            <w:tcBorders>
              <w:top w:val="nil"/>
              <w:left w:val="nil"/>
              <w:bottom w:val="nil"/>
              <w:right w:val="nil"/>
            </w:tcBorders>
            <w:shd w:val="clear" w:color="auto" w:fill="auto"/>
            <w:noWrap/>
            <w:vAlign w:val="bottom"/>
            <w:hideMark/>
          </w:tcPr>
          <w:p w14:paraId="3C765D26" w14:textId="77777777" w:rsidR="009A3D69" w:rsidRPr="009A3D69" w:rsidRDefault="009A3D69" w:rsidP="009A3D69">
            <w:pPr>
              <w:spacing w:after="0" w:line="240" w:lineRule="auto"/>
              <w:jc w:val="left"/>
              <w:rPr>
                <w:rFonts w:ascii="Arial Narrow" w:eastAsia="Times New Roman" w:hAnsi="Arial Narrow" w:cs="Times New Roman"/>
                <w:sz w:val="18"/>
                <w:szCs w:val="18"/>
                <w:lang w:val="en-GB" w:eastAsia="en-GB"/>
              </w:rPr>
            </w:pPr>
          </w:p>
        </w:tc>
        <w:tc>
          <w:tcPr>
            <w:tcW w:w="885" w:type="dxa"/>
            <w:tcBorders>
              <w:top w:val="nil"/>
              <w:left w:val="nil"/>
              <w:bottom w:val="nil"/>
              <w:right w:val="nil"/>
            </w:tcBorders>
            <w:shd w:val="clear" w:color="auto" w:fill="auto"/>
            <w:noWrap/>
            <w:vAlign w:val="bottom"/>
            <w:hideMark/>
          </w:tcPr>
          <w:p w14:paraId="23E03DA5" w14:textId="77777777" w:rsidR="009A3D69" w:rsidRPr="009A3D69" w:rsidRDefault="009A3D69" w:rsidP="009A3D69">
            <w:pPr>
              <w:spacing w:after="0" w:line="240" w:lineRule="auto"/>
              <w:jc w:val="left"/>
              <w:rPr>
                <w:rFonts w:ascii="Arial Narrow" w:eastAsia="Times New Roman" w:hAnsi="Arial Narrow" w:cs="Times New Roman"/>
                <w:sz w:val="18"/>
                <w:szCs w:val="18"/>
                <w:lang w:val="en-GB" w:eastAsia="en-GB"/>
              </w:rPr>
            </w:pPr>
          </w:p>
        </w:tc>
        <w:tc>
          <w:tcPr>
            <w:tcW w:w="885" w:type="dxa"/>
            <w:tcBorders>
              <w:top w:val="nil"/>
              <w:left w:val="nil"/>
              <w:bottom w:val="nil"/>
              <w:right w:val="nil"/>
            </w:tcBorders>
            <w:shd w:val="clear" w:color="auto" w:fill="auto"/>
            <w:noWrap/>
            <w:vAlign w:val="bottom"/>
            <w:hideMark/>
          </w:tcPr>
          <w:p w14:paraId="6CA99750" w14:textId="77777777" w:rsidR="009A3D69" w:rsidRPr="009A3D69" w:rsidRDefault="009A3D69" w:rsidP="009A3D69">
            <w:pPr>
              <w:spacing w:after="0" w:line="240" w:lineRule="auto"/>
              <w:jc w:val="left"/>
              <w:rPr>
                <w:rFonts w:ascii="Arial Narrow" w:eastAsia="Times New Roman" w:hAnsi="Arial Narrow" w:cs="Times New Roman"/>
                <w:sz w:val="18"/>
                <w:szCs w:val="18"/>
                <w:lang w:val="en-GB" w:eastAsia="en-GB"/>
              </w:rPr>
            </w:pPr>
          </w:p>
        </w:tc>
      </w:tr>
      <w:tr w:rsidR="009A3D69" w:rsidRPr="009A3D69" w14:paraId="074D2A14" w14:textId="77777777" w:rsidTr="00A07BB6">
        <w:trPr>
          <w:trHeight w:val="510"/>
          <w:jc w:val="center"/>
        </w:trPr>
        <w:tc>
          <w:tcPr>
            <w:tcW w:w="4169" w:type="dxa"/>
            <w:tcBorders>
              <w:top w:val="nil"/>
              <w:left w:val="nil"/>
              <w:bottom w:val="nil"/>
              <w:right w:val="nil"/>
            </w:tcBorders>
            <w:shd w:val="clear" w:color="000000" w:fill="03365F"/>
            <w:noWrap/>
            <w:vAlign w:val="center"/>
            <w:hideMark/>
          </w:tcPr>
          <w:p w14:paraId="572A9CB9" w14:textId="77777777" w:rsidR="009A3D69" w:rsidRPr="009A3D69" w:rsidRDefault="009A3D69" w:rsidP="009A3D69">
            <w:pPr>
              <w:spacing w:after="0" w:line="240" w:lineRule="auto"/>
              <w:jc w:val="left"/>
              <w:rPr>
                <w:rFonts w:ascii="Arial Narrow" w:eastAsia="Times New Roman" w:hAnsi="Arial Narrow" w:cs="Calibri"/>
                <w:b/>
                <w:bCs/>
                <w:color w:val="FFFFFF"/>
                <w:sz w:val="18"/>
                <w:szCs w:val="18"/>
                <w:lang w:val="en-GB" w:eastAsia="en-GB"/>
              </w:rPr>
            </w:pPr>
            <w:r w:rsidRPr="009A3D69">
              <w:rPr>
                <w:rFonts w:ascii="Arial Narrow" w:eastAsia="Times New Roman" w:hAnsi="Arial Narrow" w:cs="Calibri"/>
                <w:b/>
                <w:bCs/>
                <w:color w:val="FFFFFF"/>
                <w:sz w:val="18"/>
                <w:szCs w:val="18"/>
                <w:lang w:val="en-GB" w:eastAsia="en-GB"/>
              </w:rPr>
              <w:t xml:space="preserve">Key ratios </w:t>
            </w:r>
          </w:p>
        </w:tc>
        <w:tc>
          <w:tcPr>
            <w:tcW w:w="791" w:type="dxa"/>
            <w:tcBorders>
              <w:top w:val="nil"/>
              <w:left w:val="nil"/>
              <w:bottom w:val="nil"/>
              <w:right w:val="nil"/>
            </w:tcBorders>
            <w:shd w:val="clear" w:color="000000" w:fill="03365F"/>
            <w:vAlign w:val="center"/>
            <w:hideMark/>
          </w:tcPr>
          <w:p w14:paraId="18CB45DE" w14:textId="77777777" w:rsidR="009A3D69" w:rsidRPr="009A3D69" w:rsidRDefault="009A3D69" w:rsidP="009A3D69">
            <w:pPr>
              <w:spacing w:after="0" w:line="240" w:lineRule="auto"/>
              <w:jc w:val="right"/>
              <w:rPr>
                <w:rFonts w:ascii="Arial Narrow" w:eastAsia="Times New Roman" w:hAnsi="Arial Narrow" w:cs="Calibri"/>
                <w:b/>
                <w:bCs/>
                <w:color w:val="FFFFFF"/>
                <w:sz w:val="18"/>
                <w:szCs w:val="18"/>
                <w:lang w:val="en-GB" w:eastAsia="en-GB"/>
              </w:rPr>
            </w:pPr>
            <w:r w:rsidRPr="009A3D69">
              <w:rPr>
                <w:rFonts w:ascii="Arial Narrow" w:eastAsia="Times New Roman" w:hAnsi="Arial Narrow" w:cs="Calibri"/>
                <w:b/>
                <w:bCs/>
                <w:color w:val="FFFFFF"/>
                <w:sz w:val="18"/>
                <w:szCs w:val="18"/>
                <w:lang w:val="en-GB" w:eastAsia="en-GB"/>
              </w:rPr>
              <w:t>Q1-20</w:t>
            </w:r>
          </w:p>
        </w:tc>
        <w:tc>
          <w:tcPr>
            <w:tcW w:w="791" w:type="dxa"/>
            <w:tcBorders>
              <w:top w:val="nil"/>
              <w:left w:val="nil"/>
              <w:bottom w:val="nil"/>
              <w:right w:val="nil"/>
            </w:tcBorders>
            <w:shd w:val="clear" w:color="000000" w:fill="18B3B9"/>
            <w:noWrap/>
            <w:vAlign w:val="center"/>
            <w:hideMark/>
          </w:tcPr>
          <w:p w14:paraId="49441543" w14:textId="77777777" w:rsidR="009A3D69" w:rsidRPr="009A3D69" w:rsidRDefault="009A3D69" w:rsidP="009A3D69">
            <w:pPr>
              <w:spacing w:after="0" w:line="240" w:lineRule="auto"/>
              <w:jc w:val="right"/>
              <w:rPr>
                <w:rFonts w:ascii="Arial Narrow" w:eastAsia="Times New Roman" w:hAnsi="Arial Narrow" w:cs="Calibri"/>
                <w:b/>
                <w:bCs/>
                <w:color w:val="FFFFFF"/>
                <w:sz w:val="18"/>
                <w:szCs w:val="18"/>
                <w:lang w:val="en-GB" w:eastAsia="en-GB"/>
              </w:rPr>
            </w:pPr>
            <w:r w:rsidRPr="009A3D69">
              <w:rPr>
                <w:rFonts w:ascii="Arial Narrow" w:eastAsia="Times New Roman" w:hAnsi="Arial Narrow" w:cs="Calibri"/>
                <w:b/>
                <w:bCs/>
                <w:color w:val="FFFFFF"/>
                <w:sz w:val="18"/>
                <w:szCs w:val="18"/>
                <w:lang w:val="en-GB" w:eastAsia="en-GB"/>
              </w:rPr>
              <w:t>Q1-21</w:t>
            </w:r>
          </w:p>
        </w:tc>
        <w:tc>
          <w:tcPr>
            <w:tcW w:w="885" w:type="dxa"/>
            <w:tcBorders>
              <w:top w:val="nil"/>
              <w:left w:val="nil"/>
              <w:bottom w:val="nil"/>
              <w:right w:val="nil"/>
            </w:tcBorders>
            <w:shd w:val="clear" w:color="000000" w:fill="03365F"/>
            <w:noWrap/>
            <w:vAlign w:val="center"/>
            <w:hideMark/>
          </w:tcPr>
          <w:p w14:paraId="53F08D58" w14:textId="77777777" w:rsidR="009A3D69" w:rsidRPr="009A3D69" w:rsidRDefault="009A3D69" w:rsidP="009A3D69">
            <w:pPr>
              <w:spacing w:after="0" w:line="240" w:lineRule="auto"/>
              <w:jc w:val="center"/>
              <w:rPr>
                <w:rFonts w:ascii="Arial Narrow" w:eastAsia="Times New Roman" w:hAnsi="Arial Narrow" w:cs="Calibri"/>
                <w:b/>
                <w:bCs/>
                <w:color w:val="FFFFFF"/>
                <w:sz w:val="18"/>
                <w:szCs w:val="18"/>
                <w:lang w:val="en-GB" w:eastAsia="en-GB"/>
              </w:rPr>
            </w:pPr>
            <w:r w:rsidRPr="009A3D69">
              <w:rPr>
                <w:rFonts w:ascii="Arial Narrow" w:eastAsia="Times New Roman" w:hAnsi="Arial Narrow" w:cs="Calibri"/>
                <w:b/>
                <w:bCs/>
                <w:color w:val="FFFFFF"/>
                <w:sz w:val="18"/>
                <w:szCs w:val="18"/>
                <w:lang w:val="en-GB" w:eastAsia="en-GB"/>
              </w:rPr>
              <w:t>%</w:t>
            </w:r>
          </w:p>
        </w:tc>
        <w:tc>
          <w:tcPr>
            <w:tcW w:w="885" w:type="dxa"/>
            <w:tcBorders>
              <w:top w:val="nil"/>
              <w:left w:val="nil"/>
              <w:bottom w:val="nil"/>
              <w:right w:val="nil"/>
            </w:tcBorders>
            <w:shd w:val="clear" w:color="000000" w:fill="03365F"/>
            <w:vAlign w:val="center"/>
            <w:hideMark/>
          </w:tcPr>
          <w:p w14:paraId="4E6B5949" w14:textId="4025A00E" w:rsidR="009A3D69" w:rsidRPr="009A3D69" w:rsidRDefault="009A3D69" w:rsidP="009A3D69">
            <w:pPr>
              <w:spacing w:after="0" w:line="240" w:lineRule="auto"/>
              <w:jc w:val="center"/>
              <w:rPr>
                <w:rFonts w:ascii="Arial Narrow" w:eastAsia="Times New Roman" w:hAnsi="Arial Narrow" w:cs="Calibri"/>
                <w:b/>
                <w:bCs/>
                <w:color w:val="FFFFFF"/>
                <w:sz w:val="18"/>
                <w:szCs w:val="18"/>
                <w:lang w:val="en-GB" w:eastAsia="en-GB"/>
              </w:rPr>
            </w:pPr>
            <w:r w:rsidRPr="009A3D69">
              <w:rPr>
                <w:rFonts w:ascii="Arial Narrow" w:eastAsia="Times New Roman" w:hAnsi="Arial Narrow" w:cs="Calibri"/>
                <w:b/>
                <w:bCs/>
                <w:color w:val="FFFFFF"/>
                <w:sz w:val="18"/>
                <w:szCs w:val="18"/>
                <w:lang w:val="en-GB" w:eastAsia="en-GB"/>
              </w:rPr>
              <w:t xml:space="preserve">% </w:t>
            </w:r>
            <w:r w:rsidRPr="009A3D69">
              <w:rPr>
                <w:rFonts w:ascii="Arial Narrow" w:eastAsia="Times New Roman" w:hAnsi="Arial Narrow" w:cs="Calibri"/>
                <w:b/>
                <w:bCs/>
                <w:color w:val="FFFFFF"/>
                <w:sz w:val="18"/>
                <w:szCs w:val="18"/>
                <w:lang w:val="en-GB" w:eastAsia="en-GB"/>
              </w:rPr>
              <w:br/>
              <w:t>ex. FX</w:t>
            </w:r>
            <w:r>
              <w:rPr>
                <w:rFonts w:ascii="Arial Narrow" w:eastAsia="Times New Roman" w:hAnsi="Arial Narrow" w:cs="Calibri"/>
                <w:b/>
                <w:bCs/>
                <w:color w:val="FFFFFF"/>
                <w:sz w:val="18"/>
                <w:szCs w:val="18"/>
                <w:lang w:val="en-GB" w:eastAsia="en-GB"/>
              </w:rPr>
              <w:t>*</w:t>
            </w:r>
          </w:p>
        </w:tc>
      </w:tr>
      <w:tr w:rsidR="00A07BB6" w:rsidRPr="009A3D69" w14:paraId="67392E51" w14:textId="77777777" w:rsidTr="00A07BB6">
        <w:trPr>
          <w:trHeight w:val="300"/>
          <w:jc w:val="center"/>
        </w:trPr>
        <w:tc>
          <w:tcPr>
            <w:tcW w:w="4169" w:type="dxa"/>
            <w:tcBorders>
              <w:top w:val="single" w:sz="4" w:space="0" w:color="BFBFBF"/>
              <w:left w:val="nil"/>
              <w:bottom w:val="single" w:sz="4" w:space="0" w:color="BFBFBF"/>
              <w:right w:val="nil"/>
            </w:tcBorders>
            <w:shd w:val="clear" w:color="auto" w:fill="auto"/>
            <w:noWrap/>
            <w:vAlign w:val="bottom"/>
            <w:hideMark/>
          </w:tcPr>
          <w:p w14:paraId="3653EB9A" w14:textId="77777777" w:rsidR="009A3D69" w:rsidRPr="009A3D69" w:rsidRDefault="009A3D69" w:rsidP="009A3D69">
            <w:pPr>
              <w:spacing w:after="0" w:line="240" w:lineRule="auto"/>
              <w:jc w:val="left"/>
              <w:rPr>
                <w:rFonts w:ascii="Arial Narrow" w:eastAsia="Times New Roman" w:hAnsi="Arial Narrow" w:cs="Calibri"/>
                <w:sz w:val="18"/>
                <w:szCs w:val="18"/>
                <w:lang w:val="en-GB" w:eastAsia="en-GB"/>
              </w:rPr>
            </w:pPr>
            <w:r w:rsidRPr="009A3D69">
              <w:rPr>
                <w:rFonts w:ascii="Arial Narrow" w:eastAsia="Times New Roman" w:hAnsi="Arial Narrow" w:cs="Calibri"/>
                <w:sz w:val="18"/>
                <w:szCs w:val="18"/>
                <w:lang w:val="en-GB" w:eastAsia="en-GB"/>
              </w:rPr>
              <w:t>Loss ratio net of reinsurance</w:t>
            </w:r>
          </w:p>
        </w:tc>
        <w:tc>
          <w:tcPr>
            <w:tcW w:w="791" w:type="dxa"/>
            <w:tcBorders>
              <w:top w:val="single" w:sz="4" w:space="0" w:color="BFBFBF"/>
              <w:left w:val="nil"/>
              <w:bottom w:val="single" w:sz="4" w:space="0" w:color="BFBFBF"/>
              <w:right w:val="nil"/>
            </w:tcBorders>
            <w:shd w:val="clear" w:color="000000" w:fill="F2F2F2"/>
            <w:noWrap/>
            <w:vAlign w:val="bottom"/>
            <w:hideMark/>
          </w:tcPr>
          <w:p w14:paraId="4C823E79" w14:textId="77777777" w:rsidR="009A3D69" w:rsidRPr="009A3D69" w:rsidRDefault="009A3D69" w:rsidP="009A3D69">
            <w:pPr>
              <w:spacing w:after="0" w:line="240" w:lineRule="auto"/>
              <w:jc w:val="right"/>
              <w:rPr>
                <w:rFonts w:ascii="Arial Narrow" w:eastAsia="Times New Roman" w:hAnsi="Arial Narrow" w:cs="Calibri"/>
                <w:sz w:val="18"/>
                <w:szCs w:val="18"/>
                <w:lang w:val="en-GB" w:eastAsia="en-GB"/>
              </w:rPr>
            </w:pPr>
            <w:r w:rsidRPr="009A3D69">
              <w:rPr>
                <w:rFonts w:ascii="Arial Narrow" w:eastAsia="Times New Roman" w:hAnsi="Arial Narrow" w:cs="Calibri"/>
                <w:sz w:val="18"/>
                <w:szCs w:val="18"/>
                <w:lang w:val="en-GB" w:eastAsia="en-GB"/>
              </w:rPr>
              <w:t>57.1%</w:t>
            </w:r>
          </w:p>
        </w:tc>
        <w:tc>
          <w:tcPr>
            <w:tcW w:w="791" w:type="dxa"/>
            <w:tcBorders>
              <w:top w:val="single" w:sz="4" w:space="0" w:color="BFBFBF"/>
              <w:left w:val="nil"/>
              <w:bottom w:val="single" w:sz="4" w:space="0" w:color="BFBFBF"/>
              <w:right w:val="nil"/>
            </w:tcBorders>
            <w:shd w:val="clear" w:color="000000" w:fill="D1F0F1"/>
            <w:noWrap/>
            <w:vAlign w:val="bottom"/>
            <w:hideMark/>
          </w:tcPr>
          <w:p w14:paraId="3BA38565" w14:textId="77777777" w:rsidR="009A3D69" w:rsidRPr="009A3D69" w:rsidRDefault="009A3D69" w:rsidP="009A3D69">
            <w:pPr>
              <w:spacing w:after="0" w:line="240" w:lineRule="auto"/>
              <w:jc w:val="right"/>
              <w:rPr>
                <w:rFonts w:ascii="Arial Narrow" w:eastAsia="Times New Roman" w:hAnsi="Arial Narrow" w:cs="Calibri"/>
                <w:sz w:val="18"/>
                <w:szCs w:val="18"/>
                <w:lang w:val="en-GB" w:eastAsia="en-GB"/>
              </w:rPr>
            </w:pPr>
            <w:r w:rsidRPr="009A3D69">
              <w:rPr>
                <w:rFonts w:ascii="Arial Narrow" w:eastAsia="Times New Roman" w:hAnsi="Arial Narrow" w:cs="Calibri"/>
                <w:sz w:val="18"/>
                <w:szCs w:val="18"/>
                <w:lang w:val="en-GB" w:eastAsia="en-GB"/>
              </w:rPr>
              <w:t>24.5%</w:t>
            </w:r>
          </w:p>
        </w:tc>
        <w:tc>
          <w:tcPr>
            <w:tcW w:w="885" w:type="dxa"/>
            <w:tcBorders>
              <w:top w:val="single" w:sz="4" w:space="0" w:color="BFBFBF"/>
              <w:left w:val="nil"/>
              <w:bottom w:val="single" w:sz="4" w:space="0" w:color="BFBFBF"/>
              <w:right w:val="nil"/>
            </w:tcBorders>
            <w:shd w:val="clear" w:color="000000" w:fill="FFFFFF"/>
            <w:noWrap/>
            <w:vAlign w:val="bottom"/>
            <w:hideMark/>
          </w:tcPr>
          <w:p w14:paraId="0B413A94" w14:textId="77777777" w:rsidR="009A3D69" w:rsidRPr="009A3D69" w:rsidRDefault="009A3D69" w:rsidP="009A3D69">
            <w:pPr>
              <w:spacing w:after="0" w:line="240" w:lineRule="auto"/>
              <w:jc w:val="right"/>
              <w:rPr>
                <w:rFonts w:ascii="Arial Narrow" w:eastAsia="Times New Roman" w:hAnsi="Arial Narrow" w:cs="Calibri"/>
                <w:sz w:val="18"/>
                <w:szCs w:val="18"/>
                <w:lang w:val="en-GB" w:eastAsia="en-GB"/>
              </w:rPr>
            </w:pPr>
            <w:r w:rsidRPr="009A3D69">
              <w:rPr>
                <w:rFonts w:ascii="Arial Narrow" w:eastAsia="Times New Roman" w:hAnsi="Arial Narrow" w:cs="Calibri"/>
                <w:sz w:val="18"/>
                <w:szCs w:val="18"/>
                <w:lang w:val="en-GB" w:eastAsia="en-GB"/>
              </w:rPr>
              <w:t>(32.6)</w:t>
            </w:r>
          </w:p>
        </w:tc>
        <w:tc>
          <w:tcPr>
            <w:tcW w:w="885" w:type="dxa"/>
            <w:tcBorders>
              <w:top w:val="single" w:sz="4" w:space="0" w:color="BFBFBF"/>
              <w:left w:val="nil"/>
              <w:bottom w:val="single" w:sz="4" w:space="0" w:color="BFBFBF"/>
              <w:right w:val="nil"/>
            </w:tcBorders>
            <w:shd w:val="clear" w:color="000000" w:fill="FFFFFF"/>
            <w:noWrap/>
            <w:vAlign w:val="bottom"/>
            <w:hideMark/>
          </w:tcPr>
          <w:p w14:paraId="6070ECCC" w14:textId="77777777" w:rsidR="009A3D69" w:rsidRPr="009A3D69" w:rsidRDefault="009A3D69" w:rsidP="009A3D69">
            <w:pPr>
              <w:spacing w:after="0" w:line="240" w:lineRule="auto"/>
              <w:jc w:val="left"/>
              <w:rPr>
                <w:rFonts w:ascii="Arial Narrow" w:eastAsia="Times New Roman" w:hAnsi="Arial Narrow" w:cs="Calibri"/>
                <w:sz w:val="18"/>
                <w:szCs w:val="18"/>
                <w:lang w:val="en-GB" w:eastAsia="en-GB"/>
              </w:rPr>
            </w:pPr>
            <w:proofErr w:type="spellStart"/>
            <w:r w:rsidRPr="009A3D69">
              <w:rPr>
                <w:rFonts w:ascii="Arial Narrow" w:eastAsia="Times New Roman" w:hAnsi="Arial Narrow" w:cs="Calibri"/>
                <w:sz w:val="18"/>
                <w:szCs w:val="18"/>
                <w:lang w:val="en-GB" w:eastAsia="en-GB"/>
              </w:rPr>
              <w:t>ppts</w:t>
            </w:r>
            <w:proofErr w:type="spellEnd"/>
          </w:p>
        </w:tc>
      </w:tr>
      <w:tr w:rsidR="00A07BB6" w:rsidRPr="009A3D69" w14:paraId="74002C1A" w14:textId="77777777" w:rsidTr="00A07BB6">
        <w:trPr>
          <w:trHeight w:val="300"/>
          <w:jc w:val="center"/>
        </w:trPr>
        <w:tc>
          <w:tcPr>
            <w:tcW w:w="4169" w:type="dxa"/>
            <w:tcBorders>
              <w:top w:val="nil"/>
              <w:left w:val="nil"/>
              <w:bottom w:val="single" w:sz="4" w:space="0" w:color="BFBFBF"/>
              <w:right w:val="nil"/>
            </w:tcBorders>
            <w:shd w:val="clear" w:color="auto" w:fill="auto"/>
            <w:noWrap/>
            <w:vAlign w:val="bottom"/>
            <w:hideMark/>
          </w:tcPr>
          <w:p w14:paraId="17B2BBF6" w14:textId="77777777" w:rsidR="009A3D69" w:rsidRPr="009A3D69" w:rsidRDefault="009A3D69" w:rsidP="009A3D69">
            <w:pPr>
              <w:spacing w:after="0" w:line="240" w:lineRule="auto"/>
              <w:jc w:val="left"/>
              <w:rPr>
                <w:rFonts w:ascii="Arial Narrow" w:eastAsia="Times New Roman" w:hAnsi="Arial Narrow" w:cs="Calibri"/>
                <w:sz w:val="18"/>
                <w:szCs w:val="18"/>
                <w:lang w:val="en-GB" w:eastAsia="en-GB"/>
              </w:rPr>
            </w:pPr>
            <w:r w:rsidRPr="009A3D69">
              <w:rPr>
                <w:rFonts w:ascii="Arial Narrow" w:eastAsia="Times New Roman" w:hAnsi="Arial Narrow" w:cs="Calibri"/>
                <w:sz w:val="18"/>
                <w:szCs w:val="18"/>
                <w:lang w:val="en-GB" w:eastAsia="en-GB"/>
              </w:rPr>
              <w:t>Cost ratio net of reinsurance</w:t>
            </w:r>
          </w:p>
        </w:tc>
        <w:tc>
          <w:tcPr>
            <w:tcW w:w="791" w:type="dxa"/>
            <w:tcBorders>
              <w:top w:val="nil"/>
              <w:left w:val="nil"/>
              <w:bottom w:val="nil"/>
              <w:right w:val="nil"/>
            </w:tcBorders>
            <w:shd w:val="clear" w:color="000000" w:fill="F2F2F2"/>
            <w:noWrap/>
            <w:vAlign w:val="bottom"/>
            <w:hideMark/>
          </w:tcPr>
          <w:p w14:paraId="3EE17A60" w14:textId="77777777" w:rsidR="009A3D69" w:rsidRPr="009A3D69" w:rsidRDefault="009A3D69" w:rsidP="009A3D69">
            <w:pPr>
              <w:spacing w:after="0" w:line="240" w:lineRule="auto"/>
              <w:jc w:val="right"/>
              <w:rPr>
                <w:rFonts w:ascii="Arial Narrow" w:eastAsia="Times New Roman" w:hAnsi="Arial Narrow" w:cs="Calibri"/>
                <w:sz w:val="18"/>
                <w:szCs w:val="18"/>
                <w:lang w:val="en-GB" w:eastAsia="en-GB"/>
              </w:rPr>
            </w:pPr>
            <w:r w:rsidRPr="009A3D69">
              <w:rPr>
                <w:rFonts w:ascii="Arial Narrow" w:eastAsia="Times New Roman" w:hAnsi="Arial Narrow" w:cs="Calibri"/>
                <w:sz w:val="18"/>
                <w:szCs w:val="18"/>
                <w:lang w:val="en-GB" w:eastAsia="en-GB"/>
              </w:rPr>
              <w:t>29.7%</w:t>
            </w:r>
          </w:p>
        </w:tc>
        <w:tc>
          <w:tcPr>
            <w:tcW w:w="791" w:type="dxa"/>
            <w:tcBorders>
              <w:top w:val="nil"/>
              <w:left w:val="nil"/>
              <w:bottom w:val="nil"/>
              <w:right w:val="nil"/>
            </w:tcBorders>
            <w:shd w:val="clear" w:color="000000" w:fill="D1F0F1"/>
            <w:noWrap/>
            <w:vAlign w:val="bottom"/>
            <w:hideMark/>
          </w:tcPr>
          <w:p w14:paraId="6B207C94" w14:textId="77777777" w:rsidR="009A3D69" w:rsidRPr="009A3D69" w:rsidRDefault="009A3D69" w:rsidP="009A3D69">
            <w:pPr>
              <w:spacing w:after="0" w:line="240" w:lineRule="auto"/>
              <w:jc w:val="right"/>
              <w:rPr>
                <w:rFonts w:ascii="Arial Narrow" w:eastAsia="Times New Roman" w:hAnsi="Arial Narrow" w:cs="Calibri"/>
                <w:sz w:val="18"/>
                <w:szCs w:val="18"/>
                <w:lang w:val="en-GB" w:eastAsia="en-GB"/>
              </w:rPr>
            </w:pPr>
            <w:r w:rsidRPr="009A3D69">
              <w:rPr>
                <w:rFonts w:ascii="Arial Narrow" w:eastAsia="Times New Roman" w:hAnsi="Arial Narrow" w:cs="Calibri"/>
                <w:sz w:val="18"/>
                <w:szCs w:val="18"/>
                <w:lang w:val="en-GB" w:eastAsia="en-GB"/>
              </w:rPr>
              <w:t>28.3%</w:t>
            </w:r>
          </w:p>
        </w:tc>
        <w:tc>
          <w:tcPr>
            <w:tcW w:w="885" w:type="dxa"/>
            <w:tcBorders>
              <w:top w:val="nil"/>
              <w:left w:val="nil"/>
              <w:bottom w:val="nil"/>
              <w:right w:val="nil"/>
            </w:tcBorders>
            <w:shd w:val="clear" w:color="000000" w:fill="FFFFFF"/>
            <w:noWrap/>
            <w:vAlign w:val="bottom"/>
            <w:hideMark/>
          </w:tcPr>
          <w:p w14:paraId="58583373" w14:textId="77777777" w:rsidR="009A3D69" w:rsidRPr="009A3D69" w:rsidRDefault="009A3D69" w:rsidP="009A3D69">
            <w:pPr>
              <w:spacing w:after="0" w:line="240" w:lineRule="auto"/>
              <w:jc w:val="right"/>
              <w:rPr>
                <w:rFonts w:ascii="Arial Narrow" w:eastAsia="Times New Roman" w:hAnsi="Arial Narrow" w:cs="Calibri"/>
                <w:sz w:val="18"/>
                <w:szCs w:val="18"/>
                <w:lang w:val="en-GB" w:eastAsia="en-GB"/>
              </w:rPr>
            </w:pPr>
            <w:r w:rsidRPr="009A3D69">
              <w:rPr>
                <w:rFonts w:ascii="Arial Narrow" w:eastAsia="Times New Roman" w:hAnsi="Arial Narrow" w:cs="Calibri"/>
                <w:sz w:val="18"/>
                <w:szCs w:val="18"/>
                <w:lang w:val="en-GB" w:eastAsia="en-GB"/>
              </w:rPr>
              <w:t>(1.5)</w:t>
            </w:r>
          </w:p>
        </w:tc>
        <w:tc>
          <w:tcPr>
            <w:tcW w:w="885" w:type="dxa"/>
            <w:tcBorders>
              <w:top w:val="nil"/>
              <w:left w:val="nil"/>
              <w:bottom w:val="nil"/>
              <w:right w:val="nil"/>
            </w:tcBorders>
            <w:shd w:val="clear" w:color="000000" w:fill="FFFFFF"/>
            <w:noWrap/>
            <w:vAlign w:val="bottom"/>
            <w:hideMark/>
          </w:tcPr>
          <w:p w14:paraId="4ABA9C04" w14:textId="77777777" w:rsidR="009A3D69" w:rsidRPr="009A3D69" w:rsidRDefault="009A3D69" w:rsidP="009A3D69">
            <w:pPr>
              <w:spacing w:after="0" w:line="240" w:lineRule="auto"/>
              <w:jc w:val="left"/>
              <w:rPr>
                <w:rFonts w:ascii="Arial Narrow" w:eastAsia="Times New Roman" w:hAnsi="Arial Narrow" w:cs="Calibri"/>
                <w:sz w:val="18"/>
                <w:szCs w:val="18"/>
                <w:lang w:val="en-GB" w:eastAsia="en-GB"/>
              </w:rPr>
            </w:pPr>
            <w:proofErr w:type="spellStart"/>
            <w:r w:rsidRPr="009A3D69">
              <w:rPr>
                <w:rFonts w:ascii="Arial Narrow" w:eastAsia="Times New Roman" w:hAnsi="Arial Narrow" w:cs="Calibri"/>
                <w:sz w:val="18"/>
                <w:szCs w:val="18"/>
                <w:lang w:val="en-GB" w:eastAsia="en-GB"/>
              </w:rPr>
              <w:t>ppt</w:t>
            </w:r>
            <w:proofErr w:type="spellEnd"/>
          </w:p>
        </w:tc>
      </w:tr>
      <w:tr w:rsidR="00A07BB6" w:rsidRPr="009A3D69" w14:paraId="5CB73859" w14:textId="77777777" w:rsidTr="00A07BB6">
        <w:trPr>
          <w:trHeight w:val="315"/>
          <w:jc w:val="center"/>
        </w:trPr>
        <w:tc>
          <w:tcPr>
            <w:tcW w:w="4169" w:type="dxa"/>
            <w:tcBorders>
              <w:top w:val="single" w:sz="4" w:space="0" w:color="03365F"/>
              <w:left w:val="nil"/>
              <w:bottom w:val="single" w:sz="8" w:space="0" w:color="03365F"/>
              <w:right w:val="nil"/>
            </w:tcBorders>
            <w:shd w:val="clear" w:color="auto" w:fill="auto"/>
            <w:noWrap/>
            <w:vAlign w:val="bottom"/>
            <w:hideMark/>
          </w:tcPr>
          <w:p w14:paraId="45A8DBCE" w14:textId="77777777" w:rsidR="009A3D69" w:rsidRPr="009A3D69" w:rsidRDefault="009A3D69" w:rsidP="009A3D69">
            <w:pPr>
              <w:spacing w:after="0" w:line="240" w:lineRule="auto"/>
              <w:jc w:val="left"/>
              <w:rPr>
                <w:rFonts w:ascii="Arial Narrow" w:eastAsia="Times New Roman" w:hAnsi="Arial Narrow" w:cs="Calibri"/>
                <w:b/>
                <w:bCs/>
                <w:color w:val="03365F"/>
                <w:sz w:val="18"/>
                <w:szCs w:val="18"/>
                <w:lang w:val="en-GB" w:eastAsia="en-GB"/>
              </w:rPr>
            </w:pPr>
            <w:r w:rsidRPr="009A3D69">
              <w:rPr>
                <w:rFonts w:ascii="Arial Narrow" w:eastAsia="Times New Roman" w:hAnsi="Arial Narrow" w:cs="Calibri"/>
                <w:b/>
                <w:bCs/>
                <w:color w:val="03365F"/>
                <w:sz w:val="18"/>
                <w:szCs w:val="18"/>
                <w:lang w:val="en-GB" w:eastAsia="en-GB"/>
              </w:rPr>
              <w:t>COMBINED RATIO NET OF REINSURANCE</w:t>
            </w:r>
          </w:p>
        </w:tc>
        <w:tc>
          <w:tcPr>
            <w:tcW w:w="791" w:type="dxa"/>
            <w:tcBorders>
              <w:top w:val="single" w:sz="4" w:space="0" w:color="03365F"/>
              <w:left w:val="nil"/>
              <w:bottom w:val="single" w:sz="8" w:space="0" w:color="03365F"/>
              <w:right w:val="nil"/>
            </w:tcBorders>
            <w:shd w:val="clear" w:color="000000" w:fill="F2F2F2"/>
            <w:noWrap/>
            <w:vAlign w:val="bottom"/>
            <w:hideMark/>
          </w:tcPr>
          <w:p w14:paraId="7A053923" w14:textId="77777777" w:rsidR="009A3D69" w:rsidRPr="009A3D69" w:rsidRDefault="009A3D69" w:rsidP="009A3D69">
            <w:pPr>
              <w:spacing w:after="0" w:line="240" w:lineRule="auto"/>
              <w:jc w:val="right"/>
              <w:rPr>
                <w:rFonts w:ascii="Arial Narrow" w:eastAsia="Times New Roman" w:hAnsi="Arial Narrow" w:cs="Calibri"/>
                <w:b/>
                <w:bCs/>
                <w:color w:val="03365F"/>
                <w:sz w:val="18"/>
                <w:szCs w:val="18"/>
                <w:lang w:val="en-GB" w:eastAsia="en-GB"/>
              </w:rPr>
            </w:pPr>
            <w:r w:rsidRPr="009A3D69">
              <w:rPr>
                <w:rFonts w:ascii="Arial Narrow" w:eastAsia="Times New Roman" w:hAnsi="Arial Narrow" w:cs="Calibri"/>
                <w:b/>
                <w:bCs/>
                <w:color w:val="03365F"/>
                <w:sz w:val="18"/>
                <w:szCs w:val="18"/>
                <w:lang w:val="en-GB" w:eastAsia="en-GB"/>
              </w:rPr>
              <w:t>86.8%</w:t>
            </w:r>
          </w:p>
        </w:tc>
        <w:tc>
          <w:tcPr>
            <w:tcW w:w="791" w:type="dxa"/>
            <w:tcBorders>
              <w:top w:val="single" w:sz="4" w:space="0" w:color="03365F"/>
              <w:left w:val="nil"/>
              <w:bottom w:val="single" w:sz="8" w:space="0" w:color="03365F"/>
              <w:right w:val="nil"/>
            </w:tcBorders>
            <w:shd w:val="clear" w:color="000000" w:fill="D1F0F1"/>
            <w:noWrap/>
            <w:vAlign w:val="bottom"/>
            <w:hideMark/>
          </w:tcPr>
          <w:p w14:paraId="356DE29C" w14:textId="77777777" w:rsidR="009A3D69" w:rsidRPr="009A3D69" w:rsidRDefault="009A3D69" w:rsidP="009A3D69">
            <w:pPr>
              <w:spacing w:after="0" w:line="240" w:lineRule="auto"/>
              <w:jc w:val="right"/>
              <w:rPr>
                <w:rFonts w:ascii="Arial Narrow" w:eastAsia="Times New Roman" w:hAnsi="Arial Narrow" w:cs="Calibri"/>
                <w:b/>
                <w:bCs/>
                <w:color w:val="03365F"/>
                <w:sz w:val="18"/>
                <w:szCs w:val="18"/>
                <w:lang w:val="en-GB" w:eastAsia="en-GB"/>
              </w:rPr>
            </w:pPr>
            <w:r w:rsidRPr="009A3D69">
              <w:rPr>
                <w:rFonts w:ascii="Arial Narrow" w:eastAsia="Times New Roman" w:hAnsi="Arial Narrow" w:cs="Calibri"/>
                <w:b/>
                <w:bCs/>
                <w:color w:val="03365F"/>
                <w:sz w:val="18"/>
                <w:szCs w:val="18"/>
                <w:lang w:val="en-GB" w:eastAsia="en-GB"/>
              </w:rPr>
              <w:t>52.8%</w:t>
            </w:r>
          </w:p>
        </w:tc>
        <w:tc>
          <w:tcPr>
            <w:tcW w:w="885" w:type="dxa"/>
            <w:tcBorders>
              <w:top w:val="single" w:sz="4" w:space="0" w:color="03365F"/>
              <w:left w:val="nil"/>
              <w:bottom w:val="single" w:sz="8" w:space="0" w:color="03365F"/>
              <w:right w:val="nil"/>
            </w:tcBorders>
            <w:shd w:val="clear" w:color="000000" w:fill="FFFFFF"/>
            <w:noWrap/>
            <w:vAlign w:val="bottom"/>
            <w:hideMark/>
          </w:tcPr>
          <w:p w14:paraId="539B4DEB" w14:textId="77777777" w:rsidR="009A3D69" w:rsidRPr="009A3D69" w:rsidRDefault="009A3D69" w:rsidP="009A3D69">
            <w:pPr>
              <w:spacing w:after="0" w:line="240" w:lineRule="auto"/>
              <w:jc w:val="right"/>
              <w:rPr>
                <w:rFonts w:ascii="Arial Narrow" w:eastAsia="Times New Roman" w:hAnsi="Arial Narrow" w:cs="Calibri"/>
                <w:b/>
                <w:bCs/>
                <w:color w:val="03365F"/>
                <w:sz w:val="18"/>
                <w:szCs w:val="18"/>
                <w:lang w:val="en-GB" w:eastAsia="en-GB"/>
              </w:rPr>
            </w:pPr>
            <w:r w:rsidRPr="009A3D69">
              <w:rPr>
                <w:rFonts w:ascii="Arial Narrow" w:eastAsia="Times New Roman" w:hAnsi="Arial Narrow" w:cs="Calibri"/>
                <w:b/>
                <w:bCs/>
                <w:color w:val="03365F"/>
                <w:sz w:val="18"/>
                <w:szCs w:val="18"/>
                <w:lang w:val="en-GB" w:eastAsia="en-GB"/>
              </w:rPr>
              <w:t>(34.0)</w:t>
            </w:r>
          </w:p>
        </w:tc>
        <w:tc>
          <w:tcPr>
            <w:tcW w:w="885" w:type="dxa"/>
            <w:tcBorders>
              <w:top w:val="single" w:sz="4" w:space="0" w:color="03365F"/>
              <w:left w:val="nil"/>
              <w:bottom w:val="single" w:sz="8" w:space="0" w:color="03365F"/>
              <w:right w:val="nil"/>
            </w:tcBorders>
            <w:shd w:val="clear" w:color="000000" w:fill="FFFFFF"/>
            <w:noWrap/>
            <w:vAlign w:val="bottom"/>
            <w:hideMark/>
          </w:tcPr>
          <w:p w14:paraId="080902A5" w14:textId="77777777" w:rsidR="009A3D69" w:rsidRPr="009A3D69" w:rsidRDefault="009A3D69" w:rsidP="009A3D69">
            <w:pPr>
              <w:spacing w:after="0" w:line="240" w:lineRule="auto"/>
              <w:jc w:val="left"/>
              <w:rPr>
                <w:rFonts w:ascii="Arial Narrow" w:eastAsia="Times New Roman" w:hAnsi="Arial Narrow" w:cs="Calibri"/>
                <w:b/>
                <w:bCs/>
                <w:color w:val="03365F"/>
                <w:sz w:val="18"/>
                <w:szCs w:val="18"/>
                <w:lang w:val="en-GB" w:eastAsia="en-GB"/>
              </w:rPr>
            </w:pPr>
            <w:proofErr w:type="spellStart"/>
            <w:r w:rsidRPr="009A3D69">
              <w:rPr>
                <w:rFonts w:ascii="Arial Narrow" w:eastAsia="Times New Roman" w:hAnsi="Arial Narrow" w:cs="Calibri"/>
                <w:b/>
                <w:bCs/>
                <w:color w:val="03365F"/>
                <w:sz w:val="18"/>
                <w:szCs w:val="18"/>
                <w:lang w:val="en-GB" w:eastAsia="en-GB"/>
              </w:rPr>
              <w:t>ppts</w:t>
            </w:r>
            <w:proofErr w:type="spellEnd"/>
          </w:p>
        </w:tc>
      </w:tr>
      <w:tr w:rsidR="009A3D69" w:rsidRPr="009A3D69" w14:paraId="73F1C4CD" w14:textId="77777777" w:rsidTr="00A07BB6">
        <w:trPr>
          <w:trHeight w:val="75"/>
          <w:jc w:val="center"/>
        </w:trPr>
        <w:tc>
          <w:tcPr>
            <w:tcW w:w="4169" w:type="dxa"/>
            <w:tcBorders>
              <w:top w:val="nil"/>
              <w:left w:val="nil"/>
              <w:bottom w:val="nil"/>
              <w:right w:val="nil"/>
            </w:tcBorders>
            <w:shd w:val="clear" w:color="auto" w:fill="auto"/>
            <w:noWrap/>
            <w:vAlign w:val="bottom"/>
            <w:hideMark/>
          </w:tcPr>
          <w:p w14:paraId="7BF9A850" w14:textId="77777777" w:rsidR="009A3D69" w:rsidRPr="009A3D69" w:rsidRDefault="009A3D69" w:rsidP="009A3D69">
            <w:pPr>
              <w:spacing w:after="0" w:line="240" w:lineRule="auto"/>
              <w:jc w:val="left"/>
              <w:rPr>
                <w:rFonts w:ascii="Arial Narrow" w:eastAsia="Times New Roman" w:hAnsi="Arial Narrow" w:cs="Calibri"/>
                <w:b/>
                <w:bCs/>
                <w:color w:val="03365F"/>
                <w:sz w:val="18"/>
                <w:szCs w:val="18"/>
                <w:lang w:val="en-GB" w:eastAsia="en-GB"/>
              </w:rPr>
            </w:pPr>
          </w:p>
        </w:tc>
        <w:tc>
          <w:tcPr>
            <w:tcW w:w="791" w:type="dxa"/>
            <w:tcBorders>
              <w:top w:val="nil"/>
              <w:left w:val="nil"/>
              <w:bottom w:val="nil"/>
              <w:right w:val="nil"/>
            </w:tcBorders>
            <w:shd w:val="clear" w:color="auto" w:fill="auto"/>
            <w:noWrap/>
            <w:vAlign w:val="bottom"/>
            <w:hideMark/>
          </w:tcPr>
          <w:p w14:paraId="33BAFA2D" w14:textId="77777777" w:rsidR="009A3D69" w:rsidRPr="009A3D69" w:rsidRDefault="009A3D69" w:rsidP="009A3D69">
            <w:pPr>
              <w:spacing w:after="0" w:line="240" w:lineRule="auto"/>
              <w:jc w:val="left"/>
              <w:rPr>
                <w:rFonts w:ascii="Arial Narrow" w:eastAsia="Times New Roman" w:hAnsi="Arial Narrow" w:cs="Times New Roman"/>
                <w:sz w:val="18"/>
                <w:szCs w:val="18"/>
                <w:lang w:val="en-GB" w:eastAsia="en-GB"/>
              </w:rPr>
            </w:pPr>
          </w:p>
        </w:tc>
        <w:tc>
          <w:tcPr>
            <w:tcW w:w="791" w:type="dxa"/>
            <w:tcBorders>
              <w:top w:val="nil"/>
              <w:left w:val="nil"/>
              <w:bottom w:val="nil"/>
              <w:right w:val="nil"/>
            </w:tcBorders>
            <w:shd w:val="clear" w:color="auto" w:fill="auto"/>
            <w:noWrap/>
            <w:vAlign w:val="bottom"/>
            <w:hideMark/>
          </w:tcPr>
          <w:p w14:paraId="271C6698" w14:textId="77777777" w:rsidR="009A3D69" w:rsidRPr="009A3D69" w:rsidRDefault="009A3D69" w:rsidP="009A3D69">
            <w:pPr>
              <w:spacing w:after="0" w:line="240" w:lineRule="auto"/>
              <w:jc w:val="left"/>
              <w:rPr>
                <w:rFonts w:ascii="Arial Narrow" w:eastAsia="Times New Roman" w:hAnsi="Arial Narrow" w:cs="Times New Roman"/>
                <w:sz w:val="18"/>
                <w:szCs w:val="18"/>
                <w:lang w:val="en-GB" w:eastAsia="en-GB"/>
              </w:rPr>
            </w:pPr>
          </w:p>
        </w:tc>
        <w:tc>
          <w:tcPr>
            <w:tcW w:w="885" w:type="dxa"/>
            <w:tcBorders>
              <w:top w:val="nil"/>
              <w:left w:val="nil"/>
              <w:bottom w:val="nil"/>
              <w:right w:val="nil"/>
            </w:tcBorders>
            <w:shd w:val="clear" w:color="auto" w:fill="auto"/>
            <w:noWrap/>
            <w:vAlign w:val="bottom"/>
            <w:hideMark/>
          </w:tcPr>
          <w:p w14:paraId="07988B52" w14:textId="77777777" w:rsidR="009A3D69" w:rsidRPr="009A3D69" w:rsidRDefault="009A3D69" w:rsidP="009A3D69">
            <w:pPr>
              <w:spacing w:after="0" w:line="240" w:lineRule="auto"/>
              <w:jc w:val="left"/>
              <w:rPr>
                <w:rFonts w:ascii="Arial Narrow" w:eastAsia="Times New Roman" w:hAnsi="Arial Narrow" w:cs="Times New Roman"/>
                <w:sz w:val="18"/>
                <w:szCs w:val="18"/>
                <w:lang w:val="en-GB" w:eastAsia="en-GB"/>
              </w:rPr>
            </w:pPr>
          </w:p>
        </w:tc>
        <w:tc>
          <w:tcPr>
            <w:tcW w:w="885" w:type="dxa"/>
            <w:tcBorders>
              <w:top w:val="nil"/>
              <w:left w:val="nil"/>
              <w:bottom w:val="nil"/>
              <w:right w:val="nil"/>
            </w:tcBorders>
            <w:shd w:val="clear" w:color="auto" w:fill="auto"/>
            <w:noWrap/>
            <w:vAlign w:val="bottom"/>
            <w:hideMark/>
          </w:tcPr>
          <w:p w14:paraId="022581D0" w14:textId="77777777" w:rsidR="009A3D69" w:rsidRPr="009A3D69" w:rsidRDefault="009A3D69" w:rsidP="009A3D69">
            <w:pPr>
              <w:spacing w:after="0" w:line="240" w:lineRule="auto"/>
              <w:jc w:val="left"/>
              <w:rPr>
                <w:rFonts w:ascii="Arial Narrow" w:eastAsia="Times New Roman" w:hAnsi="Arial Narrow" w:cs="Times New Roman"/>
                <w:sz w:val="18"/>
                <w:szCs w:val="18"/>
                <w:lang w:val="en-GB" w:eastAsia="en-GB"/>
              </w:rPr>
            </w:pPr>
          </w:p>
        </w:tc>
      </w:tr>
      <w:tr w:rsidR="009A3D69" w:rsidRPr="009A3D69" w14:paraId="43C97D72" w14:textId="77777777" w:rsidTr="00A07BB6">
        <w:trPr>
          <w:trHeight w:val="510"/>
          <w:jc w:val="center"/>
        </w:trPr>
        <w:tc>
          <w:tcPr>
            <w:tcW w:w="4169" w:type="dxa"/>
            <w:tcBorders>
              <w:top w:val="nil"/>
              <w:left w:val="nil"/>
              <w:bottom w:val="nil"/>
              <w:right w:val="nil"/>
            </w:tcBorders>
            <w:shd w:val="clear" w:color="000000" w:fill="03365F"/>
            <w:noWrap/>
            <w:vAlign w:val="center"/>
            <w:hideMark/>
          </w:tcPr>
          <w:p w14:paraId="1D17EE2E" w14:textId="77777777" w:rsidR="009A3D69" w:rsidRPr="009A3D69" w:rsidRDefault="009A3D69" w:rsidP="009A3D69">
            <w:pPr>
              <w:spacing w:after="0" w:line="240" w:lineRule="auto"/>
              <w:jc w:val="left"/>
              <w:rPr>
                <w:rFonts w:ascii="Arial Narrow" w:eastAsia="Times New Roman" w:hAnsi="Arial Narrow" w:cs="Calibri"/>
                <w:b/>
                <w:bCs/>
                <w:color w:val="FFFFFF"/>
                <w:sz w:val="18"/>
                <w:szCs w:val="18"/>
                <w:lang w:val="en-GB" w:eastAsia="en-GB"/>
              </w:rPr>
            </w:pPr>
            <w:r w:rsidRPr="009A3D69">
              <w:rPr>
                <w:rFonts w:ascii="Arial Narrow" w:eastAsia="Times New Roman" w:hAnsi="Arial Narrow" w:cs="Calibri"/>
                <w:b/>
                <w:bCs/>
                <w:color w:val="FFFFFF"/>
                <w:sz w:val="18"/>
                <w:szCs w:val="18"/>
                <w:lang w:val="en-GB" w:eastAsia="en-GB"/>
              </w:rPr>
              <w:t>Balance sheet items in €m</w:t>
            </w:r>
          </w:p>
        </w:tc>
        <w:tc>
          <w:tcPr>
            <w:tcW w:w="791" w:type="dxa"/>
            <w:tcBorders>
              <w:top w:val="nil"/>
              <w:left w:val="nil"/>
              <w:bottom w:val="nil"/>
              <w:right w:val="nil"/>
            </w:tcBorders>
            <w:shd w:val="clear" w:color="000000" w:fill="03365F"/>
            <w:vAlign w:val="center"/>
            <w:hideMark/>
          </w:tcPr>
          <w:p w14:paraId="3A190EF0" w14:textId="77777777" w:rsidR="009A3D69" w:rsidRPr="009A3D69" w:rsidRDefault="009A3D69" w:rsidP="009A3D69">
            <w:pPr>
              <w:spacing w:after="0" w:line="240" w:lineRule="auto"/>
              <w:jc w:val="right"/>
              <w:rPr>
                <w:rFonts w:ascii="Arial Narrow" w:eastAsia="Times New Roman" w:hAnsi="Arial Narrow" w:cs="Calibri"/>
                <w:b/>
                <w:bCs/>
                <w:color w:val="FFFFFF"/>
                <w:sz w:val="18"/>
                <w:szCs w:val="18"/>
                <w:lang w:val="en-GB" w:eastAsia="en-GB"/>
              </w:rPr>
            </w:pPr>
            <w:r w:rsidRPr="009A3D69">
              <w:rPr>
                <w:rFonts w:ascii="Arial Narrow" w:eastAsia="Times New Roman" w:hAnsi="Arial Narrow" w:cs="Calibri"/>
                <w:b/>
                <w:bCs/>
                <w:color w:val="FFFFFF"/>
                <w:sz w:val="18"/>
                <w:szCs w:val="18"/>
                <w:lang w:val="en-GB" w:eastAsia="en-GB"/>
              </w:rPr>
              <w:t>Q1-20</w:t>
            </w:r>
          </w:p>
        </w:tc>
        <w:tc>
          <w:tcPr>
            <w:tcW w:w="791" w:type="dxa"/>
            <w:tcBorders>
              <w:top w:val="nil"/>
              <w:left w:val="nil"/>
              <w:bottom w:val="nil"/>
              <w:right w:val="nil"/>
            </w:tcBorders>
            <w:shd w:val="clear" w:color="000000" w:fill="18B3B9"/>
            <w:noWrap/>
            <w:vAlign w:val="center"/>
            <w:hideMark/>
          </w:tcPr>
          <w:p w14:paraId="6E5ED7D0" w14:textId="77777777" w:rsidR="009A3D69" w:rsidRPr="009A3D69" w:rsidRDefault="009A3D69" w:rsidP="009A3D69">
            <w:pPr>
              <w:spacing w:after="0" w:line="240" w:lineRule="auto"/>
              <w:jc w:val="right"/>
              <w:rPr>
                <w:rFonts w:ascii="Arial Narrow" w:eastAsia="Times New Roman" w:hAnsi="Arial Narrow" w:cs="Calibri"/>
                <w:b/>
                <w:bCs/>
                <w:color w:val="FFFFFF"/>
                <w:sz w:val="18"/>
                <w:szCs w:val="18"/>
                <w:lang w:val="en-GB" w:eastAsia="en-GB"/>
              </w:rPr>
            </w:pPr>
            <w:r w:rsidRPr="009A3D69">
              <w:rPr>
                <w:rFonts w:ascii="Arial Narrow" w:eastAsia="Times New Roman" w:hAnsi="Arial Narrow" w:cs="Calibri"/>
                <w:b/>
                <w:bCs/>
                <w:color w:val="FFFFFF"/>
                <w:sz w:val="18"/>
                <w:szCs w:val="18"/>
                <w:lang w:val="en-GB" w:eastAsia="en-GB"/>
              </w:rPr>
              <w:t>Q1-21</w:t>
            </w:r>
          </w:p>
        </w:tc>
        <w:tc>
          <w:tcPr>
            <w:tcW w:w="885" w:type="dxa"/>
            <w:tcBorders>
              <w:top w:val="nil"/>
              <w:left w:val="nil"/>
              <w:bottom w:val="nil"/>
              <w:right w:val="nil"/>
            </w:tcBorders>
            <w:shd w:val="clear" w:color="000000" w:fill="03365F"/>
            <w:noWrap/>
            <w:vAlign w:val="center"/>
            <w:hideMark/>
          </w:tcPr>
          <w:p w14:paraId="478A4378" w14:textId="77777777" w:rsidR="009A3D69" w:rsidRPr="009A3D69" w:rsidRDefault="009A3D69" w:rsidP="009A3D69">
            <w:pPr>
              <w:spacing w:after="0" w:line="240" w:lineRule="auto"/>
              <w:jc w:val="center"/>
              <w:rPr>
                <w:rFonts w:ascii="Arial Narrow" w:eastAsia="Times New Roman" w:hAnsi="Arial Narrow" w:cs="Calibri"/>
                <w:b/>
                <w:bCs/>
                <w:color w:val="FFFFFF"/>
                <w:sz w:val="18"/>
                <w:szCs w:val="18"/>
                <w:lang w:val="en-GB" w:eastAsia="en-GB"/>
              </w:rPr>
            </w:pPr>
            <w:r w:rsidRPr="009A3D69">
              <w:rPr>
                <w:rFonts w:ascii="Arial Narrow" w:eastAsia="Times New Roman" w:hAnsi="Arial Narrow" w:cs="Calibri"/>
                <w:b/>
                <w:bCs/>
                <w:color w:val="FFFFFF"/>
                <w:sz w:val="18"/>
                <w:szCs w:val="18"/>
                <w:lang w:val="en-GB" w:eastAsia="en-GB"/>
              </w:rPr>
              <w:t>%</w:t>
            </w:r>
          </w:p>
        </w:tc>
        <w:tc>
          <w:tcPr>
            <w:tcW w:w="885" w:type="dxa"/>
            <w:tcBorders>
              <w:top w:val="nil"/>
              <w:left w:val="nil"/>
              <w:bottom w:val="nil"/>
              <w:right w:val="nil"/>
            </w:tcBorders>
            <w:shd w:val="clear" w:color="000000" w:fill="03365F"/>
            <w:vAlign w:val="center"/>
            <w:hideMark/>
          </w:tcPr>
          <w:p w14:paraId="1E4B24A5" w14:textId="55E3E5B4" w:rsidR="009A3D69" w:rsidRPr="009A3D69" w:rsidRDefault="009A3D69" w:rsidP="009A3D69">
            <w:pPr>
              <w:spacing w:after="0" w:line="240" w:lineRule="auto"/>
              <w:jc w:val="center"/>
              <w:rPr>
                <w:rFonts w:ascii="Arial Narrow" w:eastAsia="Times New Roman" w:hAnsi="Arial Narrow" w:cs="Calibri"/>
                <w:b/>
                <w:bCs/>
                <w:color w:val="FFFFFF"/>
                <w:sz w:val="18"/>
                <w:szCs w:val="18"/>
                <w:lang w:val="en-GB" w:eastAsia="en-GB"/>
              </w:rPr>
            </w:pPr>
            <w:r w:rsidRPr="009A3D69">
              <w:rPr>
                <w:rFonts w:ascii="Arial Narrow" w:eastAsia="Times New Roman" w:hAnsi="Arial Narrow" w:cs="Calibri"/>
                <w:b/>
                <w:bCs/>
                <w:color w:val="FFFFFF"/>
                <w:sz w:val="18"/>
                <w:szCs w:val="18"/>
                <w:lang w:val="en-GB" w:eastAsia="en-GB"/>
              </w:rPr>
              <w:t xml:space="preserve">% </w:t>
            </w:r>
            <w:r w:rsidRPr="009A3D69">
              <w:rPr>
                <w:rFonts w:ascii="Arial Narrow" w:eastAsia="Times New Roman" w:hAnsi="Arial Narrow" w:cs="Calibri"/>
                <w:b/>
                <w:bCs/>
                <w:color w:val="FFFFFF"/>
                <w:sz w:val="18"/>
                <w:szCs w:val="18"/>
                <w:lang w:val="en-GB" w:eastAsia="en-GB"/>
              </w:rPr>
              <w:br/>
              <w:t>ex. FX</w:t>
            </w:r>
            <w:r>
              <w:rPr>
                <w:rFonts w:ascii="Arial Narrow" w:eastAsia="Times New Roman" w:hAnsi="Arial Narrow" w:cs="Calibri"/>
                <w:b/>
                <w:bCs/>
                <w:color w:val="FFFFFF"/>
                <w:sz w:val="18"/>
                <w:szCs w:val="18"/>
                <w:lang w:val="en-GB" w:eastAsia="en-GB"/>
              </w:rPr>
              <w:t>*</w:t>
            </w:r>
          </w:p>
        </w:tc>
      </w:tr>
      <w:tr w:rsidR="00A07BB6" w:rsidRPr="009A3D69" w14:paraId="08F2D383" w14:textId="77777777" w:rsidTr="00A07BB6">
        <w:trPr>
          <w:trHeight w:val="315"/>
          <w:jc w:val="center"/>
        </w:trPr>
        <w:tc>
          <w:tcPr>
            <w:tcW w:w="4169" w:type="dxa"/>
            <w:tcBorders>
              <w:top w:val="single" w:sz="4" w:space="0" w:color="BFBFBF"/>
              <w:left w:val="nil"/>
              <w:bottom w:val="single" w:sz="12" w:space="0" w:color="03365F"/>
              <w:right w:val="nil"/>
            </w:tcBorders>
            <w:shd w:val="clear" w:color="auto" w:fill="auto"/>
            <w:noWrap/>
            <w:vAlign w:val="bottom"/>
            <w:hideMark/>
          </w:tcPr>
          <w:p w14:paraId="23DE5E66" w14:textId="77777777" w:rsidR="009A3D69" w:rsidRPr="009A3D69" w:rsidRDefault="009A3D69" w:rsidP="009A3D69">
            <w:pPr>
              <w:spacing w:after="0" w:line="240" w:lineRule="auto"/>
              <w:jc w:val="left"/>
              <w:rPr>
                <w:rFonts w:ascii="Arial Narrow" w:eastAsia="Times New Roman" w:hAnsi="Arial Narrow" w:cs="Calibri"/>
                <w:sz w:val="18"/>
                <w:szCs w:val="18"/>
                <w:lang w:val="en-GB" w:eastAsia="en-GB"/>
              </w:rPr>
            </w:pPr>
            <w:r w:rsidRPr="009A3D69">
              <w:rPr>
                <w:rFonts w:ascii="Arial Narrow" w:eastAsia="Times New Roman" w:hAnsi="Arial Narrow" w:cs="Calibri"/>
                <w:sz w:val="18"/>
                <w:szCs w:val="18"/>
                <w:lang w:val="en-GB" w:eastAsia="en-GB"/>
              </w:rPr>
              <w:t>Total Equity (group share)</w:t>
            </w:r>
          </w:p>
        </w:tc>
        <w:tc>
          <w:tcPr>
            <w:tcW w:w="791" w:type="dxa"/>
            <w:tcBorders>
              <w:top w:val="single" w:sz="4" w:space="0" w:color="BFBFBF"/>
              <w:left w:val="nil"/>
              <w:bottom w:val="single" w:sz="12" w:space="0" w:color="03365F"/>
              <w:right w:val="nil"/>
            </w:tcBorders>
            <w:shd w:val="clear" w:color="000000" w:fill="F2F2F2"/>
            <w:noWrap/>
            <w:vAlign w:val="bottom"/>
            <w:hideMark/>
          </w:tcPr>
          <w:p w14:paraId="24D83CAF" w14:textId="77777777" w:rsidR="009A3D69" w:rsidRPr="009A3D69" w:rsidRDefault="009A3D69" w:rsidP="009A3D69">
            <w:pPr>
              <w:spacing w:after="0" w:line="240" w:lineRule="auto"/>
              <w:jc w:val="right"/>
              <w:rPr>
                <w:rFonts w:ascii="Arial Narrow" w:eastAsia="Times New Roman" w:hAnsi="Arial Narrow" w:cs="Calibri"/>
                <w:sz w:val="18"/>
                <w:szCs w:val="18"/>
                <w:lang w:val="en-GB" w:eastAsia="en-GB"/>
              </w:rPr>
            </w:pPr>
            <w:r w:rsidRPr="009A3D69">
              <w:rPr>
                <w:rFonts w:ascii="Arial Narrow" w:eastAsia="Times New Roman" w:hAnsi="Arial Narrow" w:cs="Calibri"/>
                <w:sz w:val="18"/>
                <w:szCs w:val="18"/>
                <w:lang w:val="en-GB" w:eastAsia="en-GB"/>
              </w:rPr>
              <w:t>1,854.7</w:t>
            </w:r>
          </w:p>
        </w:tc>
        <w:tc>
          <w:tcPr>
            <w:tcW w:w="791" w:type="dxa"/>
            <w:tcBorders>
              <w:top w:val="single" w:sz="4" w:space="0" w:color="BFBFBF"/>
              <w:left w:val="nil"/>
              <w:bottom w:val="single" w:sz="12" w:space="0" w:color="03365F"/>
              <w:right w:val="nil"/>
            </w:tcBorders>
            <w:shd w:val="clear" w:color="000000" w:fill="D1F0F1"/>
            <w:noWrap/>
            <w:vAlign w:val="bottom"/>
            <w:hideMark/>
          </w:tcPr>
          <w:p w14:paraId="169CBFF2" w14:textId="77777777" w:rsidR="009A3D69" w:rsidRPr="009A3D69" w:rsidRDefault="009A3D69" w:rsidP="009A3D69">
            <w:pPr>
              <w:spacing w:after="0" w:line="240" w:lineRule="auto"/>
              <w:jc w:val="right"/>
              <w:rPr>
                <w:rFonts w:ascii="Arial Narrow" w:eastAsia="Times New Roman" w:hAnsi="Arial Narrow" w:cs="Calibri"/>
                <w:sz w:val="18"/>
                <w:szCs w:val="18"/>
                <w:lang w:val="en-GB" w:eastAsia="en-GB"/>
              </w:rPr>
            </w:pPr>
            <w:r w:rsidRPr="009A3D69">
              <w:rPr>
                <w:rFonts w:ascii="Arial Narrow" w:eastAsia="Times New Roman" w:hAnsi="Arial Narrow" w:cs="Calibri"/>
                <w:sz w:val="18"/>
                <w:szCs w:val="18"/>
                <w:lang w:val="en-GB" w:eastAsia="en-GB"/>
              </w:rPr>
              <w:t>2,049.3</w:t>
            </w:r>
          </w:p>
        </w:tc>
        <w:tc>
          <w:tcPr>
            <w:tcW w:w="885" w:type="dxa"/>
            <w:tcBorders>
              <w:top w:val="single" w:sz="4" w:space="0" w:color="BFBFBF"/>
              <w:left w:val="nil"/>
              <w:bottom w:val="single" w:sz="12" w:space="0" w:color="03365F"/>
              <w:right w:val="nil"/>
            </w:tcBorders>
            <w:shd w:val="clear" w:color="000000" w:fill="FFFFFF"/>
            <w:noWrap/>
            <w:vAlign w:val="bottom"/>
            <w:hideMark/>
          </w:tcPr>
          <w:p w14:paraId="167C6D80" w14:textId="77777777" w:rsidR="009A3D69" w:rsidRPr="009A3D69" w:rsidRDefault="009A3D69" w:rsidP="009A3D69">
            <w:pPr>
              <w:spacing w:after="0" w:line="240" w:lineRule="auto"/>
              <w:jc w:val="right"/>
              <w:rPr>
                <w:rFonts w:ascii="Arial Narrow" w:eastAsia="Times New Roman" w:hAnsi="Arial Narrow" w:cs="Calibri"/>
                <w:sz w:val="18"/>
                <w:szCs w:val="18"/>
                <w:lang w:val="en-GB" w:eastAsia="en-GB"/>
              </w:rPr>
            </w:pPr>
            <w:r w:rsidRPr="009A3D69">
              <w:rPr>
                <w:rFonts w:ascii="Arial Narrow" w:eastAsia="Times New Roman" w:hAnsi="Arial Narrow" w:cs="Calibri"/>
                <w:sz w:val="18"/>
                <w:szCs w:val="18"/>
                <w:lang w:val="en-GB" w:eastAsia="en-GB"/>
              </w:rPr>
              <w:t>+10.5%</w:t>
            </w:r>
          </w:p>
        </w:tc>
        <w:tc>
          <w:tcPr>
            <w:tcW w:w="885" w:type="dxa"/>
            <w:tcBorders>
              <w:top w:val="single" w:sz="4" w:space="0" w:color="BFBFBF"/>
              <w:left w:val="nil"/>
              <w:bottom w:val="single" w:sz="12" w:space="0" w:color="03365F"/>
              <w:right w:val="nil"/>
            </w:tcBorders>
            <w:shd w:val="clear" w:color="000000" w:fill="FFFFFF"/>
            <w:noWrap/>
            <w:vAlign w:val="bottom"/>
            <w:hideMark/>
          </w:tcPr>
          <w:p w14:paraId="3E817F06" w14:textId="77777777" w:rsidR="009A3D69" w:rsidRPr="009A3D69" w:rsidRDefault="009A3D69" w:rsidP="009A3D69">
            <w:pPr>
              <w:spacing w:after="0" w:line="240" w:lineRule="auto"/>
              <w:jc w:val="left"/>
              <w:rPr>
                <w:rFonts w:ascii="Arial Narrow" w:eastAsia="Times New Roman" w:hAnsi="Arial Narrow" w:cs="Calibri"/>
                <w:sz w:val="18"/>
                <w:szCs w:val="18"/>
                <w:lang w:val="en-GB" w:eastAsia="en-GB"/>
              </w:rPr>
            </w:pPr>
            <w:r w:rsidRPr="009A3D69">
              <w:rPr>
                <w:rFonts w:ascii="Arial Narrow" w:eastAsia="Times New Roman" w:hAnsi="Arial Narrow" w:cs="Calibri"/>
                <w:sz w:val="18"/>
                <w:szCs w:val="18"/>
                <w:lang w:val="en-GB" w:eastAsia="en-GB"/>
              </w:rPr>
              <w:t> </w:t>
            </w:r>
          </w:p>
        </w:tc>
      </w:tr>
    </w:tbl>
    <w:p w14:paraId="2DA4C1BF" w14:textId="77777777" w:rsidR="00E0314E" w:rsidRPr="00B30555" w:rsidRDefault="00E0314E" w:rsidP="00022DA0">
      <w:pPr>
        <w:pStyle w:val="FootnoteText"/>
        <w:spacing w:after="0"/>
        <w:rPr>
          <w:rFonts w:ascii="Arial Narrow" w:hAnsi="Arial Narrow"/>
          <w:sz w:val="14"/>
          <w:szCs w:val="14"/>
          <w:lang w:val="en-GB"/>
        </w:rPr>
      </w:pPr>
    </w:p>
    <w:p w14:paraId="10C3C872" w14:textId="77777777" w:rsidR="00E0314E" w:rsidRPr="00B30555" w:rsidRDefault="00E0314E" w:rsidP="00022DA0">
      <w:pPr>
        <w:pStyle w:val="FootnoteText"/>
        <w:spacing w:after="0"/>
        <w:rPr>
          <w:rFonts w:ascii="Arial Narrow" w:hAnsi="Arial Narrow"/>
          <w:sz w:val="14"/>
          <w:szCs w:val="14"/>
          <w:lang w:val="en-GB"/>
        </w:rPr>
      </w:pPr>
    </w:p>
    <w:p w14:paraId="41ED6FB1" w14:textId="77777777" w:rsidR="00350FC0" w:rsidRPr="00B30555" w:rsidRDefault="00350FC0" w:rsidP="00022DA0">
      <w:pPr>
        <w:pStyle w:val="FootnoteText"/>
        <w:spacing w:after="0"/>
        <w:rPr>
          <w:rFonts w:ascii="Arial Narrow" w:hAnsi="Arial Narrow"/>
          <w:sz w:val="14"/>
          <w:szCs w:val="14"/>
          <w:lang w:val="en-GB"/>
        </w:rPr>
      </w:pPr>
    </w:p>
    <w:p w14:paraId="4CE2AE92" w14:textId="77777777" w:rsidR="00E0314E" w:rsidRPr="00B30555" w:rsidRDefault="00350FC0" w:rsidP="00022DA0">
      <w:pPr>
        <w:pStyle w:val="FootnoteText"/>
        <w:spacing w:after="0"/>
        <w:rPr>
          <w:rFonts w:ascii="Arial Narrow" w:hAnsi="Arial Narrow" w:cs="Cambria"/>
          <w:sz w:val="14"/>
          <w:szCs w:val="14"/>
          <w:lang w:val="en-GB" w:eastAsia="en-GB"/>
        </w:rPr>
      </w:pPr>
      <w:r w:rsidRPr="00B30555">
        <w:rPr>
          <w:rFonts w:ascii="Arial Narrow" w:hAnsi="Arial Narrow"/>
          <w:sz w:val="14"/>
          <w:szCs w:val="14"/>
          <w:lang w:val="en-GB"/>
        </w:rPr>
        <w:t>* Also excludes scope impact</w:t>
      </w:r>
    </w:p>
    <w:p w14:paraId="2F4FE5A4" w14:textId="77777777" w:rsidR="00E0314E" w:rsidRPr="00B30555" w:rsidRDefault="00E0314E">
      <w:pPr>
        <w:rPr>
          <w:rFonts w:ascii="Arial Narrow" w:eastAsia="Calibri" w:hAnsi="Arial Narrow" w:cs="Arial"/>
          <w:b/>
          <w:bCs/>
          <w:highlight w:val="yellow"/>
          <w:lang w:val="en-GB" w:eastAsia="en-US"/>
        </w:rPr>
      </w:pPr>
      <w:r w:rsidRPr="00B30555">
        <w:rPr>
          <w:rFonts w:ascii="Arial Narrow" w:eastAsia="Calibri" w:hAnsi="Arial Narrow" w:cs="Arial"/>
          <w:b/>
          <w:bCs/>
          <w:highlight w:val="yellow"/>
          <w:lang w:val="en-GB" w:eastAsia="en-US"/>
        </w:rPr>
        <w:br w:type="page"/>
      </w:r>
    </w:p>
    <w:p w14:paraId="27298CD0" w14:textId="77777777" w:rsidR="00A2397E" w:rsidRPr="00B30555" w:rsidRDefault="00950E42" w:rsidP="00A17AE0">
      <w:pPr>
        <w:numPr>
          <w:ilvl w:val="0"/>
          <w:numId w:val="16"/>
        </w:numPr>
        <w:autoSpaceDE w:val="0"/>
        <w:autoSpaceDN w:val="0"/>
        <w:adjustRightInd w:val="0"/>
        <w:spacing w:after="0"/>
        <w:ind w:left="714" w:hanging="357"/>
        <w:rPr>
          <w:rFonts w:ascii="Arial Narrow" w:eastAsia="Calibri" w:hAnsi="Arial Narrow" w:cs="Arial"/>
          <w:b/>
          <w:lang w:val="en-GB" w:eastAsia="en-US"/>
        </w:rPr>
      </w:pPr>
      <w:r w:rsidRPr="00B30555">
        <w:rPr>
          <w:rFonts w:ascii="Arial Narrow" w:eastAsia="Calibri" w:hAnsi="Arial Narrow" w:cs="Arial"/>
          <w:b/>
          <w:bCs/>
          <w:lang w:val="en-GB" w:eastAsia="en-US"/>
        </w:rPr>
        <w:lastRenderedPageBreak/>
        <w:t>Turnover</w:t>
      </w:r>
    </w:p>
    <w:p w14:paraId="000BBEF0" w14:textId="77777777" w:rsidR="00A17AE0" w:rsidRPr="00B30555" w:rsidRDefault="00A17AE0" w:rsidP="00A17AE0">
      <w:pPr>
        <w:autoSpaceDE w:val="0"/>
        <w:autoSpaceDN w:val="0"/>
        <w:adjustRightInd w:val="0"/>
        <w:spacing w:after="0" w:line="240" w:lineRule="auto"/>
        <w:rPr>
          <w:rFonts w:ascii="Arial Narrow" w:eastAsia="Calibri" w:hAnsi="Arial Narrow" w:cs="Arial"/>
          <w:i/>
          <w:lang w:val="en-GB" w:eastAsia="en-US"/>
        </w:rPr>
      </w:pPr>
    </w:p>
    <w:p w14:paraId="53C4D99C" w14:textId="77777777" w:rsidR="001C5CF3" w:rsidRDefault="001C5CF3" w:rsidP="001C5CF3">
      <w:pPr>
        <w:suppressAutoHyphens/>
        <w:spacing w:after="120"/>
        <w:rPr>
          <w:rFonts w:ascii="Arial Narrow" w:hAnsi="Arial Narrow"/>
        </w:rPr>
      </w:pPr>
      <w:r>
        <w:rPr>
          <w:rFonts w:ascii="Arial Narrow" w:hAnsi="Arial Narrow"/>
        </w:rPr>
        <w:t>Coface recorded consolidated turnover of €377.9m, up by +4.2% at constant FX and perimeter compared to Q1-2020. On a reported basis (at current FX and perimeter), turnover grew by +2.0%.</w:t>
      </w:r>
    </w:p>
    <w:p w14:paraId="41DD1821" w14:textId="0C98B725" w:rsidR="001C5CF3" w:rsidRPr="00034C8E" w:rsidRDefault="001C5CF3" w:rsidP="001C5CF3">
      <w:pPr>
        <w:suppressAutoHyphens/>
        <w:spacing w:after="120"/>
        <w:rPr>
          <w:rFonts w:ascii="Arial Narrow" w:hAnsi="Arial Narrow"/>
          <w:lang w:val="en-GB"/>
        </w:rPr>
      </w:pPr>
      <w:r>
        <w:rPr>
          <w:rFonts w:ascii="Arial Narrow" w:hAnsi="Arial Narrow"/>
        </w:rPr>
        <w:t xml:space="preserve">Coface's customer activity had a positive impact of +0.2% for the quarter, down slightly from 2020, while prices rose </w:t>
      </w:r>
      <w:r w:rsidR="00BB6BFA">
        <w:rPr>
          <w:rFonts w:ascii="Arial Narrow" w:hAnsi="Arial Narrow"/>
        </w:rPr>
        <w:t>+</w:t>
      </w:r>
      <w:r>
        <w:rPr>
          <w:rFonts w:ascii="Arial Narrow" w:hAnsi="Arial Narrow"/>
        </w:rPr>
        <w:t>2.9% as a result of portfolio re-pricing initiatives taken in 2020 to</w:t>
      </w:r>
      <w:r w:rsidR="00A07187">
        <w:rPr>
          <w:rFonts w:ascii="Arial Narrow" w:hAnsi="Arial Narrow"/>
        </w:rPr>
        <w:t xml:space="preserve"> deal with the economic crisis.</w:t>
      </w:r>
    </w:p>
    <w:p w14:paraId="59F37763" w14:textId="096C3307" w:rsidR="001C5CF3" w:rsidRDefault="001C5CF3" w:rsidP="001C5CF3">
      <w:pPr>
        <w:suppressAutoHyphens/>
        <w:spacing w:after="120"/>
        <w:rPr>
          <w:rFonts w:ascii="Arial Narrow" w:hAnsi="Arial Narrow"/>
        </w:rPr>
      </w:pPr>
      <w:r>
        <w:rPr>
          <w:rFonts w:ascii="Arial Narrow" w:hAnsi="Arial Narrow"/>
        </w:rPr>
        <w:t xml:space="preserve">The retention rate remained high in most regions, reaching 93.8% for the group, a slight decrease from the record set in Q1-2020 (94.3%). New business </w:t>
      </w:r>
      <w:r w:rsidRPr="001C5CF3">
        <w:rPr>
          <w:rFonts w:ascii="Arial Narrow" w:hAnsi="Arial Narrow"/>
        </w:rPr>
        <w:t xml:space="preserve">amounted </w:t>
      </w:r>
      <w:r>
        <w:rPr>
          <w:rFonts w:ascii="Arial Narrow" w:hAnsi="Arial Narrow"/>
        </w:rPr>
        <w:t>to €40m, down €11m from 2020, which was a new record for the group. Compared to 2019, new business was up by €5m.</w:t>
      </w:r>
    </w:p>
    <w:p w14:paraId="6C380327" w14:textId="77777777" w:rsidR="001C5CF3" w:rsidRPr="00034C8E" w:rsidRDefault="001C5CF3" w:rsidP="001C5CF3">
      <w:pPr>
        <w:suppressAutoHyphens/>
        <w:spacing w:after="120"/>
        <w:rPr>
          <w:rFonts w:ascii="Arial Narrow" w:hAnsi="Arial Narrow" w:cs="Cambria"/>
          <w:lang w:val="en-GB"/>
        </w:rPr>
      </w:pPr>
      <w:r>
        <w:rPr>
          <w:rFonts w:ascii="Arial Narrow" w:hAnsi="Arial Narrow"/>
        </w:rPr>
        <w:t>Revenues from insurance activities (including bonding and Single Risk) grew by +6.1% at constant FX and perimeter compared to Q1-2020, thanks mainly to more stable client activity, a high level of client retention and positive pricing trends that began during 2020.</w:t>
      </w:r>
    </w:p>
    <w:p w14:paraId="319A7929" w14:textId="5EA5E39C" w:rsidR="00492024" w:rsidRDefault="001C5CF3" w:rsidP="001C5CF3">
      <w:pPr>
        <w:widowControl w:val="0"/>
        <w:suppressAutoHyphens/>
        <w:spacing w:after="120"/>
        <w:rPr>
          <w:rFonts w:ascii="Arial Narrow" w:hAnsi="Arial Narrow"/>
        </w:rPr>
      </w:pPr>
      <w:r w:rsidRPr="001C5CF3">
        <w:rPr>
          <w:rFonts w:ascii="Arial Narrow" w:hAnsi="Arial Narrow"/>
        </w:rPr>
        <w:t>Turnover from other activities (factoring and services) was down -1.6% compared to Q1-2020 due to lower factoring revenues in Germany against a backdrop of weak volumes, as well as lower debt collection revenues. Information service revenues continued to grow (+9% at constant FX).</w:t>
      </w:r>
    </w:p>
    <w:p w14:paraId="1D19D388" w14:textId="77777777" w:rsidR="001C5CF3" w:rsidRPr="001C5CF3" w:rsidRDefault="001C5CF3" w:rsidP="001C5CF3">
      <w:pPr>
        <w:widowControl w:val="0"/>
        <w:suppressAutoHyphens/>
        <w:spacing w:after="0" w:line="240" w:lineRule="auto"/>
        <w:rPr>
          <w:rFonts w:ascii="Arial Narrow" w:eastAsia="MS Mincho" w:hAnsi="Arial Narrow" w:cs="Arial"/>
          <w:sz w:val="8"/>
          <w:lang w:val="en-GB" w:eastAsia="fr-FR"/>
        </w:rPr>
      </w:pPr>
    </w:p>
    <w:tbl>
      <w:tblPr>
        <w:tblW w:w="5963" w:type="dxa"/>
        <w:jc w:val="center"/>
        <w:tblLook w:val="04A0" w:firstRow="1" w:lastRow="0" w:firstColumn="1" w:lastColumn="0" w:noHBand="0" w:noVBand="1"/>
      </w:tblPr>
      <w:tblGrid>
        <w:gridCol w:w="2177"/>
        <w:gridCol w:w="968"/>
        <w:gridCol w:w="956"/>
        <w:gridCol w:w="796"/>
        <w:gridCol w:w="1066"/>
      </w:tblGrid>
      <w:tr w:rsidR="009A3D69" w:rsidRPr="009113BD" w14:paraId="41D6BD7F" w14:textId="77777777" w:rsidTr="00D6485F">
        <w:trPr>
          <w:trHeight w:val="340"/>
          <w:jc w:val="center"/>
        </w:trPr>
        <w:tc>
          <w:tcPr>
            <w:tcW w:w="2177" w:type="dxa"/>
            <w:tcBorders>
              <w:top w:val="nil"/>
              <w:left w:val="nil"/>
              <w:bottom w:val="single" w:sz="4" w:space="0" w:color="FFFFFF"/>
              <w:right w:val="nil"/>
            </w:tcBorders>
            <w:shd w:val="clear" w:color="000000" w:fill="03365F"/>
            <w:noWrap/>
            <w:vAlign w:val="center"/>
            <w:hideMark/>
          </w:tcPr>
          <w:p w14:paraId="0E26D863" w14:textId="77777777" w:rsidR="009A3D69" w:rsidRPr="009113BD" w:rsidRDefault="009A3D69" w:rsidP="009A3D69">
            <w:pPr>
              <w:spacing w:after="0" w:line="240" w:lineRule="auto"/>
              <w:jc w:val="left"/>
              <w:rPr>
                <w:rFonts w:eastAsia="Times New Roman" w:cs="Calibri"/>
                <w:b/>
                <w:bCs/>
                <w:color w:val="FFFFFF"/>
                <w:lang w:val="en-GB" w:eastAsia="en-GB"/>
              </w:rPr>
            </w:pPr>
            <w:r w:rsidRPr="009113BD">
              <w:rPr>
                <w:rFonts w:eastAsia="Times New Roman" w:cs="Calibri"/>
                <w:b/>
                <w:bCs/>
                <w:color w:val="FFFFFF"/>
                <w:lang w:val="en-GB" w:eastAsia="en-GB"/>
              </w:rPr>
              <w:t>Total revenue - in €m</w:t>
            </w:r>
          </w:p>
        </w:tc>
        <w:tc>
          <w:tcPr>
            <w:tcW w:w="968" w:type="dxa"/>
            <w:tcBorders>
              <w:top w:val="nil"/>
              <w:left w:val="nil"/>
              <w:bottom w:val="nil"/>
              <w:right w:val="nil"/>
            </w:tcBorders>
            <w:shd w:val="clear" w:color="000000" w:fill="03365F"/>
            <w:vAlign w:val="center"/>
            <w:hideMark/>
          </w:tcPr>
          <w:p w14:paraId="0348142D" w14:textId="50C734F6" w:rsidR="009A3D69" w:rsidRPr="009113BD" w:rsidRDefault="009A3D69" w:rsidP="009A3D69">
            <w:pPr>
              <w:spacing w:after="0" w:line="240" w:lineRule="auto"/>
              <w:jc w:val="right"/>
              <w:rPr>
                <w:rFonts w:eastAsia="Times New Roman" w:cs="Calibri"/>
                <w:b/>
                <w:bCs/>
                <w:color w:val="FFFFFF"/>
                <w:lang w:val="en-GB" w:eastAsia="en-GB"/>
              </w:rPr>
            </w:pPr>
            <w:r>
              <w:rPr>
                <w:rFonts w:ascii="Arial Narrow" w:hAnsi="Arial Narrow" w:cs="Calibri"/>
                <w:b/>
                <w:bCs/>
                <w:color w:val="FFFFFF"/>
              </w:rPr>
              <w:t>Q1-20</w:t>
            </w:r>
          </w:p>
        </w:tc>
        <w:tc>
          <w:tcPr>
            <w:tcW w:w="956" w:type="dxa"/>
            <w:tcBorders>
              <w:top w:val="nil"/>
              <w:left w:val="nil"/>
              <w:bottom w:val="nil"/>
              <w:right w:val="nil"/>
            </w:tcBorders>
            <w:shd w:val="clear" w:color="000000" w:fill="18B3B9"/>
            <w:noWrap/>
            <w:vAlign w:val="center"/>
            <w:hideMark/>
          </w:tcPr>
          <w:p w14:paraId="7F3ABD63" w14:textId="2681B8C8" w:rsidR="009A3D69" w:rsidRPr="009113BD" w:rsidRDefault="009A3D69" w:rsidP="009A3D69">
            <w:pPr>
              <w:spacing w:after="0" w:line="240" w:lineRule="auto"/>
              <w:jc w:val="right"/>
              <w:rPr>
                <w:rFonts w:eastAsia="Times New Roman" w:cs="Calibri"/>
                <w:b/>
                <w:bCs/>
                <w:color w:val="FFFFFF"/>
                <w:lang w:val="en-GB" w:eastAsia="en-GB"/>
              </w:rPr>
            </w:pPr>
            <w:r>
              <w:rPr>
                <w:rFonts w:ascii="Arial Narrow" w:hAnsi="Arial Narrow" w:cs="Calibri"/>
                <w:b/>
                <w:bCs/>
                <w:color w:val="FFFFFF"/>
              </w:rPr>
              <w:t>Q1-21</w:t>
            </w:r>
          </w:p>
        </w:tc>
        <w:tc>
          <w:tcPr>
            <w:tcW w:w="796" w:type="dxa"/>
            <w:tcBorders>
              <w:top w:val="nil"/>
              <w:left w:val="nil"/>
              <w:bottom w:val="nil"/>
              <w:right w:val="nil"/>
            </w:tcBorders>
            <w:shd w:val="clear" w:color="000000" w:fill="03365F"/>
            <w:noWrap/>
            <w:vAlign w:val="center"/>
            <w:hideMark/>
          </w:tcPr>
          <w:p w14:paraId="0B808445" w14:textId="77777777" w:rsidR="009A3D69" w:rsidRPr="009113BD" w:rsidRDefault="009A3D69" w:rsidP="009A3D69">
            <w:pPr>
              <w:spacing w:after="0" w:line="240" w:lineRule="auto"/>
              <w:jc w:val="center"/>
              <w:rPr>
                <w:rFonts w:eastAsia="Times New Roman" w:cs="Calibri"/>
                <w:b/>
                <w:bCs/>
                <w:color w:val="FFFFFF"/>
                <w:lang w:val="en-GB" w:eastAsia="en-GB"/>
              </w:rPr>
            </w:pPr>
            <w:r w:rsidRPr="009113BD">
              <w:rPr>
                <w:rFonts w:eastAsia="Times New Roman" w:cs="Calibri"/>
                <w:b/>
                <w:bCs/>
                <w:color w:val="FFFFFF"/>
                <w:lang w:val="en-GB" w:eastAsia="en-GB"/>
              </w:rPr>
              <w:t>%</w:t>
            </w:r>
          </w:p>
        </w:tc>
        <w:tc>
          <w:tcPr>
            <w:tcW w:w="1066" w:type="dxa"/>
            <w:tcBorders>
              <w:top w:val="nil"/>
              <w:left w:val="nil"/>
              <w:bottom w:val="nil"/>
              <w:right w:val="nil"/>
            </w:tcBorders>
            <w:shd w:val="clear" w:color="000000" w:fill="03365F"/>
            <w:vAlign w:val="center"/>
            <w:hideMark/>
          </w:tcPr>
          <w:p w14:paraId="5C5EF480" w14:textId="77777777" w:rsidR="009A3D69" w:rsidRPr="009113BD" w:rsidRDefault="009A3D69" w:rsidP="009A3D69">
            <w:pPr>
              <w:spacing w:after="0" w:line="240" w:lineRule="auto"/>
              <w:jc w:val="center"/>
              <w:rPr>
                <w:rFonts w:eastAsia="Times New Roman" w:cs="Calibri"/>
                <w:b/>
                <w:bCs/>
                <w:color w:val="FFFFFF"/>
                <w:lang w:val="en-GB" w:eastAsia="en-GB"/>
              </w:rPr>
            </w:pPr>
            <w:r w:rsidRPr="009113BD">
              <w:rPr>
                <w:rFonts w:eastAsia="Times New Roman" w:cs="Calibri"/>
                <w:b/>
                <w:bCs/>
                <w:color w:val="FFFFFF"/>
                <w:lang w:val="en-GB" w:eastAsia="en-GB"/>
              </w:rPr>
              <w:t>% ex. FX</w:t>
            </w:r>
            <w:r w:rsidRPr="006F2A39">
              <w:rPr>
                <w:rStyle w:val="FootnoteReference"/>
                <w:rFonts w:eastAsia="Times New Roman" w:cs="Calibri"/>
                <w:b/>
                <w:bCs/>
                <w:color w:val="FFFFFF"/>
              </w:rPr>
              <w:footnoteReference w:customMarkFollows="1" w:id="3"/>
              <w:sym w:font="Symbol" w:char="F02A"/>
            </w:r>
          </w:p>
        </w:tc>
      </w:tr>
      <w:tr w:rsidR="009A3D69" w:rsidRPr="009113BD" w14:paraId="6AD9DA00" w14:textId="77777777" w:rsidTr="00567031">
        <w:trPr>
          <w:trHeight w:val="227"/>
          <w:jc w:val="center"/>
        </w:trPr>
        <w:tc>
          <w:tcPr>
            <w:tcW w:w="2177" w:type="dxa"/>
            <w:tcBorders>
              <w:top w:val="single" w:sz="4" w:space="0" w:color="BFBFBF"/>
              <w:left w:val="nil"/>
              <w:bottom w:val="single" w:sz="4" w:space="0" w:color="BFBFBF"/>
              <w:right w:val="nil"/>
            </w:tcBorders>
            <w:shd w:val="clear" w:color="auto" w:fill="auto"/>
            <w:noWrap/>
            <w:vAlign w:val="center"/>
            <w:hideMark/>
          </w:tcPr>
          <w:p w14:paraId="663099A9" w14:textId="77777777" w:rsidR="009A3D69" w:rsidRPr="009113BD" w:rsidRDefault="009A3D69" w:rsidP="009A3D69">
            <w:pPr>
              <w:spacing w:after="0" w:line="240" w:lineRule="auto"/>
              <w:jc w:val="left"/>
              <w:rPr>
                <w:rFonts w:eastAsia="Times New Roman" w:cs="Calibri"/>
                <w:lang w:val="en-GB" w:eastAsia="en-GB"/>
              </w:rPr>
            </w:pPr>
            <w:r w:rsidRPr="009113BD">
              <w:rPr>
                <w:rFonts w:eastAsia="Times New Roman" w:cs="Calibri"/>
                <w:lang w:val="en-GB" w:eastAsia="en-GB"/>
              </w:rPr>
              <w:t>Northern Europe</w:t>
            </w:r>
          </w:p>
        </w:tc>
        <w:tc>
          <w:tcPr>
            <w:tcW w:w="968" w:type="dxa"/>
            <w:tcBorders>
              <w:top w:val="single" w:sz="4" w:space="0" w:color="BFBFBF"/>
              <w:left w:val="nil"/>
              <w:bottom w:val="single" w:sz="4" w:space="0" w:color="BFBFBF"/>
              <w:right w:val="nil"/>
            </w:tcBorders>
            <w:shd w:val="clear" w:color="000000" w:fill="F2F2F2"/>
            <w:noWrap/>
            <w:vAlign w:val="bottom"/>
            <w:hideMark/>
          </w:tcPr>
          <w:p w14:paraId="7183D124" w14:textId="1BB710E4" w:rsidR="009A3D69" w:rsidRPr="009113BD" w:rsidRDefault="009A3D69" w:rsidP="009A3D69">
            <w:pPr>
              <w:spacing w:after="0" w:line="240" w:lineRule="auto"/>
              <w:jc w:val="right"/>
              <w:rPr>
                <w:rFonts w:eastAsia="Times New Roman" w:cs="Calibri"/>
                <w:lang w:val="en-GB" w:eastAsia="en-GB"/>
              </w:rPr>
            </w:pPr>
            <w:r>
              <w:rPr>
                <w:rFonts w:ascii="Arial Narrow" w:hAnsi="Arial Narrow" w:cs="Calibri"/>
              </w:rPr>
              <w:t>81.5</w:t>
            </w:r>
          </w:p>
        </w:tc>
        <w:tc>
          <w:tcPr>
            <w:tcW w:w="956" w:type="dxa"/>
            <w:tcBorders>
              <w:top w:val="single" w:sz="4" w:space="0" w:color="BFBFBF"/>
              <w:left w:val="nil"/>
              <w:bottom w:val="single" w:sz="4" w:space="0" w:color="BFBFBF"/>
              <w:right w:val="nil"/>
            </w:tcBorders>
            <w:shd w:val="clear" w:color="000000" w:fill="D1F0F1"/>
            <w:noWrap/>
            <w:vAlign w:val="bottom"/>
            <w:hideMark/>
          </w:tcPr>
          <w:p w14:paraId="68FB4FBB" w14:textId="4C7BB707" w:rsidR="009A3D69" w:rsidRPr="009113BD" w:rsidRDefault="009A3D69" w:rsidP="009A3D69">
            <w:pPr>
              <w:spacing w:after="0" w:line="240" w:lineRule="auto"/>
              <w:jc w:val="right"/>
              <w:rPr>
                <w:rFonts w:eastAsia="Times New Roman" w:cs="Calibri"/>
                <w:lang w:val="en-GB" w:eastAsia="en-GB"/>
              </w:rPr>
            </w:pPr>
            <w:r>
              <w:rPr>
                <w:rFonts w:ascii="Arial Narrow" w:hAnsi="Arial Narrow" w:cs="Calibri"/>
              </w:rPr>
              <w:t>82.2</w:t>
            </w:r>
          </w:p>
        </w:tc>
        <w:tc>
          <w:tcPr>
            <w:tcW w:w="796" w:type="dxa"/>
            <w:tcBorders>
              <w:top w:val="single" w:sz="4" w:space="0" w:color="BFBFBF"/>
              <w:left w:val="nil"/>
              <w:bottom w:val="single" w:sz="4" w:space="0" w:color="BFBFBF"/>
              <w:right w:val="nil"/>
            </w:tcBorders>
            <w:shd w:val="clear" w:color="auto" w:fill="auto"/>
            <w:noWrap/>
            <w:vAlign w:val="bottom"/>
            <w:hideMark/>
          </w:tcPr>
          <w:p w14:paraId="0C2EAA4E" w14:textId="0722D536" w:rsidR="009A3D69" w:rsidRPr="009113BD" w:rsidRDefault="009A3D69" w:rsidP="009A3D69">
            <w:pPr>
              <w:spacing w:after="0" w:line="240" w:lineRule="auto"/>
              <w:jc w:val="right"/>
              <w:rPr>
                <w:rFonts w:eastAsia="Times New Roman" w:cs="Calibri"/>
                <w:lang w:val="en-GB" w:eastAsia="en-GB"/>
              </w:rPr>
            </w:pPr>
            <w:r>
              <w:rPr>
                <w:rFonts w:ascii="Arial Narrow" w:hAnsi="Arial Narrow" w:cs="Calibri"/>
              </w:rPr>
              <w:t>+0.9%</w:t>
            </w:r>
          </w:p>
        </w:tc>
        <w:tc>
          <w:tcPr>
            <w:tcW w:w="1066" w:type="dxa"/>
            <w:tcBorders>
              <w:top w:val="single" w:sz="4" w:space="0" w:color="BFBFBF"/>
              <w:left w:val="nil"/>
              <w:bottom w:val="single" w:sz="4" w:space="0" w:color="BFBFBF"/>
              <w:right w:val="nil"/>
            </w:tcBorders>
            <w:shd w:val="clear" w:color="000000" w:fill="FFFFFF"/>
            <w:noWrap/>
            <w:vAlign w:val="bottom"/>
            <w:hideMark/>
          </w:tcPr>
          <w:p w14:paraId="75481EFE" w14:textId="44D600D4" w:rsidR="009A3D69" w:rsidRPr="009113BD" w:rsidRDefault="009A3D69" w:rsidP="009A3D69">
            <w:pPr>
              <w:spacing w:after="0" w:line="240" w:lineRule="auto"/>
              <w:jc w:val="right"/>
              <w:rPr>
                <w:rFonts w:eastAsia="Times New Roman" w:cs="Calibri"/>
                <w:lang w:val="en-GB" w:eastAsia="en-GB"/>
              </w:rPr>
            </w:pPr>
            <w:r>
              <w:rPr>
                <w:rFonts w:ascii="Arial Narrow" w:hAnsi="Arial Narrow" w:cs="Calibri"/>
              </w:rPr>
              <w:t>(2.2)%</w:t>
            </w:r>
          </w:p>
        </w:tc>
      </w:tr>
      <w:tr w:rsidR="009A3D69" w:rsidRPr="009113BD" w14:paraId="14FB19BF" w14:textId="77777777" w:rsidTr="00567031">
        <w:trPr>
          <w:trHeight w:val="227"/>
          <w:jc w:val="center"/>
        </w:trPr>
        <w:tc>
          <w:tcPr>
            <w:tcW w:w="2177" w:type="dxa"/>
            <w:tcBorders>
              <w:top w:val="nil"/>
              <w:left w:val="nil"/>
              <w:bottom w:val="single" w:sz="4" w:space="0" w:color="BFBFBF"/>
              <w:right w:val="nil"/>
            </w:tcBorders>
            <w:shd w:val="clear" w:color="auto" w:fill="auto"/>
            <w:noWrap/>
            <w:vAlign w:val="center"/>
            <w:hideMark/>
          </w:tcPr>
          <w:p w14:paraId="428D2936" w14:textId="77777777" w:rsidR="009A3D69" w:rsidRPr="009113BD" w:rsidRDefault="009A3D69" w:rsidP="009A3D69">
            <w:pPr>
              <w:spacing w:after="0" w:line="240" w:lineRule="auto"/>
              <w:jc w:val="left"/>
              <w:rPr>
                <w:rFonts w:eastAsia="Times New Roman" w:cs="Calibri"/>
                <w:lang w:val="en-GB" w:eastAsia="en-GB"/>
              </w:rPr>
            </w:pPr>
            <w:r w:rsidRPr="009113BD">
              <w:rPr>
                <w:rFonts w:eastAsia="Times New Roman" w:cs="Calibri"/>
                <w:lang w:val="en-GB" w:eastAsia="en-GB"/>
              </w:rPr>
              <w:t>Western Europe</w:t>
            </w:r>
          </w:p>
        </w:tc>
        <w:tc>
          <w:tcPr>
            <w:tcW w:w="968" w:type="dxa"/>
            <w:tcBorders>
              <w:top w:val="nil"/>
              <w:left w:val="nil"/>
              <w:bottom w:val="single" w:sz="4" w:space="0" w:color="BFBFBF"/>
              <w:right w:val="nil"/>
            </w:tcBorders>
            <w:shd w:val="clear" w:color="000000" w:fill="F2F2F2"/>
            <w:noWrap/>
            <w:vAlign w:val="bottom"/>
            <w:hideMark/>
          </w:tcPr>
          <w:p w14:paraId="3C72D628" w14:textId="6EF676D4" w:rsidR="009A3D69" w:rsidRPr="009113BD" w:rsidRDefault="009A3D69" w:rsidP="009A3D69">
            <w:pPr>
              <w:spacing w:after="0" w:line="240" w:lineRule="auto"/>
              <w:jc w:val="right"/>
              <w:rPr>
                <w:rFonts w:eastAsia="Times New Roman" w:cs="Calibri"/>
                <w:lang w:val="en-GB" w:eastAsia="en-GB"/>
              </w:rPr>
            </w:pPr>
            <w:r>
              <w:rPr>
                <w:rFonts w:ascii="Arial Narrow" w:hAnsi="Arial Narrow" w:cs="Calibri"/>
              </w:rPr>
              <w:t>71.8</w:t>
            </w:r>
          </w:p>
        </w:tc>
        <w:tc>
          <w:tcPr>
            <w:tcW w:w="956" w:type="dxa"/>
            <w:tcBorders>
              <w:top w:val="nil"/>
              <w:left w:val="nil"/>
              <w:bottom w:val="nil"/>
              <w:right w:val="nil"/>
            </w:tcBorders>
            <w:shd w:val="clear" w:color="000000" w:fill="D1F0F1"/>
            <w:noWrap/>
            <w:vAlign w:val="bottom"/>
            <w:hideMark/>
          </w:tcPr>
          <w:p w14:paraId="1C8E98B2" w14:textId="39C24082" w:rsidR="009A3D69" w:rsidRPr="009113BD" w:rsidRDefault="009A3D69" w:rsidP="009A3D69">
            <w:pPr>
              <w:spacing w:after="0" w:line="240" w:lineRule="auto"/>
              <w:jc w:val="right"/>
              <w:rPr>
                <w:rFonts w:eastAsia="Times New Roman" w:cs="Calibri"/>
                <w:lang w:val="en-GB" w:eastAsia="en-GB"/>
              </w:rPr>
            </w:pPr>
            <w:r>
              <w:rPr>
                <w:rFonts w:ascii="Arial Narrow" w:hAnsi="Arial Narrow" w:cs="Calibri"/>
              </w:rPr>
              <w:t>75.5</w:t>
            </w:r>
          </w:p>
        </w:tc>
        <w:tc>
          <w:tcPr>
            <w:tcW w:w="796" w:type="dxa"/>
            <w:tcBorders>
              <w:top w:val="nil"/>
              <w:left w:val="nil"/>
              <w:bottom w:val="single" w:sz="4" w:space="0" w:color="BFBFBF"/>
              <w:right w:val="nil"/>
            </w:tcBorders>
            <w:shd w:val="clear" w:color="000000" w:fill="FFFFFF"/>
            <w:noWrap/>
            <w:vAlign w:val="bottom"/>
            <w:hideMark/>
          </w:tcPr>
          <w:p w14:paraId="2584A82D" w14:textId="25FC50CA" w:rsidR="009A3D69" w:rsidRPr="009113BD" w:rsidRDefault="009A3D69" w:rsidP="009A3D69">
            <w:pPr>
              <w:spacing w:after="0" w:line="240" w:lineRule="auto"/>
              <w:jc w:val="right"/>
              <w:rPr>
                <w:rFonts w:eastAsia="Times New Roman" w:cs="Calibri"/>
                <w:lang w:val="en-GB" w:eastAsia="en-GB"/>
              </w:rPr>
            </w:pPr>
            <w:r>
              <w:rPr>
                <w:rFonts w:ascii="Arial Narrow" w:hAnsi="Arial Narrow" w:cs="Calibri"/>
              </w:rPr>
              <w:t>+5.1%</w:t>
            </w:r>
          </w:p>
        </w:tc>
        <w:tc>
          <w:tcPr>
            <w:tcW w:w="1066" w:type="dxa"/>
            <w:tcBorders>
              <w:top w:val="nil"/>
              <w:left w:val="nil"/>
              <w:bottom w:val="single" w:sz="4" w:space="0" w:color="BFBFBF"/>
              <w:right w:val="nil"/>
            </w:tcBorders>
            <w:shd w:val="clear" w:color="000000" w:fill="FFFFFF"/>
            <w:noWrap/>
            <w:vAlign w:val="bottom"/>
            <w:hideMark/>
          </w:tcPr>
          <w:p w14:paraId="6D349312" w14:textId="28B5A434" w:rsidR="009A3D69" w:rsidRPr="009113BD" w:rsidRDefault="009A3D69" w:rsidP="009A3D69">
            <w:pPr>
              <w:spacing w:after="0" w:line="240" w:lineRule="auto"/>
              <w:jc w:val="right"/>
              <w:rPr>
                <w:rFonts w:eastAsia="Times New Roman" w:cs="Calibri"/>
                <w:lang w:val="en-GB" w:eastAsia="en-GB"/>
              </w:rPr>
            </w:pPr>
            <w:r>
              <w:rPr>
                <w:rFonts w:ascii="Arial Narrow" w:hAnsi="Arial Narrow" w:cs="Calibri"/>
              </w:rPr>
              <w:t>+5.5%</w:t>
            </w:r>
          </w:p>
        </w:tc>
      </w:tr>
      <w:tr w:rsidR="009A3D69" w:rsidRPr="009113BD" w14:paraId="3374368D" w14:textId="77777777" w:rsidTr="00567031">
        <w:trPr>
          <w:trHeight w:val="227"/>
          <w:jc w:val="center"/>
        </w:trPr>
        <w:tc>
          <w:tcPr>
            <w:tcW w:w="2177" w:type="dxa"/>
            <w:tcBorders>
              <w:top w:val="nil"/>
              <w:left w:val="nil"/>
              <w:bottom w:val="single" w:sz="4" w:space="0" w:color="BFBFBF"/>
              <w:right w:val="nil"/>
            </w:tcBorders>
            <w:shd w:val="clear" w:color="auto" w:fill="auto"/>
            <w:noWrap/>
            <w:vAlign w:val="center"/>
            <w:hideMark/>
          </w:tcPr>
          <w:p w14:paraId="00175FC6" w14:textId="77777777" w:rsidR="009A3D69" w:rsidRPr="009113BD" w:rsidRDefault="009A3D69" w:rsidP="009A3D69">
            <w:pPr>
              <w:spacing w:after="0" w:line="240" w:lineRule="auto"/>
              <w:jc w:val="left"/>
              <w:rPr>
                <w:rFonts w:eastAsia="Times New Roman" w:cs="Calibri"/>
                <w:lang w:val="en-GB" w:eastAsia="en-GB"/>
              </w:rPr>
            </w:pPr>
            <w:r w:rsidRPr="009113BD">
              <w:rPr>
                <w:rFonts w:eastAsia="Times New Roman" w:cs="Calibri"/>
                <w:lang w:val="en-GB" w:eastAsia="en-GB"/>
              </w:rPr>
              <w:t>Central &amp; Eastern Europe</w:t>
            </w:r>
          </w:p>
        </w:tc>
        <w:tc>
          <w:tcPr>
            <w:tcW w:w="968" w:type="dxa"/>
            <w:tcBorders>
              <w:top w:val="nil"/>
              <w:left w:val="nil"/>
              <w:bottom w:val="single" w:sz="4" w:space="0" w:color="BFBFBF"/>
              <w:right w:val="nil"/>
            </w:tcBorders>
            <w:shd w:val="clear" w:color="000000" w:fill="F2F2F2"/>
            <w:noWrap/>
            <w:vAlign w:val="bottom"/>
            <w:hideMark/>
          </w:tcPr>
          <w:p w14:paraId="1BC1E8ED" w14:textId="452DAD5D" w:rsidR="009A3D69" w:rsidRPr="009113BD" w:rsidRDefault="009A3D69" w:rsidP="009A3D69">
            <w:pPr>
              <w:spacing w:after="0" w:line="240" w:lineRule="auto"/>
              <w:jc w:val="right"/>
              <w:rPr>
                <w:rFonts w:eastAsia="Times New Roman" w:cs="Calibri"/>
                <w:lang w:val="en-GB" w:eastAsia="en-GB"/>
              </w:rPr>
            </w:pPr>
            <w:r>
              <w:rPr>
                <w:rFonts w:ascii="Arial Narrow" w:hAnsi="Arial Narrow" w:cs="Calibri"/>
              </w:rPr>
              <w:t>37.6</w:t>
            </w:r>
          </w:p>
        </w:tc>
        <w:tc>
          <w:tcPr>
            <w:tcW w:w="956" w:type="dxa"/>
            <w:tcBorders>
              <w:top w:val="single" w:sz="4" w:space="0" w:color="BFBFBF"/>
              <w:left w:val="nil"/>
              <w:bottom w:val="single" w:sz="4" w:space="0" w:color="BFBFBF"/>
              <w:right w:val="nil"/>
            </w:tcBorders>
            <w:shd w:val="clear" w:color="000000" w:fill="D1F0F1"/>
            <w:noWrap/>
            <w:vAlign w:val="bottom"/>
            <w:hideMark/>
          </w:tcPr>
          <w:p w14:paraId="79119633" w14:textId="0A23679C" w:rsidR="009A3D69" w:rsidRPr="009113BD" w:rsidRDefault="009A3D69" w:rsidP="009A3D69">
            <w:pPr>
              <w:spacing w:after="0" w:line="240" w:lineRule="auto"/>
              <w:jc w:val="right"/>
              <w:rPr>
                <w:rFonts w:eastAsia="Times New Roman" w:cs="Calibri"/>
                <w:lang w:val="en-GB" w:eastAsia="en-GB"/>
              </w:rPr>
            </w:pPr>
            <w:r>
              <w:rPr>
                <w:rFonts w:ascii="Arial Narrow" w:hAnsi="Arial Narrow" w:cs="Calibri"/>
              </w:rPr>
              <w:t>36.6</w:t>
            </w:r>
          </w:p>
        </w:tc>
        <w:tc>
          <w:tcPr>
            <w:tcW w:w="796" w:type="dxa"/>
            <w:tcBorders>
              <w:top w:val="nil"/>
              <w:left w:val="nil"/>
              <w:bottom w:val="single" w:sz="4" w:space="0" w:color="BFBFBF"/>
              <w:right w:val="nil"/>
            </w:tcBorders>
            <w:shd w:val="clear" w:color="000000" w:fill="FFFFFF"/>
            <w:noWrap/>
            <w:vAlign w:val="bottom"/>
            <w:hideMark/>
          </w:tcPr>
          <w:p w14:paraId="32BC22A8" w14:textId="6A933F11" w:rsidR="009A3D69" w:rsidRPr="009113BD" w:rsidRDefault="009A3D69" w:rsidP="009A3D69">
            <w:pPr>
              <w:spacing w:after="0" w:line="240" w:lineRule="auto"/>
              <w:jc w:val="right"/>
              <w:rPr>
                <w:rFonts w:eastAsia="Times New Roman" w:cs="Calibri"/>
                <w:lang w:val="en-GB" w:eastAsia="en-GB"/>
              </w:rPr>
            </w:pPr>
            <w:r>
              <w:rPr>
                <w:rFonts w:ascii="Arial Narrow" w:hAnsi="Arial Narrow" w:cs="Calibri"/>
              </w:rPr>
              <w:t>(2.7)%</w:t>
            </w:r>
          </w:p>
        </w:tc>
        <w:tc>
          <w:tcPr>
            <w:tcW w:w="1066" w:type="dxa"/>
            <w:tcBorders>
              <w:top w:val="nil"/>
              <w:left w:val="nil"/>
              <w:bottom w:val="single" w:sz="4" w:space="0" w:color="BFBFBF"/>
              <w:right w:val="nil"/>
            </w:tcBorders>
            <w:shd w:val="clear" w:color="000000" w:fill="FFFFFF"/>
            <w:noWrap/>
            <w:vAlign w:val="bottom"/>
            <w:hideMark/>
          </w:tcPr>
          <w:p w14:paraId="768A51E2" w14:textId="1F4774D7" w:rsidR="009A3D69" w:rsidRPr="009113BD" w:rsidRDefault="009A3D69" w:rsidP="009A3D69">
            <w:pPr>
              <w:spacing w:after="0" w:line="240" w:lineRule="auto"/>
              <w:jc w:val="right"/>
              <w:rPr>
                <w:rFonts w:eastAsia="Times New Roman" w:cs="Calibri"/>
                <w:lang w:val="en-GB" w:eastAsia="en-GB"/>
              </w:rPr>
            </w:pPr>
            <w:r>
              <w:rPr>
                <w:rFonts w:ascii="Arial Narrow" w:hAnsi="Arial Narrow" w:cs="Calibri"/>
              </w:rPr>
              <w:t>+1.0%</w:t>
            </w:r>
          </w:p>
        </w:tc>
      </w:tr>
      <w:tr w:rsidR="009A3D69" w:rsidRPr="009113BD" w14:paraId="4882C7C8" w14:textId="77777777" w:rsidTr="00567031">
        <w:trPr>
          <w:trHeight w:val="227"/>
          <w:jc w:val="center"/>
        </w:trPr>
        <w:tc>
          <w:tcPr>
            <w:tcW w:w="2177" w:type="dxa"/>
            <w:tcBorders>
              <w:top w:val="nil"/>
              <w:left w:val="nil"/>
              <w:bottom w:val="single" w:sz="4" w:space="0" w:color="BFBFBF"/>
              <w:right w:val="nil"/>
            </w:tcBorders>
            <w:shd w:val="clear" w:color="auto" w:fill="auto"/>
            <w:noWrap/>
            <w:vAlign w:val="center"/>
            <w:hideMark/>
          </w:tcPr>
          <w:p w14:paraId="0C5D84FC" w14:textId="77777777" w:rsidR="009A3D69" w:rsidRPr="009113BD" w:rsidRDefault="009A3D69" w:rsidP="009A3D69">
            <w:pPr>
              <w:spacing w:after="0" w:line="240" w:lineRule="auto"/>
              <w:jc w:val="left"/>
              <w:rPr>
                <w:rFonts w:eastAsia="Times New Roman" w:cs="Calibri"/>
                <w:lang w:val="en-GB" w:eastAsia="en-GB"/>
              </w:rPr>
            </w:pPr>
            <w:r w:rsidRPr="009113BD">
              <w:rPr>
                <w:rFonts w:eastAsia="Times New Roman" w:cs="Calibri"/>
                <w:lang w:val="en-GB" w:eastAsia="en-GB"/>
              </w:rPr>
              <w:t>Mediterranean &amp; Africa</w:t>
            </w:r>
          </w:p>
        </w:tc>
        <w:tc>
          <w:tcPr>
            <w:tcW w:w="968" w:type="dxa"/>
            <w:tcBorders>
              <w:top w:val="nil"/>
              <w:left w:val="nil"/>
              <w:bottom w:val="single" w:sz="4" w:space="0" w:color="BFBFBF"/>
              <w:right w:val="nil"/>
            </w:tcBorders>
            <w:shd w:val="clear" w:color="000000" w:fill="F2F2F2"/>
            <w:noWrap/>
            <w:vAlign w:val="bottom"/>
            <w:hideMark/>
          </w:tcPr>
          <w:p w14:paraId="7AC36F24" w14:textId="46D105E3" w:rsidR="009A3D69" w:rsidRPr="009113BD" w:rsidRDefault="009A3D69" w:rsidP="009A3D69">
            <w:pPr>
              <w:spacing w:after="0" w:line="240" w:lineRule="auto"/>
              <w:jc w:val="right"/>
              <w:rPr>
                <w:rFonts w:eastAsia="Times New Roman" w:cs="Calibri"/>
                <w:lang w:val="en-GB" w:eastAsia="en-GB"/>
              </w:rPr>
            </w:pPr>
            <w:r>
              <w:rPr>
                <w:rFonts w:ascii="Arial Narrow" w:hAnsi="Arial Narrow" w:cs="Calibri"/>
              </w:rPr>
              <w:t>102.1</w:t>
            </w:r>
          </w:p>
        </w:tc>
        <w:tc>
          <w:tcPr>
            <w:tcW w:w="956" w:type="dxa"/>
            <w:tcBorders>
              <w:top w:val="nil"/>
              <w:left w:val="nil"/>
              <w:bottom w:val="nil"/>
              <w:right w:val="nil"/>
            </w:tcBorders>
            <w:shd w:val="clear" w:color="000000" w:fill="D1F0F1"/>
            <w:noWrap/>
            <w:vAlign w:val="bottom"/>
            <w:hideMark/>
          </w:tcPr>
          <w:p w14:paraId="368BAFBD" w14:textId="15685A71" w:rsidR="009A3D69" w:rsidRPr="009113BD" w:rsidRDefault="009A3D69" w:rsidP="009A3D69">
            <w:pPr>
              <w:spacing w:after="0" w:line="240" w:lineRule="auto"/>
              <w:jc w:val="right"/>
              <w:rPr>
                <w:rFonts w:eastAsia="Times New Roman" w:cs="Calibri"/>
                <w:lang w:val="en-GB" w:eastAsia="en-GB"/>
              </w:rPr>
            </w:pPr>
            <w:r>
              <w:rPr>
                <w:rFonts w:ascii="Arial Narrow" w:hAnsi="Arial Narrow" w:cs="Calibri"/>
              </w:rPr>
              <w:t>106.5</w:t>
            </w:r>
          </w:p>
        </w:tc>
        <w:tc>
          <w:tcPr>
            <w:tcW w:w="796" w:type="dxa"/>
            <w:tcBorders>
              <w:top w:val="nil"/>
              <w:left w:val="nil"/>
              <w:bottom w:val="single" w:sz="4" w:space="0" w:color="BFBFBF"/>
              <w:right w:val="nil"/>
            </w:tcBorders>
            <w:shd w:val="clear" w:color="000000" w:fill="FFFFFF"/>
            <w:noWrap/>
            <w:vAlign w:val="bottom"/>
            <w:hideMark/>
          </w:tcPr>
          <w:p w14:paraId="27E1C2A6" w14:textId="02EEE377" w:rsidR="009A3D69" w:rsidRPr="009113BD" w:rsidRDefault="009A3D69" w:rsidP="009A3D69">
            <w:pPr>
              <w:spacing w:after="0" w:line="240" w:lineRule="auto"/>
              <w:jc w:val="right"/>
              <w:rPr>
                <w:rFonts w:eastAsia="Times New Roman" w:cs="Calibri"/>
                <w:lang w:val="en-GB" w:eastAsia="en-GB"/>
              </w:rPr>
            </w:pPr>
            <w:r>
              <w:rPr>
                <w:rFonts w:ascii="Arial Narrow" w:hAnsi="Arial Narrow" w:cs="Calibri"/>
              </w:rPr>
              <w:t>+4.3%</w:t>
            </w:r>
          </w:p>
        </w:tc>
        <w:tc>
          <w:tcPr>
            <w:tcW w:w="1066" w:type="dxa"/>
            <w:tcBorders>
              <w:top w:val="nil"/>
              <w:left w:val="nil"/>
              <w:bottom w:val="single" w:sz="4" w:space="0" w:color="BFBFBF"/>
              <w:right w:val="nil"/>
            </w:tcBorders>
            <w:shd w:val="clear" w:color="000000" w:fill="FFFFFF"/>
            <w:noWrap/>
            <w:vAlign w:val="bottom"/>
            <w:hideMark/>
          </w:tcPr>
          <w:p w14:paraId="1AF51DBE" w14:textId="071AA2F9" w:rsidR="009A3D69" w:rsidRPr="009113BD" w:rsidRDefault="009A3D69" w:rsidP="009A3D69">
            <w:pPr>
              <w:spacing w:after="0" w:line="240" w:lineRule="auto"/>
              <w:jc w:val="right"/>
              <w:rPr>
                <w:rFonts w:eastAsia="Times New Roman" w:cs="Calibri"/>
                <w:lang w:val="en-GB" w:eastAsia="en-GB"/>
              </w:rPr>
            </w:pPr>
            <w:r>
              <w:rPr>
                <w:rFonts w:ascii="Arial Narrow" w:hAnsi="Arial Narrow" w:cs="Calibri"/>
              </w:rPr>
              <w:t>+6.1%</w:t>
            </w:r>
          </w:p>
        </w:tc>
      </w:tr>
      <w:tr w:rsidR="009A3D69" w:rsidRPr="009113BD" w14:paraId="0F55E770" w14:textId="77777777" w:rsidTr="00567031">
        <w:trPr>
          <w:trHeight w:val="227"/>
          <w:jc w:val="center"/>
        </w:trPr>
        <w:tc>
          <w:tcPr>
            <w:tcW w:w="2177" w:type="dxa"/>
            <w:tcBorders>
              <w:top w:val="nil"/>
              <w:left w:val="nil"/>
              <w:bottom w:val="single" w:sz="4" w:space="0" w:color="BFBFBF"/>
              <w:right w:val="nil"/>
            </w:tcBorders>
            <w:shd w:val="clear" w:color="auto" w:fill="auto"/>
            <w:noWrap/>
            <w:vAlign w:val="center"/>
            <w:hideMark/>
          </w:tcPr>
          <w:p w14:paraId="5C37219D" w14:textId="77777777" w:rsidR="009A3D69" w:rsidRPr="009113BD" w:rsidRDefault="009A3D69" w:rsidP="009A3D69">
            <w:pPr>
              <w:spacing w:after="0" w:line="240" w:lineRule="auto"/>
              <w:jc w:val="left"/>
              <w:rPr>
                <w:rFonts w:eastAsia="Times New Roman" w:cs="Calibri"/>
                <w:lang w:val="en-GB" w:eastAsia="en-GB"/>
              </w:rPr>
            </w:pPr>
            <w:r w:rsidRPr="009113BD">
              <w:rPr>
                <w:rFonts w:eastAsia="Times New Roman" w:cs="Calibri"/>
                <w:lang w:val="en-GB" w:eastAsia="en-GB"/>
              </w:rPr>
              <w:t>North America</w:t>
            </w:r>
          </w:p>
        </w:tc>
        <w:tc>
          <w:tcPr>
            <w:tcW w:w="968" w:type="dxa"/>
            <w:tcBorders>
              <w:top w:val="nil"/>
              <w:left w:val="nil"/>
              <w:bottom w:val="single" w:sz="4" w:space="0" w:color="BFBFBF"/>
              <w:right w:val="nil"/>
            </w:tcBorders>
            <w:shd w:val="clear" w:color="000000" w:fill="F2F2F2"/>
            <w:noWrap/>
            <w:vAlign w:val="bottom"/>
            <w:hideMark/>
          </w:tcPr>
          <w:p w14:paraId="4A117BB2" w14:textId="5D316F9B" w:rsidR="009A3D69" w:rsidRPr="009113BD" w:rsidRDefault="009A3D69" w:rsidP="009A3D69">
            <w:pPr>
              <w:spacing w:after="0" w:line="240" w:lineRule="auto"/>
              <w:jc w:val="right"/>
              <w:rPr>
                <w:rFonts w:eastAsia="Times New Roman" w:cs="Calibri"/>
                <w:lang w:val="en-GB" w:eastAsia="en-GB"/>
              </w:rPr>
            </w:pPr>
            <w:r>
              <w:rPr>
                <w:rFonts w:ascii="Arial Narrow" w:hAnsi="Arial Narrow" w:cs="Calibri"/>
              </w:rPr>
              <w:t>34.7</w:t>
            </w:r>
          </w:p>
        </w:tc>
        <w:tc>
          <w:tcPr>
            <w:tcW w:w="956" w:type="dxa"/>
            <w:tcBorders>
              <w:top w:val="single" w:sz="4" w:space="0" w:color="BFBFBF"/>
              <w:left w:val="nil"/>
              <w:bottom w:val="single" w:sz="4" w:space="0" w:color="BFBFBF"/>
              <w:right w:val="nil"/>
            </w:tcBorders>
            <w:shd w:val="clear" w:color="000000" w:fill="D1F0F1"/>
            <w:noWrap/>
            <w:vAlign w:val="bottom"/>
            <w:hideMark/>
          </w:tcPr>
          <w:p w14:paraId="1BC33894" w14:textId="50B78E25" w:rsidR="009A3D69" w:rsidRPr="009113BD" w:rsidRDefault="009A3D69" w:rsidP="009A3D69">
            <w:pPr>
              <w:spacing w:after="0" w:line="240" w:lineRule="auto"/>
              <w:jc w:val="right"/>
              <w:rPr>
                <w:rFonts w:eastAsia="Times New Roman" w:cs="Calibri"/>
                <w:lang w:val="en-GB" w:eastAsia="en-GB"/>
              </w:rPr>
            </w:pPr>
            <w:r>
              <w:rPr>
                <w:rFonts w:ascii="Arial Narrow" w:hAnsi="Arial Narrow" w:cs="Calibri"/>
              </w:rPr>
              <w:t>32.7</w:t>
            </w:r>
          </w:p>
        </w:tc>
        <w:tc>
          <w:tcPr>
            <w:tcW w:w="796" w:type="dxa"/>
            <w:tcBorders>
              <w:top w:val="nil"/>
              <w:left w:val="nil"/>
              <w:bottom w:val="single" w:sz="4" w:space="0" w:color="BFBFBF"/>
              <w:right w:val="nil"/>
            </w:tcBorders>
            <w:shd w:val="clear" w:color="000000" w:fill="FFFFFF"/>
            <w:noWrap/>
            <w:vAlign w:val="bottom"/>
            <w:hideMark/>
          </w:tcPr>
          <w:p w14:paraId="2B5E423C" w14:textId="04CF65CF" w:rsidR="009A3D69" w:rsidRPr="009113BD" w:rsidRDefault="009A3D69" w:rsidP="009A3D69">
            <w:pPr>
              <w:spacing w:after="0" w:line="240" w:lineRule="auto"/>
              <w:jc w:val="right"/>
              <w:rPr>
                <w:rFonts w:eastAsia="Times New Roman" w:cs="Calibri"/>
                <w:lang w:val="en-GB" w:eastAsia="en-GB"/>
              </w:rPr>
            </w:pPr>
            <w:r>
              <w:rPr>
                <w:rFonts w:ascii="Arial Narrow" w:hAnsi="Arial Narrow" w:cs="Calibri"/>
              </w:rPr>
              <w:t>(5.7)%</w:t>
            </w:r>
          </w:p>
        </w:tc>
        <w:tc>
          <w:tcPr>
            <w:tcW w:w="1066" w:type="dxa"/>
            <w:tcBorders>
              <w:top w:val="nil"/>
              <w:left w:val="nil"/>
              <w:bottom w:val="single" w:sz="4" w:space="0" w:color="BFBFBF"/>
              <w:right w:val="nil"/>
            </w:tcBorders>
            <w:shd w:val="clear" w:color="000000" w:fill="FFFFFF"/>
            <w:noWrap/>
            <w:vAlign w:val="bottom"/>
            <w:hideMark/>
          </w:tcPr>
          <w:p w14:paraId="5A1FC1AD" w14:textId="38411231" w:rsidR="009A3D69" w:rsidRPr="009113BD" w:rsidRDefault="009A3D69" w:rsidP="009A3D69">
            <w:pPr>
              <w:spacing w:after="0" w:line="240" w:lineRule="auto"/>
              <w:jc w:val="right"/>
              <w:rPr>
                <w:rFonts w:eastAsia="Times New Roman" w:cs="Calibri"/>
                <w:lang w:val="en-GB" w:eastAsia="en-GB"/>
              </w:rPr>
            </w:pPr>
            <w:r>
              <w:rPr>
                <w:rFonts w:ascii="Arial Narrow" w:hAnsi="Arial Narrow" w:cs="Calibri"/>
              </w:rPr>
              <w:t>+2.2%</w:t>
            </w:r>
          </w:p>
        </w:tc>
      </w:tr>
      <w:tr w:rsidR="009A3D69" w:rsidRPr="009113BD" w14:paraId="0BFF1C5D" w14:textId="77777777" w:rsidTr="00567031">
        <w:trPr>
          <w:trHeight w:val="227"/>
          <w:jc w:val="center"/>
        </w:trPr>
        <w:tc>
          <w:tcPr>
            <w:tcW w:w="2177" w:type="dxa"/>
            <w:tcBorders>
              <w:top w:val="nil"/>
              <w:left w:val="nil"/>
              <w:bottom w:val="single" w:sz="4" w:space="0" w:color="BFBFBF"/>
              <w:right w:val="nil"/>
            </w:tcBorders>
            <w:shd w:val="clear" w:color="auto" w:fill="auto"/>
            <w:noWrap/>
            <w:vAlign w:val="center"/>
            <w:hideMark/>
          </w:tcPr>
          <w:p w14:paraId="6D9C6224" w14:textId="77777777" w:rsidR="009A3D69" w:rsidRPr="009113BD" w:rsidRDefault="009A3D69" w:rsidP="009A3D69">
            <w:pPr>
              <w:spacing w:after="0" w:line="240" w:lineRule="auto"/>
              <w:jc w:val="left"/>
              <w:rPr>
                <w:rFonts w:eastAsia="Times New Roman" w:cs="Calibri"/>
                <w:lang w:val="en-GB" w:eastAsia="en-GB"/>
              </w:rPr>
            </w:pPr>
            <w:r w:rsidRPr="009113BD">
              <w:rPr>
                <w:rFonts w:eastAsia="Times New Roman" w:cs="Calibri"/>
                <w:lang w:val="en-GB" w:eastAsia="en-GB"/>
              </w:rPr>
              <w:t>Latin America</w:t>
            </w:r>
          </w:p>
        </w:tc>
        <w:tc>
          <w:tcPr>
            <w:tcW w:w="968" w:type="dxa"/>
            <w:tcBorders>
              <w:top w:val="nil"/>
              <w:left w:val="nil"/>
              <w:bottom w:val="single" w:sz="4" w:space="0" w:color="BFBFBF"/>
              <w:right w:val="nil"/>
            </w:tcBorders>
            <w:shd w:val="clear" w:color="000000" w:fill="F2F2F2"/>
            <w:noWrap/>
            <w:vAlign w:val="bottom"/>
            <w:hideMark/>
          </w:tcPr>
          <w:p w14:paraId="236DF099" w14:textId="027C420A" w:rsidR="009A3D69" w:rsidRPr="009113BD" w:rsidRDefault="009A3D69" w:rsidP="009A3D69">
            <w:pPr>
              <w:spacing w:after="0" w:line="240" w:lineRule="auto"/>
              <w:jc w:val="right"/>
              <w:rPr>
                <w:rFonts w:eastAsia="Times New Roman" w:cs="Calibri"/>
                <w:lang w:val="en-GB" w:eastAsia="en-GB"/>
              </w:rPr>
            </w:pPr>
            <w:r>
              <w:rPr>
                <w:rFonts w:ascii="Arial Narrow" w:hAnsi="Arial Narrow" w:cs="Calibri"/>
              </w:rPr>
              <w:t>17.0</w:t>
            </w:r>
          </w:p>
        </w:tc>
        <w:tc>
          <w:tcPr>
            <w:tcW w:w="956" w:type="dxa"/>
            <w:tcBorders>
              <w:top w:val="nil"/>
              <w:left w:val="nil"/>
              <w:bottom w:val="nil"/>
              <w:right w:val="nil"/>
            </w:tcBorders>
            <w:shd w:val="clear" w:color="000000" w:fill="D1F0F1"/>
            <w:noWrap/>
            <w:vAlign w:val="bottom"/>
            <w:hideMark/>
          </w:tcPr>
          <w:p w14:paraId="4BB3D840" w14:textId="7743B1CB" w:rsidR="009A3D69" w:rsidRPr="009113BD" w:rsidRDefault="009A3D69" w:rsidP="009A3D69">
            <w:pPr>
              <w:spacing w:after="0" w:line="240" w:lineRule="auto"/>
              <w:jc w:val="right"/>
              <w:rPr>
                <w:rFonts w:eastAsia="Times New Roman" w:cs="Calibri"/>
                <w:lang w:val="en-GB" w:eastAsia="en-GB"/>
              </w:rPr>
            </w:pPr>
            <w:r>
              <w:rPr>
                <w:rFonts w:ascii="Arial Narrow" w:hAnsi="Arial Narrow" w:cs="Calibri"/>
              </w:rPr>
              <w:t>16.0</w:t>
            </w:r>
          </w:p>
        </w:tc>
        <w:tc>
          <w:tcPr>
            <w:tcW w:w="796" w:type="dxa"/>
            <w:tcBorders>
              <w:top w:val="nil"/>
              <w:left w:val="nil"/>
              <w:bottom w:val="single" w:sz="4" w:space="0" w:color="BFBFBF"/>
              <w:right w:val="nil"/>
            </w:tcBorders>
            <w:shd w:val="clear" w:color="000000" w:fill="FFFFFF"/>
            <w:noWrap/>
            <w:vAlign w:val="bottom"/>
            <w:hideMark/>
          </w:tcPr>
          <w:p w14:paraId="4D7BF1B5" w14:textId="11CC6F27" w:rsidR="009A3D69" w:rsidRPr="009113BD" w:rsidRDefault="009A3D69" w:rsidP="009A3D69">
            <w:pPr>
              <w:spacing w:after="0" w:line="240" w:lineRule="auto"/>
              <w:jc w:val="right"/>
              <w:rPr>
                <w:rFonts w:eastAsia="Times New Roman" w:cs="Calibri"/>
                <w:lang w:val="en-GB" w:eastAsia="en-GB"/>
              </w:rPr>
            </w:pPr>
            <w:r>
              <w:rPr>
                <w:rFonts w:ascii="Arial Narrow" w:hAnsi="Arial Narrow" w:cs="Calibri"/>
              </w:rPr>
              <w:t>(5.8)%</w:t>
            </w:r>
          </w:p>
        </w:tc>
        <w:tc>
          <w:tcPr>
            <w:tcW w:w="1066" w:type="dxa"/>
            <w:tcBorders>
              <w:top w:val="nil"/>
              <w:left w:val="nil"/>
              <w:bottom w:val="single" w:sz="4" w:space="0" w:color="BFBFBF"/>
              <w:right w:val="nil"/>
            </w:tcBorders>
            <w:shd w:val="clear" w:color="000000" w:fill="FFFFFF"/>
            <w:noWrap/>
            <w:vAlign w:val="bottom"/>
            <w:hideMark/>
          </w:tcPr>
          <w:p w14:paraId="26F47A28" w14:textId="6BE2DBA0" w:rsidR="009A3D69" w:rsidRPr="009113BD" w:rsidRDefault="009A3D69" w:rsidP="009A3D69">
            <w:pPr>
              <w:spacing w:after="0" w:line="240" w:lineRule="auto"/>
              <w:jc w:val="right"/>
              <w:rPr>
                <w:rFonts w:eastAsia="Times New Roman" w:cs="Calibri"/>
                <w:lang w:val="en-GB" w:eastAsia="en-GB"/>
              </w:rPr>
            </w:pPr>
            <w:r>
              <w:rPr>
                <w:rFonts w:ascii="Arial Narrow" w:hAnsi="Arial Narrow" w:cs="Calibri"/>
              </w:rPr>
              <w:t>+12.5%</w:t>
            </w:r>
          </w:p>
        </w:tc>
      </w:tr>
      <w:tr w:rsidR="009A3D69" w:rsidRPr="009113BD" w14:paraId="795DFEA3" w14:textId="77777777" w:rsidTr="00567031">
        <w:trPr>
          <w:trHeight w:val="227"/>
          <w:jc w:val="center"/>
        </w:trPr>
        <w:tc>
          <w:tcPr>
            <w:tcW w:w="2177" w:type="dxa"/>
            <w:tcBorders>
              <w:top w:val="nil"/>
              <w:left w:val="nil"/>
              <w:bottom w:val="nil"/>
              <w:right w:val="nil"/>
            </w:tcBorders>
            <w:shd w:val="clear" w:color="auto" w:fill="auto"/>
            <w:noWrap/>
            <w:vAlign w:val="center"/>
            <w:hideMark/>
          </w:tcPr>
          <w:p w14:paraId="54EFC85E" w14:textId="77777777" w:rsidR="009A3D69" w:rsidRPr="009113BD" w:rsidRDefault="009A3D69" w:rsidP="009A3D69">
            <w:pPr>
              <w:spacing w:after="0" w:line="240" w:lineRule="auto"/>
              <w:jc w:val="left"/>
              <w:rPr>
                <w:rFonts w:eastAsia="Times New Roman" w:cs="Calibri"/>
                <w:lang w:val="en-GB" w:eastAsia="en-GB"/>
              </w:rPr>
            </w:pPr>
            <w:r w:rsidRPr="009113BD">
              <w:rPr>
                <w:rFonts w:eastAsia="Times New Roman" w:cs="Calibri"/>
                <w:lang w:val="en-GB" w:eastAsia="en-GB"/>
              </w:rPr>
              <w:t>Asia Pacific</w:t>
            </w:r>
          </w:p>
        </w:tc>
        <w:tc>
          <w:tcPr>
            <w:tcW w:w="968" w:type="dxa"/>
            <w:tcBorders>
              <w:top w:val="nil"/>
              <w:left w:val="nil"/>
              <w:bottom w:val="single" w:sz="4" w:space="0" w:color="BFBFBF"/>
              <w:right w:val="nil"/>
            </w:tcBorders>
            <w:shd w:val="clear" w:color="000000" w:fill="F2F2F2"/>
            <w:noWrap/>
            <w:vAlign w:val="bottom"/>
            <w:hideMark/>
          </w:tcPr>
          <w:p w14:paraId="0DE69AEA" w14:textId="18A0948B" w:rsidR="009A3D69" w:rsidRPr="009113BD" w:rsidRDefault="009A3D69" w:rsidP="009A3D69">
            <w:pPr>
              <w:spacing w:after="0" w:line="240" w:lineRule="auto"/>
              <w:jc w:val="right"/>
              <w:rPr>
                <w:rFonts w:eastAsia="Times New Roman" w:cs="Calibri"/>
                <w:lang w:val="en-GB" w:eastAsia="en-GB"/>
              </w:rPr>
            </w:pPr>
            <w:r>
              <w:rPr>
                <w:rFonts w:ascii="Arial Narrow" w:hAnsi="Arial Narrow" w:cs="Calibri"/>
              </w:rPr>
              <w:t>25.7</w:t>
            </w:r>
          </w:p>
        </w:tc>
        <w:tc>
          <w:tcPr>
            <w:tcW w:w="956" w:type="dxa"/>
            <w:tcBorders>
              <w:top w:val="single" w:sz="4" w:space="0" w:color="BFBFBF"/>
              <w:left w:val="nil"/>
              <w:bottom w:val="single" w:sz="4" w:space="0" w:color="BFBFBF"/>
              <w:right w:val="nil"/>
            </w:tcBorders>
            <w:shd w:val="clear" w:color="000000" w:fill="D1F0F1"/>
            <w:noWrap/>
            <w:vAlign w:val="bottom"/>
            <w:hideMark/>
          </w:tcPr>
          <w:p w14:paraId="62D1B189" w14:textId="4337B94C" w:rsidR="009A3D69" w:rsidRPr="009113BD" w:rsidRDefault="009A3D69" w:rsidP="009A3D69">
            <w:pPr>
              <w:spacing w:after="0" w:line="240" w:lineRule="auto"/>
              <w:jc w:val="right"/>
              <w:rPr>
                <w:rFonts w:eastAsia="Times New Roman" w:cs="Calibri"/>
                <w:lang w:val="en-GB" w:eastAsia="en-GB"/>
              </w:rPr>
            </w:pPr>
            <w:r>
              <w:rPr>
                <w:rFonts w:ascii="Arial Narrow" w:hAnsi="Arial Narrow" w:cs="Calibri"/>
              </w:rPr>
              <w:t>28.3</w:t>
            </w:r>
          </w:p>
        </w:tc>
        <w:tc>
          <w:tcPr>
            <w:tcW w:w="796" w:type="dxa"/>
            <w:tcBorders>
              <w:top w:val="nil"/>
              <w:left w:val="nil"/>
              <w:bottom w:val="single" w:sz="4" w:space="0" w:color="BFBFBF"/>
              <w:right w:val="nil"/>
            </w:tcBorders>
            <w:shd w:val="clear" w:color="000000" w:fill="FFFFFF"/>
            <w:noWrap/>
            <w:vAlign w:val="bottom"/>
            <w:hideMark/>
          </w:tcPr>
          <w:p w14:paraId="2194CD42" w14:textId="08DEBF5F" w:rsidR="009A3D69" w:rsidRPr="009113BD" w:rsidRDefault="009A3D69" w:rsidP="009A3D69">
            <w:pPr>
              <w:spacing w:after="0" w:line="240" w:lineRule="auto"/>
              <w:jc w:val="right"/>
              <w:rPr>
                <w:rFonts w:eastAsia="Times New Roman" w:cs="Calibri"/>
                <w:lang w:val="en-GB" w:eastAsia="en-GB"/>
              </w:rPr>
            </w:pPr>
            <w:r>
              <w:rPr>
                <w:rFonts w:ascii="Arial Narrow" w:hAnsi="Arial Narrow" w:cs="Calibri"/>
              </w:rPr>
              <w:t>+10.3%</w:t>
            </w:r>
          </w:p>
        </w:tc>
        <w:tc>
          <w:tcPr>
            <w:tcW w:w="1066" w:type="dxa"/>
            <w:tcBorders>
              <w:top w:val="nil"/>
              <w:left w:val="nil"/>
              <w:bottom w:val="single" w:sz="4" w:space="0" w:color="BFBFBF"/>
              <w:right w:val="nil"/>
            </w:tcBorders>
            <w:shd w:val="clear" w:color="000000" w:fill="FFFFFF"/>
            <w:noWrap/>
            <w:vAlign w:val="bottom"/>
            <w:hideMark/>
          </w:tcPr>
          <w:p w14:paraId="64931373" w14:textId="5F92F79D" w:rsidR="009A3D69" w:rsidRPr="009113BD" w:rsidRDefault="009A3D69" w:rsidP="009A3D69">
            <w:pPr>
              <w:spacing w:after="0" w:line="240" w:lineRule="auto"/>
              <w:jc w:val="right"/>
              <w:rPr>
                <w:rFonts w:eastAsia="Times New Roman" w:cs="Calibri"/>
                <w:lang w:val="en-GB" w:eastAsia="en-GB"/>
              </w:rPr>
            </w:pPr>
            <w:r>
              <w:rPr>
                <w:rFonts w:ascii="Arial Narrow" w:hAnsi="Arial Narrow" w:cs="Calibri"/>
              </w:rPr>
              <w:t>+16.3%</w:t>
            </w:r>
          </w:p>
        </w:tc>
      </w:tr>
      <w:tr w:rsidR="009A3D69" w:rsidRPr="009113BD" w14:paraId="0B282F38" w14:textId="77777777" w:rsidTr="00567031">
        <w:trPr>
          <w:trHeight w:val="255"/>
          <w:jc w:val="center"/>
        </w:trPr>
        <w:tc>
          <w:tcPr>
            <w:tcW w:w="2177" w:type="dxa"/>
            <w:tcBorders>
              <w:top w:val="single" w:sz="4" w:space="0" w:color="18B3B9"/>
              <w:left w:val="nil"/>
              <w:bottom w:val="single" w:sz="8" w:space="0" w:color="18B3B9"/>
              <w:right w:val="nil"/>
            </w:tcBorders>
            <w:shd w:val="clear" w:color="auto" w:fill="auto"/>
            <w:noWrap/>
            <w:vAlign w:val="center"/>
            <w:hideMark/>
          </w:tcPr>
          <w:p w14:paraId="25FEA795" w14:textId="77777777" w:rsidR="009A3D69" w:rsidRPr="009113BD" w:rsidRDefault="009A3D69" w:rsidP="009A3D69">
            <w:pPr>
              <w:spacing w:after="0" w:line="240" w:lineRule="auto"/>
              <w:jc w:val="left"/>
              <w:rPr>
                <w:rFonts w:eastAsia="Times New Roman" w:cs="Calibri"/>
                <w:b/>
                <w:bCs/>
                <w:color w:val="18B3B9"/>
                <w:lang w:val="en-GB" w:eastAsia="en-GB"/>
              </w:rPr>
            </w:pPr>
            <w:r w:rsidRPr="009113BD">
              <w:rPr>
                <w:rFonts w:eastAsia="Times New Roman" w:cs="Calibri"/>
                <w:b/>
                <w:bCs/>
                <w:color w:val="18B3B9"/>
                <w:lang w:val="en-GB" w:eastAsia="en-GB"/>
              </w:rPr>
              <w:t>Total Group</w:t>
            </w:r>
          </w:p>
        </w:tc>
        <w:tc>
          <w:tcPr>
            <w:tcW w:w="968" w:type="dxa"/>
            <w:tcBorders>
              <w:top w:val="single" w:sz="4" w:space="0" w:color="18B3B9"/>
              <w:left w:val="nil"/>
              <w:bottom w:val="single" w:sz="8" w:space="0" w:color="18B3B9"/>
              <w:right w:val="nil"/>
            </w:tcBorders>
            <w:shd w:val="clear" w:color="000000" w:fill="F2F2F2"/>
            <w:noWrap/>
            <w:vAlign w:val="bottom"/>
            <w:hideMark/>
          </w:tcPr>
          <w:p w14:paraId="356FB60D" w14:textId="7CBFBDE9" w:rsidR="009A3D69" w:rsidRPr="009113BD" w:rsidRDefault="009A3D69" w:rsidP="009A3D69">
            <w:pPr>
              <w:spacing w:after="0" w:line="240" w:lineRule="auto"/>
              <w:jc w:val="right"/>
              <w:rPr>
                <w:rFonts w:eastAsia="Times New Roman" w:cs="Calibri"/>
                <w:b/>
                <w:bCs/>
                <w:color w:val="18B3B9"/>
                <w:lang w:val="en-GB" w:eastAsia="en-GB"/>
              </w:rPr>
            </w:pPr>
            <w:r>
              <w:rPr>
                <w:rFonts w:ascii="Arial Narrow" w:hAnsi="Arial Narrow" w:cs="Calibri"/>
                <w:b/>
                <w:bCs/>
                <w:color w:val="18B3B9"/>
              </w:rPr>
              <w:t xml:space="preserve">370.4 </w:t>
            </w:r>
          </w:p>
        </w:tc>
        <w:tc>
          <w:tcPr>
            <w:tcW w:w="956" w:type="dxa"/>
            <w:tcBorders>
              <w:top w:val="single" w:sz="4" w:space="0" w:color="18B3B9"/>
              <w:left w:val="nil"/>
              <w:bottom w:val="single" w:sz="8" w:space="0" w:color="18B3B9"/>
              <w:right w:val="nil"/>
            </w:tcBorders>
            <w:shd w:val="clear" w:color="000000" w:fill="D1F0F1"/>
            <w:noWrap/>
            <w:vAlign w:val="bottom"/>
            <w:hideMark/>
          </w:tcPr>
          <w:p w14:paraId="19A7F009" w14:textId="1E76A5C9" w:rsidR="009A3D69" w:rsidRPr="009113BD" w:rsidRDefault="009A3D69" w:rsidP="009A3D69">
            <w:pPr>
              <w:spacing w:after="0" w:line="240" w:lineRule="auto"/>
              <w:jc w:val="right"/>
              <w:rPr>
                <w:rFonts w:eastAsia="Times New Roman" w:cs="Calibri"/>
                <w:b/>
                <w:bCs/>
                <w:color w:val="18B3B9"/>
                <w:lang w:val="en-GB" w:eastAsia="en-GB"/>
              </w:rPr>
            </w:pPr>
            <w:r>
              <w:rPr>
                <w:rFonts w:ascii="Arial Narrow" w:hAnsi="Arial Narrow" w:cs="Calibri"/>
                <w:b/>
                <w:bCs/>
                <w:color w:val="18B3B9"/>
              </w:rPr>
              <w:t>377.9</w:t>
            </w:r>
          </w:p>
        </w:tc>
        <w:tc>
          <w:tcPr>
            <w:tcW w:w="796" w:type="dxa"/>
            <w:tcBorders>
              <w:top w:val="single" w:sz="4" w:space="0" w:color="18B3B9"/>
              <w:left w:val="nil"/>
              <w:bottom w:val="single" w:sz="8" w:space="0" w:color="18B3B9"/>
              <w:right w:val="nil"/>
            </w:tcBorders>
            <w:shd w:val="clear" w:color="000000" w:fill="FFFFFF"/>
            <w:noWrap/>
            <w:vAlign w:val="bottom"/>
            <w:hideMark/>
          </w:tcPr>
          <w:p w14:paraId="5AB03E8B" w14:textId="339D5871" w:rsidR="009A3D69" w:rsidRPr="009113BD" w:rsidRDefault="009A3D69" w:rsidP="009A3D69">
            <w:pPr>
              <w:spacing w:after="0" w:line="240" w:lineRule="auto"/>
              <w:jc w:val="right"/>
              <w:rPr>
                <w:rFonts w:eastAsia="Times New Roman" w:cs="Calibri"/>
                <w:b/>
                <w:bCs/>
                <w:color w:val="18B3B9"/>
                <w:lang w:val="en-GB" w:eastAsia="en-GB"/>
              </w:rPr>
            </w:pPr>
            <w:r>
              <w:rPr>
                <w:rFonts w:ascii="Arial Narrow" w:hAnsi="Arial Narrow" w:cs="Calibri"/>
                <w:b/>
                <w:bCs/>
                <w:color w:val="18B3B9"/>
              </w:rPr>
              <w:t>+2.0%</w:t>
            </w:r>
          </w:p>
        </w:tc>
        <w:tc>
          <w:tcPr>
            <w:tcW w:w="1066" w:type="dxa"/>
            <w:tcBorders>
              <w:top w:val="single" w:sz="4" w:space="0" w:color="18B3B9"/>
              <w:left w:val="nil"/>
              <w:bottom w:val="single" w:sz="8" w:space="0" w:color="18B3B9"/>
              <w:right w:val="nil"/>
            </w:tcBorders>
            <w:shd w:val="clear" w:color="000000" w:fill="FFFFFF"/>
            <w:noWrap/>
            <w:vAlign w:val="bottom"/>
            <w:hideMark/>
          </w:tcPr>
          <w:p w14:paraId="365C39F5" w14:textId="3794CF20" w:rsidR="009A3D69" w:rsidRPr="009113BD" w:rsidRDefault="009A3D69" w:rsidP="009A3D69">
            <w:pPr>
              <w:spacing w:after="0" w:line="240" w:lineRule="auto"/>
              <w:jc w:val="right"/>
              <w:rPr>
                <w:rFonts w:eastAsia="Times New Roman" w:cs="Calibri"/>
                <w:b/>
                <w:bCs/>
                <w:color w:val="18B3B9"/>
                <w:lang w:val="en-GB" w:eastAsia="en-GB"/>
              </w:rPr>
            </w:pPr>
            <w:r>
              <w:rPr>
                <w:rFonts w:ascii="Arial Narrow" w:hAnsi="Arial Narrow" w:cs="Calibri"/>
                <w:b/>
                <w:bCs/>
                <w:color w:val="18B3B9"/>
              </w:rPr>
              <w:t>+4.2%</w:t>
            </w:r>
          </w:p>
        </w:tc>
      </w:tr>
    </w:tbl>
    <w:p w14:paraId="1FA82833" w14:textId="77777777" w:rsidR="002D46AD" w:rsidRPr="002D46AD" w:rsidRDefault="002D46AD" w:rsidP="002D46AD">
      <w:pPr>
        <w:widowControl w:val="0"/>
        <w:suppressAutoHyphens/>
        <w:spacing w:after="0" w:line="240" w:lineRule="auto"/>
        <w:rPr>
          <w:rFonts w:ascii="Arial Narrow" w:eastAsia="MS Mincho" w:hAnsi="Arial Narrow" w:cs="Arial"/>
          <w:sz w:val="8"/>
          <w:lang w:val="fr-FR" w:eastAsia="fr-FR"/>
        </w:rPr>
      </w:pPr>
    </w:p>
    <w:p w14:paraId="6128349A" w14:textId="77777777" w:rsidR="00C1528F" w:rsidRDefault="00C1528F" w:rsidP="00C1528F">
      <w:pPr>
        <w:suppressAutoHyphens/>
        <w:spacing w:after="120"/>
        <w:rPr>
          <w:rFonts w:ascii="Arial Narrow" w:hAnsi="Arial Narrow"/>
        </w:rPr>
      </w:pPr>
      <w:r>
        <w:rPr>
          <w:rFonts w:ascii="Arial Narrow" w:hAnsi="Arial Narrow"/>
        </w:rPr>
        <w:t xml:space="preserve">In the Northern Europe region, revenues increased by +0.9% at current FX but declined by -2.2% at constant FX. New business increased, but customer activity </w:t>
      </w:r>
      <w:r w:rsidRPr="002003F9">
        <w:rPr>
          <w:rFonts w:ascii="Arial Narrow" w:hAnsi="Arial Narrow"/>
        </w:rPr>
        <w:t>remain</w:t>
      </w:r>
      <w:r>
        <w:rPr>
          <w:rFonts w:ascii="Arial Narrow" w:hAnsi="Arial Narrow"/>
        </w:rPr>
        <w:t>ed</w:t>
      </w:r>
      <w:r w:rsidRPr="002003F9">
        <w:rPr>
          <w:rFonts w:ascii="Arial Narrow" w:hAnsi="Arial Narrow"/>
        </w:rPr>
        <w:t xml:space="preserve"> below expectations</w:t>
      </w:r>
      <w:r>
        <w:rPr>
          <w:rFonts w:ascii="Arial Narrow" w:hAnsi="Arial Narrow"/>
        </w:rPr>
        <w:t xml:space="preserve">. The low loss rate translated to higher premium refunds. Factoring revenues declined </w:t>
      </w:r>
      <w:proofErr w:type="gramStart"/>
      <w:r>
        <w:rPr>
          <w:rFonts w:ascii="Arial Narrow" w:hAnsi="Arial Narrow"/>
        </w:rPr>
        <w:t>as a result</w:t>
      </w:r>
      <w:proofErr w:type="gramEnd"/>
      <w:r>
        <w:rPr>
          <w:rFonts w:ascii="Arial Narrow" w:hAnsi="Arial Narrow"/>
        </w:rPr>
        <w:t xml:space="preserve"> of weak financed volumes.</w:t>
      </w:r>
    </w:p>
    <w:p w14:paraId="5E76EC75" w14:textId="77777777" w:rsidR="00C1528F" w:rsidRPr="00B135F4" w:rsidRDefault="00C1528F" w:rsidP="00C1528F">
      <w:pPr>
        <w:suppressAutoHyphens/>
        <w:spacing w:after="120"/>
        <w:rPr>
          <w:rFonts w:ascii="Arial Narrow" w:hAnsi="Arial Narrow"/>
          <w:lang w:val="en-GB"/>
        </w:rPr>
      </w:pPr>
      <w:r w:rsidRPr="00B135F4">
        <w:rPr>
          <w:rFonts w:ascii="Arial Narrow" w:hAnsi="Arial Narrow"/>
          <w:lang w:val="en-GB"/>
        </w:rPr>
        <w:t>In Western Europe, turnover was up by +5.1% and by +5.5% at constant FX. The portfolio benefited from re-pricing efforts and stabilised customer activity, partially offset by higher premium refunds.</w:t>
      </w:r>
    </w:p>
    <w:p w14:paraId="135A2FA8" w14:textId="77777777" w:rsidR="00C1528F" w:rsidRDefault="00C1528F" w:rsidP="00C1528F">
      <w:pPr>
        <w:suppressAutoHyphens/>
        <w:spacing w:after="120"/>
        <w:rPr>
          <w:rFonts w:ascii="Arial Narrow" w:hAnsi="Arial Narrow"/>
        </w:rPr>
      </w:pPr>
      <w:r>
        <w:rPr>
          <w:rFonts w:ascii="Arial Narrow" w:hAnsi="Arial Narrow"/>
        </w:rPr>
        <w:t>In Central and Eastern Europe, turnover was down -2.7% on a reported basis but up +1.0% at constant FX and perimeter, mainly due to growth in fee and commission income and in service revenues, offset by higher premium refunds.</w:t>
      </w:r>
    </w:p>
    <w:p w14:paraId="05E2E9C5" w14:textId="77777777" w:rsidR="00C1528F" w:rsidRDefault="00C1528F" w:rsidP="00C1528F">
      <w:pPr>
        <w:suppressAutoHyphens/>
        <w:spacing w:after="120"/>
        <w:rPr>
          <w:rFonts w:ascii="Arial Narrow" w:hAnsi="Arial Narrow"/>
        </w:rPr>
      </w:pPr>
      <w:r>
        <w:rPr>
          <w:rFonts w:ascii="Arial Narrow" w:hAnsi="Arial Narrow"/>
        </w:rPr>
        <w:t>In the Mediterranean and Africa, a region driven by Italy and Spain, turnover rose by +4.3%, and +6.1% at constant FX, thanks to growth in insurance premiums.</w:t>
      </w:r>
    </w:p>
    <w:p w14:paraId="6D2EE4B5" w14:textId="1238025A" w:rsidR="00C1528F" w:rsidRDefault="00C1528F" w:rsidP="00C1528F">
      <w:pPr>
        <w:suppressAutoHyphens/>
        <w:spacing w:after="120"/>
        <w:rPr>
          <w:rFonts w:ascii="Arial Narrow" w:hAnsi="Arial Narrow"/>
        </w:rPr>
      </w:pPr>
      <w:r>
        <w:rPr>
          <w:rFonts w:ascii="Arial Narrow" w:hAnsi="Arial Narrow"/>
        </w:rPr>
        <w:t>In North America, turnover declined by -5.7% on a reported basis but increased by +2.2% at constant FX. Premiums rose in both trade credit insurance and single risk.</w:t>
      </w:r>
    </w:p>
    <w:p w14:paraId="3B08F229" w14:textId="77777777" w:rsidR="00C1528F" w:rsidRDefault="00C1528F" w:rsidP="00C1528F">
      <w:pPr>
        <w:suppressAutoHyphens/>
        <w:spacing w:after="120"/>
        <w:rPr>
          <w:rFonts w:ascii="Arial Narrow" w:hAnsi="Arial Narrow"/>
          <w:bCs/>
        </w:rPr>
      </w:pPr>
      <w:r>
        <w:rPr>
          <w:rFonts w:ascii="Arial Narrow" w:hAnsi="Arial Narrow"/>
          <w:bCs/>
        </w:rPr>
        <w:lastRenderedPageBreak/>
        <w:t>In Latin America, turnover fell by -5.8% at current FX, but rose by +12.5% at constant FX. The portfolio benefited from significant upward rate adjustments in a persistently challenging risk environment as well as a levelling-off in customer activity.</w:t>
      </w:r>
    </w:p>
    <w:p w14:paraId="613ED2DA" w14:textId="77777777" w:rsidR="00C1528F" w:rsidRPr="00C1528F" w:rsidRDefault="00C1528F" w:rsidP="00C1528F">
      <w:pPr>
        <w:suppressAutoHyphens/>
        <w:spacing w:after="120"/>
        <w:rPr>
          <w:rFonts w:ascii="Arial Narrow" w:hAnsi="Arial Narrow" w:cs="Arial"/>
          <w:bCs/>
        </w:rPr>
      </w:pPr>
      <w:r>
        <w:rPr>
          <w:rFonts w:ascii="Arial Narrow" w:hAnsi="Arial Narrow"/>
          <w:bCs/>
        </w:rPr>
        <w:t xml:space="preserve">Turnover for the Asia-Pacific region rose by +10.3% at current FX and by +16.3% at constant FX. The region enjoyed a healthy level </w:t>
      </w:r>
      <w:r w:rsidRPr="00C1528F">
        <w:rPr>
          <w:rFonts w:ascii="Arial Narrow" w:hAnsi="Arial Narrow"/>
          <w:bCs/>
        </w:rPr>
        <w:t>of new business, high retention, and growth in customer activity in an area that is currently under relatively few restrictions.</w:t>
      </w:r>
    </w:p>
    <w:p w14:paraId="373D7792" w14:textId="77777777" w:rsidR="001E1169" w:rsidRPr="00C1528F" w:rsidRDefault="001E1169" w:rsidP="009B70A5">
      <w:pPr>
        <w:autoSpaceDE w:val="0"/>
        <w:autoSpaceDN w:val="0"/>
        <w:adjustRightInd w:val="0"/>
        <w:spacing w:after="0"/>
        <w:ind w:left="720"/>
        <w:rPr>
          <w:rFonts w:ascii="Arial Narrow" w:eastAsia="Calibri" w:hAnsi="Arial Narrow" w:cs="Arial"/>
          <w:b/>
          <w:bCs/>
          <w:highlight w:val="yellow"/>
          <w:lang w:val="en-GB" w:eastAsia="en-US"/>
        </w:rPr>
      </w:pPr>
    </w:p>
    <w:p w14:paraId="4C20F893" w14:textId="77777777" w:rsidR="00FC3FB7" w:rsidRPr="00C1528F" w:rsidRDefault="00FC3FB7" w:rsidP="009B70A5">
      <w:pPr>
        <w:numPr>
          <w:ilvl w:val="0"/>
          <w:numId w:val="16"/>
        </w:numPr>
        <w:autoSpaceDE w:val="0"/>
        <w:autoSpaceDN w:val="0"/>
        <w:adjustRightInd w:val="0"/>
        <w:spacing w:after="0"/>
        <w:rPr>
          <w:rFonts w:ascii="Arial Narrow" w:eastAsia="Calibri" w:hAnsi="Arial Narrow" w:cs="Arial"/>
          <w:b/>
          <w:bCs/>
          <w:lang w:val="en-GB" w:eastAsia="en-US"/>
        </w:rPr>
      </w:pPr>
      <w:r w:rsidRPr="00C1528F">
        <w:rPr>
          <w:rFonts w:ascii="Arial Narrow" w:eastAsia="Calibri" w:hAnsi="Arial Narrow" w:cs="Arial"/>
          <w:b/>
          <w:bCs/>
          <w:lang w:val="en-GB" w:eastAsia="en-US"/>
        </w:rPr>
        <w:t>R</w:t>
      </w:r>
      <w:r w:rsidR="00152131" w:rsidRPr="00C1528F">
        <w:rPr>
          <w:rFonts w:ascii="Arial Narrow" w:eastAsia="Calibri" w:hAnsi="Arial Narrow" w:cs="Arial"/>
          <w:b/>
          <w:bCs/>
          <w:lang w:val="en-GB" w:eastAsia="en-US"/>
        </w:rPr>
        <w:t>esults</w:t>
      </w:r>
    </w:p>
    <w:p w14:paraId="27ED05C2" w14:textId="77777777" w:rsidR="009B70A5" w:rsidRPr="00C1528F" w:rsidRDefault="009B70A5" w:rsidP="009B70A5">
      <w:pPr>
        <w:autoSpaceDE w:val="0"/>
        <w:autoSpaceDN w:val="0"/>
        <w:adjustRightInd w:val="0"/>
        <w:spacing w:after="0" w:line="240" w:lineRule="auto"/>
        <w:rPr>
          <w:rFonts w:ascii="Arial Narrow" w:eastAsia="Calibri" w:hAnsi="Arial Narrow" w:cs="Arial"/>
          <w:i/>
          <w:lang w:val="en-GB" w:eastAsia="en-US"/>
        </w:rPr>
      </w:pPr>
    </w:p>
    <w:p w14:paraId="4B029B99" w14:textId="77777777" w:rsidR="00FC3FB7" w:rsidRPr="00C1528F" w:rsidRDefault="00152131" w:rsidP="00620871">
      <w:pPr>
        <w:numPr>
          <w:ilvl w:val="0"/>
          <w:numId w:val="17"/>
        </w:numPr>
        <w:autoSpaceDE w:val="0"/>
        <w:autoSpaceDN w:val="0"/>
        <w:adjustRightInd w:val="0"/>
        <w:spacing w:after="0"/>
        <w:rPr>
          <w:rFonts w:ascii="Arial Narrow" w:eastAsia="Calibri" w:hAnsi="Arial Narrow" w:cs="Arial"/>
          <w:u w:val="single"/>
          <w:lang w:val="en-GB" w:eastAsia="en-US"/>
        </w:rPr>
      </w:pPr>
      <w:r w:rsidRPr="00C1528F">
        <w:rPr>
          <w:rFonts w:ascii="Arial Narrow" w:eastAsia="Calibri" w:hAnsi="Arial Narrow" w:cs="Arial"/>
          <w:u w:val="single"/>
          <w:lang w:val="en-GB" w:eastAsia="en-US"/>
        </w:rPr>
        <w:t>Combined ratio</w:t>
      </w:r>
    </w:p>
    <w:p w14:paraId="3E18184B" w14:textId="77777777" w:rsidR="00620871" w:rsidRPr="009442C4" w:rsidRDefault="00620871" w:rsidP="00620871">
      <w:pPr>
        <w:autoSpaceDE w:val="0"/>
        <w:autoSpaceDN w:val="0"/>
        <w:adjustRightInd w:val="0"/>
        <w:spacing w:after="0" w:line="240" w:lineRule="auto"/>
        <w:rPr>
          <w:rFonts w:ascii="Arial Narrow" w:eastAsia="Calibri" w:hAnsi="Arial Narrow" w:cs="Arial"/>
          <w:i/>
          <w:lang w:val="en-GB" w:eastAsia="en-US"/>
        </w:rPr>
      </w:pPr>
    </w:p>
    <w:p w14:paraId="3D68DBAC" w14:textId="5C0CBDB5" w:rsidR="00D13B60" w:rsidRPr="00A07187" w:rsidRDefault="009442C4" w:rsidP="009442C4">
      <w:pPr>
        <w:widowControl w:val="0"/>
        <w:suppressAutoHyphens/>
        <w:spacing w:after="120"/>
        <w:rPr>
          <w:rFonts w:ascii="Arial Narrow" w:eastAsia="MS Mincho" w:hAnsi="Arial Narrow" w:cs="Arial"/>
          <w:lang w:val="en-GB" w:eastAsia="fr-FR"/>
        </w:rPr>
      </w:pPr>
      <w:r w:rsidRPr="00A07187">
        <w:rPr>
          <w:rFonts w:ascii="Arial Narrow" w:eastAsia="MS Mincho" w:hAnsi="Arial Narrow" w:cs="Arial"/>
          <w:lang w:val="en-GB" w:eastAsia="fr-FR"/>
        </w:rPr>
        <w:t xml:space="preserve">The combined ratio, net of reinsurance, stood at 52.8% for Q1-2021 (an improvement of 34.0 </w:t>
      </w:r>
      <w:proofErr w:type="spellStart"/>
      <w:r w:rsidRPr="00A07187">
        <w:rPr>
          <w:rFonts w:ascii="Arial Narrow" w:eastAsia="MS Mincho" w:hAnsi="Arial Narrow" w:cs="Arial"/>
          <w:lang w:val="en-GB" w:eastAsia="fr-FR"/>
        </w:rPr>
        <w:t>ppts</w:t>
      </w:r>
      <w:proofErr w:type="spellEnd"/>
      <w:r w:rsidRPr="00A07187">
        <w:rPr>
          <w:rFonts w:ascii="Arial Narrow" w:eastAsia="MS Mincho" w:hAnsi="Arial Narrow" w:cs="Arial"/>
          <w:lang w:val="en-GB" w:eastAsia="fr-FR"/>
        </w:rPr>
        <w:t xml:space="preserve"> over </w:t>
      </w:r>
      <w:proofErr w:type="gramStart"/>
      <w:r w:rsidRPr="00A07187">
        <w:rPr>
          <w:rFonts w:ascii="Arial Narrow" w:eastAsia="MS Mincho" w:hAnsi="Arial Narrow" w:cs="Arial"/>
          <w:lang w:val="en-GB" w:eastAsia="fr-FR"/>
        </w:rPr>
        <w:t>one</w:t>
      </w:r>
      <w:proofErr w:type="gramEnd"/>
      <w:r w:rsidRPr="00A07187">
        <w:rPr>
          <w:rFonts w:ascii="Arial Narrow" w:eastAsia="MS Mincho" w:hAnsi="Arial Narrow" w:cs="Arial"/>
          <w:lang w:val="en-GB" w:eastAsia="fr-FR"/>
        </w:rPr>
        <w:t xml:space="preserve"> year and 5.5 </w:t>
      </w:r>
      <w:proofErr w:type="spellStart"/>
      <w:r w:rsidRPr="00A07187">
        <w:rPr>
          <w:rFonts w:ascii="Arial Narrow" w:eastAsia="MS Mincho" w:hAnsi="Arial Narrow" w:cs="Arial"/>
          <w:lang w:val="en-GB" w:eastAsia="fr-FR"/>
        </w:rPr>
        <w:t>ppts</w:t>
      </w:r>
      <w:proofErr w:type="spellEnd"/>
      <w:r w:rsidRPr="00A07187">
        <w:rPr>
          <w:rFonts w:ascii="Arial Narrow" w:eastAsia="MS Mincho" w:hAnsi="Arial Narrow" w:cs="Arial"/>
          <w:lang w:val="en-GB" w:eastAsia="fr-FR"/>
        </w:rPr>
        <w:t xml:space="preserve"> compared to the previous quarter). Excluding the effect of government schemes, the combined ratio was 61.1%, an improvement of 25.7 </w:t>
      </w:r>
      <w:proofErr w:type="spellStart"/>
      <w:r w:rsidRPr="00A07187">
        <w:rPr>
          <w:rFonts w:ascii="Arial Narrow" w:eastAsia="MS Mincho" w:hAnsi="Arial Narrow" w:cs="Arial"/>
          <w:lang w:val="en-GB" w:eastAsia="fr-FR"/>
        </w:rPr>
        <w:t>ppts</w:t>
      </w:r>
      <w:proofErr w:type="spellEnd"/>
      <w:r w:rsidRPr="00A07187">
        <w:rPr>
          <w:rFonts w:ascii="Arial Narrow" w:eastAsia="MS Mincho" w:hAnsi="Arial Narrow" w:cs="Arial"/>
          <w:lang w:val="en-GB" w:eastAsia="fr-FR"/>
        </w:rPr>
        <w:t xml:space="preserve"> over one year.</w:t>
      </w:r>
    </w:p>
    <w:p w14:paraId="7AC03AEF" w14:textId="77777777" w:rsidR="00FC3FB7" w:rsidRPr="009442C4" w:rsidRDefault="00F43852" w:rsidP="00EC73D9">
      <w:pPr>
        <w:pStyle w:val="ListParagraph"/>
        <w:numPr>
          <w:ilvl w:val="0"/>
          <w:numId w:val="27"/>
        </w:numPr>
        <w:autoSpaceDE w:val="0"/>
        <w:autoSpaceDN w:val="0"/>
        <w:adjustRightInd w:val="0"/>
        <w:spacing w:after="120"/>
        <w:ind w:left="993" w:hanging="284"/>
        <w:rPr>
          <w:rFonts w:ascii="Arial Narrow" w:eastAsia="Calibri" w:hAnsi="Arial Narrow" w:cs="Arial"/>
          <w:lang w:val="en-GB" w:eastAsia="en-US"/>
        </w:rPr>
      </w:pPr>
      <w:r w:rsidRPr="009442C4">
        <w:rPr>
          <w:rFonts w:ascii="Arial Narrow" w:eastAsia="Calibri" w:hAnsi="Arial Narrow" w:cs="Arial"/>
          <w:lang w:val="en-GB" w:eastAsia="en-US"/>
        </w:rPr>
        <w:t>Loss ratio</w:t>
      </w:r>
    </w:p>
    <w:p w14:paraId="5B8F0CAD" w14:textId="77777777" w:rsidR="00EC5235" w:rsidRDefault="00EC5235" w:rsidP="00EC5235">
      <w:pPr>
        <w:suppressAutoHyphens/>
        <w:spacing w:after="120"/>
        <w:rPr>
          <w:rFonts w:ascii="Arial Narrow" w:hAnsi="Arial Narrow"/>
        </w:rPr>
      </w:pPr>
      <w:r>
        <w:rPr>
          <w:rFonts w:ascii="Arial Narrow" w:hAnsi="Arial Narrow"/>
        </w:rPr>
        <w:t xml:space="preserve">The gross loss ratio stood at 29.5%, a drop of 25.7 </w:t>
      </w:r>
      <w:proofErr w:type="spellStart"/>
      <w:r>
        <w:rPr>
          <w:rFonts w:ascii="Arial Narrow" w:hAnsi="Arial Narrow"/>
        </w:rPr>
        <w:t>ppts</w:t>
      </w:r>
      <w:proofErr w:type="spellEnd"/>
      <w:r>
        <w:rPr>
          <w:rFonts w:ascii="Arial Narrow" w:hAnsi="Arial Narrow"/>
        </w:rPr>
        <w:t xml:space="preserve"> compared to the levels achieved one year ago. This improvement reflects a lack of major claims and low claims frequency in all geographic areas.</w:t>
      </w:r>
    </w:p>
    <w:p w14:paraId="19E62264" w14:textId="77777777" w:rsidR="00EC5235" w:rsidRDefault="00EC5235" w:rsidP="00EC5235">
      <w:pPr>
        <w:suppressAutoHyphens/>
        <w:spacing w:after="120"/>
        <w:rPr>
          <w:rFonts w:ascii="Arial Narrow" w:hAnsi="Arial Narrow"/>
        </w:rPr>
      </w:pPr>
      <w:r>
        <w:rPr>
          <w:rFonts w:ascii="Arial Narrow" w:hAnsi="Arial Narrow"/>
        </w:rPr>
        <w:t>The Group’s reserving policy remains unchanged. Strict management of past claims enabled the Group to record 49.1 </w:t>
      </w:r>
      <w:proofErr w:type="spellStart"/>
      <w:r>
        <w:rPr>
          <w:rFonts w:ascii="Arial Narrow" w:hAnsi="Arial Narrow"/>
        </w:rPr>
        <w:t>ppts</w:t>
      </w:r>
      <w:proofErr w:type="spellEnd"/>
      <w:r>
        <w:rPr>
          <w:rFonts w:ascii="Arial Narrow" w:hAnsi="Arial Narrow"/>
        </w:rPr>
        <w:t xml:space="preserve"> of recoveries. The loss ratio for the 2021 underwriting year is still high at 76.0%, </w:t>
      </w:r>
      <w:r w:rsidRPr="00A07187">
        <w:rPr>
          <w:rFonts w:ascii="Arial Narrow" w:hAnsi="Arial Narrow"/>
          <w:lang w:val="en-GB"/>
        </w:rPr>
        <w:t>signalling</w:t>
      </w:r>
      <w:r>
        <w:rPr>
          <w:rFonts w:ascii="Arial Narrow" w:hAnsi="Arial Narrow"/>
        </w:rPr>
        <w:t xml:space="preserve"> that Coface anticipates an increase in the number of business failures when economic support measures are withdrawn.</w:t>
      </w:r>
    </w:p>
    <w:p w14:paraId="7F30CA1B" w14:textId="2CC20C21" w:rsidR="00EC5235" w:rsidRPr="00EC5235" w:rsidRDefault="00EC5235" w:rsidP="00EC5235">
      <w:pPr>
        <w:widowControl w:val="0"/>
        <w:suppressAutoHyphens/>
        <w:spacing w:after="120"/>
        <w:rPr>
          <w:rFonts w:ascii="Arial Narrow" w:eastAsia="MS Mincho" w:hAnsi="Arial Narrow" w:cs="Arial"/>
          <w:lang w:val="en-GB" w:eastAsia="fr-FR"/>
        </w:rPr>
      </w:pPr>
      <w:r>
        <w:rPr>
          <w:rFonts w:ascii="Arial Narrow" w:hAnsi="Arial Narrow"/>
        </w:rPr>
        <w:t xml:space="preserve">The loss ratio net of reinsurance fell to 24.5%, an </w:t>
      </w:r>
      <w:r w:rsidRPr="00EC5235">
        <w:rPr>
          <w:rFonts w:ascii="Arial Narrow" w:hAnsi="Arial Narrow"/>
        </w:rPr>
        <w:t xml:space="preserve">improvement of 32.6 </w:t>
      </w:r>
      <w:proofErr w:type="spellStart"/>
      <w:r w:rsidRPr="00EC5235">
        <w:rPr>
          <w:rFonts w:ascii="Arial Narrow" w:hAnsi="Arial Narrow"/>
        </w:rPr>
        <w:t>ppts</w:t>
      </w:r>
      <w:proofErr w:type="spellEnd"/>
      <w:r w:rsidRPr="00EC5235">
        <w:rPr>
          <w:rFonts w:ascii="Arial Narrow" w:hAnsi="Arial Narrow"/>
        </w:rPr>
        <w:t xml:space="preserve"> compared to Q1</w:t>
      </w:r>
      <w:r w:rsidRPr="00EC5235">
        <w:rPr>
          <w:rFonts w:ascii="Arial Narrow" w:hAnsi="Arial Narrow"/>
        </w:rPr>
        <w:noBreakHyphen/>
        <w:t>2020. Excluding the impact of government schemes, the net loss ratio would have been 32.4%.</w:t>
      </w:r>
    </w:p>
    <w:p w14:paraId="77CE268B" w14:textId="77777777" w:rsidR="00DB24B4" w:rsidRPr="00EC5235" w:rsidRDefault="00F43852" w:rsidP="00EC73D9">
      <w:pPr>
        <w:pStyle w:val="ListParagraph"/>
        <w:numPr>
          <w:ilvl w:val="0"/>
          <w:numId w:val="27"/>
        </w:numPr>
        <w:autoSpaceDE w:val="0"/>
        <w:autoSpaceDN w:val="0"/>
        <w:adjustRightInd w:val="0"/>
        <w:spacing w:after="120"/>
        <w:ind w:left="993" w:hanging="284"/>
        <w:rPr>
          <w:rFonts w:ascii="Arial Narrow" w:eastAsia="Calibri" w:hAnsi="Arial Narrow" w:cs="Arial"/>
          <w:lang w:val="en-GB" w:eastAsia="en-US"/>
        </w:rPr>
      </w:pPr>
      <w:r w:rsidRPr="00EC5235">
        <w:rPr>
          <w:rFonts w:ascii="Arial Narrow" w:eastAsia="Calibri" w:hAnsi="Arial Narrow" w:cs="Arial"/>
          <w:lang w:val="en-GB" w:eastAsia="en-US"/>
        </w:rPr>
        <w:t>Cost ratio</w:t>
      </w:r>
    </w:p>
    <w:p w14:paraId="3AA98B8C" w14:textId="6E5B2761" w:rsidR="00010911" w:rsidRPr="00EC5235" w:rsidRDefault="00EC5235" w:rsidP="00620871">
      <w:pPr>
        <w:widowControl w:val="0"/>
        <w:suppressAutoHyphens/>
        <w:spacing w:after="120"/>
        <w:rPr>
          <w:rFonts w:ascii="Arial Narrow" w:eastAsia="MS Mincho" w:hAnsi="Arial Narrow" w:cs="Arial"/>
          <w:lang w:val="en-GB" w:eastAsia="fr-FR"/>
        </w:rPr>
      </w:pPr>
      <w:r w:rsidRPr="00EC5235">
        <w:rPr>
          <w:rFonts w:ascii="Arial Narrow" w:hAnsi="Arial Narrow"/>
        </w:rPr>
        <w:t xml:space="preserve">Coface is continuing its policy of strict cost controls. </w:t>
      </w:r>
      <w:r>
        <w:rPr>
          <w:rFonts w:ascii="Arial Narrow" w:hAnsi="Arial Narrow"/>
        </w:rPr>
        <w:t>D</w:t>
      </w:r>
      <w:r w:rsidRPr="00EC5235">
        <w:rPr>
          <w:rFonts w:ascii="Arial Narrow" w:hAnsi="Arial Narrow"/>
        </w:rPr>
        <w:t>uring the first quarter</w:t>
      </w:r>
      <w:r>
        <w:rPr>
          <w:rFonts w:ascii="Arial Narrow" w:hAnsi="Arial Narrow"/>
        </w:rPr>
        <w:t>, costs were down by</w:t>
      </w:r>
      <w:r w:rsidRPr="00EC5235">
        <w:rPr>
          <w:rFonts w:ascii="Arial Narrow" w:hAnsi="Arial Narrow"/>
        </w:rPr>
        <w:t xml:space="preserve"> </w:t>
      </w:r>
      <w:r>
        <w:rPr>
          <w:rFonts w:ascii="Arial Narrow" w:hAnsi="Arial Narrow"/>
        </w:rPr>
        <w:t>-</w:t>
      </w:r>
      <w:r w:rsidRPr="00EC5235">
        <w:rPr>
          <w:rFonts w:ascii="Arial Narrow" w:hAnsi="Arial Narrow"/>
        </w:rPr>
        <w:t xml:space="preserve">1.4% (and rose slightly by 0.7% at constant FX and perimeter). The net cost ratio was down by 1.4 </w:t>
      </w:r>
      <w:proofErr w:type="spellStart"/>
      <w:r w:rsidRPr="00EC5235">
        <w:rPr>
          <w:rFonts w:ascii="Arial Narrow" w:hAnsi="Arial Narrow"/>
        </w:rPr>
        <w:t>ppt</w:t>
      </w:r>
      <w:proofErr w:type="spellEnd"/>
      <w:r w:rsidRPr="00EC5235">
        <w:rPr>
          <w:rFonts w:ascii="Arial Narrow" w:hAnsi="Arial Narrow"/>
        </w:rPr>
        <w:t xml:space="preserve"> to stand at 28.3%.</w:t>
      </w:r>
    </w:p>
    <w:p w14:paraId="155B46D0" w14:textId="77777777" w:rsidR="00494440" w:rsidRPr="00EC5235" w:rsidRDefault="00494440" w:rsidP="00494440">
      <w:pPr>
        <w:rPr>
          <w:rFonts w:ascii="Arial Narrow" w:eastAsia="Calibri" w:hAnsi="Arial Narrow" w:cs="Arial"/>
          <w:highlight w:val="yellow"/>
          <w:lang w:val="en-GB" w:eastAsia="en-US"/>
        </w:rPr>
      </w:pPr>
      <w:r w:rsidRPr="00EC5235">
        <w:rPr>
          <w:rFonts w:ascii="Arial Narrow" w:hAnsi="Arial Narrow" w:cs="Arial"/>
          <w:highlight w:val="yellow"/>
          <w:lang w:val="en-GB" w:eastAsia="en-US"/>
        </w:rPr>
        <w:br w:type="page"/>
      </w:r>
    </w:p>
    <w:p w14:paraId="69B861F1" w14:textId="77777777" w:rsidR="00793C96" w:rsidRPr="00EC5235" w:rsidRDefault="009452D8" w:rsidP="00620871">
      <w:pPr>
        <w:numPr>
          <w:ilvl w:val="0"/>
          <w:numId w:val="17"/>
        </w:numPr>
        <w:autoSpaceDE w:val="0"/>
        <w:autoSpaceDN w:val="0"/>
        <w:adjustRightInd w:val="0"/>
        <w:spacing w:after="0"/>
        <w:rPr>
          <w:rFonts w:ascii="Arial Narrow" w:eastAsia="Calibri" w:hAnsi="Arial Narrow" w:cs="Arial"/>
          <w:u w:val="single"/>
          <w:lang w:val="en-GB" w:eastAsia="en-US"/>
        </w:rPr>
      </w:pPr>
      <w:r w:rsidRPr="00EC5235">
        <w:rPr>
          <w:rFonts w:ascii="Arial Narrow" w:eastAsia="Calibri" w:hAnsi="Arial Narrow" w:cs="Arial"/>
          <w:u w:val="single"/>
          <w:lang w:val="en-GB" w:eastAsia="en-US"/>
        </w:rPr>
        <w:lastRenderedPageBreak/>
        <w:t>Financial income</w:t>
      </w:r>
    </w:p>
    <w:p w14:paraId="61924639" w14:textId="77777777" w:rsidR="00620871" w:rsidRPr="006D7B66" w:rsidRDefault="00620871" w:rsidP="00620871">
      <w:pPr>
        <w:autoSpaceDE w:val="0"/>
        <w:autoSpaceDN w:val="0"/>
        <w:adjustRightInd w:val="0"/>
        <w:spacing w:after="0" w:line="240" w:lineRule="auto"/>
        <w:rPr>
          <w:rFonts w:ascii="Arial Narrow" w:eastAsia="Calibri" w:hAnsi="Arial Narrow" w:cs="Arial"/>
          <w:i/>
          <w:lang w:val="en-GB" w:eastAsia="en-US"/>
        </w:rPr>
      </w:pPr>
    </w:p>
    <w:p w14:paraId="55181B52" w14:textId="77777777" w:rsidR="006D7B66" w:rsidRDefault="006D7B66" w:rsidP="006D7B66">
      <w:pPr>
        <w:suppressAutoHyphens/>
        <w:spacing w:after="120"/>
        <w:rPr>
          <w:rFonts w:ascii="Arial Narrow" w:hAnsi="Arial Narrow" w:cs="Arial"/>
        </w:rPr>
      </w:pPr>
      <w:r>
        <w:rPr>
          <w:rFonts w:ascii="Arial Narrow" w:hAnsi="Arial Narrow"/>
        </w:rPr>
        <w:t>Net financial income amounted to €5.7m in the first quarter, an increase of €3m compared to Q1-2020, when there was severe turbulence in the financial markets.</w:t>
      </w:r>
    </w:p>
    <w:p w14:paraId="18DCF866" w14:textId="77777777" w:rsidR="006D7B66" w:rsidRPr="00485F9D" w:rsidRDefault="006D7B66" w:rsidP="006D7B66">
      <w:pPr>
        <w:suppressAutoHyphens/>
        <w:spacing w:after="120"/>
        <w:rPr>
          <w:rFonts w:ascii="Arial Narrow" w:hAnsi="Arial Narrow" w:cs="Arial"/>
        </w:rPr>
      </w:pPr>
      <w:r>
        <w:rPr>
          <w:rFonts w:ascii="Arial Narrow" w:hAnsi="Arial Narrow"/>
        </w:rPr>
        <w:t xml:space="preserve">The portfolio's current yield (i.e. excluding capital gains, depreciation and </w:t>
      </w:r>
      <w:r w:rsidRPr="00C85E25">
        <w:rPr>
          <w:rFonts w:ascii="Arial Narrow" w:hAnsi="Arial Narrow"/>
        </w:rPr>
        <w:t>currency effects</w:t>
      </w:r>
      <w:r>
        <w:rPr>
          <w:rFonts w:ascii="Arial Narrow" w:hAnsi="Arial Narrow"/>
        </w:rPr>
        <w:t>) is €7.9m (compared to €9.4m in Q1-2020). The accounting yield</w:t>
      </w:r>
      <w:r w:rsidRPr="00485F9D">
        <w:rPr>
          <w:rStyle w:val="FootnoteReference"/>
          <w:rFonts w:ascii="Arial Narrow" w:hAnsi="Arial Narrow" w:cs="Arial"/>
        </w:rPr>
        <w:footnoteReference w:id="4"/>
      </w:r>
      <w:r>
        <w:rPr>
          <w:rFonts w:ascii="Arial Narrow" w:hAnsi="Arial Narrow"/>
        </w:rPr>
        <w:t>, excluding capital gains and depreciation, stood at 0.28% in Q1</w:t>
      </w:r>
      <w:r>
        <w:rPr>
          <w:rFonts w:ascii="Arial Narrow" w:hAnsi="Arial Narrow"/>
        </w:rPr>
        <w:noBreakHyphen/>
        <w:t>2021, and was only very slightly lower than the previous year (0.34%).</w:t>
      </w:r>
    </w:p>
    <w:p w14:paraId="70323233" w14:textId="7C273284" w:rsidR="006D7B66" w:rsidRDefault="006D7B66" w:rsidP="006D7B66">
      <w:pPr>
        <w:suppressAutoHyphens/>
        <w:spacing w:after="120"/>
        <w:rPr>
          <w:rFonts w:ascii="Arial Narrow" w:hAnsi="Arial Narrow"/>
        </w:rPr>
      </w:pPr>
      <w:r>
        <w:rPr>
          <w:rFonts w:ascii="Arial Narrow" w:hAnsi="Arial Narrow"/>
        </w:rPr>
        <w:t xml:space="preserve">Coface continues </w:t>
      </w:r>
      <w:proofErr w:type="gramStart"/>
      <w:r>
        <w:rPr>
          <w:rFonts w:ascii="Arial Narrow" w:hAnsi="Arial Narrow"/>
        </w:rPr>
        <w:t>to gradually reduce</w:t>
      </w:r>
      <w:proofErr w:type="gramEnd"/>
      <w:r>
        <w:rPr>
          <w:rFonts w:ascii="Arial Narrow" w:hAnsi="Arial Narrow"/>
        </w:rPr>
        <w:t xml:space="preserve"> its liquidity surplus, a result of the risk-reduction </w:t>
      </w:r>
      <w:r w:rsidRPr="00A07187">
        <w:rPr>
          <w:rFonts w:ascii="Arial Narrow" w:hAnsi="Arial Narrow"/>
          <w:lang w:val="en-GB"/>
        </w:rPr>
        <w:t>programme</w:t>
      </w:r>
      <w:r>
        <w:rPr>
          <w:rFonts w:ascii="Arial Narrow" w:hAnsi="Arial Narrow"/>
        </w:rPr>
        <w:t xml:space="preserve"> initiated at the beginning of the health crisis.</w:t>
      </w:r>
    </w:p>
    <w:p w14:paraId="66761465" w14:textId="77777777" w:rsidR="006D7B66" w:rsidRPr="006D7B66" w:rsidRDefault="006D7B66" w:rsidP="006D7B66">
      <w:pPr>
        <w:autoSpaceDE w:val="0"/>
        <w:autoSpaceDN w:val="0"/>
        <w:adjustRightInd w:val="0"/>
        <w:spacing w:after="0" w:line="240" w:lineRule="auto"/>
        <w:rPr>
          <w:rFonts w:ascii="Arial Narrow" w:eastAsia="Calibri" w:hAnsi="Arial Narrow" w:cs="Arial"/>
          <w:i/>
          <w:lang w:val="en-GB" w:eastAsia="en-US"/>
        </w:rPr>
      </w:pPr>
    </w:p>
    <w:p w14:paraId="0D88CDBC" w14:textId="7A10A266" w:rsidR="009849AE" w:rsidRPr="009849AE" w:rsidRDefault="00364F8C" w:rsidP="009849AE">
      <w:pPr>
        <w:numPr>
          <w:ilvl w:val="0"/>
          <w:numId w:val="17"/>
        </w:numPr>
        <w:autoSpaceDE w:val="0"/>
        <w:autoSpaceDN w:val="0"/>
        <w:adjustRightInd w:val="0"/>
        <w:spacing w:after="0"/>
        <w:rPr>
          <w:rFonts w:ascii="Arial Narrow" w:eastAsia="Calibri" w:hAnsi="Arial Narrow" w:cs="Arial"/>
          <w:u w:val="single"/>
          <w:lang w:val="en-GB" w:eastAsia="en-US"/>
        </w:rPr>
      </w:pPr>
      <w:r w:rsidRPr="00EC5235">
        <w:rPr>
          <w:rFonts w:ascii="Arial Narrow" w:eastAsia="Calibri" w:hAnsi="Arial Narrow" w:cs="Arial"/>
          <w:u w:val="single"/>
          <w:lang w:val="en-GB" w:eastAsia="en-US"/>
        </w:rPr>
        <w:t>Operating income and net income</w:t>
      </w:r>
    </w:p>
    <w:p w14:paraId="526911F0" w14:textId="77777777" w:rsidR="009849AE" w:rsidRDefault="009849AE" w:rsidP="009849AE">
      <w:pPr>
        <w:autoSpaceDE w:val="0"/>
        <w:autoSpaceDN w:val="0"/>
        <w:adjustRightInd w:val="0"/>
        <w:spacing w:after="120"/>
        <w:rPr>
          <w:rFonts w:ascii="Arial Narrow" w:hAnsi="Arial Narrow"/>
        </w:rPr>
      </w:pPr>
    </w:p>
    <w:p w14:paraId="75463CD6" w14:textId="4E9CD07A" w:rsidR="009849AE" w:rsidRPr="00CF2EC2" w:rsidRDefault="009849AE" w:rsidP="009849AE">
      <w:pPr>
        <w:autoSpaceDE w:val="0"/>
        <w:autoSpaceDN w:val="0"/>
        <w:adjustRightInd w:val="0"/>
        <w:spacing w:after="120"/>
        <w:rPr>
          <w:rFonts w:ascii="Arial Narrow" w:eastAsia="Calibri" w:hAnsi="Arial Narrow" w:cs="Arial"/>
        </w:rPr>
      </w:pPr>
      <w:r>
        <w:rPr>
          <w:rFonts w:ascii="Arial Narrow" w:hAnsi="Arial Narrow"/>
        </w:rPr>
        <w:t xml:space="preserve">Operating income for Q1-2021 was </w:t>
      </w:r>
      <w:r w:rsidR="00D935FF">
        <w:rPr>
          <w:rFonts w:ascii="Arial Narrow" w:hAnsi="Arial Narrow"/>
        </w:rPr>
        <w:t>€79.6</w:t>
      </w:r>
      <w:r>
        <w:rPr>
          <w:rFonts w:ascii="Arial Narrow" w:hAnsi="Arial Narrow"/>
        </w:rPr>
        <w:t xml:space="preserve">m, </w:t>
      </w:r>
      <w:r w:rsidR="0038442E">
        <w:rPr>
          <w:rFonts w:ascii="Arial Narrow" w:hAnsi="Arial Narrow"/>
        </w:rPr>
        <w:t>more than double compared</w:t>
      </w:r>
      <w:r>
        <w:rPr>
          <w:rFonts w:ascii="Arial Narrow" w:hAnsi="Arial Narrow"/>
        </w:rPr>
        <w:t xml:space="preserve"> to the previous year, mainly due to the improvement in the loss ratio.</w:t>
      </w:r>
    </w:p>
    <w:p w14:paraId="2298CA8A" w14:textId="77777777" w:rsidR="009849AE" w:rsidRPr="00CF2EC2" w:rsidRDefault="009849AE" w:rsidP="009849AE">
      <w:pPr>
        <w:suppressAutoHyphens/>
        <w:spacing w:after="120"/>
        <w:rPr>
          <w:rFonts w:ascii="Arial Narrow" w:eastAsia="Calibri" w:hAnsi="Arial Narrow" w:cs="Arial"/>
        </w:rPr>
      </w:pPr>
      <w:r>
        <w:rPr>
          <w:rFonts w:ascii="Arial Narrow" w:hAnsi="Arial Narrow"/>
        </w:rPr>
        <w:t>The effective tax rate was 25%, compared to 50% for Q1-2020.</w:t>
      </w:r>
    </w:p>
    <w:p w14:paraId="1B80AD44" w14:textId="74B8172A" w:rsidR="009849AE" w:rsidRPr="009849AE" w:rsidRDefault="009849AE" w:rsidP="00E6702F">
      <w:pPr>
        <w:suppressAutoHyphens/>
        <w:spacing w:after="120"/>
        <w:rPr>
          <w:rFonts w:ascii="Arial Narrow" w:hAnsi="Arial Narrow" w:cs="Arial"/>
        </w:rPr>
      </w:pPr>
      <w:r>
        <w:rPr>
          <w:rFonts w:ascii="Arial Narrow" w:hAnsi="Arial Narrow"/>
        </w:rPr>
        <w:t>In total, the net income (group share) was €56.4m.</w:t>
      </w:r>
    </w:p>
    <w:p w14:paraId="580DE88A" w14:textId="77777777" w:rsidR="00CF641E" w:rsidRPr="00E71BB9" w:rsidRDefault="00CF641E" w:rsidP="00620871">
      <w:pPr>
        <w:autoSpaceDE w:val="0"/>
        <w:autoSpaceDN w:val="0"/>
        <w:adjustRightInd w:val="0"/>
        <w:spacing w:after="0"/>
        <w:ind w:left="720"/>
        <w:rPr>
          <w:rFonts w:ascii="Arial Narrow" w:eastAsia="Calibri" w:hAnsi="Arial Narrow" w:cs="Arial"/>
          <w:b/>
          <w:bCs/>
          <w:highlight w:val="yellow"/>
          <w:lang w:val="en-GB" w:eastAsia="en-US"/>
        </w:rPr>
      </w:pPr>
    </w:p>
    <w:p w14:paraId="289ED37F" w14:textId="77777777" w:rsidR="005E4CE2" w:rsidRPr="00E71BB9" w:rsidRDefault="0081784F" w:rsidP="009B70A5">
      <w:pPr>
        <w:numPr>
          <w:ilvl w:val="0"/>
          <w:numId w:val="16"/>
        </w:numPr>
        <w:autoSpaceDE w:val="0"/>
        <w:autoSpaceDN w:val="0"/>
        <w:adjustRightInd w:val="0"/>
        <w:spacing w:after="0"/>
        <w:rPr>
          <w:rFonts w:ascii="Arial Narrow" w:eastAsia="Calibri" w:hAnsi="Arial Narrow" w:cs="Arial"/>
          <w:b/>
          <w:bCs/>
          <w:lang w:val="en-GB" w:eastAsia="en-US"/>
        </w:rPr>
      </w:pPr>
      <w:r w:rsidRPr="00E71BB9">
        <w:rPr>
          <w:rFonts w:ascii="Arial Narrow" w:eastAsia="Calibri" w:hAnsi="Arial Narrow" w:cs="Arial"/>
          <w:b/>
          <w:bCs/>
          <w:lang w:val="en-GB" w:eastAsia="en-US"/>
        </w:rPr>
        <w:t>Shareholders’ e</w:t>
      </w:r>
      <w:r w:rsidR="009113BD" w:rsidRPr="00E71BB9">
        <w:rPr>
          <w:rFonts w:ascii="Arial Narrow" w:eastAsia="Calibri" w:hAnsi="Arial Narrow" w:cs="Arial"/>
          <w:b/>
          <w:bCs/>
          <w:lang w:val="en-GB" w:eastAsia="en-US"/>
        </w:rPr>
        <w:t>quity</w:t>
      </w:r>
    </w:p>
    <w:p w14:paraId="70246F0C" w14:textId="77777777" w:rsidR="009B70A5" w:rsidRPr="00E71BB9" w:rsidRDefault="009B70A5" w:rsidP="009B70A5">
      <w:pPr>
        <w:autoSpaceDE w:val="0"/>
        <w:autoSpaceDN w:val="0"/>
        <w:adjustRightInd w:val="0"/>
        <w:spacing w:after="0" w:line="240" w:lineRule="auto"/>
        <w:rPr>
          <w:rFonts w:ascii="Arial Narrow" w:eastAsia="Calibri" w:hAnsi="Arial Narrow" w:cs="Arial"/>
          <w:i/>
          <w:lang w:val="en-GB" w:eastAsia="en-US"/>
        </w:rPr>
      </w:pPr>
    </w:p>
    <w:p w14:paraId="7C3F15EF" w14:textId="6308FE50" w:rsidR="00E71BB9" w:rsidRPr="00E71BB9" w:rsidRDefault="00E71BB9" w:rsidP="00E71BB9">
      <w:pPr>
        <w:suppressAutoHyphens/>
        <w:spacing w:after="120"/>
        <w:rPr>
          <w:rFonts w:ascii="Arial Narrow" w:hAnsi="Arial Narrow" w:cs="Arial"/>
        </w:rPr>
      </w:pPr>
      <w:r w:rsidRPr="00E71BB9">
        <w:rPr>
          <w:rFonts w:ascii="Arial Narrow" w:hAnsi="Arial Narrow"/>
          <w:bCs/>
        </w:rPr>
        <w:t>As of 31 March 2021, Group’s equity stood at €2,049.5m, up €50.9m, or +2.5% (compared to €1,998.6m as at 31</w:t>
      </w:r>
      <w:r w:rsidR="003E4795">
        <w:rPr>
          <w:rFonts w:ascii="Arial Narrow" w:hAnsi="Arial Narrow"/>
          <w:bCs/>
        </w:rPr>
        <w:t> </w:t>
      </w:r>
      <w:r w:rsidRPr="00E71BB9">
        <w:rPr>
          <w:rFonts w:ascii="Arial Narrow" w:hAnsi="Arial Narrow"/>
          <w:bCs/>
        </w:rPr>
        <w:t xml:space="preserve">December </w:t>
      </w:r>
      <w:r w:rsidRPr="00E71BB9">
        <w:rPr>
          <w:rFonts w:ascii="Arial Narrow" w:hAnsi="Arial Narrow"/>
        </w:rPr>
        <w:t>2020).</w:t>
      </w:r>
    </w:p>
    <w:p w14:paraId="1B396C56" w14:textId="77777777" w:rsidR="00E71BB9" w:rsidRPr="00E71BB9" w:rsidRDefault="00E71BB9" w:rsidP="00E71BB9">
      <w:pPr>
        <w:suppressAutoHyphens/>
        <w:spacing w:after="120"/>
        <w:rPr>
          <w:rFonts w:ascii="Arial Narrow" w:hAnsi="Arial Narrow" w:cs="Arial"/>
        </w:rPr>
      </w:pPr>
      <w:r w:rsidRPr="00E71BB9">
        <w:rPr>
          <w:rFonts w:ascii="Arial Narrow" w:hAnsi="Arial Narrow"/>
        </w:rPr>
        <w:t xml:space="preserve">This change is mainly due to the positive net income of €56.4m, offset by negative adjustments to the value of investments </w:t>
      </w:r>
      <w:r w:rsidRPr="00E71BB9">
        <w:rPr>
          <w:rFonts w:ascii="Arial Narrow" w:hAnsi="Arial Narrow"/>
          <w:bCs/>
        </w:rPr>
        <w:t>(</w:t>
      </w:r>
      <w:r w:rsidRPr="00E71BB9">
        <w:rPr>
          <w:rFonts w:ascii="Arial Narrow" w:hAnsi="Arial Narrow"/>
        </w:rPr>
        <w:t xml:space="preserve">€6.2m). </w:t>
      </w:r>
    </w:p>
    <w:p w14:paraId="04FDD21F" w14:textId="77777777" w:rsidR="00E71BB9" w:rsidRPr="00E71BB9" w:rsidRDefault="00E71BB9" w:rsidP="00E71BB9">
      <w:pPr>
        <w:suppressAutoHyphens/>
        <w:spacing w:after="120"/>
        <w:rPr>
          <w:rFonts w:ascii="Arial Narrow" w:hAnsi="Arial Narrow"/>
          <w:bCs/>
        </w:rPr>
      </w:pPr>
      <w:r w:rsidRPr="00E71BB9">
        <w:rPr>
          <w:rFonts w:ascii="Arial Narrow" w:hAnsi="Arial Narrow"/>
          <w:bCs/>
        </w:rPr>
        <w:t>The return on average tangible equity (</w:t>
      </w:r>
      <w:proofErr w:type="spellStart"/>
      <w:r w:rsidRPr="00E71BB9">
        <w:rPr>
          <w:rFonts w:ascii="Arial Narrow" w:hAnsi="Arial Narrow"/>
          <w:bCs/>
        </w:rPr>
        <w:t>RoATE</w:t>
      </w:r>
      <w:proofErr w:type="spellEnd"/>
      <w:r w:rsidRPr="00E71BB9">
        <w:rPr>
          <w:rFonts w:ascii="Arial Narrow" w:hAnsi="Arial Narrow"/>
          <w:bCs/>
        </w:rPr>
        <w:t>) was 12.0% for the first quarter 2021.</w:t>
      </w:r>
    </w:p>
    <w:p w14:paraId="3D7BEED2" w14:textId="77777777" w:rsidR="00C4425C" w:rsidRPr="00B30555" w:rsidRDefault="00C4425C" w:rsidP="00707C69">
      <w:pPr>
        <w:suppressAutoHyphens/>
        <w:spacing w:after="120"/>
        <w:rPr>
          <w:rFonts w:ascii="Arial Narrow" w:eastAsia="Calibri" w:hAnsi="Arial Narrow" w:cs="Arial"/>
          <w:bCs/>
          <w:highlight w:val="yellow"/>
          <w:lang w:val="en-GB" w:eastAsia="en-US"/>
        </w:rPr>
      </w:pPr>
      <w:r w:rsidRPr="00B30555">
        <w:rPr>
          <w:rFonts w:ascii="Arial Narrow" w:eastAsia="Calibri" w:hAnsi="Arial Narrow" w:cs="Arial"/>
          <w:bCs/>
          <w:highlight w:val="yellow"/>
          <w:lang w:val="en-GB" w:eastAsia="en-US"/>
        </w:rPr>
        <w:br w:type="page"/>
      </w:r>
    </w:p>
    <w:p w14:paraId="5685D337" w14:textId="77777777" w:rsidR="00397973" w:rsidRPr="00B30555" w:rsidRDefault="00BD4D1B" w:rsidP="009B70A5">
      <w:pPr>
        <w:numPr>
          <w:ilvl w:val="0"/>
          <w:numId w:val="16"/>
        </w:numPr>
        <w:autoSpaceDE w:val="0"/>
        <w:autoSpaceDN w:val="0"/>
        <w:adjustRightInd w:val="0"/>
        <w:spacing w:after="0"/>
        <w:rPr>
          <w:rFonts w:ascii="Arial Narrow" w:eastAsia="Calibri" w:hAnsi="Arial Narrow" w:cs="Arial"/>
          <w:b/>
          <w:bCs/>
          <w:lang w:val="en-GB" w:eastAsia="en-US"/>
        </w:rPr>
      </w:pPr>
      <w:r w:rsidRPr="00B30555">
        <w:rPr>
          <w:rFonts w:ascii="Arial Narrow" w:eastAsia="Calibri" w:hAnsi="Arial Narrow" w:cs="Arial"/>
          <w:b/>
          <w:bCs/>
          <w:lang w:val="en-GB" w:eastAsia="en-US"/>
        </w:rPr>
        <w:lastRenderedPageBreak/>
        <w:t>Outlook</w:t>
      </w:r>
    </w:p>
    <w:p w14:paraId="6704D885" w14:textId="77777777" w:rsidR="009B70A5" w:rsidRPr="00B30555" w:rsidRDefault="009B70A5" w:rsidP="009B70A5">
      <w:pPr>
        <w:autoSpaceDE w:val="0"/>
        <w:autoSpaceDN w:val="0"/>
        <w:adjustRightInd w:val="0"/>
        <w:spacing w:after="0" w:line="240" w:lineRule="auto"/>
        <w:rPr>
          <w:rFonts w:ascii="Arial Narrow" w:eastAsia="Calibri" w:hAnsi="Arial Narrow" w:cs="Arial"/>
          <w:i/>
          <w:lang w:val="en-GB" w:eastAsia="en-US"/>
        </w:rPr>
      </w:pPr>
    </w:p>
    <w:p w14:paraId="078712A4" w14:textId="5B59B47B" w:rsidR="00D66171" w:rsidRDefault="00D66171" w:rsidP="00D66171">
      <w:pPr>
        <w:suppressAutoHyphens/>
        <w:spacing w:after="120"/>
        <w:rPr>
          <w:rFonts w:ascii="Arial Narrow" w:hAnsi="Arial Narrow"/>
        </w:rPr>
      </w:pPr>
      <w:r w:rsidRPr="00D66171">
        <w:rPr>
          <w:rFonts w:ascii="Arial Narrow" w:hAnsi="Arial Narrow"/>
        </w:rPr>
        <w:t xml:space="preserve">The first quarter of the year saw the progressive implementation of vaccination campaigns </w:t>
      </w:r>
      <w:r w:rsidR="009A4928">
        <w:rPr>
          <w:rFonts w:ascii="Arial Narrow" w:hAnsi="Arial Narrow"/>
        </w:rPr>
        <w:t>marked by</w:t>
      </w:r>
      <w:r w:rsidRPr="00D66171">
        <w:rPr>
          <w:rFonts w:ascii="Arial Narrow" w:hAnsi="Arial Narrow"/>
        </w:rPr>
        <w:t xml:space="preserve"> uncertainties in the choice of vaccines and the </w:t>
      </w:r>
      <w:r w:rsidR="009A4928">
        <w:rPr>
          <w:rFonts w:ascii="Arial Narrow" w:hAnsi="Arial Narrow"/>
        </w:rPr>
        <w:t>supply chain</w:t>
      </w:r>
      <w:r w:rsidRPr="00D66171">
        <w:rPr>
          <w:rFonts w:ascii="Arial Narrow" w:hAnsi="Arial Narrow"/>
        </w:rPr>
        <w:t xml:space="preserve"> of these </w:t>
      </w:r>
      <w:r w:rsidR="00BB6CAF" w:rsidRPr="00D66171">
        <w:rPr>
          <w:rFonts w:ascii="Arial Narrow" w:hAnsi="Arial Narrow"/>
        </w:rPr>
        <w:t>programs</w:t>
      </w:r>
      <w:r w:rsidR="00A07187" w:rsidRPr="00A07187">
        <w:rPr>
          <w:rFonts w:ascii="Arial Narrow" w:hAnsi="Arial Narrow"/>
        </w:rPr>
        <w:t xml:space="preserve">. </w:t>
      </w:r>
      <w:r>
        <w:rPr>
          <w:rFonts w:ascii="Arial Narrow" w:hAnsi="Arial Narrow"/>
        </w:rPr>
        <w:t xml:space="preserve">However, many countries have had to resort yet again to </w:t>
      </w:r>
      <w:r w:rsidR="009A4928">
        <w:rPr>
          <w:rFonts w:ascii="Arial Narrow" w:hAnsi="Arial Narrow"/>
        </w:rPr>
        <w:t xml:space="preserve">containment </w:t>
      </w:r>
      <w:r>
        <w:rPr>
          <w:rFonts w:ascii="Arial Narrow" w:hAnsi="Arial Narrow"/>
        </w:rPr>
        <w:t>measures to slow the pandemic.</w:t>
      </w:r>
    </w:p>
    <w:p w14:paraId="5814E73A" w14:textId="53795FEA" w:rsidR="00D66171" w:rsidRDefault="00A07187" w:rsidP="00A07187">
      <w:pPr>
        <w:suppressAutoHyphens/>
        <w:spacing w:after="120"/>
        <w:rPr>
          <w:rFonts w:ascii="Arial Narrow" w:hAnsi="Arial Narrow"/>
        </w:rPr>
      </w:pPr>
      <w:r w:rsidRPr="00A07187">
        <w:rPr>
          <w:rFonts w:ascii="Arial Narrow" w:hAnsi="Arial Narrow"/>
        </w:rPr>
        <w:t xml:space="preserve">Economic activity reached new highs in countries that </w:t>
      </w:r>
      <w:r w:rsidR="00D66171">
        <w:rPr>
          <w:rFonts w:ascii="Arial Narrow" w:hAnsi="Arial Narrow"/>
        </w:rPr>
        <w:t xml:space="preserve">were less affected by the pandemic </w:t>
      </w:r>
      <w:r w:rsidRPr="00A07187">
        <w:rPr>
          <w:rFonts w:ascii="Arial Narrow" w:hAnsi="Arial Narrow"/>
        </w:rPr>
        <w:t xml:space="preserve">(Asia in particular) or that </w:t>
      </w:r>
      <w:r w:rsidR="00D66171">
        <w:rPr>
          <w:rFonts w:ascii="Arial Narrow" w:hAnsi="Arial Narrow"/>
        </w:rPr>
        <w:t xml:space="preserve">were in their re-opening phase </w:t>
      </w:r>
      <w:r w:rsidRPr="00A07187">
        <w:rPr>
          <w:rFonts w:ascii="Arial Narrow" w:hAnsi="Arial Narrow"/>
        </w:rPr>
        <w:t xml:space="preserve">(United States), </w:t>
      </w:r>
      <w:r w:rsidR="00D66171">
        <w:rPr>
          <w:rFonts w:ascii="Arial Narrow" w:hAnsi="Arial Narrow"/>
        </w:rPr>
        <w:t>triggering upward pressure on prices in transport, semiconductors, and certain commodities</w:t>
      </w:r>
      <w:r w:rsidRPr="00A07187">
        <w:rPr>
          <w:rFonts w:ascii="Arial Narrow" w:hAnsi="Arial Narrow"/>
        </w:rPr>
        <w:t xml:space="preserve">. </w:t>
      </w:r>
      <w:r w:rsidR="009A4928">
        <w:rPr>
          <w:rFonts w:ascii="Arial Narrow" w:hAnsi="Arial Narrow"/>
        </w:rPr>
        <w:t>The vote of</w:t>
      </w:r>
      <w:r w:rsidR="00D66171">
        <w:rPr>
          <w:rFonts w:ascii="Arial Narrow" w:hAnsi="Arial Narrow"/>
        </w:rPr>
        <w:t xml:space="preserve"> major stimulus packages has boosted expectations for recovery and sparked a revival of inflation </w:t>
      </w:r>
      <w:r w:rsidR="009A4928">
        <w:rPr>
          <w:rFonts w:ascii="Arial Narrow" w:hAnsi="Arial Narrow"/>
        </w:rPr>
        <w:t>anticipations</w:t>
      </w:r>
      <w:r w:rsidR="00D66171">
        <w:rPr>
          <w:rFonts w:ascii="Arial Narrow" w:hAnsi="Arial Narrow"/>
        </w:rPr>
        <w:t>.</w:t>
      </w:r>
    </w:p>
    <w:p w14:paraId="569BF538" w14:textId="43277B09" w:rsidR="00A07187" w:rsidRPr="00A07187" w:rsidRDefault="00A07187" w:rsidP="00A07187">
      <w:pPr>
        <w:suppressAutoHyphens/>
        <w:spacing w:after="120"/>
        <w:rPr>
          <w:rFonts w:ascii="Arial Narrow" w:hAnsi="Arial Narrow"/>
        </w:rPr>
      </w:pPr>
      <w:r w:rsidRPr="00A07187">
        <w:rPr>
          <w:rFonts w:ascii="Arial Narrow" w:hAnsi="Arial Narrow"/>
        </w:rPr>
        <w:t xml:space="preserve">With a solid balance sheet and a strong underwriting policy, Coface is well positioned to support its clients in this </w:t>
      </w:r>
      <w:r w:rsidR="009A4928">
        <w:rPr>
          <w:rFonts w:ascii="Arial Narrow" w:hAnsi="Arial Narrow"/>
        </w:rPr>
        <w:t>anticipated</w:t>
      </w:r>
      <w:r w:rsidRPr="00A07187">
        <w:rPr>
          <w:rFonts w:ascii="Arial Narrow" w:hAnsi="Arial Narrow"/>
        </w:rPr>
        <w:t xml:space="preserve"> recovery phase.</w:t>
      </w:r>
    </w:p>
    <w:p w14:paraId="1424C444" w14:textId="58F97C1F" w:rsidR="00BD4D1B" w:rsidRPr="00B30555" w:rsidRDefault="00A07187" w:rsidP="00D66171">
      <w:pPr>
        <w:suppressAutoHyphens/>
        <w:spacing w:after="120"/>
        <w:rPr>
          <w:rFonts w:ascii="Arial Narrow" w:hAnsi="Arial Narrow" w:cs="Arial"/>
          <w:lang w:val="en-GB" w:eastAsia="fr-FR"/>
        </w:rPr>
      </w:pPr>
      <w:r w:rsidRPr="00A07187">
        <w:rPr>
          <w:rFonts w:ascii="Arial Narrow" w:hAnsi="Arial Narrow"/>
        </w:rPr>
        <w:t xml:space="preserve">Coface is also continuing </w:t>
      </w:r>
      <w:r w:rsidR="00D66171" w:rsidRPr="00D66171">
        <w:rPr>
          <w:rFonts w:ascii="Arial Narrow" w:hAnsi="Arial Narrow"/>
        </w:rPr>
        <w:t>its investments and development in the framework of its strategic plan</w:t>
      </w:r>
      <w:r w:rsidR="009A4928">
        <w:rPr>
          <w:rFonts w:ascii="Arial Narrow" w:hAnsi="Arial Narrow"/>
        </w:rPr>
        <w:t>, including in the information business.</w:t>
      </w:r>
    </w:p>
    <w:p w14:paraId="618A13D5" w14:textId="77777777" w:rsidR="00BD4D1B" w:rsidRDefault="00BD4D1B" w:rsidP="00BD4D1B">
      <w:pPr>
        <w:tabs>
          <w:tab w:val="left" w:pos="4090"/>
        </w:tabs>
        <w:suppressAutoHyphens/>
        <w:spacing w:after="0" w:line="240" w:lineRule="auto"/>
        <w:ind w:right="-121"/>
        <w:rPr>
          <w:rFonts w:ascii="Arial Narrow" w:hAnsi="Arial Narrow" w:cs="Arial"/>
          <w:b/>
          <w:bCs/>
          <w:lang w:val="en-GB"/>
        </w:rPr>
      </w:pPr>
    </w:p>
    <w:p w14:paraId="0927B5E3" w14:textId="74A8B1D7" w:rsidR="00221EE0" w:rsidRDefault="00221EE0" w:rsidP="00BD4D1B">
      <w:pPr>
        <w:tabs>
          <w:tab w:val="left" w:pos="4090"/>
        </w:tabs>
        <w:suppressAutoHyphens/>
        <w:spacing w:after="0" w:line="240" w:lineRule="auto"/>
        <w:ind w:right="-121"/>
        <w:rPr>
          <w:rFonts w:ascii="Arial Narrow" w:hAnsi="Arial Narrow" w:cs="Arial"/>
          <w:b/>
          <w:bCs/>
          <w:lang w:val="en-GB"/>
        </w:rPr>
      </w:pPr>
    </w:p>
    <w:p w14:paraId="06BB6B89" w14:textId="047C7683" w:rsidR="00D66171" w:rsidRDefault="00D66171" w:rsidP="00BD4D1B">
      <w:pPr>
        <w:tabs>
          <w:tab w:val="left" w:pos="4090"/>
        </w:tabs>
        <w:suppressAutoHyphens/>
        <w:spacing w:after="0" w:line="240" w:lineRule="auto"/>
        <w:ind w:right="-121"/>
        <w:rPr>
          <w:rFonts w:ascii="Arial Narrow" w:hAnsi="Arial Narrow" w:cs="Arial"/>
          <w:b/>
          <w:bCs/>
          <w:lang w:val="en-GB"/>
        </w:rPr>
      </w:pPr>
    </w:p>
    <w:p w14:paraId="35DB279A" w14:textId="77777777" w:rsidR="00D66171" w:rsidRDefault="00D66171" w:rsidP="00BD4D1B">
      <w:pPr>
        <w:tabs>
          <w:tab w:val="left" w:pos="4090"/>
        </w:tabs>
        <w:suppressAutoHyphens/>
        <w:spacing w:after="0" w:line="240" w:lineRule="auto"/>
        <w:ind w:right="-121"/>
        <w:rPr>
          <w:rFonts w:ascii="Arial Narrow" w:hAnsi="Arial Narrow" w:cs="Arial"/>
          <w:b/>
          <w:bCs/>
          <w:lang w:val="en-GB"/>
        </w:rPr>
      </w:pPr>
    </w:p>
    <w:p w14:paraId="3E1BC2DA" w14:textId="77777777" w:rsidR="00221EE0" w:rsidRDefault="00221EE0" w:rsidP="00BD4D1B">
      <w:pPr>
        <w:tabs>
          <w:tab w:val="left" w:pos="4090"/>
        </w:tabs>
        <w:suppressAutoHyphens/>
        <w:spacing w:after="0" w:line="240" w:lineRule="auto"/>
        <w:ind w:right="-121"/>
        <w:rPr>
          <w:rFonts w:ascii="Arial Narrow" w:hAnsi="Arial Narrow" w:cs="Arial"/>
          <w:b/>
          <w:bCs/>
          <w:lang w:val="en-GB"/>
        </w:rPr>
      </w:pPr>
    </w:p>
    <w:p w14:paraId="4A0EF717" w14:textId="77777777" w:rsidR="00221EE0" w:rsidRDefault="00221EE0" w:rsidP="00BD4D1B">
      <w:pPr>
        <w:tabs>
          <w:tab w:val="left" w:pos="4090"/>
        </w:tabs>
        <w:suppressAutoHyphens/>
        <w:spacing w:after="0" w:line="240" w:lineRule="auto"/>
        <w:ind w:right="-121"/>
        <w:rPr>
          <w:rFonts w:ascii="Arial Narrow" w:hAnsi="Arial Narrow" w:cs="Arial"/>
          <w:b/>
          <w:bCs/>
          <w:lang w:val="en-GB"/>
        </w:rPr>
      </w:pPr>
    </w:p>
    <w:p w14:paraId="174EF842" w14:textId="4CB908F3" w:rsidR="00BD4D1B" w:rsidRPr="00B30555" w:rsidRDefault="00BD4D1B" w:rsidP="00BD4D1B">
      <w:pPr>
        <w:spacing w:after="0" w:line="240" w:lineRule="auto"/>
        <w:rPr>
          <w:rFonts w:ascii="Arial Narrow" w:hAnsi="Arial Narrow" w:cs="Arial"/>
          <w:b/>
          <w:lang w:val="en-GB" w:eastAsia="fr-FR"/>
        </w:rPr>
      </w:pPr>
      <w:r w:rsidRPr="00B30555">
        <w:rPr>
          <w:rFonts w:ascii="Arial Narrow" w:hAnsi="Arial Narrow" w:cs="Arial"/>
          <w:b/>
          <w:lang w:val="en-GB" w:eastAsia="fr-FR"/>
        </w:rPr>
        <w:t>Conference call for financial analysts</w:t>
      </w:r>
    </w:p>
    <w:p w14:paraId="4B96AFC0" w14:textId="77777777" w:rsidR="00BD4D1B" w:rsidRPr="00B30555" w:rsidRDefault="00BD4D1B" w:rsidP="00BD4D1B">
      <w:pPr>
        <w:autoSpaceDE w:val="0"/>
        <w:autoSpaceDN w:val="0"/>
        <w:adjustRightInd w:val="0"/>
        <w:spacing w:after="0" w:line="240" w:lineRule="auto"/>
        <w:rPr>
          <w:rFonts w:ascii="Arial Narrow" w:hAnsi="Arial Narrow" w:cs="Arial"/>
          <w:lang w:val="en-GB" w:eastAsia="en-US"/>
        </w:rPr>
      </w:pPr>
    </w:p>
    <w:p w14:paraId="6EE1464B" w14:textId="618AEA85" w:rsidR="00BD4D1B" w:rsidRPr="00B30555" w:rsidRDefault="00BD4D1B" w:rsidP="00BD4D1B">
      <w:pPr>
        <w:autoSpaceDE w:val="0"/>
        <w:autoSpaceDN w:val="0"/>
        <w:adjustRightInd w:val="0"/>
        <w:spacing w:after="0" w:line="240" w:lineRule="auto"/>
        <w:rPr>
          <w:rFonts w:ascii="Arial Narrow" w:hAnsi="Arial Narrow" w:cs="Arial"/>
          <w:lang w:val="en-GB" w:eastAsia="en-US"/>
        </w:rPr>
      </w:pPr>
      <w:r w:rsidRPr="00B30555">
        <w:rPr>
          <w:rFonts w:ascii="Arial Narrow" w:hAnsi="Arial Narrow" w:cs="Arial"/>
          <w:lang w:val="en-GB" w:eastAsia="en-US"/>
        </w:rPr>
        <w:t xml:space="preserve">Coface’s </w:t>
      </w:r>
      <w:r w:rsidR="009113BD">
        <w:rPr>
          <w:rFonts w:ascii="Arial Narrow" w:hAnsi="Arial Narrow" w:cs="Arial"/>
          <w:lang w:val="en-GB" w:eastAsia="en-US"/>
        </w:rPr>
        <w:t>Q1-20</w:t>
      </w:r>
      <w:r w:rsidR="00D6485F">
        <w:rPr>
          <w:rFonts w:ascii="Arial Narrow" w:hAnsi="Arial Narrow" w:cs="Arial"/>
          <w:lang w:val="en-GB" w:eastAsia="en-US"/>
        </w:rPr>
        <w:t>21</w:t>
      </w:r>
      <w:r w:rsidR="00B01E14" w:rsidRPr="00B30555">
        <w:rPr>
          <w:rFonts w:ascii="Arial Narrow" w:hAnsi="Arial Narrow" w:cs="Arial"/>
          <w:lang w:val="en-GB" w:eastAsia="en-US"/>
        </w:rPr>
        <w:t xml:space="preserve"> </w:t>
      </w:r>
      <w:r w:rsidRPr="00B30555">
        <w:rPr>
          <w:rFonts w:ascii="Arial Narrow" w:hAnsi="Arial Narrow" w:cs="Arial"/>
          <w:lang w:val="en-GB" w:eastAsia="en-US"/>
        </w:rPr>
        <w:t xml:space="preserve">results </w:t>
      </w:r>
      <w:proofErr w:type="gramStart"/>
      <w:r w:rsidRPr="00B30555">
        <w:rPr>
          <w:rFonts w:ascii="Arial Narrow" w:hAnsi="Arial Narrow" w:cs="Arial"/>
          <w:lang w:val="en-GB" w:eastAsia="en-US"/>
        </w:rPr>
        <w:t>will be discussed</w:t>
      </w:r>
      <w:proofErr w:type="gramEnd"/>
      <w:r w:rsidRPr="00B30555">
        <w:rPr>
          <w:rFonts w:ascii="Arial Narrow" w:hAnsi="Arial Narrow" w:cs="Arial"/>
          <w:lang w:val="en-GB" w:eastAsia="en-US"/>
        </w:rPr>
        <w:t xml:space="preserve"> with financial analysts during the conference call on </w:t>
      </w:r>
      <w:r w:rsidR="00D6485F">
        <w:rPr>
          <w:rFonts w:ascii="Arial Narrow" w:hAnsi="Arial Narrow" w:cs="Arial"/>
          <w:lang w:val="en-GB" w:eastAsia="en-US"/>
        </w:rPr>
        <w:t xml:space="preserve">27 April 2021 </w:t>
      </w:r>
      <w:r w:rsidRPr="00B30555">
        <w:rPr>
          <w:rFonts w:ascii="Arial Narrow" w:hAnsi="Arial Narrow" w:cs="Arial"/>
          <w:lang w:val="en-GB" w:eastAsia="en-US"/>
        </w:rPr>
        <w:t>at 18.00 (Paris time).</w:t>
      </w:r>
      <w:r w:rsidRPr="00B30555">
        <w:rPr>
          <w:rFonts w:ascii="Arial Narrow" w:hAnsi="Arial Narrow" w:cs="Arial"/>
          <w:color w:val="FF0000"/>
          <w:lang w:val="en-GB" w:eastAsia="en-US"/>
        </w:rPr>
        <w:t xml:space="preserve"> </w:t>
      </w:r>
      <w:r w:rsidRPr="00B30555">
        <w:rPr>
          <w:rFonts w:ascii="Arial Narrow" w:hAnsi="Arial Narrow" w:cs="Arial"/>
          <w:lang w:val="en-GB" w:eastAsia="en-US"/>
        </w:rPr>
        <w:t>Dial one of the following numbers:</w:t>
      </w:r>
    </w:p>
    <w:p w14:paraId="53529A84" w14:textId="40C4DEE6" w:rsidR="00BD4D1B" w:rsidRPr="00B30555" w:rsidRDefault="00BD4D1B" w:rsidP="00BD4D1B">
      <w:pPr>
        <w:pStyle w:val="ListParagraph"/>
        <w:numPr>
          <w:ilvl w:val="0"/>
          <w:numId w:val="30"/>
        </w:numPr>
        <w:autoSpaceDE w:val="0"/>
        <w:autoSpaceDN w:val="0"/>
        <w:adjustRightInd w:val="0"/>
        <w:spacing w:after="0" w:line="240" w:lineRule="auto"/>
        <w:rPr>
          <w:rFonts w:ascii="Arial Narrow" w:hAnsi="Arial Narrow" w:cs="Arial"/>
          <w:lang w:val="en-GB" w:eastAsia="en-US"/>
        </w:rPr>
      </w:pPr>
      <w:r w:rsidRPr="00F86B0B">
        <w:rPr>
          <w:rFonts w:ascii="Arial Narrow" w:hAnsi="Arial Narrow" w:cs="Arial"/>
          <w:b/>
          <w:lang w:val="en-GB" w:eastAsia="en-US"/>
        </w:rPr>
        <w:t>+33</w:t>
      </w:r>
      <w:r w:rsidR="003E4795">
        <w:rPr>
          <w:rFonts w:ascii="Arial Narrow" w:hAnsi="Arial Narrow" w:cs="Arial"/>
          <w:b/>
          <w:lang w:val="en-GB" w:eastAsia="en-US"/>
        </w:rPr>
        <w:t xml:space="preserve"> 1 </w:t>
      </w:r>
      <w:r w:rsidRPr="00F86B0B">
        <w:rPr>
          <w:rFonts w:ascii="Arial Narrow" w:hAnsi="Arial Narrow" w:cs="Arial"/>
          <w:b/>
          <w:lang w:val="en-GB" w:eastAsia="en-US"/>
        </w:rPr>
        <w:t>72</w:t>
      </w:r>
      <w:r w:rsidR="003E4795">
        <w:rPr>
          <w:rFonts w:ascii="Arial Narrow" w:hAnsi="Arial Narrow" w:cs="Arial"/>
          <w:b/>
          <w:lang w:val="en-GB" w:eastAsia="en-US"/>
        </w:rPr>
        <w:t xml:space="preserve"> </w:t>
      </w:r>
      <w:r w:rsidRPr="00F86B0B">
        <w:rPr>
          <w:rFonts w:ascii="Arial Narrow" w:hAnsi="Arial Narrow" w:cs="Arial"/>
          <w:b/>
          <w:lang w:val="en-GB" w:eastAsia="en-US"/>
        </w:rPr>
        <w:t>72</w:t>
      </w:r>
      <w:r w:rsidR="003E4795">
        <w:rPr>
          <w:rFonts w:ascii="Arial Narrow" w:hAnsi="Arial Narrow" w:cs="Arial"/>
          <w:b/>
          <w:lang w:val="en-GB" w:eastAsia="en-US"/>
        </w:rPr>
        <w:t xml:space="preserve"> </w:t>
      </w:r>
      <w:r w:rsidRPr="00F86B0B">
        <w:rPr>
          <w:rFonts w:ascii="Arial Narrow" w:hAnsi="Arial Narrow" w:cs="Arial"/>
          <w:b/>
          <w:lang w:val="en-GB" w:eastAsia="en-US"/>
        </w:rPr>
        <w:t>74</w:t>
      </w:r>
      <w:r w:rsidR="003E4795">
        <w:rPr>
          <w:rFonts w:ascii="Arial Narrow" w:hAnsi="Arial Narrow" w:cs="Arial"/>
          <w:b/>
          <w:lang w:val="en-GB" w:eastAsia="en-US"/>
        </w:rPr>
        <w:t xml:space="preserve"> </w:t>
      </w:r>
      <w:r w:rsidRPr="00F86B0B">
        <w:rPr>
          <w:rFonts w:ascii="Arial Narrow" w:hAnsi="Arial Narrow" w:cs="Arial"/>
          <w:b/>
          <w:lang w:val="en-GB" w:eastAsia="en-US"/>
        </w:rPr>
        <w:t>03</w:t>
      </w:r>
      <w:r w:rsidRPr="00B30555">
        <w:rPr>
          <w:rFonts w:ascii="Arial Narrow" w:hAnsi="Arial Narrow" w:cs="Arial"/>
          <w:lang w:val="en-GB" w:eastAsia="en-US"/>
        </w:rPr>
        <w:t> (France)</w:t>
      </w:r>
    </w:p>
    <w:p w14:paraId="22FE89C1" w14:textId="67AFBFC4" w:rsidR="00BD4D1B" w:rsidRPr="003E4795" w:rsidRDefault="003E4795" w:rsidP="003E4795">
      <w:pPr>
        <w:pStyle w:val="ListParagraph"/>
        <w:numPr>
          <w:ilvl w:val="0"/>
          <w:numId w:val="30"/>
        </w:numPr>
        <w:autoSpaceDE w:val="0"/>
        <w:autoSpaceDN w:val="0"/>
        <w:adjustRightInd w:val="0"/>
        <w:spacing w:after="0" w:line="240" w:lineRule="auto"/>
        <w:rPr>
          <w:rFonts w:ascii="Arial Narrow" w:hAnsi="Arial Narrow" w:cs="Arial"/>
          <w:lang w:val="en-GB" w:eastAsia="en-US"/>
        </w:rPr>
      </w:pPr>
      <w:r>
        <w:rPr>
          <w:rFonts w:ascii="Arial Narrow" w:hAnsi="Arial Narrow" w:cs="Arial"/>
          <w:b/>
          <w:lang w:val="en-GB" w:eastAsia="en-US"/>
        </w:rPr>
        <w:t xml:space="preserve">+44 207 </w:t>
      </w:r>
      <w:r w:rsidRPr="003E4795">
        <w:rPr>
          <w:rFonts w:ascii="Arial Narrow" w:hAnsi="Arial Narrow" w:cs="Arial"/>
          <w:b/>
          <w:lang w:val="en-GB" w:eastAsia="en-US"/>
        </w:rPr>
        <w:t xml:space="preserve">1943 </w:t>
      </w:r>
      <w:r w:rsidR="00BD4D1B" w:rsidRPr="003E4795">
        <w:rPr>
          <w:rFonts w:ascii="Arial Narrow" w:hAnsi="Arial Narrow" w:cs="Arial"/>
          <w:b/>
          <w:lang w:val="en-GB" w:eastAsia="en-US"/>
        </w:rPr>
        <w:t>759</w:t>
      </w:r>
      <w:r w:rsidR="00BD4D1B" w:rsidRPr="003E4795">
        <w:rPr>
          <w:rFonts w:ascii="Arial Narrow" w:hAnsi="Arial Narrow" w:cs="Arial"/>
          <w:lang w:val="en-GB" w:eastAsia="en-US"/>
        </w:rPr>
        <w:t> (United Kingdom)</w:t>
      </w:r>
    </w:p>
    <w:p w14:paraId="19F775C0" w14:textId="1B638A8F" w:rsidR="00BD4D1B" w:rsidRPr="00B30555" w:rsidRDefault="00BD4D1B" w:rsidP="00BD4D1B">
      <w:pPr>
        <w:pStyle w:val="ListParagraph"/>
        <w:numPr>
          <w:ilvl w:val="0"/>
          <w:numId w:val="30"/>
        </w:numPr>
        <w:autoSpaceDE w:val="0"/>
        <w:autoSpaceDN w:val="0"/>
        <w:adjustRightInd w:val="0"/>
        <w:spacing w:after="0" w:line="240" w:lineRule="auto"/>
        <w:rPr>
          <w:rFonts w:ascii="Arial Narrow" w:hAnsi="Arial Narrow" w:cs="Arial"/>
          <w:lang w:val="en-GB" w:eastAsia="en-US"/>
        </w:rPr>
      </w:pPr>
      <w:r w:rsidRPr="00F86B0B">
        <w:rPr>
          <w:rFonts w:ascii="Arial Narrow" w:hAnsi="Arial Narrow" w:cs="Arial"/>
          <w:b/>
          <w:lang w:val="en-GB" w:eastAsia="en-US"/>
        </w:rPr>
        <w:t>+1</w:t>
      </w:r>
      <w:r w:rsidR="003E4795">
        <w:rPr>
          <w:rFonts w:ascii="Arial Narrow" w:hAnsi="Arial Narrow" w:cs="Arial"/>
          <w:b/>
          <w:lang w:val="en-GB" w:eastAsia="en-US"/>
        </w:rPr>
        <w:t xml:space="preserve"> </w:t>
      </w:r>
      <w:r w:rsidRPr="00F86B0B">
        <w:rPr>
          <w:rFonts w:ascii="Arial Narrow" w:hAnsi="Arial Narrow" w:cs="Arial"/>
          <w:b/>
          <w:lang w:val="en-GB" w:eastAsia="en-US"/>
        </w:rPr>
        <w:t>646</w:t>
      </w:r>
      <w:r w:rsidR="003E4795">
        <w:rPr>
          <w:rFonts w:ascii="Arial Narrow" w:hAnsi="Arial Narrow" w:cs="Arial"/>
          <w:b/>
          <w:lang w:val="en-GB" w:eastAsia="en-US"/>
        </w:rPr>
        <w:t xml:space="preserve"> </w:t>
      </w:r>
      <w:r w:rsidRPr="00F86B0B">
        <w:rPr>
          <w:rFonts w:ascii="Arial Narrow" w:hAnsi="Arial Narrow" w:cs="Arial"/>
          <w:b/>
          <w:lang w:val="en-GB" w:eastAsia="en-US"/>
        </w:rPr>
        <w:t>722</w:t>
      </w:r>
      <w:r w:rsidR="003E4795">
        <w:rPr>
          <w:rFonts w:ascii="Arial Narrow" w:hAnsi="Arial Narrow" w:cs="Arial"/>
          <w:b/>
          <w:lang w:val="en-GB" w:eastAsia="en-US"/>
        </w:rPr>
        <w:t xml:space="preserve"> </w:t>
      </w:r>
      <w:r w:rsidRPr="00F86B0B">
        <w:rPr>
          <w:rFonts w:ascii="Arial Narrow" w:hAnsi="Arial Narrow" w:cs="Arial"/>
          <w:b/>
          <w:lang w:val="en-GB" w:eastAsia="en-US"/>
        </w:rPr>
        <w:t>4916</w:t>
      </w:r>
      <w:r w:rsidRPr="00B30555">
        <w:rPr>
          <w:rFonts w:ascii="Arial Narrow" w:hAnsi="Arial Narrow" w:cs="Arial"/>
          <w:lang w:val="en-GB" w:eastAsia="en-US"/>
        </w:rPr>
        <w:t> (United States)</w:t>
      </w:r>
    </w:p>
    <w:p w14:paraId="456D08E9" w14:textId="77777777" w:rsidR="00BD4D1B" w:rsidRPr="00B30555" w:rsidRDefault="00BD4D1B" w:rsidP="00BD4D1B">
      <w:pPr>
        <w:autoSpaceDE w:val="0"/>
        <w:autoSpaceDN w:val="0"/>
        <w:adjustRightInd w:val="0"/>
        <w:spacing w:after="0" w:line="240" w:lineRule="auto"/>
        <w:rPr>
          <w:rFonts w:ascii="Arial Narrow" w:hAnsi="Arial Narrow" w:cs="Arial"/>
          <w:lang w:val="en-GB" w:eastAsia="en-US"/>
        </w:rPr>
      </w:pPr>
    </w:p>
    <w:p w14:paraId="02FBBB66" w14:textId="3AB31D4D" w:rsidR="00BD4D1B" w:rsidRPr="00D6485F" w:rsidRDefault="00BD4D1B" w:rsidP="00BD4D1B">
      <w:pPr>
        <w:autoSpaceDE w:val="0"/>
        <w:autoSpaceDN w:val="0"/>
        <w:adjustRightInd w:val="0"/>
        <w:spacing w:after="0" w:line="240" w:lineRule="auto"/>
        <w:rPr>
          <w:rFonts w:ascii="Arial Narrow" w:hAnsi="Arial Narrow" w:cs="Arial"/>
          <w:b/>
          <w:lang w:val="en-GB" w:eastAsia="en-US"/>
        </w:rPr>
      </w:pPr>
      <w:r w:rsidRPr="00B30555">
        <w:rPr>
          <w:rFonts w:ascii="Arial Narrow" w:hAnsi="Arial Narrow" w:cs="Arial"/>
          <w:lang w:val="en-GB" w:eastAsia="en-US"/>
        </w:rPr>
        <w:t xml:space="preserve">The access code for participants </w:t>
      </w:r>
      <w:proofErr w:type="gramStart"/>
      <w:r w:rsidRPr="00B30555">
        <w:rPr>
          <w:rFonts w:ascii="Arial Narrow" w:hAnsi="Arial Narrow" w:cs="Arial"/>
          <w:lang w:val="en-GB" w:eastAsia="en-US"/>
        </w:rPr>
        <w:t>is</w:t>
      </w:r>
      <w:r w:rsidR="00FD5CEB">
        <w:rPr>
          <w:rFonts w:ascii="Arial Narrow" w:hAnsi="Arial Narrow" w:cs="Arial"/>
          <w:lang w:val="en-GB" w:eastAsia="en-US"/>
        </w:rPr>
        <w:t>:</w:t>
      </w:r>
      <w:proofErr w:type="gramEnd"/>
      <w:r w:rsidR="00FD5CEB">
        <w:rPr>
          <w:rFonts w:ascii="Arial Narrow" w:hAnsi="Arial Narrow" w:cs="Arial"/>
          <w:lang w:val="en-GB" w:eastAsia="en-US"/>
        </w:rPr>
        <w:t xml:space="preserve"> </w:t>
      </w:r>
      <w:r w:rsidR="00D6485F" w:rsidRPr="00D6485F">
        <w:rPr>
          <w:rFonts w:ascii="Arial Narrow" w:hAnsi="Arial Narrow" w:cs="Arial"/>
          <w:b/>
          <w:lang w:val="en-GB" w:eastAsia="en-US"/>
        </w:rPr>
        <w:t>76744830#</w:t>
      </w:r>
    </w:p>
    <w:p w14:paraId="0E50E8FC" w14:textId="77777777" w:rsidR="00BD4D1B" w:rsidRPr="00B30555" w:rsidRDefault="00BD4D1B" w:rsidP="00BD4D1B">
      <w:pPr>
        <w:autoSpaceDE w:val="0"/>
        <w:autoSpaceDN w:val="0"/>
        <w:adjustRightInd w:val="0"/>
        <w:spacing w:after="0" w:line="240" w:lineRule="auto"/>
        <w:rPr>
          <w:rFonts w:ascii="Arial Narrow" w:hAnsi="Arial Narrow" w:cs="Arial"/>
          <w:lang w:val="en-GB" w:eastAsia="en-US"/>
        </w:rPr>
      </w:pPr>
    </w:p>
    <w:p w14:paraId="5106D67A" w14:textId="77777777" w:rsidR="00BD4D1B" w:rsidRPr="00B30555" w:rsidRDefault="00BD4D1B" w:rsidP="00BD4D1B">
      <w:pPr>
        <w:autoSpaceDE w:val="0"/>
        <w:autoSpaceDN w:val="0"/>
        <w:adjustRightInd w:val="0"/>
        <w:spacing w:after="0" w:line="240" w:lineRule="auto"/>
        <w:rPr>
          <w:rFonts w:ascii="Arial Narrow" w:hAnsi="Arial Narrow" w:cs="Arial"/>
          <w:lang w:val="en-GB" w:eastAsia="en-US"/>
        </w:rPr>
      </w:pPr>
      <w:r w:rsidRPr="00B30555">
        <w:rPr>
          <w:rFonts w:ascii="Arial Narrow" w:hAnsi="Arial Narrow" w:cs="Arial"/>
          <w:lang w:val="en-GB" w:eastAsia="en-US"/>
        </w:rPr>
        <w:t xml:space="preserve">The presentation will be available (in English only) at the following address: </w:t>
      </w:r>
    </w:p>
    <w:p w14:paraId="0E5EE961" w14:textId="77777777" w:rsidR="00BD4D1B" w:rsidRPr="00B30555" w:rsidRDefault="005A0219" w:rsidP="00BD4D1B">
      <w:pPr>
        <w:spacing w:after="0" w:line="240" w:lineRule="auto"/>
        <w:rPr>
          <w:rFonts w:ascii="Arial Narrow" w:hAnsi="Arial Narrow"/>
          <w:lang w:val="en-GB"/>
        </w:rPr>
      </w:pPr>
      <w:hyperlink r:id="rId8" w:history="1">
        <w:r w:rsidR="00BD4D1B" w:rsidRPr="00B30555">
          <w:rPr>
            <w:rStyle w:val="Hyperlink"/>
            <w:rFonts w:ascii="Arial Narrow" w:hAnsi="Arial Narrow" w:cs="Cambria"/>
          </w:rPr>
          <w:t>http://www.coface.com/Investors/financial-results-and-reports</w:t>
        </w:r>
      </w:hyperlink>
      <w:r w:rsidR="00BD4D1B" w:rsidRPr="00B30555">
        <w:rPr>
          <w:rFonts w:ascii="Arial Narrow" w:hAnsi="Arial Narrow"/>
          <w:u w:val="single"/>
          <w:lang w:val="en-GB"/>
        </w:rPr>
        <w:t xml:space="preserve"> </w:t>
      </w:r>
    </w:p>
    <w:p w14:paraId="313CB29E" w14:textId="77777777" w:rsidR="00BD4D1B" w:rsidRPr="00B30555" w:rsidRDefault="00BD4D1B" w:rsidP="00BD4D1B">
      <w:pPr>
        <w:spacing w:after="0" w:line="240" w:lineRule="auto"/>
        <w:rPr>
          <w:rFonts w:ascii="Arial Narrow" w:hAnsi="Arial Narrow" w:cs="Arial"/>
          <w:b/>
          <w:bCs/>
          <w:lang w:val="en-GB"/>
        </w:rPr>
      </w:pPr>
      <w:r w:rsidRPr="00B30555">
        <w:rPr>
          <w:rFonts w:ascii="Arial Narrow" w:hAnsi="Arial Narrow" w:cs="Arial"/>
          <w:b/>
          <w:bCs/>
          <w:color w:val="FF0000"/>
          <w:lang w:val="en-GB"/>
        </w:rPr>
        <w:br w:type="page"/>
      </w:r>
    </w:p>
    <w:p w14:paraId="009D2D58" w14:textId="77777777" w:rsidR="00BD4D1B" w:rsidRPr="00B30555" w:rsidRDefault="00BD4D1B" w:rsidP="00BD4D1B">
      <w:pPr>
        <w:spacing w:after="0" w:line="240" w:lineRule="auto"/>
        <w:rPr>
          <w:rFonts w:ascii="Arial Narrow" w:hAnsi="Arial Narrow" w:cs="Arial"/>
          <w:b/>
          <w:bCs/>
          <w:lang w:val="en-GB"/>
        </w:rPr>
      </w:pPr>
    </w:p>
    <w:p w14:paraId="28E1498F" w14:textId="77777777" w:rsidR="00BD4D1B" w:rsidRPr="00B30555" w:rsidRDefault="00BD4D1B" w:rsidP="00BD4D1B">
      <w:pPr>
        <w:spacing w:after="0" w:line="240" w:lineRule="auto"/>
        <w:jc w:val="center"/>
        <w:rPr>
          <w:rFonts w:ascii="Arial Narrow" w:hAnsi="Arial Narrow" w:cs="Arial"/>
          <w:b/>
          <w:bCs/>
          <w:u w:val="single"/>
          <w:lang w:val="en-GB"/>
        </w:rPr>
      </w:pPr>
      <w:r w:rsidRPr="00B30555">
        <w:rPr>
          <w:rFonts w:ascii="Arial Narrow" w:hAnsi="Arial Narrow" w:cs="Arial"/>
          <w:b/>
          <w:bCs/>
          <w:u w:val="single"/>
          <w:lang w:val="en-GB"/>
        </w:rPr>
        <w:t>Appendix</w:t>
      </w:r>
    </w:p>
    <w:p w14:paraId="65CFBC74" w14:textId="77777777" w:rsidR="00BD4D1B" w:rsidRPr="00B30555" w:rsidRDefault="00BD4D1B" w:rsidP="00BD4D1B">
      <w:pPr>
        <w:spacing w:after="0" w:line="240" w:lineRule="auto"/>
        <w:jc w:val="center"/>
        <w:rPr>
          <w:rFonts w:ascii="Arial Narrow" w:hAnsi="Arial Narrow" w:cs="Arial"/>
          <w:b/>
          <w:bCs/>
          <w:u w:val="single"/>
          <w:lang w:val="en-GB"/>
        </w:rPr>
      </w:pPr>
    </w:p>
    <w:p w14:paraId="6D7D9ABF" w14:textId="77777777" w:rsidR="00BD4D1B" w:rsidRPr="00B30555" w:rsidRDefault="00BD4D1B" w:rsidP="00BD4D1B">
      <w:pPr>
        <w:spacing w:after="0" w:line="240" w:lineRule="auto"/>
        <w:rPr>
          <w:rFonts w:ascii="Arial Narrow" w:hAnsi="Arial Narrow" w:cs="Arial"/>
          <w:bCs/>
          <w:u w:val="single"/>
          <w:lang w:val="en-GB"/>
        </w:rPr>
      </w:pPr>
      <w:r w:rsidRPr="00B30555">
        <w:rPr>
          <w:rFonts w:ascii="Arial Narrow" w:hAnsi="Arial Narrow" w:cs="Arial"/>
          <w:bCs/>
          <w:u w:val="single"/>
          <w:lang w:val="en-GB"/>
        </w:rPr>
        <w:t>Quarterly results</w:t>
      </w:r>
    </w:p>
    <w:p w14:paraId="06A6896D" w14:textId="77777777" w:rsidR="00BD4D1B" w:rsidRPr="00B30555" w:rsidRDefault="00BD4D1B" w:rsidP="00BD4D1B">
      <w:pPr>
        <w:spacing w:after="0" w:line="240" w:lineRule="auto"/>
        <w:rPr>
          <w:rFonts w:ascii="Arial Narrow" w:hAnsi="Arial Narrow" w:cs="Arial"/>
          <w:bCs/>
          <w:u w:val="single"/>
          <w:lang w:val="en-GB"/>
        </w:rPr>
      </w:pPr>
    </w:p>
    <w:tbl>
      <w:tblPr>
        <w:tblW w:w="9094" w:type="dxa"/>
        <w:jc w:val="center"/>
        <w:tblLook w:val="04A0" w:firstRow="1" w:lastRow="0" w:firstColumn="1" w:lastColumn="0" w:noHBand="0" w:noVBand="1"/>
      </w:tblPr>
      <w:tblGrid>
        <w:gridCol w:w="3802"/>
        <w:gridCol w:w="661"/>
        <w:gridCol w:w="661"/>
        <w:gridCol w:w="661"/>
        <w:gridCol w:w="661"/>
        <w:gridCol w:w="661"/>
        <w:gridCol w:w="296"/>
        <w:gridCol w:w="811"/>
        <w:gridCol w:w="880"/>
      </w:tblGrid>
      <w:tr w:rsidR="00567031" w:rsidRPr="00567031" w14:paraId="5ABF2D0A" w14:textId="77777777" w:rsidTr="002409B0">
        <w:trPr>
          <w:trHeight w:val="283"/>
          <w:jc w:val="center"/>
        </w:trPr>
        <w:tc>
          <w:tcPr>
            <w:tcW w:w="3802" w:type="dxa"/>
            <w:tcBorders>
              <w:top w:val="nil"/>
              <w:left w:val="nil"/>
              <w:bottom w:val="nil"/>
              <w:right w:val="nil"/>
            </w:tcBorders>
            <w:shd w:val="clear" w:color="000000" w:fill="03365F"/>
            <w:vAlign w:val="center"/>
            <w:hideMark/>
          </w:tcPr>
          <w:p w14:paraId="55BD9AB9" w14:textId="77777777" w:rsidR="00567031" w:rsidRPr="00567031" w:rsidRDefault="00567031" w:rsidP="00567031">
            <w:pPr>
              <w:spacing w:after="0" w:line="240" w:lineRule="auto"/>
              <w:jc w:val="left"/>
              <w:rPr>
                <w:rFonts w:ascii="Arial Narrow" w:eastAsia="Times New Roman" w:hAnsi="Arial Narrow" w:cs="Calibri"/>
                <w:b/>
                <w:bCs/>
                <w:color w:val="FFFFFF"/>
                <w:sz w:val="16"/>
                <w:szCs w:val="16"/>
                <w:lang w:val="en-GB" w:eastAsia="en-GB"/>
              </w:rPr>
            </w:pPr>
            <w:r w:rsidRPr="00567031">
              <w:rPr>
                <w:rFonts w:ascii="Arial Narrow" w:eastAsia="Times New Roman" w:hAnsi="Arial Narrow" w:cs="Calibri"/>
                <w:b/>
                <w:bCs/>
                <w:color w:val="FFFFFF"/>
                <w:sz w:val="16"/>
                <w:szCs w:val="16"/>
                <w:lang w:val="en-GB" w:eastAsia="en-GB"/>
              </w:rPr>
              <w:t>Income statements items in €m - quarterly figures</w:t>
            </w:r>
          </w:p>
        </w:tc>
        <w:tc>
          <w:tcPr>
            <w:tcW w:w="661" w:type="dxa"/>
            <w:tcBorders>
              <w:top w:val="nil"/>
              <w:left w:val="nil"/>
              <w:bottom w:val="nil"/>
              <w:right w:val="nil"/>
            </w:tcBorders>
            <w:shd w:val="clear" w:color="000000" w:fill="03365F"/>
            <w:noWrap/>
            <w:vAlign w:val="center"/>
            <w:hideMark/>
          </w:tcPr>
          <w:p w14:paraId="65E59E38" w14:textId="77777777" w:rsidR="00567031" w:rsidRPr="00567031" w:rsidRDefault="00567031" w:rsidP="00567031">
            <w:pPr>
              <w:spacing w:after="0" w:line="240" w:lineRule="auto"/>
              <w:jc w:val="right"/>
              <w:rPr>
                <w:rFonts w:ascii="Arial Narrow" w:eastAsia="Times New Roman" w:hAnsi="Arial Narrow" w:cs="Calibri"/>
                <w:b/>
                <w:bCs/>
                <w:color w:val="FFFFFF"/>
                <w:sz w:val="16"/>
                <w:szCs w:val="16"/>
                <w:lang w:val="en-GB" w:eastAsia="en-GB"/>
              </w:rPr>
            </w:pPr>
            <w:r w:rsidRPr="00567031">
              <w:rPr>
                <w:rFonts w:ascii="Arial Narrow" w:eastAsia="Times New Roman" w:hAnsi="Arial Narrow" w:cs="Calibri"/>
                <w:b/>
                <w:bCs/>
                <w:color w:val="FFFFFF"/>
                <w:sz w:val="16"/>
                <w:szCs w:val="16"/>
                <w:lang w:val="en-GB" w:eastAsia="en-GB"/>
              </w:rPr>
              <w:t>Q1-20</w:t>
            </w:r>
          </w:p>
        </w:tc>
        <w:tc>
          <w:tcPr>
            <w:tcW w:w="661" w:type="dxa"/>
            <w:tcBorders>
              <w:top w:val="nil"/>
              <w:left w:val="nil"/>
              <w:bottom w:val="nil"/>
              <w:right w:val="nil"/>
            </w:tcBorders>
            <w:shd w:val="clear" w:color="000000" w:fill="03365F"/>
            <w:noWrap/>
            <w:vAlign w:val="center"/>
            <w:hideMark/>
          </w:tcPr>
          <w:p w14:paraId="34F3C394" w14:textId="77777777" w:rsidR="00567031" w:rsidRPr="00567031" w:rsidRDefault="00567031" w:rsidP="00567031">
            <w:pPr>
              <w:spacing w:after="0" w:line="240" w:lineRule="auto"/>
              <w:jc w:val="right"/>
              <w:rPr>
                <w:rFonts w:ascii="Arial Narrow" w:eastAsia="Times New Roman" w:hAnsi="Arial Narrow" w:cs="Calibri"/>
                <w:b/>
                <w:bCs/>
                <w:color w:val="FFFFFF"/>
                <w:sz w:val="16"/>
                <w:szCs w:val="16"/>
                <w:lang w:val="en-GB" w:eastAsia="en-GB"/>
              </w:rPr>
            </w:pPr>
            <w:r w:rsidRPr="00567031">
              <w:rPr>
                <w:rFonts w:ascii="Arial Narrow" w:eastAsia="Times New Roman" w:hAnsi="Arial Narrow" w:cs="Calibri"/>
                <w:b/>
                <w:bCs/>
                <w:color w:val="FFFFFF"/>
                <w:sz w:val="16"/>
                <w:szCs w:val="16"/>
                <w:lang w:val="en-GB" w:eastAsia="en-GB"/>
              </w:rPr>
              <w:t>Q2-20</w:t>
            </w:r>
          </w:p>
        </w:tc>
        <w:tc>
          <w:tcPr>
            <w:tcW w:w="661" w:type="dxa"/>
            <w:tcBorders>
              <w:top w:val="nil"/>
              <w:left w:val="nil"/>
              <w:bottom w:val="nil"/>
              <w:right w:val="nil"/>
            </w:tcBorders>
            <w:shd w:val="clear" w:color="000000" w:fill="03365F"/>
            <w:noWrap/>
            <w:vAlign w:val="center"/>
            <w:hideMark/>
          </w:tcPr>
          <w:p w14:paraId="06A2DA90" w14:textId="77777777" w:rsidR="00567031" w:rsidRPr="00567031" w:rsidRDefault="00567031" w:rsidP="00567031">
            <w:pPr>
              <w:spacing w:after="0" w:line="240" w:lineRule="auto"/>
              <w:jc w:val="right"/>
              <w:rPr>
                <w:rFonts w:ascii="Arial Narrow" w:eastAsia="Times New Roman" w:hAnsi="Arial Narrow" w:cs="Calibri"/>
                <w:b/>
                <w:bCs/>
                <w:color w:val="FFFFFF"/>
                <w:sz w:val="16"/>
                <w:szCs w:val="16"/>
                <w:lang w:val="en-GB" w:eastAsia="en-GB"/>
              </w:rPr>
            </w:pPr>
            <w:r w:rsidRPr="00567031">
              <w:rPr>
                <w:rFonts w:ascii="Arial Narrow" w:eastAsia="Times New Roman" w:hAnsi="Arial Narrow" w:cs="Calibri"/>
                <w:b/>
                <w:bCs/>
                <w:color w:val="FFFFFF"/>
                <w:sz w:val="16"/>
                <w:szCs w:val="16"/>
                <w:lang w:val="en-GB" w:eastAsia="en-GB"/>
              </w:rPr>
              <w:t>Q3-20</w:t>
            </w:r>
          </w:p>
        </w:tc>
        <w:tc>
          <w:tcPr>
            <w:tcW w:w="661" w:type="dxa"/>
            <w:tcBorders>
              <w:top w:val="nil"/>
              <w:left w:val="nil"/>
              <w:bottom w:val="nil"/>
              <w:right w:val="nil"/>
            </w:tcBorders>
            <w:shd w:val="clear" w:color="000000" w:fill="03365F"/>
            <w:noWrap/>
            <w:vAlign w:val="center"/>
            <w:hideMark/>
          </w:tcPr>
          <w:p w14:paraId="30A778F7" w14:textId="77777777" w:rsidR="00567031" w:rsidRPr="00567031" w:rsidRDefault="00567031" w:rsidP="00567031">
            <w:pPr>
              <w:spacing w:after="0" w:line="240" w:lineRule="auto"/>
              <w:jc w:val="right"/>
              <w:rPr>
                <w:rFonts w:ascii="Arial Narrow" w:eastAsia="Times New Roman" w:hAnsi="Arial Narrow" w:cs="Calibri"/>
                <w:b/>
                <w:bCs/>
                <w:color w:val="FFFFFF"/>
                <w:sz w:val="16"/>
                <w:szCs w:val="16"/>
                <w:lang w:val="en-GB" w:eastAsia="en-GB"/>
              </w:rPr>
            </w:pPr>
            <w:r w:rsidRPr="00567031">
              <w:rPr>
                <w:rFonts w:ascii="Arial Narrow" w:eastAsia="Times New Roman" w:hAnsi="Arial Narrow" w:cs="Calibri"/>
                <w:b/>
                <w:bCs/>
                <w:color w:val="FFFFFF"/>
                <w:sz w:val="16"/>
                <w:szCs w:val="16"/>
                <w:lang w:val="en-GB" w:eastAsia="en-GB"/>
              </w:rPr>
              <w:t>Q4-20</w:t>
            </w:r>
          </w:p>
        </w:tc>
        <w:tc>
          <w:tcPr>
            <w:tcW w:w="661" w:type="dxa"/>
            <w:tcBorders>
              <w:top w:val="nil"/>
              <w:left w:val="nil"/>
              <w:bottom w:val="nil"/>
              <w:right w:val="nil"/>
            </w:tcBorders>
            <w:shd w:val="clear" w:color="000000" w:fill="18B3B9"/>
            <w:noWrap/>
            <w:vAlign w:val="center"/>
            <w:hideMark/>
          </w:tcPr>
          <w:p w14:paraId="23D86D7B" w14:textId="48B768B8" w:rsidR="00567031" w:rsidRPr="00567031" w:rsidRDefault="00375A96" w:rsidP="00567031">
            <w:pPr>
              <w:spacing w:after="0" w:line="240" w:lineRule="auto"/>
              <w:jc w:val="right"/>
              <w:rPr>
                <w:rFonts w:ascii="Arial Narrow" w:eastAsia="Times New Roman" w:hAnsi="Arial Narrow" w:cs="Calibri"/>
                <w:b/>
                <w:bCs/>
                <w:color w:val="FFFFFF"/>
                <w:sz w:val="16"/>
                <w:szCs w:val="16"/>
                <w:lang w:val="en-GB" w:eastAsia="en-GB"/>
              </w:rPr>
            </w:pPr>
            <w:r>
              <w:rPr>
                <w:rFonts w:ascii="Arial Narrow" w:eastAsia="Times New Roman" w:hAnsi="Arial Narrow" w:cs="Calibri"/>
                <w:b/>
                <w:bCs/>
                <w:color w:val="FFFFFF"/>
                <w:sz w:val="16"/>
                <w:szCs w:val="16"/>
                <w:lang w:val="en-GB" w:eastAsia="en-GB"/>
              </w:rPr>
              <w:t>Q1-21</w:t>
            </w:r>
          </w:p>
        </w:tc>
        <w:tc>
          <w:tcPr>
            <w:tcW w:w="296" w:type="dxa"/>
            <w:tcBorders>
              <w:top w:val="nil"/>
              <w:left w:val="nil"/>
              <w:bottom w:val="nil"/>
              <w:right w:val="nil"/>
            </w:tcBorders>
            <w:shd w:val="clear" w:color="auto" w:fill="auto"/>
            <w:noWrap/>
            <w:vAlign w:val="center"/>
            <w:hideMark/>
          </w:tcPr>
          <w:p w14:paraId="40ECC1AE" w14:textId="77777777" w:rsidR="00567031" w:rsidRPr="00567031" w:rsidRDefault="00567031" w:rsidP="00567031">
            <w:pPr>
              <w:spacing w:after="0" w:line="240" w:lineRule="auto"/>
              <w:jc w:val="right"/>
              <w:rPr>
                <w:rFonts w:ascii="Arial Narrow" w:eastAsia="Times New Roman" w:hAnsi="Arial Narrow" w:cs="Calibri"/>
                <w:b/>
                <w:bCs/>
                <w:color w:val="FFFFFF"/>
                <w:sz w:val="16"/>
                <w:szCs w:val="16"/>
                <w:lang w:val="en-GB" w:eastAsia="en-GB"/>
              </w:rPr>
            </w:pPr>
          </w:p>
        </w:tc>
        <w:tc>
          <w:tcPr>
            <w:tcW w:w="811" w:type="dxa"/>
            <w:tcBorders>
              <w:top w:val="nil"/>
              <w:left w:val="nil"/>
              <w:bottom w:val="nil"/>
              <w:right w:val="nil"/>
            </w:tcBorders>
            <w:shd w:val="clear" w:color="000000" w:fill="03365F"/>
            <w:noWrap/>
            <w:vAlign w:val="center"/>
            <w:hideMark/>
          </w:tcPr>
          <w:p w14:paraId="55CEFA50" w14:textId="77777777" w:rsidR="00567031" w:rsidRPr="00567031" w:rsidRDefault="00567031" w:rsidP="00567031">
            <w:pPr>
              <w:spacing w:after="0" w:line="240" w:lineRule="auto"/>
              <w:jc w:val="center"/>
              <w:rPr>
                <w:rFonts w:ascii="Arial Narrow" w:eastAsia="Times New Roman" w:hAnsi="Arial Narrow" w:cs="Calibri"/>
                <w:b/>
                <w:bCs/>
                <w:color w:val="FFFFFF"/>
                <w:sz w:val="16"/>
                <w:szCs w:val="16"/>
                <w:lang w:val="en-GB" w:eastAsia="en-GB"/>
              </w:rPr>
            </w:pPr>
            <w:r w:rsidRPr="00567031">
              <w:rPr>
                <w:rFonts w:ascii="Arial Narrow" w:eastAsia="Times New Roman" w:hAnsi="Arial Narrow" w:cs="Calibri"/>
                <w:b/>
                <w:bCs/>
                <w:color w:val="FFFFFF"/>
                <w:sz w:val="16"/>
                <w:szCs w:val="16"/>
                <w:lang w:val="en-GB" w:eastAsia="en-GB"/>
              </w:rPr>
              <w:t>%</w:t>
            </w:r>
          </w:p>
        </w:tc>
        <w:tc>
          <w:tcPr>
            <w:tcW w:w="880" w:type="dxa"/>
            <w:tcBorders>
              <w:top w:val="nil"/>
              <w:left w:val="nil"/>
              <w:bottom w:val="nil"/>
              <w:right w:val="nil"/>
            </w:tcBorders>
            <w:shd w:val="clear" w:color="000000" w:fill="03365F"/>
            <w:noWrap/>
            <w:vAlign w:val="center"/>
            <w:hideMark/>
          </w:tcPr>
          <w:p w14:paraId="59399759" w14:textId="77777777" w:rsidR="002409B0" w:rsidRDefault="00567031" w:rsidP="00567031">
            <w:pPr>
              <w:spacing w:after="0" w:line="240" w:lineRule="auto"/>
              <w:jc w:val="center"/>
              <w:rPr>
                <w:rFonts w:ascii="Arial Narrow" w:eastAsia="Times New Roman" w:hAnsi="Arial Narrow" w:cs="Calibri"/>
                <w:b/>
                <w:bCs/>
                <w:color w:val="FFFFFF"/>
                <w:sz w:val="16"/>
                <w:szCs w:val="16"/>
                <w:lang w:val="en-GB" w:eastAsia="en-GB"/>
              </w:rPr>
            </w:pPr>
            <w:r w:rsidRPr="00567031">
              <w:rPr>
                <w:rFonts w:ascii="Arial Narrow" w:eastAsia="Times New Roman" w:hAnsi="Arial Narrow" w:cs="Calibri"/>
                <w:b/>
                <w:bCs/>
                <w:color w:val="FFFFFF"/>
                <w:sz w:val="16"/>
                <w:szCs w:val="16"/>
                <w:lang w:val="en-GB" w:eastAsia="en-GB"/>
              </w:rPr>
              <w:t xml:space="preserve">% </w:t>
            </w:r>
          </w:p>
          <w:p w14:paraId="0065C18F" w14:textId="7E59E1D5" w:rsidR="00567031" w:rsidRPr="00567031" w:rsidRDefault="00567031" w:rsidP="00567031">
            <w:pPr>
              <w:spacing w:after="0" w:line="240" w:lineRule="auto"/>
              <w:jc w:val="center"/>
              <w:rPr>
                <w:rFonts w:ascii="Arial Narrow" w:eastAsia="Times New Roman" w:hAnsi="Arial Narrow" w:cs="Calibri"/>
                <w:b/>
                <w:bCs/>
                <w:color w:val="FFFFFF"/>
                <w:sz w:val="16"/>
                <w:szCs w:val="16"/>
                <w:lang w:val="en-GB" w:eastAsia="en-GB"/>
              </w:rPr>
            </w:pPr>
            <w:r w:rsidRPr="00567031">
              <w:rPr>
                <w:rFonts w:ascii="Arial Narrow" w:eastAsia="Times New Roman" w:hAnsi="Arial Narrow" w:cs="Calibri"/>
                <w:b/>
                <w:bCs/>
                <w:color w:val="FFFFFF"/>
                <w:sz w:val="16"/>
                <w:szCs w:val="16"/>
                <w:lang w:val="en-GB" w:eastAsia="en-GB"/>
              </w:rPr>
              <w:t>ex. FX*</w:t>
            </w:r>
          </w:p>
        </w:tc>
      </w:tr>
      <w:tr w:rsidR="00567031" w:rsidRPr="00567031" w14:paraId="2340B93A" w14:textId="77777777" w:rsidTr="002409B0">
        <w:trPr>
          <w:trHeight w:val="283"/>
          <w:jc w:val="center"/>
        </w:trPr>
        <w:tc>
          <w:tcPr>
            <w:tcW w:w="3802" w:type="dxa"/>
            <w:tcBorders>
              <w:top w:val="single" w:sz="4" w:space="0" w:color="BFBFBF"/>
              <w:left w:val="nil"/>
              <w:bottom w:val="single" w:sz="4" w:space="0" w:color="BFBFBF"/>
              <w:right w:val="nil"/>
            </w:tcBorders>
            <w:shd w:val="clear" w:color="auto" w:fill="auto"/>
            <w:noWrap/>
            <w:vAlign w:val="bottom"/>
            <w:hideMark/>
          </w:tcPr>
          <w:p w14:paraId="732FCB46" w14:textId="77777777" w:rsidR="00567031" w:rsidRPr="00567031" w:rsidRDefault="00567031" w:rsidP="00567031">
            <w:pPr>
              <w:spacing w:after="0" w:line="240" w:lineRule="auto"/>
              <w:jc w:val="left"/>
              <w:rPr>
                <w:rFonts w:ascii="Arial Narrow" w:eastAsia="Times New Roman" w:hAnsi="Arial Narrow" w:cs="Calibri"/>
                <w:sz w:val="16"/>
                <w:szCs w:val="16"/>
                <w:lang w:val="en-GB" w:eastAsia="en-GB"/>
              </w:rPr>
            </w:pPr>
            <w:r w:rsidRPr="00567031">
              <w:rPr>
                <w:rFonts w:ascii="Arial Narrow" w:eastAsia="Times New Roman" w:hAnsi="Arial Narrow" w:cs="Calibri"/>
                <w:sz w:val="16"/>
                <w:szCs w:val="16"/>
                <w:lang w:val="en-GB" w:eastAsia="en-GB"/>
              </w:rPr>
              <w:t>Gross earned premiums</w:t>
            </w:r>
          </w:p>
        </w:tc>
        <w:tc>
          <w:tcPr>
            <w:tcW w:w="661" w:type="dxa"/>
            <w:tcBorders>
              <w:top w:val="single" w:sz="4" w:space="0" w:color="BFBFBF"/>
              <w:left w:val="nil"/>
              <w:bottom w:val="single" w:sz="4" w:space="0" w:color="BFBFBF"/>
              <w:right w:val="nil"/>
            </w:tcBorders>
            <w:shd w:val="clear" w:color="000000" w:fill="F2F2F2"/>
            <w:noWrap/>
            <w:vAlign w:val="center"/>
            <w:hideMark/>
          </w:tcPr>
          <w:p w14:paraId="0B962136" w14:textId="77777777" w:rsidR="00567031" w:rsidRPr="00567031" w:rsidRDefault="00567031" w:rsidP="00567031">
            <w:pPr>
              <w:spacing w:after="0" w:line="240" w:lineRule="auto"/>
              <w:jc w:val="right"/>
              <w:rPr>
                <w:rFonts w:ascii="Arial Narrow" w:eastAsia="Times New Roman" w:hAnsi="Arial Narrow" w:cs="Calibri"/>
                <w:sz w:val="16"/>
                <w:szCs w:val="16"/>
                <w:lang w:val="en-GB" w:eastAsia="en-GB"/>
              </w:rPr>
            </w:pPr>
            <w:r w:rsidRPr="00567031">
              <w:rPr>
                <w:rFonts w:ascii="Arial Narrow" w:eastAsia="Times New Roman" w:hAnsi="Arial Narrow" w:cs="Calibri"/>
                <w:sz w:val="16"/>
                <w:szCs w:val="16"/>
                <w:lang w:val="en-GB" w:eastAsia="en-GB"/>
              </w:rPr>
              <w:t>301.2</w:t>
            </w:r>
          </w:p>
        </w:tc>
        <w:tc>
          <w:tcPr>
            <w:tcW w:w="661" w:type="dxa"/>
            <w:tcBorders>
              <w:top w:val="single" w:sz="4" w:space="0" w:color="BFBFBF"/>
              <w:left w:val="nil"/>
              <w:bottom w:val="single" w:sz="4" w:space="0" w:color="BFBFBF"/>
              <w:right w:val="nil"/>
            </w:tcBorders>
            <w:shd w:val="clear" w:color="auto" w:fill="auto"/>
            <w:noWrap/>
            <w:vAlign w:val="center"/>
            <w:hideMark/>
          </w:tcPr>
          <w:p w14:paraId="1984D3EF" w14:textId="77777777" w:rsidR="00567031" w:rsidRPr="00567031" w:rsidRDefault="00567031" w:rsidP="00567031">
            <w:pPr>
              <w:spacing w:after="0" w:line="240" w:lineRule="auto"/>
              <w:jc w:val="right"/>
              <w:rPr>
                <w:rFonts w:ascii="Arial Narrow" w:eastAsia="Times New Roman" w:hAnsi="Arial Narrow" w:cs="Calibri"/>
                <w:sz w:val="16"/>
                <w:szCs w:val="16"/>
                <w:lang w:val="en-GB" w:eastAsia="en-GB"/>
              </w:rPr>
            </w:pPr>
            <w:r w:rsidRPr="00567031">
              <w:rPr>
                <w:rFonts w:ascii="Arial Narrow" w:eastAsia="Times New Roman" w:hAnsi="Arial Narrow" w:cs="Calibri"/>
                <w:sz w:val="16"/>
                <w:szCs w:val="16"/>
                <w:lang w:val="en-GB" w:eastAsia="en-GB"/>
              </w:rPr>
              <w:t>297.9</w:t>
            </w:r>
          </w:p>
        </w:tc>
        <w:tc>
          <w:tcPr>
            <w:tcW w:w="661" w:type="dxa"/>
            <w:tcBorders>
              <w:top w:val="single" w:sz="4" w:space="0" w:color="BFBFBF"/>
              <w:left w:val="nil"/>
              <w:bottom w:val="single" w:sz="4" w:space="0" w:color="BFBFBF"/>
              <w:right w:val="nil"/>
            </w:tcBorders>
            <w:shd w:val="clear" w:color="auto" w:fill="auto"/>
            <w:noWrap/>
            <w:vAlign w:val="center"/>
            <w:hideMark/>
          </w:tcPr>
          <w:p w14:paraId="17C33DF6" w14:textId="77777777" w:rsidR="00567031" w:rsidRPr="00567031" w:rsidRDefault="00567031" w:rsidP="00567031">
            <w:pPr>
              <w:spacing w:after="0" w:line="240" w:lineRule="auto"/>
              <w:jc w:val="right"/>
              <w:rPr>
                <w:rFonts w:ascii="Arial Narrow" w:eastAsia="Times New Roman" w:hAnsi="Arial Narrow" w:cs="Calibri"/>
                <w:sz w:val="16"/>
                <w:szCs w:val="16"/>
                <w:lang w:val="en-GB" w:eastAsia="en-GB"/>
              </w:rPr>
            </w:pPr>
            <w:r w:rsidRPr="00567031">
              <w:rPr>
                <w:rFonts w:ascii="Arial Narrow" w:eastAsia="Times New Roman" w:hAnsi="Arial Narrow" w:cs="Calibri"/>
                <w:sz w:val="16"/>
                <w:szCs w:val="16"/>
                <w:lang w:val="en-GB" w:eastAsia="en-GB"/>
              </w:rPr>
              <w:t>298.1</w:t>
            </w:r>
          </w:p>
        </w:tc>
        <w:tc>
          <w:tcPr>
            <w:tcW w:w="661" w:type="dxa"/>
            <w:tcBorders>
              <w:top w:val="single" w:sz="4" w:space="0" w:color="BFBFBF"/>
              <w:left w:val="nil"/>
              <w:bottom w:val="single" w:sz="4" w:space="0" w:color="BFBFBF"/>
              <w:right w:val="nil"/>
            </w:tcBorders>
            <w:shd w:val="clear" w:color="auto" w:fill="auto"/>
            <w:noWrap/>
            <w:vAlign w:val="center"/>
            <w:hideMark/>
          </w:tcPr>
          <w:p w14:paraId="382CBA71" w14:textId="77777777" w:rsidR="00567031" w:rsidRPr="00567031" w:rsidRDefault="00567031" w:rsidP="00567031">
            <w:pPr>
              <w:spacing w:after="0" w:line="240" w:lineRule="auto"/>
              <w:jc w:val="right"/>
              <w:rPr>
                <w:rFonts w:ascii="Arial Narrow" w:eastAsia="Times New Roman" w:hAnsi="Arial Narrow" w:cs="Calibri"/>
                <w:sz w:val="16"/>
                <w:szCs w:val="16"/>
                <w:lang w:val="en-GB" w:eastAsia="en-GB"/>
              </w:rPr>
            </w:pPr>
            <w:r w:rsidRPr="00567031">
              <w:rPr>
                <w:rFonts w:ascii="Arial Narrow" w:eastAsia="Times New Roman" w:hAnsi="Arial Narrow" w:cs="Calibri"/>
                <w:sz w:val="16"/>
                <w:szCs w:val="16"/>
                <w:lang w:val="en-GB" w:eastAsia="en-GB"/>
              </w:rPr>
              <w:t>307.2</w:t>
            </w:r>
          </w:p>
        </w:tc>
        <w:tc>
          <w:tcPr>
            <w:tcW w:w="661" w:type="dxa"/>
            <w:tcBorders>
              <w:top w:val="single" w:sz="4" w:space="0" w:color="BFBFBF"/>
              <w:left w:val="nil"/>
              <w:bottom w:val="single" w:sz="4" w:space="0" w:color="BFBFBF"/>
              <w:right w:val="nil"/>
            </w:tcBorders>
            <w:shd w:val="clear" w:color="000000" w:fill="D1F0F1"/>
            <w:noWrap/>
            <w:vAlign w:val="center"/>
            <w:hideMark/>
          </w:tcPr>
          <w:p w14:paraId="26F9641C" w14:textId="77777777" w:rsidR="00567031" w:rsidRPr="00567031" w:rsidRDefault="00567031" w:rsidP="00567031">
            <w:pPr>
              <w:spacing w:after="0" w:line="240" w:lineRule="auto"/>
              <w:jc w:val="right"/>
              <w:rPr>
                <w:rFonts w:ascii="Arial Narrow" w:eastAsia="Times New Roman" w:hAnsi="Arial Narrow" w:cs="Calibri"/>
                <w:sz w:val="16"/>
                <w:szCs w:val="16"/>
                <w:lang w:val="en-GB" w:eastAsia="en-GB"/>
              </w:rPr>
            </w:pPr>
            <w:r w:rsidRPr="00567031">
              <w:rPr>
                <w:rFonts w:ascii="Arial Narrow" w:eastAsia="Times New Roman" w:hAnsi="Arial Narrow" w:cs="Calibri"/>
                <w:sz w:val="16"/>
                <w:szCs w:val="16"/>
                <w:lang w:val="en-GB" w:eastAsia="en-GB"/>
              </w:rPr>
              <w:t>312.1</w:t>
            </w:r>
          </w:p>
        </w:tc>
        <w:tc>
          <w:tcPr>
            <w:tcW w:w="296" w:type="dxa"/>
            <w:tcBorders>
              <w:top w:val="nil"/>
              <w:left w:val="nil"/>
              <w:bottom w:val="nil"/>
              <w:right w:val="nil"/>
            </w:tcBorders>
            <w:shd w:val="clear" w:color="auto" w:fill="auto"/>
            <w:noWrap/>
            <w:vAlign w:val="center"/>
            <w:hideMark/>
          </w:tcPr>
          <w:p w14:paraId="48823E98" w14:textId="77777777" w:rsidR="00567031" w:rsidRPr="00567031" w:rsidRDefault="00567031" w:rsidP="00567031">
            <w:pPr>
              <w:spacing w:after="0" w:line="240" w:lineRule="auto"/>
              <w:jc w:val="right"/>
              <w:rPr>
                <w:rFonts w:ascii="Arial Narrow" w:eastAsia="Times New Roman" w:hAnsi="Arial Narrow" w:cs="Calibri"/>
                <w:sz w:val="16"/>
                <w:szCs w:val="16"/>
                <w:lang w:val="en-GB" w:eastAsia="en-GB"/>
              </w:rPr>
            </w:pPr>
          </w:p>
        </w:tc>
        <w:tc>
          <w:tcPr>
            <w:tcW w:w="811" w:type="dxa"/>
            <w:tcBorders>
              <w:top w:val="single" w:sz="4" w:space="0" w:color="BFBFBF"/>
              <w:left w:val="nil"/>
              <w:bottom w:val="single" w:sz="4" w:space="0" w:color="BFBFBF"/>
              <w:right w:val="nil"/>
            </w:tcBorders>
            <w:shd w:val="clear" w:color="auto" w:fill="auto"/>
            <w:noWrap/>
            <w:vAlign w:val="center"/>
            <w:hideMark/>
          </w:tcPr>
          <w:p w14:paraId="47A81E71" w14:textId="77777777" w:rsidR="00567031" w:rsidRPr="00567031" w:rsidRDefault="00567031" w:rsidP="00567031">
            <w:pPr>
              <w:spacing w:after="0" w:line="240" w:lineRule="auto"/>
              <w:jc w:val="right"/>
              <w:rPr>
                <w:rFonts w:ascii="Arial Narrow" w:eastAsia="Times New Roman" w:hAnsi="Arial Narrow" w:cs="Calibri"/>
                <w:sz w:val="16"/>
                <w:szCs w:val="16"/>
                <w:lang w:val="en-GB" w:eastAsia="en-GB"/>
              </w:rPr>
            </w:pPr>
            <w:r w:rsidRPr="00567031">
              <w:rPr>
                <w:rFonts w:ascii="Arial Narrow" w:eastAsia="Times New Roman" w:hAnsi="Arial Narrow" w:cs="Calibri"/>
                <w:sz w:val="16"/>
                <w:szCs w:val="16"/>
                <w:lang w:val="en-GB" w:eastAsia="en-GB"/>
              </w:rPr>
              <w:t>+3.6%</w:t>
            </w:r>
          </w:p>
        </w:tc>
        <w:tc>
          <w:tcPr>
            <w:tcW w:w="880" w:type="dxa"/>
            <w:tcBorders>
              <w:top w:val="single" w:sz="4" w:space="0" w:color="BFBFBF"/>
              <w:left w:val="nil"/>
              <w:bottom w:val="single" w:sz="4" w:space="0" w:color="BFBFBF"/>
              <w:right w:val="nil"/>
            </w:tcBorders>
            <w:shd w:val="clear" w:color="auto" w:fill="auto"/>
            <w:noWrap/>
            <w:vAlign w:val="center"/>
            <w:hideMark/>
          </w:tcPr>
          <w:p w14:paraId="17A4AAFF" w14:textId="77777777" w:rsidR="00567031" w:rsidRPr="00567031" w:rsidRDefault="00567031" w:rsidP="00567031">
            <w:pPr>
              <w:spacing w:after="0" w:line="240" w:lineRule="auto"/>
              <w:jc w:val="right"/>
              <w:rPr>
                <w:rFonts w:ascii="Arial Narrow" w:eastAsia="Times New Roman" w:hAnsi="Arial Narrow" w:cs="Calibri"/>
                <w:sz w:val="16"/>
                <w:szCs w:val="16"/>
                <w:lang w:val="en-GB" w:eastAsia="en-GB"/>
              </w:rPr>
            </w:pPr>
            <w:r w:rsidRPr="00567031">
              <w:rPr>
                <w:rFonts w:ascii="Arial Narrow" w:eastAsia="Times New Roman" w:hAnsi="Arial Narrow" w:cs="Calibri"/>
                <w:sz w:val="16"/>
                <w:szCs w:val="16"/>
                <w:lang w:val="en-GB" w:eastAsia="en-GB"/>
              </w:rPr>
              <w:t>+6.1%</w:t>
            </w:r>
          </w:p>
        </w:tc>
      </w:tr>
      <w:tr w:rsidR="00567031" w:rsidRPr="00567031" w14:paraId="6DDB41CE" w14:textId="77777777" w:rsidTr="002409B0">
        <w:trPr>
          <w:trHeight w:val="283"/>
          <w:jc w:val="center"/>
        </w:trPr>
        <w:tc>
          <w:tcPr>
            <w:tcW w:w="3802" w:type="dxa"/>
            <w:tcBorders>
              <w:top w:val="nil"/>
              <w:left w:val="nil"/>
              <w:bottom w:val="nil"/>
              <w:right w:val="nil"/>
            </w:tcBorders>
            <w:shd w:val="clear" w:color="auto" w:fill="auto"/>
            <w:noWrap/>
            <w:vAlign w:val="bottom"/>
            <w:hideMark/>
          </w:tcPr>
          <w:p w14:paraId="050EAF94" w14:textId="77777777" w:rsidR="00567031" w:rsidRPr="00567031" w:rsidRDefault="00567031" w:rsidP="00567031">
            <w:pPr>
              <w:spacing w:after="0" w:line="240" w:lineRule="auto"/>
              <w:jc w:val="left"/>
              <w:rPr>
                <w:rFonts w:ascii="Arial Narrow" w:eastAsia="Times New Roman" w:hAnsi="Arial Narrow" w:cs="Calibri"/>
                <w:sz w:val="16"/>
                <w:szCs w:val="16"/>
                <w:lang w:val="en-GB" w:eastAsia="en-GB"/>
              </w:rPr>
            </w:pPr>
            <w:r w:rsidRPr="00567031">
              <w:rPr>
                <w:rFonts w:ascii="Arial Narrow" w:eastAsia="Times New Roman" w:hAnsi="Arial Narrow" w:cs="Calibri"/>
                <w:sz w:val="16"/>
                <w:szCs w:val="16"/>
                <w:lang w:val="en-GB" w:eastAsia="en-GB"/>
              </w:rPr>
              <w:t>Services revenue</w:t>
            </w:r>
          </w:p>
        </w:tc>
        <w:tc>
          <w:tcPr>
            <w:tcW w:w="661" w:type="dxa"/>
            <w:tcBorders>
              <w:top w:val="nil"/>
              <w:left w:val="nil"/>
              <w:bottom w:val="nil"/>
              <w:right w:val="nil"/>
            </w:tcBorders>
            <w:shd w:val="clear" w:color="000000" w:fill="F2F2F2"/>
            <w:noWrap/>
            <w:vAlign w:val="center"/>
            <w:hideMark/>
          </w:tcPr>
          <w:p w14:paraId="1F727B83" w14:textId="77777777" w:rsidR="00567031" w:rsidRPr="00567031" w:rsidRDefault="00567031" w:rsidP="00567031">
            <w:pPr>
              <w:spacing w:after="0" w:line="240" w:lineRule="auto"/>
              <w:jc w:val="right"/>
              <w:rPr>
                <w:rFonts w:ascii="Arial Narrow" w:eastAsia="Times New Roman" w:hAnsi="Arial Narrow" w:cs="Calibri"/>
                <w:sz w:val="16"/>
                <w:szCs w:val="16"/>
                <w:lang w:val="en-GB" w:eastAsia="en-GB"/>
              </w:rPr>
            </w:pPr>
            <w:r w:rsidRPr="00567031">
              <w:rPr>
                <w:rFonts w:ascii="Arial Narrow" w:eastAsia="Times New Roman" w:hAnsi="Arial Narrow" w:cs="Calibri"/>
                <w:sz w:val="16"/>
                <w:szCs w:val="16"/>
                <w:lang w:val="en-GB" w:eastAsia="en-GB"/>
              </w:rPr>
              <w:t>69.3</w:t>
            </w:r>
          </w:p>
        </w:tc>
        <w:tc>
          <w:tcPr>
            <w:tcW w:w="661" w:type="dxa"/>
            <w:tcBorders>
              <w:top w:val="nil"/>
              <w:left w:val="nil"/>
              <w:bottom w:val="nil"/>
              <w:right w:val="nil"/>
            </w:tcBorders>
            <w:shd w:val="clear" w:color="auto" w:fill="auto"/>
            <w:noWrap/>
            <w:vAlign w:val="center"/>
            <w:hideMark/>
          </w:tcPr>
          <w:p w14:paraId="05F913A8" w14:textId="77777777" w:rsidR="00567031" w:rsidRPr="00567031" w:rsidRDefault="00567031" w:rsidP="00567031">
            <w:pPr>
              <w:spacing w:after="0" w:line="240" w:lineRule="auto"/>
              <w:jc w:val="right"/>
              <w:rPr>
                <w:rFonts w:ascii="Arial Narrow" w:eastAsia="Times New Roman" w:hAnsi="Arial Narrow" w:cs="Calibri"/>
                <w:sz w:val="16"/>
                <w:szCs w:val="16"/>
                <w:lang w:val="en-GB" w:eastAsia="en-GB"/>
              </w:rPr>
            </w:pPr>
            <w:r w:rsidRPr="00567031">
              <w:rPr>
                <w:rFonts w:ascii="Arial Narrow" w:eastAsia="Times New Roman" w:hAnsi="Arial Narrow" w:cs="Calibri"/>
                <w:sz w:val="16"/>
                <w:szCs w:val="16"/>
                <w:lang w:val="en-GB" w:eastAsia="en-GB"/>
              </w:rPr>
              <w:t>56.3</w:t>
            </w:r>
          </w:p>
        </w:tc>
        <w:tc>
          <w:tcPr>
            <w:tcW w:w="661" w:type="dxa"/>
            <w:tcBorders>
              <w:top w:val="nil"/>
              <w:left w:val="nil"/>
              <w:bottom w:val="nil"/>
              <w:right w:val="nil"/>
            </w:tcBorders>
            <w:shd w:val="clear" w:color="auto" w:fill="auto"/>
            <w:noWrap/>
            <w:vAlign w:val="center"/>
            <w:hideMark/>
          </w:tcPr>
          <w:p w14:paraId="3F73B6F3" w14:textId="77777777" w:rsidR="00567031" w:rsidRPr="00567031" w:rsidRDefault="00567031" w:rsidP="00567031">
            <w:pPr>
              <w:spacing w:after="0" w:line="240" w:lineRule="auto"/>
              <w:jc w:val="right"/>
              <w:rPr>
                <w:rFonts w:ascii="Arial Narrow" w:eastAsia="Times New Roman" w:hAnsi="Arial Narrow" w:cs="Calibri"/>
                <w:sz w:val="16"/>
                <w:szCs w:val="16"/>
                <w:lang w:val="en-GB" w:eastAsia="en-GB"/>
              </w:rPr>
            </w:pPr>
            <w:r w:rsidRPr="00567031">
              <w:rPr>
                <w:rFonts w:ascii="Arial Narrow" w:eastAsia="Times New Roman" w:hAnsi="Arial Narrow" w:cs="Calibri"/>
                <w:sz w:val="16"/>
                <w:szCs w:val="16"/>
                <w:lang w:val="en-GB" w:eastAsia="en-GB"/>
              </w:rPr>
              <w:t>59.7</w:t>
            </w:r>
          </w:p>
        </w:tc>
        <w:tc>
          <w:tcPr>
            <w:tcW w:w="661" w:type="dxa"/>
            <w:tcBorders>
              <w:top w:val="nil"/>
              <w:left w:val="nil"/>
              <w:bottom w:val="nil"/>
              <w:right w:val="nil"/>
            </w:tcBorders>
            <w:shd w:val="clear" w:color="auto" w:fill="auto"/>
            <w:noWrap/>
            <w:vAlign w:val="center"/>
            <w:hideMark/>
          </w:tcPr>
          <w:p w14:paraId="553E547A" w14:textId="77777777" w:rsidR="00567031" w:rsidRPr="00567031" w:rsidRDefault="00567031" w:rsidP="00567031">
            <w:pPr>
              <w:spacing w:after="0" w:line="240" w:lineRule="auto"/>
              <w:jc w:val="right"/>
              <w:rPr>
                <w:rFonts w:ascii="Arial Narrow" w:eastAsia="Times New Roman" w:hAnsi="Arial Narrow" w:cs="Calibri"/>
                <w:sz w:val="16"/>
                <w:szCs w:val="16"/>
                <w:lang w:val="en-GB" w:eastAsia="en-GB"/>
              </w:rPr>
            </w:pPr>
            <w:r w:rsidRPr="00567031">
              <w:rPr>
                <w:rFonts w:ascii="Arial Narrow" w:eastAsia="Times New Roman" w:hAnsi="Arial Narrow" w:cs="Calibri"/>
                <w:sz w:val="16"/>
                <w:szCs w:val="16"/>
                <w:lang w:val="en-GB" w:eastAsia="en-GB"/>
              </w:rPr>
              <w:t>61.3</w:t>
            </w:r>
          </w:p>
        </w:tc>
        <w:tc>
          <w:tcPr>
            <w:tcW w:w="661" w:type="dxa"/>
            <w:tcBorders>
              <w:top w:val="nil"/>
              <w:left w:val="nil"/>
              <w:bottom w:val="nil"/>
              <w:right w:val="nil"/>
            </w:tcBorders>
            <w:shd w:val="clear" w:color="000000" w:fill="D1F0F1"/>
            <w:noWrap/>
            <w:vAlign w:val="center"/>
            <w:hideMark/>
          </w:tcPr>
          <w:p w14:paraId="533BC21B" w14:textId="77777777" w:rsidR="00567031" w:rsidRPr="00567031" w:rsidRDefault="00567031" w:rsidP="00567031">
            <w:pPr>
              <w:spacing w:after="0" w:line="240" w:lineRule="auto"/>
              <w:jc w:val="right"/>
              <w:rPr>
                <w:rFonts w:ascii="Arial Narrow" w:eastAsia="Times New Roman" w:hAnsi="Arial Narrow" w:cs="Calibri"/>
                <w:sz w:val="16"/>
                <w:szCs w:val="16"/>
                <w:lang w:val="en-GB" w:eastAsia="en-GB"/>
              </w:rPr>
            </w:pPr>
            <w:r w:rsidRPr="00567031">
              <w:rPr>
                <w:rFonts w:ascii="Arial Narrow" w:eastAsia="Times New Roman" w:hAnsi="Arial Narrow" w:cs="Calibri"/>
                <w:sz w:val="16"/>
                <w:szCs w:val="16"/>
                <w:lang w:val="en-GB" w:eastAsia="en-GB"/>
              </w:rPr>
              <w:t>65.9</w:t>
            </w:r>
          </w:p>
        </w:tc>
        <w:tc>
          <w:tcPr>
            <w:tcW w:w="296" w:type="dxa"/>
            <w:tcBorders>
              <w:top w:val="nil"/>
              <w:left w:val="nil"/>
              <w:bottom w:val="nil"/>
              <w:right w:val="nil"/>
            </w:tcBorders>
            <w:shd w:val="clear" w:color="auto" w:fill="auto"/>
            <w:noWrap/>
            <w:vAlign w:val="center"/>
            <w:hideMark/>
          </w:tcPr>
          <w:p w14:paraId="36927454" w14:textId="77777777" w:rsidR="00567031" w:rsidRPr="00567031" w:rsidRDefault="00567031" w:rsidP="00567031">
            <w:pPr>
              <w:spacing w:after="0" w:line="240" w:lineRule="auto"/>
              <w:jc w:val="right"/>
              <w:rPr>
                <w:rFonts w:ascii="Arial Narrow" w:eastAsia="Times New Roman" w:hAnsi="Arial Narrow" w:cs="Calibri"/>
                <w:sz w:val="16"/>
                <w:szCs w:val="16"/>
                <w:lang w:val="en-GB" w:eastAsia="en-GB"/>
              </w:rPr>
            </w:pPr>
          </w:p>
        </w:tc>
        <w:tc>
          <w:tcPr>
            <w:tcW w:w="811" w:type="dxa"/>
            <w:tcBorders>
              <w:top w:val="nil"/>
              <w:left w:val="nil"/>
              <w:bottom w:val="nil"/>
              <w:right w:val="nil"/>
            </w:tcBorders>
            <w:shd w:val="clear" w:color="auto" w:fill="auto"/>
            <w:noWrap/>
            <w:vAlign w:val="center"/>
            <w:hideMark/>
          </w:tcPr>
          <w:p w14:paraId="2B859149" w14:textId="77777777" w:rsidR="00567031" w:rsidRPr="00567031" w:rsidRDefault="00567031" w:rsidP="00567031">
            <w:pPr>
              <w:spacing w:after="0" w:line="240" w:lineRule="auto"/>
              <w:jc w:val="right"/>
              <w:rPr>
                <w:rFonts w:ascii="Arial Narrow" w:eastAsia="Times New Roman" w:hAnsi="Arial Narrow" w:cs="Calibri"/>
                <w:sz w:val="16"/>
                <w:szCs w:val="16"/>
                <w:lang w:val="en-GB" w:eastAsia="en-GB"/>
              </w:rPr>
            </w:pPr>
            <w:r w:rsidRPr="00567031">
              <w:rPr>
                <w:rFonts w:ascii="Arial Narrow" w:eastAsia="Times New Roman" w:hAnsi="Arial Narrow" w:cs="Calibri"/>
                <w:sz w:val="16"/>
                <w:szCs w:val="16"/>
                <w:lang w:val="en-GB" w:eastAsia="en-GB"/>
              </w:rPr>
              <w:t>(4.9)%</w:t>
            </w:r>
          </w:p>
        </w:tc>
        <w:tc>
          <w:tcPr>
            <w:tcW w:w="880" w:type="dxa"/>
            <w:tcBorders>
              <w:top w:val="nil"/>
              <w:left w:val="nil"/>
              <w:bottom w:val="nil"/>
              <w:right w:val="nil"/>
            </w:tcBorders>
            <w:shd w:val="clear" w:color="auto" w:fill="auto"/>
            <w:noWrap/>
            <w:vAlign w:val="center"/>
            <w:hideMark/>
          </w:tcPr>
          <w:p w14:paraId="3E235E09" w14:textId="77777777" w:rsidR="00567031" w:rsidRPr="00567031" w:rsidRDefault="00567031" w:rsidP="00567031">
            <w:pPr>
              <w:spacing w:after="0" w:line="240" w:lineRule="auto"/>
              <w:jc w:val="right"/>
              <w:rPr>
                <w:rFonts w:ascii="Arial Narrow" w:eastAsia="Times New Roman" w:hAnsi="Arial Narrow" w:cs="Calibri"/>
                <w:sz w:val="16"/>
                <w:szCs w:val="16"/>
                <w:lang w:val="en-GB" w:eastAsia="en-GB"/>
              </w:rPr>
            </w:pPr>
            <w:r w:rsidRPr="00567031">
              <w:rPr>
                <w:rFonts w:ascii="Arial Narrow" w:eastAsia="Times New Roman" w:hAnsi="Arial Narrow" w:cs="Calibri"/>
                <w:sz w:val="16"/>
                <w:szCs w:val="16"/>
                <w:lang w:val="en-GB" w:eastAsia="en-GB"/>
              </w:rPr>
              <w:t>(3.9)%</w:t>
            </w:r>
          </w:p>
        </w:tc>
      </w:tr>
      <w:tr w:rsidR="00567031" w:rsidRPr="00567031" w14:paraId="06CC3036" w14:textId="77777777" w:rsidTr="002409B0">
        <w:trPr>
          <w:trHeight w:val="283"/>
          <w:jc w:val="center"/>
        </w:trPr>
        <w:tc>
          <w:tcPr>
            <w:tcW w:w="3802" w:type="dxa"/>
            <w:tcBorders>
              <w:top w:val="single" w:sz="4" w:space="0" w:color="BFBFBF"/>
              <w:left w:val="nil"/>
              <w:bottom w:val="single" w:sz="8" w:space="0" w:color="BFBFBF"/>
              <w:right w:val="nil"/>
            </w:tcBorders>
            <w:shd w:val="clear" w:color="auto" w:fill="auto"/>
            <w:noWrap/>
            <w:vAlign w:val="bottom"/>
            <w:hideMark/>
          </w:tcPr>
          <w:p w14:paraId="0F786111" w14:textId="77777777" w:rsidR="00567031" w:rsidRPr="00567031" w:rsidRDefault="00567031" w:rsidP="00567031">
            <w:pPr>
              <w:spacing w:after="0" w:line="240" w:lineRule="auto"/>
              <w:jc w:val="left"/>
              <w:rPr>
                <w:rFonts w:ascii="Arial Narrow" w:eastAsia="Times New Roman" w:hAnsi="Arial Narrow" w:cs="Calibri"/>
                <w:b/>
                <w:bCs/>
                <w:sz w:val="16"/>
                <w:szCs w:val="16"/>
                <w:lang w:val="en-GB" w:eastAsia="en-GB"/>
              </w:rPr>
            </w:pPr>
            <w:r w:rsidRPr="00567031">
              <w:rPr>
                <w:rFonts w:ascii="Arial Narrow" w:eastAsia="Times New Roman" w:hAnsi="Arial Narrow" w:cs="Calibri"/>
                <w:b/>
                <w:bCs/>
                <w:sz w:val="16"/>
                <w:szCs w:val="16"/>
                <w:lang w:val="en-GB" w:eastAsia="en-GB"/>
              </w:rPr>
              <w:t>REVENUE</w:t>
            </w:r>
          </w:p>
        </w:tc>
        <w:tc>
          <w:tcPr>
            <w:tcW w:w="661" w:type="dxa"/>
            <w:tcBorders>
              <w:top w:val="single" w:sz="4" w:space="0" w:color="BFBFBF"/>
              <w:left w:val="nil"/>
              <w:bottom w:val="single" w:sz="8" w:space="0" w:color="BFBFBF"/>
              <w:right w:val="nil"/>
            </w:tcBorders>
            <w:shd w:val="clear" w:color="000000" w:fill="F2F2F2"/>
            <w:noWrap/>
            <w:vAlign w:val="center"/>
            <w:hideMark/>
          </w:tcPr>
          <w:p w14:paraId="18308BF1" w14:textId="77777777" w:rsidR="00567031" w:rsidRPr="00567031" w:rsidRDefault="00567031" w:rsidP="00567031">
            <w:pPr>
              <w:spacing w:after="0" w:line="240" w:lineRule="auto"/>
              <w:jc w:val="right"/>
              <w:rPr>
                <w:rFonts w:ascii="Arial Narrow" w:eastAsia="Times New Roman" w:hAnsi="Arial Narrow" w:cs="Calibri"/>
                <w:b/>
                <w:bCs/>
                <w:sz w:val="16"/>
                <w:szCs w:val="16"/>
                <w:lang w:val="en-GB" w:eastAsia="en-GB"/>
              </w:rPr>
            </w:pPr>
            <w:r w:rsidRPr="00567031">
              <w:rPr>
                <w:rFonts w:ascii="Arial Narrow" w:eastAsia="Times New Roman" w:hAnsi="Arial Narrow" w:cs="Calibri"/>
                <w:b/>
                <w:bCs/>
                <w:sz w:val="16"/>
                <w:szCs w:val="16"/>
                <w:lang w:val="en-GB" w:eastAsia="en-GB"/>
              </w:rPr>
              <w:t>370.5</w:t>
            </w:r>
          </w:p>
        </w:tc>
        <w:tc>
          <w:tcPr>
            <w:tcW w:w="661" w:type="dxa"/>
            <w:tcBorders>
              <w:top w:val="single" w:sz="4" w:space="0" w:color="BFBFBF"/>
              <w:left w:val="nil"/>
              <w:bottom w:val="single" w:sz="8" w:space="0" w:color="BFBFBF"/>
              <w:right w:val="nil"/>
            </w:tcBorders>
            <w:shd w:val="clear" w:color="auto" w:fill="auto"/>
            <w:noWrap/>
            <w:vAlign w:val="center"/>
            <w:hideMark/>
          </w:tcPr>
          <w:p w14:paraId="197549F6" w14:textId="77777777" w:rsidR="00567031" w:rsidRPr="00567031" w:rsidRDefault="00567031" w:rsidP="00567031">
            <w:pPr>
              <w:spacing w:after="0" w:line="240" w:lineRule="auto"/>
              <w:jc w:val="right"/>
              <w:rPr>
                <w:rFonts w:ascii="Arial Narrow" w:eastAsia="Times New Roman" w:hAnsi="Arial Narrow" w:cs="Calibri"/>
                <w:b/>
                <w:bCs/>
                <w:sz w:val="16"/>
                <w:szCs w:val="16"/>
                <w:lang w:val="en-GB" w:eastAsia="en-GB"/>
              </w:rPr>
            </w:pPr>
            <w:r w:rsidRPr="00567031">
              <w:rPr>
                <w:rFonts w:ascii="Arial Narrow" w:eastAsia="Times New Roman" w:hAnsi="Arial Narrow" w:cs="Calibri"/>
                <w:b/>
                <w:bCs/>
                <w:sz w:val="16"/>
                <w:szCs w:val="16"/>
                <w:lang w:val="en-GB" w:eastAsia="en-GB"/>
              </w:rPr>
              <w:t>354.2</w:t>
            </w:r>
          </w:p>
        </w:tc>
        <w:tc>
          <w:tcPr>
            <w:tcW w:w="661" w:type="dxa"/>
            <w:tcBorders>
              <w:top w:val="single" w:sz="4" w:space="0" w:color="BFBFBF"/>
              <w:left w:val="nil"/>
              <w:bottom w:val="single" w:sz="8" w:space="0" w:color="BFBFBF"/>
              <w:right w:val="nil"/>
            </w:tcBorders>
            <w:shd w:val="clear" w:color="auto" w:fill="auto"/>
            <w:noWrap/>
            <w:vAlign w:val="center"/>
            <w:hideMark/>
          </w:tcPr>
          <w:p w14:paraId="43A318B1" w14:textId="77777777" w:rsidR="00567031" w:rsidRPr="00567031" w:rsidRDefault="00567031" w:rsidP="00567031">
            <w:pPr>
              <w:spacing w:after="0" w:line="240" w:lineRule="auto"/>
              <w:jc w:val="right"/>
              <w:rPr>
                <w:rFonts w:ascii="Arial Narrow" w:eastAsia="Times New Roman" w:hAnsi="Arial Narrow" w:cs="Calibri"/>
                <w:b/>
                <w:bCs/>
                <w:sz w:val="16"/>
                <w:szCs w:val="16"/>
                <w:lang w:val="en-GB" w:eastAsia="en-GB"/>
              </w:rPr>
            </w:pPr>
            <w:r w:rsidRPr="00567031">
              <w:rPr>
                <w:rFonts w:ascii="Arial Narrow" w:eastAsia="Times New Roman" w:hAnsi="Arial Narrow" w:cs="Calibri"/>
                <w:b/>
                <w:bCs/>
                <w:sz w:val="16"/>
                <w:szCs w:val="16"/>
                <w:lang w:val="en-GB" w:eastAsia="en-GB"/>
              </w:rPr>
              <w:t>357.8</w:t>
            </w:r>
          </w:p>
        </w:tc>
        <w:tc>
          <w:tcPr>
            <w:tcW w:w="661" w:type="dxa"/>
            <w:tcBorders>
              <w:top w:val="single" w:sz="4" w:space="0" w:color="BFBFBF"/>
              <w:left w:val="nil"/>
              <w:bottom w:val="single" w:sz="8" w:space="0" w:color="BFBFBF"/>
              <w:right w:val="nil"/>
            </w:tcBorders>
            <w:shd w:val="clear" w:color="auto" w:fill="auto"/>
            <w:noWrap/>
            <w:vAlign w:val="center"/>
            <w:hideMark/>
          </w:tcPr>
          <w:p w14:paraId="62F70C39" w14:textId="77777777" w:rsidR="00567031" w:rsidRPr="00567031" w:rsidRDefault="00567031" w:rsidP="00567031">
            <w:pPr>
              <w:spacing w:after="0" w:line="240" w:lineRule="auto"/>
              <w:jc w:val="right"/>
              <w:rPr>
                <w:rFonts w:ascii="Arial Narrow" w:eastAsia="Times New Roman" w:hAnsi="Arial Narrow" w:cs="Calibri"/>
                <w:b/>
                <w:bCs/>
                <w:sz w:val="16"/>
                <w:szCs w:val="16"/>
                <w:lang w:val="en-GB" w:eastAsia="en-GB"/>
              </w:rPr>
            </w:pPr>
            <w:r w:rsidRPr="00567031">
              <w:rPr>
                <w:rFonts w:ascii="Arial Narrow" w:eastAsia="Times New Roman" w:hAnsi="Arial Narrow" w:cs="Calibri"/>
                <w:b/>
                <w:bCs/>
                <w:sz w:val="16"/>
                <w:szCs w:val="16"/>
                <w:lang w:val="en-GB" w:eastAsia="en-GB"/>
              </w:rPr>
              <w:t>368.4</w:t>
            </w:r>
          </w:p>
        </w:tc>
        <w:tc>
          <w:tcPr>
            <w:tcW w:w="661" w:type="dxa"/>
            <w:tcBorders>
              <w:top w:val="single" w:sz="4" w:space="0" w:color="BFBFBF"/>
              <w:left w:val="nil"/>
              <w:bottom w:val="single" w:sz="8" w:space="0" w:color="BFBFBF"/>
              <w:right w:val="nil"/>
            </w:tcBorders>
            <w:shd w:val="clear" w:color="000000" w:fill="D1F0F1"/>
            <w:noWrap/>
            <w:vAlign w:val="center"/>
            <w:hideMark/>
          </w:tcPr>
          <w:p w14:paraId="3A9CE350" w14:textId="77777777" w:rsidR="00567031" w:rsidRPr="00567031" w:rsidRDefault="00567031" w:rsidP="00567031">
            <w:pPr>
              <w:spacing w:after="0" w:line="240" w:lineRule="auto"/>
              <w:jc w:val="right"/>
              <w:rPr>
                <w:rFonts w:ascii="Arial Narrow" w:eastAsia="Times New Roman" w:hAnsi="Arial Narrow" w:cs="Calibri"/>
                <w:b/>
                <w:bCs/>
                <w:sz w:val="16"/>
                <w:szCs w:val="16"/>
                <w:lang w:val="en-GB" w:eastAsia="en-GB"/>
              </w:rPr>
            </w:pPr>
            <w:r w:rsidRPr="00567031">
              <w:rPr>
                <w:rFonts w:ascii="Arial Narrow" w:eastAsia="Times New Roman" w:hAnsi="Arial Narrow" w:cs="Calibri"/>
                <w:b/>
                <w:bCs/>
                <w:sz w:val="16"/>
                <w:szCs w:val="16"/>
                <w:lang w:val="en-GB" w:eastAsia="en-GB"/>
              </w:rPr>
              <w:t>377.9</w:t>
            </w:r>
          </w:p>
        </w:tc>
        <w:tc>
          <w:tcPr>
            <w:tcW w:w="296" w:type="dxa"/>
            <w:tcBorders>
              <w:top w:val="nil"/>
              <w:left w:val="nil"/>
              <w:bottom w:val="nil"/>
              <w:right w:val="nil"/>
            </w:tcBorders>
            <w:shd w:val="clear" w:color="auto" w:fill="auto"/>
            <w:noWrap/>
            <w:vAlign w:val="center"/>
            <w:hideMark/>
          </w:tcPr>
          <w:p w14:paraId="2FC95086" w14:textId="77777777" w:rsidR="00567031" w:rsidRPr="00567031" w:rsidRDefault="00567031" w:rsidP="00567031">
            <w:pPr>
              <w:spacing w:after="0" w:line="240" w:lineRule="auto"/>
              <w:jc w:val="right"/>
              <w:rPr>
                <w:rFonts w:ascii="Arial Narrow" w:eastAsia="Times New Roman" w:hAnsi="Arial Narrow" w:cs="Calibri"/>
                <w:b/>
                <w:bCs/>
                <w:sz w:val="16"/>
                <w:szCs w:val="16"/>
                <w:lang w:val="en-GB" w:eastAsia="en-GB"/>
              </w:rPr>
            </w:pPr>
          </w:p>
        </w:tc>
        <w:tc>
          <w:tcPr>
            <w:tcW w:w="811" w:type="dxa"/>
            <w:tcBorders>
              <w:top w:val="single" w:sz="4" w:space="0" w:color="BFBFBF"/>
              <w:left w:val="nil"/>
              <w:bottom w:val="single" w:sz="8" w:space="0" w:color="BFBFBF"/>
              <w:right w:val="nil"/>
            </w:tcBorders>
            <w:shd w:val="clear" w:color="auto" w:fill="auto"/>
            <w:noWrap/>
            <w:vAlign w:val="center"/>
            <w:hideMark/>
          </w:tcPr>
          <w:p w14:paraId="59230410" w14:textId="77777777" w:rsidR="00567031" w:rsidRPr="00567031" w:rsidRDefault="00567031" w:rsidP="00567031">
            <w:pPr>
              <w:spacing w:after="0" w:line="240" w:lineRule="auto"/>
              <w:jc w:val="right"/>
              <w:rPr>
                <w:rFonts w:ascii="Arial Narrow" w:eastAsia="Times New Roman" w:hAnsi="Arial Narrow" w:cs="Calibri"/>
                <w:b/>
                <w:bCs/>
                <w:sz w:val="16"/>
                <w:szCs w:val="16"/>
                <w:lang w:val="en-GB" w:eastAsia="en-GB"/>
              </w:rPr>
            </w:pPr>
            <w:r w:rsidRPr="00567031">
              <w:rPr>
                <w:rFonts w:ascii="Arial Narrow" w:eastAsia="Times New Roman" w:hAnsi="Arial Narrow" w:cs="Calibri"/>
                <w:b/>
                <w:bCs/>
                <w:sz w:val="16"/>
                <w:szCs w:val="16"/>
                <w:lang w:val="en-GB" w:eastAsia="en-GB"/>
              </w:rPr>
              <w:t>+2.0%</w:t>
            </w:r>
          </w:p>
        </w:tc>
        <w:tc>
          <w:tcPr>
            <w:tcW w:w="880" w:type="dxa"/>
            <w:tcBorders>
              <w:top w:val="single" w:sz="4" w:space="0" w:color="BFBFBF"/>
              <w:left w:val="nil"/>
              <w:bottom w:val="single" w:sz="8" w:space="0" w:color="BFBFBF"/>
              <w:right w:val="nil"/>
            </w:tcBorders>
            <w:shd w:val="clear" w:color="auto" w:fill="auto"/>
            <w:noWrap/>
            <w:vAlign w:val="center"/>
            <w:hideMark/>
          </w:tcPr>
          <w:p w14:paraId="2F5FBC6B" w14:textId="77777777" w:rsidR="00567031" w:rsidRPr="00567031" w:rsidRDefault="00567031" w:rsidP="00567031">
            <w:pPr>
              <w:spacing w:after="0" w:line="240" w:lineRule="auto"/>
              <w:jc w:val="right"/>
              <w:rPr>
                <w:rFonts w:ascii="Arial Narrow" w:eastAsia="Times New Roman" w:hAnsi="Arial Narrow" w:cs="Calibri"/>
                <w:b/>
                <w:bCs/>
                <w:sz w:val="16"/>
                <w:szCs w:val="16"/>
                <w:lang w:val="en-GB" w:eastAsia="en-GB"/>
              </w:rPr>
            </w:pPr>
            <w:r w:rsidRPr="00567031">
              <w:rPr>
                <w:rFonts w:ascii="Arial Narrow" w:eastAsia="Times New Roman" w:hAnsi="Arial Narrow" w:cs="Calibri"/>
                <w:b/>
                <w:bCs/>
                <w:sz w:val="16"/>
                <w:szCs w:val="16"/>
                <w:lang w:val="en-GB" w:eastAsia="en-GB"/>
              </w:rPr>
              <w:t>+4.2%</w:t>
            </w:r>
          </w:p>
        </w:tc>
      </w:tr>
      <w:tr w:rsidR="00567031" w:rsidRPr="00567031" w14:paraId="5CCC299B" w14:textId="77777777" w:rsidTr="002409B0">
        <w:trPr>
          <w:trHeight w:val="283"/>
          <w:jc w:val="center"/>
        </w:trPr>
        <w:tc>
          <w:tcPr>
            <w:tcW w:w="3802" w:type="dxa"/>
            <w:tcBorders>
              <w:top w:val="single" w:sz="4" w:space="0" w:color="03365F"/>
              <w:left w:val="nil"/>
              <w:bottom w:val="single" w:sz="8" w:space="0" w:color="03365F"/>
              <w:right w:val="nil"/>
            </w:tcBorders>
            <w:shd w:val="clear" w:color="auto" w:fill="auto"/>
            <w:vAlign w:val="bottom"/>
            <w:hideMark/>
          </w:tcPr>
          <w:p w14:paraId="62624B33" w14:textId="77777777" w:rsidR="00567031" w:rsidRPr="00567031" w:rsidRDefault="00567031" w:rsidP="00567031">
            <w:pPr>
              <w:spacing w:after="0" w:line="240" w:lineRule="auto"/>
              <w:jc w:val="left"/>
              <w:rPr>
                <w:rFonts w:ascii="Arial Narrow" w:eastAsia="Times New Roman" w:hAnsi="Arial Narrow" w:cs="Calibri"/>
                <w:b/>
                <w:bCs/>
                <w:color w:val="03365F"/>
                <w:sz w:val="16"/>
                <w:szCs w:val="16"/>
                <w:lang w:val="en-GB" w:eastAsia="en-GB"/>
              </w:rPr>
            </w:pPr>
            <w:r w:rsidRPr="00567031">
              <w:rPr>
                <w:rFonts w:ascii="Arial Narrow" w:eastAsia="Times New Roman" w:hAnsi="Arial Narrow" w:cs="Calibri"/>
                <w:b/>
                <w:bCs/>
                <w:color w:val="03365F"/>
                <w:sz w:val="16"/>
                <w:szCs w:val="16"/>
                <w:lang w:val="en-GB" w:eastAsia="en-GB"/>
              </w:rPr>
              <w:t>UNDERWRITING INCOME(LOSS) AFTER REINSURANCE</w:t>
            </w:r>
          </w:p>
        </w:tc>
        <w:tc>
          <w:tcPr>
            <w:tcW w:w="661" w:type="dxa"/>
            <w:tcBorders>
              <w:top w:val="single" w:sz="4" w:space="0" w:color="03365F"/>
              <w:left w:val="nil"/>
              <w:bottom w:val="single" w:sz="8" w:space="0" w:color="03365F"/>
              <w:right w:val="nil"/>
            </w:tcBorders>
            <w:shd w:val="clear" w:color="000000" w:fill="F2F2F2"/>
            <w:noWrap/>
            <w:vAlign w:val="center"/>
            <w:hideMark/>
          </w:tcPr>
          <w:p w14:paraId="6FEBDD95" w14:textId="77777777" w:rsidR="00567031" w:rsidRPr="00567031" w:rsidRDefault="00567031" w:rsidP="00567031">
            <w:pPr>
              <w:spacing w:after="0" w:line="240" w:lineRule="auto"/>
              <w:jc w:val="right"/>
              <w:rPr>
                <w:rFonts w:ascii="Arial Narrow" w:eastAsia="Times New Roman" w:hAnsi="Arial Narrow" w:cs="Calibri"/>
                <w:b/>
                <w:bCs/>
                <w:color w:val="03365F"/>
                <w:sz w:val="16"/>
                <w:szCs w:val="16"/>
                <w:lang w:val="en-GB" w:eastAsia="en-GB"/>
              </w:rPr>
            </w:pPr>
            <w:r w:rsidRPr="00567031">
              <w:rPr>
                <w:rFonts w:ascii="Arial Narrow" w:eastAsia="Times New Roman" w:hAnsi="Arial Narrow" w:cs="Calibri"/>
                <w:b/>
                <w:bCs/>
                <w:color w:val="03365F"/>
                <w:sz w:val="16"/>
                <w:szCs w:val="16"/>
                <w:lang w:val="en-GB" w:eastAsia="en-GB"/>
              </w:rPr>
              <w:t>28.2</w:t>
            </w:r>
          </w:p>
        </w:tc>
        <w:tc>
          <w:tcPr>
            <w:tcW w:w="661" w:type="dxa"/>
            <w:tcBorders>
              <w:top w:val="single" w:sz="4" w:space="0" w:color="03365F"/>
              <w:left w:val="nil"/>
              <w:bottom w:val="single" w:sz="8" w:space="0" w:color="03365F"/>
              <w:right w:val="nil"/>
            </w:tcBorders>
            <w:shd w:val="clear" w:color="auto" w:fill="auto"/>
            <w:noWrap/>
            <w:vAlign w:val="center"/>
            <w:hideMark/>
          </w:tcPr>
          <w:p w14:paraId="46A09936" w14:textId="77777777" w:rsidR="00567031" w:rsidRPr="00567031" w:rsidRDefault="00567031" w:rsidP="00567031">
            <w:pPr>
              <w:spacing w:after="0" w:line="240" w:lineRule="auto"/>
              <w:jc w:val="right"/>
              <w:rPr>
                <w:rFonts w:ascii="Arial Narrow" w:eastAsia="Times New Roman" w:hAnsi="Arial Narrow" w:cs="Calibri"/>
                <w:b/>
                <w:bCs/>
                <w:color w:val="03365F"/>
                <w:sz w:val="16"/>
                <w:szCs w:val="16"/>
                <w:lang w:val="en-GB" w:eastAsia="en-GB"/>
              </w:rPr>
            </w:pPr>
            <w:r w:rsidRPr="00567031">
              <w:rPr>
                <w:rFonts w:ascii="Arial Narrow" w:eastAsia="Times New Roman" w:hAnsi="Arial Narrow" w:cs="Calibri"/>
                <w:b/>
                <w:bCs/>
                <w:color w:val="03365F"/>
                <w:sz w:val="16"/>
                <w:szCs w:val="16"/>
                <w:lang w:val="en-GB" w:eastAsia="en-GB"/>
              </w:rPr>
              <w:t>12.1</w:t>
            </w:r>
          </w:p>
        </w:tc>
        <w:tc>
          <w:tcPr>
            <w:tcW w:w="661" w:type="dxa"/>
            <w:tcBorders>
              <w:top w:val="single" w:sz="4" w:space="0" w:color="03365F"/>
              <w:left w:val="nil"/>
              <w:bottom w:val="single" w:sz="8" w:space="0" w:color="03365F"/>
              <w:right w:val="nil"/>
            </w:tcBorders>
            <w:shd w:val="clear" w:color="auto" w:fill="auto"/>
            <w:noWrap/>
            <w:vAlign w:val="center"/>
            <w:hideMark/>
          </w:tcPr>
          <w:p w14:paraId="1A227EAB" w14:textId="77777777" w:rsidR="00567031" w:rsidRPr="00567031" w:rsidRDefault="00567031" w:rsidP="00567031">
            <w:pPr>
              <w:spacing w:after="0" w:line="240" w:lineRule="auto"/>
              <w:jc w:val="right"/>
              <w:rPr>
                <w:rFonts w:ascii="Arial Narrow" w:eastAsia="Times New Roman" w:hAnsi="Arial Narrow" w:cs="Calibri"/>
                <w:b/>
                <w:bCs/>
                <w:color w:val="03365F"/>
                <w:sz w:val="16"/>
                <w:szCs w:val="16"/>
                <w:lang w:val="en-GB" w:eastAsia="en-GB"/>
              </w:rPr>
            </w:pPr>
            <w:r w:rsidRPr="00567031">
              <w:rPr>
                <w:rFonts w:ascii="Arial Narrow" w:eastAsia="Times New Roman" w:hAnsi="Arial Narrow" w:cs="Calibri"/>
                <w:b/>
                <w:bCs/>
                <w:color w:val="03365F"/>
                <w:sz w:val="16"/>
                <w:szCs w:val="16"/>
                <w:lang w:val="en-GB" w:eastAsia="en-GB"/>
              </w:rPr>
              <w:t>34.2</w:t>
            </w:r>
          </w:p>
        </w:tc>
        <w:tc>
          <w:tcPr>
            <w:tcW w:w="661" w:type="dxa"/>
            <w:tcBorders>
              <w:top w:val="single" w:sz="4" w:space="0" w:color="03365F"/>
              <w:left w:val="nil"/>
              <w:bottom w:val="single" w:sz="8" w:space="0" w:color="03365F"/>
              <w:right w:val="nil"/>
            </w:tcBorders>
            <w:shd w:val="clear" w:color="auto" w:fill="auto"/>
            <w:noWrap/>
            <w:vAlign w:val="center"/>
            <w:hideMark/>
          </w:tcPr>
          <w:p w14:paraId="386215A0" w14:textId="77777777" w:rsidR="00567031" w:rsidRPr="00567031" w:rsidRDefault="00567031" w:rsidP="00567031">
            <w:pPr>
              <w:spacing w:after="0" w:line="240" w:lineRule="auto"/>
              <w:jc w:val="right"/>
              <w:rPr>
                <w:rFonts w:ascii="Arial Narrow" w:eastAsia="Times New Roman" w:hAnsi="Arial Narrow" w:cs="Calibri"/>
                <w:b/>
                <w:bCs/>
                <w:color w:val="03365F"/>
                <w:sz w:val="16"/>
                <w:szCs w:val="16"/>
                <w:lang w:val="en-GB" w:eastAsia="en-GB"/>
              </w:rPr>
            </w:pPr>
            <w:r w:rsidRPr="00567031">
              <w:rPr>
                <w:rFonts w:ascii="Arial Narrow" w:eastAsia="Times New Roman" w:hAnsi="Arial Narrow" w:cs="Calibri"/>
                <w:b/>
                <w:bCs/>
                <w:color w:val="03365F"/>
                <w:sz w:val="16"/>
                <w:szCs w:val="16"/>
                <w:lang w:val="en-GB" w:eastAsia="en-GB"/>
              </w:rPr>
              <w:t>52.7</w:t>
            </w:r>
          </w:p>
        </w:tc>
        <w:tc>
          <w:tcPr>
            <w:tcW w:w="661" w:type="dxa"/>
            <w:tcBorders>
              <w:top w:val="single" w:sz="4" w:space="0" w:color="03365F"/>
              <w:left w:val="nil"/>
              <w:bottom w:val="single" w:sz="8" w:space="0" w:color="03365F"/>
              <w:right w:val="nil"/>
            </w:tcBorders>
            <w:shd w:val="clear" w:color="000000" w:fill="D1F0F1"/>
            <w:noWrap/>
            <w:vAlign w:val="center"/>
            <w:hideMark/>
          </w:tcPr>
          <w:p w14:paraId="25E47B1C" w14:textId="77777777" w:rsidR="00567031" w:rsidRPr="00567031" w:rsidRDefault="00567031" w:rsidP="00567031">
            <w:pPr>
              <w:spacing w:after="0" w:line="240" w:lineRule="auto"/>
              <w:jc w:val="right"/>
              <w:rPr>
                <w:rFonts w:ascii="Arial Narrow" w:eastAsia="Times New Roman" w:hAnsi="Arial Narrow" w:cs="Calibri"/>
                <w:b/>
                <w:bCs/>
                <w:color w:val="03365F"/>
                <w:sz w:val="16"/>
                <w:szCs w:val="16"/>
                <w:lang w:val="en-GB" w:eastAsia="en-GB"/>
              </w:rPr>
            </w:pPr>
            <w:r w:rsidRPr="00567031">
              <w:rPr>
                <w:rFonts w:ascii="Arial Narrow" w:eastAsia="Times New Roman" w:hAnsi="Arial Narrow" w:cs="Calibri"/>
                <w:b/>
                <w:bCs/>
                <w:color w:val="03365F"/>
                <w:sz w:val="16"/>
                <w:szCs w:val="16"/>
                <w:lang w:val="en-GB" w:eastAsia="en-GB"/>
              </w:rPr>
              <w:t>74.3</w:t>
            </w:r>
          </w:p>
        </w:tc>
        <w:tc>
          <w:tcPr>
            <w:tcW w:w="296" w:type="dxa"/>
            <w:tcBorders>
              <w:top w:val="nil"/>
              <w:left w:val="nil"/>
              <w:bottom w:val="nil"/>
              <w:right w:val="nil"/>
            </w:tcBorders>
            <w:shd w:val="clear" w:color="auto" w:fill="auto"/>
            <w:noWrap/>
            <w:vAlign w:val="center"/>
            <w:hideMark/>
          </w:tcPr>
          <w:p w14:paraId="4953AECC" w14:textId="77777777" w:rsidR="00567031" w:rsidRPr="00567031" w:rsidRDefault="00567031" w:rsidP="00567031">
            <w:pPr>
              <w:spacing w:after="0" w:line="240" w:lineRule="auto"/>
              <w:jc w:val="right"/>
              <w:rPr>
                <w:rFonts w:ascii="Arial Narrow" w:eastAsia="Times New Roman" w:hAnsi="Arial Narrow" w:cs="Calibri"/>
                <w:b/>
                <w:bCs/>
                <w:color w:val="03365F"/>
                <w:sz w:val="16"/>
                <w:szCs w:val="16"/>
                <w:lang w:val="en-GB" w:eastAsia="en-GB"/>
              </w:rPr>
            </w:pPr>
          </w:p>
        </w:tc>
        <w:tc>
          <w:tcPr>
            <w:tcW w:w="811" w:type="dxa"/>
            <w:tcBorders>
              <w:top w:val="single" w:sz="4" w:space="0" w:color="03365F"/>
              <w:left w:val="nil"/>
              <w:bottom w:val="single" w:sz="8" w:space="0" w:color="03365F"/>
              <w:right w:val="nil"/>
            </w:tcBorders>
            <w:shd w:val="clear" w:color="auto" w:fill="auto"/>
            <w:noWrap/>
            <w:vAlign w:val="center"/>
            <w:hideMark/>
          </w:tcPr>
          <w:p w14:paraId="2A65A8D8" w14:textId="77777777" w:rsidR="00567031" w:rsidRPr="00567031" w:rsidRDefault="00567031" w:rsidP="00567031">
            <w:pPr>
              <w:spacing w:after="0" w:line="240" w:lineRule="auto"/>
              <w:jc w:val="right"/>
              <w:rPr>
                <w:rFonts w:ascii="Arial Narrow" w:eastAsia="Times New Roman" w:hAnsi="Arial Narrow" w:cs="Calibri"/>
                <w:b/>
                <w:bCs/>
                <w:color w:val="03365F"/>
                <w:sz w:val="16"/>
                <w:szCs w:val="16"/>
                <w:lang w:val="en-GB" w:eastAsia="en-GB"/>
              </w:rPr>
            </w:pPr>
            <w:r w:rsidRPr="00567031">
              <w:rPr>
                <w:rFonts w:ascii="Arial Narrow" w:eastAsia="Times New Roman" w:hAnsi="Arial Narrow" w:cs="Calibri"/>
                <w:b/>
                <w:bCs/>
                <w:color w:val="03365F"/>
                <w:sz w:val="16"/>
                <w:szCs w:val="16"/>
                <w:lang w:val="en-GB" w:eastAsia="en-GB"/>
              </w:rPr>
              <w:t>+163.1%</w:t>
            </w:r>
          </w:p>
        </w:tc>
        <w:tc>
          <w:tcPr>
            <w:tcW w:w="880" w:type="dxa"/>
            <w:tcBorders>
              <w:top w:val="single" w:sz="4" w:space="0" w:color="03365F"/>
              <w:left w:val="nil"/>
              <w:bottom w:val="single" w:sz="8" w:space="0" w:color="03365F"/>
              <w:right w:val="nil"/>
            </w:tcBorders>
            <w:shd w:val="clear" w:color="auto" w:fill="auto"/>
            <w:noWrap/>
            <w:vAlign w:val="center"/>
            <w:hideMark/>
          </w:tcPr>
          <w:p w14:paraId="190B2D0E" w14:textId="77777777" w:rsidR="00567031" w:rsidRPr="00567031" w:rsidRDefault="00567031" w:rsidP="00567031">
            <w:pPr>
              <w:spacing w:after="0" w:line="240" w:lineRule="auto"/>
              <w:jc w:val="right"/>
              <w:rPr>
                <w:rFonts w:ascii="Arial Narrow" w:eastAsia="Times New Roman" w:hAnsi="Arial Narrow" w:cs="Calibri"/>
                <w:b/>
                <w:bCs/>
                <w:color w:val="03365F"/>
                <w:sz w:val="16"/>
                <w:szCs w:val="16"/>
                <w:lang w:val="en-GB" w:eastAsia="en-GB"/>
              </w:rPr>
            </w:pPr>
            <w:r w:rsidRPr="00567031">
              <w:rPr>
                <w:rFonts w:ascii="Arial Narrow" w:eastAsia="Times New Roman" w:hAnsi="Arial Narrow" w:cs="Calibri"/>
                <w:b/>
                <w:bCs/>
                <w:color w:val="03365F"/>
                <w:sz w:val="16"/>
                <w:szCs w:val="16"/>
                <w:lang w:val="en-GB" w:eastAsia="en-GB"/>
              </w:rPr>
              <w:t>+185.7%</w:t>
            </w:r>
          </w:p>
        </w:tc>
      </w:tr>
      <w:tr w:rsidR="00567031" w:rsidRPr="00567031" w14:paraId="3D744C62" w14:textId="77777777" w:rsidTr="002409B0">
        <w:trPr>
          <w:trHeight w:val="283"/>
          <w:jc w:val="center"/>
        </w:trPr>
        <w:tc>
          <w:tcPr>
            <w:tcW w:w="3802" w:type="dxa"/>
            <w:tcBorders>
              <w:top w:val="single" w:sz="4" w:space="0" w:color="BFBFBF"/>
              <w:left w:val="nil"/>
              <w:bottom w:val="nil"/>
              <w:right w:val="nil"/>
            </w:tcBorders>
            <w:shd w:val="clear" w:color="auto" w:fill="auto"/>
            <w:vAlign w:val="bottom"/>
            <w:hideMark/>
          </w:tcPr>
          <w:p w14:paraId="1F651001" w14:textId="77777777" w:rsidR="00567031" w:rsidRPr="00567031" w:rsidRDefault="00567031" w:rsidP="00567031">
            <w:pPr>
              <w:spacing w:after="0" w:line="240" w:lineRule="auto"/>
              <w:jc w:val="left"/>
              <w:rPr>
                <w:rFonts w:ascii="Arial Narrow" w:eastAsia="Times New Roman" w:hAnsi="Arial Narrow" w:cs="Calibri"/>
                <w:sz w:val="16"/>
                <w:szCs w:val="16"/>
                <w:lang w:val="en-GB" w:eastAsia="en-GB"/>
              </w:rPr>
            </w:pPr>
            <w:r w:rsidRPr="00567031">
              <w:rPr>
                <w:rFonts w:ascii="Arial Narrow" w:eastAsia="Times New Roman" w:hAnsi="Arial Narrow" w:cs="Calibri"/>
                <w:sz w:val="16"/>
                <w:szCs w:val="16"/>
                <w:lang w:val="en-GB" w:eastAsia="en-GB"/>
              </w:rPr>
              <w:t>Investment income, net of management expenses</w:t>
            </w:r>
          </w:p>
        </w:tc>
        <w:tc>
          <w:tcPr>
            <w:tcW w:w="661" w:type="dxa"/>
            <w:tcBorders>
              <w:top w:val="single" w:sz="4" w:space="0" w:color="BFBFBF"/>
              <w:left w:val="nil"/>
              <w:bottom w:val="single" w:sz="4" w:space="0" w:color="BFBFBF"/>
              <w:right w:val="nil"/>
            </w:tcBorders>
            <w:shd w:val="clear" w:color="000000" w:fill="F2F2F2"/>
            <w:noWrap/>
            <w:vAlign w:val="center"/>
            <w:hideMark/>
          </w:tcPr>
          <w:p w14:paraId="0323B109" w14:textId="77777777" w:rsidR="00567031" w:rsidRPr="00567031" w:rsidRDefault="00567031" w:rsidP="00567031">
            <w:pPr>
              <w:spacing w:after="0" w:line="240" w:lineRule="auto"/>
              <w:jc w:val="right"/>
              <w:rPr>
                <w:rFonts w:ascii="Arial Narrow" w:eastAsia="Times New Roman" w:hAnsi="Arial Narrow" w:cs="Calibri"/>
                <w:sz w:val="16"/>
                <w:szCs w:val="16"/>
                <w:lang w:val="en-GB" w:eastAsia="en-GB"/>
              </w:rPr>
            </w:pPr>
            <w:r w:rsidRPr="00567031">
              <w:rPr>
                <w:rFonts w:ascii="Arial Narrow" w:eastAsia="Times New Roman" w:hAnsi="Arial Narrow" w:cs="Calibri"/>
                <w:sz w:val="16"/>
                <w:szCs w:val="16"/>
                <w:lang w:val="en-GB" w:eastAsia="en-GB"/>
              </w:rPr>
              <w:t>2.7</w:t>
            </w:r>
          </w:p>
        </w:tc>
        <w:tc>
          <w:tcPr>
            <w:tcW w:w="661" w:type="dxa"/>
            <w:tcBorders>
              <w:top w:val="single" w:sz="4" w:space="0" w:color="BFBFBF"/>
              <w:left w:val="nil"/>
              <w:bottom w:val="single" w:sz="4" w:space="0" w:color="BFBFBF"/>
              <w:right w:val="nil"/>
            </w:tcBorders>
            <w:shd w:val="clear" w:color="auto" w:fill="auto"/>
            <w:noWrap/>
            <w:vAlign w:val="center"/>
            <w:hideMark/>
          </w:tcPr>
          <w:p w14:paraId="0B4B625E" w14:textId="77777777" w:rsidR="00567031" w:rsidRPr="00567031" w:rsidRDefault="00567031" w:rsidP="00567031">
            <w:pPr>
              <w:spacing w:after="0" w:line="240" w:lineRule="auto"/>
              <w:jc w:val="right"/>
              <w:rPr>
                <w:rFonts w:ascii="Arial Narrow" w:eastAsia="Times New Roman" w:hAnsi="Arial Narrow" w:cs="Calibri"/>
                <w:sz w:val="16"/>
                <w:szCs w:val="16"/>
                <w:lang w:val="en-GB" w:eastAsia="en-GB"/>
              </w:rPr>
            </w:pPr>
            <w:r w:rsidRPr="00567031">
              <w:rPr>
                <w:rFonts w:ascii="Arial Narrow" w:eastAsia="Times New Roman" w:hAnsi="Arial Narrow" w:cs="Calibri"/>
                <w:sz w:val="16"/>
                <w:szCs w:val="16"/>
                <w:lang w:val="en-GB" w:eastAsia="en-GB"/>
              </w:rPr>
              <w:t>14.0</w:t>
            </w:r>
          </w:p>
        </w:tc>
        <w:tc>
          <w:tcPr>
            <w:tcW w:w="661" w:type="dxa"/>
            <w:tcBorders>
              <w:top w:val="single" w:sz="4" w:space="0" w:color="BFBFBF"/>
              <w:left w:val="nil"/>
              <w:bottom w:val="single" w:sz="4" w:space="0" w:color="BFBFBF"/>
              <w:right w:val="nil"/>
            </w:tcBorders>
            <w:shd w:val="clear" w:color="auto" w:fill="auto"/>
            <w:noWrap/>
            <w:vAlign w:val="center"/>
            <w:hideMark/>
          </w:tcPr>
          <w:p w14:paraId="66095730" w14:textId="77777777" w:rsidR="00567031" w:rsidRPr="00567031" w:rsidRDefault="00567031" w:rsidP="00567031">
            <w:pPr>
              <w:spacing w:after="0" w:line="240" w:lineRule="auto"/>
              <w:jc w:val="right"/>
              <w:rPr>
                <w:rFonts w:ascii="Arial Narrow" w:eastAsia="Times New Roman" w:hAnsi="Arial Narrow" w:cs="Calibri"/>
                <w:sz w:val="16"/>
                <w:szCs w:val="16"/>
                <w:lang w:val="en-GB" w:eastAsia="en-GB"/>
              </w:rPr>
            </w:pPr>
            <w:r w:rsidRPr="00567031">
              <w:rPr>
                <w:rFonts w:ascii="Arial Narrow" w:eastAsia="Times New Roman" w:hAnsi="Arial Narrow" w:cs="Calibri"/>
                <w:sz w:val="16"/>
                <w:szCs w:val="16"/>
                <w:lang w:val="en-GB" w:eastAsia="en-GB"/>
              </w:rPr>
              <w:t>6.7</w:t>
            </w:r>
          </w:p>
        </w:tc>
        <w:tc>
          <w:tcPr>
            <w:tcW w:w="661" w:type="dxa"/>
            <w:tcBorders>
              <w:top w:val="single" w:sz="4" w:space="0" w:color="BFBFBF"/>
              <w:left w:val="nil"/>
              <w:bottom w:val="single" w:sz="4" w:space="0" w:color="BFBFBF"/>
              <w:right w:val="nil"/>
            </w:tcBorders>
            <w:shd w:val="clear" w:color="auto" w:fill="auto"/>
            <w:noWrap/>
            <w:vAlign w:val="center"/>
            <w:hideMark/>
          </w:tcPr>
          <w:p w14:paraId="0F62AF43" w14:textId="77777777" w:rsidR="00567031" w:rsidRPr="00567031" w:rsidRDefault="00567031" w:rsidP="00567031">
            <w:pPr>
              <w:spacing w:after="0" w:line="240" w:lineRule="auto"/>
              <w:jc w:val="right"/>
              <w:rPr>
                <w:rFonts w:ascii="Arial Narrow" w:eastAsia="Times New Roman" w:hAnsi="Arial Narrow" w:cs="Calibri"/>
                <w:sz w:val="16"/>
                <w:szCs w:val="16"/>
                <w:lang w:val="en-GB" w:eastAsia="en-GB"/>
              </w:rPr>
            </w:pPr>
            <w:r w:rsidRPr="00567031">
              <w:rPr>
                <w:rFonts w:ascii="Arial Narrow" w:eastAsia="Times New Roman" w:hAnsi="Arial Narrow" w:cs="Calibri"/>
                <w:sz w:val="16"/>
                <w:szCs w:val="16"/>
                <w:lang w:val="en-GB" w:eastAsia="en-GB"/>
              </w:rPr>
              <w:t>3.4</w:t>
            </w:r>
          </w:p>
        </w:tc>
        <w:tc>
          <w:tcPr>
            <w:tcW w:w="661" w:type="dxa"/>
            <w:tcBorders>
              <w:top w:val="single" w:sz="4" w:space="0" w:color="BFBFBF"/>
              <w:left w:val="nil"/>
              <w:bottom w:val="single" w:sz="4" w:space="0" w:color="BFBFBF"/>
              <w:right w:val="nil"/>
            </w:tcBorders>
            <w:shd w:val="clear" w:color="000000" w:fill="D1F0F1"/>
            <w:noWrap/>
            <w:vAlign w:val="center"/>
            <w:hideMark/>
          </w:tcPr>
          <w:p w14:paraId="57EA57EF" w14:textId="77777777" w:rsidR="00567031" w:rsidRPr="00567031" w:rsidRDefault="00567031" w:rsidP="00567031">
            <w:pPr>
              <w:spacing w:after="0" w:line="240" w:lineRule="auto"/>
              <w:jc w:val="right"/>
              <w:rPr>
                <w:rFonts w:ascii="Arial Narrow" w:eastAsia="Times New Roman" w:hAnsi="Arial Narrow" w:cs="Calibri"/>
                <w:sz w:val="16"/>
                <w:szCs w:val="16"/>
                <w:lang w:val="en-GB" w:eastAsia="en-GB"/>
              </w:rPr>
            </w:pPr>
            <w:r w:rsidRPr="00567031">
              <w:rPr>
                <w:rFonts w:ascii="Arial Narrow" w:eastAsia="Times New Roman" w:hAnsi="Arial Narrow" w:cs="Calibri"/>
                <w:sz w:val="16"/>
                <w:szCs w:val="16"/>
                <w:lang w:val="en-GB" w:eastAsia="en-GB"/>
              </w:rPr>
              <w:t>5.7</w:t>
            </w:r>
          </w:p>
        </w:tc>
        <w:tc>
          <w:tcPr>
            <w:tcW w:w="296" w:type="dxa"/>
            <w:tcBorders>
              <w:top w:val="nil"/>
              <w:left w:val="nil"/>
              <w:bottom w:val="nil"/>
              <w:right w:val="nil"/>
            </w:tcBorders>
            <w:shd w:val="clear" w:color="auto" w:fill="auto"/>
            <w:noWrap/>
            <w:vAlign w:val="center"/>
            <w:hideMark/>
          </w:tcPr>
          <w:p w14:paraId="543C4750" w14:textId="77777777" w:rsidR="00567031" w:rsidRPr="00567031" w:rsidRDefault="00567031" w:rsidP="00567031">
            <w:pPr>
              <w:spacing w:after="0" w:line="240" w:lineRule="auto"/>
              <w:jc w:val="right"/>
              <w:rPr>
                <w:rFonts w:ascii="Arial Narrow" w:eastAsia="Times New Roman" w:hAnsi="Arial Narrow" w:cs="Calibri"/>
                <w:sz w:val="16"/>
                <w:szCs w:val="16"/>
                <w:lang w:val="en-GB" w:eastAsia="en-GB"/>
              </w:rPr>
            </w:pPr>
          </w:p>
        </w:tc>
        <w:tc>
          <w:tcPr>
            <w:tcW w:w="811" w:type="dxa"/>
            <w:tcBorders>
              <w:top w:val="single" w:sz="4" w:space="0" w:color="BFBFBF"/>
              <w:left w:val="nil"/>
              <w:bottom w:val="single" w:sz="4" w:space="0" w:color="BFBFBF"/>
              <w:right w:val="nil"/>
            </w:tcBorders>
            <w:shd w:val="clear" w:color="auto" w:fill="auto"/>
            <w:noWrap/>
            <w:vAlign w:val="center"/>
            <w:hideMark/>
          </w:tcPr>
          <w:p w14:paraId="27889996" w14:textId="77777777" w:rsidR="00567031" w:rsidRPr="00567031" w:rsidRDefault="00567031" w:rsidP="00567031">
            <w:pPr>
              <w:spacing w:after="0" w:line="240" w:lineRule="auto"/>
              <w:jc w:val="right"/>
              <w:rPr>
                <w:rFonts w:ascii="Arial Narrow" w:eastAsia="Times New Roman" w:hAnsi="Arial Narrow" w:cs="Calibri"/>
                <w:sz w:val="16"/>
                <w:szCs w:val="16"/>
                <w:lang w:val="en-GB" w:eastAsia="en-GB"/>
              </w:rPr>
            </w:pPr>
            <w:r w:rsidRPr="00567031">
              <w:rPr>
                <w:rFonts w:ascii="Arial Narrow" w:eastAsia="Times New Roman" w:hAnsi="Arial Narrow" w:cs="Calibri"/>
                <w:sz w:val="16"/>
                <w:szCs w:val="16"/>
                <w:lang w:val="en-GB" w:eastAsia="en-GB"/>
              </w:rPr>
              <w:t>+113.7%</w:t>
            </w:r>
          </w:p>
        </w:tc>
        <w:tc>
          <w:tcPr>
            <w:tcW w:w="880" w:type="dxa"/>
            <w:tcBorders>
              <w:top w:val="single" w:sz="4" w:space="0" w:color="BFBFBF"/>
              <w:left w:val="nil"/>
              <w:bottom w:val="single" w:sz="4" w:space="0" w:color="BFBFBF"/>
              <w:right w:val="nil"/>
            </w:tcBorders>
            <w:shd w:val="clear" w:color="auto" w:fill="auto"/>
            <w:noWrap/>
            <w:vAlign w:val="center"/>
            <w:hideMark/>
          </w:tcPr>
          <w:p w14:paraId="3E78DAF2" w14:textId="77777777" w:rsidR="00567031" w:rsidRPr="00567031" w:rsidRDefault="00567031" w:rsidP="00567031">
            <w:pPr>
              <w:spacing w:after="0" w:line="240" w:lineRule="auto"/>
              <w:jc w:val="right"/>
              <w:rPr>
                <w:rFonts w:ascii="Arial Narrow" w:eastAsia="Times New Roman" w:hAnsi="Arial Narrow" w:cs="Calibri"/>
                <w:sz w:val="16"/>
                <w:szCs w:val="16"/>
                <w:lang w:val="en-GB" w:eastAsia="en-GB"/>
              </w:rPr>
            </w:pPr>
            <w:r w:rsidRPr="00567031">
              <w:rPr>
                <w:rFonts w:ascii="Arial Narrow" w:eastAsia="Times New Roman" w:hAnsi="Arial Narrow" w:cs="Calibri"/>
                <w:sz w:val="16"/>
                <w:szCs w:val="16"/>
                <w:lang w:val="en-GB" w:eastAsia="en-GB"/>
              </w:rPr>
              <w:t>+111.4%</w:t>
            </w:r>
          </w:p>
        </w:tc>
      </w:tr>
      <w:tr w:rsidR="00567031" w:rsidRPr="00567031" w14:paraId="669D8EB8" w14:textId="77777777" w:rsidTr="002409B0">
        <w:trPr>
          <w:trHeight w:val="283"/>
          <w:jc w:val="center"/>
        </w:trPr>
        <w:tc>
          <w:tcPr>
            <w:tcW w:w="3802" w:type="dxa"/>
            <w:tcBorders>
              <w:top w:val="single" w:sz="4" w:space="0" w:color="18B3B9"/>
              <w:left w:val="nil"/>
              <w:bottom w:val="single" w:sz="8" w:space="0" w:color="18B3B9"/>
              <w:right w:val="nil"/>
            </w:tcBorders>
            <w:shd w:val="clear" w:color="auto" w:fill="auto"/>
            <w:noWrap/>
            <w:vAlign w:val="center"/>
            <w:hideMark/>
          </w:tcPr>
          <w:p w14:paraId="31A3169B" w14:textId="77777777" w:rsidR="00567031" w:rsidRPr="00567031" w:rsidRDefault="00567031" w:rsidP="00567031">
            <w:pPr>
              <w:spacing w:after="0" w:line="240" w:lineRule="auto"/>
              <w:jc w:val="left"/>
              <w:rPr>
                <w:rFonts w:ascii="Arial Narrow" w:eastAsia="Times New Roman" w:hAnsi="Arial Narrow" w:cs="Calibri"/>
                <w:b/>
                <w:bCs/>
                <w:color w:val="18B3B9"/>
                <w:sz w:val="16"/>
                <w:szCs w:val="16"/>
                <w:lang w:val="en-GB" w:eastAsia="en-GB"/>
              </w:rPr>
            </w:pPr>
            <w:r w:rsidRPr="00567031">
              <w:rPr>
                <w:rFonts w:ascii="Arial Narrow" w:eastAsia="Times New Roman" w:hAnsi="Arial Narrow" w:cs="Calibri"/>
                <w:b/>
                <w:bCs/>
                <w:color w:val="18B3B9"/>
                <w:sz w:val="16"/>
                <w:szCs w:val="16"/>
                <w:lang w:val="en-GB" w:eastAsia="en-GB"/>
              </w:rPr>
              <w:t>CURRENT OPERATING INCOME</w:t>
            </w:r>
          </w:p>
        </w:tc>
        <w:tc>
          <w:tcPr>
            <w:tcW w:w="661" w:type="dxa"/>
            <w:tcBorders>
              <w:top w:val="single" w:sz="4" w:space="0" w:color="18B3B9"/>
              <w:left w:val="nil"/>
              <w:bottom w:val="single" w:sz="8" w:space="0" w:color="18B3B9"/>
              <w:right w:val="nil"/>
            </w:tcBorders>
            <w:shd w:val="clear" w:color="000000" w:fill="F2F2F2"/>
            <w:noWrap/>
            <w:vAlign w:val="center"/>
            <w:hideMark/>
          </w:tcPr>
          <w:p w14:paraId="58A70B54" w14:textId="77777777" w:rsidR="00567031" w:rsidRPr="00567031" w:rsidRDefault="00567031" w:rsidP="00567031">
            <w:pPr>
              <w:spacing w:after="0" w:line="240" w:lineRule="auto"/>
              <w:jc w:val="right"/>
              <w:rPr>
                <w:rFonts w:ascii="Arial Narrow" w:eastAsia="Times New Roman" w:hAnsi="Arial Narrow" w:cs="Calibri"/>
                <w:b/>
                <w:bCs/>
                <w:color w:val="18B3B9"/>
                <w:sz w:val="16"/>
                <w:szCs w:val="16"/>
                <w:lang w:val="en-GB" w:eastAsia="en-GB"/>
              </w:rPr>
            </w:pPr>
            <w:r w:rsidRPr="00567031">
              <w:rPr>
                <w:rFonts w:ascii="Arial Narrow" w:eastAsia="Times New Roman" w:hAnsi="Arial Narrow" w:cs="Calibri"/>
                <w:b/>
                <w:bCs/>
                <w:color w:val="18B3B9"/>
                <w:sz w:val="16"/>
                <w:szCs w:val="16"/>
                <w:lang w:val="en-GB" w:eastAsia="en-GB"/>
              </w:rPr>
              <w:t>30.9</w:t>
            </w:r>
          </w:p>
        </w:tc>
        <w:tc>
          <w:tcPr>
            <w:tcW w:w="661" w:type="dxa"/>
            <w:tcBorders>
              <w:top w:val="single" w:sz="4" w:space="0" w:color="18B3B9"/>
              <w:left w:val="nil"/>
              <w:bottom w:val="single" w:sz="8" w:space="0" w:color="18B3B9"/>
              <w:right w:val="nil"/>
            </w:tcBorders>
            <w:shd w:val="clear" w:color="auto" w:fill="auto"/>
            <w:noWrap/>
            <w:vAlign w:val="center"/>
            <w:hideMark/>
          </w:tcPr>
          <w:p w14:paraId="1B6A793F" w14:textId="77777777" w:rsidR="00567031" w:rsidRPr="00567031" w:rsidRDefault="00567031" w:rsidP="00567031">
            <w:pPr>
              <w:spacing w:after="0" w:line="240" w:lineRule="auto"/>
              <w:jc w:val="right"/>
              <w:rPr>
                <w:rFonts w:ascii="Arial Narrow" w:eastAsia="Times New Roman" w:hAnsi="Arial Narrow" w:cs="Calibri"/>
                <w:b/>
                <w:bCs/>
                <w:color w:val="18B3B9"/>
                <w:sz w:val="16"/>
                <w:szCs w:val="16"/>
                <w:lang w:val="en-GB" w:eastAsia="en-GB"/>
              </w:rPr>
            </w:pPr>
            <w:r w:rsidRPr="00567031">
              <w:rPr>
                <w:rFonts w:ascii="Arial Narrow" w:eastAsia="Times New Roman" w:hAnsi="Arial Narrow" w:cs="Calibri"/>
                <w:b/>
                <w:bCs/>
                <w:color w:val="18B3B9"/>
                <w:sz w:val="16"/>
                <w:szCs w:val="16"/>
                <w:lang w:val="en-GB" w:eastAsia="en-GB"/>
              </w:rPr>
              <w:t>26.2</w:t>
            </w:r>
          </w:p>
        </w:tc>
        <w:tc>
          <w:tcPr>
            <w:tcW w:w="661" w:type="dxa"/>
            <w:tcBorders>
              <w:top w:val="single" w:sz="4" w:space="0" w:color="18B3B9"/>
              <w:left w:val="nil"/>
              <w:bottom w:val="single" w:sz="8" w:space="0" w:color="18B3B9"/>
              <w:right w:val="nil"/>
            </w:tcBorders>
            <w:shd w:val="clear" w:color="auto" w:fill="auto"/>
            <w:noWrap/>
            <w:vAlign w:val="center"/>
            <w:hideMark/>
          </w:tcPr>
          <w:p w14:paraId="5EBA36A8" w14:textId="77777777" w:rsidR="00567031" w:rsidRPr="00567031" w:rsidRDefault="00567031" w:rsidP="00567031">
            <w:pPr>
              <w:spacing w:after="0" w:line="240" w:lineRule="auto"/>
              <w:jc w:val="right"/>
              <w:rPr>
                <w:rFonts w:ascii="Arial Narrow" w:eastAsia="Times New Roman" w:hAnsi="Arial Narrow" w:cs="Calibri"/>
                <w:b/>
                <w:bCs/>
                <w:color w:val="18B3B9"/>
                <w:sz w:val="16"/>
                <w:szCs w:val="16"/>
                <w:lang w:val="en-GB" w:eastAsia="en-GB"/>
              </w:rPr>
            </w:pPr>
            <w:r w:rsidRPr="00567031">
              <w:rPr>
                <w:rFonts w:ascii="Arial Narrow" w:eastAsia="Times New Roman" w:hAnsi="Arial Narrow" w:cs="Calibri"/>
                <w:b/>
                <w:bCs/>
                <w:color w:val="18B3B9"/>
                <w:sz w:val="16"/>
                <w:szCs w:val="16"/>
                <w:lang w:val="en-GB" w:eastAsia="en-GB"/>
              </w:rPr>
              <w:t>40.9</w:t>
            </w:r>
          </w:p>
        </w:tc>
        <w:tc>
          <w:tcPr>
            <w:tcW w:w="661" w:type="dxa"/>
            <w:tcBorders>
              <w:top w:val="single" w:sz="4" w:space="0" w:color="18B3B9"/>
              <w:left w:val="nil"/>
              <w:bottom w:val="single" w:sz="8" w:space="0" w:color="18B3B9"/>
              <w:right w:val="nil"/>
            </w:tcBorders>
            <w:shd w:val="clear" w:color="auto" w:fill="auto"/>
            <w:noWrap/>
            <w:vAlign w:val="center"/>
            <w:hideMark/>
          </w:tcPr>
          <w:p w14:paraId="28CFC3E4" w14:textId="77777777" w:rsidR="00567031" w:rsidRPr="00567031" w:rsidRDefault="00567031" w:rsidP="00567031">
            <w:pPr>
              <w:spacing w:after="0" w:line="240" w:lineRule="auto"/>
              <w:jc w:val="right"/>
              <w:rPr>
                <w:rFonts w:ascii="Arial Narrow" w:eastAsia="Times New Roman" w:hAnsi="Arial Narrow" w:cs="Calibri"/>
                <w:b/>
                <w:bCs/>
                <w:color w:val="18B3B9"/>
                <w:sz w:val="16"/>
                <w:szCs w:val="16"/>
                <w:lang w:val="en-GB" w:eastAsia="en-GB"/>
              </w:rPr>
            </w:pPr>
            <w:r w:rsidRPr="00567031">
              <w:rPr>
                <w:rFonts w:ascii="Arial Narrow" w:eastAsia="Times New Roman" w:hAnsi="Arial Narrow" w:cs="Calibri"/>
                <w:b/>
                <w:bCs/>
                <w:color w:val="18B3B9"/>
                <w:sz w:val="16"/>
                <w:szCs w:val="16"/>
                <w:lang w:val="en-GB" w:eastAsia="en-GB"/>
              </w:rPr>
              <w:t>56.2</w:t>
            </w:r>
          </w:p>
        </w:tc>
        <w:tc>
          <w:tcPr>
            <w:tcW w:w="661" w:type="dxa"/>
            <w:tcBorders>
              <w:top w:val="single" w:sz="4" w:space="0" w:color="18B3B9"/>
              <w:left w:val="nil"/>
              <w:bottom w:val="single" w:sz="8" w:space="0" w:color="18B3B9"/>
              <w:right w:val="nil"/>
            </w:tcBorders>
            <w:shd w:val="clear" w:color="000000" w:fill="D1F0F1"/>
            <w:noWrap/>
            <w:vAlign w:val="center"/>
            <w:hideMark/>
          </w:tcPr>
          <w:p w14:paraId="459ADB25" w14:textId="77777777" w:rsidR="00567031" w:rsidRPr="00567031" w:rsidRDefault="00567031" w:rsidP="00567031">
            <w:pPr>
              <w:spacing w:after="0" w:line="240" w:lineRule="auto"/>
              <w:jc w:val="right"/>
              <w:rPr>
                <w:rFonts w:ascii="Arial Narrow" w:eastAsia="Times New Roman" w:hAnsi="Arial Narrow" w:cs="Calibri"/>
                <w:b/>
                <w:bCs/>
                <w:color w:val="18B3B9"/>
                <w:sz w:val="16"/>
                <w:szCs w:val="16"/>
                <w:lang w:val="en-GB" w:eastAsia="en-GB"/>
              </w:rPr>
            </w:pPr>
            <w:r w:rsidRPr="00567031">
              <w:rPr>
                <w:rFonts w:ascii="Arial Narrow" w:eastAsia="Times New Roman" w:hAnsi="Arial Narrow" w:cs="Calibri"/>
                <w:b/>
                <w:bCs/>
                <w:color w:val="18B3B9"/>
                <w:sz w:val="16"/>
                <w:szCs w:val="16"/>
                <w:lang w:val="en-GB" w:eastAsia="en-GB"/>
              </w:rPr>
              <w:t>80.0</w:t>
            </w:r>
          </w:p>
        </w:tc>
        <w:tc>
          <w:tcPr>
            <w:tcW w:w="296" w:type="dxa"/>
            <w:tcBorders>
              <w:top w:val="nil"/>
              <w:left w:val="nil"/>
              <w:bottom w:val="nil"/>
              <w:right w:val="nil"/>
            </w:tcBorders>
            <w:shd w:val="clear" w:color="auto" w:fill="auto"/>
            <w:noWrap/>
            <w:vAlign w:val="center"/>
            <w:hideMark/>
          </w:tcPr>
          <w:p w14:paraId="60D5E1B2" w14:textId="77777777" w:rsidR="00567031" w:rsidRPr="00567031" w:rsidRDefault="00567031" w:rsidP="00567031">
            <w:pPr>
              <w:spacing w:after="0" w:line="240" w:lineRule="auto"/>
              <w:jc w:val="right"/>
              <w:rPr>
                <w:rFonts w:ascii="Arial Narrow" w:eastAsia="Times New Roman" w:hAnsi="Arial Narrow" w:cs="Calibri"/>
                <w:b/>
                <w:bCs/>
                <w:color w:val="18B3B9"/>
                <w:sz w:val="16"/>
                <w:szCs w:val="16"/>
                <w:lang w:val="en-GB" w:eastAsia="en-GB"/>
              </w:rPr>
            </w:pPr>
          </w:p>
        </w:tc>
        <w:tc>
          <w:tcPr>
            <w:tcW w:w="811" w:type="dxa"/>
            <w:tcBorders>
              <w:top w:val="single" w:sz="4" w:space="0" w:color="18B3B9"/>
              <w:left w:val="nil"/>
              <w:bottom w:val="single" w:sz="8" w:space="0" w:color="18B3B9"/>
              <w:right w:val="nil"/>
            </w:tcBorders>
            <w:shd w:val="clear" w:color="auto" w:fill="auto"/>
            <w:noWrap/>
            <w:vAlign w:val="center"/>
            <w:hideMark/>
          </w:tcPr>
          <w:p w14:paraId="08405FE8" w14:textId="77777777" w:rsidR="00567031" w:rsidRPr="00567031" w:rsidRDefault="00567031" w:rsidP="00567031">
            <w:pPr>
              <w:spacing w:after="0" w:line="240" w:lineRule="auto"/>
              <w:jc w:val="right"/>
              <w:rPr>
                <w:rFonts w:ascii="Arial Narrow" w:eastAsia="Times New Roman" w:hAnsi="Arial Narrow" w:cs="Calibri"/>
                <w:b/>
                <w:bCs/>
                <w:color w:val="18B3B9"/>
                <w:sz w:val="16"/>
                <w:szCs w:val="16"/>
                <w:lang w:val="en-GB" w:eastAsia="en-GB"/>
              </w:rPr>
            </w:pPr>
            <w:r w:rsidRPr="00567031">
              <w:rPr>
                <w:rFonts w:ascii="Arial Narrow" w:eastAsia="Times New Roman" w:hAnsi="Arial Narrow" w:cs="Calibri"/>
                <w:b/>
                <w:bCs/>
                <w:color w:val="18B3B9"/>
                <w:sz w:val="16"/>
                <w:szCs w:val="16"/>
                <w:lang w:val="en-GB" w:eastAsia="en-GB"/>
              </w:rPr>
              <w:t>+158.8%</w:t>
            </w:r>
          </w:p>
        </w:tc>
        <w:tc>
          <w:tcPr>
            <w:tcW w:w="880" w:type="dxa"/>
            <w:tcBorders>
              <w:top w:val="single" w:sz="4" w:space="0" w:color="18B3B9"/>
              <w:left w:val="nil"/>
              <w:bottom w:val="single" w:sz="8" w:space="0" w:color="18B3B9"/>
              <w:right w:val="nil"/>
            </w:tcBorders>
            <w:shd w:val="clear" w:color="auto" w:fill="auto"/>
            <w:noWrap/>
            <w:vAlign w:val="center"/>
            <w:hideMark/>
          </w:tcPr>
          <w:p w14:paraId="28ABEC86" w14:textId="77777777" w:rsidR="00567031" w:rsidRPr="00567031" w:rsidRDefault="00567031" w:rsidP="00567031">
            <w:pPr>
              <w:spacing w:after="0" w:line="240" w:lineRule="auto"/>
              <w:jc w:val="right"/>
              <w:rPr>
                <w:rFonts w:ascii="Arial Narrow" w:eastAsia="Times New Roman" w:hAnsi="Arial Narrow" w:cs="Calibri"/>
                <w:b/>
                <w:bCs/>
                <w:color w:val="18B3B9"/>
                <w:sz w:val="16"/>
                <w:szCs w:val="16"/>
                <w:lang w:val="en-GB" w:eastAsia="en-GB"/>
              </w:rPr>
            </w:pPr>
            <w:r w:rsidRPr="00567031">
              <w:rPr>
                <w:rFonts w:ascii="Arial Narrow" w:eastAsia="Times New Roman" w:hAnsi="Arial Narrow" w:cs="Calibri"/>
                <w:b/>
                <w:bCs/>
                <w:color w:val="18B3B9"/>
                <w:sz w:val="16"/>
                <w:szCs w:val="16"/>
                <w:lang w:val="en-GB" w:eastAsia="en-GB"/>
              </w:rPr>
              <w:t>+184.9%</w:t>
            </w:r>
          </w:p>
        </w:tc>
      </w:tr>
      <w:tr w:rsidR="00567031" w:rsidRPr="00567031" w14:paraId="0CFEE701" w14:textId="77777777" w:rsidTr="002409B0">
        <w:trPr>
          <w:trHeight w:val="283"/>
          <w:jc w:val="center"/>
        </w:trPr>
        <w:tc>
          <w:tcPr>
            <w:tcW w:w="3802" w:type="dxa"/>
            <w:tcBorders>
              <w:top w:val="nil"/>
              <w:left w:val="nil"/>
              <w:bottom w:val="nil"/>
              <w:right w:val="nil"/>
            </w:tcBorders>
            <w:shd w:val="clear" w:color="auto" w:fill="auto"/>
            <w:noWrap/>
            <w:vAlign w:val="bottom"/>
            <w:hideMark/>
          </w:tcPr>
          <w:p w14:paraId="457911F8" w14:textId="77777777" w:rsidR="00567031" w:rsidRPr="00567031" w:rsidRDefault="00567031" w:rsidP="00567031">
            <w:pPr>
              <w:spacing w:after="0" w:line="240" w:lineRule="auto"/>
              <w:jc w:val="left"/>
              <w:rPr>
                <w:rFonts w:ascii="Arial Narrow" w:eastAsia="Times New Roman" w:hAnsi="Arial Narrow" w:cs="Calibri"/>
                <w:sz w:val="16"/>
                <w:szCs w:val="16"/>
                <w:lang w:val="en-GB" w:eastAsia="en-GB"/>
              </w:rPr>
            </w:pPr>
            <w:r w:rsidRPr="00567031">
              <w:rPr>
                <w:rFonts w:ascii="Arial Narrow" w:eastAsia="Times New Roman" w:hAnsi="Arial Narrow" w:cs="Calibri"/>
                <w:sz w:val="16"/>
                <w:szCs w:val="16"/>
                <w:lang w:val="en-GB" w:eastAsia="en-GB"/>
              </w:rPr>
              <w:t>Other operating income / expenses</w:t>
            </w:r>
          </w:p>
        </w:tc>
        <w:tc>
          <w:tcPr>
            <w:tcW w:w="661" w:type="dxa"/>
            <w:tcBorders>
              <w:top w:val="nil"/>
              <w:left w:val="nil"/>
              <w:bottom w:val="nil"/>
              <w:right w:val="nil"/>
            </w:tcBorders>
            <w:shd w:val="clear" w:color="000000" w:fill="F2F2F2"/>
            <w:noWrap/>
            <w:vAlign w:val="center"/>
            <w:hideMark/>
          </w:tcPr>
          <w:p w14:paraId="50B32ADD" w14:textId="77777777" w:rsidR="00567031" w:rsidRPr="00567031" w:rsidRDefault="00567031" w:rsidP="00567031">
            <w:pPr>
              <w:spacing w:after="0" w:line="240" w:lineRule="auto"/>
              <w:jc w:val="right"/>
              <w:rPr>
                <w:rFonts w:ascii="Arial Narrow" w:eastAsia="Times New Roman" w:hAnsi="Arial Narrow" w:cs="Calibri"/>
                <w:sz w:val="16"/>
                <w:szCs w:val="16"/>
                <w:lang w:val="en-GB" w:eastAsia="en-GB"/>
              </w:rPr>
            </w:pPr>
            <w:r w:rsidRPr="00567031">
              <w:rPr>
                <w:rFonts w:ascii="Arial Narrow" w:eastAsia="Times New Roman" w:hAnsi="Arial Narrow" w:cs="Calibri"/>
                <w:sz w:val="16"/>
                <w:szCs w:val="16"/>
                <w:lang w:val="en-GB" w:eastAsia="en-GB"/>
              </w:rPr>
              <w:t>(0.2)</w:t>
            </w:r>
          </w:p>
        </w:tc>
        <w:tc>
          <w:tcPr>
            <w:tcW w:w="661" w:type="dxa"/>
            <w:tcBorders>
              <w:top w:val="nil"/>
              <w:left w:val="nil"/>
              <w:bottom w:val="nil"/>
              <w:right w:val="nil"/>
            </w:tcBorders>
            <w:shd w:val="clear" w:color="auto" w:fill="auto"/>
            <w:noWrap/>
            <w:vAlign w:val="center"/>
            <w:hideMark/>
          </w:tcPr>
          <w:p w14:paraId="04803CFA" w14:textId="77777777" w:rsidR="00567031" w:rsidRPr="00567031" w:rsidRDefault="00567031" w:rsidP="00567031">
            <w:pPr>
              <w:spacing w:after="0" w:line="240" w:lineRule="auto"/>
              <w:jc w:val="right"/>
              <w:rPr>
                <w:rFonts w:ascii="Arial Narrow" w:eastAsia="Times New Roman" w:hAnsi="Arial Narrow" w:cs="Calibri"/>
                <w:sz w:val="16"/>
                <w:szCs w:val="16"/>
                <w:lang w:val="en-GB" w:eastAsia="en-GB"/>
              </w:rPr>
            </w:pPr>
            <w:r w:rsidRPr="00567031">
              <w:rPr>
                <w:rFonts w:ascii="Arial Narrow" w:eastAsia="Times New Roman" w:hAnsi="Arial Narrow" w:cs="Calibri"/>
                <w:sz w:val="16"/>
                <w:szCs w:val="16"/>
                <w:lang w:val="en-GB" w:eastAsia="en-GB"/>
              </w:rPr>
              <w:t>(1.6)</w:t>
            </w:r>
          </w:p>
        </w:tc>
        <w:tc>
          <w:tcPr>
            <w:tcW w:w="661" w:type="dxa"/>
            <w:tcBorders>
              <w:top w:val="nil"/>
              <w:left w:val="nil"/>
              <w:bottom w:val="nil"/>
              <w:right w:val="nil"/>
            </w:tcBorders>
            <w:shd w:val="clear" w:color="auto" w:fill="auto"/>
            <w:noWrap/>
            <w:vAlign w:val="center"/>
            <w:hideMark/>
          </w:tcPr>
          <w:p w14:paraId="46AFEA62" w14:textId="77777777" w:rsidR="00567031" w:rsidRPr="00567031" w:rsidRDefault="00567031" w:rsidP="00567031">
            <w:pPr>
              <w:spacing w:after="0" w:line="240" w:lineRule="auto"/>
              <w:jc w:val="right"/>
              <w:rPr>
                <w:rFonts w:ascii="Arial Narrow" w:eastAsia="Times New Roman" w:hAnsi="Arial Narrow" w:cs="Calibri"/>
                <w:sz w:val="16"/>
                <w:szCs w:val="16"/>
                <w:lang w:val="en-GB" w:eastAsia="en-GB"/>
              </w:rPr>
            </w:pPr>
            <w:r w:rsidRPr="00567031">
              <w:rPr>
                <w:rFonts w:ascii="Arial Narrow" w:eastAsia="Times New Roman" w:hAnsi="Arial Narrow" w:cs="Calibri"/>
                <w:sz w:val="16"/>
                <w:szCs w:val="16"/>
                <w:lang w:val="en-GB" w:eastAsia="en-GB"/>
              </w:rPr>
              <w:t>(0.6)</w:t>
            </w:r>
          </w:p>
        </w:tc>
        <w:tc>
          <w:tcPr>
            <w:tcW w:w="661" w:type="dxa"/>
            <w:tcBorders>
              <w:top w:val="nil"/>
              <w:left w:val="nil"/>
              <w:bottom w:val="nil"/>
              <w:right w:val="nil"/>
            </w:tcBorders>
            <w:shd w:val="clear" w:color="auto" w:fill="auto"/>
            <w:noWrap/>
            <w:vAlign w:val="center"/>
            <w:hideMark/>
          </w:tcPr>
          <w:p w14:paraId="65BF87D8" w14:textId="77777777" w:rsidR="00567031" w:rsidRPr="00567031" w:rsidRDefault="00567031" w:rsidP="00567031">
            <w:pPr>
              <w:spacing w:after="0" w:line="240" w:lineRule="auto"/>
              <w:jc w:val="right"/>
              <w:rPr>
                <w:rFonts w:ascii="Arial Narrow" w:eastAsia="Times New Roman" w:hAnsi="Arial Narrow" w:cs="Calibri"/>
                <w:sz w:val="16"/>
                <w:szCs w:val="16"/>
                <w:lang w:val="en-GB" w:eastAsia="en-GB"/>
              </w:rPr>
            </w:pPr>
            <w:r w:rsidRPr="00567031">
              <w:rPr>
                <w:rFonts w:ascii="Arial Narrow" w:eastAsia="Times New Roman" w:hAnsi="Arial Narrow" w:cs="Calibri"/>
                <w:sz w:val="16"/>
                <w:szCs w:val="16"/>
                <w:lang w:val="en-GB" w:eastAsia="en-GB"/>
              </w:rPr>
              <w:t>(11.4)</w:t>
            </w:r>
          </w:p>
        </w:tc>
        <w:tc>
          <w:tcPr>
            <w:tcW w:w="661" w:type="dxa"/>
            <w:tcBorders>
              <w:top w:val="nil"/>
              <w:left w:val="nil"/>
              <w:bottom w:val="nil"/>
              <w:right w:val="nil"/>
            </w:tcBorders>
            <w:shd w:val="clear" w:color="000000" w:fill="D1F0F1"/>
            <w:noWrap/>
            <w:vAlign w:val="center"/>
            <w:hideMark/>
          </w:tcPr>
          <w:p w14:paraId="7FCB45ED" w14:textId="77777777" w:rsidR="00567031" w:rsidRPr="00567031" w:rsidRDefault="00567031" w:rsidP="00567031">
            <w:pPr>
              <w:spacing w:after="0" w:line="240" w:lineRule="auto"/>
              <w:jc w:val="right"/>
              <w:rPr>
                <w:rFonts w:ascii="Arial Narrow" w:eastAsia="Times New Roman" w:hAnsi="Arial Narrow" w:cs="Calibri"/>
                <w:sz w:val="16"/>
                <w:szCs w:val="16"/>
                <w:lang w:val="en-GB" w:eastAsia="en-GB"/>
              </w:rPr>
            </w:pPr>
            <w:r w:rsidRPr="00567031">
              <w:rPr>
                <w:rFonts w:ascii="Arial Narrow" w:eastAsia="Times New Roman" w:hAnsi="Arial Narrow" w:cs="Calibri"/>
                <w:sz w:val="16"/>
                <w:szCs w:val="16"/>
                <w:lang w:val="en-GB" w:eastAsia="en-GB"/>
              </w:rPr>
              <w:t>(0.4)</w:t>
            </w:r>
          </w:p>
        </w:tc>
        <w:tc>
          <w:tcPr>
            <w:tcW w:w="296" w:type="dxa"/>
            <w:tcBorders>
              <w:top w:val="nil"/>
              <w:left w:val="nil"/>
              <w:bottom w:val="nil"/>
              <w:right w:val="nil"/>
            </w:tcBorders>
            <w:shd w:val="clear" w:color="auto" w:fill="auto"/>
            <w:noWrap/>
            <w:vAlign w:val="center"/>
            <w:hideMark/>
          </w:tcPr>
          <w:p w14:paraId="34469AD8" w14:textId="77777777" w:rsidR="00567031" w:rsidRPr="00567031" w:rsidRDefault="00567031" w:rsidP="00567031">
            <w:pPr>
              <w:spacing w:after="0" w:line="240" w:lineRule="auto"/>
              <w:jc w:val="right"/>
              <w:rPr>
                <w:rFonts w:ascii="Arial Narrow" w:eastAsia="Times New Roman" w:hAnsi="Arial Narrow" w:cs="Calibri"/>
                <w:sz w:val="16"/>
                <w:szCs w:val="16"/>
                <w:lang w:val="en-GB" w:eastAsia="en-GB"/>
              </w:rPr>
            </w:pPr>
          </w:p>
        </w:tc>
        <w:tc>
          <w:tcPr>
            <w:tcW w:w="811" w:type="dxa"/>
            <w:tcBorders>
              <w:top w:val="nil"/>
              <w:left w:val="nil"/>
              <w:bottom w:val="nil"/>
              <w:right w:val="nil"/>
            </w:tcBorders>
            <w:shd w:val="clear" w:color="auto" w:fill="auto"/>
            <w:noWrap/>
            <w:vAlign w:val="center"/>
            <w:hideMark/>
          </w:tcPr>
          <w:p w14:paraId="13AF3327" w14:textId="77777777" w:rsidR="00567031" w:rsidRPr="00567031" w:rsidRDefault="00567031" w:rsidP="00567031">
            <w:pPr>
              <w:spacing w:after="0" w:line="240" w:lineRule="auto"/>
              <w:jc w:val="right"/>
              <w:rPr>
                <w:rFonts w:ascii="Arial Narrow" w:eastAsia="Times New Roman" w:hAnsi="Arial Narrow" w:cs="Calibri"/>
                <w:sz w:val="16"/>
                <w:szCs w:val="16"/>
                <w:lang w:val="en-GB" w:eastAsia="en-GB"/>
              </w:rPr>
            </w:pPr>
            <w:r w:rsidRPr="00567031">
              <w:rPr>
                <w:rFonts w:ascii="Arial Narrow" w:eastAsia="Times New Roman" w:hAnsi="Arial Narrow" w:cs="Calibri"/>
                <w:sz w:val="16"/>
                <w:szCs w:val="16"/>
                <w:lang w:val="en-GB" w:eastAsia="en-GB"/>
              </w:rPr>
              <w:t>+95.5%</w:t>
            </w:r>
          </w:p>
        </w:tc>
        <w:tc>
          <w:tcPr>
            <w:tcW w:w="880" w:type="dxa"/>
            <w:tcBorders>
              <w:top w:val="nil"/>
              <w:left w:val="nil"/>
              <w:bottom w:val="nil"/>
              <w:right w:val="nil"/>
            </w:tcBorders>
            <w:shd w:val="clear" w:color="auto" w:fill="auto"/>
            <w:noWrap/>
            <w:vAlign w:val="center"/>
            <w:hideMark/>
          </w:tcPr>
          <w:p w14:paraId="434A1B1C" w14:textId="77777777" w:rsidR="00567031" w:rsidRPr="00567031" w:rsidRDefault="00567031" w:rsidP="00567031">
            <w:pPr>
              <w:spacing w:after="0" w:line="240" w:lineRule="auto"/>
              <w:jc w:val="right"/>
              <w:rPr>
                <w:rFonts w:ascii="Arial Narrow" w:eastAsia="Times New Roman" w:hAnsi="Arial Narrow" w:cs="Calibri"/>
                <w:sz w:val="16"/>
                <w:szCs w:val="16"/>
                <w:lang w:val="en-GB" w:eastAsia="en-GB"/>
              </w:rPr>
            </w:pPr>
            <w:r w:rsidRPr="00567031">
              <w:rPr>
                <w:rFonts w:ascii="Arial Narrow" w:eastAsia="Times New Roman" w:hAnsi="Arial Narrow" w:cs="Calibri"/>
                <w:sz w:val="16"/>
                <w:szCs w:val="16"/>
                <w:lang w:val="en-GB" w:eastAsia="en-GB"/>
              </w:rPr>
              <w:t>(13.0)%</w:t>
            </w:r>
          </w:p>
        </w:tc>
      </w:tr>
      <w:tr w:rsidR="00567031" w:rsidRPr="00567031" w14:paraId="4D3AE941" w14:textId="77777777" w:rsidTr="002409B0">
        <w:trPr>
          <w:trHeight w:val="283"/>
          <w:jc w:val="center"/>
        </w:trPr>
        <w:tc>
          <w:tcPr>
            <w:tcW w:w="3802" w:type="dxa"/>
            <w:tcBorders>
              <w:top w:val="single" w:sz="4" w:space="0" w:color="18B3B9"/>
              <w:left w:val="nil"/>
              <w:bottom w:val="single" w:sz="8" w:space="0" w:color="18B3B9"/>
              <w:right w:val="nil"/>
            </w:tcBorders>
            <w:shd w:val="clear" w:color="auto" w:fill="auto"/>
            <w:noWrap/>
            <w:vAlign w:val="center"/>
            <w:hideMark/>
          </w:tcPr>
          <w:p w14:paraId="29F0BF12" w14:textId="77777777" w:rsidR="00567031" w:rsidRPr="00567031" w:rsidRDefault="00567031" w:rsidP="00567031">
            <w:pPr>
              <w:spacing w:after="0" w:line="240" w:lineRule="auto"/>
              <w:jc w:val="left"/>
              <w:rPr>
                <w:rFonts w:ascii="Arial Narrow" w:eastAsia="Times New Roman" w:hAnsi="Arial Narrow" w:cs="Calibri"/>
                <w:b/>
                <w:bCs/>
                <w:color w:val="18B3B9"/>
                <w:sz w:val="16"/>
                <w:szCs w:val="16"/>
                <w:lang w:val="en-GB" w:eastAsia="en-GB"/>
              </w:rPr>
            </w:pPr>
            <w:r w:rsidRPr="00567031">
              <w:rPr>
                <w:rFonts w:ascii="Arial Narrow" w:eastAsia="Times New Roman" w:hAnsi="Arial Narrow" w:cs="Calibri"/>
                <w:b/>
                <w:bCs/>
                <w:color w:val="18B3B9"/>
                <w:sz w:val="16"/>
                <w:szCs w:val="16"/>
                <w:lang w:val="en-GB" w:eastAsia="en-GB"/>
              </w:rPr>
              <w:t>OPERATING INCOME</w:t>
            </w:r>
          </w:p>
        </w:tc>
        <w:tc>
          <w:tcPr>
            <w:tcW w:w="661" w:type="dxa"/>
            <w:tcBorders>
              <w:top w:val="single" w:sz="4" w:space="0" w:color="18B3B9"/>
              <w:left w:val="nil"/>
              <w:bottom w:val="single" w:sz="8" w:space="0" w:color="18B3B9"/>
              <w:right w:val="nil"/>
            </w:tcBorders>
            <w:shd w:val="clear" w:color="000000" w:fill="F2F2F2"/>
            <w:noWrap/>
            <w:vAlign w:val="center"/>
            <w:hideMark/>
          </w:tcPr>
          <w:p w14:paraId="13DEE7BD" w14:textId="77777777" w:rsidR="00567031" w:rsidRPr="00567031" w:rsidRDefault="00567031" w:rsidP="00567031">
            <w:pPr>
              <w:spacing w:after="0" w:line="240" w:lineRule="auto"/>
              <w:jc w:val="right"/>
              <w:rPr>
                <w:rFonts w:ascii="Arial Narrow" w:eastAsia="Times New Roman" w:hAnsi="Arial Narrow" w:cs="Calibri"/>
                <w:b/>
                <w:bCs/>
                <w:color w:val="18B3B9"/>
                <w:sz w:val="16"/>
                <w:szCs w:val="16"/>
                <w:lang w:val="en-GB" w:eastAsia="en-GB"/>
              </w:rPr>
            </w:pPr>
            <w:r w:rsidRPr="00567031">
              <w:rPr>
                <w:rFonts w:ascii="Arial Narrow" w:eastAsia="Times New Roman" w:hAnsi="Arial Narrow" w:cs="Calibri"/>
                <w:b/>
                <w:bCs/>
                <w:color w:val="18B3B9"/>
                <w:sz w:val="16"/>
                <w:szCs w:val="16"/>
                <w:lang w:val="en-GB" w:eastAsia="en-GB"/>
              </w:rPr>
              <w:t>30.7</w:t>
            </w:r>
          </w:p>
        </w:tc>
        <w:tc>
          <w:tcPr>
            <w:tcW w:w="661" w:type="dxa"/>
            <w:tcBorders>
              <w:top w:val="single" w:sz="4" w:space="0" w:color="18B3B9"/>
              <w:left w:val="nil"/>
              <w:bottom w:val="single" w:sz="8" w:space="0" w:color="18B3B9"/>
              <w:right w:val="nil"/>
            </w:tcBorders>
            <w:shd w:val="clear" w:color="auto" w:fill="auto"/>
            <w:noWrap/>
            <w:vAlign w:val="center"/>
            <w:hideMark/>
          </w:tcPr>
          <w:p w14:paraId="696CFB19" w14:textId="77777777" w:rsidR="00567031" w:rsidRPr="00567031" w:rsidRDefault="00567031" w:rsidP="00567031">
            <w:pPr>
              <w:spacing w:after="0" w:line="240" w:lineRule="auto"/>
              <w:jc w:val="right"/>
              <w:rPr>
                <w:rFonts w:ascii="Arial Narrow" w:eastAsia="Times New Roman" w:hAnsi="Arial Narrow" w:cs="Calibri"/>
                <w:b/>
                <w:bCs/>
                <w:color w:val="18B3B9"/>
                <w:sz w:val="16"/>
                <w:szCs w:val="16"/>
                <w:lang w:val="en-GB" w:eastAsia="en-GB"/>
              </w:rPr>
            </w:pPr>
            <w:r w:rsidRPr="00567031">
              <w:rPr>
                <w:rFonts w:ascii="Arial Narrow" w:eastAsia="Times New Roman" w:hAnsi="Arial Narrow" w:cs="Calibri"/>
                <w:b/>
                <w:bCs/>
                <w:color w:val="18B3B9"/>
                <w:sz w:val="16"/>
                <w:szCs w:val="16"/>
                <w:lang w:val="en-GB" w:eastAsia="en-GB"/>
              </w:rPr>
              <w:t>24.6</w:t>
            </w:r>
          </w:p>
        </w:tc>
        <w:tc>
          <w:tcPr>
            <w:tcW w:w="661" w:type="dxa"/>
            <w:tcBorders>
              <w:top w:val="single" w:sz="4" w:space="0" w:color="18B3B9"/>
              <w:left w:val="nil"/>
              <w:bottom w:val="single" w:sz="8" w:space="0" w:color="18B3B9"/>
              <w:right w:val="nil"/>
            </w:tcBorders>
            <w:shd w:val="clear" w:color="auto" w:fill="auto"/>
            <w:noWrap/>
            <w:vAlign w:val="center"/>
            <w:hideMark/>
          </w:tcPr>
          <w:p w14:paraId="14E9EC30" w14:textId="77777777" w:rsidR="00567031" w:rsidRPr="00567031" w:rsidRDefault="00567031" w:rsidP="00567031">
            <w:pPr>
              <w:spacing w:after="0" w:line="240" w:lineRule="auto"/>
              <w:jc w:val="right"/>
              <w:rPr>
                <w:rFonts w:ascii="Arial Narrow" w:eastAsia="Times New Roman" w:hAnsi="Arial Narrow" w:cs="Calibri"/>
                <w:b/>
                <w:bCs/>
                <w:color w:val="18B3B9"/>
                <w:sz w:val="16"/>
                <w:szCs w:val="16"/>
                <w:lang w:val="en-GB" w:eastAsia="en-GB"/>
              </w:rPr>
            </w:pPr>
            <w:r w:rsidRPr="00567031">
              <w:rPr>
                <w:rFonts w:ascii="Arial Narrow" w:eastAsia="Times New Roman" w:hAnsi="Arial Narrow" w:cs="Calibri"/>
                <w:b/>
                <w:bCs/>
                <w:color w:val="18B3B9"/>
                <w:sz w:val="16"/>
                <w:szCs w:val="16"/>
                <w:lang w:val="en-GB" w:eastAsia="en-GB"/>
              </w:rPr>
              <w:t>40.3</w:t>
            </w:r>
          </w:p>
        </w:tc>
        <w:tc>
          <w:tcPr>
            <w:tcW w:w="661" w:type="dxa"/>
            <w:tcBorders>
              <w:top w:val="single" w:sz="4" w:space="0" w:color="18B3B9"/>
              <w:left w:val="nil"/>
              <w:bottom w:val="single" w:sz="8" w:space="0" w:color="18B3B9"/>
              <w:right w:val="nil"/>
            </w:tcBorders>
            <w:shd w:val="clear" w:color="auto" w:fill="auto"/>
            <w:noWrap/>
            <w:vAlign w:val="center"/>
            <w:hideMark/>
          </w:tcPr>
          <w:p w14:paraId="6D16BBCF" w14:textId="77777777" w:rsidR="00567031" w:rsidRPr="00567031" w:rsidRDefault="00567031" w:rsidP="00567031">
            <w:pPr>
              <w:spacing w:after="0" w:line="240" w:lineRule="auto"/>
              <w:jc w:val="right"/>
              <w:rPr>
                <w:rFonts w:ascii="Arial Narrow" w:eastAsia="Times New Roman" w:hAnsi="Arial Narrow" w:cs="Calibri"/>
                <w:b/>
                <w:bCs/>
                <w:color w:val="18B3B9"/>
                <w:sz w:val="16"/>
                <w:szCs w:val="16"/>
                <w:lang w:val="en-GB" w:eastAsia="en-GB"/>
              </w:rPr>
            </w:pPr>
            <w:r w:rsidRPr="00567031">
              <w:rPr>
                <w:rFonts w:ascii="Arial Narrow" w:eastAsia="Times New Roman" w:hAnsi="Arial Narrow" w:cs="Calibri"/>
                <w:b/>
                <w:bCs/>
                <w:color w:val="18B3B9"/>
                <w:sz w:val="16"/>
                <w:szCs w:val="16"/>
                <w:lang w:val="en-GB" w:eastAsia="en-GB"/>
              </w:rPr>
              <w:t>44.8</w:t>
            </w:r>
          </w:p>
        </w:tc>
        <w:tc>
          <w:tcPr>
            <w:tcW w:w="661" w:type="dxa"/>
            <w:tcBorders>
              <w:top w:val="single" w:sz="4" w:space="0" w:color="18B3B9"/>
              <w:left w:val="nil"/>
              <w:bottom w:val="single" w:sz="8" w:space="0" w:color="18B3B9"/>
              <w:right w:val="nil"/>
            </w:tcBorders>
            <w:shd w:val="clear" w:color="000000" w:fill="D1F0F1"/>
            <w:noWrap/>
            <w:vAlign w:val="center"/>
            <w:hideMark/>
          </w:tcPr>
          <w:p w14:paraId="1C2FF441" w14:textId="162D242C" w:rsidR="00567031" w:rsidRPr="00567031" w:rsidRDefault="00567031" w:rsidP="00B61946">
            <w:pPr>
              <w:spacing w:after="0" w:line="240" w:lineRule="auto"/>
              <w:jc w:val="right"/>
              <w:rPr>
                <w:rFonts w:ascii="Arial Narrow" w:eastAsia="Times New Roman" w:hAnsi="Arial Narrow" w:cs="Calibri"/>
                <w:b/>
                <w:bCs/>
                <w:color w:val="18B3B9"/>
                <w:sz w:val="16"/>
                <w:szCs w:val="16"/>
                <w:lang w:val="en-GB" w:eastAsia="en-GB"/>
              </w:rPr>
            </w:pPr>
            <w:r w:rsidRPr="00567031">
              <w:rPr>
                <w:rFonts w:ascii="Arial Narrow" w:eastAsia="Times New Roman" w:hAnsi="Arial Narrow" w:cs="Calibri"/>
                <w:b/>
                <w:bCs/>
                <w:color w:val="18B3B9"/>
                <w:sz w:val="16"/>
                <w:szCs w:val="16"/>
                <w:lang w:val="en-GB" w:eastAsia="en-GB"/>
              </w:rPr>
              <w:t>79.</w:t>
            </w:r>
            <w:r w:rsidR="00B61946">
              <w:rPr>
                <w:rFonts w:ascii="Arial Narrow" w:eastAsia="Times New Roman" w:hAnsi="Arial Narrow" w:cs="Calibri"/>
                <w:b/>
                <w:bCs/>
                <w:color w:val="18B3B9"/>
                <w:sz w:val="16"/>
                <w:szCs w:val="16"/>
                <w:lang w:val="en-GB" w:eastAsia="en-GB"/>
              </w:rPr>
              <w:t>6</w:t>
            </w:r>
          </w:p>
        </w:tc>
        <w:tc>
          <w:tcPr>
            <w:tcW w:w="296" w:type="dxa"/>
            <w:tcBorders>
              <w:top w:val="nil"/>
              <w:left w:val="nil"/>
              <w:bottom w:val="nil"/>
              <w:right w:val="nil"/>
            </w:tcBorders>
            <w:shd w:val="clear" w:color="auto" w:fill="auto"/>
            <w:noWrap/>
            <w:vAlign w:val="center"/>
            <w:hideMark/>
          </w:tcPr>
          <w:p w14:paraId="76BA256C" w14:textId="77777777" w:rsidR="00567031" w:rsidRPr="00567031" w:rsidRDefault="00567031" w:rsidP="00567031">
            <w:pPr>
              <w:spacing w:after="0" w:line="240" w:lineRule="auto"/>
              <w:jc w:val="right"/>
              <w:rPr>
                <w:rFonts w:ascii="Arial Narrow" w:eastAsia="Times New Roman" w:hAnsi="Arial Narrow" w:cs="Calibri"/>
                <w:b/>
                <w:bCs/>
                <w:color w:val="18B3B9"/>
                <w:sz w:val="16"/>
                <w:szCs w:val="16"/>
                <w:lang w:val="en-GB" w:eastAsia="en-GB"/>
              </w:rPr>
            </w:pPr>
          </w:p>
        </w:tc>
        <w:tc>
          <w:tcPr>
            <w:tcW w:w="811" w:type="dxa"/>
            <w:tcBorders>
              <w:top w:val="single" w:sz="4" w:space="0" w:color="18B3B9"/>
              <w:left w:val="nil"/>
              <w:bottom w:val="single" w:sz="8" w:space="0" w:color="18B3B9"/>
              <w:right w:val="nil"/>
            </w:tcBorders>
            <w:shd w:val="clear" w:color="auto" w:fill="auto"/>
            <w:noWrap/>
            <w:vAlign w:val="center"/>
            <w:hideMark/>
          </w:tcPr>
          <w:p w14:paraId="5E3A88D5" w14:textId="77777777" w:rsidR="00567031" w:rsidRPr="00567031" w:rsidRDefault="00567031" w:rsidP="00567031">
            <w:pPr>
              <w:spacing w:after="0" w:line="240" w:lineRule="auto"/>
              <w:jc w:val="right"/>
              <w:rPr>
                <w:rFonts w:ascii="Arial Narrow" w:eastAsia="Times New Roman" w:hAnsi="Arial Narrow" w:cs="Calibri"/>
                <w:b/>
                <w:bCs/>
                <w:color w:val="18B3B9"/>
                <w:sz w:val="16"/>
                <w:szCs w:val="16"/>
                <w:lang w:val="en-GB" w:eastAsia="en-GB"/>
              </w:rPr>
            </w:pPr>
            <w:r w:rsidRPr="00567031">
              <w:rPr>
                <w:rFonts w:ascii="Arial Narrow" w:eastAsia="Times New Roman" w:hAnsi="Arial Narrow" w:cs="Calibri"/>
                <w:b/>
                <w:bCs/>
                <w:color w:val="18B3B9"/>
                <w:sz w:val="16"/>
                <w:szCs w:val="16"/>
                <w:lang w:val="en-GB" w:eastAsia="en-GB"/>
              </w:rPr>
              <w:t>+159.2%</w:t>
            </w:r>
          </w:p>
        </w:tc>
        <w:tc>
          <w:tcPr>
            <w:tcW w:w="880" w:type="dxa"/>
            <w:tcBorders>
              <w:top w:val="single" w:sz="4" w:space="0" w:color="18B3B9"/>
              <w:left w:val="nil"/>
              <w:bottom w:val="single" w:sz="8" w:space="0" w:color="18B3B9"/>
              <w:right w:val="nil"/>
            </w:tcBorders>
            <w:shd w:val="clear" w:color="auto" w:fill="auto"/>
            <w:noWrap/>
            <w:vAlign w:val="center"/>
            <w:hideMark/>
          </w:tcPr>
          <w:p w14:paraId="06A0431A" w14:textId="77777777" w:rsidR="00567031" w:rsidRPr="00567031" w:rsidRDefault="00567031" w:rsidP="00567031">
            <w:pPr>
              <w:spacing w:after="0" w:line="240" w:lineRule="auto"/>
              <w:jc w:val="right"/>
              <w:rPr>
                <w:rFonts w:ascii="Arial Narrow" w:eastAsia="Times New Roman" w:hAnsi="Arial Narrow" w:cs="Calibri"/>
                <w:b/>
                <w:bCs/>
                <w:color w:val="18B3B9"/>
                <w:sz w:val="16"/>
                <w:szCs w:val="16"/>
                <w:lang w:val="en-GB" w:eastAsia="en-GB"/>
              </w:rPr>
            </w:pPr>
            <w:r w:rsidRPr="00567031">
              <w:rPr>
                <w:rFonts w:ascii="Arial Narrow" w:eastAsia="Times New Roman" w:hAnsi="Arial Narrow" w:cs="Calibri"/>
                <w:b/>
                <w:bCs/>
                <w:color w:val="18B3B9"/>
                <w:sz w:val="16"/>
                <w:szCs w:val="16"/>
                <w:lang w:val="en-GB" w:eastAsia="en-GB"/>
              </w:rPr>
              <w:t>+185.5%</w:t>
            </w:r>
          </w:p>
        </w:tc>
      </w:tr>
      <w:tr w:rsidR="00567031" w:rsidRPr="00567031" w14:paraId="02D2C517" w14:textId="77777777" w:rsidTr="002409B0">
        <w:trPr>
          <w:trHeight w:val="283"/>
          <w:jc w:val="center"/>
        </w:trPr>
        <w:tc>
          <w:tcPr>
            <w:tcW w:w="3802" w:type="dxa"/>
            <w:tcBorders>
              <w:top w:val="single" w:sz="4" w:space="0" w:color="18B3B9"/>
              <w:left w:val="nil"/>
              <w:bottom w:val="single" w:sz="8" w:space="0" w:color="18B3B9"/>
              <w:right w:val="nil"/>
            </w:tcBorders>
            <w:shd w:val="clear" w:color="auto" w:fill="auto"/>
            <w:noWrap/>
            <w:vAlign w:val="center"/>
            <w:hideMark/>
          </w:tcPr>
          <w:p w14:paraId="68132DEA" w14:textId="77777777" w:rsidR="00567031" w:rsidRPr="00567031" w:rsidRDefault="00567031" w:rsidP="00567031">
            <w:pPr>
              <w:spacing w:after="0" w:line="240" w:lineRule="auto"/>
              <w:jc w:val="left"/>
              <w:rPr>
                <w:rFonts w:ascii="Arial Narrow" w:eastAsia="Times New Roman" w:hAnsi="Arial Narrow" w:cs="Calibri"/>
                <w:b/>
                <w:bCs/>
                <w:color w:val="18B3B9"/>
                <w:sz w:val="16"/>
                <w:szCs w:val="16"/>
                <w:lang w:val="en-GB" w:eastAsia="en-GB"/>
              </w:rPr>
            </w:pPr>
            <w:r w:rsidRPr="00567031">
              <w:rPr>
                <w:rFonts w:ascii="Arial Narrow" w:eastAsia="Times New Roman" w:hAnsi="Arial Narrow" w:cs="Calibri"/>
                <w:b/>
                <w:bCs/>
                <w:color w:val="18B3B9"/>
                <w:sz w:val="16"/>
                <w:szCs w:val="16"/>
                <w:lang w:val="en-GB" w:eastAsia="en-GB"/>
              </w:rPr>
              <w:t>NET INCOME</w:t>
            </w:r>
          </w:p>
        </w:tc>
        <w:tc>
          <w:tcPr>
            <w:tcW w:w="661" w:type="dxa"/>
            <w:tcBorders>
              <w:top w:val="single" w:sz="4" w:space="0" w:color="18B3B9"/>
              <w:left w:val="nil"/>
              <w:bottom w:val="single" w:sz="8" w:space="0" w:color="18B3B9"/>
              <w:right w:val="nil"/>
            </w:tcBorders>
            <w:shd w:val="clear" w:color="000000" w:fill="F2F2F2"/>
            <w:noWrap/>
            <w:vAlign w:val="center"/>
            <w:hideMark/>
          </w:tcPr>
          <w:p w14:paraId="42D558E7" w14:textId="77777777" w:rsidR="00567031" w:rsidRPr="00567031" w:rsidRDefault="00567031" w:rsidP="00567031">
            <w:pPr>
              <w:spacing w:after="0" w:line="240" w:lineRule="auto"/>
              <w:jc w:val="right"/>
              <w:rPr>
                <w:rFonts w:ascii="Arial Narrow" w:eastAsia="Times New Roman" w:hAnsi="Arial Narrow" w:cs="Calibri"/>
                <w:b/>
                <w:bCs/>
                <w:color w:val="18B3B9"/>
                <w:sz w:val="16"/>
                <w:szCs w:val="16"/>
                <w:lang w:val="en-GB" w:eastAsia="en-GB"/>
              </w:rPr>
            </w:pPr>
            <w:r w:rsidRPr="00567031">
              <w:rPr>
                <w:rFonts w:ascii="Arial Narrow" w:eastAsia="Times New Roman" w:hAnsi="Arial Narrow" w:cs="Calibri"/>
                <w:b/>
                <w:bCs/>
                <w:color w:val="18B3B9"/>
                <w:sz w:val="16"/>
                <w:szCs w:val="16"/>
                <w:lang w:val="en-GB" w:eastAsia="en-GB"/>
              </w:rPr>
              <w:t>12.7</w:t>
            </w:r>
          </w:p>
        </w:tc>
        <w:tc>
          <w:tcPr>
            <w:tcW w:w="661" w:type="dxa"/>
            <w:tcBorders>
              <w:top w:val="single" w:sz="4" w:space="0" w:color="18B3B9"/>
              <w:left w:val="nil"/>
              <w:bottom w:val="single" w:sz="8" w:space="0" w:color="18B3B9"/>
              <w:right w:val="nil"/>
            </w:tcBorders>
            <w:shd w:val="clear" w:color="auto" w:fill="auto"/>
            <w:noWrap/>
            <w:vAlign w:val="center"/>
            <w:hideMark/>
          </w:tcPr>
          <w:p w14:paraId="0DC0692B" w14:textId="77777777" w:rsidR="00567031" w:rsidRPr="00567031" w:rsidRDefault="00567031" w:rsidP="00567031">
            <w:pPr>
              <w:spacing w:after="0" w:line="240" w:lineRule="auto"/>
              <w:jc w:val="right"/>
              <w:rPr>
                <w:rFonts w:ascii="Arial Narrow" w:eastAsia="Times New Roman" w:hAnsi="Arial Narrow" w:cs="Calibri"/>
                <w:b/>
                <w:bCs/>
                <w:color w:val="18B3B9"/>
                <w:sz w:val="16"/>
                <w:szCs w:val="16"/>
                <w:lang w:val="en-GB" w:eastAsia="en-GB"/>
              </w:rPr>
            </w:pPr>
            <w:r w:rsidRPr="00567031">
              <w:rPr>
                <w:rFonts w:ascii="Arial Narrow" w:eastAsia="Times New Roman" w:hAnsi="Arial Narrow" w:cs="Calibri"/>
                <w:b/>
                <w:bCs/>
                <w:color w:val="18B3B9"/>
                <w:sz w:val="16"/>
                <w:szCs w:val="16"/>
                <w:lang w:val="en-GB" w:eastAsia="en-GB"/>
              </w:rPr>
              <w:t>11.3</w:t>
            </w:r>
          </w:p>
        </w:tc>
        <w:tc>
          <w:tcPr>
            <w:tcW w:w="661" w:type="dxa"/>
            <w:tcBorders>
              <w:top w:val="single" w:sz="4" w:space="0" w:color="18B3B9"/>
              <w:left w:val="nil"/>
              <w:bottom w:val="single" w:sz="8" w:space="0" w:color="18B3B9"/>
              <w:right w:val="nil"/>
            </w:tcBorders>
            <w:shd w:val="clear" w:color="auto" w:fill="auto"/>
            <w:noWrap/>
            <w:vAlign w:val="center"/>
            <w:hideMark/>
          </w:tcPr>
          <w:p w14:paraId="298F4288" w14:textId="77777777" w:rsidR="00567031" w:rsidRPr="00567031" w:rsidRDefault="00567031" w:rsidP="00567031">
            <w:pPr>
              <w:spacing w:after="0" w:line="240" w:lineRule="auto"/>
              <w:jc w:val="right"/>
              <w:rPr>
                <w:rFonts w:ascii="Arial Narrow" w:eastAsia="Times New Roman" w:hAnsi="Arial Narrow" w:cs="Calibri"/>
                <w:b/>
                <w:bCs/>
                <w:color w:val="18B3B9"/>
                <w:sz w:val="16"/>
                <w:szCs w:val="16"/>
                <w:lang w:val="en-GB" w:eastAsia="en-GB"/>
              </w:rPr>
            </w:pPr>
            <w:r w:rsidRPr="00567031">
              <w:rPr>
                <w:rFonts w:ascii="Arial Narrow" w:eastAsia="Times New Roman" w:hAnsi="Arial Narrow" w:cs="Calibri"/>
                <w:b/>
                <w:bCs/>
                <w:color w:val="18B3B9"/>
                <w:sz w:val="16"/>
                <w:szCs w:val="16"/>
                <w:lang w:val="en-GB" w:eastAsia="en-GB"/>
              </w:rPr>
              <w:t>28.5</w:t>
            </w:r>
          </w:p>
        </w:tc>
        <w:tc>
          <w:tcPr>
            <w:tcW w:w="661" w:type="dxa"/>
            <w:tcBorders>
              <w:top w:val="single" w:sz="4" w:space="0" w:color="18B3B9"/>
              <w:left w:val="nil"/>
              <w:bottom w:val="single" w:sz="8" w:space="0" w:color="18B3B9"/>
              <w:right w:val="nil"/>
            </w:tcBorders>
            <w:shd w:val="clear" w:color="auto" w:fill="auto"/>
            <w:noWrap/>
            <w:vAlign w:val="center"/>
            <w:hideMark/>
          </w:tcPr>
          <w:p w14:paraId="77F81FD0" w14:textId="77777777" w:rsidR="00567031" w:rsidRPr="00567031" w:rsidRDefault="00567031" w:rsidP="00567031">
            <w:pPr>
              <w:spacing w:after="0" w:line="240" w:lineRule="auto"/>
              <w:jc w:val="right"/>
              <w:rPr>
                <w:rFonts w:ascii="Arial Narrow" w:eastAsia="Times New Roman" w:hAnsi="Arial Narrow" w:cs="Calibri"/>
                <w:b/>
                <w:bCs/>
                <w:color w:val="18B3B9"/>
                <w:sz w:val="16"/>
                <w:szCs w:val="16"/>
                <w:lang w:val="en-GB" w:eastAsia="en-GB"/>
              </w:rPr>
            </w:pPr>
            <w:r w:rsidRPr="00567031">
              <w:rPr>
                <w:rFonts w:ascii="Arial Narrow" w:eastAsia="Times New Roman" w:hAnsi="Arial Narrow" w:cs="Calibri"/>
                <w:b/>
                <w:bCs/>
                <w:color w:val="18B3B9"/>
                <w:sz w:val="16"/>
                <w:szCs w:val="16"/>
                <w:lang w:val="en-GB" w:eastAsia="en-GB"/>
              </w:rPr>
              <w:t>30.5</w:t>
            </w:r>
          </w:p>
        </w:tc>
        <w:tc>
          <w:tcPr>
            <w:tcW w:w="661" w:type="dxa"/>
            <w:tcBorders>
              <w:top w:val="single" w:sz="4" w:space="0" w:color="18B3B9"/>
              <w:left w:val="nil"/>
              <w:bottom w:val="single" w:sz="8" w:space="0" w:color="18B3B9"/>
              <w:right w:val="nil"/>
            </w:tcBorders>
            <w:shd w:val="clear" w:color="000000" w:fill="D1F0F1"/>
            <w:noWrap/>
            <w:vAlign w:val="center"/>
            <w:hideMark/>
          </w:tcPr>
          <w:p w14:paraId="04E9688D" w14:textId="77777777" w:rsidR="00567031" w:rsidRPr="00567031" w:rsidRDefault="00567031" w:rsidP="00567031">
            <w:pPr>
              <w:spacing w:after="0" w:line="240" w:lineRule="auto"/>
              <w:jc w:val="right"/>
              <w:rPr>
                <w:rFonts w:ascii="Arial Narrow" w:eastAsia="Times New Roman" w:hAnsi="Arial Narrow" w:cs="Calibri"/>
                <w:b/>
                <w:bCs/>
                <w:color w:val="18B3B9"/>
                <w:sz w:val="16"/>
                <w:szCs w:val="16"/>
                <w:lang w:val="en-GB" w:eastAsia="en-GB"/>
              </w:rPr>
            </w:pPr>
            <w:r w:rsidRPr="00567031">
              <w:rPr>
                <w:rFonts w:ascii="Arial Narrow" w:eastAsia="Times New Roman" w:hAnsi="Arial Narrow" w:cs="Calibri"/>
                <w:b/>
                <w:bCs/>
                <w:color w:val="18B3B9"/>
                <w:sz w:val="16"/>
                <w:szCs w:val="16"/>
                <w:lang w:val="en-GB" w:eastAsia="en-GB"/>
              </w:rPr>
              <w:t>56.4</w:t>
            </w:r>
          </w:p>
        </w:tc>
        <w:tc>
          <w:tcPr>
            <w:tcW w:w="296" w:type="dxa"/>
            <w:tcBorders>
              <w:top w:val="nil"/>
              <w:left w:val="nil"/>
              <w:bottom w:val="nil"/>
              <w:right w:val="nil"/>
            </w:tcBorders>
            <w:shd w:val="clear" w:color="auto" w:fill="auto"/>
            <w:noWrap/>
            <w:vAlign w:val="center"/>
            <w:hideMark/>
          </w:tcPr>
          <w:p w14:paraId="095C919D" w14:textId="77777777" w:rsidR="00567031" w:rsidRPr="00567031" w:rsidRDefault="00567031" w:rsidP="00567031">
            <w:pPr>
              <w:spacing w:after="0" w:line="240" w:lineRule="auto"/>
              <w:jc w:val="right"/>
              <w:rPr>
                <w:rFonts w:ascii="Arial Narrow" w:eastAsia="Times New Roman" w:hAnsi="Arial Narrow" w:cs="Calibri"/>
                <w:b/>
                <w:bCs/>
                <w:color w:val="18B3B9"/>
                <w:sz w:val="16"/>
                <w:szCs w:val="16"/>
                <w:lang w:val="en-GB" w:eastAsia="en-GB"/>
              </w:rPr>
            </w:pPr>
          </w:p>
        </w:tc>
        <w:tc>
          <w:tcPr>
            <w:tcW w:w="811" w:type="dxa"/>
            <w:tcBorders>
              <w:top w:val="single" w:sz="4" w:space="0" w:color="18B3B9"/>
              <w:left w:val="nil"/>
              <w:bottom w:val="single" w:sz="8" w:space="0" w:color="18B3B9"/>
              <w:right w:val="nil"/>
            </w:tcBorders>
            <w:shd w:val="clear" w:color="auto" w:fill="auto"/>
            <w:noWrap/>
            <w:vAlign w:val="center"/>
            <w:hideMark/>
          </w:tcPr>
          <w:p w14:paraId="3F4AE3D7" w14:textId="77777777" w:rsidR="00567031" w:rsidRPr="00567031" w:rsidRDefault="00567031" w:rsidP="00567031">
            <w:pPr>
              <w:spacing w:after="0" w:line="240" w:lineRule="auto"/>
              <w:jc w:val="right"/>
              <w:rPr>
                <w:rFonts w:ascii="Arial Narrow" w:eastAsia="Times New Roman" w:hAnsi="Arial Narrow" w:cs="Calibri"/>
                <w:b/>
                <w:bCs/>
                <w:color w:val="18B3B9"/>
                <w:sz w:val="16"/>
                <w:szCs w:val="16"/>
                <w:lang w:val="en-GB" w:eastAsia="en-GB"/>
              </w:rPr>
            </w:pPr>
            <w:r w:rsidRPr="00567031">
              <w:rPr>
                <w:rFonts w:ascii="Arial Narrow" w:eastAsia="Times New Roman" w:hAnsi="Arial Narrow" w:cs="Calibri"/>
                <w:b/>
                <w:bCs/>
                <w:color w:val="18B3B9"/>
                <w:sz w:val="16"/>
                <w:szCs w:val="16"/>
                <w:lang w:val="en-GB" w:eastAsia="en-GB"/>
              </w:rPr>
              <w:t>+345.1%</w:t>
            </w:r>
          </w:p>
        </w:tc>
        <w:tc>
          <w:tcPr>
            <w:tcW w:w="880" w:type="dxa"/>
            <w:tcBorders>
              <w:top w:val="single" w:sz="4" w:space="0" w:color="18B3B9"/>
              <w:left w:val="nil"/>
              <w:bottom w:val="single" w:sz="8" w:space="0" w:color="18B3B9"/>
              <w:right w:val="nil"/>
            </w:tcBorders>
            <w:shd w:val="clear" w:color="auto" w:fill="auto"/>
            <w:noWrap/>
            <w:vAlign w:val="center"/>
            <w:hideMark/>
          </w:tcPr>
          <w:p w14:paraId="37138499" w14:textId="77777777" w:rsidR="00567031" w:rsidRPr="00567031" w:rsidRDefault="00567031" w:rsidP="00567031">
            <w:pPr>
              <w:spacing w:after="0" w:line="240" w:lineRule="auto"/>
              <w:jc w:val="right"/>
              <w:rPr>
                <w:rFonts w:ascii="Arial Narrow" w:eastAsia="Times New Roman" w:hAnsi="Arial Narrow" w:cs="Calibri"/>
                <w:b/>
                <w:bCs/>
                <w:color w:val="18B3B9"/>
                <w:sz w:val="16"/>
                <w:szCs w:val="16"/>
                <w:lang w:val="en-GB" w:eastAsia="en-GB"/>
              </w:rPr>
            </w:pPr>
            <w:r w:rsidRPr="00567031">
              <w:rPr>
                <w:rFonts w:ascii="Arial Narrow" w:eastAsia="Times New Roman" w:hAnsi="Arial Narrow" w:cs="Calibri"/>
                <w:b/>
                <w:bCs/>
                <w:color w:val="18B3B9"/>
                <w:sz w:val="16"/>
                <w:szCs w:val="16"/>
                <w:lang w:val="en-GB" w:eastAsia="en-GB"/>
              </w:rPr>
              <w:t>+452.0%</w:t>
            </w:r>
          </w:p>
        </w:tc>
      </w:tr>
      <w:tr w:rsidR="00567031" w:rsidRPr="00567031" w14:paraId="18D5943F" w14:textId="77777777" w:rsidTr="002409B0">
        <w:trPr>
          <w:trHeight w:val="283"/>
          <w:jc w:val="center"/>
        </w:trPr>
        <w:tc>
          <w:tcPr>
            <w:tcW w:w="3802" w:type="dxa"/>
            <w:tcBorders>
              <w:top w:val="nil"/>
              <w:left w:val="nil"/>
              <w:bottom w:val="nil"/>
              <w:right w:val="nil"/>
            </w:tcBorders>
            <w:shd w:val="clear" w:color="auto" w:fill="auto"/>
            <w:noWrap/>
            <w:vAlign w:val="center"/>
            <w:hideMark/>
          </w:tcPr>
          <w:p w14:paraId="6ADFBF39" w14:textId="77777777" w:rsidR="00567031" w:rsidRPr="00567031" w:rsidRDefault="00567031" w:rsidP="00567031">
            <w:pPr>
              <w:spacing w:after="0" w:line="240" w:lineRule="auto"/>
              <w:jc w:val="left"/>
              <w:rPr>
                <w:rFonts w:ascii="Arial Narrow" w:eastAsia="Times New Roman" w:hAnsi="Arial Narrow" w:cs="Calibri"/>
                <w:i/>
                <w:iCs/>
                <w:color w:val="808080"/>
                <w:sz w:val="16"/>
                <w:szCs w:val="16"/>
                <w:lang w:val="en-GB" w:eastAsia="en-GB"/>
              </w:rPr>
            </w:pPr>
            <w:r w:rsidRPr="00567031">
              <w:rPr>
                <w:rFonts w:ascii="Arial Narrow" w:eastAsia="Times New Roman" w:hAnsi="Arial Narrow" w:cs="Calibri"/>
                <w:i/>
                <w:iCs/>
                <w:color w:val="808080"/>
                <w:sz w:val="16"/>
                <w:szCs w:val="16"/>
                <w:lang w:val="en-GB" w:eastAsia="en-GB"/>
              </w:rPr>
              <w:t>Income tax rate</w:t>
            </w:r>
          </w:p>
        </w:tc>
        <w:tc>
          <w:tcPr>
            <w:tcW w:w="661" w:type="dxa"/>
            <w:tcBorders>
              <w:top w:val="nil"/>
              <w:left w:val="nil"/>
              <w:bottom w:val="nil"/>
              <w:right w:val="nil"/>
            </w:tcBorders>
            <w:shd w:val="clear" w:color="auto" w:fill="auto"/>
            <w:noWrap/>
            <w:vAlign w:val="center"/>
            <w:hideMark/>
          </w:tcPr>
          <w:p w14:paraId="24B7CC92" w14:textId="77777777" w:rsidR="00567031" w:rsidRPr="00567031" w:rsidRDefault="00567031" w:rsidP="00567031">
            <w:pPr>
              <w:spacing w:after="0" w:line="240" w:lineRule="auto"/>
              <w:jc w:val="right"/>
              <w:rPr>
                <w:rFonts w:ascii="Arial Narrow" w:eastAsia="Times New Roman" w:hAnsi="Arial Narrow" w:cs="Calibri"/>
                <w:i/>
                <w:iCs/>
                <w:color w:val="808080"/>
                <w:sz w:val="16"/>
                <w:szCs w:val="16"/>
                <w:lang w:val="en-GB" w:eastAsia="en-GB"/>
              </w:rPr>
            </w:pPr>
            <w:r w:rsidRPr="00567031">
              <w:rPr>
                <w:rFonts w:ascii="Arial Narrow" w:eastAsia="Times New Roman" w:hAnsi="Arial Narrow" w:cs="Calibri"/>
                <w:i/>
                <w:iCs/>
                <w:color w:val="808080"/>
                <w:sz w:val="16"/>
                <w:szCs w:val="16"/>
                <w:lang w:val="en-GB" w:eastAsia="en-GB"/>
              </w:rPr>
              <w:t>50.5%</w:t>
            </w:r>
          </w:p>
        </w:tc>
        <w:tc>
          <w:tcPr>
            <w:tcW w:w="661" w:type="dxa"/>
            <w:tcBorders>
              <w:top w:val="nil"/>
              <w:left w:val="nil"/>
              <w:bottom w:val="nil"/>
              <w:right w:val="nil"/>
            </w:tcBorders>
            <w:shd w:val="clear" w:color="auto" w:fill="auto"/>
            <w:noWrap/>
            <w:vAlign w:val="center"/>
            <w:hideMark/>
          </w:tcPr>
          <w:p w14:paraId="3A2FC5F2" w14:textId="77777777" w:rsidR="00567031" w:rsidRPr="00567031" w:rsidRDefault="00567031" w:rsidP="00567031">
            <w:pPr>
              <w:spacing w:after="0" w:line="240" w:lineRule="auto"/>
              <w:jc w:val="right"/>
              <w:rPr>
                <w:rFonts w:ascii="Arial Narrow" w:eastAsia="Times New Roman" w:hAnsi="Arial Narrow" w:cs="Calibri"/>
                <w:i/>
                <w:iCs/>
                <w:color w:val="808080"/>
                <w:sz w:val="16"/>
                <w:szCs w:val="16"/>
                <w:lang w:val="en-GB" w:eastAsia="en-GB"/>
              </w:rPr>
            </w:pPr>
            <w:r w:rsidRPr="00567031">
              <w:rPr>
                <w:rFonts w:ascii="Arial Narrow" w:eastAsia="Times New Roman" w:hAnsi="Arial Narrow" w:cs="Calibri"/>
                <w:i/>
                <w:iCs/>
                <w:color w:val="808080"/>
                <w:sz w:val="16"/>
                <w:szCs w:val="16"/>
                <w:lang w:val="en-GB" w:eastAsia="en-GB"/>
              </w:rPr>
              <w:t>39.9%</w:t>
            </w:r>
          </w:p>
        </w:tc>
        <w:tc>
          <w:tcPr>
            <w:tcW w:w="661" w:type="dxa"/>
            <w:tcBorders>
              <w:top w:val="nil"/>
              <w:left w:val="nil"/>
              <w:bottom w:val="nil"/>
              <w:right w:val="nil"/>
            </w:tcBorders>
            <w:shd w:val="clear" w:color="auto" w:fill="auto"/>
            <w:noWrap/>
            <w:vAlign w:val="center"/>
            <w:hideMark/>
          </w:tcPr>
          <w:p w14:paraId="55C9A4A3" w14:textId="77777777" w:rsidR="00567031" w:rsidRPr="00567031" w:rsidRDefault="00567031" w:rsidP="00567031">
            <w:pPr>
              <w:spacing w:after="0" w:line="240" w:lineRule="auto"/>
              <w:jc w:val="right"/>
              <w:rPr>
                <w:rFonts w:ascii="Arial Narrow" w:eastAsia="Times New Roman" w:hAnsi="Arial Narrow" w:cs="Calibri"/>
                <w:i/>
                <w:iCs/>
                <w:color w:val="808080"/>
                <w:sz w:val="16"/>
                <w:szCs w:val="16"/>
                <w:lang w:val="en-GB" w:eastAsia="en-GB"/>
              </w:rPr>
            </w:pPr>
            <w:r w:rsidRPr="00567031">
              <w:rPr>
                <w:rFonts w:ascii="Arial Narrow" w:eastAsia="Times New Roman" w:hAnsi="Arial Narrow" w:cs="Calibri"/>
                <w:i/>
                <w:iCs/>
                <w:color w:val="808080"/>
                <w:sz w:val="16"/>
                <w:szCs w:val="16"/>
                <w:lang w:val="en-GB" w:eastAsia="en-GB"/>
              </w:rPr>
              <w:t>42.4%</w:t>
            </w:r>
          </w:p>
        </w:tc>
        <w:tc>
          <w:tcPr>
            <w:tcW w:w="661" w:type="dxa"/>
            <w:tcBorders>
              <w:top w:val="nil"/>
              <w:left w:val="nil"/>
              <w:bottom w:val="nil"/>
              <w:right w:val="nil"/>
            </w:tcBorders>
            <w:shd w:val="clear" w:color="auto" w:fill="auto"/>
            <w:noWrap/>
            <w:vAlign w:val="center"/>
            <w:hideMark/>
          </w:tcPr>
          <w:p w14:paraId="33BDE53F" w14:textId="77777777" w:rsidR="00567031" w:rsidRPr="00567031" w:rsidRDefault="00567031" w:rsidP="00567031">
            <w:pPr>
              <w:spacing w:after="0" w:line="240" w:lineRule="auto"/>
              <w:jc w:val="right"/>
              <w:rPr>
                <w:rFonts w:ascii="Arial Narrow" w:eastAsia="Times New Roman" w:hAnsi="Arial Narrow" w:cs="Calibri"/>
                <w:i/>
                <w:iCs/>
                <w:color w:val="808080"/>
                <w:sz w:val="16"/>
                <w:szCs w:val="16"/>
                <w:lang w:val="en-GB" w:eastAsia="en-GB"/>
              </w:rPr>
            </w:pPr>
            <w:r w:rsidRPr="00567031">
              <w:rPr>
                <w:rFonts w:ascii="Arial Narrow" w:eastAsia="Times New Roman" w:hAnsi="Arial Narrow" w:cs="Calibri"/>
                <w:i/>
                <w:iCs/>
                <w:color w:val="808080"/>
                <w:sz w:val="16"/>
                <w:szCs w:val="16"/>
                <w:lang w:val="en-GB" w:eastAsia="en-GB"/>
              </w:rPr>
              <w:t>24.5%</w:t>
            </w:r>
          </w:p>
        </w:tc>
        <w:tc>
          <w:tcPr>
            <w:tcW w:w="661" w:type="dxa"/>
            <w:tcBorders>
              <w:top w:val="nil"/>
              <w:left w:val="nil"/>
              <w:bottom w:val="nil"/>
              <w:right w:val="nil"/>
            </w:tcBorders>
            <w:shd w:val="clear" w:color="auto" w:fill="auto"/>
            <w:noWrap/>
            <w:vAlign w:val="center"/>
            <w:hideMark/>
          </w:tcPr>
          <w:p w14:paraId="1710682C" w14:textId="77777777" w:rsidR="00567031" w:rsidRPr="00567031" w:rsidRDefault="00567031" w:rsidP="00567031">
            <w:pPr>
              <w:spacing w:after="0" w:line="240" w:lineRule="auto"/>
              <w:jc w:val="right"/>
              <w:rPr>
                <w:rFonts w:ascii="Arial Narrow" w:eastAsia="Times New Roman" w:hAnsi="Arial Narrow" w:cs="Calibri"/>
                <w:i/>
                <w:iCs/>
                <w:color w:val="808080"/>
                <w:sz w:val="16"/>
                <w:szCs w:val="16"/>
                <w:lang w:val="en-GB" w:eastAsia="en-GB"/>
              </w:rPr>
            </w:pPr>
            <w:r w:rsidRPr="00567031">
              <w:rPr>
                <w:rFonts w:ascii="Arial Narrow" w:eastAsia="Times New Roman" w:hAnsi="Arial Narrow" w:cs="Calibri"/>
                <w:i/>
                <w:iCs/>
                <w:color w:val="808080"/>
                <w:sz w:val="16"/>
                <w:szCs w:val="16"/>
                <w:lang w:val="en-GB" w:eastAsia="en-GB"/>
              </w:rPr>
              <w:t>24.6%</w:t>
            </w:r>
          </w:p>
        </w:tc>
        <w:tc>
          <w:tcPr>
            <w:tcW w:w="296" w:type="dxa"/>
            <w:tcBorders>
              <w:top w:val="nil"/>
              <w:left w:val="nil"/>
              <w:bottom w:val="nil"/>
              <w:right w:val="nil"/>
            </w:tcBorders>
            <w:shd w:val="clear" w:color="auto" w:fill="auto"/>
            <w:noWrap/>
            <w:vAlign w:val="center"/>
            <w:hideMark/>
          </w:tcPr>
          <w:p w14:paraId="6B7921FE" w14:textId="77777777" w:rsidR="00567031" w:rsidRPr="00567031" w:rsidRDefault="00567031" w:rsidP="00567031">
            <w:pPr>
              <w:spacing w:after="0" w:line="240" w:lineRule="auto"/>
              <w:jc w:val="right"/>
              <w:rPr>
                <w:rFonts w:ascii="Arial Narrow" w:eastAsia="Times New Roman" w:hAnsi="Arial Narrow" w:cs="Calibri"/>
                <w:i/>
                <w:iCs/>
                <w:color w:val="808080"/>
                <w:sz w:val="16"/>
                <w:szCs w:val="16"/>
                <w:lang w:val="en-GB" w:eastAsia="en-GB"/>
              </w:rPr>
            </w:pPr>
          </w:p>
        </w:tc>
        <w:tc>
          <w:tcPr>
            <w:tcW w:w="811" w:type="dxa"/>
            <w:tcBorders>
              <w:top w:val="nil"/>
              <w:left w:val="nil"/>
              <w:bottom w:val="nil"/>
              <w:right w:val="nil"/>
            </w:tcBorders>
            <w:shd w:val="clear" w:color="auto" w:fill="auto"/>
            <w:noWrap/>
            <w:vAlign w:val="center"/>
            <w:hideMark/>
          </w:tcPr>
          <w:p w14:paraId="211A0E74" w14:textId="77777777" w:rsidR="00567031" w:rsidRPr="00567031" w:rsidRDefault="00567031" w:rsidP="00567031">
            <w:pPr>
              <w:spacing w:after="0" w:line="240" w:lineRule="auto"/>
              <w:jc w:val="left"/>
              <w:rPr>
                <w:rFonts w:ascii="Arial Narrow" w:eastAsia="Times New Roman" w:hAnsi="Arial Narrow" w:cs="Times New Roman"/>
                <w:sz w:val="16"/>
                <w:szCs w:val="16"/>
                <w:lang w:val="en-GB" w:eastAsia="en-GB"/>
              </w:rPr>
            </w:pPr>
          </w:p>
        </w:tc>
        <w:tc>
          <w:tcPr>
            <w:tcW w:w="880" w:type="dxa"/>
            <w:tcBorders>
              <w:top w:val="nil"/>
              <w:left w:val="nil"/>
              <w:bottom w:val="nil"/>
              <w:right w:val="nil"/>
            </w:tcBorders>
            <w:shd w:val="clear" w:color="auto" w:fill="auto"/>
            <w:noWrap/>
            <w:vAlign w:val="center"/>
            <w:hideMark/>
          </w:tcPr>
          <w:p w14:paraId="7FA9314F" w14:textId="77777777" w:rsidR="00567031" w:rsidRPr="00567031" w:rsidRDefault="00567031" w:rsidP="00567031">
            <w:pPr>
              <w:spacing w:after="0" w:line="240" w:lineRule="auto"/>
              <w:jc w:val="right"/>
              <w:rPr>
                <w:rFonts w:ascii="Arial Narrow" w:eastAsia="Times New Roman" w:hAnsi="Arial Narrow" w:cs="Times New Roman"/>
                <w:sz w:val="16"/>
                <w:szCs w:val="16"/>
                <w:lang w:val="en-GB" w:eastAsia="en-GB"/>
              </w:rPr>
            </w:pPr>
          </w:p>
        </w:tc>
      </w:tr>
    </w:tbl>
    <w:p w14:paraId="4EDF3136" w14:textId="77777777" w:rsidR="00BD4D1B" w:rsidRPr="00B30555" w:rsidRDefault="00BD4D1B" w:rsidP="00BD4D1B">
      <w:pPr>
        <w:spacing w:after="0" w:line="240" w:lineRule="auto"/>
        <w:rPr>
          <w:rFonts w:ascii="Arial Narrow" w:hAnsi="Arial Narrow" w:cs="Arial"/>
          <w:bCs/>
          <w:u w:val="single"/>
          <w:lang w:val="en-GB"/>
        </w:rPr>
      </w:pPr>
    </w:p>
    <w:p w14:paraId="636FD0D0" w14:textId="77777777" w:rsidR="00BD4D1B" w:rsidRPr="00B30555" w:rsidRDefault="00BD4D1B" w:rsidP="00BD4D1B">
      <w:pPr>
        <w:spacing w:after="0" w:line="240" w:lineRule="auto"/>
        <w:rPr>
          <w:rFonts w:ascii="Arial Narrow" w:hAnsi="Arial Narrow" w:cs="Arial"/>
          <w:bCs/>
          <w:u w:val="single"/>
          <w:lang w:val="en-GB"/>
        </w:rPr>
      </w:pPr>
    </w:p>
    <w:p w14:paraId="53AAA07D" w14:textId="77777777" w:rsidR="00BD4D1B" w:rsidRPr="00B30555" w:rsidRDefault="00BD4D1B" w:rsidP="00BD4D1B">
      <w:pPr>
        <w:spacing w:after="0" w:line="240" w:lineRule="auto"/>
        <w:rPr>
          <w:rFonts w:ascii="Arial Narrow" w:hAnsi="Arial Narrow" w:cs="Arial"/>
          <w:bCs/>
          <w:u w:val="single"/>
          <w:lang w:val="en-GB"/>
        </w:rPr>
      </w:pPr>
      <w:r w:rsidRPr="00B30555">
        <w:rPr>
          <w:rFonts w:ascii="Arial Narrow" w:hAnsi="Arial Narrow" w:cs="Arial"/>
          <w:bCs/>
          <w:u w:val="single"/>
          <w:lang w:val="en-GB"/>
        </w:rPr>
        <w:t>Cumulated results</w:t>
      </w:r>
    </w:p>
    <w:p w14:paraId="53DBCEF3" w14:textId="77777777" w:rsidR="00BD4D1B" w:rsidRPr="00B30555" w:rsidRDefault="00BD4D1B" w:rsidP="00BD4D1B">
      <w:pPr>
        <w:spacing w:after="0" w:line="240" w:lineRule="auto"/>
        <w:rPr>
          <w:rFonts w:ascii="Arial Narrow" w:hAnsi="Arial Narrow" w:cs="Arial"/>
          <w:bCs/>
          <w:u w:val="single"/>
          <w:lang w:val="en-GB"/>
        </w:rPr>
      </w:pPr>
    </w:p>
    <w:tbl>
      <w:tblPr>
        <w:tblW w:w="9157" w:type="dxa"/>
        <w:jc w:val="center"/>
        <w:tblLook w:val="04A0" w:firstRow="1" w:lastRow="0" w:firstColumn="1" w:lastColumn="0" w:noHBand="0" w:noVBand="1"/>
      </w:tblPr>
      <w:tblGrid>
        <w:gridCol w:w="3802"/>
        <w:gridCol w:w="661"/>
        <w:gridCol w:w="661"/>
        <w:gridCol w:w="727"/>
        <w:gridCol w:w="727"/>
        <w:gridCol w:w="661"/>
        <w:gridCol w:w="296"/>
        <w:gridCol w:w="811"/>
        <w:gridCol w:w="811"/>
      </w:tblGrid>
      <w:tr w:rsidR="00567031" w:rsidRPr="002409B0" w14:paraId="5087DE4A" w14:textId="77777777" w:rsidTr="002409B0">
        <w:trPr>
          <w:trHeight w:val="283"/>
          <w:jc w:val="center"/>
        </w:trPr>
        <w:tc>
          <w:tcPr>
            <w:tcW w:w="3802" w:type="dxa"/>
            <w:tcBorders>
              <w:top w:val="nil"/>
              <w:left w:val="nil"/>
              <w:bottom w:val="nil"/>
              <w:right w:val="nil"/>
            </w:tcBorders>
            <w:shd w:val="clear" w:color="000000" w:fill="03365F"/>
            <w:vAlign w:val="center"/>
            <w:hideMark/>
          </w:tcPr>
          <w:p w14:paraId="3688F0D1" w14:textId="77777777" w:rsidR="00567031" w:rsidRPr="002409B0" w:rsidRDefault="00567031" w:rsidP="00567031">
            <w:pPr>
              <w:spacing w:after="0" w:line="240" w:lineRule="auto"/>
              <w:jc w:val="left"/>
              <w:rPr>
                <w:rFonts w:ascii="Arial Narrow" w:eastAsia="Times New Roman" w:hAnsi="Arial Narrow" w:cs="Calibri"/>
                <w:b/>
                <w:bCs/>
                <w:color w:val="FFFFFF"/>
                <w:sz w:val="16"/>
                <w:szCs w:val="16"/>
                <w:lang w:val="en-GB" w:eastAsia="en-GB"/>
              </w:rPr>
            </w:pPr>
            <w:r w:rsidRPr="002409B0">
              <w:rPr>
                <w:rFonts w:ascii="Arial Narrow" w:eastAsia="Times New Roman" w:hAnsi="Arial Narrow" w:cs="Calibri"/>
                <w:b/>
                <w:bCs/>
                <w:color w:val="FFFFFF"/>
                <w:sz w:val="16"/>
                <w:szCs w:val="16"/>
                <w:lang w:val="en-GB" w:eastAsia="en-GB"/>
              </w:rPr>
              <w:t>Income statements items in €m - cumulated figures</w:t>
            </w:r>
          </w:p>
        </w:tc>
        <w:tc>
          <w:tcPr>
            <w:tcW w:w="661" w:type="dxa"/>
            <w:tcBorders>
              <w:top w:val="nil"/>
              <w:left w:val="nil"/>
              <w:bottom w:val="nil"/>
              <w:right w:val="nil"/>
            </w:tcBorders>
            <w:shd w:val="clear" w:color="000000" w:fill="03365F"/>
            <w:noWrap/>
            <w:vAlign w:val="center"/>
            <w:hideMark/>
          </w:tcPr>
          <w:p w14:paraId="3E8B43CA" w14:textId="77777777" w:rsidR="00567031" w:rsidRPr="002409B0" w:rsidRDefault="00567031" w:rsidP="00567031">
            <w:pPr>
              <w:spacing w:after="0" w:line="240" w:lineRule="auto"/>
              <w:jc w:val="right"/>
              <w:rPr>
                <w:rFonts w:ascii="Arial Narrow" w:eastAsia="Times New Roman" w:hAnsi="Arial Narrow" w:cs="Calibri"/>
                <w:b/>
                <w:bCs/>
                <w:color w:val="FFFFFF"/>
                <w:sz w:val="16"/>
                <w:szCs w:val="16"/>
                <w:lang w:val="en-GB" w:eastAsia="en-GB"/>
              </w:rPr>
            </w:pPr>
            <w:r w:rsidRPr="002409B0">
              <w:rPr>
                <w:rFonts w:ascii="Arial Narrow" w:eastAsia="Times New Roman" w:hAnsi="Arial Narrow" w:cs="Calibri"/>
                <w:b/>
                <w:bCs/>
                <w:color w:val="FFFFFF"/>
                <w:sz w:val="16"/>
                <w:szCs w:val="16"/>
                <w:lang w:val="en-GB" w:eastAsia="en-GB"/>
              </w:rPr>
              <w:t>Q1-20</w:t>
            </w:r>
          </w:p>
        </w:tc>
        <w:tc>
          <w:tcPr>
            <w:tcW w:w="661" w:type="dxa"/>
            <w:tcBorders>
              <w:top w:val="nil"/>
              <w:left w:val="nil"/>
              <w:bottom w:val="nil"/>
              <w:right w:val="nil"/>
            </w:tcBorders>
            <w:shd w:val="clear" w:color="000000" w:fill="03365F"/>
            <w:noWrap/>
            <w:vAlign w:val="center"/>
            <w:hideMark/>
          </w:tcPr>
          <w:p w14:paraId="7FB46941" w14:textId="77777777" w:rsidR="00567031" w:rsidRPr="002409B0" w:rsidRDefault="00567031" w:rsidP="00567031">
            <w:pPr>
              <w:spacing w:after="0" w:line="240" w:lineRule="auto"/>
              <w:jc w:val="right"/>
              <w:rPr>
                <w:rFonts w:ascii="Arial Narrow" w:eastAsia="Times New Roman" w:hAnsi="Arial Narrow" w:cs="Calibri"/>
                <w:b/>
                <w:bCs/>
                <w:color w:val="FFFFFF"/>
                <w:sz w:val="16"/>
                <w:szCs w:val="16"/>
                <w:lang w:val="en-GB" w:eastAsia="en-GB"/>
              </w:rPr>
            </w:pPr>
            <w:r w:rsidRPr="002409B0">
              <w:rPr>
                <w:rFonts w:ascii="Arial Narrow" w:eastAsia="Times New Roman" w:hAnsi="Arial Narrow" w:cs="Calibri"/>
                <w:b/>
                <w:bCs/>
                <w:color w:val="FFFFFF"/>
                <w:sz w:val="16"/>
                <w:szCs w:val="16"/>
                <w:lang w:val="en-GB" w:eastAsia="en-GB"/>
              </w:rPr>
              <w:t>H1-20</w:t>
            </w:r>
          </w:p>
        </w:tc>
        <w:tc>
          <w:tcPr>
            <w:tcW w:w="727" w:type="dxa"/>
            <w:tcBorders>
              <w:top w:val="nil"/>
              <w:left w:val="nil"/>
              <w:bottom w:val="nil"/>
              <w:right w:val="nil"/>
            </w:tcBorders>
            <w:shd w:val="clear" w:color="000000" w:fill="03365F"/>
            <w:noWrap/>
            <w:vAlign w:val="center"/>
            <w:hideMark/>
          </w:tcPr>
          <w:p w14:paraId="4736F0C1" w14:textId="77777777" w:rsidR="00567031" w:rsidRPr="002409B0" w:rsidRDefault="00567031" w:rsidP="00567031">
            <w:pPr>
              <w:spacing w:after="0" w:line="240" w:lineRule="auto"/>
              <w:jc w:val="right"/>
              <w:rPr>
                <w:rFonts w:ascii="Arial Narrow" w:eastAsia="Times New Roman" w:hAnsi="Arial Narrow" w:cs="Calibri"/>
                <w:b/>
                <w:bCs/>
                <w:color w:val="FFFFFF"/>
                <w:sz w:val="16"/>
                <w:szCs w:val="16"/>
                <w:lang w:val="en-GB" w:eastAsia="en-GB"/>
              </w:rPr>
            </w:pPr>
            <w:r w:rsidRPr="002409B0">
              <w:rPr>
                <w:rFonts w:ascii="Arial Narrow" w:eastAsia="Times New Roman" w:hAnsi="Arial Narrow" w:cs="Calibri"/>
                <w:b/>
                <w:bCs/>
                <w:color w:val="FFFFFF"/>
                <w:sz w:val="16"/>
                <w:szCs w:val="16"/>
                <w:lang w:val="en-GB" w:eastAsia="en-GB"/>
              </w:rPr>
              <w:t>9M-20</w:t>
            </w:r>
          </w:p>
        </w:tc>
        <w:tc>
          <w:tcPr>
            <w:tcW w:w="727" w:type="dxa"/>
            <w:tcBorders>
              <w:top w:val="nil"/>
              <w:left w:val="nil"/>
              <w:bottom w:val="nil"/>
              <w:right w:val="nil"/>
            </w:tcBorders>
            <w:shd w:val="clear" w:color="000000" w:fill="03365F"/>
            <w:noWrap/>
            <w:vAlign w:val="center"/>
            <w:hideMark/>
          </w:tcPr>
          <w:p w14:paraId="21BEE59F" w14:textId="77777777" w:rsidR="00567031" w:rsidRPr="002409B0" w:rsidRDefault="00567031" w:rsidP="00567031">
            <w:pPr>
              <w:spacing w:after="0" w:line="240" w:lineRule="auto"/>
              <w:jc w:val="right"/>
              <w:rPr>
                <w:rFonts w:ascii="Arial Narrow" w:eastAsia="Times New Roman" w:hAnsi="Arial Narrow" w:cs="Calibri"/>
                <w:b/>
                <w:bCs/>
                <w:color w:val="FFFFFF"/>
                <w:sz w:val="16"/>
                <w:szCs w:val="16"/>
                <w:lang w:val="en-GB" w:eastAsia="en-GB"/>
              </w:rPr>
            </w:pPr>
            <w:r w:rsidRPr="002409B0">
              <w:rPr>
                <w:rFonts w:ascii="Arial Narrow" w:eastAsia="Times New Roman" w:hAnsi="Arial Narrow" w:cs="Calibri"/>
                <w:b/>
                <w:bCs/>
                <w:color w:val="FFFFFF"/>
                <w:sz w:val="16"/>
                <w:szCs w:val="16"/>
                <w:lang w:val="en-GB" w:eastAsia="en-GB"/>
              </w:rPr>
              <w:t>FY-20</w:t>
            </w:r>
          </w:p>
        </w:tc>
        <w:tc>
          <w:tcPr>
            <w:tcW w:w="661" w:type="dxa"/>
            <w:tcBorders>
              <w:top w:val="nil"/>
              <w:left w:val="nil"/>
              <w:bottom w:val="nil"/>
              <w:right w:val="nil"/>
            </w:tcBorders>
            <w:shd w:val="clear" w:color="000000" w:fill="18B3B9"/>
            <w:noWrap/>
            <w:vAlign w:val="center"/>
            <w:hideMark/>
          </w:tcPr>
          <w:p w14:paraId="337BBF82" w14:textId="28B81C22" w:rsidR="00567031" w:rsidRPr="002409B0" w:rsidRDefault="00567031" w:rsidP="00375A96">
            <w:pPr>
              <w:spacing w:after="0" w:line="240" w:lineRule="auto"/>
              <w:jc w:val="right"/>
              <w:rPr>
                <w:rFonts w:ascii="Arial Narrow" w:eastAsia="Times New Roman" w:hAnsi="Arial Narrow" w:cs="Calibri"/>
                <w:b/>
                <w:bCs/>
                <w:color w:val="FFFFFF"/>
                <w:sz w:val="16"/>
                <w:szCs w:val="16"/>
                <w:lang w:val="en-GB" w:eastAsia="en-GB"/>
              </w:rPr>
            </w:pPr>
            <w:r w:rsidRPr="002409B0">
              <w:rPr>
                <w:rFonts w:ascii="Arial Narrow" w:eastAsia="Times New Roman" w:hAnsi="Arial Narrow" w:cs="Calibri"/>
                <w:b/>
                <w:bCs/>
                <w:color w:val="FFFFFF"/>
                <w:sz w:val="16"/>
                <w:szCs w:val="16"/>
                <w:lang w:val="en-GB" w:eastAsia="en-GB"/>
              </w:rPr>
              <w:t>Q1-2</w:t>
            </w:r>
            <w:r w:rsidR="00375A96">
              <w:rPr>
                <w:rFonts w:ascii="Arial Narrow" w:eastAsia="Times New Roman" w:hAnsi="Arial Narrow" w:cs="Calibri"/>
                <w:b/>
                <w:bCs/>
                <w:color w:val="FFFFFF"/>
                <w:sz w:val="16"/>
                <w:szCs w:val="16"/>
                <w:lang w:val="en-GB" w:eastAsia="en-GB"/>
              </w:rPr>
              <w:t>1</w:t>
            </w:r>
          </w:p>
        </w:tc>
        <w:tc>
          <w:tcPr>
            <w:tcW w:w="296" w:type="dxa"/>
            <w:tcBorders>
              <w:top w:val="nil"/>
              <w:left w:val="nil"/>
              <w:bottom w:val="nil"/>
              <w:right w:val="nil"/>
            </w:tcBorders>
            <w:shd w:val="clear" w:color="auto" w:fill="auto"/>
            <w:noWrap/>
            <w:vAlign w:val="center"/>
            <w:hideMark/>
          </w:tcPr>
          <w:p w14:paraId="2D6EA14A" w14:textId="77777777" w:rsidR="00567031" w:rsidRPr="002409B0" w:rsidRDefault="00567031" w:rsidP="00567031">
            <w:pPr>
              <w:spacing w:after="0" w:line="240" w:lineRule="auto"/>
              <w:jc w:val="right"/>
              <w:rPr>
                <w:rFonts w:ascii="Arial Narrow" w:eastAsia="Times New Roman" w:hAnsi="Arial Narrow" w:cs="Calibri"/>
                <w:b/>
                <w:bCs/>
                <w:color w:val="FFFFFF"/>
                <w:sz w:val="16"/>
                <w:szCs w:val="16"/>
                <w:lang w:val="en-GB" w:eastAsia="en-GB"/>
              </w:rPr>
            </w:pPr>
          </w:p>
        </w:tc>
        <w:tc>
          <w:tcPr>
            <w:tcW w:w="811" w:type="dxa"/>
            <w:tcBorders>
              <w:top w:val="nil"/>
              <w:left w:val="nil"/>
              <w:bottom w:val="nil"/>
              <w:right w:val="nil"/>
            </w:tcBorders>
            <w:shd w:val="clear" w:color="000000" w:fill="03365F"/>
            <w:noWrap/>
            <w:vAlign w:val="center"/>
            <w:hideMark/>
          </w:tcPr>
          <w:p w14:paraId="082E5D2B" w14:textId="77777777" w:rsidR="00567031" w:rsidRPr="002409B0" w:rsidRDefault="00567031" w:rsidP="00567031">
            <w:pPr>
              <w:spacing w:after="0" w:line="240" w:lineRule="auto"/>
              <w:jc w:val="center"/>
              <w:rPr>
                <w:rFonts w:ascii="Arial Narrow" w:eastAsia="Times New Roman" w:hAnsi="Arial Narrow" w:cs="Calibri"/>
                <w:b/>
                <w:bCs/>
                <w:color w:val="FFFFFF"/>
                <w:sz w:val="16"/>
                <w:szCs w:val="16"/>
                <w:lang w:val="en-GB" w:eastAsia="en-GB"/>
              </w:rPr>
            </w:pPr>
            <w:r w:rsidRPr="002409B0">
              <w:rPr>
                <w:rFonts w:ascii="Arial Narrow" w:eastAsia="Times New Roman" w:hAnsi="Arial Narrow" w:cs="Calibri"/>
                <w:b/>
                <w:bCs/>
                <w:color w:val="FFFFFF"/>
                <w:sz w:val="16"/>
                <w:szCs w:val="16"/>
                <w:lang w:val="en-GB" w:eastAsia="en-GB"/>
              </w:rPr>
              <w:t>%</w:t>
            </w:r>
          </w:p>
        </w:tc>
        <w:tc>
          <w:tcPr>
            <w:tcW w:w="811" w:type="dxa"/>
            <w:tcBorders>
              <w:top w:val="nil"/>
              <w:left w:val="nil"/>
              <w:bottom w:val="nil"/>
              <w:right w:val="nil"/>
            </w:tcBorders>
            <w:shd w:val="clear" w:color="000000" w:fill="03365F"/>
            <w:noWrap/>
            <w:vAlign w:val="center"/>
            <w:hideMark/>
          </w:tcPr>
          <w:p w14:paraId="038ACF1E" w14:textId="77777777" w:rsidR="002409B0" w:rsidRDefault="00567031" w:rsidP="00567031">
            <w:pPr>
              <w:spacing w:after="0" w:line="240" w:lineRule="auto"/>
              <w:jc w:val="center"/>
              <w:rPr>
                <w:rFonts w:ascii="Arial Narrow" w:eastAsia="Times New Roman" w:hAnsi="Arial Narrow" w:cs="Calibri"/>
                <w:b/>
                <w:bCs/>
                <w:color w:val="FFFFFF"/>
                <w:sz w:val="16"/>
                <w:szCs w:val="16"/>
                <w:lang w:val="en-GB" w:eastAsia="en-GB"/>
              </w:rPr>
            </w:pPr>
            <w:r w:rsidRPr="002409B0">
              <w:rPr>
                <w:rFonts w:ascii="Arial Narrow" w:eastAsia="Times New Roman" w:hAnsi="Arial Narrow" w:cs="Calibri"/>
                <w:b/>
                <w:bCs/>
                <w:color w:val="FFFFFF"/>
                <w:sz w:val="16"/>
                <w:szCs w:val="16"/>
                <w:lang w:val="en-GB" w:eastAsia="en-GB"/>
              </w:rPr>
              <w:t xml:space="preserve">% </w:t>
            </w:r>
          </w:p>
          <w:p w14:paraId="75B8E075" w14:textId="4115FCAA" w:rsidR="00567031" w:rsidRPr="002409B0" w:rsidRDefault="00567031" w:rsidP="00567031">
            <w:pPr>
              <w:spacing w:after="0" w:line="240" w:lineRule="auto"/>
              <w:jc w:val="center"/>
              <w:rPr>
                <w:rFonts w:ascii="Arial Narrow" w:eastAsia="Times New Roman" w:hAnsi="Arial Narrow" w:cs="Calibri"/>
                <w:b/>
                <w:bCs/>
                <w:color w:val="FFFFFF"/>
                <w:sz w:val="16"/>
                <w:szCs w:val="16"/>
                <w:lang w:val="en-GB" w:eastAsia="en-GB"/>
              </w:rPr>
            </w:pPr>
            <w:r w:rsidRPr="002409B0">
              <w:rPr>
                <w:rFonts w:ascii="Arial Narrow" w:eastAsia="Times New Roman" w:hAnsi="Arial Narrow" w:cs="Calibri"/>
                <w:b/>
                <w:bCs/>
                <w:color w:val="FFFFFF"/>
                <w:sz w:val="16"/>
                <w:szCs w:val="16"/>
                <w:lang w:val="en-GB" w:eastAsia="en-GB"/>
              </w:rPr>
              <w:t>ex. FX*</w:t>
            </w:r>
          </w:p>
        </w:tc>
      </w:tr>
      <w:tr w:rsidR="00567031" w:rsidRPr="002409B0" w14:paraId="2BDC3839" w14:textId="77777777" w:rsidTr="002409B0">
        <w:trPr>
          <w:trHeight w:val="283"/>
          <w:jc w:val="center"/>
        </w:trPr>
        <w:tc>
          <w:tcPr>
            <w:tcW w:w="3802" w:type="dxa"/>
            <w:tcBorders>
              <w:top w:val="single" w:sz="4" w:space="0" w:color="BFBFBF"/>
              <w:left w:val="nil"/>
              <w:bottom w:val="single" w:sz="4" w:space="0" w:color="BFBFBF"/>
              <w:right w:val="nil"/>
            </w:tcBorders>
            <w:shd w:val="clear" w:color="auto" w:fill="auto"/>
            <w:noWrap/>
            <w:vAlign w:val="bottom"/>
            <w:hideMark/>
          </w:tcPr>
          <w:p w14:paraId="0767AB68" w14:textId="77777777" w:rsidR="00567031" w:rsidRPr="002409B0" w:rsidRDefault="00567031" w:rsidP="00567031">
            <w:pPr>
              <w:spacing w:after="0" w:line="240" w:lineRule="auto"/>
              <w:jc w:val="left"/>
              <w:rPr>
                <w:rFonts w:ascii="Arial Narrow" w:eastAsia="Times New Roman" w:hAnsi="Arial Narrow" w:cs="Calibri"/>
                <w:sz w:val="16"/>
                <w:szCs w:val="16"/>
                <w:lang w:val="en-GB" w:eastAsia="en-GB"/>
              </w:rPr>
            </w:pPr>
            <w:r w:rsidRPr="002409B0">
              <w:rPr>
                <w:rFonts w:ascii="Arial Narrow" w:eastAsia="Times New Roman" w:hAnsi="Arial Narrow" w:cs="Calibri"/>
                <w:sz w:val="16"/>
                <w:szCs w:val="16"/>
                <w:lang w:val="en-GB" w:eastAsia="en-GB"/>
              </w:rPr>
              <w:t>Gross earned premiums</w:t>
            </w:r>
          </w:p>
        </w:tc>
        <w:tc>
          <w:tcPr>
            <w:tcW w:w="661" w:type="dxa"/>
            <w:tcBorders>
              <w:top w:val="single" w:sz="4" w:space="0" w:color="BFBFBF"/>
              <w:left w:val="nil"/>
              <w:bottom w:val="single" w:sz="4" w:space="0" w:color="BFBFBF"/>
              <w:right w:val="nil"/>
            </w:tcBorders>
            <w:shd w:val="clear" w:color="000000" w:fill="F2F2F2"/>
            <w:noWrap/>
            <w:vAlign w:val="center"/>
            <w:hideMark/>
          </w:tcPr>
          <w:p w14:paraId="2F276530" w14:textId="77777777" w:rsidR="00567031" w:rsidRPr="002409B0" w:rsidRDefault="00567031" w:rsidP="00567031">
            <w:pPr>
              <w:spacing w:after="0" w:line="240" w:lineRule="auto"/>
              <w:jc w:val="right"/>
              <w:rPr>
                <w:rFonts w:ascii="Arial Narrow" w:eastAsia="Times New Roman" w:hAnsi="Arial Narrow" w:cs="Calibri"/>
                <w:sz w:val="16"/>
                <w:szCs w:val="16"/>
                <w:lang w:val="en-GB" w:eastAsia="en-GB"/>
              </w:rPr>
            </w:pPr>
            <w:r w:rsidRPr="002409B0">
              <w:rPr>
                <w:rFonts w:ascii="Arial Narrow" w:eastAsia="Times New Roman" w:hAnsi="Arial Narrow" w:cs="Calibri"/>
                <w:sz w:val="16"/>
                <w:szCs w:val="16"/>
                <w:lang w:val="en-GB" w:eastAsia="en-GB"/>
              </w:rPr>
              <w:t>301.2</w:t>
            </w:r>
          </w:p>
        </w:tc>
        <w:tc>
          <w:tcPr>
            <w:tcW w:w="661" w:type="dxa"/>
            <w:tcBorders>
              <w:top w:val="single" w:sz="4" w:space="0" w:color="BFBFBF"/>
              <w:left w:val="nil"/>
              <w:bottom w:val="single" w:sz="4" w:space="0" w:color="BFBFBF"/>
              <w:right w:val="nil"/>
            </w:tcBorders>
            <w:shd w:val="clear" w:color="auto" w:fill="auto"/>
            <w:noWrap/>
            <w:vAlign w:val="center"/>
            <w:hideMark/>
          </w:tcPr>
          <w:p w14:paraId="1561A2F4" w14:textId="77777777" w:rsidR="00567031" w:rsidRPr="002409B0" w:rsidRDefault="00567031" w:rsidP="00567031">
            <w:pPr>
              <w:spacing w:after="0" w:line="240" w:lineRule="auto"/>
              <w:jc w:val="right"/>
              <w:rPr>
                <w:rFonts w:ascii="Arial Narrow" w:eastAsia="Times New Roman" w:hAnsi="Arial Narrow" w:cs="Calibri"/>
                <w:sz w:val="16"/>
                <w:szCs w:val="16"/>
                <w:lang w:val="en-GB" w:eastAsia="en-GB"/>
              </w:rPr>
            </w:pPr>
            <w:r w:rsidRPr="002409B0">
              <w:rPr>
                <w:rFonts w:ascii="Arial Narrow" w:eastAsia="Times New Roman" w:hAnsi="Arial Narrow" w:cs="Calibri"/>
                <w:sz w:val="16"/>
                <w:szCs w:val="16"/>
                <w:lang w:val="en-GB" w:eastAsia="en-GB"/>
              </w:rPr>
              <w:t>599.1</w:t>
            </w:r>
          </w:p>
        </w:tc>
        <w:tc>
          <w:tcPr>
            <w:tcW w:w="727" w:type="dxa"/>
            <w:tcBorders>
              <w:top w:val="single" w:sz="4" w:space="0" w:color="BFBFBF"/>
              <w:left w:val="nil"/>
              <w:bottom w:val="single" w:sz="4" w:space="0" w:color="BFBFBF"/>
              <w:right w:val="nil"/>
            </w:tcBorders>
            <w:shd w:val="clear" w:color="auto" w:fill="auto"/>
            <w:noWrap/>
            <w:vAlign w:val="center"/>
            <w:hideMark/>
          </w:tcPr>
          <w:p w14:paraId="5DB52D2D" w14:textId="77777777" w:rsidR="00567031" w:rsidRPr="002409B0" w:rsidRDefault="00567031" w:rsidP="00567031">
            <w:pPr>
              <w:spacing w:after="0" w:line="240" w:lineRule="auto"/>
              <w:jc w:val="right"/>
              <w:rPr>
                <w:rFonts w:ascii="Arial Narrow" w:eastAsia="Times New Roman" w:hAnsi="Arial Narrow" w:cs="Calibri"/>
                <w:sz w:val="16"/>
                <w:szCs w:val="16"/>
                <w:lang w:val="en-GB" w:eastAsia="en-GB"/>
              </w:rPr>
            </w:pPr>
            <w:r w:rsidRPr="002409B0">
              <w:rPr>
                <w:rFonts w:ascii="Arial Narrow" w:eastAsia="Times New Roman" w:hAnsi="Arial Narrow" w:cs="Calibri"/>
                <w:sz w:val="16"/>
                <w:szCs w:val="16"/>
                <w:lang w:val="en-GB" w:eastAsia="en-GB"/>
              </w:rPr>
              <w:t>897.2</w:t>
            </w:r>
          </w:p>
        </w:tc>
        <w:tc>
          <w:tcPr>
            <w:tcW w:w="727" w:type="dxa"/>
            <w:tcBorders>
              <w:top w:val="single" w:sz="4" w:space="0" w:color="BFBFBF"/>
              <w:left w:val="nil"/>
              <w:bottom w:val="single" w:sz="4" w:space="0" w:color="BFBFBF"/>
              <w:right w:val="nil"/>
            </w:tcBorders>
            <w:shd w:val="clear" w:color="auto" w:fill="auto"/>
            <w:noWrap/>
            <w:vAlign w:val="center"/>
            <w:hideMark/>
          </w:tcPr>
          <w:p w14:paraId="0A92FC94" w14:textId="77777777" w:rsidR="00567031" w:rsidRPr="002409B0" w:rsidRDefault="00567031" w:rsidP="00567031">
            <w:pPr>
              <w:spacing w:after="0" w:line="240" w:lineRule="auto"/>
              <w:jc w:val="right"/>
              <w:rPr>
                <w:rFonts w:ascii="Arial Narrow" w:eastAsia="Times New Roman" w:hAnsi="Arial Narrow" w:cs="Calibri"/>
                <w:sz w:val="16"/>
                <w:szCs w:val="16"/>
                <w:lang w:val="en-GB" w:eastAsia="en-GB"/>
              </w:rPr>
            </w:pPr>
            <w:r w:rsidRPr="002409B0">
              <w:rPr>
                <w:rFonts w:ascii="Arial Narrow" w:eastAsia="Times New Roman" w:hAnsi="Arial Narrow" w:cs="Calibri"/>
                <w:sz w:val="16"/>
                <w:szCs w:val="16"/>
                <w:lang w:val="en-GB" w:eastAsia="en-GB"/>
              </w:rPr>
              <w:t>1,204.3</w:t>
            </w:r>
          </w:p>
        </w:tc>
        <w:tc>
          <w:tcPr>
            <w:tcW w:w="661" w:type="dxa"/>
            <w:tcBorders>
              <w:top w:val="single" w:sz="4" w:space="0" w:color="BFBFBF"/>
              <w:left w:val="nil"/>
              <w:bottom w:val="single" w:sz="4" w:space="0" w:color="BFBFBF"/>
              <w:right w:val="nil"/>
            </w:tcBorders>
            <w:shd w:val="clear" w:color="000000" w:fill="D1F0F1"/>
            <w:noWrap/>
            <w:vAlign w:val="center"/>
            <w:hideMark/>
          </w:tcPr>
          <w:p w14:paraId="43F07C74" w14:textId="77777777" w:rsidR="00567031" w:rsidRPr="002409B0" w:rsidRDefault="00567031" w:rsidP="00567031">
            <w:pPr>
              <w:spacing w:after="0" w:line="240" w:lineRule="auto"/>
              <w:jc w:val="right"/>
              <w:rPr>
                <w:rFonts w:ascii="Arial Narrow" w:eastAsia="Times New Roman" w:hAnsi="Arial Narrow" w:cs="Calibri"/>
                <w:sz w:val="16"/>
                <w:szCs w:val="16"/>
                <w:lang w:val="en-GB" w:eastAsia="en-GB"/>
              </w:rPr>
            </w:pPr>
            <w:r w:rsidRPr="002409B0">
              <w:rPr>
                <w:rFonts w:ascii="Arial Narrow" w:eastAsia="Times New Roman" w:hAnsi="Arial Narrow" w:cs="Calibri"/>
                <w:sz w:val="16"/>
                <w:szCs w:val="16"/>
                <w:lang w:val="en-GB" w:eastAsia="en-GB"/>
              </w:rPr>
              <w:t>312.1</w:t>
            </w:r>
          </w:p>
        </w:tc>
        <w:tc>
          <w:tcPr>
            <w:tcW w:w="296" w:type="dxa"/>
            <w:tcBorders>
              <w:top w:val="nil"/>
              <w:left w:val="nil"/>
              <w:bottom w:val="nil"/>
              <w:right w:val="nil"/>
            </w:tcBorders>
            <w:shd w:val="clear" w:color="auto" w:fill="auto"/>
            <w:noWrap/>
            <w:vAlign w:val="center"/>
            <w:hideMark/>
          </w:tcPr>
          <w:p w14:paraId="7BE33AF0" w14:textId="77777777" w:rsidR="00567031" w:rsidRPr="002409B0" w:rsidRDefault="00567031" w:rsidP="00567031">
            <w:pPr>
              <w:spacing w:after="0" w:line="240" w:lineRule="auto"/>
              <w:jc w:val="right"/>
              <w:rPr>
                <w:rFonts w:ascii="Arial Narrow" w:eastAsia="Times New Roman" w:hAnsi="Arial Narrow" w:cs="Calibri"/>
                <w:sz w:val="16"/>
                <w:szCs w:val="16"/>
                <w:lang w:val="en-GB" w:eastAsia="en-GB"/>
              </w:rPr>
            </w:pPr>
          </w:p>
        </w:tc>
        <w:tc>
          <w:tcPr>
            <w:tcW w:w="811" w:type="dxa"/>
            <w:tcBorders>
              <w:top w:val="single" w:sz="4" w:space="0" w:color="BFBFBF"/>
              <w:left w:val="nil"/>
              <w:bottom w:val="single" w:sz="4" w:space="0" w:color="BFBFBF"/>
              <w:right w:val="nil"/>
            </w:tcBorders>
            <w:shd w:val="clear" w:color="auto" w:fill="auto"/>
            <w:noWrap/>
            <w:vAlign w:val="center"/>
            <w:hideMark/>
          </w:tcPr>
          <w:p w14:paraId="5759105B" w14:textId="77777777" w:rsidR="00567031" w:rsidRPr="002409B0" w:rsidRDefault="00567031" w:rsidP="00567031">
            <w:pPr>
              <w:spacing w:after="0" w:line="240" w:lineRule="auto"/>
              <w:jc w:val="right"/>
              <w:rPr>
                <w:rFonts w:ascii="Arial Narrow" w:eastAsia="Times New Roman" w:hAnsi="Arial Narrow" w:cs="Calibri"/>
                <w:sz w:val="16"/>
                <w:szCs w:val="16"/>
                <w:lang w:val="en-GB" w:eastAsia="en-GB"/>
              </w:rPr>
            </w:pPr>
            <w:r w:rsidRPr="002409B0">
              <w:rPr>
                <w:rFonts w:ascii="Arial Narrow" w:eastAsia="Times New Roman" w:hAnsi="Arial Narrow" w:cs="Calibri"/>
                <w:sz w:val="16"/>
                <w:szCs w:val="16"/>
                <w:lang w:val="en-GB" w:eastAsia="en-GB"/>
              </w:rPr>
              <w:t>+3.6%</w:t>
            </w:r>
          </w:p>
        </w:tc>
        <w:tc>
          <w:tcPr>
            <w:tcW w:w="811" w:type="dxa"/>
            <w:tcBorders>
              <w:top w:val="single" w:sz="4" w:space="0" w:color="BFBFBF"/>
              <w:left w:val="nil"/>
              <w:bottom w:val="single" w:sz="4" w:space="0" w:color="BFBFBF"/>
              <w:right w:val="nil"/>
            </w:tcBorders>
            <w:shd w:val="clear" w:color="auto" w:fill="auto"/>
            <w:noWrap/>
            <w:vAlign w:val="center"/>
            <w:hideMark/>
          </w:tcPr>
          <w:p w14:paraId="0ED566FA" w14:textId="77777777" w:rsidR="00567031" w:rsidRPr="002409B0" w:rsidRDefault="00567031" w:rsidP="00567031">
            <w:pPr>
              <w:spacing w:after="0" w:line="240" w:lineRule="auto"/>
              <w:jc w:val="right"/>
              <w:rPr>
                <w:rFonts w:ascii="Arial Narrow" w:eastAsia="Times New Roman" w:hAnsi="Arial Narrow" w:cs="Calibri"/>
                <w:sz w:val="16"/>
                <w:szCs w:val="16"/>
                <w:lang w:val="en-GB" w:eastAsia="en-GB"/>
              </w:rPr>
            </w:pPr>
            <w:r w:rsidRPr="002409B0">
              <w:rPr>
                <w:rFonts w:ascii="Arial Narrow" w:eastAsia="Times New Roman" w:hAnsi="Arial Narrow" w:cs="Calibri"/>
                <w:sz w:val="16"/>
                <w:szCs w:val="16"/>
                <w:lang w:val="en-GB" w:eastAsia="en-GB"/>
              </w:rPr>
              <w:t>+6.1%</w:t>
            </w:r>
          </w:p>
        </w:tc>
      </w:tr>
      <w:tr w:rsidR="00567031" w:rsidRPr="002409B0" w14:paraId="7D58ECBE" w14:textId="77777777" w:rsidTr="002409B0">
        <w:trPr>
          <w:trHeight w:val="283"/>
          <w:jc w:val="center"/>
        </w:trPr>
        <w:tc>
          <w:tcPr>
            <w:tcW w:w="3802" w:type="dxa"/>
            <w:tcBorders>
              <w:top w:val="nil"/>
              <w:left w:val="nil"/>
              <w:bottom w:val="nil"/>
              <w:right w:val="nil"/>
            </w:tcBorders>
            <w:shd w:val="clear" w:color="auto" w:fill="auto"/>
            <w:noWrap/>
            <w:vAlign w:val="bottom"/>
            <w:hideMark/>
          </w:tcPr>
          <w:p w14:paraId="3A65AD69" w14:textId="77777777" w:rsidR="00567031" w:rsidRPr="002409B0" w:rsidRDefault="00567031" w:rsidP="00567031">
            <w:pPr>
              <w:spacing w:after="0" w:line="240" w:lineRule="auto"/>
              <w:jc w:val="left"/>
              <w:rPr>
                <w:rFonts w:ascii="Arial Narrow" w:eastAsia="Times New Roman" w:hAnsi="Arial Narrow" w:cs="Calibri"/>
                <w:sz w:val="16"/>
                <w:szCs w:val="16"/>
                <w:lang w:val="en-GB" w:eastAsia="en-GB"/>
              </w:rPr>
            </w:pPr>
            <w:r w:rsidRPr="002409B0">
              <w:rPr>
                <w:rFonts w:ascii="Arial Narrow" w:eastAsia="Times New Roman" w:hAnsi="Arial Narrow" w:cs="Calibri"/>
                <w:sz w:val="16"/>
                <w:szCs w:val="16"/>
                <w:lang w:val="en-GB" w:eastAsia="en-GB"/>
              </w:rPr>
              <w:t>Services revenue</w:t>
            </w:r>
          </w:p>
        </w:tc>
        <w:tc>
          <w:tcPr>
            <w:tcW w:w="661" w:type="dxa"/>
            <w:tcBorders>
              <w:top w:val="nil"/>
              <w:left w:val="nil"/>
              <w:bottom w:val="nil"/>
              <w:right w:val="nil"/>
            </w:tcBorders>
            <w:shd w:val="clear" w:color="000000" w:fill="F2F2F2"/>
            <w:noWrap/>
            <w:vAlign w:val="center"/>
            <w:hideMark/>
          </w:tcPr>
          <w:p w14:paraId="69BA72A7" w14:textId="77777777" w:rsidR="00567031" w:rsidRPr="002409B0" w:rsidRDefault="00567031" w:rsidP="00567031">
            <w:pPr>
              <w:spacing w:after="0" w:line="240" w:lineRule="auto"/>
              <w:jc w:val="right"/>
              <w:rPr>
                <w:rFonts w:ascii="Arial Narrow" w:eastAsia="Times New Roman" w:hAnsi="Arial Narrow" w:cs="Calibri"/>
                <w:sz w:val="16"/>
                <w:szCs w:val="16"/>
                <w:lang w:val="en-GB" w:eastAsia="en-GB"/>
              </w:rPr>
            </w:pPr>
            <w:r w:rsidRPr="002409B0">
              <w:rPr>
                <w:rFonts w:ascii="Arial Narrow" w:eastAsia="Times New Roman" w:hAnsi="Arial Narrow" w:cs="Calibri"/>
                <w:sz w:val="16"/>
                <w:szCs w:val="16"/>
                <w:lang w:val="en-GB" w:eastAsia="en-GB"/>
              </w:rPr>
              <w:t>69.3</w:t>
            </w:r>
          </w:p>
        </w:tc>
        <w:tc>
          <w:tcPr>
            <w:tcW w:w="661" w:type="dxa"/>
            <w:tcBorders>
              <w:top w:val="nil"/>
              <w:left w:val="nil"/>
              <w:bottom w:val="nil"/>
              <w:right w:val="nil"/>
            </w:tcBorders>
            <w:shd w:val="clear" w:color="auto" w:fill="auto"/>
            <w:noWrap/>
            <w:vAlign w:val="center"/>
            <w:hideMark/>
          </w:tcPr>
          <w:p w14:paraId="30CD64E2" w14:textId="77777777" w:rsidR="00567031" w:rsidRPr="002409B0" w:rsidRDefault="00567031" w:rsidP="00567031">
            <w:pPr>
              <w:spacing w:after="0" w:line="240" w:lineRule="auto"/>
              <w:jc w:val="right"/>
              <w:rPr>
                <w:rFonts w:ascii="Arial Narrow" w:eastAsia="Times New Roman" w:hAnsi="Arial Narrow" w:cs="Calibri"/>
                <w:sz w:val="16"/>
                <w:szCs w:val="16"/>
                <w:lang w:val="en-GB" w:eastAsia="en-GB"/>
              </w:rPr>
            </w:pPr>
            <w:r w:rsidRPr="002409B0">
              <w:rPr>
                <w:rFonts w:ascii="Arial Narrow" w:eastAsia="Times New Roman" w:hAnsi="Arial Narrow" w:cs="Calibri"/>
                <w:sz w:val="16"/>
                <w:szCs w:val="16"/>
                <w:lang w:val="en-GB" w:eastAsia="en-GB"/>
              </w:rPr>
              <w:t>125.5</w:t>
            </w:r>
          </w:p>
        </w:tc>
        <w:tc>
          <w:tcPr>
            <w:tcW w:w="727" w:type="dxa"/>
            <w:tcBorders>
              <w:top w:val="nil"/>
              <w:left w:val="nil"/>
              <w:bottom w:val="nil"/>
              <w:right w:val="nil"/>
            </w:tcBorders>
            <w:shd w:val="clear" w:color="auto" w:fill="auto"/>
            <w:noWrap/>
            <w:vAlign w:val="center"/>
            <w:hideMark/>
          </w:tcPr>
          <w:p w14:paraId="52A40160" w14:textId="77777777" w:rsidR="00567031" w:rsidRPr="002409B0" w:rsidRDefault="00567031" w:rsidP="00567031">
            <w:pPr>
              <w:spacing w:after="0" w:line="240" w:lineRule="auto"/>
              <w:jc w:val="right"/>
              <w:rPr>
                <w:rFonts w:ascii="Arial Narrow" w:eastAsia="Times New Roman" w:hAnsi="Arial Narrow" w:cs="Calibri"/>
                <w:sz w:val="16"/>
                <w:szCs w:val="16"/>
                <w:lang w:val="en-GB" w:eastAsia="en-GB"/>
              </w:rPr>
            </w:pPr>
            <w:r w:rsidRPr="002409B0">
              <w:rPr>
                <w:rFonts w:ascii="Arial Narrow" w:eastAsia="Times New Roman" w:hAnsi="Arial Narrow" w:cs="Calibri"/>
                <w:sz w:val="16"/>
                <w:szCs w:val="16"/>
                <w:lang w:val="en-GB" w:eastAsia="en-GB"/>
              </w:rPr>
              <w:t>185.3</w:t>
            </w:r>
          </w:p>
        </w:tc>
        <w:tc>
          <w:tcPr>
            <w:tcW w:w="727" w:type="dxa"/>
            <w:tcBorders>
              <w:top w:val="nil"/>
              <w:left w:val="nil"/>
              <w:bottom w:val="nil"/>
              <w:right w:val="nil"/>
            </w:tcBorders>
            <w:shd w:val="clear" w:color="auto" w:fill="auto"/>
            <w:noWrap/>
            <w:vAlign w:val="center"/>
            <w:hideMark/>
          </w:tcPr>
          <w:p w14:paraId="78D5A074" w14:textId="77777777" w:rsidR="00567031" w:rsidRPr="002409B0" w:rsidRDefault="00567031" w:rsidP="00567031">
            <w:pPr>
              <w:spacing w:after="0" w:line="240" w:lineRule="auto"/>
              <w:jc w:val="right"/>
              <w:rPr>
                <w:rFonts w:ascii="Arial Narrow" w:eastAsia="Times New Roman" w:hAnsi="Arial Narrow" w:cs="Calibri"/>
                <w:sz w:val="16"/>
                <w:szCs w:val="16"/>
                <w:lang w:val="en-GB" w:eastAsia="en-GB"/>
              </w:rPr>
            </w:pPr>
            <w:r w:rsidRPr="002409B0">
              <w:rPr>
                <w:rFonts w:ascii="Arial Narrow" w:eastAsia="Times New Roman" w:hAnsi="Arial Narrow" w:cs="Calibri"/>
                <w:sz w:val="16"/>
                <w:szCs w:val="16"/>
                <w:lang w:val="en-GB" w:eastAsia="en-GB"/>
              </w:rPr>
              <w:t>246.5</w:t>
            </w:r>
          </w:p>
        </w:tc>
        <w:tc>
          <w:tcPr>
            <w:tcW w:w="661" w:type="dxa"/>
            <w:tcBorders>
              <w:top w:val="nil"/>
              <w:left w:val="nil"/>
              <w:bottom w:val="nil"/>
              <w:right w:val="nil"/>
            </w:tcBorders>
            <w:shd w:val="clear" w:color="000000" w:fill="D1F0F1"/>
            <w:noWrap/>
            <w:vAlign w:val="center"/>
            <w:hideMark/>
          </w:tcPr>
          <w:p w14:paraId="36798784" w14:textId="77777777" w:rsidR="00567031" w:rsidRPr="002409B0" w:rsidRDefault="00567031" w:rsidP="00567031">
            <w:pPr>
              <w:spacing w:after="0" w:line="240" w:lineRule="auto"/>
              <w:jc w:val="right"/>
              <w:rPr>
                <w:rFonts w:ascii="Arial Narrow" w:eastAsia="Times New Roman" w:hAnsi="Arial Narrow" w:cs="Calibri"/>
                <w:sz w:val="16"/>
                <w:szCs w:val="16"/>
                <w:lang w:val="en-GB" w:eastAsia="en-GB"/>
              </w:rPr>
            </w:pPr>
            <w:r w:rsidRPr="002409B0">
              <w:rPr>
                <w:rFonts w:ascii="Arial Narrow" w:eastAsia="Times New Roman" w:hAnsi="Arial Narrow" w:cs="Calibri"/>
                <w:sz w:val="16"/>
                <w:szCs w:val="16"/>
                <w:lang w:val="en-GB" w:eastAsia="en-GB"/>
              </w:rPr>
              <w:t>65.9</w:t>
            </w:r>
          </w:p>
        </w:tc>
        <w:tc>
          <w:tcPr>
            <w:tcW w:w="296" w:type="dxa"/>
            <w:tcBorders>
              <w:top w:val="nil"/>
              <w:left w:val="nil"/>
              <w:bottom w:val="nil"/>
              <w:right w:val="nil"/>
            </w:tcBorders>
            <w:shd w:val="clear" w:color="auto" w:fill="auto"/>
            <w:noWrap/>
            <w:vAlign w:val="center"/>
            <w:hideMark/>
          </w:tcPr>
          <w:p w14:paraId="6F5092B7" w14:textId="77777777" w:rsidR="00567031" w:rsidRPr="002409B0" w:rsidRDefault="00567031" w:rsidP="00567031">
            <w:pPr>
              <w:spacing w:after="0" w:line="240" w:lineRule="auto"/>
              <w:jc w:val="right"/>
              <w:rPr>
                <w:rFonts w:ascii="Arial Narrow" w:eastAsia="Times New Roman" w:hAnsi="Arial Narrow" w:cs="Calibri"/>
                <w:sz w:val="16"/>
                <w:szCs w:val="16"/>
                <w:lang w:val="en-GB" w:eastAsia="en-GB"/>
              </w:rPr>
            </w:pPr>
          </w:p>
        </w:tc>
        <w:tc>
          <w:tcPr>
            <w:tcW w:w="811" w:type="dxa"/>
            <w:tcBorders>
              <w:top w:val="nil"/>
              <w:left w:val="nil"/>
              <w:bottom w:val="nil"/>
              <w:right w:val="nil"/>
            </w:tcBorders>
            <w:shd w:val="clear" w:color="auto" w:fill="auto"/>
            <w:noWrap/>
            <w:vAlign w:val="center"/>
            <w:hideMark/>
          </w:tcPr>
          <w:p w14:paraId="0119666D" w14:textId="77777777" w:rsidR="00567031" w:rsidRPr="002409B0" w:rsidRDefault="00567031" w:rsidP="00567031">
            <w:pPr>
              <w:spacing w:after="0" w:line="240" w:lineRule="auto"/>
              <w:jc w:val="right"/>
              <w:rPr>
                <w:rFonts w:ascii="Arial Narrow" w:eastAsia="Times New Roman" w:hAnsi="Arial Narrow" w:cs="Calibri"/>
                <w:sz w:val="16"/>
                <w:szCs w:val="16"/>
                <w:lang w:val="en-GB" w:eastAsia="en-GB"/>
              </w:rPr>
            </w:pPr>
            <w:r w:rsidRPr="002409B0">
              <w:rPr>
                <w:rFonts w:ascii="Arial Narrow" w:eastAsia="Times New Roman" w:hAnsi="Arial Narrow" w:cs="Calibri"/>
                <w:sz w:val="16"/>
                <w:szCs w:val="16"/>
                <w:lang w:val="en-GB" w:eastAsia="en-GB"/>
              </w:rPr>
              <w:t>(4.9)%</w:t>
            </w:r>
          </w:p>
        </w:tc>
        <w:tc>
          <w:tcPr>
            <w:tcW w:w="811" w:type="dxa"/>
            <w:tcBorders>
              <w:top w:val="nil"/>
              <w:left w:val="nil"/>
              <w:bottom w:val="nil"/>
              <w:right w:val="nil"/>
            </w:tcBorders>
            <w:shd w:val="clear" w:color="auto" w:fill="auto"/>
            <w:noWrap/>
            <w:vAlign w:val="center"/>
            <w:hideMark/>
          </w:tcPr>
          <w:p w14:paraId="467B2576" w14:textId="77777777" w:rsidR="00567031" w:rsidRPr="002409B0" w:rsidRDefault="00567031" w:rsidP="00567031">
            <w:pPr>
              <w:spacing w:after="0" w:line="240" w:lineRule="auto"/>
              <w:jc w:val="right"/>
              <w:rPr>
                <w:rFonts w:ascii="Arial Narrow" w:eastAsia="Times New Roman" w:hAnsi="Arial Narrow" w:cs="Calibri"/>
                <w:sz w:val="16"/>
                <w:szCs w:val="16"/>
                <w:lang w:val="en-GB" w:eastAsia="en-GB"/>
              </w:rPr>
            </w:pPr>
            <w:r w:rsidRPr="002409B0">
              <w:rPr>
                <w:rFonts w:ascii="Arial Narrow" w:eastAsia="Times New Roman" w:hAnsi="Arial Narrow" w:cs="Calibri"/>
                <w:sz w:val="16"/>
                <w:szCs w:val="16"/>
                <w:lang w:val="en-GB" w:eastAsia="en-GB"/>
              </w:rPr>
              <w:t>(3.9)%</w:t>
            </w:r>
          </w:p>
        </w:tc>
      </w:tr>
      <w:tr w:rsidR="00567031" w:rsidRPr="002409B0" w14:paraId="0650AFA1" w14:textId="77777777" w:rsidTr="002409B0">
        <w:trPr>
          <w:trHeight w:val="283"/>
          <w:jc w:val="center"/>
        </w:trPr>
        <w:tc>
          <w:tcPr>
            <w:tcW w:w="3802" w:type="dxa"/>
            <w:tcBorders>
              <w:top w:val="single" w:sz="4" w:space="0" w:color="BFBFBF"/>
              <w:left w:val="nil"/>
              <w:bottom w:val="single" w:sz="8" w:space="0" w:color="BFBFBF"/>
              <w:right w:val="nil"/>
            </w:tcBorders>
            <w:shd w:val="clear" w:color="auto" w:fill="auto"/>
            <w:noWrap/>
            <w:vAlign w:val="bottom"/>
            <w:hideMark/>
          </w:tcPr>
          <w:p w14:paraId="577F2843" w14:textId="77777777" w:rsidR="00567031" w:rsidRPr="002409B0" w:rsidRDefault="00567031" w:rsidP="00567031">
            <w:pPr>
              <w:spacing w:after="0" w:line="240" w:lineRule="auto"/>
              <w:jc w:val="left"/>
              <w:rPr>
                <w:rFonts w:ascii="Arial Narrow" w:eastAsia="Times New Roman" w:hAnsi="Arial Narrow" w:cs="Calibri"/>
                <w:b/>
                <w:bCs/>
                <w:sz w:val="16"/>
                <w:szCs w:val="16"/>
                <w:lang w:val="en-GB" w:eastAsia="en-GB"/>
              </w:rPr>
            </w:pPr>
            <w:r w:rsidRPr="002409B0">
              <w:rPr>
                <w:rFonts w:ascii="Arial Narrow" w:eastAsia="Times New Roman" w:hAnsi="Arial Narrow" w:cs="Calibri"/>
                <w:b/>
                <w:bCs/>
                <w:sz w:val="16"/>
                <w:szCs w:val="16"/>
                <w:lang w:val="en-GB" w:eastAsia="en-GB"/>
              </w:rPr>
              <w:t>REVENUE</w:t>
            </w:r>
          </w:p>
        </w:tc>
        <w:tc>
          <w:tcPr>
            <w:tcW w:w="661" w:type="dxa"/>
            <w:tcBorders>
              <w:top w:val="single" w:sz="4" w:space="0" w:color="BFBFBF"/>
              <w:left w:val="nil"/>
              <w:bottom w:val="single" w:sz="8" w:space="0" w:color="BFBFBF"/>
              <w:right w:val="nil"/>
            </w:tcBorders>
            <w:shd w:val="clear" w:color="000000" w:fill="F2F2F2"/>
            <w:noWrap/>
            <w:vAlign w:val="center"/>
            <w:hideMark/>
          </w:tcPr>
          <w:p w14:paraId="44387A44" w14:textId="77777777" w:rsidR="00567031" w:rsidRPr="002409B0" w:rsidRDefault="00567031" w:rsidP="00567031">
            <w:pPr>
              <w:spacing w:after="0" w:line="240" w:lineRule="auto"/>
              <w:jc w:val="right"/>
              <w:rPr>
                <w:rFonts w:ascii="Arial Narrow" w:eastAsia="Times New Roman" w:hAnsi="Arial Narrow" w:cs="Calibri"/>
                <w:b/>
                <w:bCs/>
                <w:sz w:val="16"/>
                <w:szCs w:val="16"/>
                <w:lang w:val="en-GB" w:eastAsia="en-GB"/>
              </w:rPr>
            </w:pPr>
            <w:r w:rsidRPr="002409B0">
              <w:rPr>
                <w:rFonts w:ascii="Arial Narrow" w:eastAsia="Times New Roman" w:hAnsi="Arial Narrow" w:cs="Calibri"/>
                <w:b/>
                <w:bCs/>
                <w:sz w:val="16"/>
                <w:szCs w:val="16"/>
                <w:lang w:val="en-GB" w:eastAsia="en-GB"/>
              </w:rPr>
              <w:t>370.5</w:t>
            </w:r>
          </w:p>
        </w:tc>
        <w:tc>
          <w:tcPr>
            <w:tcW w:w="661" w:type="dxa"/>
            <w:tcBorders>
              <w:top w:val="single" w:sz="4" w:space="0" w:color="BFBFBF"/>
              <w:left w:val="nil"/>
              <w:bottom w:val="single" w:sz="8" w:space="0" w:color="BFBFBF"/>
              <w:right w:val="nil"/>
            </w:tcBorders>
            <w:shd w:val="clear" w:color="auto" w:fill="auto"/>
            <w:noWrap/>
            <w:vAlign w:val="center"/>
            <w:hideMark/>
          </w:tcPr>
          <w:p w14:paraId="45B75A12" w14:textId="77777777" w:rsidR="00567031" w:rsidRPr="002409B0" w:rsidRDefault="00567031" w:rsidP="00567031">
            <w:pPr>
              <w:spacing w:after="0" w:line="240" w:lineRule="auto"/>
              <w:jc w:val="right"/>
              <w:rPr>
                <w:rFonts w:ascii="Arial Narrow" w:eastAsia="Times New Roman" w:hAnsi="Arial Narrow" w:cs="Calibri"/>
                <w:b/>
                <w:bCs/>
                <w:sz w:val="16"/>
                <w:szCs w:val="16"/>
                <w:lang w:val="en-GB" w:eastAsia="en-GB"/>
              </w:rPr>
            </w:pPr>
            <w:r w:rsidRPr="002409B0">
              <w:rPr>
                <w:rFonts w:ascii="Arial Narrow" w:eastAsia="Times New Roman" w:hAnsi="Arial Narrow" w:cs="Calibri"/>
                <w:b/>
                <w:bCs/>
                <w:sz w:val="16"/>
                <w:szCs w:val="16"/>
                <w:lang w:val="en-GB" w:eastAsia="en-GB"/>
              </w:rPr>
              <w:t>724.6</w:t>
            </w:r>
          </w:p>
        </w:tc>
        <w:tc>
          <w:tcPr>
            <w:tcW w:w="727" w:type="dxa"/>
            <w:tcBorders>
              <w:top w:val="single" w:sz="4" w:space="0" w:color="BFBFBF"/>
              <w:left w:val="nil"/>
              <w:bottom w:val="single" w:sz="8" w:space="0" w:color="BFBFBF"/>
              <w:right w:val="nil"/>
            </w:tcBorders>
            <w:shd w:val="clear" w:color="auto" w:fill="auto"/>
            <w:noWrap/>
            <w:vAlign w:val="center"/>
            <w:hideMark/>
          </w:tcPr>
          <w:p w14:paraId="26073670" w14:textId="77777777" w:rsidR="00567031" w:rsidRPr="002409B0" w:rsidRDefault="00567031" w:rsidP="00567031">
            <w:pPr>
              <w:spacing w:after="0" w:line="240" w:lineRule="auto"/>
              <w:jc w:val="right"/>
              <w:rPr>
                <w:rFonts w:ascii="Arial Narrow" w:eastAsia="Times New Roman" w:hAnsi="Arial Narrow" w:cs="Calibri"/>
                <w:b/>
                <w:bCs/>
                <w:sz w:val="16"/>
                <w:szCs w:val="16"/>
                <w:lang w:val="en-GB" w:eastAsia="en-GB"/>
              </w:rPr>
            </w:pPr>
            <w:r w:rsidRPr="002409B0">
              <w:rPr>
                <w:rFonts w:ascii="Arial Narrow" w:eastAsia="Times New Roman" w:hAnsi="Arial Narrow" w:cs="Calibri"/>
                <w:b/>
                <w:bCs/>
                <w:sz w:val="16"/>
                <w:szCs w:val="16"/>
                <w:lang w:val="en-GB" w:eastAsia="en-GB"/>
              </w:rPr>
              <w:t>1,082.4</w:t>
            </w:r>
          </w:p>
        </w:tc>
        <w:tc>
          <w:tcPr>
            <w:tcW w:w="727" w:type="dxa"/>
            <w:tcBorders>
              <w:top w:val="single" w:sz="4" w:space="0" w:color="BFBFBF"/>
              <w:left w:val="nil"/>
              <w:bottom w:val="single" w:sz="8" w:space="0" w:color="BFBFBF"/>
              <w:right w:val="nil"/>
            </w:tcBorders>
            <w:shd w:val="clear" w:color="auto" w:fill="auto"/>
            <w:noWrap/>
            <w:vAlign w:val="center"/>
            <w:hideMark/>
          </w:tcPr>
          <w:p w14:paraId="7DC02E9D" w14:textId="77777777" w:rsidR="00567031" w:rsidRPr="002409B0" w:rsidRDefault="00567031" w:rsidP="00567031">
            <w:pPr>
              <w:spacing w:after="0" w:line="240" w:lineRule="auto"/>
              <w:jc w:val="right"/>
              <w:rPr>
                <w:rFonts w:ascii="Arial Narrow" w:eastAsia="Times New Roman" w:hAnsi="Arial Narrow" w:cs="Calibri"/>
                <w:b/>
                <w:bCs/>
                <w:sz w:val="16"/>
                <w:szCs w:val="16"/>
                <w:lang w:val="en-GB" w:eastAsia="en-GB"/>
              </w:rPr>
            </w:pPr>
            <w:r w:rsidRPr="002409B0">
              <w:rPr>
                <w:rFonts w:ascii="Arial Narrow" w:eastAsia="Times New Roman" w:hAnsi="Arial Narrow" w:cs="Calibri"/>
                <w:b/>
                <w:bCs/>
                <w:sz w:val="16"/>
                <w:szCs w:val="16"/>
                <w:lang w:val="en-GB" w:eastAsia="en-GB"/>
              </w:rPr>
              <w:t>1,450.9</w:t>
            </w:r>
          </w:p>
        </w:tc>
        <w:tc>
          <w:tcPr>
            <w:tcW w:w="661" w:type="dxa"/>
            <w:tcBorders>
              <w:top w:val="single" w:sz="4" w:space="0" w:color="BFBFBF"/>
              <w:left w:val="nil"/>
              <w:bottom w:val="single" w:sz="8" w:space="0" w:color="BFBFBF"/>
              <w:right w:val="nil"/>
            </w:tcBorders>
            <w:shd w:val="clear" w:color="000000" w:fill="D1F0F1"/>
            <w:noWrap/>
            <w:vAlign w:val="center"/>
            <w:hideMark/>
          </w:tcPr>
          <w:p w14:paraId="50C94B9F" w14:textId="77777777" w:rsidR="00567031" w:rsidRPr="002409B0" w:rsidRDefault="00567031" w:rsidP="00567031">
            <w:pPr>
              <w:spacing w:after="0" w:line="240" w:lineRule="auto"/>
              <w:jc w:val="right"/>
              <w:rPr>
                <w:rFonts w:ascii="Arial Narrow" w:eastAsia="Times New Roman" w:hAnsi="Arial Narrow" w:cs="Calibri"/>
                <w:b/>
                <w:bCs/>
                <w:sz w:val="16"/>
                <w:szCs w:val="16"/>
                <w:lang w:val="en-GB" w:eastAsia="en-GB"/>
              </w:rPr>
            </w:pPr>
            <w:r w:rsidRPr="002409B0">
              <w:rPr>
                <w:rFonts w:ascii="Arial Narrow" w:eastAsia="Times New Roman" w:hAnsi="Arial Narrow" w:cs="Calibri"/>
                <w:b/>
                <w:bCs/>
                <w:sz w:val="16"/>
                <w:szCs w:val="16"/>
                <w:lang w:val="en-GB" w:eastAsia="en-GB"/>
              </w:rPr>
              <w:t>377.9</w:t>
            </w:r>
          </w:p>
        </w:tc>
        <w:tc>
          <w:tcPr>
            <w:tcW w:w="296" w:type="dxa"/>
            <w:tcBorders>
              <w:top w:val="nil"/>
              <w:left w:val="nil"/>
              <w:bottom w:val="nil"/>
              <w:right w:val="nil"/>
            </w:tcBorders>
            <w:shd w:val="clear" w:color="auto" w:fill="auto"/>
            <w:noWrap/>
            <w:vAlign w:val="center"/>
            <w:hideMark/>
          </w:tcPr>
          <w:p w14:paraId="55670613" w14:textId="77777777" w:rsidR="00567031" w:rsidRPr="002409B0" w:rsidRDefault="00567031" w:rsidP="00567031">
            <w:pPr>
              <w:spacing w:after="0" w:line="240" w:lineRule="auto"/>
              <w:jc w:val="right"/>
              <w:rPr>
                <w:rFonts w:ascii="Arial Narrow" w:eastAsia="Times New Roman" w:hAnsi="Arial Narrow" w:cs="Calibri"/>
                <w:b/>
                <w:bCs/>
                <w:sz w:val="16"/>
                <w:szCs w:val="16"/>
                <w:lang w:val="en-GB" w:eastAsia="en-GB"/>
              </w:rPr>
            </w:pPr>
          </w:p>
        </w:tc>
        <w:tc>
          <w:tcPr>
            <w:tcW w:w="811" w:type="dxa"/>
            <w:tcBorders>
              <w:top w:val="single" w:sz="4" w:space="0" w:color="BFBFBF"/>
              <w:left w:val="nil"/>
              <w:bottom w:val="single" w:sz="8" w:space="0" w:color="BFBFBF"/>
              <w:right w:val="nil"/>
            </w:tcBorders>
            <w:shd w:val="clear" w:color="auto" w:fill="auto"/>
            <w:noWrap/>
            <w:vAlign w:val="center"/>
            <w:hideMark/>
          </w:tcPr>
          <w:p w14:paraId="6C60F5A5" w14:textId="77777777" w:rsidR="00567031" w:rsidRPr="002409B0" w:rsidRDefault="00567031" w:rsidP="00567031">
            <w:pPr>
              <w:spacing w:after="0" w:line="240" w:lineRule="auto"/>
              <w:jc w:val="right"/>
              <w:rPr>
                <w:rFonts w:ascii="Arial Narrow" w:eastAsia="Times New Roman" w:hAnsi="Arial Narrow" w:cs="Calibri"/>
                <w:b/>
                <w:bCs/>
                <w:sz w:val="16"/>
                <w:szCs w:val="16"/>
                <w:lang w:val="en-GB" w:eastAsia="en-GB"/>
              </w:rPr>
            </w:pPr>
            <w:r w:rsidRPr="002409B0">
              <w:rPr>
                <w:rFonts w:ascii="Arial Narrow" w:eastAsia="Times New Roman" w:hAnsi="Arial Narrow" w:cs="Calibri"/>
                <w:b/>
                <w:bCs/>
                <w:sz w:val="16"/>
                <w:szCs w:val="16"/>
                <w:lang w:val="en-GB" w:eastAsia="en-GB"/>
              </w:rPr>
              <w:t>+2.0%</w:t>
            </w:r>
          </w:p>
        </w:tc>
        <w:tc>
          <w:tcPr>
            <w:tcW w:w="811" w:type="dxa"/>
            <w:tcBorders>
              <w:top w:val="single" w:sz="4" w:space="0" w:color="BFBFBF"/>
              <w:left w:val="nil"/>
              <w:bottom w:val="single" w:sz="8" w:space="0" w:color="BFBFBF"/>
              <w:right w:val="nil"/>
            </w:tcBorders>
            <w:shd w:val="clear" w:color="auto" w:fill="auto"/>
            <w:noWrap/>
            <w:vAlign w:val="center"/>
            <w:hideMark/>
          </w:tcPr>
          <w:p w14:paraId="5EBCA69D" w14:textId="77777777" w:rsidR="00567031" w:rsidRPr="002409B0" w:rsidRDefault="00567031" w:rsidP="00567031">
            <w:pPr>
              <w:spacing w:after="0" w:line="240" w:lineRule="auto"/>
              <w:jc w:val="right"/>
              <w:rPr>
                <w:rFonts w:ascii="Arial Narrow" w:eastAsia="Times New Roman" w:hAnsi="Arial Narrow" w:cs="Calibri"/>
                <w:b/>
                <w:bCs/>
                <w:sz w:val="16"/>
                <w:szCs w:val="16"/>
                <w:lang w:val="en-GB" w:eastAsia="en-GB"/>
              </w:rPr>
            </w:pPr>
            <w:r w:rsidRPr="002409B0">
              <w:rPr>
                <w:rFonts w:ascii="Arial Narrow" w:eastAsia="Times New Roman" w:hAnsi="Arial Narrow" w:cs="Calibri"/>
                <w:b/>
                <w:bCs/>
                <w:sz w:val="16"/>
                <w:szCs w:val="16"/>
                <w:lang w:val="en-GB" w:eastAsia="en-GB"/>
              </w:rPr>
              <w:t>+4.2%</w:t>
            </w:r>
          </w:p>
        </w:tc>
      </w:tr>
      <w:tr w:rsidR="00567031" w:rsidRPr="002409B0" w14:paraId="087443F6" w14:textId="77777777" w:rsidTr="002409B0">
        <w:trPr>
          <w:trHeight w:val="283"/>
          <w:jc w:val="center"/>
        </w:trPr>
        <w:tc>
          <w:tcPr>
            <w:tcW w:w="3802" w:type="dxa"/>
            <w:tcBorders>
              <w:top w:val="single" w:sz="4" w:space="0" w:color="03365F"/>
              <w:left w:val="nil"/>
              <w:bottom w:val="single" w:sz="8" w:space="0" w:color="03365F"/>
              <w:right w:val="nil"/>
            </w:tcBorders>
            <w:shd w:val="clear" w:color="auto" w:fill="auto"/>
            <w:vAlign w:val="bottom"/>
            <w:hideMark/>
          </w:tcPr>
          <w:p w14:paraId="606E57C0" w14:textId="77777777" w:rsidR="00567031" w:rsidRPr="002409B0" w:rsidRDefault="00567031" w:rsidP="00567031">
            <w:pPr>
              <w:spacing w:after="0" w:line="240" w:lineRule="auto"/>
              <w:jc w:val="left"/>
              <w:rPr>
                <w:rFonts w:ascii="Arial Narrow" w:eastAsia="Times New Roman" w:hAnsi="Arial Narrow" w:cs="Calibri"/>
                <w:b/>
                <w:bCs/>
                <w:color w:val="03365F"/>
                <w:sz w:val="16"/>
                <w:szCs w:val="16"/>
                <w:lang w:val="en-GB" w:eastAsia="en-GB"/>
              </w:rPr>
            </w:pPr>
            <w:r w:rsidRPr="002409B0">
              <w:rPr>
                <w:rFonts w:ascii="Arial Narrow" w:eastAsia="Times New Roman" w:hAnsi="Arial Narrow" w:cs="Calibri"/>
                <w:b/>
                <w:bCs/>
                <w:color w:val="03365F"/>
                <w:sz w:val="16"/>
                <w:szCs w:val="16"/>
                <w:lang w:val="en-GB" w:eastAsia="en-GB"/>
              </w:rPr>
              <w:t>UNDERWRITING INCOME(LOSS) AFTER REINSURANCE</w:t>
            </w:r>
          </w:p>
        </w:tc>
        <w:tc>
          <w:tcPr>
            <w:tcW w:w="661" w:type="dxa"/>
            <w:tcBorders>
              <w:top w:val="single" w:sz="4" w:space="0" w:color="03365F"/>
              <w:left w:val="nil"/>
              <w:bottom w:val="single" w:sz="8" w:space="0" w:color="03365F"/>
              <w:right w:val="nil"/>
            </w:tcBorders>
            <w:shd w:val="clear" w:color="000000" w:fill="F2F2F2"/>
            <w:noWrap/>
            <w:vAlign w:val="center"/>
            <w:hideMark/>
          </w:tcPr>
          <w:p w14:paraId="04295DA9" w14:textId="77777777" w:rsidR="00567031" w:rsidRPr="002409B0" w:rsidRDefault="00567031" w:rsidP="00567031">
            <w:pPr>
              <w:spacing w:after="0" w:line="240" w:lineRule="auto"/>
              <w:jc w:val="right"/>
              <w:rPr>
                <w:rFonts w:ascii="Arial Narrow" w:eastAsia="Times New Roman" w:hAnsi="Arial Narrow" w:cs="Calibri"/>
                <w:b/>
                <w:bCs/>
                <w:color w:val="03365F"/>
                <w:sz w:val="16"/>
                <w:szCs w:val="16"/>
                <w:lang w:val="en-GB" w:eastAsia="en-GB"/>
              </w:rPr>
            </w:pPr>
            <w:r w:rsidRPr="002409B0">
              <w:rPr>
                <w:rFonts w:ascii="Arial Narrow" w:eastAsia="Times New Roman" w:hAnsi="Arial Narrow" w:cs="Calibri"/>
                <w:b/>
                <w:bCs/>
                <w:color w:val="03365F"/>
                <w:sz w:val="16"/>
                <w:szCs w:val="16"/>
                <w:lang w:val="en-GB" w:eastAsia="en-GB"/>
              </w:rPr>
              <w:t>28.2</w:t>
            </w:r>
          </w:p>
        </w:tc>
        <w:tc>
          <w:tcPr>
            <w:tcW w:w="661" w:type="dxa"/>
            <w:tcBorders>
              <w:top w:val="single" w:sz="4" w:space="0" w:color="03365F"/>
              <w:left w:val="nil"/>
              <w:bottom w:val="single" w:sz="8" w:space="0" w:color="03365F"/>
              <w:right w:val="nil"/>
            </w:tcBorders>
            <w:shd w:val="clear" w:color="auto" w:fill="auto"/>
            <w:noWrap/>
            <w:vAlign w:val="center"/>
            <w:hideMark/>
          </w:tcPr>
          <w:p w14:paraId="41FAC801" w14:textId="77777777" w:rsidR="00567031" w:rsidRPr="002409B0" w:rsidRDefault="00567031" w:rsidP="00567031">
            <w:pPr>
              <w:spacing w:after="0" w:line="240" w:lineRule="auto"/>
              <w:jc w:val="right"/>
              <w:rPr>
                <w:rFonts w:ascii="Arial Narrow" w:eastAsia="Times New Roman" w:hAnsi="Arial Narrow" w:cs="Calibri"/>
                <w:b/>
                <w:bCs/>
                <w:color w:val="03365F"/>
                <w:sz w:val="16"/>
                <w:szCs w:val="16"/>
                <w:lang w:val="en-GB" w:eastAsia="en-GB"/>
              </w:rPr>
            </w:pPr>
            <w:r w:rsidRPr="002409B0">
              <w:rPr>
                <w:rFonts w:ascii="Arial Narrow" w:eastAsia="Times New Roman" w:hAnsi="Arial Narrow" w:cs="Calibri"/>
                <w:b/>
                <w:bCs/>
                <w:color w:val="03365F"/>
                <w:sz w:val="16"/>
                <w:szCs w:val="16"/>
                <w:lang w:val="en-GB" w:eastAsia="en-GB"/>
              </w:rPr>
              <w:t>40.4</w:t>
            </w:r>
          </w:p>
        </w:tc>
        <w:tc>
          <w:tcPr>
            <w:tcW w:w="727" w:type="dxa"/>
            <w:tcBorders>
              <w:top w:val="single" w:sz="4" w:space="0" w:color="03365F"/>
              <w:left w:val="nil"/>
              <w:bottom w:val="single" w:sz="8" w:space="0" w:color="03365F"/>
              <w:right w:val="nil"/>
            </w:tcBorders>
            <w:shd w:val="clear" w:color="auto" w:fill="auto"/>
            <w:noWrap/>
            <w:vAlign w:val="center"/>
            <w:hideMark/>
          </w:tcPr>
          <w:p w14:paraId="4CD79D43" w14:textId="77777777" w:rsidR="00567031" w:rsidRPr="002409B0" w:rsidRDefault="00567031" w:rsidP="00567031">
            <w:pPr>
              <w:spacing w:after="0" w:line="240" w:lineRule="auto"/>
              <w:jc w:val="right"/>
              <w:rPr>
                <w:rFonts w:ascii="Arial Narrow" w:eastAsia="Times New Roman" w:hAnsi="Arial Narrow" w:cs="Calibri"/>
                <w:b/>
                <w:bCs/>
                <w:color w:val="03365F"/>
                <w:sz w:val="16"/>
                <w:szCs w:val="16"/>
                <w:lang w:val="en-GB" w:eastAsia="en-GB"/>
              </w:rPr>
            </w:pPr>
            <w:r w:rsidRPr="002409B0">
              <w:rPr>
                <w:rFonts w:ascii="Arial Narrow" w:eastAsia="Times New Roman" w:hAnsi="Arial Narrow" w:cs="Calibri"/>
                <w:b/>
                <w:bCs/>
                <w:color w:val="03365F"/>
                <w:sz w:val="16"/>
                <w:szCs w:val="16"/>
                <w:lang w:val="en-GB" w:eastAsia="en-GB"/>
              </w:rPr>
              <w:t>74.6</w:t>
            </w:r>
          </w:p>
        </w:tc>
        <w:tc>
          <w:tcPr>
            <w:tcW w:w="727" w:type="dxa"/>
            <w:tcBorders>
              <w:top w:val="single" w:sz="4" w:space="0" w:color="03365F"/>
              <w:left w:val="nil"/>
              <w:bottom w:val="single" w:sz="8" w:space="0" w:color="03365F"/>
              <w:right w:val="nil"/>
            </w:tcBorders>
            <w:shd w:val="clear" w:color="auto" w:fill="auto"/>
            <w:noWrap/>
            <w:vAlign w:val="center"/>
            <w:hideMark/>
          </w:tcPr>
          <w:p w14:paraId="06B8F773" w14:textId="77777777" w:rsidR="00567031" w:rsidRPr="002409B0" w:rsidRDefault="00567031" w:rsidP="00567031">
            <w:pPr>
              <w:spacing w:after="0" w:line="240" w:lineRule="auto"/>
              <w:jc w:val="right"/>
              <w:rPr>
                <w:rFonts w:ascii="Arial Narrow" w:eastAsia="Times New Roman" w:hAnsi="Arial Narrow" w:cs="Calibri"/>
                <w:b/>
                <w:bCs/>
                <w:color w:val="03365F"/>
                <w:sz w:val="16"/>
                <w:szCs w:val="16"/>
                <w:lang w:val="en-GB" w:eastAsia="en-GB"/>
              </w:rPr>
            </w:pPr>
            <w:r w:rsidRPr="002409B0">
              <w:rPr>
                <w:rFonts w:ascii="Arial Narrow" w:eastAsia="Times New Roman" w:hAnsi="Arial Narrow" w:cs="Calibri"/>
                <w:b/>
                <w:bCs/>
                <w:color w:val="03365F"/>
                <w:sz w:val="16"/>
                <w:szCs w:val="16"/>
                <w:lang w:val="en-GB" w:eastAsia="en-GB"/>
              </w:rPr>
              <w:t>127.3</w:t>
            </w:r>
          </w:p>
        </w:tc>
        <w:tc>
          <w:tcPr>
            <w:tcW w:w="661" w:type="dxa"/>
            <w:tcBorders>
              <w:top w:val="single" w:sz="4" w:space="0" w:color="03365F"/>
              <w:left w:val="nil"/>
              <w:bottom w:val="single" w:sz="8" w:space="0" w:color="03365F"/>
              <w:right w:val="nil"/>
            </w:tcBorders>
            <w:shd w:val="clear" w:color="000000" w:fill="D1F0F1"/>
            <w:noWrap/>
            <w:vAlign w:val="center"/>
            <w:hideMark/>
          </w:tcPr>
          <w:p w14:paraId="00F99DAB" w14:textId="77777777" w:rsidR="00567031" w:rsidRPr="002409B0" w:rsidRDefault="00567031" w:rsidP="00567031">
            <w:pPr>
              <w:spacing w:after="0" w:line="240" w:lineRule="auto"/>
              <w:jc w:val="right"/>
              <w:rPr>
                <w:rFonts w:ascii="Arial Narrow" w:eastAsia="Times New Roman" w:hAnsi="Arial Narrow" w:cs="Calibri"/>
                <w:b/>
                <w:bCs/>
                <w:color w:val="03365F"/>
                <w:sz w:val="16"/>
                <w:szCs w:val="16"/>
                <w:lang w:val="en-GB" w:eastAsia="en-GB"/>
              </w:rPr>
            </w:pPr>
            <w:r w:rsidRPr="002409B0">
              <w:rPr>
                <w:rFonts w:ascii="Arial Narrow" w:eastAsia="Times New Roman" w:hAnsi="Arial Narrow" w:cs="Calibri"/>
                <w:b/>
                <w:bCs/>
                <w:color w:val="03365F"/>
                <w:sz w:val="16"/>
                <w:szCs w:val="16"/>
                <w:lang w:val="en-GB" w:eastAsia="en-GB"/>
              </w:rPr>
              <w:t>74.3</w:t>
            </w:r>
          </w:p>
        </w:tc>
        <w:tc>
          <w:tcPr>
            <w:tcW w:w="296" w:type="dxa"/>
            <w:tcBorders>
              <w:top w:val="nil"/>
              <w:left w:val="nil"/>
              <w:bottom w:val="nil"/>
              <w:right w:val="nil"/>
            </w:tcBorders>
            <w:shd w:val="clear" w:color="auto" w:fill="auto"/>
            <w:noWrap/>
            <w:vAlign w:val="center"/>
            <w:hideMark/>
          </w:tcPr>
          <w:p w14:paraId="03226704" w14:textId="77777777" w:rsidR="00567031" w:rsidRPr="002409B0" w:rsidRDefault="00567031" w:rsidP="00567031">
            <w:pPr>
              <w:spacing w:after="0" w:line="240" w:lineRule="auto"/>
              <w:jc w:val="right"/>
              <w:rPr>
                <w:rFonts w:ascii="Arial Narrow" w:eastAsia="Times New Roman" w:hAnsi="Arial Narrow" w:cs="Calibri"/>
                <w:b/>
                <w:bCs/>
                <w:color w:val="03365F"/>
                <w:sz w:val="16"/>
                <w:szCs w:val="16"/>
                <w:lang w:val="en-GB" w:eastAsia="en-GB"/>
              </w:rPr>
            </w:pPr>
          </w:p>
        </w:tc>
        <w:tc>
          <w:tcPr>
            <w:tcW w:w="811" w:type="dxa"/>
            <w:tcBorders>
              <w:top w:val="single" w:sz="4" w:space="0" w:color="03365F"/>
              <w:left w:val="nil"/>
              <w:bottom w:val="single" w:sz="8" w:space="0" w:color="03365F"/>
              <w:right w:val="nil"/>
            </w:tcBorders>
            <w:shd w:val="clear" w:color="auto" w:fill="auto"/>
            <w:noWrap/>
            <w:vAlign w:val="center"/>
            <w:hideMark/>
          </w:tcPr>
          <w:p w14:paraId="59D6B947" w14:textId="77777777" w:rsidR="00567031" w:rsidRPr="002409B0" w:rsidRDefault="00567031" w:rsidP="00567031">
            <w:pPr>
              <w:spacing w:after="0" w:line="240" w:lineRule="auto"/>
              <w:jc w:val="right"/>
              <w:rPr>
                <w:rFonts w:ascii="Arial Narrow" w:eastAsia="Times New Roman" w:hAnsi="Arial Narrow" w:cs="Calibri"/>
                <w:b/>
                <w:bCs/>
                <w:color w:val="03365F"/>
                <w:sz w:val="16"/>
                <w:szCs w:val="16"/>
                <w:lang w:val="en-GB" w:eastAsia="en-GB"/>
              </w:rPr>
            </w:pPr>
            <w:r w:rsidRPr="002409B0">
              <w:rPr>
                <w:rFonts w:ascii="Arial Narrow" w:eastAsia="Times New Roman" w:hAnsi="Arial Narrow" w:cs="Calibri"/>
                <w:b/>
                <w:bCs/>
                <w:color w:val="03365F"/>
                <w:sz w:val="16"/>
                <w:szCs w:val="16"/>
                <w:lang w:val="en-GB" w:eastAsia="en-GB"/>
              </w:rPr>
              <w:t>+163.1%</w:t>
            </w:r>
          </w:p>
        </w:tc>
        <w:tc>
          <w:tcPr>
            <w:tcW w:w="811" w:type="dxa"/>
            <w:tcBorders>
              <w:top w:val="single" w:sz="4" w:space="0" w:color="03365F"/>
              <w:left w:val="nil"/>
              <w:bottom w:val="single" w:sz="8" w:space="0" w:color="03365F"/>
              <w:right w:val="nil"/>
            </w:tcBorders>
            <w:shd w:val="clear" w:color="auto" w:fill="auto"/>
            <w:noWrap/>
            <w:vAlign w:val="center"/>
            <w:hideMark/>
          </w:tcPr>
          <w:p w14:paraId="1D8EC04E" w14:textId="77777777" w:rsidR="00567031" w:rsidRPr="002409B0" w:rsidRDefault="00567031" w:rsidP="00567031">
            <w:pPr>
              <w:spacing w:after="0" w:line="240" w:lineRule="auto"/>
              <w:jc w:val="right"/>
              <w:rPr>
                <w:rFonts w:ascii="Arial Narrow" w:eastAsia="Times New Roman" w:hAnsi="Arial Narrow" w:cs="Calibri"/>
                <w:b/>
                <w:bCs/>
                <w:color w:val="03365F"/>
                <w:sz w:val="16"/>
                <w:szCs w:val="16"/>
                <w:lang w:val="en-GB" w:eastAsia="en-GB"/>
              </w:rPr>
            </w:pPr>
            <w:r w:rsidRPr="002409B0">
              <w:rPr>
                <w:rFonts w:ascii="Arial Narrow" w:eastAsia="Times New Roman" w:hAnsi="Arial Narrow" w:cs="Calibri"/>
                <w:b/>
                <w:bCs/>
                <w:color w:val="03365F"/>
                <w:sz w:val="16"/>
                <w:szCs w:val="16"/>
                <w:lang w:val="en-GB" w:eastAsia="en-GB"/>
              </w:rPr>
              <w:t>+185.7%</w:t>
            </w:r>
          </w:p>
        </w:tc>
      </w:tr>
      <w:tr w:rsidR="00567031" w:rsidRPr="002409B0" w14:paraId="3B393664" w14:textId="77777777" w:rsidTr="002409B0">
        <w:trPr>
          <w:trHeight w:val="283"/>
          <w:jc w:val="center"/>
        </w:trPr>
        <w:tc>
          <w:tcPr>
            <w:tcW w:w="3802" w:type="dxa"/>
            <w:tcBorders>
              <w:top w:val="single" w:sz="4" w:space="0" w:color="BFBFBF"/>
              <w:left w:val="nil"/>
              <w:bottom w:val="nil"/>
              <w:right w:val="nil"/>
            </w:tcBorders>
            <w:shd w:val="clear" w:color="auto" w:fill="auto"/>
            <w:vAlign w:val="bottom"/>
            <w:hideMark/>
          </w:tcPr>
          <w:p w14:paraId="6F5FDCC0" w14:textId="77777777" w:rsidR="00567031" w:rsidRPr="002409B0" w:rsidRDefault="00567031" w:rsidP="00567031">
            <w:pPr>
              <w:spacing w:after="0" w:line="240" w:lineRule="auto"/>
              <w:jc w:val="left"/>
              <w:rPr>
                <w:rFonts w:ascii="Arial Narrow" w:eastAsia="Times New Roman" w:hAnsi="Arial Narrow" w:cs="Calibri"/>
                <w:sz w:val="16"/>
                <w:szCs w:val="16"/>
                <w:lang w:val="en-GB" w:eastAsia="en-GB"/>
              </w:rPr>
            </w:pPr>
            <w:r w:rsidRPr="002409B0">
              <w:rPr>
                <w:rFonts w:ascii="Arial Narrow" w:eastAsia="Times New Roman" w:hAnsi="Arial Narrow" w:cs="Calibri"/>
                <w:sz w:val="16"/>
                <w:szCs w:val="16"/>
                <w:lang w:val="en-GB" w:eastAsia="en-GB"/>
              </w:rPr>
              <w:t>Investment income, net of management expenses</w:t>
            </w:r>
          </w:p>
        </w:tc>
        <w:tc>
          <w:tcPr>
            <w:tcW w:w="661" w:type="dxa"/>
            <w:tcBorders>
              <w:top w:val="single" w:sz="4" w:space="0" w:color="BFBFBF"/>
              <w:left w:val="nil"/>
              <w:bottom w:val="single" w:sz="4" w:space="0" w:color="BFBFBF"/>
              <w:right w:val="nil"/>
            </w:tcBorders>
            <w:shd w:val="clear" w:color="000000" w:fill="F2F2F2"/>
            <w:noWrap/>
            <w:vAlign w:val="center"/>
            <w:hideMark/>
          </w:tcPr>
          <w:p w14:paraId="4BA4AE48" w14:textId="77777777" w:rsidR="00567031" w:rsidRPr="002409B0" w:rsidRDefault="00567031" w:rsidP="00567031">
            <w:pPr>
              <w:spacing w:after="0" w:line="240" w:lineRule="auto"/>
              <w:jc w:val="right"/>
              <w:rPr>
                <w:rFonts w:ascii="Arial Narrow" w:eastAsia="Times New Roman" w:hAnsi="Arial Narrow" w:cs="Calibri"/>
                <w:sz w:val="16"/>
                <w:szCs w:val="16"/>
                <w:lang w:val="en-GB" w:eastAsia="en-GB"/>
              </w:rPr>
            </w:pPr>
            <w:r w:rsidRPr="002409B0">
              <w:rPr>
                <w:rFonts w:ascii="Arial Narrow" w:eastAsia="Times New Roman" w:hAnsi="Arial Narrow" w:cs="Calibri"/>
                <w:sz w:val="16"/>
                <w:szCs w:val="16"/>
                <w:lang w:val="en-GB" w:eastAsia="en-GB"/>
              </w:rPr>
              <w:t>2.7</w:t>
            </w:r>
          </w:p>
        </w:tc>
        <w:tc>
          <w:tcPr>
            <w:tcW w:w="661" w:type="dxa"/>
            <w:tcBorders>
              <w:top w:val="single" w:sz="4" w:space="0" w:color="BFBFBF"/>
              <w:left w:val="nil"/>
              <w:bottom w:val="single" w:sz="4" w:space="0" w:color="BFBFBF"/>
              <w:right w:val="nil"/>
            </w:tcBorders>
            <w:shd w:val="clear" w:color="auto" w:fill="auto"/>
            <w:noWrap/>
            <w:vAlign w:val="center"/>
            <w:hideMark/>
          </w:tcPr>
          <w:p w14:paraId="07BED5CE" w14:textId="77777777" w:rsidR="00567031" w:rsidRPr="002409B0" w:rsidRDefault="00567031" w:rsidP="00567031">
            <w:pPr>
              <w:spacing w:after="0" w:line="240" w:lineRule="auto"/>
              <w:jc w:val="right"/>
              <w:rPr>
                <w:rFonts w:ascii="Arial Narrow" w:eastAsia="Times New Roman" w:hAnsi="Arial Narrow" w:cs="Calibri"/>
                <w:sz w:val="16"/>
                <w:szCs w:val="16"/>
                <w:lang w:val="en-GB" w:eastAsia="en-GB"/>
              </w:rPr>
            </w:pPr>
            <w:r w:rsidRPr="002409B0">
              <w:rPr>
                <w:rFonts w:ascii="Arial Narrow" w:eastAsia="Times New Roman" w:hAnsi="Arial Narrow" w:cs="Calibri"/>
                <w:sz w:val="16"/>
                <w:szCs w:val="16"/>
                <w:lang w:val="en-GB" w:eastAsia="en-GB"/>
              </w:rPr>
              <w:t>16.7</w:t>
            </w:r>
          </w:p>
        </w:tc>
        <w:tc>
          <w:tcPr>
            <w:tcW w:w="727" w:type="dxa"/>
            <w:tcBorders>
              <w:top w:val="single" w:sz="4" w:space="0" w:color="BFBFBF"/>
              <w:left w:val="nil"/>
              <w:bottom w:val="single" w:sz="4" w:space="0" w:color="BFBFBF"/>
              <w:right w:val="nil"/>
            </w:tcBorders>
            <w:shd w:val="clear" w:color="auto" w:fill="auto"/>
            <w:noWrap/>
            <w:vAlign w:val="center"/>
            <w:hideMark/>
          </w:tcPr>
          <w:p w14:paraId="3F1CE48D" w14:textId="77777777" w:rsidR="00567031" w:rsidRPr="002409B0" w:rsidRDefault="00567031" w:rsidP="00567031">
            <w:pPr>
              <w:spacing w:after="0" w:line="240" w:lineRule="auto"/>
              <w:jc w:val="right"/>
              <w:rPr>
                <w:rFonts w:ascii="Arial Narrow" w:eastAsia="Times New Roman" w:hAnsi="Arial Narrow" w:cs="Calibri"/>
                <w:sz w:val="16"/>
                <w:szCs w:val="16"/>
                <w:lang w:val="en-GB" w:eastAsia="en-GB"/>
              </w:rPr>
            </w:pPr>
            <w:r w:rsidRPr="002409B0">
              <w:rPr>
                <w:rFonts w:ascii="Arial Narrow" w:eastAsia="Times New Roman" w:hAnsi="Arial Narrow" w:cs="Calibri"/>
                <w:sz w:val="16"/>
                <w:szCs w:val="16"/>
                <w:lang w:val="en-GB" w:eastAsia="en-GB"/>
              </w:rPr>
              <w:t>23.5</w:t>
            </w:r>
          </w:p>
        </w:tc>
        <w:tc>
          <w:tcPr>
            <w:tcW w:w="727" w:type="dxa"/>
            <w:tcBorders>
              <w:top w:val="single" w:sz="4" w:space="0" w:color="BFBFBF"/>
              <w:left w:val="nil"/>
              <w:bottom w:val="single" w:sz="4" w:space="0" w:color="BFBFBF"/>
              <w:right w:val="nil"/>
            </w:tcBorders>
            <w:shd w:val="clear" w:color="auto" w:fill="auto"/>
            <w:noWrap/>
            <w:vAlign w:val="center"/>
            <w:hideMark/>
          </w:tcPr>
          <w:p w14:paraId="5278CF36" w14:textId="77777777" w:rsidR="00567031" w:rsidRPr="002409B0" w:rsidRDefault="00567031" w:rsidP="00567031">
            <w:pPr>
              <w:spacing w:after="0" w:line="240" w:lineRule="auto"/>
              <w:jc w:val="right"/>
              <w:rPr>
                <w:rFonts w:ascii="Arial Narrow" w:eastAsia="Times New Roman" w:hAnsi="Arial Narrow" w:cs="Calibri"/>
                <w:sz w:val="16"/>
                <w:szCs w:val="16"/>
                <w:lang w:val="en-GB" w:eastAsia="en-GB"/>
              </w:rPr>
            </w:pPr>
            <w:r w:rsidRPr="002409B0">
              <w:rPr>
                <w:rFonts w:ascii="Arial Narrow" w:eastAsia="Times New Roman" w:hAnsi="Arial Narrow" w:cs="Calibri"/>
                <w:sz w:val="16"/>
                <w:szCs w:val="16"/>
                <w:lang w:val="en-GB" w:eastAsia="en-GB"/>
              </w:rPr>
              <w:t>26.9</w:t>
            </w:r>
          </w:p>
        </w:tc>
        <w:tc>
          <w:tcPr>
            <w:tcW w:w="661" w:type="dxa"/>
            <w:tcBorders>
              <w:top w:val="single" w:sz="4" w:space="0" w:color="BFBFBF"/>
              <w:left w:val="nil"/>
              <w:bottom w:val="single" w:sz="4" w:space="0" w:color="BFBFBF"/>
              <w:right w:val="nil"/>
            </w:tcBorders>
            <w:shd w:val="clear" w:color="000000" w:fill="D1F0F1"/>
            <w:noWrap/>
            <w:vAlign w:val="center"/>
            <w:hideMark/>
          </w:tcPr>
          <w:p w14:paraId="7FB22A39" w14:textId="77777777" w:rsidR="00567031" w:rsidRPr="002409B0" w:rsidRDefault="00567031" w:rsidP="00567031">
            <w:pPr>
              <w:spacing w:after="0" w:line="240" w:lineRule="auto"/>
              <w:jc w:val="right"/>
              <w:rPr>
                <w:rFonts w:ascii="Arial Narrow" w:eastAsia="Times New Roman" w:hAnsi="Arial Narrow" w:cs="Calibri"/>
                <w:sz w:val="16"/>
                <w:szCs w:val="16"/>
                <w:lang w:val="en-GB" w:eastAsia="en-GB"/>
              </w:rPr>
            </w:pPr>
            <w:r w:rsidRPr="002409B0">
              <w:rPr>
                <w:rFonts w:ascii="Arial Narrow" w:eastAsia="Times New Roman" w:hAnsi="Arial Narrow" w:cs="Calibri"/>
                <w:sz w:val="16"/>
                <w:szCs w:val="16"/>
                <w:lang w:val="en-GB" w:eastAsia="en-GB"/>
              </w:rPr>
              <w:t>5.7</w:t>
            </w:r>
          </w:p>
        </w:tc>
        <w:tc>
          <w:tcPr>
            <w:tcW w:w="296" w:type="dxa"/>
            <w:tcBorders>
              <w:top w:val="nil"/>
              <w:left w:val="nil"/>
              <w:bottom w:val="nil"/>
              <w:right w:val="nil"/>
            </w:tcBorders>
            <w:shd w:val="clear" w:color="auto" w:fill="auto"/>
            <w:noWrap/>
            <w:vAlign w:val="center"/>
            <w:hideMark/>
          </w:tcPr>
          <w:p w14:paraId="710AC437" w14:textId="77777777" w:rsidR="00567031" w:rsidRPr="002409B0" w:rsidRDefault="00567031" w:rsidP="00567031">
            <w:pPr>
              <w:spacing w:after="0" w:line="240" w:lineRule="auto"/>
              <w:jc w:val="right"/>
              <w:rPr>
                <w:rFonts w:ascii="Arial Narrow" w:eastAsia="Times New Roman" w:hAnsi="Arial Narrow" w:cs="Calibri"/>
                <w:sz w:val="16"/>
                <w:szCs w:val="16"/>
                <w:lang w:val="en-GB" w:eastAsia="en-GB"/>
              </w:rPr>
            </w:pPr>
          </w:p>
        </w:tc>
        <w:tc>
          <w:tcPr>
            <w:tcW w:w="811" w:type="dxa"/>
            <w:tcBorders>
              <w:top w:val="single" w:sz="4" w:space="0" w:color="BFBFBF"/>
              <w:left w:val="nil"/>
              <w:bottom w:val="single" w:sz="4" w:space="0" w:color="BFBFBF"/>
              <w:right w:val="nil"/>
            </w:tcBorders>
            <w:shd w:val="clear" w:color="auto" w:fill="auto"/>
            <w:noWrap/>
            <w:vAlign w:val="center"/>
            <w:hideMark/>
          </w:tcPr>
          <w:p w14:paraId="45166765" w14:textId="77777777" w:rsidR="00567031" w:rsidRPr="002409B0" w:rsidRDefault="00567031" w:rsidP="00567031">
            <w:pPr>
              <w:spacing w:after="0" w:line="240" w:lineRule="auto"/>
              <w:jc w:val="right"/>
              <w:rPr>
                <w:rFonts w:ascii="Arial Narrow" w:eastAsia="Times New Roman" w:hAnsi="Arial Narrow" w:cs="Calibri"/>
                <w:sz w:val="16"/>
                <w:szCs w:val="16"/>
                <w:lang w:val="en-GB" w:eastAsia="en-GB"/>
              </w:rPr>
            </w:pPr>
            <w:r w:rsidRPr="002409B0">
              <w:rPr>
                <w:rFonts w:ascii="Arial Narrow" w:eastAsia="Times New Roman" w:hAnsi="Arial Narrow" w:cs="Calibri"/>
                <w:sz w:val="16"/>
                <w:szCs w:val="16"/>
                <w:lang w:val="en-GB" w:eastAsia="en-GB"/>
              </w:rPr>
              <w:t>+113.7%</w:t>
            </w:r>
          </w:p>
        </w:tc>
        <w:tc>
          <w:tcPr>
            <w:tcW w:w="811" w:type="dxa"/>
            <w:tcBorders>
              <w:top w:val="single" w:sz="4" w:space="0" w:color="BFBFBF"/>
              <w:left w:val="nil"/>
              <w:bottom w:val="single" w:sz="4" w:space="0" w:color="BFBFBF"/>
              <w:right w:val="nil"/>
            </w:tcBorders>
            <w:shd w:val="clear" w:color="auto" w:fill="auto"/>
            <w:noWrap/>
            <w:vAlign w:val="center"/>
            <w:hideMark/>
          </w:tcPr>
          <w:p w14:paraId="07895973" w14:textId="77777777" w:rsidR="00567031" w:rsidRPr="002409B0" w:rsidRDefault="00567031" w:rsidP="00567031">
            <w:pPr>
              <w:spacing w:after="0" w:line="240" w:lineRule="auto"/>
              <w:jc w:val="right"/>
              <w:rPr>
                <w:rFonts w:ascii="Arial Narrow" w:eastAsia="Times New Roman" w:hAnsi="Arial Narrow" w:cs="Calibri"/>
                <w:sz w:val="16"/>
                <w:szCs w:val="16"/>
                <w:lang w:val="en-GB" w:eastAsia="en-GB"/>
              </w:rPr>
            </w:pPr>
            <w:r w:rsidRPr="002409B0">
              <w:rPr>
                <w:rFonts w:ascii="Arial Narrow" w:eastAsia="Times New Roman" w:hAnsi="Arial Narrow" w:cs="Calibri"/>
                <w:sz w:val="16"/>
                <w:szCs w:val="16"/>
                <w:lang w:val="en-GB" w:eastAsia="en-GB"/>
              </w:rPr>
              <w:t>+111.4%</w:t>
            </w:r>
          </w:p>
        </w:tc>
      </w:tr>
      <w:tr w:rsidR="00567031" w:rsidRPr="002409B0" w14:paraId="330781E1" w14:textId="77777777" w:rsidTr="002409B0">
        <w:trPr>
          <w:trHeight w:val="283"/>
          <w:jc w:val="center"/>
        </w:trPr>
        <w:tc>
          <w:tcPr>
            <w:tcW w:w="3802" w:type="dxa"/>
            <w:tcBorders>
              <w:top w:val="single" w:sz="4" w:space="0" w:color="18B3B9"/>
              <w:left w:val="nil"/>
              <w:bottom w:val="single" w:sz="8" w:space="0" w:color="18B3B9"/>
              <w:right w:val="nil"/>
            </w:tcBorders>
            <w:shd w:val="clear" w:color="auto" w:fill="auto"/>
            <w:vAlign w:val="center"/>
            <w:hideMark/>
          </w:tcPr>
          <w:p w14:paraId="1CE87B36" w14:textId="77777777" w:rsidR="00567031" w:rsidRPr="002409B0" w:rsidRDefault="00567031" w:rsidP="00567031">
            <w:pPr>
              <w:spacing w:after="0" w:line="240" w:lineRule="auto"/>
              <w:jc w:val="left"/>
              <w:rPr>
                <w:rFonts w:ascii="Arial Narrow" w:eastAsia="Times New Roman" w:hAnsi="Arial Narrow" w:cs="Calibri"/>
                <w:b/>
                <w:bCs/>
                <w:color w:val="18B3B9"/>
                <w:sz w:val="16"/>
                <w:szCs w:val="16"/>
                <w:lang w:val="en-GB" w:eastAsia="en-GB"/>
              </w:rPr>
            </w:pPr>
            <w:r w:rsidRPr="002409B0">
              <w:rPr>
                <w:rFonts w:ascii="Arial Narrow" w:eastAsia="Times New Roman" w:hAnsi="Arial Narrow" w:cs="Calibri"/>
                <w:b/>
                <w:bCs/>
                <w:color w:val="18B3B9"/>
                <w:sz w:val="16"/>
                <w:szCs w:val="16"/>
                <w:lang w:val="en-GB" w:eastAsia="en-GB"/>
              </w:rPr>
              <w:t>CURRENT OPERATING INCOME</w:t>
            </w:r>
          </w:p>
        </w:tc>
        <w:tc>
          <w:tcPr>
            <w:tcW w:w="661" w:type="dxa"/>
            <w:tcBorders>
              <w:top w:val="single" w:sz="4" w:space="0" w:color="18B3B9"/>
              <w:left w:val="nil"/>
              <w:bottom w:val="single" w:sz="8" w:space="0" w:color="18B3B9"/>
              <w:right w:val="nil"/>
            </w:tcBorders>
            <w:shd w:val="clear" w:color="000000" w:fill="F2F2F2"/>
            <w:noWrap/>
            <w:vAlign w:val="center"/>
            <w:hideMark/>
          </w:tcPr>
          <w:p w14:paraId="1DCB9B24" w14:textId="77777777" w:rsidR="00567031" w:rsidRPr="002409B0" w:rsidRDefault="00567031" w:rsidP="00567031">
            <w:pPr>
              <w:spacing w:after="0" w:line="240" w:lineRule="auto"/>
              <w:jc w:val="right"/>
              <w:rPr>
                <w:rFonts w:ascii="Arial Narrow" w:eastAsia="Times New Roman" w:hAnsi="Arial Narrow" w:cs="Calibri"/>
                <w:b/>
                <w:bCs/>
                <w:color w:val="18B3B9"/>
                <w:sz w:val="16"/>
                <w:szCs w:val="16"/>
                <w:lang w:val="en-GB" w:eastAsia="en-GB"/>
              </w:rPr>
            </w:pPr>
            <w:r w:rsidRPr="002409B0">
              <w:rPr>
                <w:rFonts w:ascii="Arial Narrow" w:eastAsia="Times New Roman" w:hAnsi="Arial Narrow" w:cs="Calibri"/>
                <w:b/>
                <w:bCs/>
                <w:color w:val="18B3B9"/>
                <w:sz w:val="16"/>
                <w:szCs w:val="16"/>
                <w:lang w:val="en-GB" w:eastAsia="en-GB"/>
              </w:rPr>
              <w:t>30.9</w:t>
            </w:r>
          </w:p>
        </w:tc>
        <w:tc>
          <w:tcPr>
            <w:tcW w:w="661" w:type="dxa"/>
            <w:tcBorders>
              <w:top w:val="single" w:sz="4" w:space="0" w:color="18B3B9"/>
              <w:left w:val="nil"/>
              <w:bottom w:val="single" w:sz="8" w:space="0" w:color="18B3B9"/>
              <w:right w:val="nil"/>
            </w:tcBorders>
            <w:shd w:val="clear" w:color="auto" w:fill="auto"/>
            <w:noWrap/>
            <w:vAlign w:val="center"/>
            <w:hideMark/>
          </w:tcPr>
          <w:p w14:paraId="270B635C" w14:textId="77777777" w:rsidR="00567031" w:rsidRPr="002409B0" w:rsidRDefault="00567031" w:rsidP="00567031">
            <w:pPr>
              <w:spacing w:after="0" w:line="240" w:lineRule="auto"/>
              <w:jc w:val="right"/>
              <w:rPr>
                <w:rFonts w:ascii="Arial Narrow" w:eastAsia="Times New Roman" w:hAnsi="Arial Narrow" w:cs="Calibri"/>
                <w:b/>
                <w:bCs/>
                <w:color w:val="18B3B9"/>
                <w:sz w:val="16"/>
                <w:szCs w:val="16"/>
                <w:lang w:val="en-GB" w:eastAsia="en-GB"/>
              </w:rPr>
            </w:pPr>
            <w:r w:rsidRPr="002409B0">
              <w:rPr>
                <w:rFonts w:ascii="Arial Narrow" w:eastAsia="Times New Roman" w:hAnsi="Arial Narrow" w:cs="Calibri"/>
                <w:b/>
                <w:bCs/>
                <w:color w:val="18B3B9"/>
                <w:sz w:val="16"/>
                <w:szCs w:val="16"/>
                <w:lang w:val="en-GB" w:eastAsia="en-GB"/>
              </w:rPr>
              <w:t>57.1</w:t>
            </w:r>
          </w:p>
        </w:tc>
        <w:tc>
          <w:tcPr>
            <w:tcW w:w="727" w:type="dxa"/>
            <w:tcBorders>
              <w:top w:val="single" w:sz="4" w:space="0" w:color="18B3B9"/>
              <w:left w:val="nil"/>
              <w:bottom w:val="single" w:sz="8" w:space="0" w:color="18B3B9"/>
              <w:right w:val="nil"/>
            </w:tcBorders>
            <w:shd w:val="clear" w:color="auto" w:fill="auto"/>
            <w:noWrap/>
            <w:vAlign w:val="center"/>
            <w:hideMark/>
          </w:tcPr>
          <w:p w14:paraId="7AEF8B7F" w14:textId="77777777" w:rsidR="00567031" w:rsidRPr="002409B0" w:rsidRDefault="00567031" w:rsidP="00567031">
            <w:pPr>
              <w:spacing w:after="0" w:line="240" w:lineRule="auto"/>
              <w:jc w:val="right"/>
              <w:rPr>
                <w:rFonts w:ascii="Arial Narrow" w:eastAsia="Times New Roman" w:hAnsi="Arial Narrow" w:cs="Calibri"/>
                <w:b/>
                <w:bCs/>
                <w:color w:val="18B3B9"/>
                <w:sz w:val="16"/>
                <w:szCs w:val="16"/>
                <w:lang w:val="en-GB" w:eastAsia="en-GB"/>
              </w:rPr>
            </w:pPr>
            <w:r w:rsidRPr="002409B0">
              <w:rPr>
                <w:rFonts w:ascii="Arial Narrow" w:eastAsia="Times New Roman" w:hAnsi="Arial Narrow" w:cs="Calibri"/>
                <w:b/>
                <w:bCs/>
                <w:color w:val="18B3B9"/>
                <w:sz w:val="16"/>
                <w:szCs w:val="16"/>
                <w:lang w:val="en-GB" w:eastAsia="en-GB"/>
              </w:rPr>
              <w:t>98.1</w:t>
            </w:r>
          </w:p>
        </w:tc>
        <w:tc>
          <w:tcPr>
            <w:tcW w:w="727" w:type="dxa"/>
            <w:tcBorders>
              <w:top w:val="single" w:sz="4" w:space="0" w:color="18B3B9"/>
              <w:left w:val="nil"/>
              <w:bottom w:val="single" w:sz="8" w:space="0" w:color="18B3B9"/>
              <w:right w:val="nil"/>
            </w:tcBorders>
            <w:shd w:val="clear" w:color="auto" w:fill="auto"/>
            <w:noWrap/>
            <w:vAlign w:val="center"/>
            <w:hideMark/>
          </w:tcPr>
          <w:p w14:paraId="52C7877D" w14:textId="77777777" w:rsidR="00567031" w:rsidRPr="002409B0" w:rsidRDefault="00567031" w:rsidP="00567031">
            <w:pPr>
              <w:spacing w:after="0" w:line="240" w:lineRule="auto"/>
              <w:jc w:val="right"/>
              <w:rPr>
                <w:rFonts w:ascii="Arial Narrow" w:eastAsia="Times New Roman" w:hAnsi="Arial Narrow" w:cs="Calibri"/>
                <w:b/>
                <w:bCs/>
                <w:color w:val="18B3B9"/>
                <w:sz w:val="16"/>
                <w:szCs w:val="16"/>
                <w:lang w:val="en-GB" w:eastAsia="en-GB"/>
              </w:rPr>
            </w:pPr>
            <w:r w:rsidRPr="002409B0">
              <w:rPr>
                <w:rFonts w:ascii="Arial Narrow" w:eastAsia="Times New Roman" w:hAnsi="Arial Narrow" w:cs="Calibri"/>
                <w:b/>
                <w:bCs/>
                <w:color w:val="18B3B9"/>
                <w:sz w:val="16"/>
                <w:szCs w:val="16"/>
                <w:lang w:val="en-GB" w:eastAsia="en-GB"/>
              </w:rPr>
              <w:t>154.2</w:t>
            </w:r>
          </w:p>
        </w:tc>
        <w:tc>
          <w:tcPr>
            <w:tcW w:w="661" w:type="dxa"/>
            <w:tcBorders>
              <w:top w:val="single" w:sz="4" w:space="0" w:color="18B3B9"/>
              <w:left w:val="nil"/>
              <w:bottom w:val="single" w:sz="8" w:space="0" w:color="18B3B9"/>
              <w:right w:val="nil"/>
            </w:tcBorders>
            <w:shd w:val="clear" w:color="000000" w:fill="D1F0F1"/>
            <w:noWrap/>
            <w:vAlign w:val="center"/>
            <w:hideMark/>
          </w:tcPr>
          <w:p w14:paraId="4BA5A618" w14:textId="77777777" w:rsidR="00567031" w:rsidRPr="002409B0" w:rsidRDefault="00567031" w:rsidP="00567031">
            <w:pPr>
              <w:spacing w:after="0" w:line="240" w:lineRule="auto"/>
              <w:jc w:val="right"/>
              <w:rPr>
                <w:rFonts w:ascii="Arial Narrow" w:eastAsia="Times New Roman" w:hAnsi="Arial Narrow" w:cs="Calibri"/>
                <w:b/>
                <w:bCs/>
                <w:color w:val="18B3B9"/>
                <w:sz w:val="16"/>
                <w:szCs w:val="16"/>
                <w:lang w:val="en-GB" w:eastAsia="en-GB"/>
              </w:rPr>
            </w:pPr>
            <w:r w:rsidRPr="002409B0">
              <w:rPr>
                <w:rFonts w:ascii="Arial Narrow" w:eastAsia="Times New Roman" w:hAnsi="Arial Narrow" w:cs="Calibri"/>
                <w:b/>
                <w:bCs/>
                <w:color w:val="18B3B9"/>
                <w:sz w:val="16"/>
                <w:szCs w:val="16"/>
                <w:lang w:val="en-GB" w:eastAsia="en-GB"/>
              </w:rPr>
              <w:t>80.0</w:t>
            </w:r>
          </w:p>
        </w:tc>
        <w:tc>
          <w:tcPr>
            <w:tcW w:w="296" w:type="dxa"/>
            <w:tcBorders>
              <w:top w:val="nil"/>
              <w:left w:val="nil"/>
              <w:bottom w:val="nil"/>
              <w:right w:val="nil"/>
            </w:tcBorders>
            <w:shd w:val="clear" w:color="auto" w:fill="auto"/>
            <w:noWrap/>
            <w:vAlign w:val="center"/>
            <w:hideMark/>
          </w:tcPr>
          <w:p w14:paraId="2CE1BED6" w14:textId="77777777" w:rsidR="00567031" w:rsidRPr="002409B0" w:rsidRDefault="00567031" w:rsidP="00567031">
            <w:pPr>
              <w:spacing w:after="0" w:line="240" w:lineRule="auto"/>
              <w:jc w:val="right"/>
              <w:rPr>
                <w:rFonts w:ascii="Arial Narrow" w:eastAsia="Times New Roman" w:hAnsi="Arial Narrow" w:cs="Calibri"/>
                <w:b/>
                <w:bCs/>
                <w:color w:val="18B3B9"/>
                <w:sz w:val="16"/>
                <w:szCs w:val="16"/>
                <w:lang w:val="en-GB" w:eastAsia="en-GB"/>
              </w:rPr>
            </w:pPr>
          </w:p>
        </w:tc>
        <w:tc>
          <w:tcPr>
            <w:tcW w:w="811" w:type="dxa"/>
            <w:tcBorders>
              <w:top w:val="single" w:sz="4" w:space="0" w:color="18B3B9"/>
              <w:left w:val="nil"/>
              <w:bottom w:val="single" w:sz="8" w:space="0" w:color="18B3B9"/>
              <w:right w:val="nil"/>
            </w:tcBorders>
            <w:shd w:val="clear" w:color="auto" w:fill="auto"/>
            <w:noWrap/>
            <w:vAlign w:val="center"/>
            <w:hideMark/>
          </w:tcPr>
          <w:p w14:paraId="6B62E298" w14:textId="77777777" w:rsidR="00567031" w:rsidRPr="002409B0" w:rsidRDefault="00567031" w:rsidP="00567031">
            <w:pPr>
              <w:spacing w:after="0" w:line="240" w:lineRule="auto"/>
              <w:jc w:val="right"/>
              <w:rPr>
                <w:rFonts w:ascii="Arial Narrow" w:eastAsia="Times New Roman" w:hAnsi="Arial Narrow" w:cs="Calibri"/>
                <w:b/>
                <w:bCs/>
                <w:color w:val="18B3B9"/>
                <w:sz w:val="16"/>
                <w:szCs w:val="16"/>
                <w:lang w:val="en-GB" w:eastAsia="en-GB"/>
              </w:rPr>
            </w:pPr>
            <w:r w:rsidRPr="002409B0">
              <w:rPr>
                <w:rFonts w:ascii="Arial Narrow" w:eastAsia="Times New Roman" w:hAnsi="Arial Narrow" w:cs="Calibri"/>
                <w:b/>
                <w:bCs/>
                <w:color w:val="18B3B9"/>
                <w:sz w:val="16"/>
                <w:szCs w:val="16"/>
                <w:lang w:val="en-GB" w:eastAsia="en-GB"/>
              </w:rPr>
              <w:t>+158.8%</w:t>
            </w:r>
          </w:p>
        </w:tc>
        <w:tc>
          <w:tcPr>
            <w:tcW w:w="811" w:type="dxa"/>
            <w:tcBorders>
              <w:top w:val="single" w:sz="4" w:space="0" w:color="18B3B9"/>
              <w:left w:val="nil"/>
              <w:bottom w:val="single" w:sz="8" w:space="0" w:color="18B3B9"/>
              <w:right w:val="nil"/>
            </w:tcBorders>
            <w:shd w:val="clear" w:color="auto" w:fill="auto"/>
            <w:noWrap/>
            <w:vAlign w:val="center"/>
            <w:hideMark/>
          </w:tcPr>
          <w:p w14:paraId="4B9BCCAA" w14:textId="77777777" w:rsidR="00567031" w:rsidRPr="002409B0" w:rsidRDefault="00567031" w:rsidP="00567031">
            <w:pPr>
              <w:spacing w:after="0" w:line="240" w:lineRule="auto"/>
              <w:jc w:val="right"/>
              <w:rPr>
                <w:rFonts w:ascii="Arial Narrow" w:eastAsia="Times New Roman" w:hAnsi="Arial Narrow" w:cs="Calibri"/>
                <w:b/>
                <w:bCs/>
                <w:color w:val="18B3B9"/>
                <w:sz w:val="16"/>
                <w:szCs w:val="16"/>
                <w:lang w:val="en-GB" w:eastAsia="en-GB"/>
              </w:rPr>
            </w:pPr>
            <w:r w:rsidRPr="002409B0">
              <w:rPr>
                <w:rFonts w:ascii="Arial Narrow" w:eastAsia="Times New Roman" w:hAnsi="Arial Narrow" w:cs="Calibri"/>
                <w:b/>
                <w:bCs/>
                <w:color w:val="18B3B9"/>
                <w:sz w:val="16"/>
                <w:szCs w:val="16"/>
                <w:lang w:val="en-GB" w:eastAsia="en-GB"/>
              </w:rPr>
              <w:t>+184.9%</w:t>
            </w:r>
          </w:p>
        </w:tc>
      </w:tr>
      <w:tr w:rsidR="00567031" w:rsidRPr="002409B0" w14:paraId="20CD63FF" w14:textId="77777777" w:rsidTr="002409B0">
        <w:trPr>
          <w:trHeight w:val="283"/>
          <w:jc w:val="center"/>
        </w:trPr>
        <w:tc>
          <w:tcPr>
            <w:tcW w:w="3802" w:type="dxa"/>
            <w:tcBorders>
              <w:top w:val="nil"/>
              <w:left w:val="nil"/>
              <w:bottom w:val="nil"/>
              <w:right w:val="nil"/>
            </w:tcBorders>
            <w:shd w:val="clear" w:color="auto" w:fill="auto"/>
            <w:noWrap/>
            <w:vAlign w:val="bottom"/>
            <w:hideMark/>
          </w:tcPr>
          <w:p w14:paraId="420E72B3" w14:textId="77777777" w:rsidR="00567031" w:rsidRPr="002409B0" w:rsidRDefault="00567031" w:rsidP="00567031">
            <w:pPr>
              <w:spacing w:after="0" w:line="240" w:lineRule="auto"/>
              <w:jc w:val="left"/>
              <w:rPr>
                <w:rFonts w:ascii="Arial Narrow" w:eastAsia="Times New Roman" w:hAnsi="Arial Narrow" w:cs="Calibri"/>
                <w:sz w:val="16"/>
                <w:szCs w:val="16"/>
                <w:lang w:val="en-GB" w:eastAsia="en-GB"/>
              </w:rPr>
            </w:pPr>
            <w:r w:rsidRPr="002409B0">
              <w:rPr>
                <w:rFonts w:ascii="Arial Narrow" w:eastAsia="Times New Roman" w:hAnsi="Arial Narrow" w:cs="Calibri"/>
                <w:sz w:val="16"/>
                <w:szCs w:val="16"/>
                <w:lang w:val="en-GB" w:eastAsia="en-GB"/>
              </w:rPr>
              <w:t>Other operating income / expenses</w:t>
            </w:r>
          </w:p>
        </w:tc>
        <w:tc>
          <w:tcPr>
            <w:tcW w:w="661" w:type="dxa"/>
            <w:tcBorders>
              <w:top w:val="nil"/>
              <w:left w:val="nil"/>
              <w:bottom w:val="nil"/>
              <w:right w:val="nil"/>
            </w:tcBorders>
            <w:shd w:val="clear" w:color="000000" w:fill="F2F2F2"/>
            <w:noWrap/>
            <w:vAlign w:val="center"/>
            <w:hideMark/>
          </w:tcPr>
          <w:p w14:paraId="3F530E53" w14:textId="77777777" w:rsidR="00567031" w:rsidRPr="002409B0" w:rsidRDefault="00567031" w:rsidP="00567031">
            <w:pPr>
              <w:spacing w:after="0" w:line="240" w:lineRule="auto"/>
              <w:jc w:val="right"/>
              <w:rPr>
                <w:rFonts w:ascii="Arial Narrow" w:eastAsia="Times New Roman" w:hAnsi="Arial Narrow" w:cs="Calibri"/>
                <w:sz w:val="16"/>
                <w:szCs w:val="16"/>
                <w:lang w:val="en-GB" w:eastAsia="en-GB"/>
              </w:rPr>
            </w:pPr>
            <w:r w:rsidRPr="002409B0">
              <w:rPr>
                <w:rFonts w:ascii="Arial Narrow" w:eastAsia="Times New Roman" w:hAnsi="Arial Narrow" w:cs="Calibri"/>
                <w:sz w:val="16"/>
                <w:szCs w:val="16"/>
                <w:lang w:val="en-GB" w:eastAsia="en-GB"/>
              </w:rPr>
              <w:t>(0.2)</w:t>
            </w:r>
          </w:p>
        </w:tc>
        <w:tc>
          <w:tcPr>
            <w:tcW w:w="661" w:type="dxa"/>
            <w:tcBorders>
              <w:top w:val="nil"/>
              <w:left w:val="nil"/>
              <w:bottom w:val="nil"/>
              <w:right w:val="nil"/>
            </w:tcBorders>
            <w:shd w:val="clear" w:color="auto" w:fill="auto"/>
            <w:noWrap/>
            <w:vAlign w:val="center"/>
            <w:hideMark/>
          </w:tcPr>
          <w:p w14:paraId="70596310" w14:textId="77777777" w:rsidR="00567031" w:rsidRPr="002409B0" w:rsidRDefault="00567031" w:rsidP="00567031">
            <w:pPr>
              <w:spacing w:after="0" w:line="240" w:lineRule="auto"/>
              <w:jc w:val="right"/>
              <w:rPr>
                <w:rFonts w:ascii="Arial Narrow" w:eastAsia="Times New Roman" w:hAnsi="Arial Narrow" w:cs="Calibri"/>
                <w:sz w:val="16"/>
                <w:szCs w:val="16"/>
                <w:lang w:val="en-GB" w:eastAsia="en-GB"/>
              </w:rPr>
            </w:pPr>
            <w:r w:rsidRPr="002409B0">
              <w:rPr>
                <w:rFonts w:ascii="Arial Narrow" w:eastAsia="Times New Roman" w:hAnsi="Arial Narrow" w:cs="Calibri"/>
                <w:sz w:val="16"/>
                <w:szCs w:val="16"/>
                <w:lang w:val="en-GB" w:eastAsia="en-GB"/>
              </w:rPr>
              <w:t>(1.8)</w:t>
            </w:r>
          </w:p>
        </w:tc>
        <w:tc>
          <w:tcPr>
            <w:tcW w:w="727" w:type="dxa"/>
            <w:tcBorders>
              <w:top w:val="nil"/>
              <w:left w:val="nil"/>
              <w:bottom w:val="nil"/>
              <w:right w:val="nil"/>
            </w:tcBorders>
            <w:shd w:val="clear" w:color="auto" w:fill="auto"/>
            <w:noWrap/>
            <w:vAlign w:val="center"/>
            <w:hideMark/>
          </w:tcPr>
          <w:p w14:paraId="303A3FA5" w14:textId="77777777" w:rsidR="00567031" w:rsidRPr="002409B0" w:rsidRDefault="00567031" w:rsidP="00567031">
            <w:pPr>
              <w:spacing w:after="0" w:line="240" w:lineRule="auto"/>
              <w:jc w:val="right"/>
              <w:rPr>
                <w:rFonts w:ascii="Arial Narrow" w:eastAsia="Times New Roman" w:hAnsi="Arial Narrow" w:cs="Calibri"/>
                <w:sz w:val="16"/>
                <w:szCs w:val="16"/>
                <w:lang w:val="en-GB" w:eastAsia="en-GB"/>
              </w:rPr>
            </w:pPr>
            <w:r w:rsidRPr="002409B0">
              <w:rPr>
                <w:rFonts w:ascii="Arial Narrow" w:eastAsia="Times New Roman" w:hAnsi="Arial Narrow" w:cs="Calibri"/>
                <w:sz w:val="16"/>
                <w:szCs w:val="16"/>
                <w:lang w:val="en-GB" w:eastAsia="en-GB"/>
              </w:rPr>
              <w:t>(2.4)</w:t>
            </w:r>
          </w:p>
        </w:tc>
        <w:tc>
          <w:tcPr>
            <w:tcW w:w="727" w:type="dxa"/>
            <w:tcBorders>
              <w:top w:val="nil"/>
              <w:left w:val="nil"/>
              <w:bottom w:val="nil"/>
              <w:right w:val="nil"/>
            </w:tcBorders>
            <w:shd w:val="clear" w:color="auto" w:fill="auto"/>
            <w:noWrap/>
            <w:vAlign w:val="center"/>
            <w:hideMark/>
          </w:tcPr>
          <w:p w14:paraId="45A866E5" w14:textId="77777777" w:rsidR="00567031" w:rsidRPr="002409B0" w:rsidRDefault="00567031" w:rsidP="00567031">
            <w:pPr>
              <w:spacing w:after="0" w:line="240" w:lineRule="auto"/>
              <w:jc w:val="right"/>
              <w:rPr>
                <w:rFonts w:ascii="Arial Narrow" w:eastAsia="Times New Roman" w:hAnsi="Arial Narrow" w:cs="Calibri"/>
                <w:sz w:val="16"/>
                <w:szCs w:val="16"/>
                <w:lang w:val="en-GB" w:eastAsia="en-GB"/>
              </w:rPr>
            </w:pPr>
            <w:r w:rsidRPr="002409B0">
              <w:rPr>
                <w:rFonts w:ascii="Arial Narrow" w:eastAsia="Times New Roman" w:hAnsi="Arial Narrow" w:cs="Calibri"/>
                <w:sz w:val="16"/>
                <w:szCs w:val="16"/>
                <w:lang w:val="en-GB" w:eastAsia="en-GB"/>
              </w:rPr>
              <w:t>(13.8)</w:t>
            </w:r>
          </w:p>
        </w:tc>
        <w:tc>
          <w:tcPr>
            <w:tcW w:w="661" w:type="dxa"/>
            <w:tcBorders>
              <w:top w:val="nil"/>
              <w:left w:val="nil"/>
              <w:bottom w:val="nil"/>
              <w:right w:val="nil"/>
            </w:tcBorders>
            <w:shd w:val="clear" w:color="000000" w:fill="D1F0F1"/>
            <w:noWrap/>
            <w:vAlign w:val="center"/>
            <w:hideMark/>
          </w:tcPr>
          <w:p w14:paraId="688043BE" w14:textId="77777777" w:rsidR="00567031" w:rsidRPr="002409B0" w:rsidRDefault="00567031" w:rsidP="00567031">
            <w:pPr>
              <w:spacing w:after="0" w:line="240" w:lineRule="auto"/>
              <w:jc w:val="right"/>
              <w:rPr>
                <w:rFonts w:ascii="Arial Narrow" w:eastAsia="Times New Roman" w:hAnsi="Arial Narrow" w:cs="Calibri"/>
                <w:sz w:val="16"/>
                <w:szCs w:val="16"/>
                <w:lang w:val="en-GB" w:eastAsia="en-GB"/>
              </w:rPr>
            </w:pPr>
            <w:r w:rsidRPr="002409B0">
              <w:rPr>
                <w:rFonts w:ascii="Arial Narrow" w:eastAsia="Times New Roman" w:hAnsi="Arial Narrow" w:cs="Calibri"/>
                <w:sz w:val="16"/>
                <w:szCs w:val="16"/>
                <w:lang w:val="en-GB" w:eastAsia="en-GB"/>
              </w:rPr>
              <w:t>(0.4)</w:t>
            </w:r>
          </w:p>
        </w:tc>
        <w:tc>
          <w:tcPr>
            <w:tcW w:w="296" w:type="dxa"/>
            <w:tcBorders>
              <w:top w:val="nil"/>
              <w:left w:val="nil"/>
              <w:bottom w:val="nil"/>
              <w:right w:val="nil"/>
            </w:tcBorders>
            <w:shd w:val="clear" w:color="auto" w:fill="auto"/>
            <w:noWrap/>
            <w:vAlign w:val="center"/>
            <w:hideMark/>
          </w:tcPr>
          <w:p w14:paraId="1BB3C716" w14:textId="77777777" w:rsidR="00567031" w:rsidRPr="002409B0" w:rsidRDefault="00567031" w:rsidP="00567031">
            <w:pPr>
              <w:spacing w:after="0" w:line="240" w:lineRule="auto"/>
              <w:jc w:val="right"/>
              <w:rPr>
                <w:rFonts w:ascii="Arial Narrow" w:eastAsia="Times New Roman" w:hAnsi="Arial Narrow" w:cs="Calibri"/>
                <w:sz w:val="16"/>
                <w:szCs w:val="16"/>
                <w:lang w:val="en-GB" w:eastAsia="en-GB"/>
              </w:rPr>
            </w:pPr>
          </w:p>
        </w:tc>
        <w:tc>
          <w:tcPr>
            <w:tcW w:w="811" w:type="dxa"/>
            <w:tcBorders>
              <w:top w:val="nil"/>
              <w:left w:val="nil"/>
              <w:bottom w:val="nil"/>
              <w:right w:val="nil"/>
            </w:tcBorders>
            <w:shd w:val="clear" w:color="auto" w:fill="auto"/>
            <w:noWrap/>
            <w:vAlign w:val="center"/>
            <w:hideMark/>
          </w:tcPr>
          <w:p w14:paraId="5AE96285" w14:textId="77777777" w:rsidR="00567031" w:rsidRPr="002409B0" w:rsidRDefault="00567031" w:rsidP="00567031">
            <w:pPr>
              <w:spacing w:after="0" w:line="240" w:lineRule="auto"/>
              <w:jc w:val="right"/>
              <w:rPr>
                <w:rFonts w:ascii="Arial Narrow" w:eastAsia="Times New Roman" w:hAnsi="Arial Narrow" w:cs="Calibri"/>
                <w:sz w:val="16"/>
                <w:szCs w:val="16"/>
                <w:lang w:val="en-GB" w:eastAsia="en-GB"/>
              </w:rPr>
            </w:pPr>
            <w:r w:rsidRPr="002409B0">
              <w:rPr>
                <w:rFonts w:ascii="Arial Narrow" w:eastAsia="Times New Roman" w:hAnsi="Arial Narrow" w:cs="Calibri"/>
                <w:sz w:val="16"/>
                <w:szCs w:val="16"/>
                <w:lang w:val="en-GB" w:eastAsia="en-GB"/>
              </w:rPr>
              <w:t>+95.5%</w:t>
            </w:r>
          </w:p>
        </w:tc>
        <w:tc>
          <w:tcPr>
            <w:tcW w:w="811" w:type="dxa"/>
            <w:tcBorders>
              <w:top w:val="nil"/>
              <w:left w:val="nil"/>
              <w:bottom w:val="nil"/>
              <w:right w:val="nil"/>
            </w:tcBorders>
            <w:shd w:val="clear" w:color="auto" w:fill="auto"/>
            <w:noWrap/>
            <w:vAlign w:val="center"/>
            <w:hideMark/>
          </w:tcPr>
          <w:p w14:paraId="467565C0" w14:textId="77777777" w:rsidR="00567031" w:rsidRPr="002409B0" w:rsidRDefault="00567031" w:rsidP="00567031">
            <w:pPr>
              <w:spacing w:after="0" w:line="240" w:lineRule="auto"/>
              <w:jc w:val="right"/>
              <w:rPr>
                <w:rFonts w:ascii="Arial Narrow" w:eastAsia="Times New Roman" w:hAnsi="Arial Narrow" w:cs="Calibri"/>
                <w:sz w:val="16"/>
                <w:szCs w:val="16"/>
                <w:lang w:val="en-GB" w:eastAsia="en-GB"/>
              </w:rPr>
            </w:pPr>
            <w:r w:rsidRPr="002409B0">
              <w:rPr>
                <w:rFonts w:ascii="Arial Narrow" w:eastAsia="Times New Roman" w:hAnsi="Arial Narrow" w:cs="Calibri"/>
                <w:sz w:val="16"/>
                <w:szCs w:val="16"/>
                <w:lang w:val="en-GB" w:eastAsia="en-GB"/>
              </w:rPr>
              <w:t>+85.9%</w:t>
            </w:r>
          </w:p>
        </w:tc>
      </w:tr>
      <w:tr w:rsidR="00567031" w:rsidRPr="002409B0" w14:paraId="41D629C8" w14:textId="77777777" w:rsidTr="002409B0">
        <w:trPr>
          <w:trHeight w:val="283"/>
          <w:jc w:val="center"/>
        </w:trPr>
        <w:tc>
          <w:tcPr>
            <w:tcW w:w="3802" w:type="dxa"/>
            <w:tcBorders>
              <w:top w:val="single" w:sz="4" w:space="0" w:color="18B3B9"/>
              <w:left w:val="nil"/>
              <w:bottom w:val="single" w:sz="8" w:space="0" w:color="18B3B9"/>
              <w:right w:val="nil"/>
            </w:tcBorders>
            <w:shd w:val="clear" w:color="auto" w:fill="auto"/>
            <w:vAlign w:val="center"/>
            <w:hideMark/>
          </w:tcPr>
          <w:p w14:paraId="02820109" w14:textId="77777777" w:rsidR="00567031" w:rsidRPr="002409B0" w:rsidRDefault="00567031" w:rsidP="00567031">
            <w:pPr>
              <w:spacing w:after="0" w:line="240" w:lineRule="auto"/>
              <w:jc w:val="left"/>
              <w:rPr>
                <w:rFonts w:ascii="Arial Narrow" w:eastAsia="Times New Roman" w:hAnsi="Arial Narrow" w:cs="Calibri"/>
                <w:b/>
                <w:bCs/>
                <w:color w:val="18B3B9"/>
                <w:sz w:val="16"/>
                <w:szCs w:val="16"/>
                <w:lang w:val="en-GB" w:eastAsia="en-GB"/>
              </w:rPr>
            </w:pPr>
            <w:r w:rsidRPr="002409B0">
              <w:rPr>
                <w:rFonts w:ascii="Arial Narrow" w:eastAsia="Times New Roman" w:hAnsi="Arial Narrow" w:cs="Calibri"/>
                <w:b/>
                <w:bCs/>
                <w:color w:val="18B3B9"/>
                <w:sz w:val="16"/>
                <w:szCs w:val="16"/>
                <w:lang w:val="en-GB" w:eastAsia="en-GB"/>
              </w:rPr>
              <w:t>OPERATING INCOME</w:t>
            </w:r>
          </w:p>
        </w:tc>
        <w:tc>
          <w:tcPr>
            <w:tcW w:w="661" w:type="dxa"/>
            <w:tcBorders>
              <w:top w:val="single" w:sz="4" w:space="0" w:color="18B3B9"/>
              <w:left w:val="nil"/>
              <w:bottom w:val="single" w:sz="8" w:space="0" w:color="18B3B9"/>
              <w:right w:val="nil"/>
            </w:tcBorders>
            <w:shd w:val="clear" w:color="000000" w:fill="F2F2F2"/>
            <w:noWrap/>
            <w:vAlign w:val="center"/>
            <w:hideMark/>
          </w:tcPr>
          <w:p w14:paraId="506E701D" w14:textId="77777777" w:rsidR="00567031" w:rsidRPr="002409B0" w:rsidRDefault="00567031" w:rsidP="00567031">
            <w:pPr>
              <w:spacing w:after="0" w:line="240" w:lineRule="auto"/>
              <w:jc w:val="right"/>
              <w:rPr>
                <w:rFonts w:ascii="Arial Narrow" w:eastAsia="Times New Roman" w:hAnsi="Arial Narrow" w:cs="Calibri"/>
                <w:b/>
                <w:bCs/>
                <w:color w:val="18B3B9"/>
                <w:sz w:val="16"/>
                <w:szCs w:val="16"/>
                <w:lang w:val="en-GB" w:eastAsia="en-GB"/>
              </w:rPr>
            </w:pPr>
            <w:r w:rsidRPr="002409B0">
              <w:rPr>
                <w:rFonts w:ascii="Arial Narrow" w:eastAsia="Times New Roman" w:hAnsi="Arial Narrow" w:cs="Calibri"/>
                <w:b/>
                <w:bCs/>
                <w:color w:val="18B3B9"/>
                <w:sz w:val="16"/>
                <w:szCs w:val="16"/>
                <w:lang w:val="en-GB" w:eastAsia="en-GB"/>
              </w:rPr>
              <w:t>30.7</w:t>
            </w:r>
          </w:p>
        </w:tc>
        <w:tc>
          <w:tcPr>
            <w:tcW w:w="661" w:type="dxa"/>
            <w:tcBorders>
              <w:top w:val="single" w:sz="4" w:space="0" w:color="18B3B9"/>
              <w:left w:val="nil"/>
              <w:bottom w:val="single" w:sz="8" w:space="0" w:color="18B3B9"/>
              <w:right w:val="nil"/>
            </w:tcBorders>
            <w:shd w:val="clear" w:color="auto" w:fill="auto"/>
            <w:noWrap/>
            <w:vAlign w:val="center"/>
            <w:hideMark/>
          </w:tcPr>
          <w:p w14:paraId="37CFEB12" w14:textId="77777777" w:rsidR="00567031" w:rsidRPr="002409B0" w:rsidRDefault="00567031" w:rsidP="00567031">
            <w:pPr>
              <w:spacing w:after="0" w:line="240" w:lineRule="auto"/>
              <w:jc w:val="right"/>
              <w:rPr>
                <w:rFonts w:ascii="Arial Narrow" w:eastAsia="Times New Roman" w:hAnsi="Arial Narrow" w:cs="Calibri"/>
                <w:b/>
                <w:bCs/>
                <w:color w:val="18B3B9"/>
                <w:sz w:val="16"/>
                <w:szCs w:val="16"/>
                <w:lang w:val="en-GB" w:eastAsia="en-GB"/>
              </w:rPr>
            </w:pPr>
            <w:r w:rsidRPr="002409B0">
              <w:rPr>
                <w:rFonts w:ascii="Arial Narrow" w:eastAsia="Times New Roman" w:hAnsi="Arial Narrow" w:cs="Calibri"/>
                <w:b/>
                <w:bCs/>
                <w:color w:val="18B3B9"/>
                <w:sz w:val="16"/>
                <w:szCs w:val="16"/>
                <w:lang w:val="en-GB" w:eastAsia="en-GB"/>
              </w:rPr>
              <w:t>55.4</w:t>
            </w:r>
          </w:p>
        </w:tc>
        <w:tc>
          <w:tcPr>
            <w:tcW w:w="727" w:type="dxa"/>
            <w:tcBorders>
              <w:top w:val="single" w:sz="4" w:space="0" w:color="18B3B9"/>
              <w:left w:val="nil"/>
              <w:bottom w:val="single" w:sz="8" w:space="0" w:color="18B3B9"/>
              <w:right w:val="nil"/>
            </w:tcBorders>
            <w:shd w:val="clear" w:color="auto" w:fill="auto"/>
            <w:noWrap/>
            <w:vAlign w:val="center"/>
            <w:hideMark/>
          </w:tcPr>
          <w:p w14:paraId="3E79D68C" w14:textId="77777777" w:rsidR="00567031" w:rsidRPr="002409B0" w:rsidRDefault="00567031" w:rsidP="00567031">
            <w:pPr>
              <w:spacing w:after="0" w:line="240" w:lineRule="auto"/>
              <w:jc w:val="right"/>
              <w:rPr>
                <w:rFonts w:ascii="Arial Narrow" w:eastAsia="Times New Roman" w:hAnsi="Arial Narrow" w:cs="Calibri"/>
                <w:b/>
                <w:bCs/>
                <w:color w:val="18B3B9"/>
                <w:sz w:val="16"/>
                <w:szCs w:val="16"/>
                <w:lang w:val="en-GB" w:eastAsia="en-GB"/>
              </w:rPr>
            </w:pPr>
            <w:r w:rsidRPr="002409B0">
              <w:rPr>
                <w:rFonts w:ascii="Arial Narrow" w:eastAsia="Times New Roman" w:hAnsi="Arial Narrow" w:cs="Calibri"/>
                <w:b/>
                <w:bCs/>
                <w:color w:val="18B3B9"/>
                <w:sz w:val="16"/>
                <w:szCs w:val="16"/>
                <w:lang w:val="en-GB" w:eastAsia="en-GB"/>
              </w:rPr>
              <w:t>95.7</w:t>
            </w:r>
          </w:p>
        </w:tc>
        <w:tc>
          <w:tcPr>
            <w:tcW w:w="727" w:type="dxa"/>
            <w:tcBorders>
              <w:top w:val="single" w:sz="4" w:space="0" w:color="18B3B9"/>
              <w:left w:val="nil"/>
              <w:bottom w:val="single" w:sz="8" w:space="0" w:color="18B3B9"/>
              <w:right w:val="nil"/>
            </w:tcBorders>
            <w:shd w:val="clear" w:color="auto" w:fill="auto"/>
            <w:noWrap/>
            <w:vAlign w:val="center"/>
            <w:hideMark/>
          </w:tcPr>
          <w:p w14:paraId="63289DDC" w14:textId="77777777" w:rsidR="00567031" w:rsidRPr="002409B0" w:rsidRDefault="00567031" w:rsidP="00567031">
            <w:pPr>
              <w:spacing w:after="0" w:line="240" w:lineRule="auto"/>
              <w:jc w:val="right"/>
              <w:rPr>
                <w:rFonts w:ascii="Arial Narrow" w:eastAsia="Times New Roman" w:hAnsi="Arial Narrow" w:cs="Calibri"/>
                <w:b/>
                <w:bCs/>
                <w:color w:val="18B3B9"/>
                <w:sz w:val="16"/>
                <w:szCs w:val="16"/>
                <w:lang w:val="en-GB" w:eastAsia="en-GB"/>
              </w:rPr>
            </w:pPr>
            <w:r w:rsidRPr="002409B0">
              <w:rPr>
                <w:rFonts w:ascii="Arial Narrow" w:eastAsia="Times New Roman" w:hAnsi="Arial Narrow" w:cs="Calibri"/>
                <w:b/>
                <w:bCs/>
                <w:color w:val="18B3B9"/>
                <w:sz w:val="16"/>
                <w:szCs w:val="16"/>
                <w:lang w:val="en-GB" w:eastAsia="en-GB"/>
              </w:rPr>
              <w:t>140.4</w:t>
            </w:r>
          </w:p>
        </w:tc>
        <w:tc>
          <w:tcPr>
            <w:tcW w:w="661" w:type="dxa"/>
            <w:tcBorders>
              <w:top w:val="single" w:sz="4" w:space="0" w:color="18B3B9"/>
              <w:left w:val="nil"/>
              <w:bottom w:val="single" w:sz="8" w:space="0" w:color="18B3B9"/>
              <w:right w:val="nil"/>
            </w:tcBorders>
            <w:shd w:val="clear" w:color="000000" w:fill="D1F0F1"/>
            <w:noWrap/>
            <w:vAlign w:val="center"/>
            <w:hideMark/>
          </w:tcPr>
          <w:p w14:paraId="283CFB6E" w14:textId="45C9644B" w:rsidR="00567031" w:rsidRPr="002409B0" w:rsidRDefault="00B61946" w:rsidP="00567031">
            <w:pPr>
              <w:spacing w:after="0" w:line="240" w:lineRule="auto"/>
              <w:jc w:val="right"/>
              <w:rPr>
                <w:rFonts w:ascii="Arial Narrow" w:eastAsia="Times New Roman" w:hAnsi="Arial Narrow" w:cs="Calibri"/>
                <w:b/>
                <w:bCs/>
                <w:color w:val="18B3B9"/>
                <w:sz w:val="16"/>
                <w:szCs w:val="16"/>
                <w:lang w:val="en-GB" w:eastAsia="en-GB"/>
              </w:rPr>
            </w:pPr>
            <w:r>
              <w:rPr>
                <w:rFonts w:ascii="Arial Narrow" w:eastAsia="Times New Roman" w:hAnsi="Arial Narrow" w:cs="Calibri"/>
                <w:b/>
                <w:bCs/>
                <w:color w:val="18B3B9"/>
                <w:sz w:val="16"/>
                <w:szCs w:val="16"/>
                <w:lang w:val="en-GB" w:eastAsia="en-GB"/>
              </w:rPr>
              <w:t>79.6</w:t>
            </w:r>
          </w:p>
        </w:tc>
        <w:tc>
          <w:tcPr>
            <w:tcW w:w="296" w:type="dxa"/>
            <w:tcBorders>
              <w:top w:val="nil"/>
              <w:left w:val="nil"/>
              <w:bottom w:val="nil"/>
              <w:right w:val="nil"/>
            </w:tcBorders>
            <w:shd w:val="clear" w:color="auto" w:fill="auto"/>
            <w:noWrap/>
            <w:vAlign w:val="center"/>
            <w:hideMark/>
          </w:tcPr>
          <w:p w14:paraId="46868420" w14:textId="77777777" w:rsidR="00567031" w:rsidRPr="002409B0" w:rsidRDefault="00567031" w:rsidP="00567031">
            <w:pPr>
              <w:spacing w:after="0" w:line="240" w:lineRule="auto"/>
              <w:jc w:val="right"/>
              <w:rPr>
                <w:rFonts w:ascii="Arial Narrow" w:eastAsia="Times New Roman" w:hAnsi="Arial Narrow" w:cs="Calibri"/>
                <w:b/>
                <w:bCs/>
                <w:color w:val="18B3B9"/>
                <w:sz w:val="16"/>
                <w:szCs w:val="16"/>
                <w:lang w:val="en-GB" w:eastAsia="en-GB"/>
              </w:rPr>
            </w:pPr>
          </w:p>
        </w:tc>
        <w:tc>
          <w:tcPr>
            <w:tcW w:w="811" w:type="dxa"/>
            <w:tcBorders>
              <w:top w:val="single" w:sz="4" w:space="0" w:color="18B3B9"/>
              <w:left w:val="nil"/>
              <w:bottom w:val="single" w:sz="8" w:space="0" w:color="18B3B9"/>
              <w:right w:val="nil"/>
            </w:tcBorders>
            <w:shd w:val="clear" w:color="auto" w:fill="auto"/>
            <w:noWrap/>
            <w:vAlign w:val="center"/>
            <w:hideMark/>
          </w:tcPr>
          <w:p w14:paraId="31879F4F" w14:textId="77777777" w:rsidR="00567031" w:rsidRPr="002409B0" w:rsidRDefault="00567031" w:rsidP="00567031">
            <w:pPr>
              <w:spacing w:after="0" w:line="240" w:lineRule="auto"/>
              <w:jc w:val="right"/>
              <w:rPr>
                <w:rFonts w:ascii="Arial Narrow" w:eastAsia="Times New Roman" w:hAnsi="Arial Narrow" w:cs="Calibri"/>
                <w:b/>
                <w:bCs/>
                <w:color w:val="18B3B9"/>
                <w:sz w:val="16"/>
                <w:szCs w:val="16"/>
                <w:lang w:val="en-GB" w:eastAsia="en-GB"/>
              </w:rPr>
            </w:pPr>
            <w:r w:rsidRPr="002409B0">
              <w:rPr>
                <w:rFonts w:ascii="Arial Narrow" w:eastAsia="Times New Roman" w:hAnsi="Arial Narrow" w:cs="Calibri"/>
                <w:b/>
                <w:bCs/>
                <w:color w:val="18B3B9"/>
                <w:sz w:val="16"/>
                <w:szCs w:val="16"/>
                <w:lang w:val="en-GB" w:eastAsia="en-GB"/>
              </w:rPr>
              <w:t>+159.2%</w:t>
            </w:r>
          </w:p>
        </w:tc>
        <w:tc>
          <w:tcPr>
            <w:tcW w:w="811" w:type="dxa"/>
            <w:tcBorders>
              <w:top w:val="single" w:sz="4" w:space="0" w:color="18B3B9"/>
              <w:left w:val="nil"/>
              <w:bottom w:val="single" w:sz="8" w:space="0" w:color="18B3B9"/>
              <w:right w:val="nil"/>
            </w:tcBorders>
            <w:shd w:val="clear" w:color="auto" w:fill="auto"/>
            <w:noWrap/>
            <w:vAlign w:val="center"/>
            <w:hideMark/>
          </w:tcPr>
          <w:p w14:paraId="3AF771D1" w14:textId="77777777" w:rsidR="00567031" w:rsidRPr="002409B0" w:rsidRDefault="00567031" w:rsidP="00567031">
            <w:pPr>
              <w:spacing w:after="0" w:line="240" w:lineRule="auto"/>
              <w:jc w:val="right"/>
              <w:rPr>
                <w:rFonts w:ascii="Arial Narrow" w:eastAsia="Times New Roman" w:hAnsi="Arial Narrow" w:cs="Calibri"/>
                <w:b/>
                <w:bCs/>
                <w:color w:val="18B3B9"/>
                <w:sz w:val="16"/>
                <w:szCs w:val="16"/>
                <w:lang w:val="en-GB" w:eastAsia="en-GB"/>
              </w:rPr>
            </w:pPr>
            <w:r w:rsidRPr="002409B0">
              <w:rPr>
                <w:rFonts w:ascii="Arial Narrow" w:eastAsia="Times New Roman" w:hAnsi="Arial Narrow" w:cs="Calibri"/>
                <w:b/>
                <w:bCs/>
                <w:color w:val="18B3B9"/>
                <w:sz w:val="16"/>
                <w:szCs w:val="16"/>
                <w:lang w:val="en-GB" w:eastAsia="en-GB"/>
              </w:rPr>
              <w:t>+185.5%</w:t>
            </w:r>
          </w:p>
        </w:tc>
      </w:tr>
      <w:tr w:rsidR="00567031" w:rsidRPr="002409B0" w14:paraId="68F16633" w14:textId="77777777" w:rsidTr="002409B0">
        <w:trPr>
          <w:trHeight w:val="283"/>
          <w:jc w:val="center"/>
        </w:trPr>
        <w:tc>
          <w:tcPr>
            <w:tcW w:w="3802" w:type="dxa"/>
            <w:tcBorders>
              <w:top w:val="single" w:sz="4" w:space="0" w:color="18B3B9"/>
              <w:left w:val="nil"/>
              <w:bottom w:val="single" w:sz="8" w:space="0" w:color="18B3B9"/>
              <w:right w:val="nil"/>
            </w:tcBorders>
            <w:shd w:val="clear" w:color="auto" w:fill="auto"/>
            <w:vAlign w:val="center"/>
            <w:hideMark/>
          </w:tcPr>
          <w:p w14:paraId="500DA2BD" w14:textId="77777777" w:rsidR="00567031" w:rsidRPr="002409B0" w:rsidRDefault="00567031" w:rsidP="00567031">
            <w:pPr>
              <w:spacing w:after="0" w:line="240" w:lineRule="auto"/>
              <w:jc w:val="left"/>
              <w:rPr>
                <w:rFonts w:ascii="Arial Narrow" w:eastAsia="Times New Roman" w:hAnsi="Arial Narrow" w:cs="Calibri"/>
                <w:b/>
                <w:bCs/>
                <w:color w:val="18B3B9"/>
                <w:sz w:val="16"/>
                <w:szCs w:val="16"/>
                <w:lang w:val="en-GB" w:eastAsia="en-GB"/>
              </w:rPr>
            </w:pPr>
            <w:r w:rsidRPr="002409B0">
              <w:rPr>
                <w:rFonts w:ascii="Arial Narrow" w:eastAsia="Times New Roman" w:hAnsi="Arial Narrow" w:cs="Calibri"/>
                <w:b/>
                <w:bCs/>
                <w:color w:val="18B3B9"/>
                <w:sz w:val="16"/>
                <w:szCs w:val="16"/>
                <w:lang w:val="en-GB" w:eastAsia="en-GB"/>
              </w:rPr>
              <w:t>NET INCOME</w:t>
            </w:r>
          </w:p>
        </w:tc>
        <w:tc>
          <w:tcPr>
            <w:tcW w:w="661" w:type="dxa"/>
            <w:tcBorders>
              <w:top w:val="single" w:sz="4" w:space="0" w:color="18B3B9"/>
              <w:left w:val="nil"/>
              <w:bottom w:val="single" w:sz="8" w:space="0" w:color="18B3B9"/>
              <w:right w:val="nil"/>
            </w:tcBorders>
            <w:shd w:val="clear" w:color="000000" w:fill="F2F2F2"/>
            <w:noWrap/>
            <w:vAlign w:val="center"/>
            <w:hideMark/>
          </w:tcPr>
          <w:p w14:paraId="362918A2" w14:textId="77777777" w:rsidR="00567031" w:rsidRPr="002409B0" w:rsidRDefault="00567031" w:rsidP="00567031">
            <w:pPr>
              <w:spacing w:after="0" w:line="240" w:lineRule="auto"/>
              <w:jc w:val="right"/>
              <w:rPr>
                <w:rFonts w:ascii="Arial Narrow" w:eastAsia="Times New Roman" w:hAnsi="Arial Narrow" w:cs="Calibri"/>
                <w:b/>
                <w:bCs/>
                <w:color w:val="18B3B9"/>
                <w:sz w:val="16"/>
                <w:szCs w:val="16"/>
                <w:lang w:val="en-GB" w:eastAsia="en-GB"/>
              </w:rPr>
            </w:pPr>
            <w:r w:rsidRPr="002409B0">
              <w:rPr>
                <w:rFonts w:ascii="Arial Narrow" w:eastAsia="Times New Roman" w:hAnsi="Arial Narrow" w:cs="Calibri"/>
                <w:b/>
                <w:bCs/>
                <w:color w:val="18B3B9"/>
                <w:sz w:val="16"/>
                <w:szCs w:val="16"/>
                <w:lang w:val="en-GB" w:eastAsia="en-GB"/>
              </w:rPr>
              <w:t>12.7</w:t>
            </w:r>
          </w:p>
        </w:tc>
        <w:tc>
          <w:tcPr>
            <w:tcW w:w="661" w:type="dxa"/>
            <w:tcBorders>
              <w:top w:val="single" w:sz="4" w:space="0" w:color="18B3B9"/>
              <w:left w:val="nil"/>
              <w:bottom w:val="single" w:sz="8" w:space="0" w:color="18B3B9"/>
              <w:right w:val="nil"/>
            </w:tcBorders>
            <w:shd w:val="clear" w:color="auto" w:fill="auto"/>
            <w:noWrap/>
            <w:vAlign w:val="center"/>
            <w:hideMark/>
          </w:tcPr>
          <w:p w14:paraId="61A2CEE0" w14:textId="77777777" w:rsidR="00567031" w:rsidRPr="002409B0" w:rsidRDefault="00567031" w:rsidP="00567031">
            <w:pPr>
              <w:spacing w:after="0" w:line="240" w:lineRule="auto"/>
              <w:jc w:val="right"/>
              <w:rPr>
                <w:rFonts w:ascii="Arial Narrow" w:eastAsia="Times New Roman" w:hAnsi="Arial Narrow" w:cs="Calibri"/>
                <w:b/>
                <w:bCs/>
                <w:color w:val="18B3B9"/>
                <w:sz w:val="16"/>
                <w:szCs w:val="16"/>
                <w:lang w:val="en-GB" w:eastAsia="en-GB"/>
              </w:rPr>
            </w:pPr>
            <w:r w:rsidRPr="002409B0">
              <w:rPr>
                <w:rFonts w:ascii="Arial Narrow" w:eastAsia="Times New Roman" w:hAnsi="Arial Narrow" w:cs="Calibri"/>
                <w:b/>
                <w:bCs/>
                <w:color w:val="18B3B9"/>
                <w:sz w:val="16"/>
                <w:szCs w:val="16"/>
                <w:lang w:val="en-GB" w:eastAsia="en-GB"/>
              </w:rPr>
              <w:t>24.0</w:t>
            </w:r>
          </w:p>
        </w:tc>
        <w:tc>
          <w:tcPr>
            <w:tcW w:w="727" w:type="dxa"/>
            <w:tcBorders>
              <w:top w:val="single" w:sz="4" w:space="0" w:color="18B3B9"/>
              <w:left w:val="nil"/>
              <w:bottom w:val="single" w:sz="8" w:space="0" w:color="18B3B9"/>
              <w:right w:val="nil"/>
            </w:tcBorders>
            <w:shd w:val="clear" w:color="auto" w:fill="auto"/>
            <w:noWrap/>
            <w:vAlign w:val="center"/>
            <w:hideMark/>
          </w:tcPr>
          <w:p w14:paraId="3DE740EA" w14:textId="77777777" w:rsidR="00567031" w:rsidRPr="002409B0" w:rsidRDefault="00567031" w:rsidP="00567031">
            <w:pPr>
              <w:spacing w:after="0" w:line="240" w:lineRule="auto"/>
              <w:jc w:val="right"/>
              <w:rPr>
                <w:rFonts w:ascii="Arial Narrow" w:eastAsia="Times New Roman" w:hAnsi="Arial Narrow" w:cs="Calibri"/>
                <w:b/>
                <w:bCs/>
                <w:color w:val="18B3B9"/>
                <w:sz w:val="16"/>
                <w:szCs w:val="16"/>
                <w:lang w:val="en-GB" w:eastAsia="en-GB"/>
              </w:rPr>
            </w:pPr>
            <w:r w:rsidRPr="002409B0">
              <w:rPr>
                <w:rFonts w:ascii="Arial Narrow" w:eastAsia="Times New Roman" w:hAnsi="Arial Narrow" w:cs="Calibri"/>
                <w:b/>
                <w:bCs/>
                <w:color w:val="18B3B9"/>
                <w:sz w:val="16"/>
                <w:szCs w:val="16"/>
                <w:lang w:val="en-GB" w:eastAsia="en-GB"/>
              </w:rPr>
              <w:t>52.4</w:t>
            </w:r>
          </w:p>
        </w:tc>
        <w:tc>
          <w:tcPr>
            <w:tcW w:w="727" w:type="dxa"/>
            <w:tcBorders>
              <w:top w:val="single" w:sz="4" w:space="0" w:color="18B3B9"/>
              <w:left w:val="nil"/>
              <w:bottom w:val="single" w:sz="8" w:space="0" w:color="18B3B9"/>
              <w:right w:val="nil"/>
            </w:tcBorders>
            <w:shd w:val="clear" w:color="auto" w:fill="auto"/>
            <w:noWrap/>
            <w:vAlign w:val="center"/>
            <w:hideMark/>
          </w:tcPr>
          <w:p w14:paraId="6BB22D2B" w14:textId="77777777" w:rsidR="00567031" w:rsidRPr="002409B0" w:rsidRDefault="00567031" w:rsidP="00567031">
            <w:pPr>
              <w:spacing w:after="0" w:line="240" w:lineRule="auto"/>
              <w:jc w:val="right"/>
              <w:rPr>
                <w:rFonts w:ascii="Arial Narrow" w:eastAsia="Times New Roman" w:hAnsi="Arial Narrow" w:cs="Calibri"/>
                <w:b/>
                <w:bCs/>
                <w:color w:val="18B3B9"/>
                <w:sz w:val="16"/>
                <w:szCs w:val="16"/>
                <w:lang w:val="en-GB" w:eastAsia="en-GB"/>
              </w:rPr>
            </w:pPr>
            <w:r w:rsidRPr="002409B0">
              <w:rPr>
                <w:rFonts w:ascii="Arial Narrow" w:eastAsia="Times New Roman" w:hAnsi="Arial Narrow" w:cs="Calibri"/>
                <w:b/>
                <w:bCs/>
                <w:color w:val="18B3B9"/>
                <w:sz w:val="16"/>
                <w:szCs w:val="16"/>
                <w:lang w:val="en-GB" w:eastAsia="en-GB"/>
              </w:rPr>
              <w:t>82.9</w:t>
            </w:r>
          </w:p>
        </w:tc>
        <w:tc>
          <w:tcPr>
            <w:tcW w:w="661" w:type="dxa"/>
            <w:tcBorders>
              <w:top w:val="single" w:sz="4" w:space="0" w:color="18B3B9"/>
              <w:left w:val="nil"/>
              <w:bottom w:val="single" w:sz="8" w:space="0" w:color="18B3B9"/>
              <w:right w:val="nil"/>
            </w:tcBorders>
            <w:shd w:val="clear" w:color="000000" w:fill="D1F0F1"/>
            <w:noWrap/>
            <w:vAlign w:val="center"/>
            <w:hideMark/>
          </w:tcPr>
          <w:p w14:paraId="2D7BB47F" w14:textId="77777777" w:rsidR="00567031" w:rsidRPr="002409B0" w:rsidRDefault="00567031" w:rsidP="00567031">
            <w:pPr>
              <w:spacing w:after="0" w:line="240" w:lineRule="auto"/>
              <w:jc w:val="right"/>
              <w:rPr>
                <w:rFonts w:ascii="Arial Narrow" w:eastAsia="Times New Roman" w:hAnsi="Arial Narrow" w:cs="Calibri"/>
                <w:b/>
                <w:bCs/>
                <w:color w:val="18B3B9"/>
                <w:sz w:val="16"/>
                <w:szCs w:val="16"/>
                <w:lang w:val="en-GB" w:eastAsia="en-GB"/>
              </w:rPr>
            </w:pPr>
            <w:r w:rsidRPr="002409B0">
              <w:rPr>
                <w:rFonts w:ascii="Arial Narrow" w:eastAsia="Times New Roman" w:hAnsi="Arial Narrow" w:cs="Calibri"/>
                <w:b/>
                <w:bCs/>
                <w:color w:val="18B3B9"/>
                <w:sz w:val="16"/>
                <w:szCs w:val="16"/>
                <w:lang w:val="en-GB" w:eastAsia="en-GB"/>
              </w:rPr>
              <w:t>56.4</w:t>
            </w:r>
          </w:p>
        </w:tc>
        <w:tc>
          <w:tcPr>
            <w:tcW w:w="296" w:type="dxa"/>
            <w:tcBorders>
              <w:top w:val="nil"/>
              <w:left w:val="nil"/>
              <w:bottom w:val="nil"/>
              <w:right w:val="nil"/>
            </w:tcBorders>
            <w:shd w:val="clear" w:color="auto" w:fill="auto"/>
            <w:noWrap/>
            <w:vAlign w:val="center"/>
            <w:hideMark/>
          </w:tcPr>
          <w:p w14:paraId="7DC838EF" w14:textId="77777777" w:rsidR="00567031" w:rsidRPr="002409B0" w:rsidRDefault="00567031" w:rsidP="00567031">
            <w:pPr>
              <w:spacing w:after="0" w:line="240" w:lineRule="auto"/>
              <w:jc w:val="right"/>
              <w:rPr>
                <w:rFonts w:ascii="Arial Narrow" w:eastAsia="Times New Roman" w:hAnsi="Arial Narrow" w:cs="Calibri"/>
                <w:b/>
                <w:bCs/>
                <w:color w:val="18B3B9"/>
                <w:sz w:val="16"/>
                <w:szCs w:val="16"/>
                <w:lang w:val="en-GB" w:eastAsia="en-GB"/>
              </w:rPr>
            </w:pPr>
          </w:p>
        </w:tc>
        <w:tc>
          <w:tcPr>
            <w:tcW w:w="811" w:type="dxa"/>
            <w:tcBorders>
              <w:top w:val="single" w:sz="4" w:space="0" w:color="18B3B9"/>
              <w:left w:val="nil"/>
              <w:bottom w:val="single" w:sz="8" w:space="0" w:color="18B3B9"/>
              <w:right w:val="nil"/>
            </w:tcBorders>
            <w:shd w:val="clear" w:color="auto" w:fill="auto"/>
            <w:noWrap/>
            <w:vAlign w:val="center"/>
            <w:hideMark/>
          </w:tcPr>
          <w:p w14:paraId="053D3000" w14:textId="77777777" w:rsidR="00567031" w:rsidRPr="002409B0" w:rsidRDefault="00567031" w:rsidP="00567031">
            <w:pPr>
              <w:spacing w:after="0" w:line="240" w:lineRule="auto"/>
              <w:jc w:val="right"/>
              <w:rPr>
                <w:rFonts w:ascii="Arial Narrow" w:eastAsia="Times New Roman" w:hAnsi="Arial Narrow" w:cs="Calibri"/>
                <w:b/>
                <w:bCs/>
                <w:color w:val="18B3B9"/>
                <w:sz w:val="16"/>
                <w:szCs w:val="16"/>
                <w:lang w:val="en-GB" w:eastAsia="en-GB"/>
              </w:rPr>
            </w:pPr>
            <w:r w:rsidRPr="002409B0">
              <w:rPr>
                <w:rFonts w:ascii="Arial Narrow" w:eastAsia="Times New Roman" w:hAnsi="Arial Narrow" w:cs="Calibri"/>
                <w:b/>
                <w:bCs/>
                <w:color w:val="18B3B9"/>
                <w:sz w:val="16"/>
                <w:szCs w:val="16"/>
                <w:lang w:val="en-GB" w:eastAsia="en-GB"/>
              </w:rPr>
              <w:t>+345.1%</w:t>
            </w:r>
          </w:p>
        </w:tc>
        <w:tc>
          <w:tcPr>
            <w:tcW w:w="811" w:type="dxa"/>
            <w:tcBorders>
              <w:top w:val="single" w:sz="4" w:space="0" w:color="18B3B9"/>
              <w:left w:val="nil"/>
              <w:bottom w:val="single" w:sz="8" w:space="0" w:color="18B3B9"/>
              <w:right w:val="nil"/>
            </w:tcBorders>
            <w:shd w:val="clear" w:color="auto" w:fill="auto"/>
            <w:noWrap/>
            <w:vAlign w:val="center"/>
            <w:hideMark/>
          </w:tcPr>
          <w:p w14:paraId="17671731" w14:textId="77777777" w:rsidR="00567031" w:rsidRPr="002409B0" w:rsidRDefault="00567031" w:rsidP="00567031">
            <w:pPr>
              <w:spacing w:after="0" w:line="240" w:lineRule="auto"/>
              <w:jc w:val="right"/>
              <w:rPr>
                <w:rFonts w:ascii="Arial Narrow" w:eastAsia="Times New Roman" w:hAnsi="Arial Narrow" w:cs="Calibri"/>
                <w:b/>
                <w:bCs/>
                <w:color w:val="18B3B9"/>
                <w:sz w:val="16"/>
                <w:szCs w:val="16"/>
                <w:lang w:val="en-GB" w:eastAsia="en-GB"/>
              </w:rPr>
            </w:pPr>
            <w:r w:rsidRPr="002409B0">
              <w:rPr>
                <w:rFonts w:ascii="Arial Narrow" w:eastAsia="Times New Roman" w:hAnsi="Arial Narrow" w:cs="Calibri"/>
                <w:b/>
                <w:bCs/>
                <w:color w:val="18B3B9"/>
                <w:sz w:val="16"/>
                <w:szCs w:val="16"/>
                <w:lang w:val="en-GB" w:eastAsia="en-GB"/>
              </w:rPr>
              <w:t>+452.0%</w:t>
            </w:r>
          </w:p>
        </w:tc>
      </w:tr>
      <w:tr w:rsidR="00567031" w:rsidRPr="002409B0" w14:paraId="66512152" w14:textId="77777777" w:rsidTr="002409B0">
        <w:trPr>
          <w:trHeight w:val="283"/>
          <w:jc w:val="center"/>
        </w:trPr>
        <w:tc>
          <w:tcPr>
            <w:tcW w:w="3802" w:type="dxa"/>
            <w:tcBorders>
              <w:top w:val="nil"/>
              <w:left w:val="nil"/>
              <w:bottom w:val="nil"/>
              <w:right w:val="nil"/>
            </w:tcBorders>
            <w:shd w:val="clear" w:color="auto" w:fill="auto"/>
            <w:noWrap/>
            <w:vAlign w:val="center"/>
            <w:hideMark/>
          </w:tcPr>
          <w:p w14:paraId="0FEAA399" w14:textId="77777777" w:rsidR="00567031" w:rsidRPr="002409B0" w:rsidRDefault="00567031" w:rsidP="00567031">
            <w:pPr>
              <w:spacing w:after="0" w:line="240" w:lineRule="auto"/>
              <w:jc w:val="left"/>
              <w:rPr>
                <w:rFonts w:ascii="Arial Narrow" w:eastAsia="Times New Roman" w:hAnsi="Arial Narrow" w:cs="Calibri"/>
                <w:i/>
                <w:iCs/>
                <w:color w:val="808080"/>
                <w:sz w:val="16"/>
                <w:szCs w:val="16"/>
                <w:lang w:val="en-GB" w:eastAsia="en-GB"/>
              </w:rPr>
            </w:pPr>
            <w:r w:rsidRPr="002409B0">
              <w:rPr>
                <w:rFonts w:ascii="Arial Narrow" w:eastAsia="Times New Roman" w:hAnsi="Arial Narrow" w:cs="Calibri"/>
                <w:i/>
                <w:iCs/>
                <w:color w:val="808080"/>
                <w:sz w:val="16"/>
                <w:szCs w:val="16"/>
                <w:lang w:val="en-GB" w:eastAsia="en-GB"/>
              </w:rPr>
              <w:t>Income tax rate</w:t>
            </w:r>
          </w:p>
        </w:tc>
        <w:tc>
          <w:tcPr>
            <w:tcW w:w="661" w:type="dxa"/>
            <w:tcBorders>
              <w:top w:val="nil"/>
              <w:left w:val="nil"/>
              <w:bottom w:val="nil"/>
              <w:right w:val="nil"/>
            </w:tcBorders>
            <w:shd w:val="clear" w:color="auto" w:fill="auto"/>
            <w:noWrap/>
            <w:vAlign w:val="center"/>
            <w:hideMark/>
          </w:tcPr>
          <w:p w14:paraId="3792DBBB" w14:textId="77777777" w:rsidR="00567031" w:rsidRPr="002409B0" w:rsidRDefault="00567031" w:rsidP="00567031">
            <w:pPr>
              <w:spacing w:after="0" w:line="240" w:lineRule="auto"/>
              <w:jc w:val="right"/>
              <w:rPr>
                <w:rFonts w:ascii="Arial Narrow" w:eastAsia="Times New Roman" w:hAnsi="Arial Narrow" w:cs="Calibri"/>
                <w:i/>
                <w:iCs/>
                <w:color w:val="808080"/>
                <w:sz w:val="16"/>
                <w:szCs w:val="16"/>
                <w:lang w:val="en-GB" w:eastAsia="en-GB"/>
              </w:rPr>
            </w:pPr>
            <w:r w:rsidRPr="002409B0">
              <w:rPr>
                <w:rFonts w:ascii="Arial Narrow" w:eastAsia="Times New Roman" w:hAnsi="Arial Narrow" w:cs="Calibri"/>
                <w:i/>
                <w:iCs/>
                <w:color w:val="808080"/>
                <w:sz w:val="16"/>
                <w:szCs w:val="16"/>
                <w:lang w:val="en-GB" w:eastAsia="en-GB"/>
              </w:rPr>
              <w:t>50.5%</w:t>
            </w:r>
          </w:p>
        </w:tc>
        <w:tc>
          <w:tcPr>
            <w:tcW w:w="661" w:type="dxa"/>
            <w:tcBorders>
              <w:top w:val="nil"/>
              <w:left w:val="nil"/>
              <w:bottom w:val="nil"/>
              <w:right w:val="nil"/>
            </w:tcBorders>
            <w:shd w:val="clear" w:color="auto" w:fill="auto"/>
            <w:noWrap/>
            <w:vAlign w:val="center"/>
            <w:hideMark/>
          </w:tcPr>
          <w:p w14:paraId="180462C9" w14:textId="77777777" w:rsidR="00567031" w:rsidRPr="002409B0" w:rsidRDefault="00567031" w:rsidP="00567031">
            <w:pPr>
              <w:spacing w:after="0" w:line="240" w:lineRule="auto"/>
              <w:jc w:val="right"/>
              <w:rPr>
                <w:rFonts w:ascii="Arial Narrow" w:eastAsia="Times New Roman" w:hAnsi="Arial Narrow" w:cs="Calibri"/>
                <w:i/>
                <w:iCs/>
                <w:color w:val="808080"/>
                <w:sz w:val="16"/>
                <w:szCs w:val="16"/>
                <w:lang w:val="en-GB" w:eastAsia="en-GB"/>
              </w:rPr>
            </w:pPr>
            <w:r w:rsidRPr="002409B0">
              <w:rPr>
                <w:rFonts w:ascii="Arial Narrow" w:eastAsia="Times New Roman" w:hAnsi="Arial Narrow" w:cs="Calibri"/>
                <w:i/>
                <w:iCs/>
                <w:color w:val="808080"/>
                <w:sz w:val="16"/>
                <w:szCs w:val="16"/>
                <w:lang w:val="en-GB" w:eastAsia="en-GB"/>
              </w:rPr>
              <w:t>46.0%</w:t>
            </w:r>
          </w:p>
        </w:tc>
        <w:tc>
          <w:tcPr>
            <w:tcW w:w="727" w:type="dxa"/>
            <w:tcBorders>
              <w:top w:val="nil"/>
              <w:left w:val="nil"/>
              <w:bottom w:val="nil"/>
              <w:right w:val="nil"/>
            </w:tcBorders>
            <w:shd w:val="clear" w:color="auto" w:fill="auto"/>
            <w:noWrap/>
            <w:vAlign w:val="center"/>
            <w:hideMark/>
          </w:tcPr>
          <w:p w14:paraId="7B4E884A" w14:textId="77777777" w:rsidR="00567031" w:rsidRPr="002409B0" w:rsidRDefault="00567031" w:rsidP="00567031">
            <w:pPr>
              <w:spacing w:after="0" w:line="240" w:lineRule="auto"/>
              <w:jc w:val="right"/>
              <w:rPr>
                <w:rFonts w:ascii="Arial Narrow" w:eastAsia="Times New Roman" w:hAnsi="Arial Narrow" w:cs="Calibri"/>
                <w:i/>
                <w:iCs/>
                <w:color w:val="808080"/>
                <w:sz w:val="16"/>
                <w:szCs w:val="16"/>
                <w:lang w:val="en-GB" w:eastAsia="en-GB"/>
              </w:rPr>
            </w:pPr>
            <w:r w:rsidRPr="002409B0">
              <w:rPr>
                <w:rFonts w:ascii="Arial Narrow" w:eastAsia="Times New Roman" w:hAnsi="Arial Narrow" w:cs="Calibri"/>
                <w:i/>
                <w:iCs/>
                <w:color w:val="808080"/>
                <w:sz w:val="16"/>
                <w:szCs w:val="16"/>
                <w:lang w:val="en-GB" w:eastAsia="en-GB"/>
              </w:rPr>
              <w:t>44.4%</w:t>
            </w:r>
          </w:p>
        </w:tc>
        <w:tc>
          <w:tcPr>
            <w:tcW w:w="727" w:type="dxa"/>
            <w:tcBorders>
              <w:top w:val="nil"/>
              <w:left w:val="nil"/>
              <w:bottom w:val="nil"/>
              <w:right w:val="nil"/>
            </w:tcBorders>
            <w:shd w:val="clear" w:color="auto" w:fill="auto"/>
            <w:noWrap/>
            <w:vAlign w:val="center"/>
            <w:hideMark/>
          </w:tcPr>
          <w:p w14:paraId="0ECF85D5" w14:textId="77777777" w:rsidR="00567031" w:rsidRPr="002409B0" w:rsidRDefault="00567031" w:rsidP="00567031">
            <w:pPr>
              <w:spacing w:after="0" w:line="240" w:lineRule="auto"/>
              <w:jc w:val="right"/>
              <w:rPr>
                <w:rFonts w:ascii="Arial Narrow" w:eastAsia="Times New Roman" w:hAnsi="Arial Narrow" w:cs="Calibri"/>
                <w:i/>
                <w:iCs/>
                <w:color w:val="808080"/>
                <w:sz w:val="16"/>
                <w:szCs w:val="16"/>
                <w:lang w:val="en-GB" w:eastAsia="en-GB"/>
              </w:rPr>
            </w:pPr>
            <w:r w:rsidRPr="002409B0">
              <w:rPr>
                <w:rFonts w:ascii="Arial Narrow" w:eastAsia="Times New Roman" w:hAnsi="Arial Narrow" w:cs="Calibri"/>
                <w:i/>
                <w:iCs/>
                <w:color w:val="808080"/>
                <w:sz w:val="16"/>
                <w:szCs w:val="16"/>
                <w:lang w:val="en-GB" w:eastAsia="en-GB"/>
              </w:rPr>
              <w:t>37.4%</w:t>
            </w:r>
          </w:p>
        </w:tc>
        <w:tc>
          <w:tcPr>
            <w:tcW w:w="661" w:type="dxa"/>
            <w:tcBorders>
              <w:top w:val="nil"/>
              <w:left w:val="nil"/>
              <w:bottom w:val="nil"/>
              <w:right w:val="nil"/>
            </w:tcBorders>
            <w:shd w:val="clear" w:color="auto" w:fill="auto"/>
            <w:noWrap/>
            <w:vAlign w:val="center"/>
            <w:hideMark/>
          </w:tcPr>
          <w:p w14:paraId="4A4DF519" w14:textId="77777777" w:rsidR="00567031" w:rsidRPr="002409B0" w:rsidRDefault="00567031" w:rsidP="00567031">
            <w:pPr>
              <w:spacing w:after="0" w:line="240" w:lineRule="auto"/>
              <w:jc w:val="right"/>
              <w:rPr>
                <w:rFonts w:ascii="Arial Narrow" w:eastAsia="Times New Roman" w:hAnsi="Arial Narrow" w:cs="Calibri"/>
                <w:i/>
                <w:iCs/>
                <w:color w:val="808080"/>
                <w:sz w:val="16"/>
                <w:szCs w:val="16"/>
                <w:lang w:val="en-GB" w:eastAsia="en-GB"/>
              </w:rPr>
            </w:pPr>
            <w:r w:rsidRPr="002409B0">
              <w:rPr>
                <w:rFonts w:ascii="Arial Narrow" w:eastAsia="Times New Roman" w:hAnsi="Arial Narrow" w:cs="Calibri"/>
                <w:i/>
                <w:iCs/>
                <w:color w:val="808080"/>
                <w:sz w:val="16"/>
                <w:szCs w:val="16"/>
                <w:lang w:val="en-GB" w:eastAsia="en-GB"/>
              </w:rPr>
              <w:t>24.6%</w:t>
            </w:r>
          </w:p>
        </w:tc>
        <w:tc>
          <w:tcPr>
            <w:tcW w:w="296" w:type="dxa"/>
            <w:tcBorders>
              <w:top w:val="nil"/>
              <w:left w:val="nil"/>
              <w:bottom w:val="nil"/>
              <w:right w:val="nil"/>
            </w:tcBorders>
            <w:shd w:val="clear" w:color="auto" w:fill="auto"/>
            <w:noWrap/>
            <w:vAlign w:val="center"/>
            <w:hideMark/>
          </w:tcPr>
          <w:p w14:paraId="2BC0AD2E" w14:textId="77777777" w:rsidR="00567031" w:rsidRPr="002409B0" w:rsidRDefault="00567031" w:rsidP="00567031">
            <w:pPr>
              <w:spacing w:after="0" w:line="240" w:lineRule="auto"/>
              <w:jc w:val="right"/>
              <w:rPr>
                <w:rFonts w:ascii="Arial Narrow" w:eastAsia="Times New Roman" w:hAnsi="Arial Narrow" w:cs="Calibri"/>
                <w:i/>
                <w:iCs/>
                <w:color w:val="808080"/>
                <w:sz w:val="16"/>
                <w:szCs w:val="16"/>
                <w:lang w:val="en-GB" w:eastAsia="en-GB"/>
              </w:rPr>
            </w:pPr>
          </w:p>
        </w:tc>
        <w:tc>
          <w:tcPr>
            <w:tcW w:w="811" w:type="dxa"/>
            <w:tcBorders>
              <w:top w:val="nil"/>
              <w:left w:val="nil"/>
              <w:bottom w:val="nil"/>
              <w:right w:val="nil"/>
            </w:tcBorders>
            <w:shd w:val="clear" w:color="auto" w:fill="auto"/>
            <w:noWrap/>
            <w:vAlign w:val="center"/>
            <w:hideMark/>
          </w:tcPr>
          <w:p w14:paraId="19C0832C" w14:textId="77777777" w:rsidR="00567031" w:rsidRPr="002409B0" w:rsidRDefault="00567031" w:rsidP="00567031">
            <w:pPr>
              <w:spacing w:after="0" w:line="240" w:lineRule="auto"/>
              <w:jc w:val="left"/>
              <w:rPr>
                <w:rFonts w:ascii="Arial Narrow" w:eastAsia="Times New Roman" w:hAnsi="Arial Narrow" w:cs="Times New Roman"/>
                <w:sz w:val="16"/>
                <w:szCs w:val="16"/>
                <w:lang w:val="en-GB" w:eastAsia="en-GB"/>
              </w:rPr>
            </w:pPr>
          </w:p>
        </w:tc>
        <w:tc>
          <w:tcPr>
            <w:tcW w:w="811" w:type="dxa"/>
            <w:tcBorders>
              <w:top w:val="nil"/>
              <w:left w:val="nil"/>
              <w:bottom w:val="nil"/>
              <w:right w:val="nil"/>
            </w:tcBorders>
            <w:shd w:val="clear" w:color="auto" w:fill="auto"/>
            <w:noWrap/>
            <w:vAlign w:val="center"/>
            <w:hideMark/>
          </w:tcPr>
          <w:p w14:paraId="0974F113" w14:textId="77777777" w:rsidR="00567031" w:rsidRPr="002409B0" w:rsidRDefault="00567031" w:rsidP="00567031">
            <w:pPr>
              <w:spacing w:after="0" w:line="240" w:lineRule="auto"/>
              <w:jc w:val="right"/>
              <w:rPr>
                <w:rFonts w:ascii="Arial Narrow" w:eastAsia="Times New Roman" w:hAnsi="Arial Narrow" w:cs="Times New Roman"/>
                <w:sz w:val="16"/>
                <w:szCs w:val="16"/>
                <w:lang w:val="en-GB" w:eastAsia="en-GB"/>
              </w:rPr>
            </w:pPr>
          </w:p>
        </w:tc>
      </w:tr>
    </w:tbl>
    <w:p w14:paraId="5DA970E2" w14:textId="77777777" w:rsidR="004C382C" w:rsidRPr="00B30555" w:rsidRDefault="004C382C" w:rsidP="00BD4D1B">
      <w:pPr>
        <w:spacing w:after="0" w:line="240" w:lineRule="auto"/>
        <w:rPr>
          <w:rFonts w:ascii="Arial Narrow" w:hAnsi="Arial Narrow" w:cs="Arial"/>
          <w:bCs/>
          <w:u w:val="single"/>
          <w:lang w:val="en-GB"/>
        </w:rPr>
      </w:pPr>
    </w:p>
    <w:p w14:paraId="485C6684" w14:textId="77777777" w:rsidR="00BD4D1B" w:rsidRPr="00B30555" w:rsidRDefault="00BD4D1B" w:rsidP="00BD4D1B">
      <w:pPr>
        <w:spacing w:after="0" w:line="240" w:lineRule="auto"/>
        <w:rPr>
          <w:rFonts w:ascii="Arial Narrow" w:hAnsi="Arial Narrow" w:cs="Arial"/>
          <w:bCs/>
          <w:u w:val="single"/>
          <w:lang w:val="en-GB"/>
        </w:rPr>
      </w:pPr>
    </w:p>
    <w:p w14:paraId="1BD5BCAF" w14:textId="77777777" w:rsidR="00BD4D1B" w:rsidRPr="002409B0" w:rsidRDefault="00BD4D1B" w:rsidP="00BD4D1B">
      <w:pPr>
        <w:spacing w:after="0" w:line="240" w:lineRule="auto"/>
        <w:rPr>
          <w:rFonts w:ascii="Arial Narrow" w:hAnsi="Arial Narrow" w:cs="Arial"/>
          <w:bCs/>
          <w:sz w:val="14"/>
          <w:lang w:val="en-GB"/>
        </w:rPr>
      </w:pPr>
      <w:r w:rsidRPr="002409B0">
        <w:rPr>
          <w:rFonts w:ascii="Arial Narrow" w:hAnsi="Arial Narrow" w:cs="Arial"/>
          <w:bCs/>
          <w:sz w:val="14"/>
          <w:lang w:val="en-GB"/>
        </w:rPr>
        <w:t>* Also excludes scope impact</w:t>
      </w:r>
    </w:p>
    <w:p w14:paraId="4358214A" w14:textId="77777777" w:rsidR="00D6485F" w:rsidRPr="00B30555" w:rsidRDefault="00BD4D1B" w:rsidP="00D6485F">
      <w:pPr>
        <w:spacing w:after="0" w:line="240" w:lineRule="auto"/>
        <w:rPr>
          <w:rFonts w:ascii="Arial Narrow" w:hAnsi="Arial Narrow" w:cs="Arial"/>
          <w:b/>
          <w:bCs/>
          <w:lang w:val="en-GB" w:eastAsia="ar-SA"/>
        </w:rPr>
      </w:pPr>
      <w:r w:rsidRPr="00B30555">
        <w:rPr>
          <w:rFonts w:ascii="Arial Narrow" w:hAnsi="Arial Narrow" w:cs="Arial"/>
          <w:b/>
          <w:bCs/>
          <w:lang w:val="en-GB" w:eastAsia="ar-SA"/>
        </w:rPr>
        <w:br w:type="page"/>
      </w:r>
    </w:p>
    <w:tbl>
      <w:tblPr>
        <w:tblW w:w="12580" w:type="dxa"/>
        <w:tblInd w:w="-34" w:type="dxa"/>
        <w:tblLook w:val="04A0" w:firstRow="1" w:lastRow="0" w:firstColumn="1" w:lastColumn="0" w:noHBand="0" w:noVBand="1"/>
      </w:tblPr>
      <w:tblGrid>
        <w:gridCol w:w="8044"/>
        <w:gridCol w:w="4536"/>
      </w:tblGrid>
      <w:tr w:rsidR="00D6485F" w:rsidRPr="00D6485F" w14:paraId="0E29997B" w14:textId="77777777" w:rsidTr="00EC57FE">
        <w:tc>
          <w:tcPr>
            <w:tcW w:w="12577" w:type="dxa"/>
            <w:gridSpan w:val="2"/>
            <w:vAlign w:val="center"/>
          </w:tcPr>
          <w:p w14:paraId="2701E136" w14:textId="77777777" w:rsidR="00D6485F" w:rsidRPr="00D6485F" w:rsidRDefault="00D6485F" w:rsidP="00EC57FE">
            <w:pPr>
              <w:widowControl w:val="0"/>
              <w:tabs>
                <w:tab w:val="left" w:pos="4111"/>
                <w:tab w:val="left" w:pos="4536"/>
                <w:tab w:val="left" w:pos="5010"/>
              </w:tabs>
              <w:suppressAutoHyphens/>
              <w:spacing w:after="0" w:line="240" w:lineRule="auto"/>
              <w:ind w:right="318"/>
              <w:jc w:val="left"/>
              <w:rPr>
                <w:rFonts w:ascii="Arial Narrow" w:eastAsia="MS Mincho" w:hAnsi="Arial Narrow" w:cs="Arial"/>
                <w:b/>
                <w:sz w:val="18"/>
                <w:szCs w:val="18"/>
                <w:lang w:val="fr-FR" w:eastAsia="ar-SA"/>
              </w:rPr>
            </w:pPr>
            <w:r w:rsidRPr="00D6485F">
              <w:rPr>
                <w:rFonts w:ascii="Arial Narrow" w:eastAsia="MS Mincho" w:hAnsi="Arial Narrow" w:cs="Arial"/>
                <w:b/>
                <w:sz w:val="18"/>
                <w:szCs w:val="18"/>
                <w:lang w:val="fr-FR" w:eastAsia="ar-SA"/>
              </w:rPr>
              <w:lastRenderedPageBreak/>
              <w:t>CONTACTS</w:t>
            </w:r>
          </w:p>
        </w:tc>
      </w:tr>
      <w:tr w:rsidR="00D6485F" w:rsidRPr="00D6485F" w14:paraId="0FA2165B" w14:textId="77777777" w:rsidTr="00EC57FE">
        <w:tc>
          <w:tcPr>
            <w:tcW w:w="12577" w:type="dxa"/>
            <w:gridSpan w:val="2"/>
            <w:vAlign w:val="center"/>
          </w:tcPr>
          <w:p w14:paraId="6CF1B462" w14:textId="77777777" w:rsidR="00D6485F" w:rsidRPr="00D6485F" w:rsidRDefault="00D6485F" w:rsidP="00EC57FE">
            <w:pPr>
              <w:widowControl w:val="0"/>
              <w:tabs>
                <w:tab w:val="left" w:pos="4111"/>
                <w:tab w:val="left" w:pos="4536"/>
                <w:tab w:val="left" w:pos="5010"/>
              </w:tabs>
              <w:suppressAutoHyphens/>
              <w:spacing w:after="0" w:line="240" w:lineRule="auto"/>
              <w:ind w:right="318"/>
              <w:jc w:val="left"/>
              <w:rPr>
                <w:rFonts w:ascii="Arial Narrow" w:eastAsia="MS Mincho" w:hAnsi="Arial Narrow" w:cs="Arial"/>
                <w:b/>
                <w:sz w:val="18"/>
                <w:szCs w:val="18"/>
                <w:lang w:val="fr-FR" w:eastAsia="ar-SA"/>
              </w:rPr>
            </w:pPr>
          </w:p>
        </w:tc>
      </w:tr>
      <w:tr w:rsidR="00D6485F" w:rsidRPr="00D6485F" w14:paraId="306D92FC" w14:textId="77777777" w:rsidTr="00EC57FE">
        <w:tc>
          <w:tcPr>
            <w:tcW w:w="8044" w:type="dxa"/>
          </w:tcPr>
          <w:p w14:paraId="5840532F" w14:textId="530F4BF9" w:rsidR="00D6485F" w:rsidRPr="00D6485F" w:rsidRDefault="00D6485F" w:rsidP="00EC57FE">
            <w:pPr>
              <w:widowControl w:val="0"/>
              <w:tabs>
                <w:tab w:val="left" w:pos="5010"/>
              </w:tabs>
              <w:suppressAutoHyphens/>
              <w:spacing w:after="0" w:line="240" w:lineRule="auto"/>
              <w:ind w:right="-4527"/>
              <w:jc w:val="left"/>
              <w:rPr>
                <w:rFonts w:ascii="Arial Narrow" w:eastAsia="MS Mincho" w:hAnsi="Arial Narrow" w:cs="Arial"/>
                <w:sz w:val="18"/>
                <w:szCs w:val="18"/>
                <w:lang w:val="fr-FR" w:eastAsia="ar-SA"/>
              </w:rPr>
            </w:pPr>
            <w:r w:rsidRPr="00D6485F">
              <w:rPr>
                <w:rFonts w:ascii="Arial Narrow" w:eastAsia="MS Mincho" w:hAnsi="Arial Narrow" w:cs="Arial"/>
                <w:b/>
                <w:sz w:val="18"/>
                <w:szCs w:val="18"/>
                <w:lang w:val="fr-FR" w:eastAsia="ar-SA"/>
              </w:rPr>
              <w:t>MEDIA RELATIONS</w:t>
            </w:r>
            <w:r w:rsidR="00EC57FE">
              <w:rPr>
                <w:rFonts w:ascii="Arial Narrow" w:eastAsia="MS Mincho" w:hAnsi="Arial Narrow" w:cs="Arial"/>
                <w:b/>
                <w:sz w:val="18"/>
                <w:szCs w:val="18"/>
                <w:lang w:val="fr-FR" w:eastAsia="ar-SA"/>
              </w:rPr>
              <w:t xml:space="preserve"> SOUTH AFRICA</w:t>
            </w:r>
          </w:p>
          <w:p w14:paraId="36C41FC5" w14:textId="77777777" w:rsidR="00D6485F" w:rsidRPr="00D6485F" w:rsidRDefault="00D6485F" w:rsidP="00EC57FE">
            <w:pPr>
              <w:widowControl w:val="0"/>
              <w:tabs>
                <w:tab w:val="left" w:pos="5010"/>
              </w:tabs>
              <w:suppressAutoHyphens/>
              <w:spacing w:after="0" w:line="240" w:lineRule="auto"/>
              <w:ind w:left="567" w:right="-4527"/>
              <w:jc w:val="left"/>
              <w:rPr>
                <w:rFonts w:ascii="Arial Narrow" w:eastAsia="MS Mincho" w:hAnsi="Arial Narrow" w:cs="Arial"/>
                <w:sz w:val="18"/>
                <w:szCs w:val="18"/>
                <w:lang w:val="fr-FR" w:eastAsia="ar-SA"/>
              </w:rPr>
            </w:pPr>
          </w:p>
          <w:p w14:paraId="1D039F69" w14:textId="6FFC240A" w:rsidR="00D6485F" w:rsidRPr="00D6485F" w:rsidRDefault="009F5BE7" w:rsidP="00EC57FE">
            <w:pPr>
              <w:widowControl w:val="0"/>
              <w:tabs>
                <w:tab w:val="left" w:pos="5010"/>
              </w:tabs>
              <w:suppressAutoHyphens/>
              <w:spacing w:after="0" w:line="240" w:lineRule="auto"/>
              <w:ind w:right="-4527"/>
              <w:jc w:val="left"/>
              <w:rPr>
                <w:rFonts w:ascii="Arial Narrow" w:eastAsia="MS Mincho" w:hAnsi="Arial Narrow" w:cs="Arial"/>
                <w:sz w:val="18"/>
                <w:szCs w:val="18"/>
                <w:lang w:val="fr-FR" w:eastAsia="ar-SA"/>
              </w:rPr>
            </w:pPr>
            <w:r>
              <w:rPr>
                <w:rFonts w:ascii="Arial Narrow" w:eastAsia="MS Mincho" w:hAnsi="Arial Narrow" w:cs="Arial"/>
                <w:sz w:val="18"/>
                <w:szCs w:val="18"/>
                <w:lang w:val="fr-FR" w:eastAsia="ar-SA"/>
              </w:rPr>
              <w:t>Shaazia KHAN</w:t>
            </w:r>
          </w:p>
          <w:p w14:paraId="2F0746A1" w14:textId="133323E0" w:rsidR="00D6485F" w:rsidRPr="00D6485F" w:rsidRDefault="009F5BE7" w:rsidP="00EC57FE">
            <w:pPr>
              <w:widowControl w:val="0"/>
              <w:tabs>
                <w:tab w:val="left" w:pos="5010"/>
              </w:tabs>
              <w:suppressAutoHyphens/>
              <w:spacing w:after="0" w:line="240" w:lineRule="auto"/>
              <w:ind w:right="-4527"/>
              <w:jc w:val="left"/>
              <w:rPr>
                <w:rFonts w:ascii="Arial Narrow" w:eastAsia="MS Mincho" w:hAnsi="Arial Narrow" w:cs="Arial"/>
                <w:sz w:val="18"/>
                <w:szCs w:val="18"/>
                <w:lang w:val="fr-FR" w:eastAsia="ar-SA"/>
              </w:rPr>
            </w:pPr>
            <w:r>
              <w:rPr>
                <w:rFonts w:ascii="Arial Narrow" w:eastAsia="MS Mincho" w:hAnsi="Arial Narrow" w:cs="Arial"/>
                <w:sz w:val="18"/>
                <w:szCs w:val="18"/>
                <w:lang w:val="fr-FR" w:eastAsia="ar-SA"/>
              </w:rPr>
              <w:t>T. +27</w:t>
            </w:r>
            <w:r w:rsidR="00D6485F" w:rsidRPr="00D6485F">
              <w:rPr>
                <w:rFonts w:ascii="Arial Narrow" w:eastAsia="MS Mincho" w:hAnsi="Arial Narrow" w:cs="Arial"/>
                <w:sz w:val="18"/>
                <w:szCs w:val="18"/>
                <w:lang w:val="fr-FR" w:eastAsia="ar-SA"/>
              </w:rPr>
              <w:t xml:space="preserve"> (0)</w:t>
            </w:r>
            <w:r>
              <w:rPr>
                <w:rFonts w:ascii="Arial Narrow" w:eastAsia="MS Mincho" w:hAnsi="Arial Narrow" w:cs="Arial"/>
                <w:sz w:val="18"/>
                <w:szCs w:val="18"/>
                <w:lang w:val="fr-FR" w:eastAsia="ar-SA"/>
              </w:rPr>
              <w:t xml:space="preserve"> 79 753 5357</w:t>
            </w:r>
          </w:p>
          <w:p w14:paraId="79EF3E2A" w14:textId="2DB7C24F" w:rsidR="00D6485F" w:rsidRPr="00EC57FE" w:rsidRDefault="00814F56" w:rsidP="00EC57FE">
            <w:pPr>
              <w:widowControl w:val="0"/>
              <w:tabs>
                <w:tab w:val="left" w:pos="5010"/>
              </w:tabs>
              <w:suppressAutoHyphens/>
              <w:spacing w:after="0" w:line="240" w:lineRule="auto"/>
              <w:ind w:right="-4527"/>
              <w:jc w:val="left"/>
              <w:rPr>
                <w:rFonts w:ascii="Arial Narrow" w:eastAsia="MS Mincho" w:hAnsi="Arial Narrow" w:cs="Arial"/>
                <w:color w:val="0000FF"/>
                <w:sz w:val="18"/>
                <w:szCs w:val="18"/>
                <w:u w:val="single"/>
                <w:lang w:val="fr-FR" w:eastAsia="ar-SA"/>
              </w:rPr>
            </w:pPr>
            <w:hyperlink r:id="rId9" w:history="1">
              <w:r w:rsidRPr="006124E0">
                <w:rPr>
                  <w:rStyle w:val="Hyperlink"/>
                  <w:rFonts w:ascii="Arial Narrow" w:eastAsia="MS Mincho" w:hAnsi="Arial Narrow" w:cs="Arial"/>
                  <w:sz w:val="18"/>
                  <w:szCs w:val="18"/>
                  <w:lang w:val="fr-FR" w:eastAsia="ar-SA"/>
                </w:rPr>
                <w:t>shaazia.khan@coface.com</w:t>
              </w:r>
            </w:hyperlink>
          </w:p>
        </w:tc>
        <w:tc>
          <w:tcPr>
            <w:tcW w:w="4536" w:type="dxa"/>
          </w:tcPr>
          <w:p w14:paraId="09377AC5" w14:textId="3859A62E" w:rsidR="00D6485F" w:rsidRPr="00EC57FE" w:rsidRDefault="00D6485F" w:rsidP="00EC57FE">
            <w:pPr>
              <w:widowControl w:val="0"/>
              <w:tabs>
                <w:tab w:val="left" w:pos="4111"/>
                <w:tab w:val="left" w:pos="4536"/>
                <w:tab w:val="left" w:pos="5010"/>
              </w:tabs>
              <w:suppressAutoHyphens/>
              <w:spacing w:after="0" w:line="240" w:lineRule="auto"/>
              <w:ind w:right="318"/>
              <w:jc w:val="center"/>
              <w:rPr>
                <w:rFonts w:ascii="Arial Narrow" w:eastAsia="Times New Roman" w:hAnsi="Arial Narrow" w:cs="Arial"/>
                <w:color w:val="000000"/>
                <w:spacing w:val="-2"/>
                <w:sz w:val="18"/>
                <w:szCs w:val="18"/>
                <w:lang w:val="fr-FR" w:eastAsia="ar-SA"/>
              </w:rPr>
            </w:pPr>
          </w:p>
        </w:tc>
      </w:tr>
    </w:tbl>
    <w:p w14:paraId="76ACA8F5" w14:textId="77777777" w:rsidR="00D6485F" w:rsidRPr="00D6485F" w:rsidRDefault="00D6485F" w:rsidP="00D6485F">
      <w:pPr>
        <w:widowControl w:val="0"/>
        <w:suppressAutoHyphens/>
        <w:autoSpaceDE w:val="0"/>
        <w:autoSpaceDN w:val="0"/>
        <w:adjustRightInd w:val="0"/>
        <w:spacing w:after="0" w:line="270" w:lineRule="exact"/>
        <w:jc w:val="left"/>
        <w:rPr>
          <w:rFonts w:ascii="Arial Narrow" w:eastAsia="MS Mincho" w:hAnsi="Arial Narrow" w:cs="Arial"/>
          <w:b/>
          <w:sz w:val="18"/>
          <w:szCs w:val="18"/>
          <w:lang w:val="fr-FR" w:eastAsia="ar-SA"/>
        </w:rPr>
      </w:pPr>
    </w:p>
    <w:p w14:paraId="58DAAFEB" w14:textId="348BD07D" w:rsidR="00D6485F" w:rsidRPr="00D6485F" w:rsidRDefault="00D6485F" w:rsidP="00D6485F">
      <w:pPr>
        <w:widowControl w:val="0"/>
        <w:suppressAutoHyphens/>
        <w:autoSpaceDE w:val="0"/>
        <w:autoSpaceDN w:val="0"/>
        <w:adjustRightInd w:val="0"/>
        <w:spacing w:after="0" w:line="270" w:lineRule="exact"/>
        <w:jc w:val="center"/>
        <w:rPr>
          <w:rFonts w:ascii="Arial Narrow" w:eastAsia="MS Mincho" w:hAnsi="Arial Narrow" w:cs="Arial"/>
          <w:bCs/>
          <w:sz w:val="18"/>
          <w:szCs w:val="24"/>
          <w:lang w:val="en-GB" w:eastAsia="ar-SA"/>
        </w:rPr>
      </w:pPr>
      <w:r w:rsidRPr="00D6485F">
        <w:rPr>
          <w:rFonts w:ascii="Arial Narrow" w:eastAsia="MS Mincho" w:hAnsi="Arial Narrow" w:cs="Arial"/>
          <w:b/>
          <w:sz w:val="18"/>
          <w:szCs w:val="18"/>
          <w:lang w:val="en-GB" w:eastAsia="ar-SA"/>
        </w:rPr>
        <w:t xml:space="preserve">FINANCIAL CALENDAR 2021 </w:t>
      </w:r>
      <w:r w:rsidRPr="00D6485F">
        <w:rPr>
          <w:rFonts w:ascii="Arial Narrow" w:eastAsia="MS Mincho" w:hAnsi="Arial Narrow" w:cs="Arial"/>
          <w:b/>
          <w:sz w:val="18"/>
          <w:szCs w:val="24"/>
          <w:lang w:val="en-GB" w:eastAsia="ar-SA"/>
        </w:rPr>
        <w:t>(subject to change)</w:t>
      </w:r>
    </w:p>
    <w:p w14:paraId="6A304CA9" w14:textId="77777777" w:rsidR="00D6485F" w:rsidRPr="00D6485F" w:rsidRDefault="00D6485F" w:rsidP="00D6485F">
      <w:pPr>
        <w:suppressAutoHyphens/>
        <w:autoSpaceDE w:val="0"/>
        <w:autoSpaceDN w:val="0"/>
        <w:adjustRightInd w:val="0"/>
        <w:spacing w:after="0" w:line="240" w:lineRule="auto"/>
        <w:jc w:val="center"/>
        <w:rPr>
          <w:rFonts w:ascii="Arial Narrow" w:eastAsia="MS Mincho" w:hAnsi="Arial Narrow" w:cs="Arial"/>
          <w:bCs/>
          <w:sz w:val="18"/>
          <w:lang w:val="en-GB" w:eastAsia="ar-SA"/>
        </w:rPr>
      </w:pPr>
      <w:r w:rsidRPr="00D6485F">
        <w:rPr>
          <w:rFonts w:ascii="Arial Narrow" w:eastAsia="MS Mincho" w:hAnsi="Arial Narrow" w:cs="Arial"/>
          <w:bCs/>
          <w:sz w:val="18"/>
          <w:lang w:val="en-GB" w:eastAsia="ar-SA"/>
        </w:rPr>
        <w:t>Annual General Shareholders’ Meeting 2020: 12 May 2021</w:t>
      </w:r>
    </w:p>
    <w:p w14:paraId="59F9E029" w14:textId="77777777" w:rsidR="00D6485F" w:rsidRPr="00D6485F" w:rsidRDefault="00D6485F" w:rsidP="00D6485F">
      <w:pPr>
        <w:suppressAutoHyphens/>
        <w:autoSpaceDE w:val="0"/>
        <w:autoSpaceDN w:val="0"/>
        <w:adjustRightInd w:val="0"/>
        <w:spacing w:after="0" w:line="240" w:lineRule="auto"/>
        <w:jc w:val="center"/>
        <w:rPr>
          <w:rFonts w:ascii="Arial Narrow" w:eastAsia="MS Mincho" w:hAnsi="Arial Narrow" w:cs="Arial"/>
          <w:bCs/>
          <w:sz w:val="18"/>
          <w:lang w:val="en-GB" w:eastAsia="ar-SA"/>
        </w:rPr>
      </w:pPr>
      <w:r w:rsidRPr="00D6485F">
        <w:rPr>
          <w:rFonts w:ascii="Arial Narrow" w:eastAsia="MS Mincho" w:hAnsi="Arial Narrow" w:cs="Arial"/>
          <w:bCs/>
          <w:sz w:val="18"/>
          <w:lang w:val="en-GB" w:eastAsia="ar-SA"/>
        </w:rPr>
        <w:t>H1-2021 results: 28 July 2021 (after market close)</w:t>
      </w:r>
    </w:p>
    <w:p w14:paraId="62196CE5" w14:textId="77777777" w:rsidR="00D6485F" w:rsidRPr="00D6485F" w:rsidRDefault="00D6485F" w:rsidP="00D6485F">
      <w:pPr>
        <w:widowControl w:val="0"/>
        <w:suppressAutoHyphens/>
        <w:autoSpaceDE w:val="0"/>
        <w:autoSpaceDN w:val="0"/>
        <w:adjustRightInd w:val="0"/>
        <w:spacing w:after="0" w:line="240" w:lineRule="auto"/>
        <w:jc w:val="center"/>
        <w:rPr>
          <w:rFonts w:ascii="Arial Narrow" w:eastAsia="MS Mincho" w:hAnsi="Arial Narrow" w:cs="Arial"/>
          <w:bCs/>
          <w:sz w:val="18"/>
          <w:szCs w:val="24"/>
          <w:lang w:val="en-GB" w:eastAsia="ar-SA"/>
        </w:rPr>
      </w:pPr>
      <w:proofErr w:type="gramStart"/>
      <w:r w:rsidRPr="00D6485F">
        <w:rPr>
          <w:rFonts w:ascii="Arial Narrow" w:eastAsia="MS Mincho" w:hAnsi="Arial Narrow" w:cs="Arial"/>
          <w:bCs/>
          <w:sz w:val="18"/>
          <w:lang w:val="en-GB" w:eastAsia="ar-SA"/>
        </w:rPr>
        <w:t>9M</w:t>
      </w:r>
      <w:proofErr w:type="gramEnd"/>
      <w:r w:rsidRPr="00D6485F">
        <w:rPr>
          <w:rFonts w:ascii="Arial Narrow" w:eastAsia="MS Mincho" w:hAnsi="Arial Narrow" w:cs="Arial"/>
          <w:bCs/>
          <w:sz w:val="18"/>
          <w:lang w:val="en-GB" w:eastAsia="ar-SA"/>
        </w:rPr>
        <w:t>-2021 results: 28 October 2021 (after market close)</w:t>
      </w:r>
    </w:p>
    <w:p w14:paraId="04736B88" w14:textId="77777777" w:rsidR="00D6485F" w:rsidRPr="00D6485F" w:rsidRDefault="00D6485F" w:rsidP="00D6485F">
      <w:pPr>
        <w:widowControl w:val="0"/>
        <w:suppressAutoHyphens/>
        <w:autoSpaceDE w:val="0"/>
        <w:autoSpaceDN w:val="0"/>
        <w:adjustRightInd w:val="0"/>
        <w:spacing w:after="0" w:line="270" w:lineRule="exact"/>
        <w:ind w:left="-567"/>
        <w:jc w:val="center"/>
        <w:rPr>
          <w:rFonts w:ascii="Arial Narrow" w:eastAsia="MS Mincho" w:hAnsi="Arial Narrow" w:cs="Arial"/>
          <w:b/>
          <w:bCs/>
          <w:color w:val="000000"/>
          <w:sz w:val="18"/>
          <w:szCs w:val="18"/>
          <w:lang w:val="en-GB" w:eastAsia="ar-SA"/>
        </w:rPr>
      </w:pPr>
    </w:p>
    <w:p w14:paraId="5AF0E7D1" w14:textId="77777777" w:rsidR="00D6485F" w:rsidRPr="00D6485F" w:rsidRDefault="00D6485F" w:rsidP="00D6485F">
      <w:pPr>
        <w:widowControl w:val="0"/>
        <w:suppressAutoHyphens/>
        <w:autoSpaceDE w:val="0"/>
        <w:autoSpaceDN w:val="0"/>
        <w:adjustRightInd w:val="0"/>
        <w:spacing w:after="0" w:line="270" w:lineRule="exact"/>
        <w:jc w:val="center"/>
        <w:rPr>
          <w:rFonts w:ascii="Arial Narrow" w:eastAsia="MS Mincho" w:hAnsi="Arial Narrow" w:cs="Arial"/>
          <w:b/>
          <w:bCs/>
          <w:color w:val="000000"/>
          <w:sz w:val="18"/>
          <w:szCs w:val="18"/>
          <w:lang w:val="en-GB" w:eastAsia="ar-SA"/>
        </w:rPr>
      </w:pPr>
      <w:r w:rsidRPr="00D6485F">
        <w:rPr>
          <w:rFonts w:ascii="Arial Narrow" w:eastAsia="MS Mincho" w:hAnsi="Arial Narrow" w:cs="Arial"/>
          <w:b/>
          <w:bCs/>
          <w:color w:val="000000"/>
          <w:sz w:val="18"/>
          <w:szCs w:val="18"/>
          <w:lang w:val="en-GB" w:eastAsia="ar-SA"/>
        </w:rPr>
        <w:t>FINANCIAL INFORMATION</w:t>
      </w:r>
    </w:p>
    <w:p w14:paraId="66FA2B98" w14:textId="77777777" w:rsidR="00D6485F" w:rsidRPr="00D6485F" w:rsidRDefault="00D6485F" w:rsidP="00D6485F">
      <w:pPr>
        <w:widowControl w:val="0"/>
        <w:suppressAutoHyphens/>
        <w:autoSpaceDE w:val="0"/>
        <w:autoSpaceDN w:val="0"/>
        <w:adjustRightInd w:val="0"/>
        <w:spacing w:after="0" w:line="270" w:lineRule="exact"/>
        <w:jc w:val="center"/>
        <w:rPr>
          <w:rFonts w:ascii="Arial Narrow" w:eastAsia="MS Mincho" w:hAnsi="Arial Narrow" w:cs="Arial"/>
          <w:bCs/>
          <w:color w:val="000000"/>
          <w:sz w:val="18"/>
          <w:szCs w:val="18"/>
          <w:lang w:val="en-GB" w:eastAsia="ar-SA"/>
        </w:rPr>
      </w:pPr>
      <w:r w:rsidRPr="00D6485F">
        <w:rPr>
          <w:rFonts w:ascii="Arial Narrow" w:eastAsia="MS Mincho" w:hAnsi="Arial Narrow" w:cs="Arial"/>
          <w:bCs/>
          <w:color w:val="000000"/>
          <w:sz w:val="18"/>
          <w:szCs w:val="18"/>
          <w:lang w:val="en-GB" w:eastAsia="ar-SA"/>
        </w:rPr>
        <w:t xml:space="preserve">This press release, as well as COFACE SA’s integral regulatory information, </w:t>
      </w:r>
      <w:proofErr w:type="gramStart"/>
      <w:r w:rsidRPr="00D6485F">
        <w:rPr>
          <w:rFonts w:ascii="Arial Narrow" w:eastAsia="MS Mincho" w:hAnsi="Arial Narrow" w:cs="Arial"/>
          <w:bCs/>
          <w:color w:val="000000"/>
          <w:sz w:val="18"/>
          <w:szCs w:val="18"/>
          <w:lang w:val="en-GB" w:eastAsia="ar-SA"/>
        </w:rPr>
        <w:t>can be found</w:t>
      </w:r>
      <w:proofErr w:type="gramEnd"/>
      <w:r w:rsidRPr="00D6485F">
        <w:rPr>
          <w:rFonts w:ascii="Arial Narrow" w:eastAsia="MS Mincho" w:hAnsi="Arial Narrow" w:cs="Arial"/>
          <w:bCs/>
          <w:color w:val="000000"/>
          <w:sz w:val="18"/>
          <w:szCs w:val="18"/>
          <w:lang w:val="en-GB" w:eastAsia="ar-SA"/>
        </w:rPr>
        <w:t xml:space="preserve"> on the Group’s website:</w:t>
      </w:r>
    </w:p>
    <w:p w14:paraId="26674AED" w14:textId="37212950" w:rsidR="00D6485F" w:rsidRPr="00D6485F" w:rsidRDefault="0055495E" w:rsidP="00D6485F">
      <w:pPr>
        <w:widowControl w:val="0"/>
        <w:suppressAutoHyphens/>
        <w:autoSpaceDE w:val="0"/>
        <w:autoSpaceDN w:val="0"/>
        <w:adjustRightInd w:val="0"/>
        <w:spacing w:after="0" w:line="270" w:lineRule="exact"/>
        <w:ind w:left="-567"/>
        <w:jc w:val="center"/>
        <w:rPr>
          <w:rFonts w:ascii="Arial Narrow" w:eastAsia="MS Mincho" w:hAnsi="Arial Narrow" w:cs="Arial"/>
          <w:bCs/>
          <w:color w:val="000000"/>
          <w:sz w:val="18"/>
          <w:szCs w:val="18"/>
          <w:u w:val="single"/>
          <w:lang w:val="en-GB" w:eastAsia="ar-SA"/>
        </w:rPr>
      </w:pPr>
      <w:hyperlink r:id="rId10" w:history="1">
        <w:r>
          <w:rPr>
            <w:rStyle w:val="Hyperlink"/>
          </w:rPr>
          <w:t>https://www.cofaceza.com/News-Publications/Publications/Country-Sector-Risk-Barometer-Q1-2021-Quarterly-Update</w:t>
        </w:r>
      </w:hyperlink>
      <w:bookmarkStart w:id="0" w:name="_GoBack"/>
      <w:bookmarkEnd w:id="0"/>
    </w:p>
    <w:p w14:paraId="63B21E5E" w14:textId="77777777" w:rsidR="00D6485F" w:rsidRPr="00D6485F" w:rsidRDefault="00D6485F" w:rsidP="00D6485F">
      <w:pPr>
        <w:widowControl w:val="0"/>
        <w:suppressAutoHyphens/>
        <w:autoSpaceDE w:val="0"/>
        <w:autoSpaceDN w:val="0"/>
        <w:adjustRightInd w:val="0"/>
        <w:spacing w:after="0" w:line="270" w:lineRule="exact"/>
        <w:ind w:left="-567"/>
        <w:jc w:val="center"/>
        <w:rPr>
          <w:rFonts w:ascii="Arial Narrow" w:eastAsia="MS Mincho" w:hAnsi="Arial Narrow" w:cs="Arial"/>
          <w:bCs/>
          <w:color w:val="000000"/>
          <w:sz w:val="18"/>
          <w:szCs w:val="18"/>
          <w:u w:val="single"/>
          <w:lang w:val="en-GB" w:eastAsia="ar-SA"/>
        </w:rPr>
      </w:pPr>
    </w:p>
    <w:p w14:paraId="4343E5CC" w14:textId="77777777" w:rsidR="00D6485F" w:rsidRPr="00D6485F" w:rsidRDefault="00D6485F" w:rsidP="00D6485F">
      <w:pPr>
        <w:widowControl w:val="0"/>
        <w:tabs>
          <w:tab w:val="left" w:pos="8335"/>
        </w:tabs>
        <w:suppressAutoHyphens/>
        <w:autoSpaceDE w:val="0"/>
        <w:autoSpaceDN w:val="0"/>
        <w:adjustRightInd w:val="0"/>
        <w:spacing w:after="0" w:line="270" w:lineRule="exact"/>
        <w:ind w:right="-29"/>
        <w:jc w:val="center"/>
        <w:rPr>
          <w:rFonts w:ascii="Arial Narrow" w:eastAsia="MS Mincho" w:hAnsi="Arial Narrow" w:cs="Arial"/>
          <w:bCs/>
          <w:color w:val="000000"/>
          <w:sz w:val="18"/>
          <w:szCs w:val="18"/>
          <w:lang w:val="en-GB" w:eastAsia="ar-SA"/>
        </w:rPr>
      </w:pPr>
      <w:r w:rsidRPr="00D6485F">
        <w:rPr>
          <w:rFonts w:ascii="Arial Narrow" w:eastAsia="MS Mincho" w:hAnsi="Arial Narrow" w:cs="Arial"/>
          <w:bCs/>
          <w:color w:val="000000"/>
          <w:sz w:val="18"/>
          <w:szCs w:val="18"/>
          <w:lang w:val="en-GB" w:eastAsia="ar-SA"/>
        </w:rPr>
        <w:t>For regulated information on Alternative Performance Measures (APM),</w:t>
      </w:r>
    </w:p>
    <w:p w14:paraId="1ED3A14C" w14:textId="77777777" w:rsidR="00D6485F" w:rsidRPr="00D6485F" w:rsidRDefault="00D6485F" w:rsidP="00D6485F">
      <w:pPr>
        <w:widowControl w:val="0"/>
        <w:tabs>
          <w:tab w:val="left" w:pos="8335"/>
        </w:tabs>
        <w:suppressAutoHyphens/>
        <w:autoSpaceDE w:val="0"/>
        <w:autoSpaceDN w:val="0"/>
        <w:adjustRightInd w:val="0"/>
        <w:spacing w:after="0" w:line="270" w:lineRule="exact"/>
        <w:ind w:right="-29"/>
        <w:jc w:val="center"/>
        <w:rPr>
          <w:rFonts w:ascii="Arial Narrow" w:eastAsia="MS Mincho" w:hAnsi="Arial Narrow" w:cs="Arial"/>
          <w:bCs/>
          <w:color w:val="000000"/>
          <w:sz w:val="18"/>
          <w:szCs w:val="18"/>
          <w:lang w:val="en-GB" w:eastAsia="ar-SA"/>
        </w:rPr>
      </w:pPr>
      <w:proofErr w:type="gramStart"/>
      <w:r w:rsidRPr="00D6485F">
        <w:rPr>
          <w:rFonts w:ascii="Arial Narrow" w:eastAsia="MS Mincho" w:hAnsi="Arial Narrow" w:cs="Arial"/>
          <w:bCs/>
          <w:color w:val="000000"/>
          <w:sz w:val="18"/>
          <w:szCs w:val="18"/>
          <w:lang w:val="en-GB" w:eastAsia="ar-SA"/>
        </w:rPr>
        <w:t>please</w:t>
      </w:r>
      <w:proofErr w:type="gramEnd"/>
      <w:r w:rsidRPr="00D6485F">
        <w:rPr>
          <w:rFonts w:ascii="Arial Narrow" w:eastAsia="MS Mincho" w:hAnsi="Arial Narrow" w:cs="Arial"/>
          <w:bCs/>
          <w:color w:val="000000"/>
          <w:sz w:val="18"/>
          <w:szCs w:val="18"/>
          <w:lang w:val="en-GB" w:eastAsia="ar-SA"/>
        </w:rPr>
        <w:t xml:space="preserve"> refer to our Interim Financial Report for S1-2020 and our 2020 Universal Registration Document.</w:t>
      </w:r>
    </w:p>
    <w:p w14:paraId="37DFA073" w14:textId="77777777" w:rsidR="00D6485F" w:rsidRPr="00D6485F" w:rsidRDefault="00D6485F" w:rsidP="00D6485F">
      <w:pPr>
        <w:widowControl w:val="0"/>
        <w:suppressAutoHyphens/>
        <w:autoSpaceDE w:val="0"/>
        <w:autoSpaceDN w:val="0"/>
        <w:adjustRightInd w:val="0"/>
        <w:spacing w:after="0" w:line="270" w:lineRule="exact"/>
        <w:ind w:left="360"/>
        <w:jc w:val="center"/>
        <w:rPr>
          <w:rFonts w:ascii="Arial Narrow" w:eastAsia="MS Mincho" w:hAnsi="Arial Narrow" w:cs="Arial"/>
          <w:b/>
          <w:sz w:val="18"/>
          <w:szCs w:val="18"/>
          <w:lang w:val="en-GB" w:eastAsia="ar-SA"/>
        </w:rPr>
      </w:pPr>
    </w:p>
    <w:tbl>
      <w:tblPr>
        <w:tblpPr w:leftFromText="141" w:rightFromText="141" w:bottomFromText="200" w:vertAnchor="text" w:horzAnchor="margin" w:tblpX="-141" w:tblpY="169"/>
        <w:tblW w:w="8788" w:type="dxa"/>
        <w:tblLayout w:type="fixed"/>
        <w:tblCellMar>
          <w:left w:w="0" w:type="dxa"/>
          <w:right w:w="0" w:type="dxa"/>
        </w:tblCellMar>
        <w:tblLook w:val="00A0" w:firstRow="1" w:lastRow="0" w:firstColumn="1" w:lastColumn="0" w:noHBand="0" w:noVBand="0"/>
      </w:tblPr>
      <w:tblGrid>
        <w:gridCol w:w="8788"/>
      </w:tblGrid>
      <w:tr w:rsidR="00D6485F" w:rsidRPr="00D6485F" w14:paraId="26537DDD" w14:textId="77777777" w:rsidTr="00567031">
        <w:trPr>
          <w:trHeight w:val="220"/>
        </w:trPr>
        <w:tc>
          <w:tcPr>
            <w:tcW w:w="8788" w:type="dxa"/>
            <w:shd w:val="clear" w:color="auto" w:fill="E9EDF4"/>
          </w:tcPr>
          <w:p w14:paraId="191B2C54" w14:textId="77777777" w:rsidR="00D6485F" w:rsidRPr="00D6485F" w:rsidRDefault="00D6485F" w:rsidP="00D6485F">
            <w:pPr>
              <w:widowControl w:val="0"/>
              <w:spacing w:after="0" w:line="200" w:lineRule="exact"/>
              <w:ind w:left="101"/>
              <w:jc w:val="left"/>
              <w:rPr>
                <w:rFonts w:ascii="Arial Narrow" w:eastAsia="MS Mincho" w:hAnsi="Arial Narrow" w:cs="Arial"/>
                <w:b/>
                <w:sz w:val="18"/>
                <w:szCs w:val="16"/>
                <w:lang w:val="en-GB" w:eastAsia="ar-SA"/>
              </w:rPr>
            </w:pPr>
          </w:p>
          <w:p w14:paraId="4280501B" w14:textId="77777777" w:rsidR="00D6485F" w:rsidRPr="00D6485F" w:rsidRDefault="00D6485F" w:rsidP="00D6485F">
            <w:pPr>
              <w:widowControl w:val="0"/>
              <w:spacing w:after="0" w:line="200" w:lineRule="exact"/>
              <w:ind w:left="101"/>
              <w:jc w:val="left"/>
              <w:rPr>
                <w:rFonts w:ascii="Arial Narrow" w:eastAsia="MS Mincho" w:hAnsi="Arial Narrow" w:cs="Arial"/>
                <w:b/>
                <w:sz w:val="18"/>
                <w:szCs w:val="16"/>
                <w:lang w:val="en-GB" w:eastAsia="ar-SA"/>
              </w:rPr>
            </w:pPr>
            <w:r w:rsidRPr="00D6485F">
              <w:rPr>
                <w:rFonts w:ascii="Arial Narrow" w:eastAsia="MS Mincho" w:hAnsi="Arial Narrow" w:cs="Arial"/>
                <w:b/>
                <w:sz w:val="18"/>
                <w:szCs w:val="16"/>
                <w:lang w:val="en-GB" w:eastAsia="ar-SA"/>
              </w:rPr>
              <w:t>Coface: for trade</w:t>
            </w:r>
          </w:p>
          <w:p w14:paraId="4F8E017C" w14:textId="77777777" w:rsidR="00D6485F" w:rsidRPr="00D6485F" w:rsidRDefault="00D6485F" w:rsidP="00D6485F">
            <w:pPr>
              <w:widowControl w:val="0"/>
              <w:spacing w:before="60" w:after="60" w:line="240" w:lineRule="atLeast"/>
              <w:ind w:left="142" w:right="113"/>
              <w:rPr>
                <w:rFonts w:ascii="Arial Narrow" w:eastAsia="MS Mincho" w:hAnsi="Arial Narrow" w:cs="Arial"/>
                <w:sz w:val="18"/>
                <w:szCs w:val="16"/>
                <w:lang w:val="en-GB" w:eastAsia="ar-SA"/>
              </w:rPr>
            </w:pPr>
            <w:r w:rsidRPr="00D6485F">
              <w:rPr>
                <w:rFonts w:ascii="Arial Narrow" w:eastAsia="MS Mincho" w:hAnsi="Arial Narrow" w:cs="Arial"/>
                <w:sz w:val="18"/>
                <w:szCs w:val="16"/>
                <w:lang w:val="en-GB" w:eastAsia="ar-SA"/>
              </w:rPr>
              <w:t xml:space="preserve">With 75 years of experience and the most extensive international network, Coface is a leader in trade credit insurance and adjacent specialty services, including Factoring, Single Risk insurance, </w:t>
            </w:r>
            <w:proofErr w:type="gramStart"/>
            <w:r w:rsidRPr="00D6485F">
              <w:rPr>
                <w:rFonts w:ascii="Arial Narrow" w:eastAsia="MS Mincho" w:hAnsi="Arial Narrow" w:cs="Arial"/>
                <w:sz w:val="18"/>
                <w:szCs w:val="16"/>
                <w:lang w:val="en-GB" w:eastAsia="ar-SA"/>
              </w:rPr>
              <w:t>Bonding</w:t>
            </w:r>
            <w:proofErr w:type="gramEnd"/>
            <w:r w:rsidRPr="00D6485F">
              <w:rPr>
                <w:rFonts w:ascii="Arial Narrow" w:eastAsia="MS Mincho" w:hAnsi="Arial Narrow" w:cs="Arial"/>
                <w:sz w:val="18"/>
                <w:szCs w:val="16"/>
                <w:lang w:val="en-GB" w:eastAsia="ar-SA"/>
              </w:rPr>
              <w:t xml:space="preserve"> and Information services. Coface’s experts work to the beat of the global economy, helping ~50,000 clients build successful, growing, and dynamic businesses across the world. Coface helps companies in their credit decisions. The Group's services and solutions strengthen their ability to sell by protecting them against the risks of non-payment in their domestic and export markets. In 2020, Coface employed ~4,450 people and registered a turnover of €1.45 billion.</w:t>
            </w:r>
          </w:p>
          <w:p w14:paraId="15DBDE8C" w14:textId="77777777" w:rsidR="00D6485F" w:rsidRPr="00D6485F" w:rsidRDefault="005A0219" w:rsidP="00D6485F">
            <w:pPr>
              <w:widowControl w:val="0"/>
              <w:spacing w:before="60" w:after="60" w:line="240" w:lineRule="atLeast"/>
              <w:ind w:right="113"/>
              <w:jc w:val="center"/>
              <w:rPr>
                <w:rFonts w:ascii="Arial Narrow" w:eastAsia="MS Mincho" w:hAnsi="Arial Narrow" w:cs="Arial"/>
                <w:color w:val="0000FF"/>
                <w:sz w:val="18"/>
                <w:szCs w:val="18"/>
                <w:u w:val="single"/>
                <w:lang w:val="en-GB" w:eastAsia="ar-SA"/>
              </w:rPr>
            </w:pPr>
            <w:hyperlink r:id="rId11" w:history="1">
              <w:r w:rsidR="00D6485F" w:rsidRPr="00D6485F">
                <w:rPr>
                  <w:rFonts w:ascii="Arial Narrow" w:eastAsia="MS Mincho" w:hAnsi="Arial Narrow" w:cs="Arial"/>
                  <w:color w:val="0000FF"/>
                  <w:sz w:val="18"/>
                  <w:szCs w:val="18"/>
                  <w:u w:val="single"/>
                  <w:lang w:val="en-GB" w:eastAsia="ar-SA"/>
                </w:rPr>
                <w:t>www.coface.com</w:t>
              </w:r>
            </w:hyperlink>
          </w:p>
          <w:p w14:paraId="2EF554F0" w14:textId="77777777" w:rsidR="00D6485F" w:rsidRPr="00D6485F" w:rsidRDefault="00D6485F" w:rsidP="00D6485F">
            <w:pPr>
              <w:widowControl w:val="0"/>
              <w:tabs>
                <w:tab w:val="left" w:pos="8202"/>
              </w:tabs>
              <w:autoSpaceDE w:val="0"/>
              <w:autoSpaceDN w:val="0"/>
              <w:adjustRightInd w:val="0"/>
              <w:spacing w:after="0" w:line="240" w:lineRule="atLeast"/>
              <w:ind w:left="348" w:right="1587"/>
              <w:jc w:val="right"/>
              <w:rPr>
                <w:rFonts w:ascii="Arial Narrow" w:eastAsia="MS Mincho" w:hAnsi="Arial Narrow" w:cs="Arial"/>
                <w:sz w:val="18"/>
                <w:szCs w:val="18"/>
                <w:lang w:val="en-GB" w:eastAsia="ar-SA"/>
              </w:rPr>
            </w:pPr>
            <w:r w:rsidRPr="00D6485F">
              <w:rPr>
                <w:rFonts w:ascii="Cambria" w:eastAsia="MS Mincho" w:hAnsi="Cambria" w:cs="Cambria"/>
                <w:noProof/>
                <w:sz w:val="24"/>
                <w:szCs w:val="24"/>
                <w:lang w:eastAsia="en-US"/>
              </w:rPr>
              <w:drawing>
                <wp:anchor distT="0" distB="0" distL="114300" distR="114300" simplePos="0" relativeHeight="251659264" behindDoc="0" locked="0" layoutInCell="1" allowOverlap="1" wp14:anchorId="329409EC" wp14:editId="0920DB5D">
                  <wp:simplePos x="0" y="0"/>
                  <wp:positionH relativeFrom="column">
                    <wp:posOffset>4985995</wp:posOffset>
                  </wp:positionH>
                  <wp:positionV relativeFrom="paragraph">
                    <wp:posOffset>41097</wp:posOffset>
                  </wp:positionV>
                  <wp:extent cx="519430" cy="514350"/>
                  <wp:effectExtent l="0" t="0" r="0" b="0"/>
                  <wp:wrapNone/>
                  <wp:docPr id="4" name="Image 1" descr="COFA-listed-emblems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FA-listed-emblems_blac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943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C837E2" w14:textId="77777777" w:rsidR="00D6485F" w:rsidRPr="00D6485F" w:rsidRDefault="00D6485F" w:rsidP="00D6485F">
            <w:pPr>
              <w:widowControl w:val="0"/>
              <w:tabs>
                <w:tab w:val="left" w:pos="8202"/>
              </w:tabs>
              <w:autoSpaceDE w:val="0"/>
              <w:autoSpaceDN w:val="0"/>
              <w:adjustRightInd w:val="0"/>
              <w:spacing w:after="0" w:line="240" w:lineRule="atLeast"/>
              <w:ind w:left="348" w:right="1587"/>
              <w:jc w:val="right"/>
              <w:rPr>
                <w:rFonts w:ascii="Arial Narrow" w:eastAsia="MS Mincho" w:hAnsi="Arial Narrow" w:cs="Arial"/>
                <w:sz w:val="18"/>
                <w:szCs w:val="18"/>
                <w:lang w:val="en-GB" w:eastAsia="ar-SA"/>
              </w:rPr>
            </w:pPr>
            <w:r w:rsidRPr="00D6485F">
              <w:rPr>
                <w:rFonts w:ascii="Arial Narrow" w:eastAsia="MS Mincho" w:hAnsi="Arial Narrow" w:cs="Arial"/>
                <w:sz w:val="18"/>
                <w:szCs w:val="18"/>
                <w:lang w:val="en-GB" w:eastAsia="ar-SA"/>
              </w:rPr>
              <w:t>COFACE SA is quoted in Compartment A of Euronext Paris</w:t>
            </w:r>
          </w:p>
          <w:p w14:paraId="60149185" w14:textId="77777777" w:rsidR="00D6485F" w:rsidRPr="00D6485F" w:rsidRDefault="00D6485F" w:rsidP="00D6485F">
            <w:pPr>
              <w:widowControl w:val="0"/>
              <w:tabs>
                <w:tab w:val="left" w:pos="8202"/>
              </w:tabs>
              <w:autoSpaceDE w:val="0"/>
              <w:autoSpaceDN w:val="0"/>
              <w:adjustRightInd w:val="0"/>
              <w:spacing w:after="0" w:line="240" w:lineRule="atLeast"/>
              <w:ind w:left="348" w:right="1587"/>
              <w:jc w:val="right"/>
              <w:rPr>
                <w:rFonts w:ascii="Arial Narrow" w:eastAsia="MS Mincho" w:hAnsi="Arial Narrow" w:cs="Arial"/>
                <w:sz w:val="18"/>
                <w:szCs w:val="18"/>
                <w:lang w:val="fr-FR" w:eastAsia="ar-SA"/>
              </w:rPr>
            </w:pPr>
            <w:r w:rsidRPr="00D6485F">
              <w:rPr>
                <w:rFonts w:ascii="Arial Narrow" w:eastAsia="MS Mincho" w:hAnsi="Arial Narrow" w:cs="Arial"/>
                <w:sz w:val="18"/>
                <w:szCs w:val="18"/>
                <w:lang w:val="fr-FR" w:eastAsia="ar-SA"/>
              </w:rPr>
              <w:t>Code ISIN: FR0010667147 / Mnémonique : COFA</w:t>
            </w:r>
          </w:p>
          <w:p w14:paraId="101F92E8" w14:textId="77777777" w:rsidR="00D6485F" w:rsidRPr="00D6485F" w:rsidRDefault="00D6485F" w:rsidP="00D6485F">
            <w:pPr>
              <w:widowControl w:val="0"/>
              <w:spacing w:before="60" w:after="60" w:line="240" w:lineRule="auto"/>
              <w:ind w:right="113"/>
              <w:jc w:val="left"/>
              <w:rPr>
                <w:rFonts w:ascii="Arial" w:eastAsia="MS Mincho" w:hAnsi="Arial" w:cs="Arial"/>
                <w:sz w:val="16"/>
                <w:szCs w:val="18"/>
                <w:u w:val="single"/>
                <w:lang w:val="fr-FR" w:eastAsia="ar-SA"/>
              </w:rPr>
            </w:pPr>
          </w:p>
        </w:tc>
      </w:tr>
    </w:tbl>
    <w:p w14:paraId="6C1047DF" w14:textId="77777777" w:rsidR="00D6485F" w:rsidRPr="00D6485F" w:rsidRDefault="00D6485F" w:rsidP="00D6485F">
      <w:pPr>
        <w:widowControl w:val="0"/>
        <w:spacing w:after="0" w:line="240" w:lineRule="auto"/>
        <w:jc w:val="left"/>
        <w:rPr>
          <w:rFonts w:ascii="Arial Narrow" w:eastAsia="Calibri" w:hAnsi="Arial Narrow" w:cs="Arial"/>
          <w:i/>
          <w:sz w:val="16"/>
          <w:szCs w:val="16"/>
          <w:lang w:val="fr-FR" w:eastAsia="fr-FR"/>
        </w:rPr>
      </w:pPr>
    </w:p>
    <w:p w14:paraId="71B43A2C" w14:textId="3965BDB3" w:rsidR="009113BD" w:rsidRPr="00B30555" w:rsidRDefault="00D6485F" w:rsidP="00D6485F">
      <w:pPr>
        <w:spacing w:after="0" w:line="240" w:lineRule="auto"/>
        <w:rPr>
          <w:rFonts w:ascii="Arial Narrow" w:hAnsi="Arial Narrow" w:cs="Arial"/>
          <w:b/>
          <w:bCs/>
          <w:lang w:val="en-GB" w:eastAsia="ar-SA"/>
        </w:rPr>
      </w:pPr>
      <w:r w:rsidRPr="00D6485F">
        <w:rPr>
          <w:rFonts w:ascii="Arial Narrow" w:eastAsia="Calibri" w:hAnsi="Arial Narrow" w:cs="Arial"/>
          <w:i/>
          <w:sz w:val="16"/>
          <w:szCs w:val="16"/>
          <w:lang w:val="en-GB" w:eastAsia="fr-FR"/>
        </w:rPr>
        <w:t xml:space="preserve">DISCLAIMER - </w:t>
      </w:r>
      <w:r w:rsidRPr="00D6485F">
        <w:rPr>
          <w:rFonts w:ascii="Arial Narrow" w:eastAsia="Calibri" w:hAnsi="Arial Narrow" w:cs="Times New Roman"/>
          <w:sz w:val="16"/>
          <w:szCs w:val="16"/>
          <w:lang w:val="en-GB" w:eastAsia="fr-FR"/>
        </w:rPr>
        <w:t xml:space="preserve">Certain declarations featured in this press release may contain forecasts that notably relate to future events, trends, projects or targets. By nature, these forecasts include identified or unidentified risks and uncertainties, and </w:t>
      </w:r>
      <w:proofErr w:type="gramStart"/>
      <w:r w:rsidRPr="00D6485F">
        <w:rPr>
          <w:rFonts w:ascii="Arial Narrow" w:eastAsia="Calibri" w:hAnsi="Arial Narrow" w:cs="Times New Roman"/>
          <w:sz w:val="16"/>
          <w:szCs w:val="16"/>
          <w:lang w:val="en-GB" w:eastAsia="fr-FR"/>
        </w:rPr>
        <w:t>may be affected</w:t>
      </w:r>
      <w:proofErr w:type="gramEnd"/>
      <w:r w:rsidRPr="00D6485F">
        <w:rPr>
          <w:rFonts w:ascii="Arial Narrow" w:eastAsia="Calibri" w:hAnsi="Arial Narrow" w:cs="Times New Roman"/>
          <w:sz w:val="16"/>
          <w:szCs w:val="16"/>
          <w:lang w:val="en-GB" w:eastAsia="fr-FR"/>
        </w:rPr>
        <w:t xml:space="preserve"> by many factors likely to give rise to a significant discrepancy between the real results and those stated in these declarations. Please refer to chapter 5 “Main risk factors and their management within the Group” of the Coface Group's 2020 Universal Registration Document filed with AMF </w:t>
      </w:r>
      <w:r w:rsidRPr="00D6485F">
        <w:rPr>
          <w:rFonts w:ascii="Arial Narrow" w:eastAsia="Calibri" w:hAnsi="Arial Narrow" w:cs="Times New Roman"/>
          <w:sz w:val="16"/>
          <w:szCs w:val="16"/>
          <w:lang w:val="en-GB" w:eastAsia="ar-SA"/>
        </w:rPr>
        <w:t xml:space="preserve">on 31 March 2021 under the number D.21-0233 </w:t>
      </w:r>
      <w:r w:rsidRPr="00D6485F">
        <w:rPr>
          <w:rFonts w:ascii="Arial Narrow" w:eastAsia="Calibri" w:hAnsi="Arial Narrow" w:cs="Times New Roman"/>
          <w:sz w:val="16"/>
          <w:szCs w:val="16"/>
          <w:lang w:val="en-GB" w:eastAsia="fr-FR"/>
        </w:rPr>
        <w:t>in order to obtain a description of certain major factors, risks and uncertainties likely to influence the Coface Group's businesses. The Coface Group disclaims any intention or obligation to publish an update of these forecasts, or provide new information on future events or any other circumstance</w:t>
      </w:r>
      <w:r w:rsidRPr="00D6485F">
        <w:rPr>
          <w:rFonts w:ascii="Arial Narrow" w:eastAsia="Calibri" w:hAnsi="Arial Narrow" w:cs="Arial"/>
          <w:i/>
          <w:sz w:val="16"/>
          <w:szCs w:val="16"/>
          <w:lang w:val="en-GB" w:eastAsia="fr-FR"/>
        </w:rPr>
        <w:t>.</w:t>
      </w:r>
    </w:p>
    <w:sectPr w:rsidR="009113BD" w:rsidRPr="00B30555" w:rsidSect="00E8241B">
      <w:headerReference w:type="default" r:id="rId13"/>
      <w:footerReference w:type="default" r:id="rId14"/>
      <w:footnotePr>
        <w:numRestart w:val="eachPage"/>
      </w:footnotePr>
      <w:pgSz w:w="11900" w:h="16837" w:code="9"/>
      <w:pgMar w:top="3119" w:right="1268" w:bottom="1418" w:left="2155" w:header="2835"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B834B" w14:textId="77777777" w:rsidR="005A0219" w:rsidRDefault="005A0219">
      <w:r>
        <w:separator/>
      </w:r>
    </w:p>
  </w:endnote>
  <w:endnote w:type="continuationSeparator" w:id="0">
    <w:p w14:paraId="156EEA15" w14:textId="77777777" w:rsidR="005A0219" w:rsidRDefault="005A0219">
      <w:r>
        <w:continuationSeparator/>
      </w:r>
    </w:p>
  </w:endnote>
  <w:endnote w:type="continuationNotice" w:id="1">
    <w:p w14:paraId="161A1568" w14:textId="77777777" w:rsidR="005A0219" w:rsidRDefault="005A02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auto"/>
    <w:pitch w:val="variable"/>
    <w:sig w:usb0="00000000" w:usb1="5000A1FF" w:usb2="00000000" w:usb3="00000000" w:csb0="000001B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084A8" w14:textId="428216D3" w:rsidR="00E604EA" w:rsidRPr="007053E7" w:rsidRDefault="00E604EA" w:rsidP="00B52D42">
    <w:pPr>
      <w:pStyle w:val="Footer"/>
      <w:tabs>
        <w:tab w:val="left" w:pos="7513"/>
      </w:tabs>
      <w:rPr>
        <w:rFonts w:ascii="Arial Narrow" w:hAnsi="Arial Narrow"/>
        <w:sz w:val="16"/>
        <w:szCs w:val="16"/>
        <w:lang w:val="fr-FR"/>
      </w:rPr>
    </w:pPr>
  </w:p>
  <w:sdt>
    <w:sdtPr>
      <w:id w:val="742002451"/>
      <w:docPartObj>
        <w:docPartGallery w:val="Page Numbers (Bottom of Page)"/>
        <w:docPartUnique/>
      </w:docPartObj>
    </w:sdtPr>
    <w:sdtEndPr>
      <w:rPr>
        <w:rFonts w:ascii="Arial Narrow" w:hAnsi="Arial Narrow"/>
      </w:rPr>
    </w:sdtEndPr>
    <w:sdtContent>
      <w:sdt>
        <w:sdtPr>
          <w:id w:val="-1457562291"/>
          <w:docPartObj>
            <w:docPartGallery w:val="Page Numbers (Top of Page)"/>
            <w:docPartUnique/>
          </w:docPartObj>
        </w:sdtPr>
        <w:sdtEndPr>
          <w:rPr>
            <w:rFonts w:ascii="Arial Narrow" w:hAnsi="Arial Narrow"/>
          </w:rPr>
        </w:sdtEndPr>
        <w:sdtContent>
          <w:p w14:paraId="13B27C7D" w14:textId="395AD757" w:rsidR="00E604EA" w:rsidRDefault="00E604EA" w:rsidP="00A50BFF">
            <w:pPr>
              <w:pStyle w:val="Footer"/>
              <w:tabs>
                <w:tab w:val="left" w:pos="7513"/>
              </w:tabs>
              <w:rPr>
                <w:rFonts w:ascii="Arial Narrow" w:hAnsi="Arial Narrow"/>
              </w:rPr>
            </w:pPr>
            <w:r>
              <w:rPr>
                <w:rFonts w:ascii="Arial Narrow" w:hAnsi="Arial Narrow"/>
                <w:sz w:val="16"/>
                <w:szCs w:val="16"/>
              </w:rPr>
              <w:t>Quarterly results Q1-2021</w:t>
            </w:r>
            <w:r>
              <w:rPr>
                <w:rFonts w:ascii="Arial Narrow" w:hAnsi="Arial Narrow"/>
                <w:lang w:val="fr-FR"/>
              </w:rPr>
              <w:tab/>
            </w:r>
            <w:r w:rsidRPr="00335148">
              <w:rPr>
                <w:rFonts w:ascii="Arial Narrow" w:hAnsi="Arial Narrow"/>
                <w:lang w:val="fr-FR"/>
              </w:rPr>
              <w:t xml:space="preserve">Page </w:t>
            </w:r>
            <w:r w:rsidRPr="00335148">
              <w:rPr>
                <w:rFonts w:ascii="Arial Narrow" w:hAnsi="Arial Narrow"/>
                <w:b/>
                <w:bCs/>
              </w:rPr>
              <w:fldChar w:fldCharType="begin"/>
            </w:r>
            <w:r w:rsidRPr="00335148">
              <w:rPr>
                <w:rFonts w:ascii="Arial Narrow" w:hAnsi="Arial Narrow"/>
                <w:b/>
                <w:bCs/>
                <w:lang w:val="fr-FR"/>
              </w:rPr>
              <w:instrText>PAGE</w:instrText>
            </w:r>
            <w:r w:rsidRPr="00335148">
              <w:rPr>
                <w:rFonts w:ascii="Arial Narrow" w:hAnsi="Arial Narrow"/>
                <w:b/>
                <w:bCs/>
              </w:rPr>
              <w:fldChar w:fldCharType="separate"/>
            </w:r>
            <w:r w:rsidR="0055495E">
              <w:rPr>
                <w:rFonts w:ascii="Arial Narrow" w:hAnsi="Arial Narrow"/>
                <w:b/>
                <w:bCs/>
                <w:noProof/>
                <w:lang w:val="fr-FR"/>
              </w:rPr>
              <w:t>7</w:t>
            </w:r>
            <w:r w:rsidRPr="00335148">
              <w:rPr>
                <w:rFonts w:ascii="Arial Narrow" w:hAnsi="Arial Narrow"/>
                <w:b/>
                <w:bCs/>
              </w:rPr>
              <w:fldChar w:fldCharType="end"/>
            </w:r>
            <w:r w:rsidRPr="00335148">
              <w:rPr>
                <w:rFonts w:ascii="Arial Narrow" w:hAnsi="Arial Narrow"/>
                <w:lang w:val="fr-FR"/>
              </w:rPr>
              <w:t xml:space="preserve"> / </w:t>
            </w:r>
            <w:r w:rsidRPr="00335148">
              <w:rPr>
                <w:rFonts w:ascii="Arial Narrow" w:hAnsi="Arial Narrow"/>
                <w:b/>
                <w:bCs/>
              </w:rPr>
              <w:fldChar w:fldCharType="begin"/>
            </w:r>
            <w:r w:rsidRPr="00335148">
              <w:rPr>
                <w:rFonts w:ascii="Arial Narrow" w:hAnsi="Arial Narrow"/>
                <w:b/>
                <w:bCs/>
                <w:lang w:val="fr-FR"/>
              </w:rPr>
              <w:instrText>NUMPAGES</w:instrText>
            </w:r>
            <w:r w:rsidRPr="00335148">
              <w:rPr>
                <w:rFonts w:ascii="Arial Narrow" w:hAnsi="Arial Narrow"/>
                <w:b/>
                <w:bCs/>
              </w:rPr>
              <w:fldChar w:fldCharType="separate"/>
            </w:r>
            <w:r w:rsidR="0055495E">
              <w:rPr>
                <w:rFonts w:ascii="Arial Narrow" w:hAnsi="Arial Narrow"/>
                <w:b/>
                <w:bCs/>
                <w:noProof/>
                <w:lang w:val="fr-FR"/>
              </w:rPr>
              <w:t>8</w:t>
            </w:r>
            <w:r w:rsidRPr="00335148">
              <w:rPr>
                <w:rFonts w:ascii="Arial Narrow" w:hAnsi="Arial Narrow"/>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9E4A7" w14:textId="77777777" w:rsidR="005A0219" w:rsidRDefault="005A0219">
      <w:r>
        <w:separator/>
      </w:r>
    </w:p>
  </w:footnote>
  <w:footnote w:type="continuationSeparator" w:id="0">
    <w:p w14:paraId="6C611AB9" w14:textId="77777777" w:rsidR="005A0219" w:rsidRDefault="005A0219">
      <w:r>
        <w:continuationSeparator/>
      </w:r>
    </w:p>
  </w:footnote>
  <w:footnote w:type="continuationNotice" w:id="1">
    <w:p w14:paraId="329F2EF6" w14:textId="77777777" w:rsidR="005A0219" w:rsidRDefault="005A0219"/>
  </w:footnote>
  <w:footnote w:id="2">
    <w:p w14:paraId="37E7F4E8" w14:textId="77777777" w:rsidR="00E604EA" w:rsidRPr="00540DF1" w:rsidRDefault="00E604EA" w:rsidP="00BB6BFA">
      <w:pPr>
        <w:pStyle w:val="FootnoteText"/>
        <w:rPr>
          <w:sz w:val="14"/>
          <w:szCs w:val="14"/>
        </w:rPr>
      </w:pPr>
      <w:r>
        <w:rPr>
          <w:rStyle w:val="FootnoteReference"/>
          <w:sz w:val="14"/>
          <w:szCs w:val="14"/>
        </w:rPr>
        <w:footnoteRef/>
      </w:r>
      <w:r>
        <w:rPr>
          <w:sz w:val="14"/>
          <w:szCs w:val="14"/>
        </w:rPr>
        <w:t xml:space="preserve"> Return on average tangible equity</w:t>
      </w:r>
    </w:p>
  </w:footnote>
  <w:footnote w:id="3">
    <w:p w14:paraId="5A120899" w14:textId="77777777" w:rsidR="00E604EA" w:rsidRPr="006F2A39" w:rsidRDefault="00E604EA" w:rsidP="006F2A39">
      <w:pPr>
        <w:pStyle w:val="FootnoteText"/>
        <w:spacing w:after="0"/>
      </w:pPr>
      <w:r w:rsidRPr="006F2A39">
        <w:rPr>
          <w:rFonts w:ascii="Arial Narrow" w:hAnsi="Arial Narrow" w:cs="Arial"/>
          <w:color w:val="000000"/>
          <w:sz w:val="14"/>
          <w:szCs w:val="14"/>
        </w:rPr>
        <w:sym w:font="Symbol" w:char="F02A"/>
      </w:r>
      <w:r w:rsidRPr="006F2A39">
        <w:rPr>
          <w:rFonts w:ascii="Arial Narrow" w:hAnsi="Arial Narrow" w:cs="Arial"/>
          <w:color w:val="000000"/>
        </w:rPr>
        <w:t xml:space="preserve"> </w:t>
      </w:r>
      <w:r w:rsidRPr="009113BD">
        <w:rPr>
          <w:rFonts w:ascii="Arial Narrow" w:hAnsi="Arial Narrow" w:cs="Arial"/>
          <w:color w:val="000000"/>
          <w:sz w:val="14"/>
          <w:szCs w:val="14"/>
          <w:lang w:val="en-GB"/>
        </w:rPr>
        <w:t>Also</w:t>
      </w:r>
      <w:r w:rsidRPr="00347B11">
        <w:rPr>
          <w:rFonts w:ascii="Arial Narrow" w:hAnsi="Arial Narrow" w:cs="Arial"/>
          <w:color w:val="000000"/>
          <w:sz w:val="14"/>
          <w:szCs w:val="14"/>
          <w:lang w:val="en-GB"/>
        </w:rPr>
        <w:t xml:space="preserve"> excludes scope impact</w:t>
      </w:r>
    </w:p>
  </w:footnote>
  <w:footnote w:id="4">
    <w:p w14:paraId="50BCC3DD" w14:textId="77777777" w:rsidR="00E604EA" w:rsidRPr="00D463B7" w:rsidRDefault="00E604EA" w:rsidP="006D7B66">
      <w:pPr>
        <w:pStyle w:val="FootnoteText"/>
        <w:rPr>
          <w:rFonts w:ascii="Arial Narrow" w:hAnsi="Arial Narrow" w:cs="Arial"/>
          <w:sz w:val="14"/>
          <w:szCs w:val="14"/>
        </w:rPr>
      </w:pPr>
      <w:r>
        <w:rPr>
          <w:rStyle w:val="FootnoteReference"/>
          <w:rFonts w:ascii="Arial Narrow" w:hAnsi="Arial Narrow"/>
          <w:sz w:val="14"/>
          <w:szCs w:val="14"/>
        </w:rPr>
        <w:footnoteRef/>
      </w:r>
      <w:r>
        <w:t xml:space="preserve"> </w:t>
      </w:r>
      <w:r>
        <w:rPr>
          <w:rFonts w:ascii="Arial Narrow" w:hAnsi="Arial Narrow"/>
          <w:sz w:val="14"/>
          <w:szCs w:val="14"/>
        </w:rPr>
        <w:t>Book yield calculated on the average of the investment portfolio excluding non-consolidated subsidiaries.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85D1D" w14:textId="77777777" w:rsidR="00E604EA" w:rsidRPr="00127462" w:rsidRDefault="00E604EA">
    <w:pPr>
      <w:pStyle w:val="Header"/>
      <w:rPr>
        <w:b/>
        <w:lang w:val="fr-FR"/>
      </w:rPr>
    </w:pPr>
    <w:r w:rsidRPr="00127462">
      <w:rPr>
        <w:b/>
        <w:noProof/>
        <w:lang w:eastAsia="en-US"/>
      </w:rPr>
      <mc:AlternateContent>
        <mc:Choice Requires="wps">
          <w:drawing>
            <wp:anchor distT="0" distB="0" distL="114935" distR="114935" simplePos="0" relativeHeight="251658752" behindDoc="1" locked="0" layoutInCell="1" allowOverlap="1" wp14:anchorId="6E3444D4" wp14:editId="66416D14">
              <wp:simplePos x="0" y="0"/>
              <wp:positionH relativeFrom="column">
                <wp:posOffset>-37465</wp:posOffset>
              </wp:positionH>
              <wp:positionV relativeFrom="page">
                <wp:posOffset>1503680</wp:posOffset>
              </wp:positionV>
              <wp:extent cx="5755005" cy="330200"/>
              <wp:effectExtent l="0" t="0" r="0"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005" cy="330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BD45CC" w14:textId="77777777" w:rsidR="00E604EA" w:rsidRDefault="00E604EA" w:rsidP="007F54EE">
                          <w:pPr>
                            <w:spacing w:line="270" w:lineRule="exact"/>
                            <w:jc w:val="center"/>
                            <w:rPr>
                              <w:rFonts w:ascii="Arial" w:hAnsi="Arial" w:cs="Arial"/>
                              <w:b/>
                              <w:bCs/>
                              <w:color w:val="4FA76E"/>
                              <w:spacing w:val="518"/>
                              <w:sz w:val="26"/>
                              <w:szCs w:val="26"/>
                            </w:rPr>
                          </w:pPr>
                          <w:r>
                            <w:rPr>
                              <w:rFonts w:ascii="Arial" w:hAnsi="Arial"/>
                              <w:b/>
                              <w:color w:val="4FA76E"/>
                              <w:spacing w:val="518"/>
                              <w:sz w:val="26"/>
                            </w:rPr>
                            <w:t>PRESS RELEASE</w:t>
                          </w:r>
                        </w:p>
                        <w:p w14:paraId="4A2BAFC0" w14:textId="77777777" w:rsidR="00E604EA" w:rsidRPr="00861ECE" w:rsidRDefault="00E604EA" w:rsidP="00952FD5">
                          <w:pPr>
                            <w:spacing w:line="270" w:lineRule="exact"/>
                            <w:jc w:val="center"/>
                            <w:rPr>
                              <w:rFonts w:ascii="Arial" w:hAnsi="Arial" w:cs="Arial"/>
                              <w:b/>
                              <w:bCs/>
                              <w:color w:val="4FA76E"/>
                              <w:spacing w:val="280"/>
                              <w:sz w:val="26"/>
                              <w:szCs w:val="26"/>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3444D4" id="_x0000_t202" coordsize="21600,21600" o:spt="202" path="m,l,21600r21600,l21600,xe">
              <v:stroke joinstyle="miter"/>
              <v:path gradientshapeok="t" o:connecttype="rect"/>
            </v:shapetype>
            <v:shape id="Zone de texte 9" o:spid="_x0000_s1027" type="#_x0000_t202" style="position:absolute;left:0;text-align:left;margin-left:-2.95pt;margin-top:118.4pt;width:453.15pt;height:2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" stroked="f">
              <v:fill opacity="0"/>
              <v:textbox inset="0,0,0,0">
                <w:txbxContent>
                  <w:p w14:paraId="7ABD45CC" w14:textId="77777777" w:rsidR="00BB6BFA" w:rsidRDefault="00BB6BFA" w:rsidP="007F54EE">
                    <w:pPr>
                      <w:spacing w:line="270" w:lineRule="exact"/>
                      <w:jc w:val="center"/>
                      <w:rPr>
                        <w:rFonts w:ascii="Arial" w:hAnsi="Arial" w:cs="Arial"/>
                        <w:b/>
                        <w:bCs/>
                        <w:color w:val="4FA76E"/>
                        <w:spacing w:val="518"/>
                        <w:sz w:val="26"/>
                        <w:szCs w:val="26"/>
                      </w:rPr>
                    </w:pPr>
                    <w:r>
                      <w:rPr>
                        <w:rFonts w:ascii="Arial" w:hAnsi="Arial"/>
                        <w:b/>
                        <w:color w:val="4FA76E"/>
                        <w:spacing w:val="518"/>
                        <w:sz w:val="26"/>
                      </w:rPr>
                      <w:t>PRESS RELEASE</w:t>
                    </w:r>
                  </w:p>
                  <w:p w14:paraId="4A2BAFC0" w14:textId="77777777" w:rsidR="00BB6BFA" w:rsidRPr="00861ECE" w:rsidRDefault="00BB6BFA" w:rsidP="00952FD5">
                    <w:pPr>
                      <w:spacing w:line="270" w:lineRule="exact"/>
                      <w:jc w:val="center"/>
                      <w:rPr>
                        <w:rFonts w:ascii="Arial" w:hAnsi="Arial" w:cs="Arial"/>
                        <w:b/>
                        <w:bCs/>
                        <w:color w:val="4FA76E"/>
                        <w:spacing w:val="280"/>
                        <w:sz w:val="26"/>
                        <w:szCs w:val="26"/>
                        <w:lang w:val="fr-FR"/>
                      </w:rPr>
                    </w:pPr>
                  </w:p>
                </w:txbxContent>
              </v:textbox>
              <w10:wrap anchory="page"/>
            </v:shape>
          </w:pict>
        </mc:Fallback>
      </mc:AlternateContent>
    </w:r>
    <w:r w:rsidRPr="00127462">
      <w:rPr>
        <w:b/>
        <w:noProof/>
        <w:lang w:eastAsia="en-US"/>
      </w:rPr>
      <w:drawing>
        <wp:anchor distT="0" distB="0" distL="114935" distR="114935" simplePos="0" relativeHeight="251656704" behindDoc="1" locked="0" layoutInCell="1" allowOverlap="1" wp14:anchorId="7702800A" wp14:editId="35F6EF6D">
          <wp:simplePos x="0" y="0"/>
          <wp:positionH relativeFrom="column">
            <wp:posOffset>-458470</wp:posOffset>
          </wp:positionH>
          <wp:positionV relativeFrom="page">
            <wp:posOffset>585470</wp:posOffset>
          </wp:positionV>
          <wp:extent cx="5761355" cy="131508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13150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127462">
      <w:rPr>
        <w:b/>
        <w:noProof/>
        <w:lang w:eastAsia="en-US"/>
      </w:rPr>
      <mc:AlternateContent>
        <mc:Choice Requires="wps">
          <w:drawing>
            <wp:anchor distT="0" distB="0" distL="114300" distR="114300" simplePos="0" relativeHeight="251657728" behindDoc="1" locked="0" layoutInCell="1" allowOverlap="1" wp14:anchorId="5D4C02BC" wp14:editId="4811D3D8">
              <wp:simplePos x="0" y="0"/>
              <wp:positionH relativeFrom="page">
                <wp:posOffset>107950</wp:posOffset>
              </wp:positionH>
              <wp:positionV relativeFrom="page">
                <wp:posOffset>3564255</wp:posOffset>
              </wp:positionV>
              <wp:extent cx="107950" cy="0"/>
              <wp:effectExtent l="12700" t="11430" r="12700" b="7620"/>
              <wp:wrapNone/>
              <wp:docPr id="1" name="Connecteur droit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line">
                        <a:avLst/>
                      </a:prstGeom>
                      <a:noFill/>
                      <a:ln w="3960">
                        <a:solidFill>
                          <a:srgbClr val="17274B"/>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858EF7" id="Connecteur droit 25"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pt,280.65pt" to="17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" strokecolor="#17274b" strokeweight=".11mm">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43C2EDA"/>
    <w:multiLevelType w:val="hybridMultilevel"/>
    <w:tmpl w:val="4D401FE0"/>
    <w:lvl w:ilvl="0" w:tplc="AC0841CE">
      <w:start w:val="1"/>
      <w:numFmt w:val="bullet"/>
      <w:lvlText w:val=""/>
      <w:lvlJc w:val="left"/>
      <w:pPr>
        <w:ind w:left="720" w:hanging="360"/>
      </w:pPr>
      <w:rPr>
        <w:rFonts w:ascii="Symbol" w:hAnsi="Symbol" w:hint="default"/>
      </w:rPr>
    </w:lvl>
    <w:lvl w:ilvl="1" w:tplc="ED02EB58">
      <w:start w:val="1"/>
      <w:numFmt w:val="bullet"/>
      <w:lvlText w:val="o"/>
      <w:lvlJc w:val="left"/>
      <w:pPr>
        <w:ind w:left="1440" w:hanging="360"/>
      </w:pPr>
      <w:rPr>
        <w:rFonts w:ascii="Courier New" w:hAnsi="Courier New" w:cs="Courier New" w:hint="default"/>
      </w:rPr>
    </w:lvl>
    <w:lvl w:ilvl="2" w:tplc="50F42FCA">
      <w:start w:val="1"/>
      <w:numFmt w:val="bullet"/>
      <w:lvlText w:val=""/>
      <w:lvlJc w:val="left"/>
      <w:pPr>
        <w:ind w:left="2160" w:hanging="360"/>
      </w:pPr>
      <w:rPr>
        <w:rFonts w:ascii="Wingdings" w:hAnsi="Wingdings" w:hint="default"/>
      </w:rPr>
    </w:lvl>
    <w:lvl w:ilvl="3" w:tplc="C1683B2C">
      <w:start w:val="1"/>
      <w:numFmt w:val="bullet"/>
      <w:lvlText w:val=""/>
      <w:lvlJc w:val="left"/>
      <w:pPr>
        <w:ind w:left="2880" w:hanging="360"/>
      </w:pPr>
      <w:rPr>
        <w:rFonts w:ascii="Symbol" w:hAnsi="Symbol" w:hint="default"/>
      </w:rPr>
    </w:lvl>
    <w:lvl w:ilvl="4" w:tplc="7E3A1F62">
      <w:start w:val="1"/>
      <w:numFmt w:val="bullet"/>
      <w:lvlText w:val="o"/>
      <w:lvlJc w:val="left"/>
      <w:pPr>
        <w:ind w:left="3600" w:hanging="360"/>
      </w:pPr>
      <w:rPr>
        <w:rFonts w:ascii="Courier New" w:hAnsi="Courier New" w:cs="Courier New" w:hint="default"/>
      </w:rPr>
    </w:lvl>
    <w:lvl w:ilvl="5" w:tplc="54666738">
      <w:start w:val="1"/>
      <w:numFmt w:val="bullet"/>
      <w:lvlText w:val=""/>
      <w:lvlJc w:val="left"/>
      <w:pPr>
        <w:ind w:left="4320" w:hanging="360"/>
      </w:pPr>
      <w:rPr>
        <w:rFonts w:ascii="Wingdings" w:hAnsi="Wingdings" w:hint="default"/>
      </w:rPr>
    </w:lvl>
    <w:lvl w:ilvl="6" w:tplc="2B6C4E04">
      <w:start w:val="1"/>
      <w:numFmt w:val="bullet"/>
      <w:lvlText w:val=""/>
      <w:lvlJc w:val="left"/>
      <w:pPr>
        <w:ind w:left="5040" w:hanging="360"/>
      </w:pPr>
      <w:rPr>
        <w:rFonts w:ascii="Symbol" w:hAnsi="Symbol" w:hint="default"/>
      </w:rPr>
    </w:lvl>
    <w:lvl w:ilvl="7" w:tplc="86C2483A">
      <w:start w:val="1"/>
      <w:numFmt w:val="bullet"/>
      <w:lvlText w:val="o"/>
      <w:lvlJc w:val="left"/>
      <w:pPr>
        <w:ind w:left="5760" w:hanging="360"/>
      </w:pPr>
      <w:rPr>
        <w:rFonts w:ascii="Courier New" w:hAnsi="Courier New" w:cs="Courier New" w:hint="default"/>
      </w:rPr>
    </w:lvl>
    <w:lvl w:ilvl="8" w:tplc="610EBD92">
      <w:start w:val="1"/>
      <w:numFmt w:val="bullet"/>
      <w:lvlText w:val=""/>
      <w:lvlJc w:val="left"/>
      <w:pPr>
        <w:ind w:left="6480" w:hanging="360"/>
      </w:pPr>
      <w:rPr>
        <w:rFonts w:ascii="Wingdings" w:hAnsi="Wingdings" w:hint="default"/>
      </w:rPr>
    </w:lvl>
  </w:abstractNum>
  <w:abstractNum w:abstractNumId="2" w15:restartNumberingAfterBreak="0">
    <w:nsid w:val="06047CB1"/>
    <w:multiLevelType w:val="hybridMultilevel"/>
    <w:tmpl w:val="A7B2FBB6"/>
    <w:lvl w:ilvl="0" w:tplc="53E0530E">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12D1A"/>
    <w:multiLevelType w:val="hybridMultilevel"/>
    <w:tmpl w:val="EFF887DC"/>
    <w:lvl w:ilvl="0" w:tplc="904C47E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14EEC"/>
    <w:multiLevelType w:val="hybridMultilevel"/>
    <w:tmpl w:val="E10C1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61969"/>
    <w:multiLevelType w:val="hybridMultilevel"/>
    <w:tmpl w:val="AE42C396"/>
    <w:lvl w:ilvl="0" w:tplc="160E7504">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C40C9D"/>
    <w:multiLevelType w:val="hybridMultilevel"/>
    <w:tmpl w:val="424016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FD6225"/>
    <w:multiLevelType w:val="hybridMultilevel"/>
    <w:tmpl w:val="E1F2B8A6"/>
    <w:lvl w:ilvl="0" w:tplc="354ADAC8">
      <w:start w:val="1"/>
      <w:numFmt w:val="lowerRoman"/>
      <w:lvlText w:val="(%1)"/>
      <w:lvlJc w:val="left"/>
      <w:pPr>
        <w:ind w:left="288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B733A65"/>
    <w:multiLevelType w:val="hybridMultilevel"/>
    <w:tmpl w:val="03FE95E0"/>
    <w:lvl w:ilvl="0" w:tplc="CCE87B26">
      <w:start w:val="1"/>
      <w:numFmt w:val="bullet"/>
      <w:lvlText w:val=""/>
      <w:lvlJc w:val="left"/>
      <w:pPr>
        <w:ind w:left="720" w:hanging="360"/>
      </w:pPr>
      <w:rPr>
        <w:rFonts w:ascii="Symbol" w:hAnsi="Symbol" w:hint="default"/>
      </w:rPr>
    </w:lvl>
    <w:lvl w:ilvl="1" w:tplc="F8744272" w:tentative="1">
      <w:start w:val="1"/>
      <w:numFmt w:val="bullet"/>
      <w:lvlText w:val="o"/>
      <w:lvlJc w:val="left"/>
      <w:pPr>
        <w:ind w:left="1440" w:hanging="360"/>
      </w:pPr>
      <w:rPr>
        <w:rFonts w:ascii="Courier New" w:hAnsi="Courier New" w:cs="Courier New" w:hint="default"/>
      </w:rPr>
    </w:lvl>
    <w:lvl w:ilvl="2" w:tplc="95CACED4" w:tentative="1">
      <w:start w:val="1"/>
      <w:numFmt w:val="bullet"/>
      <w:lvlText w:val=""/>
      <w:lvlJc w:val="left"/>
      <w:pPr>
        <w:ind w:left="2160" w:hanging="360"/>
      </w:pPr>
      <w:rPr>
        <w:rFonts w:ascii="Wingdings" w:hAnsi="Wingdings" w:hint="default"/>
      </w:rPr>
    </w:lvl>
    <w:lvl w:ilvl="3" w:tplc="148214A2" w:tentative="1">
      <w:start w:val="1"/>
      <w:numFmt w:val="bullet"/>
      <w:lvlText w:val=""/>
      <w:lvlJc w:val="left"/>
      <w:pPr>
        <w:ind w:left="2880" w:hanging="360"/>
      </w:pPr>
      <w:rPr>
        <w:rFonts w:ascii="Symbol" w:hAnsi="Symbol" w:hint="default"/>
      </w:rPr>
    </w:lvl>
    <w:lvl w:ilvl="4" w:tplc="D20E0F52" w:tentative="1">
      <w:start w:val="1"/>
      <w:numFmt w:val="bullet"/>
      <w:lvlText w:val="o"/>
      <w:lvlJc w:val="left"/>
      <w:pPr>
        <w:ind w:left="3600" w:hanging="360"/>
      </w:pPr>
      <w:rPr>
        <w:rFonts w:ascii="Courier New" w:hAnsi="Courier New" w:cs="Courier New" w:hint="default"/>
      </w:rPr>
    </w:lvl>
    <w:lvl w:ilvl="5" w:tplc="06320ACC" w:tentative="1">
      <w:start w:val="1"/>
      <w:numFmt w:val="bullet"/>
      <w:lvlText w:val=""/>
      <w:lvlJc w:val="left"/>
      <w:pPr>
        <w:ind w:left="4320" w:hanging="360"/>
      </w:pPr>
      <w:rPr>
        <w:rFonts w:ascii="Wingdings" w:hAnsi="Wingdings" w:hint="default"/>
      </w:rPr>
    </w:lvl>
    <w:lvl w:ilvl="6" w:tplc="B832EDAC" w:tentative="1">
      <w:start w:val="1"/>
      <w:numFmt w:val="bullet"/>
      <w:lvlText w:val=""/>
      <w:lvlJc w:val="left"/>
      <w:pPr>
        <w:ind w:left="5040" w:hanging="360"/>
      </w:pPr>
      <w:rPr>
        <w:rFonts w:ascii="Symbol" w:hAnsi="Symbol" w:hint="default"/>
      </w:rPr>
    </w:lvl>
    <w:lvl w:ilvl="7" w:tplc="92566F18" w:tentative="1">
      <w:start w:val="1"/>
      <w:numFmt w:val="bullet"/>
      <w:lvlText w:val="o"/>
      <w:lvlJc w:val="left"/>
      <w:pPr>
        <w:ind w:left="5760" w:hanging="360"/>
      </w:pPr>
      <w:rPr>
        <w:rFonts w:ascii="Courier New" w:hAnsi="Courier New" w:cs="Courier New" w:hint="default"/>
      </w:rPr>
    </w:lvl>
    <w:lvl w:ilvl="8" w:tplc="4F20F566" w:tentative="1">
      <w:start w:val="1"/>
      <w:numFmt w:val="bullet"/>
      <w:lvlText w:val=""/>
      <w:lvlJc w:val="left"/>
      <w:pPr>
        <w:ind w:left="6480" w:hanging="360"/>
      </w:pPr>
      <w:rPr>
        <w:rFonts w:ascii="Wingdings" w:hAnsi="Wingdings" w:hint="default"/>
      </w:rPr>
    </w:lvl>
  </w:abstractNum>
  <w:abstractNum w:abstractNumId="9" w15:restartNumberingAfterBreak="0">
    <w:nsid w:val="1C69142C"/>
    <w:multiLevelType w:val="hybridMultilevel"/>
    <w:tmpl w:val="131A4A24"/>
    <w:lvl w:ilvl="0" w:tplc="BA968E42">
      <w:start w:val="14"/>
      <w:numFmt w:val="bullet"/>
      <w:lvlText w:val="-"/>
      <w:lvlJc w:val="left"/>
      <w:pPr>
        <w:ind w:left="720" w:hanging="360"/>
      </w:pPr>
      <w:rPr>
        <w:rFonts w:ascii="Arial Narrow" w:eastAsia="MS Mincho"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BE60B2"/>
    <w:multiLevelType w:val="hybridMultilevel"/>
    <w:tmpl w:val="95349AD6"/>
    <w:lvl w:ilvl="0" w:tplc="4AA87D7C">
      <w:numFmt w:val="bullet"/>
      <w:lvlText w:val="-"/>
      <w:lvlJc w:val="left"/>
      <w:pPr>
        <w:ind w:left="1065" w:hanging="705"/>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B555B1"/>
    <w:multiLevelType w:val="hybridMultilevel"/>
    <w:tmpl w:val="4DE6EA72"/>
    <w:lvl w:ilvl="0" w:tplc="15EC6A38">
      <w:start w:val="1"/>
      <w:numFmt w:val="bullet"/>
      <w:lvlText w:val=""/>
      <w:lvlJc w:val="left"/>
      <w:pPr>
        <w:ind w:left="720" w:hanging="360"/>
      </w:pPr>
      <w:rPr>
        <w:rFonts w:ascii="Symbol" w:hAnsi="Symbol" w:hint="default"/>
      </w:rPr>
    </w:lvl>
    <w:lvl w:ilvl="1" w:tplc="5356725C" w:tentative="1">
      <w:start w:val="1"/>
      <w:numFmt w:val="bullet"/>
      <w:lvlText w:val="o"/>
      <w:lvlJc w:val="left"/>
      <w:pPr>
        <w:ind w:left="1440" w:hanging="360"/>
      </w:pPr>
      <w:rPr>
        <w:rFonts w:ascii="Courier New" w:hAnsi="Courier New" w:cs="Courier New" w:hint="default"/>
      </w:rPr>
    </w:lvl>
    <w:lvl w:ilvl="2" w:tplc="CAEA10AC" w:tentative="1">
      <w:start w:val="1"/>
      <w:numFmt w:val="bullet"/>
      <w:lvlText w:val=""/>
      <w:lvlJc w:val="left"/>
      <w:pPr>
        <w:ind w:left="2160" w:hanging="360"/>
      </w:pPr>
      <w:rPr>
        <w:rFonts w:ascii="Wingdings" w:hAnsi="Wingdings" w:hint="default"/>
      </w:rPr>
    </w:lvl>
    <w:lvl w:ilvl="3" w:tplc="EB4EC250" w:tentative="1">
      <w:start w:val="1"/>
      <w:numFmt w:val="bullet"/>
      <w:lvlText w:val=""/>
      <w:lvlJc w:val="left"/>
      <w:pPr>
        <w:ind w:left="2880" w:hanging="360"/>
      </w:pPr>
      <w:rPr>
        <w:rFonts w:ascii="Symbol" w:hAnsi="Symbol" w:hint="default"/>
      </w:rPr>
    </w:lvl>
    <w:lvl w:ilvl="4" w:tplc="120EEF00" w:tentative="1">
      <w:start w:val="1"/>
      <w:numFmt w:val="bullet"/>
      <w:lvlText w:val="o"/>
      <w:lvlJc w:val="left"/>
      <w:pPr>
        <w:ind w:left="3600" w:hanging="360"/>
      </w:pPr>
      <w:rPr>
        <w:rFonts w:ascii="Courier New" w:hAnsi="Courier New" w:cs="Courier New" w:hint="default"/>
      </w:rPr>
    </w:lvl>
    <w:lvl w:ilvl="5" w:tplc="72186A74" w:tentative="1">
      <w:start w:val="1"/>
      <w:numFmt w:val="bullet"/>
      <w:lvlText w:val=""/>
      <w:lvlJc w:val="left"/>
      <w:pPr>
        <w:ind w:left="4320" w:hanging="360"/>
      </w:pPr>
      <w:rPr>
        <w:rFonts w:ascii="Wingdings" w:hAnsi="Wingdings" w:hint="default"/>
      </w:rPr>
    </w:lvl>
    <w:lvl w:ilvl="6" w:tplc="817611F4" w:tentative="1">
      <w:start w:val="1"/>
      <w:numFmt w:val="bullet"/>
      <w:lvlText w:val=""/>
      <w:lvlJc w:val="left"/>
      <w:pPr>
        <w:ind w:left="5040" w:hanging="360"/>
      </w:pPr>
      <w:rPr>
        <w:rFonts w:ascii="Symbol" w:hAnsi="Symbol" w:hint="default"/>
      </w:rPr>
    </w:lvl>
    <w:lvl w:ilvl="7" w:tplc="20E2E2CA" w:tentative="1">
      <w:start w:val="1"/>
      <w:numFmt w:val="bullet"/>
      <w:lvlText w:val="o"/>
      <w:lvlJc w:val="left"/>
      <w:pPr>
        <w:ind w:left="5760" w:hanging="360"/>
      </w:pPr>
      <w:rPr>
        <w:rFonts w:ascii="Courier New" w:hAnsi="Courier New" w:cs="Courier New" w:hint="default"/>
      </w:rPr>
    </w:lvl>
    <w:lvl w:ilvl="8" w:tplc="ECDAECE0" w:tentative="1">
      <w:start w:val="1"/>
      <w:numFmt w:val="bullet"/>
      <w:lvlText w:val=""/>
      <w:lvlJc w:val="left"/>
      <w:pPr>
        <w:ind w:left="6480" w:hanging="360"/>
      </w:pPr>
      <w:rPr>
        <w:rFonts w:ascii="Wingdings" w:hAnsi="Wingdings" w:hint="default"/>
      </w:rPr>
    </w:lvl>
  </w:abstractNum>
  <w:abstractNum w:abstractNumId="12" w15:restartNumberingAfterBreak="0">
    <w:nsid w:val="24F46BF9"/>
    <w:multiLevelType w:val="hybridMultilevel"/>
    <w:tmpl w:val="B66CDD0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00559DF"/>
    <w:multiLevelType w:val="hybridMultilevel"/>
    <w:tmpl w:val="B66CDD0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49C71FB"/>
    <w:multiLevelType w:val="hybridMultilevel"/>
    <w:tmpl w:val="B66CDD0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51E59E3"/>
    <w:multiLevelType w:val="hybridMultilevel"/>
    <w:tmpl w:val="C7301C8A"/>
    <w:lvl w:ilvl="0" w:tplc="304E66B2">
      <w:numFmt w:val="bullet"/>
      <w:lvlText w:val="•"/>
      <w:lvlJc w:val="left"/>
      <w:pPr>
        <w:tabs>
          <w:tab w:val="num" w:pos="720"/>
        </w:tabs>
        <w:ind w:left="720" w:hanging="360"/>
      </w:pPr>
      <w:rPr>
        <w:rFonts w:ascii="Arial" w:hAnsi="Arial" w:hint="default"/>
        <w:color w:val="61B57C"/>
        <w:lang w:val="fr-FR"/>
      </w:rPr>
    </w:lvl>
    <w:lvl w:ilvl="1" w:tplc="EA1839E2">
      <w:start w:val="37"/>
      <w:numFmt w:val="bullet"/>
      <w:lvlText w:val="-"/>
      <w:lvlJc w:val="left"/>
      <w:pPr>
        <w:tabs>
          <w:tab w:val="num" w:pos="786"/>
        </w:tabs>
        <w:ind w:left="786" w:hanging="360"/>
      </w:pPr>
      <w:rPr>
        <w:rFonts w:ascii="Arial Narrow" w:hAnsi="Arial Narrow" w:hint="default"/>
      </w:rPr>
    </w:lvl>
    <w:lvl w:ilvl="2" w:tplc="DC66CAC2">
      <w:start w:val="1"/>
      <w:numFmt w:val="bullet"/>
      <w:lvlText w:val=""/>
      <w:lvlJc w:val="left"/>
      <w:pPr>
        <w:tabs>
          <w:tab w:val="num" w:pos="2160"/>
        </w:tabs>
        <w:ind w:left="2160" w:hanging="360"/>
      </w:pPr>
      <w:rPr>
        <w:rFonts w:ascii="Wingdings" w:hAnsi="Wingdings" w:hint="default"/>
      </w:rPr>
    </w:lvl>
    <w:lvl w:ilvl="3" w:tplc="192E55CC">
      <w:start w:val="1"/>
      <w:numFmt w:val="bullet"/>
      <w:lvlText w:val=""/>
      <w:lvlJc w:val="left"/>
      <w:pPr>
        <w:tabs>
          <w:tab w:val="num" w:pos="2880"/>
        </w:tabs>
        <w:ind w:left="2880" w:hanging="360"/>
      </w:pPr>
      <w:rPr>
        <w:rFonts w:ascii="Wingdings" w:hAnsi="Wingdings" w:hint="default"/>
      </w:rPr>
    </w:lvl>
    <w:lvl w:ilvl="4" w:tplc="C37E5700" w:tentative="1">
      <w:start w:val="1"/>
      <w:numFmt w:val="bullet"/>
      <w:lvlText w:val=""/>
      <w:lvlJc w:val="left"/>
      <w:pPr>
        <w:tabs>
          <w:tab w:val="num" w:pos="3600"/>
        </w:tabs>
        <w:ind w:left="3600" w:hanging="360"/>
      </w:pPr>
      <w:rPr>
        <w:rFonts w:ascii="Wingdings" w:hAnsi="Wingdings" w:hint="default"/>
      </w:rPr>
    </w:lvl>
    <w:lvl w:ilvl="5" w:tplc="32B46AE0" w:tentative="1">
      <w:start w:val="1"/>
      <w:numFmt w:val="bullet"/>
      <w:lvlText w:val=""/>
      <w:lvlJc w:val="left"/>
      <w:pPr>
        <w:tabs>
          <w:tab w:val="num" w:pos="4320"/>
        </w:tabs>
        <w:ind w:left="4320" w:hanging="360"/>
      </w:pPr>
      <w:rPr>
        <w:rFonts w:ascii="Wingdings" w:hAnsi="Wingdings" w:hint="default"/>
      </w:rPr>
    </w:lvl>
    <w:lvl w:ilvl="6" w:tplc="B1FA70A2" w:tentative="1">
      <w:start w:val="1"/>
      <w:numFmt w:val="bullet"/>
      <w:lvlText w:val=""/>
      <w:lvlJc w:val="left"/>
      <w:pPr>
        <w:tabs>
          <w:tab w:val="num" w:pos="5040"/>
        </w:tabs>
        <w:ind w:left="5040" w:hanging="360"/>
      </w:pPr>
      <w:rPr>
        <w:rFonts w:ascii="Wingdings" w:hAnsi="Wingdings" w:hint="default"/>
      </w:rPr>
    </w:lvl>
    <w:lvl w:ilvl="7" w:tplc="68B69C08" w:tentative="1">
      <w:start w:val="1"/>
      <w:numFmt w:val="bullet"/>
      <w:lvlText w:val=""/>
      <w:lvlJc w:val="left"/>
      <w:pPr>
        <w:tabs>
          <w:tab w:val="num" w:pos="5760"/>
        </w:tabs>
        <w:ind w:left="5760" w:hanging="360"/>
      </w:pPr>
      <w:rPr>
        <w:rFonts w:ascii="Wingdings" w:hAnsi="Wingdings" w:hint="default"/>
      </w:rPr>
    </w:lvl>
    <w:lvl w:ilvl="8" w:tplc="61AA2C3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A810CA"/>
    <w:multiLevelType w:val="hybridMultilevel"/>
    <w:tmpl w:val="F4AE3E0C"/>
    <w:lvl w:ilvl="0" w:tplc="96721962">
      <w:start w:val="1"/>
      <w:numFmt w:val="bullet"/>
      <w:lvlText w:val=""/>
      <w:lvlJc w:val="left"/>
      <w:pPr>
        <w:ind w:left="720" w:hanging="360"/>
      </w:pPr>
      <w:rPr>
        <w:rFonts w:ascii="Symbol" w:hAnsi="Symbol" w:hint="default"/>
      </w:rPr>
    </w:lvl>
    <w:lvl w:ilvl="1" w:tplc="3DE016F6" w:tentative="1">
      <w:start w:val="1"/>
      <w:numFmt w:val="bullet"/>
      <w:lvlText w:val="o"/>
      <w:lvlJc w:val="left"/>
      <w:pPr>
        <w:ind w:left="1440" w:hanging="360"/>
      </w:pPr>
      <w:rPr>
        <w:rFonts w:ascii="Courier New" w:hAnsi="Courier New" w:cs="Courier New" w:hint="default"/>
      </w:rPr>
    </w:lvl>
    <w:lvl w:ilvl="2" w:tplc="38EE5CCA" w:tentative="1">
      <w:start w:val="1"/>
      <w:numFmt w:val="bullet"/>
      <w:lvlText w:val=""/>
      <w:lvlJc w:val="left"/>
      <w:pPr>
        <w:ind w:left="2160" w:hanging="360"/>
      </w:pPr>
      <w:rPr>
        <w:rFonts w:ascii="Wingdings" w:hAnsi="Wingdings" w:hint="default"/>
      </w:rPr>
    </w:lvl>
    <w:lvl w:ilvl="3" w:tplc="07C095F0" w:tentative="1">
      <w:start w:val="1"/>
      <w:numFmt w:val="bullet"/>
      <w:lvlText w:val=""/>
      <w:lvlJc w:val="left"/>
      <w:pPr>
        <w:ind w:left="2880" w:hanging="360"/>
      </w:pPr>
      <w:rPr>
        <w:rFonts w:ascii="Symbol" w:hAnsi="Symbol" w:hint="default"/>
      </w:rPr>
    </w:lvl>
    <w:lvl w:ilvl="4" w:tplc="B114CE96" w:tentative="1">
      <w:start w:val="1"/>
      <w:numFmt w:val="bullet"/>
      <w:lvlText w:val="o"/>
      <w:lvlJc w:val="left"/>
      <w:pPr>
        <w:ind w:left="3600" w:hanging="360"/>
      </w:pPr>
      <w:rPr>
        <w:rFonts w:ascii="Courier New" w:hAnsi="Courier New" w:cs="Courier New" w:hint="default"/>
      </w:rPr>
    </w:lvl>
    <w:lvl w:ilvl="5" w:tplc="C4EAF9BA" w:tentative="1">
      <w:start w:val="1"/>
      <w:numFmt w:val="bullet"/>
      <w:lvlText w:val=""/>
      <w:lvlJc w:val="left"/>
      <w:pPr>
        <w:ind w:left="4320" w:hanging="360"/>
      </w:pPr>
      <w:rPr>
        <w:rFonts w:ascii="Wingdings" w:hAnsi="Wingdings" w:hint="default"/>
      </w:rPr>
    </w:lvl>
    <w:lvl w:ilvl="6" w:tplc="F4248E82" w:tentative="1">
      <w:start w:val="1"/>
      <w:numFmt w:val="bullet"/>
      <w:lvlText w:val=""/>
      <w:lvlJc w:val="left"/>
      <w:pPr>
        <w:ind w:left="5040" w:hanging="360"/>
      </w:pPr>
      <w:rPr>
        <w:rFonts w:ascii="Symbol" w:hAnsi="Symbol" w:hint="default"/>
      </w:rPr>
    </w:lvl>
    <w:lvl w:ilvl="7" w:tplc="BBB6A3E0" w:tentative="1">
      <w:start w:val="1"/>
      <w:numFmt w:val="bullet"/>
      <w:lvlText w:val="o"/>
      <w:lvlJc w:val="left"/>
      <w:pPr>
        <w:ind w:left="5760" w:hanging="360"/>
      </w:pPr>
      <w:rPr>
        <w:rFonts w:ascii="Courier New" w:hAnsi="Courier New" w:cs="Courier New" w:hint="default"/>
      </w:rPr>
    </w:lvl>
    <w:lvl w:ilvl="8" w:tplc="59769BA0" w:tentative="1">
      <w:start w:val="1"/>
      <w:numFmt w:val="bullet"/>
      <w:lvlText w:val=""/>
      <w:lvlJc w:val="left"/>
      <w:pPr>
        <w:ind w:left="6480" w:hanging="360"/>
      </w:pPr>
      <w:rPr>
        <w:rFonts w:ascii="Wingdings" w:hAnsi="Wingdings" w:hint="default"/>
      </w:rPr>
    </w:lvl>
  </w:abstractNum>
  <w:abstractNum w:abstractNumId="17" w15:restartNumberingAfterBreak="0">
    <w:nsid w:val="5C1E2DCB"/>
    <w:multiLevelType w:val="hybridMultilevel"/>
    <w:tmpl w:val="12A4645C"/>
    <w:lvl w:ilvl="0" w:tplc="BA061378">
      <w:start w:val="5"/>
      <w:numFmt w:val="bullet"/>
      <w:lvlText w:val="-"/>
      <w:lvlJc w:val="left"/>
      <w:pPr>
        <w:ind w:left="720" w:hanging="360"/>
      </w:pPr>
      <w:rPr>
        <w:rFonts w:ascii="Calibri" w:hAnsi="Calibri" w:cstheme="minorBid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9F54C7"/>
    <w:multiLevelType w:val="hybridMultilevel"/>
    <w:tmpl w:val="BEAAF6DE"/>
    <w:lvl w:ilvl="0" w:tplc="7E38A14E">
      <w:numFmt w:val="bullet"/>
      <w:lvlText w:val="-"/>
      <w:lvlJc w:val="left"/>
      <w:pPr>
        <w:ind w:left="720" w:hanging="360"/>
      </w:pPr>
      <w:rPr>
        <w:rFonts w:ascii="Arial Narrow" w:eastAsia="MS Mincho"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BC6AB2"/>
    <w:multiLevelType w:val="hybridMultilevel"/>
    <w:tmpl w:val="58E49966"/>
    <w:lvl w:ilvl="0" w:tplc="FE1053D8">
      <w:start w:val="1"/>
      <w:numFmt w:val="bullet"/>
      <w:lvlText w:val=""/>
      <w:lvlJc w:val="left"/>
      <w:pPr>
        <w:ind w:left="720" w:hanging="360"/>
      </w:pPr>
      <w:rPr>
        <w:rFonts w:ascii="Symbol" w:hAnsi="Symbol" w:hint="default"/>
      </w:rPr>
    </w:lvl>
    <w:lvl w:ilvl="1" w:tplc="0910F858" w:tentative="1">
      <w:start w:val="1"/>
      <w:numFmt w:val="bullet"/>
      <w:lvlText w:val="o"/>
      <w:lvlJc w:val="left"/>
      <w:pPr>
        <w:ind w:left="1440" w:hanging="360"/>
      </w:pPr>
      <w:rPr>
        <w:rFonts w:ascii="Courier New" w:hAnsi="Courier New" w:cs="Courier New" w:hint="default"/>
      </w:rPr>
    </w:lvl>
    <w:lvl w:ilvl="2" w:tplc="EC668790" w:tentative="1">
      <w:start w:val="1"/>
      <w:numFmt w:val="bullet"/>
      <w:lvlText w:val=""/>
      <w:lvlJc w:val="left"/>
      <w:pPr>
        <w:ind w:left="2160" w:hanging="360"/>
      </w:pPr>
      <w:rPr>
        <w:rFonts w:ascii="Wingdings" w:hAnsi="Wingdings" w:hint="default"/>
      </w:rPr>
    </w:lvl>
    <w:lvl w:ilvl="3" w:tplc="0666AF3A" w:tentative="1">
      <w:start w:val="1"/>
      <w:numFmt w:val="bullet"/>
      <w:lvlText w:val=""/>
      <w:lvlJc w:val="left"/>
      <w:pPr>
        <w:ind w:left="2880" w:hanging="360"/>
      </w:pPr>
      <w:rPr>
        <w:rFonts w:ascii="Symbol" w:hAnsi="Symbol" w:hint="default"/>
      </w:rPr>
    </w:lvl>
    <w:lvl w:ilvl="4" w:tplc="B9801A0E" w:tentative="1">
      <w:start w:val="1"/>
      <w:numFmt w:val="bullet"/>
      <w:lvlText w:val="o"/>
      <w:lvlJc w:val="left"/>
      <w:pPr>
        <w:ind w:left="3600" w:hanging="360"/>
      </w:pPr>
      <w:rPr>
        <w:rFonts w:ascii="Courier New" w:hAnsi="Courier New" w:cs="Courier New" w:hint="default"/>
      </w:rPr>
    </w:lvl>
    <w:lvl w:ilvl="5" w:tplc="05DAD8E4" w:tentative="1">
      <w:start w:val="1"/>
      <w:numFmt w:val="bullet"/>
      <w:lvlText w:val=""/>
      <w:lvlJc w:val="left"/>
      <w:pPr>
        <w:ind w:left="4320" w:hanging="360"/>
      </w:pPr>
      <w:rPr>
        <w:rFonts w:ascii="Wingdings" w:hAnsi="Wingdings" w:hint="default"/>
      </w:rPr>
    </w:lvl>
    <w:lvl w:ilvl="6" w:tplc="669AA572" w:tentative="1">
      <w:start w:val="1"/>
      <w:numFmt w:val="bullet"/>
      <w:lvlText w:val=""/>
      <w:lvlJc w:val="left"/>
      <w:pPr>
        <w:ind w:left="5040" w:hanging="360"/>
      </w:pPr>
      <w:rPr>
        <w:rFonts w:ascii="Symbol" w:hAnsi="Symbol" w:hint="default"/>
      </w:rPr>
    </w:lvl>
    <w:lvl w:ilvl="7" w:tplc="A6FA4A1E" w:tentative="1">
      <w:start w:val="1"/>
      <w:numFmt w:val="bullet"/>
      <w:lvlText w:val="o"/>
      <w:lvlJc w:val="left"/>
      <w:pPr>
        <w:ind w:left="5760" w:hanging="360"/>
      </w:pPr>
      <w:rPr>
        <w:rFonts w:ascii="Courier New" w:hAnsi="Courier New" w:cs="Courier New" w:hint="default"/>
      </w:rPr>
    </w:lvl>
    <w:lvl w:ilvl="8" w:tplc="C2943B4E" w:tentative="1">
      <w:start w:val="1"/>
      <w:numFmt w:val="bullet"/>
      <w:lvlText w:val=""/>
      <w:lvlJc w:val="left"/>
      <w:pPr>
        <w:ind w:left="6480" w:hanging="360"/>
      </w:pPr>
      <w:rPr>
        <w:rFonts w:ascii="Wingdings" w:hAnsi="Wingdings" w:hint="default"/>
      </w:rPr>
    </w:lvl>
  </w:abstractNum>
  <w:abstractNum w:abstractNumId="20" w15:restartNumberingAfterBreak="0">
    <w:nsid w:val="628544E6"/>
    <w:multiLevelType w:val="hybridMultilevel"/>
    <w:tmpl w:val="E1B6ADAE"/>
    <w:lvl w:ilvl="0" w:tplc="6F3A84A2">
      <w:start w:val="1"/>
      <w:numFmt w:val="decimal"/>
      <w:lvlText w:val="%1"/>
      <w:lvlJc w:val="left"/>
      <w:pPr>
        <w:tabs>
          <w:tab w:val="num" w:pos="720"/>
        </w:tabs>
        <w:ind w:left="720" w:hanging="360"/>
      </w:pPr>
    </w:lvl>
    <w:lvl w:ilvl="1" w:tplc="E5160C64" w:tentative="1">
      <w:start w:val="1"/>
      <w:numFmt w:val="decimal"/>
      <w:lvlText w:val="%2"/>
      <w:lvlJc w:val="left"/>
      <w:pPr>
        <w:tabs>
          <w:tab w:val="num" w:pos="1440"/>
        </w:tabs>
        <w:ind w:left="1440" w:hanging="360"/>
      </w:pPr>
    </w:lvl>
    <w:lvl w:ilvl="2" w:tplc="AFB2CB26" w:tentative="1">
      <w:start w:val="1"/>
      <w:numFmt w:val="decimal"/>
      <w:lvlText w:val="%3"/>
      <w:lvlJc w:val="left"/>
      <w:pPr>
        <w:tabs>
          <w:tab w:val="num" w:pos="2160"/>
        </w:tabs>
        <w:ind w:left="2160" w:hanging="360"/>
      </w:pPr>
    </w:lvl>
    <w:lvl w:ilvl="3" w:tplc="EC401186" w:tentative="1">
      <w:start w:val="1"/>
      <w:numFmt w:val="decimal"/>
      <w:lvlText w:val="%4"/>
      <w:lvlJc w:val="left"/>
      <w:pPr>
        <w:tabs>
          <w:tab w:val="num" w:pos="2880"/>
        </w:tabs>
        <w:ind w:left="2880" w:hanging="360"/>
      </w:pPr>
    </w:lvl>
    <w:lvl w:ilvl="4" w:tplc="BA26BEAC" w:tentative="1">
      <w:start w:val="1"/>
      <w:numFmt w:val="decimal"/>
      <w:lvlText w:val="%5"/>
      <w:lvlJc w:val="left"/>
      <w:pPr>
        <w:tabs>
          <w:tab w:val="num" w:pos="3600"/>
        </w:tabs>
        <w:ind w:left="3600" w:hanging="360"/>
      </w:pPr>
    </w:lvl>
    <w:lvl w:ilvl="5" w:tplc="87BCBC8C" w:tentative="1">
      <w:start w:val="1"/>
      <w:numFmt w:val="decimal"/>
      <w:lvlText w:val="%6"/>
      <w:lvlJc w:val="left"/>
      <w:pPr>
        <w:tabs>
          <w:tab w:val="num" w:pos="4320"/>
        </w:tabs>
        <w:ind w:left="4320" w:hanging="360"/>
      </w:pPr>
    </w:lvl>
    <w:lvl w:ilvl="6" w:tplc="EBBE7C60" w:tentative="1">
      <w:start w:val="1"/>
      <w:numFmt w:val="decimal"/>
      <w:lvlText w:val="%7"/>
      <w:lvlJc w:val="left"/>
      <w:pPr>
        <w:tabs>
          <w:tab w:val="num" w:pos="5040"/>
        </w:tabs>
        <w:ind w:left="5040" w:hanging="360"/>
      </w:pPr>
    </w:lvl>
    <w:lvl w:ilvl="7" w:tplc="F326B3E0" w:tentative="1">
      <w:start w:val="1"/>
      <w:numFmt w:val="decimal"/>
      <w:lvlText w:val="%8"/>
      <w:lvlJc w:val="left"/>
      <w:pPr>
        <w:tabs>
          <w:tab w:val="num" w:pos="5760"/>
        </w:tabs>
        <w:ind w:left="5760" w:hanging="360"/>
      </w:pPr>
    </w:lvl>
    <w:lvl w:ilvl="8" w:tplc="4658EF00" w:tentative="1">
      <w:start w:val="1"/>
      <w:numFmt w:val="decimal"/>
      <w:lvlText w:val="%9"/>
      <w:lvlJc w:val="left"/>
      <w:pPr>
        <w:tabs>
          <w:tab w:val="num" w:pos="6480"/>
        </w:tabs>
        <w:ind w:left="6480" w:hanging="360"/>
      </w:pPr>
    </w:lvl>
  </w:abstractNum>
  <w:abstractNum w:abstractNumId="21" w15:restartNumberingAfterBreak="0">
    <w:nsid w:val="66772569"/>
    <w:multiLevelType w:val="hybridMultilevel"/>
    <w:tmpl w:val="C8E2161C"/>
    <w:lvl w:ilvl="0" w:tplc="0608D938">
      <w:start w:val="1"/>
      <w:numFmt w:val="bullet"/>
      <w:lvlText w:val=""/>
      <w:lvlJc w:val="left"/>
      <w:pPr>
        <w:ind w:left="720" w:hanging="360"/>
      </w:pPr>
      <w:rPr>
        <w:rFonts w:ascii="Wingdings" w:hAnsi="Wingdings" w:hint="default"/>
      </w:rPr>
    </w:lvl>
    <w:lvl w:ilvl="1" w:tplc="B276057E" w:tentative="1">
      <w:start w:val="1"/>
      <w:numFmt w:val="bullet"/>
      <w:lvlText w:val="o"/>
      <w:lvlJc w:val="left"/>
      <w:pPr>
        <w:ind w:left="1440" w:hanging="360"/>
      </w:pPr>
      <w:rPr>
        <w:rFonts w:ascii="Courier New" w:hAnsi="Courier New" w:cs="Courier New" w:hint="default"/>
      </w:rPr>
    </w:lvl>
    <w:lvl w:ilvl="2" w:tplc="01BA9766" w:tentative="1">
      <w:start w:val="1"/>
      <w:numFmt w:val="bullet"/>
      <w:lvlText w:val=""/>
      <w:lvlJc w:val="left"/>
      <w:pPr>
        <w:ind w:left="2160" w:hanging="360"/>
      </w:pPr>
      <w:rPr>
        <w:rFonts w:ascii="Wingdings" w:hAnsi="Wingdings" w:hint="default"/>
      </w:rPr>
    </w:lvl>
    <w:lvl w:ilvl="3" w:tplc="CECC0B84" w:tentative="1">
      <w:start w:val="1"/>
      <w:numFmt w:val="bullet"/>
      <w:lvlText w:val=""/>
      <w:lvlJc w:val="left"/>
      <w:pPr>
        <w:ind w:left="2880" w:hanging="360"/>
      </w:pPr>
      <w:rPr>
        <w:rFonts w:ascii="Symbol" w:hAnsi="Symbol" w:hint="default"/>
      </w:rPr>
    </w:lvl>
    <w:lvl w:ilvl="4" w:tplc="158E516A" w:tentative="1">
      <w:start w:val="1"/>
      <w:numFmt w:val="bullet"/>
      <w:lvlText w:val="o"/>
      <w:lvlJc w:val="left"/>
      <w:pPr>
        <w:ind w:left="3600" w:hanging="360"/>
      </w:pPr>
      <w:rPr>
        <w:rFonts w:ascii="Courier New" w:hAnsi="Courier New" w:cs="Courier New" w:hint="default"/>
      </w:rPr>
    </w:lvl>
    <w:lvl w:ilvl="5" w:tplc="A268E55A" w:tentative="1">
      <w:start w:val="1"/>
      <w:numFmt w:val="bullet"/>
      <w:lvlText w:val=""/>
      <w:lvlJc w:val="left"/>
      <w:pPr>
        <w:ind w:left="4320" w:hanging="360"/>
      </w:pPr>
      <w:rPr>
        <w:rFonts w:ascii="Wingdings" w:hAnsi="Wingdings" w:hint="default"/>
      </w:rPr>
    </w:lvl>
    <w:lvl w:ilvl="6" w:tplc="5A0A8B8E" w:tentative="1">
      <w:start w:val="1"/>
      <w:numFmt w:val="bullet"/>
      <w:lvlText w:val=""/>
      <w:lvlJc w:val="left"/>
      <w:pPr>
        <w:ind w:left="5040" w:hanging="360"/>
      </w:pPr>
      <w:rPr>
        <w:rFonts w:ascii="Symbol" w:hAnsi="Symbol" w:hint="default"/>
      </w:rPr>
    </w:lvl>
    <w:lvl w:ilvl="7" w:tplc="48E63278" w:tentative="1">
      <w:start w:val="1"/>
      <w:numFmt w:val="bullet"/>
      <w:lvlText w:val="o"/>
      <w:lvlJc w:val="left"/>
      <w:pPr>
        <w:ind w:left="5760" w:hanging="360"/>
      </w:pPr>
      <w:rPr>
        <w:rFonts w:ascii="Courier New" w:hAnsi="Courier New" w:cs="Courier New" w:hint="default"/>
      </w:rPr>
    </w:lvl>
    <w:lvl w:ilvl="8" w:tplc="AD725A2C" w:tentative="1">
      <w:start w:val="1"/>
      <w:numFmt w:val="bullet"/>
      <w:lvlText w:val=""/>
      <w:lvlJc w:val="left"/>
      <w:pPr>
        <w:ind w:left="6480" w:hanging="360"/>
      </w:pPr>
      <w:rPr>
        <w:rFonts w:ascii="Wingdings" w:hAnsi="Wingdings" w:hint="default"/>
      </w:rPr>
    </w:lvl>
  </w:abstractNum>
  <w:abstractNum w:abstractNumId="22" w15:restartNumberingAfterBreak="0">
    <w:nsid w:val="72D17A0D"/>
    <w:multiLevelType w:val="hybridMultilevel"/>
    <w:tmpl w:val="0E7CF460"/>
    <w:lvl w:ilvl="0" w:tplc="852696F8">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EE440E"/>
    <w:multiLevelType w:val="hybridMultilevel"/>
    <w:tmpl w:val="0F2671D4"/>
    <w:lvl w:ilvl="0" w:tplc="225EDC34">
      <w:start w:val="1"/>
      <w:numFmt w:val="bullet"/>
      <w:lvlText w:val=""/>
      <w:lvlJc w:val="left"/>
      <w:pPr>
        <w:ind w:left="720" w:hanging="360"/>
      </w:pPr>
      <w:rPr>
        <w:rFonts w:ascii="Symbol" w:hAnsi="Symbol" w:hint="default"/>
      </w:rPr>
    </w:lvl>
    <w:lvl w:ilvl="1" w:tplc="38744BA8" w:tentative="1">
      <w:start w:val="1"/>
      <w:numFmt w:val="bullet"/>
      <w:lvlText w:val="o"/>
      <w:lvlJc w:val="left"/>
      <w:pPr>
        <w:ind w:left="1440" w:hanging="360"/>
      </w:pPr>
      <w:rPr>
        <w:rFonts w:ascii="Courier New" w:hAnsi="Courier New" w:cs="Courier New" w:hint="default"/>
      </w:rPr>
    </w:lvl>
    <w:lvl w:ilvl="2" w:tplc="DEFCE298" w:tentative="1">
      <w:start w:val="1"/>
      <w:numFmt w:val="bullet"/>
      <w:lvlText w:val=""/>
      <w:lvlJc w:val="left"/>
      <w:pPr>
        <w:ind w:left="2160" w:hanging="360"/>
      </w:pPr>
      <w:rPr>
        <w:rFonts w:ascii="Wingdings" w:hAnsi="Wingdings" w:hint="default"/>
      </w:rPr>
    </w:lvl>
    <w:lvl w:ilvl="3" w:tplc="86E225E6" w:tentative="1">
      <w:start w:val="1"/>
      <w:numFmt w:val="bullet"/>
      <w:lvlText w:val=""/>
      <w:lvlJc w:val="left"/>
      <w:pPr>
        <w:ind w:left="2880" w:hanging="360"/>
      </w:pPr>
      <w:rPr>
        <w:rFonts w:ascii="Symbol" w:hAnsi="Symbol" w:hint="default"/>
      </w:rPr>
    </w:lvl>
    <w:lvl w:ilvl="4" w:tplc="6442B0E2" w:tentative="1">
      <w:start w:val="1"/>
      <w:numFmt w:val="bullet"/>
      <w:lvlText w:val="o"/>
      <w:lvlJc w:val="left"/>
      <w:pPr>
        <w:ind w:left="3600" w:hanging="360"/>
      </w:pPr>
      <w:rPr>
        <w:rFonts w:ascii="Courier New" w:hAnsi="Courier New" w:cs="Courier New" w:hint="default"/>
      </w:rPr>
    </w:lvl>
    <w:lvl w:ilvl="5" w:tplc="580899DC" w:tentative="1">
      <w:start w:val="1"/>
      <w:numFmt w:val="bullet"/>
      <w:lvlText w:val=""/>
      <w:lvlJc w:val="left"/>
      <w:pPr>
        <w:ind w:left="4320" w:hanging="360"/>
      </w:pPr>
      <w:rPr>
        <w:rFonts w:ascii="Wingdings" w:hAnsi="Wingdings" w:hint="default"/>
      </w:rPr>
    </w:lvl>
    <w:lvl w:ilvl="6" w:tplc="11FA01BA" w:tentative="1">
      <w:start w:val="1"/>
      <w:numFmt w:val="bullet"/>
      <w:lvlText w:val=""/>
      <w:lvlJc w:val="left"/>
      <w:pPr>
        <w:ind w:left="5040" w:hanging="360"/>
      </w:pPr>
      <w:rPr>
        <w:rFonts w:ascii="Symbol" w:hAnsi="Symbol" w:hint="default"/>
      </w:rPr>
    </w:lvl>
    <w:lvl w:ilvl="7" w:tplc="80C4567C" w:tentative="1">
      <w:start w:val="1"/>
      <w:numFmt w:val="bullet"/>
      <w:lvlText w:val="o"/>
      <w:lvlJc w:val="left"/>
      <w:pPr>
        <w:ind w:left="5760" w:hanging="360"/>
      </w:pPr>
      <w:rPr>
        <w:rFonts w:ascii="Courier New" w:hAnsi="Courier New" w:cs="Courier New" w:hint="default"/>
      </w:rPr>
    </w:lvl>
    <w:lvl w:ilvl="8" w:tplc="3556A20A" w:tentative="1">
      <w:start w:val="1"/>
      <w:numFmt w:val="bullet"/>
      <w:lvlText w:val=""/>
      <w:lvlJc w:val="left"/>
      <w:pPr>
        <w:ind w:left="6480" w:hanging="360"/>
      </w:pPr>
      <w:rPr>
        <w:rFonts w:ascii="Wingdings" w:hAnsi="Wingdings" w:hint="default"/>
      </w:rPr>
    </w:lvl>
  </w:abstractNum>
  <w:abstractNum w:abstractNumId="24" w15:restartNumberingAfterBreak="0">
    <w:nsid w:val="7B8A3481"/>
    <w:multiLevelType w:val="hybridMultilevel"/>
    <w:tmpl w:val="57B64F62"/>
    <w:lvl w:ilvl="0" w:tplc="6AFE0464">
      <w:start w:val="1"/>
      <w:numFmt w:val="bullet"/>
      <w:lvlText w:val=""/>
      <w:lvlJc w:val="left"/>
      <w:pPr>
        <w:ind w:left="720" w:hanging="360"/>
      </w:pPr>
      <w:rPr>
        <w:rFonts w:ascii="Symbol" w:hAnsi="Symbol" w:hint="default"/>
      </w:rPr>
    </w:lvl>
    <w:lvl w:ilvl="1" w:tplc="BEBCD92A" w:tentative="1">
      <w:start w:val="1"/>
      <w:numFmt w:val="bullet"/>
      <w:lvlText w:val="o"/>
      <w:lvlJc w:val="left"/>
      <w:pPr>
        <w:ind w:left="1440" w:hanging="360"/>
      </w:pPr>
      <w:rPr>
        <w:rFonts w:ascii="Courier New" w:hAnsi="Courier New" w:cs="Courier New" w:hint="default"/>
      </w:rPr>
    </w:lvl>
    <w:lvl w:ilvl="2" w:tplc="D3609634" w:tentative="1">
      <w:start w:val="1"/>
      <w:numFmt w:val="bullet"/>
      <w:lvlText w:val=""/>
      <w:lvlJc w:val="left"/>
      <w:pPr>
        <w:ind w:left="2160" w:hanging="360"/>
      </w:pPr>
      <w:rPr>
        <w:rFonts w:ascii="Wingdings" w:hAnsi="Wingdings" w:hint="default"/>
      </w:rPr>
    </w:lvl>
    <w:lvl w:ilvl="3" w:tplc="BC14EEF0" w:tentative="1">
      <w:start w:val="1"/>
      <w:numFmt w:val="bullet"/>
      <w:lvlText w:val=""/>
      <w:lvlJc w:val="left"/>
      <w:pPr>
        <w:ind w:left="2880" w:hanging="360"/>
      </w:pPr>
      <w:rPr>
        <w:rFonts w:ascii="Symbol" w:hAnsi="Symbol" w:hint="default"/>
      </w:rPr>
    </w:lvl>
    <w:lvl w:ilvl="4" w:tplc="008C3ED2" w:tentative="1">
      <w:start w:val="1"/>
      <w:numFmt w:val="bullet"/>
      <w:lvlText w:val="o"/>
      <w:lvlJc w:val="left"/>
      <w:pPr>
        <w:ind w:left="3600" w:hanging="360"/>
      </w:pPr>
      <w:rPr>
        <w:rFonts w:ascii="Courier New" w:hAnsi="Courier New" w:cs="Courier New" w:hint="default"/>
      </w:rPr>
    </w:lvl>
    <w:lvl w:ilvl="5" w:tplc="58726122" w:tentative="1">
      <w:start w:val="1"/>
      <w:numFmt w:val="bullet"/>
      <w:lvlText w:val=""/>
      <w:lvlJc w:val="left"/>
      <w:pPr>
        <w:ind w:left="4320" w:hanging="360"/>
      </w:pPr>
      <w:rPr>
        <w:rFonts w:ascii="Wingdings" w:hAnsi="Wingdings" w:hint="default"/>
      </w:rPr>
    </w:lvl>
    <w:lvl w:ilvl="6" w:tplc="BE08E04A" w:tentative="1">
      <w:start w:val="1"/>
      <w:numFmt w:val="bullet"/>
      <w:lvlText w:val=""/>
      <w:lvlJc w:val="left"/>
      <w:pPr>
        <w:ind w:left="5040" w:hanging="360"/>
      </w:pPr>
      <w:rPr>
        <w:rFonts w:ascii="Symbol" w:hAnsi="Symbol" w:hint="default"/>
      </w:rPr>
    </w:lvl>
    <w:lvl w:ilvl="7" w:tplc="3A96E896" w:tentative="1">
      <w:start w:val="1"/>
      <w:numFmt w:val="bullet"/>
      <w:lvlText w:val="o"/>
      <w:lvlJc w:val="left"/>
      <w:pPr>
        <w:ind w:left="5760" w:hanging="360"/>
      </w:pPr>
      <w:rPr>
        <w:rFonts w:ascii="Courier New" w:hAnsi="Courier New" w:cs="Courier New" w:hint="default"/>
      </w:rPr>
    </w:lvl>
    <w:lvl w:ilvl="8" w:tplc="7C703B40" w:tentative="1">
      <w:start w:val="1"/>
      <w:numFmt w:val="bullet"/>
      <w:lvlText w:val=""/>
      <w:lvlJc w:val="left"/>
      <w:pPr>
        <w:ind w:left="6480" w:hanging="360"/>
      </w:pPr>
      <w:rPr>
        <w:rFonts w:ascii="Wingdings" w:hAnsi="Wingdings" w:hint="default"/>
      </w:rPr>
    </w:lvl>
  </w:abstractNum>
  <w:abstractNum w:abstractNumId="25" w15:restartNumberingAfterBreak="0">
    <w:nsid w:val="7D4811F6"/>
    <w:multiLevelType w:val="hybridMultilevel"/>
    <w:tmpl w:val="1D28D1FE"/>
    <w:lvl w:ilvl="0" w:tplc="7E38A14E">
      <w:numFmt w:val="bullet"/>
      <w:lvlText w:val="-"/>
      <w:lvlJc w:val="left"/>
      <w:pPr>
        <w:ind w:left="720" w:hanging="360"/>
      </w:pPr>
      <w:rPr>
        <w:rFonts w:ascii="Arial Narrow" w:eastAsia="MS Mincho"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BE2181"/>
    <w:multiLevelType w:val="hybridMultilevel"/>
    <w:tmpl w:val="44A25960"/>
    <w:lvl w:ilvl="0" w:tplc="1E8C36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E8718B"/>
    <w:multiLevelType w:val="hybridMultilevel"/>
    <w:tmpl w:val="1E82B0D4"/>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6"/>
  </w:num>
  <w:num w:numId="3">
    <w:abstractNumId w:val="24"/>
  </w:num>
  <w:num w:numId="4">
    <w:abstractNumId w:val="19"/>
  </w:num>
  <w:num w:numId="5">
    <w:abstractNumId w:val="8"/>
  </w:num>
  <w:num w:numId="6">
    <w:abstractNumId w:val="1"/>
  </w:num>
  <w:num w:numId="7">
    <w:abstractNumId w:val="1"/>
  </w:num>
  <w:num w:numId="8">
    <w:abstractNumId w:val="23"/>
  </w:num>
  <w:num w:numId="9">
    <w:abstractNumId w:val="21"/>
  </w:num>
  <w:num w:numId="10">
    <w:abstractNumId w:val="11"/>
  </w:num>
  <w:num w:numId="11">
    <w:abstractNumId w:val="24"/>
  </w:num>
  <w:num w:numId="12">
    <w:abstractNumId w:val="3"/>
  </w:num>
  <w:num w:numId="13">
    <w:abstractNumId w:val="6"/>
  </w:num>
  <w:num w:numId="14">
    <w:abstractNumId w:val="10"/>
  </w:num>
  <w:num w:numId="15">
    <w:abstractNumId w:val="15"/>
  </w:num>
  <w:num w:numId="16">
    <w:abstractNumId w:val="4"/>
  </w:num>
  <w:num w:numId="17">
    <w:abstractNumId w:val="22"/>
  </w:num>
  <w:num w:numId="18">
    <w:abstractNumId w:val="14"/>
  </w:num>
  <w:num w:numId="19">
    <w:abstractNumId w:val="9"/>
  </w:num>
  <w:num w:numId="20">
    <w:abstractNumId w:val="13"/>
  </w:num>
  <w:num w:numId="21">
    <w:abstractNumId w:val="27"/>
  </w:num>
  <w:num w:numId="22">
    <w:abstractNumId w:val="12"/>
  </w:num>
  <w:num w:numId="23">
    <w:abstractNumId w:val="20"/>
  </w:num>
  <w:num w:numId="24">
    <w:abstractNumId w:val="26"/>
  </w:num>
  <w:num w:numId="25">
    <w:abstractNumId w:val="18"/>
  </w:num>
  <w:num w:numId="26">
    <w:abstractNumId w:val="25"/>
  </w:num>
  <w:num w:numId="27">
    <w:abstractNumId w:val="7"/>
  </w:num>
  <w:num w:numId="28">
    <w:abstractNumId w:val="5"/>
  </w:num>
  <w:num w:numId="29">
    <w:abstractNumId w:val="2"/>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it-IT" w:vendorID="64" w:dllVersion="131078" w:nlCheck="1" w:checkStyle="0"/>
  <w:activeWritingStyle w:appName="MSWord" w:lang="es-PE" w:vendorID="64" w:dllVersion="131078" w:nlCheck="1" w:checkStyle="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de-DE" w:vendorID="64" w:dllVersion="131078" w:nlCheck="1" w:checkStyle="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FD54F1"/>
    <w:rsid w:val="00000190"/>
    <w:rsid w:val="00001FAE"/>
    <w:rsid w:val="00003E5E"/>
    <w:rsid w:val="0000474B"/>
    <w:rsid w:val="000049A4"/>
    <w:rsid w:val="00005660"/>
    <w:rsid w:val="000070CF"/>
    <w:rsid w:val="000071B2"/>
    <w:rsid w:val="00010911"/>
    <w:rsid w:val="00011D29"/>
    <w:rsid w:val="00013523"/>
    <w:rsid w:val="00014874"/>
    <w:rsid w:val="00016D61"/>
    <w:rsid w:val="0001712E"/>
    <w:rsid w:val="000212A9"/>
    <w:rsid w:val="00021B5E"/>
    <w:rsid w:val="00022DA0"/>
    <w:rsid w:val="0002410F"/>
    <w:rsid w:val="00024C39"/>
    <w:rsid w:val="00024DBA"/>
    <w:rsid w:val="00025D39"/>
    <w:rsid w:val="00030CC4"/>
    <w:rsid w:val="00030E82"/>
    <w:rsid w:val="00032A36"/>
    <w:rsid w:val="000343EF"/>
    <w:rsid w:val="0003556A"/>
    <w:rsid w:val="00035620"/>
    <w:rsid w:val="00036F7B"/>
    <w:rsid w:val="00040B21"/>
    <w:rsid w:val="000415B8"/>
    <w:rsid w:val="00044B50"/>
    <w:rsid w:val="000460E7"/>
    <w:rsid w:val="00046AB5"/>
    <w:rsid w:val="00050A02"/>
    <w:rsid w:val="00051AFD"/>
    <w:rsid w:val="00051B7C"/>
    <w:rsid w:val="00051EE3"/>
    <w:rsid w:val="00052AC0"/>
    <w:rsid w:val="000547DA"/>
    <w:rsid w:val="00055732"/>
    <w:rsid w:val="00056D69"/>
    <w:rsid w:val="00056F64"/>
    <w:rsid w:val="00061C88"/>
    <w:rsid w:val="00066D49"/>
    <w:rsid w:val="000702EA"/>
    <w:rsid w:val="00072031"/>
    <w:rsid w:val="00072D07"/>
    <w:rsid w:val="000732F1"/>
    <w:rsid w:val="0007389F"/>
    <w:rsid w:val="00074E36"/>
    <w:rsid w:val="00077B4D"/>
    <w:rsid w:val="000805F5"/>
    <w:rsid w:val="0008074E"/>
    <w:rsid w:val="0008125F"/>
    <w:rsid w:val="00081481"/>
    <w:rsid w:val="000816B3"/>
    <w:rsid w:val="0008258F"/>
    <w:rsid w:val="00082E63"/>
    <w:rsid w:val="00084C27"/>
    <w:rsid w:val="00086A19"/>
    <w:rsid w:val="00087F9E"/>
    <w:rsid w:val="00090320"/>
    <w:rsid w:val="0009154F"/>
    <w:rsid w:val="000922AB"/>
    <w:rsid w:val="00092790"/>
    <w:rsid w:val="000936B6"/>
    <w:rsid w:val="000945CF"/>
    <w:rsid w:val="00096277"/>
    <w:rsid w:val="00096C20"/>
    <w:rsid w:val="00096CF4"/>
    <w:rsid w:val="00096E23"/>
    <w:rsid w:val="00096F42"/>
    <w:rsid w:val="000A1065"/>
    <w:rsid w:val="000A13E3"/>
    <w:rsid w:val="000A13E9"/>
    <w:rsid w:val="000A1B81"/>
    <w:rsid w:val="000A1FB5"/>
    <w:rsid w:val="000A27EA"/>
    <w:rsid w:val="000A30B0"/>
    <w:rsid w:val="000A5A75"/>
    <w:rsid w:val="000A5D78"/>
    <w:rsid w:val="000A71A1"/>
    <w:rsid w:val="000A758E"/>
    <w:rsid w:val="000B0635"/>
    <w:rsid w:val="000B0802"/>
    <w:rsid w:val="000B1DA6"/>
    <w:rsid w:val="000B211C"/>
    <w:rsid w:val="000B44F8"/>
    <w:rsid w:val="000B5198"/>
    <w:rsid w:val="000B5D6D"/>
    <w:rsid w:val="000B6B39"/>
    <w:rsid w:val="000B6F11"/>
    <w:rsid w:val="000C12CA"/>
    <w:rsid w:val="000C1D4F"/>
    <w:rsid w:val="000C20EF"/>
    <w:rsid w:val="000C2550"/>
    <w:rsid w:val="000C2F0B"/>
    <w:rsid w:val="000C3819"/>
    <w:rsid w:val="000C48DA"/>
    <w:rsid w:val="000C73E3"/>
    <w:rsid w:val="000D1183"/>
    <w:rsid w:val="000D24C9"/>
    <w:rsid w:val="000D2B0F"/>
    <w:rsid w:val="000D3052"/>
    <w:rsid w:val="000D464F"/>
    <w:rsid w:val="000D4DCD"/>
    <w:rsid w:val="000D510D"/>
    <w:rsid w:val="000D58EF"/>
    <w:rsid w:val="000D7359"/>
    <w:rsid w:val="000D7D52"/>
    <w:rsid w:val="000E1784"/>
    <w:rsid w:val="000E1FFF"/>
    <w:rsid w:val="000E2BE9"/>
    <w:rsid w:val="000E3C92"/>
    <w:rsid w:val="000E450A"/>
    <w:rsid w:val="000E518B"/>
    <w:rsid w:val="000E5569"/>
    <w:rsid w:val="000E7AA7"/>
    <w:rsid w:val="000F017D"/>
    <w:rsid w:val="000F0E74"/>
    <w:rsid w:val="000F2DFF"/>
    <w:rsid w:val="000F39FD"/>
    <w:rsid w:val="000F3B0B"/>
    <w:rsid w:val="000F425F"/>
    <w:rsid w:val="000F4630"/>
    <w:rsid w:val="000F46A4"/>
    <w:rsid w:val="000F4F22"/>
    <w:rsid w:val="000F76B0"/>
    <w:rsid w:val="000F76E7"/>
    <w:rsid w:val="000F7DE5"/>
    <w:rsid w:val="0010119B"/>
    <w:rsid w:val="00101BEA"/>
    <w:rsid w:val="00102544"/>
    <w:rsid w:val="0010273B"/>
    <w:rsid w:val="00104655"/>
    <w:rsid w:val="001047A9"/>
    <w:rsid w:val="0010524E"/>
    <w:rsid w:val="00105DB1"/>
    <w:rsid w:val="00106678"/>
    <w:rsid w:val="001069DD"/>
    <w:rsid w:val="00107216"/>
    <w:rsid w:val="00111820"/>
    <w:rsid w:val="00112C51"/>
    <w:rsid w:val="00112F0F"/>
    <w:rsid w:val="0011457B"/>
    <w:rsid w:val="001153E9"/>
    <w:rsid w:val="00116725"/>
    <w:rsid w:val="00116EE2"/>
    <w:rsid w:val="00117452"/>
    <w:rsid w:val="00121D17"/>
    <w:rsid w:val="00122312"/>
    <w:rsid w:val="0012232B"/>
    <w:rsid w:val="00124925"/>
    <w:rsid w:val="00125AC0"/>
    <w:rsid w:val="001266A9"/>
    <w:rsid w:val="001270B8"/>
    <w:rsid w:val="00127462"/>
    <w:rsid w:val="00130171"/>
    <w:rsid w:val="00130799"/>
    <w:rsid w:val="00130989"/>
    <w:rsid w:val="001311F7"/>
    <w:rsid w:val="00132531"/>
    <w:rsid w:val="0013318F"/>
    <w:rsid w:val="001350B5"/>
    <w:rsid w:val="0013537C"/>
    <w:rsid w:val="00136ED6"/>
    <w:rsid w:val="00140326"/>
    <w:rsid w:val="001404BA"/>
    <w:rsid w:val="0014241A"/>
    <w:rsid w:val="00142714"/>
    <w:rsid w:val="001449B4"/>
    <w:rsid w:val="00145140"/>
    <w:rsid w:val="001461D7"/>
    <w:rsid w:val="00150BFA"/>
    <w:rsid w:val="00152124"/>
    <w:rsid w:val="00152131"/>
    <w:rsid w:val="00152414"/>
    <w:rsid w:val="00152F0E"/>
    <w:rsid w:val="001543D5"/>
    <w:rsid w:val="00154D03"/>
    <w:rsid w:val="00161C53"/>
    <w:rsid w:val="00163960"/>
    <w:rsid w:val="00165DF1"/>
    <w:rsid w:val="00165E62"/>
    <w:rsid w:val="00170445"/>
    <w:rsid w:val="00172919"/>
    <w:rsid w:val="00172FB8"/>
    <w:rsid w:val="0017367E"/>
    <w:rsid w:val="00173938"/>
    <w:rsid w:val="00173D45"/>
    <w:rsid w:val="00174187"/>
    <w:rsid w:val="00174F31"/>
    <w:rsid w:val="00175E0E"/>
    <w:rsid w:val="00175E33"/>
    <w:rsid w:val="00177A84"/>
    <w:rsid w:val="0018365B"/>
    <w:rsid w:val="00185250"/>
    <w:rsid w:val="001864BD"/>
    <w:rsid w:val="001872FB"/>
    <w:rsid w:val="00192C62"/>
    <w:rsid w:val="0019304D"/>
    <w:rsid w:val="00195988"/>
    <w:rsid w:val="001960F4"/>
    <w:rsid w:val="001A0ACF"/>
    <w:rsid w:val="001A1382"/>
    <w:rsid w:val="001A14F0"/>
    <w:rsid w:val="001A23BD"/>
    <w:rsid w:val="001A292C"/>
    <w:rsid w:val="001A2C7F"/>
    <w:rsid w:val="001A337A"/>
    <w:rsid w:val="001A7295"/>
    <w:rsid w:val="001A7E35"/>
    <w:rsid w:val="001B0FE5"/>
    <w:rsid w:val="001B3BF6"/>
    <w:rsid w:val="001B446C"/>
    <w:rsid w:val="001B6BDD"/>
    <w:rsid w:val="001B7B77"/>
    <w:rsid w:val="001B7D37"/>
    <w:rsid w:val="001B7FB2"/>
    <w:rsid w:val="001C158E"/>
    <w:rsid w:val="001C1D8D"/>
    <w:rsid w:val="001C1FE2"/>
    <w:rsid w:val="001C2188"/>
    <w:rsid w:val="001C43DB"/>
    <w:rsid w:val="001C5CF3"/>
    <w:rsid w:val="001D1F53"/>
    <w:rsid w:val="001D25A7"/>
    <w:rsid w:val="001D74E7"/>
    <w:rsid w:val="001E0665"/>
    <w:rsid w:val="001E06B3"/>
    <w:rsid w:val="001E09C9"/>
    <w:rsid w:val="001E1169"/>
    <w:rsid w:val="001E2117"/>
    <w:rsid w:val="001E2D39"/>
    <w:rsid w:val="001E34EA"/>
    <w:rsid w:val="001E37EC"/>
    <w:rsid w:val="001E3E67"/>
    <w:rsid w:val="001E4C8B"/>
    <w:rsid w:val="001E5E4F"/>
    <w:rsid w:val="001E60C7"/>
    <w:rsid w:val="001E6387"/>
    <w:rsid w:val="001E66DD"/>
    <w:rsid w:val="001E7230"/>
    <w:rsid w:val="001E765B"/>
    <w:rsid w:val="001E7672"/>
    <w:rsid w:val="001F2ABA"/>
    <w:rsid w:val="001F3A5D"/>
    <w:rsid w:val="001F49FD"/>
    <w:rsid w:val="001F5E2F"/>
    <w:rsid w:val="001F7F3E"/>
    <w:rsid w:val="00200A04"/>
    <w:rsid w:val="00200B38"/>
    <w:rsid w:val="0020258D"/>
    <w:rsid w:val="00202EBD"/>
    <w:rsid w:val="0020350B"/>
    <w:rsid w:val="00210DBB"/>
    <w:rsid w:val="00211762"/>
    <w:rsid w:val="002120C7"/>
    <w:rsid w:val="0021385F"/>
    <w:rsid w:val="0021393B"/>
    <w:rsid w:val="00214A8E"/>
    <w:rsid w:val="00215AE6"/>
    <w:rsid w:val="0021716C"/>
    <w:rsid w:val="00217551"/>
    <w:rsid w:val="002178FC"/>
    <w:rsid w:val="00220601"/>
    <w:rsid w:val="0022092C"/>
    <w:rsid w:val="00220D57"/>
    <w:rsid w:val="002213E1"/>
    <w:rsid w:val="00221CF1"/>
    <w:rsid w:val="00221EE0"/>
    <w:rsid w:val="00223443"/>
    <w:rsid w:val="002237F6"/>
    <w:rsid w:val="00224CFB"/>
    <w:rsid w:val="00225CE1"/>
    <w:rsid w:val="002275D6"/>
    <w:rsid w:val="00234440"/>
    <w:rsid w:val="00234E8A"/>
    <w:rsid w:val="002377FE"/>
    <w:rsid w:val="002409B0"/>
    <w:rsid w:val="00244770"/>
    <w:rsid w:val="002477ED"/>
    <w:rsid w:val="002508BF"/>
    <w:rsid w:val="0025108D"/>
    <w:rsid w:val="002520D2"/>
    <w:rsid w:val="002524E8"/>
    <w:rsid w:val="00253365"/>
    <w:rsid w:val="002536EA"/>
    <w:rsid w:val="00253992"/>
    <w:rsid w:val="002543DF"/>
    <w:rsid w:val="00260015"/>
    <w:rsid w:val="00260ABC"/>
    <w:rsid w:val="00261467"/>
    <w:rsid w:val="00264DE7"/>
    <w:rsid w:val="002664D8"/>
    <w:rsid w:val="002668BE"/>
    <w:rsid w:val="00267098"/>
    <w:rsid w:val="002675A5"/>
    <w:rsid w:val="00267B67"/>
    <w:rsid w:val="00267D24"/>
    <w:rsid w:val="0027040B"/>
    <w:rsid w:val="00270647"/>
    <w:rsid w:val="00270ECF"/>
    <w:rsid w:val="002715C8"/>
    <w:rsid w:val="00271FF1"/>
    <w:rsid w:val="00272B4A"/>
    <w:rsid w:val="00273AC9"/>
    <w:rsid w:val="00274134"/>
    <w:rsid w:val="00276056"/>
    <w:rsid w:val="002767FD"/>
    <w:rsid w:val="002777A1"/>
    <w:rsid w:val="0028048E"/>
    <w:rsid w:val="00280623"/>
    <w:rsid w:val="002808E4"/>
    <w:rsid w:val="002810F9"/>
    <w:rsid w:val="0028295C"/>
    <w:rsid w:val="00283EA4"/>
    <w:rsid w:val="002843A7"/>
    <w:rsid w:val="00284998"/>
    <w:rsid w:val="002849A3"/>
    <w:rsid w:val="00284F07"/>
    <w:rsid w:val="00286220"/>
    <w:rsid w:val="0028752F"/>
    <w:rsid w:val="002915BE"/>
    <w:rsid w:val="002933BC"/>
    <w:rsid w:val="0029369E"/>
    <w:rsid w:val="0029553D"/>
    <w:rsid w:val="002959EF"/>
    <w:rsid w:val="00297B03"/>
    <w:rsid w:val="00297CDE"/>
    <w:rsid w:val="002A1FC6"/>
    <w:rsid w:val="002A2644"/>
    <w:rsid w:val="002A2D14"/>
    <w:rsid w:val="002A4E3D"/>
    <w:rsid w:val="002A5057"/>
    <w:rsid w:val="002A70DB"/>
    <w:rsid w:val="002B0087"/>
    <w:rsid w:val="002B136B"/>
    <w:rsid w:val="002B294C"/>
    <w:rsid w:val="002B31A5"/>
    <w:rsid w:val="002B4834"/>
    <w:rsid w:val="002B6FD0"/>
    <w:rsid w:val="002C23EA"/>
    <w:rsid w:val="002C2BE0"/>
    <w:rsid w:val="002C2C6C"/>
    <w:rsid w:val="002C3959"/>
    <w:rsid w:val="002C3DCB"/>
    <w:rsid w:val="002C3F4A"/>
    <w:rsid w:val="002C4293"/>
    <w:rsid w:val="002C4D9E"/>
    <w:rsid w:val="002C5F9A"/>
    <w:rsid w:val="002C7AFE"/>
    <w:rsid w:val="002C7FB9"/>
    <w:rsid w:val="002D260E"/>
    <w:rsid w:val="002D3E88"/>
    <w:rsid w:val="002D46AD"/>
    <w:rsid w:val="002D76D2"/>
    <w:rsid w:val="002E0690"/>
    <w:rsid w:val="002E27DB"/>
    <w:rsid w:val="002E2EBE"/>
    <w:rsid w:val="002E3793"/>
    <w:rsid w:val="002E3EBF"/>
    <w:rsid w:val="002E60A8"/>
    <w:rsid w:val="002E6D93"/>
    <w:rsid w:val="002E7AD0"/>
    <w:rsid w:val="002F0BF5"/>
    <w:rsid w:val="002F2024"/>
    <w:rsid w:val="002F27BC"/>
    <w:rsid w:val="002F39D8"/>
    <w:rsid w:val="002F3CA9"/>
    <w:rsid w:val="002F6856"/>
    <w:rsid w:val="002F7518"/>
    <w:rsid w:val="00300CE9"/>
    <w:rsid w:val="00302218"/>
    <w:rsid w:val="0030224C"/>
    <w:rsid w:val="00303140"/>
    <w:rsid w:val="00303C26"/>
    <w:rsid w:val="00304148"/>
    <w:rsid w:val="003062DD"/>
    <w:rsid w:val="00306402"/>
    <w:rsid w:val="00306577"/>
    <w:rsid w:val="0030666E"/>
    <w:rsid w:val="00312958"/>
    <w:rsid w:val="00312A2A"/>
    <w:rsid w:val="00315397"/>
    <w:rsid w:val="00315FFC"/>
    <w:rsid w:val="003167F3"/>
    <w:rsid w:val="00316F59"/>
    <w:rsid w:val="0031714F"/>
    <w:rsid w:val="00317DB3"/>
    <w:rsid w:val="00317E84"/>
    <w:rsid w:val="00320D11"/>
    <w:rsid w:val="00324A6A"/>
    <w:rsid w:val="00324EC6"/>
    <w:rsid w:val="0032736F"/>
    <w:rsid w:val="00330D04"/>
    <w:rsid w:val="003312A8"/>
    <w:rsid w:val="00332101"/>
    <w:rsid w:val="00334D4F"/>
    <w:rsid w:val="00334DF6"/>
    <w:rsid w:val="00335191"/>
    <w:rsid w:val="00335198"/>
    <w:rsid w:val="00335A2F"/>
    <w:rsid w:val="00335C08"/>
    <w:rsid w:val="003362A3"/>
    <w:rsid w:val="003376AB"/>
    <w:rsid w:val="00340DA5"/>
    <w:rsid w:val="003433BF"/>
    <w:rsid w:val="00344758"/>
    <w:rsid w:val="003456F0"/>
    <w:rsid w:val="0034695B"/>
    <w:rsid w:val="003470E3"/>
    <w:rsid w:val="00347B11"/>
    <w:rsid w:val="00350FC0"/>
    <w:rsid w:val="003523B4"/>
    <w:rsid w:val="003524E5"/>
    <w:rsid w:val="003550B2"/>
    <w:rsid w:val="00355367"/>
    <w:rsid w:val="0035566B"/>
    <w:rsid w:val="003567FC"/>
    <w:rsid w:val="0035727F"/>
    <w:rsid w:val="00357DDF"/>
    <w:rsid w:val="00360EB7"/>
    <w:rsid w:val="00361BA1"/>
    <w:rsid w:val="00362B95"/>
    <w:rsid w:val="00363995"/>
    <w:rsid w:val="00364D24"/>
    <w:rsid w:val="00364F8C"/>
    <w:rsid w:val="0036672B"/>
    <w:rsid w:val="00366E8D"/>
    <w:rsid w:val="00367817"/>
    <w:rsid w:val="00370361"/>
    <w:rsid w:val="003704D8"/>
    <w:rsid w:val="00371CAD"/>
    <w:rsid w:val="00371F5A"/>
    <w:rsid w:val="0037306C"/>
    <w:rsid w:val="003755FA"/>
    <w:rsid w:val="00375A96"/>
    <w:rsid w:val="00376683"/>
    <w:rsid w:val="00381F75"/>
    <w:rsid w:val="00383F74"/>
    <w:rsid w:val="0038442E"/>
    <w:rsid w:val="003844B4"/>
    <w:rsid w:val="00385E25"/>
    <w:rsid w:val="0038638F"/>
    <w:rsid w:val="003905E8"/>
    <w:rsid w:val="003909D0"/>
    <w:rsid w:val="003915CD"/>
    <w:rsid w:val="00394A38"/>
    <w:rsid w:val="003956DA"/>
    <w:rsid w:val="00396FE6"/>
    <w:rsid w:val="003972F6"/>
    <w:rsid w:val="00397973"/>
    <w:rsid w:val="003A03E3"/>
    <w:rsid w:val="003A0BC6"/>
    <w:rsid w:val="003A15D5"/>
    <w:rsid w:val="003A2A69"/>
    <w:rsid w:val="003A35F4"/>
    <w:rsid w:val="003A62D7"/>
    <w:rsid w:val="003A63E4"/>
    <w:rsid w:val="003A6565"/>
    <w:rsid w:val="003A6BC3"/>
    <w:rsid w:val="003A720E"/>
    <w:rsid w:val="003A78A4"/>
    <w:rsid w:val="003B0346"/>
    <w:rsid w:val="003B0CE0"/>
    <w:rsid w:val="003B0F02"/>
    <w:rsid w:val="003B2090"/>
    <w:rsid w:val="003B2931"/>
    <w:rsid w:val="003B297D"/>
    <w:rsid w:val="003B5EDB"/>
    <w:rsid w:val="003B6254"/>
    <w:rsid w:val="003B73B8"/>
    <w:rsid w:val="003C012B"/>
    <w:rsid w:val="003C2855"/>
    <w:rsid w:val="003C2BA1"/>
    <w:rsid w:val="003C521B"/>
    <w:rsid w:val="003C5626"/>
    <w:rsid w:val="003C57D8"/>
    <w:rsid w:val="003C6EDE"/>
    <w:rsid w:val="003D15C2"/>
    <w:rsid w:val="003D1BA2"/>
    <w:rsid w:val="003D2B57"/>
    <w:rsid w:val="003D3FA3"/>
    <w:rsid w:val="003D3FD2"/>
    <w:rsid w:val="003D535B"/>
    <w:rsid w:val="003D6473"/>
    <w:rsid w:val="003D72AA"/>
    <w:rsid w:val="003E1028"/>
    <w:rsid w:val="003E142E"/>
    <w:rsid w:val="003E2810"/>
    <w:rsid w:val="003E4795"/>
    <w:rsid w:val="003E5A60"/>
    <w:rsid w:val="003E5B2E"/>
    <w:rsid w:val="003E679A"/>
    <w:rsid w:val="003E7765"/>
    <w:rsid w:val="003E77E5"/>
    <w:rsid w:val="003E7D58"/>
    <w:rsid w:val="003F0BC8"/>
    <w:rsid w:val="003F0EB9"/>
    <w:rsid w:val="003F0ECE"/>
    <w:rsid w:val="003F1154"/>
    <w:rsid w:val="003F1655"/>
    <w:rsid w:val="003F2736"/>
    <w:rsid w:val="003F3038"/>
    <w:rsid w:val="003F4FF1"/>
    <w:rsid w:val="003F55F1"/>
    <w:rsid w:val="003F56E2"/>
    <w:rsid w:val="003F6342"/>
    <w:rsid w:val="003F7035"/>
    <w:rsid w:val="00400EB6"/>
    <w:rsid w:val="00401347"/>
    <w:rsid w:val="0040152E"/>
    <w:rsid w:val="00401A4D"/>
    <w:rsid w:val="00401F27"/>
    <w:rsid w:val="004025B2"/>
    <w:rsid w:val="00403188"/>
    <w:rsid w:val="004040EA"/>
    <w:rsid w:val="004066B0"/>
    <w:rsid w:val="00406CFB"/>
    <w:rsid w:val="004159B9"/>
    <w:rsid w:val="004201F1"/>
    <w:rsid w:val="004208CB"/>
    <w:rsid w:val="00420CAA"/>
    <w:rsid w:val="00421E10"/>
    <w:rsid w:val="00423369"/>
    <w:rsid w:val="00424C8E"/>
    <w:rsid w:val="00425319"/>
    <w:rsid w:val="0042575F"/>
    <w:rsid w:val="00426F5F"/>
    <w:rsid w:val="00427404"/>
    <w:rsid w:val="00431ED1"/>
    <w:rsid w:val="00432D80"/>
    <w:rsid w:val="004355E0"/>
    <w:rsid w:val="00436F5B"/>
    <w:rsid w:val="00437095"/>
    <w:rsid w:val="004379B0"/>
    <w:rsid w:val="00440402"/>
    <w:rsid w:val="00441827"/>
    <w:rsid w:val="00442374"/>
    <w:rsid w:val="0044297E"/>
    <w:rsid w:val="00444770"/>
    <w:rsid w:val="0044652E"/>
    <w:rsid w:val="004470EC"/>
    <w:rsid w:val="004510DB"/>
    <w:rsid w:val="00451840"/>
    <w:rsid w:val="00453735"/>
    <w:rsid w:val="004549A5"/>
    <w:rsid w:val="00455099"/>
    <w:rsid w:val="0045531C"/>
    <w:rsid w:val="00455329"/>
    <w:rsid w:val="004570E1"/>
    <w:rsid w:val="00457559"/>
    <w:rsid w:val="00460E7C"/>
    <w:rsid w:val="00461894"/>
    <w:rsid w:val="00463BF4"/>
    <w:rsid w:val="0046501A"/>
    <w:rsid w:val="0046784F"/>
    <w:rsid w:val="00467D25"/>
    <w:rsid w:val="00467DC3"/>
    <w:rsid w:val="00470035"/>
    <w:rsid w:val="0047075F"/>
    <w:rsid w:val="00471D0D"/>
    <w:rsid w:val="0047383C"/>
    <w:rsid w:val="00475149"/>
    <w:rsid w:val="0047561B"/>
    <w:rsid w:val="00477357"/>
    <w:rsid w:val="004775E8"/>
    <w:rsid w:val="004820EC"/>
    <w:rsid w:val="00482F07"/>
    <w:rsid w:val="00483406"/>
    <w:rsid w:val="00483977"/>
    <w:rsid w:val="00485B39"/>
    <w:rsid w:val="00490462"/>
    <w:rsid w:val="00491B88"/>
    <w:rsid w:val="00492024"/>
    <w:rsid w:val="004925B5"/>
    <w:rsid w:val="00492941"/>
    <w:rsid w:val="00494440"/>
    <w:rsid w:val="004976E9"/>
    <w:rsid w:val="004A1C18"/>
    <w:rsid w:val="004A3CDE"/>
    <w:rsid w:val="004A413F"/>
    <w:rsid w:val="004A438C"/>
    <w:rsid w:val="004A52CA"/>
    <w:rsid w:val="004A72DA"/>
    <w:rsid w:val="004A7A04"/>
    <w:rsid w:val="004B0CC9"/>
    <w:rsid w:val="004B22CA"/>
    <w:rsid w:val="004B39D1"/>
    <w:rsid w:val="004B4875"/>
    <w:rsid w:val="004B584D"/>
    <w:rsid w:val="004B5DE6"/>
    <w:rsid w:val="004C0DC7"/>
    <w:rsid w:val="004C1528"/>
    <w:rsid w:val="004C2B90"/>
    <w:rsid w:val="004C382C"/>
    <w:rsid w:val="004C4A3C"/>
    <w:rsid w:val="004C5A5F"/>
    <w:rsid w:val="004C662D"/>
    <w:rsid w:val="004C74FC"/>
    <w:rsid w:val="004C75AD"/>
    <w:rsid w:val="004C7EC5"/>
    <w:rsid w:val="004D1AB0"/>
    <w:rsid w:val="004D1BDC"/>
    <w:rsid w:val="004D1E2E"/>
    <w:rsid w:val="004D34E7"/>
    <w:rsid w:val="004D3752"/>
    <w:rsid w:val="004D3AFE"/>
    <w:rsid w:val="004D483E"/>
    <w:rsid w:val="004D5E4F"/>
    <w:rsid w:val="004D6738"/>
    <w:rsid w:val="004D6C9A"/>
    <w:rsid w:val="004D7676"/>
    <w:rsid w:val="004D77AC"/>
    <w:rsid w:val="004E1959"/>
    <w:rsid w:val="004E333C"/>
    <w:rsid w:val="004E36FD"/>
    <w:rsid w:val="004E3FD9"/>
    <w:rsid w:val="004E5D70"/>
    <w:rsid w:val="004E6D8F"/>
    <w:rsid w:val="004E74A6"/>
    <w:rsid w:val="004E7BB1"/>
    <w:rsid w:val="004F0043"/>
    <w:rsid w:val="004F0FAF"/>
    <w:rsid w:val="004F1C88"/>
    <w:rsid w:val="004F2139"/>
    <w:rsid w:val="004F2524"/>
    <w:rsid w:val="004F33CF"/>
    <w:rsid w:val="004F4099"/>
    <w:rsid w:val="004F47AC"/>
    <w:rsid w:val="004F6230"/>
    <w:rsid w:val="004F64B0"/>
    <w:rsid w:val="004F69F8"/>
    <w:rsid w:val="004F79BE"/>
    <w:rsid w:val="004F79C3"/>
    <w:rsid w:val="00501E9E"/>
    <w:rsid w:val="00503672"/>
    <w:rsid w:val="00503C34"/>
    <w:rsid w:val="005047AB"/>
    <w:rsid w:val="00504C1D"/>
    <w:rsid w:val="005061CB"/>
    <w:rsid w:val="00507908"/>
    <w:rsid w:val="00510ECF"/>
    <w:rsid w:val="005113B0"/>
    <w:rsid w:val="00511598"/>
    <w:rsid w:val="00512E7E"/>
    <w:rsid w:val="00517458"/>
    <w:rsid w:val="005215B4"/>
    <w:rsid w:val="00521EBC"/>
    <w:rsid w:val="00522929"/>
    <w:rsid w:val="00522D0A"/>
    <w:rsid w:val="0052366C"/>
    <w:rsid w:val="00525413"/>
    <w:rsid w:val="005257CB"/>
    <w:rsid w:val="0053085F"/>
    <w:rsid w:val="00534958"/>
    <w:rsid w:val="00534A16"/>
    <w:rsid w:val="00536948"/>
    <w:rsid w:val="005373F6"/>
    <w:rsid w:val="00537C8B"/>
    <w:rsid w:val="00544D5D"/>
    <w:rsid w:val="00546A1F"/>
    <w:rsid w:val="00552C6B"/>
    <w:rsid w:val="00553E6C"/>
    <w:rsid w:val="0055495E"/>
    <w:rsid w:val="00554F0A"/>
    <w:rsid w:val="005570BD"/>
    <w:rsid w:val="00561871"/>
    <w:rsid w:val="00563303"/>
    <w:rsid w:val="005656C3"/>
    <w:rsid w:val="00566636"/>
    <w:rsid w:val="00567031"/>
    <w:rsid w:val="0056753F"/>
    <w:rsid w:val="00567EF8"/>
    <w:rsid w:val="0057067A"/>
    <w:rsid w:val="00571D93"/>
    <w:rsid w:val="00572866"/>
    <w:rsid w:val="00572C46"/>
    <w:rsid w:val="00573271"/>
    <w:rsid w:val="00574C30"/>
    <w:rsid w:val="00576F03"/>
    <w:rsid w:val="00577053"/>
    <w:rsid w:val="00577085"/>
    <w:rsid w:val="0058169B"/>
    <w:rsid w:val="005839B3"/>
    <w:rsid w:val="00585F6C"/>
    <w:rsid w:val="0059016C"/>
    <w:rsid w:val="00590262"/>
    <w:rsid w:val="00591178"/>
    <w:rsid w:val="00592498"/>
    <w:rsid w:val="005924F6"/>
    <w:rsid w:val="005945F9"/>
    <w:rsid w:val="00595C3A"/>
    <w:rsid w:val="00596F5A"/>
    <w:rsid w:val="00597D2F"/>
    <w:rsid w:val="00597DE1"/>
    <w:rsid w:val="005A0219"/>
    <w:rsid w:val="005A0235"/>
    <w:rsid w:val="005A0F0B"/>
    <w:rsid w:val="005A1B01"/>
    <w:rsid w:val="005A295D"/>
    <w:rsid w:val="005A2BB5"/>
    <w:rsid w:val="005A4018"/>
    <w:rsid w:val="005A41D2"/>
    <w:rsid w:val="005A4B72"/>
    <w:rsid w:val="005A6554"/>
    <w:rsid w:val="005A6F81"/>
    <w:rsid w:val="005A7A38"/>
    <w:rsid w:val="005A7FAE"/>
    <w:rsid w:val="005B19CE"/>
    <w:rsid w:val="005B1BD6"/>
    <w:rsid w:val="005B2AB4"/>
    <w:rsid w:val="005B2E3A"/>
    <w:rsid w:val="005B4407"/>
    <w:rsid w:val="005B49E0"/>
    <w:rsid w:val="005B5471"/>
    <w:rsid w:val="005B5DBA"/>
    <w:rsid w:val="005B7851"/>
    <w:rsid w:val="005C0F82"/>
    <w:rsid w:val="005C2298"/>
    <w:rsid w:val="005C3618"/>
    <w:rsid w:val="005C37EB"/>
    <w:rsid w:val="005C3A24"/>
    <w:rsid w:val="005C3D6E"/>
    <w:rsid w:val="005C4182"/>
    <w:rsid w:val="005C5224"/>
    <w:rsid w:val="005C5776"/>
    <w:rsid w:val="005C5D35"/>
    <w:rsid w:val="005D133E"/>
    <w:rsid w:val="005D20B8"/>
    <w:rsid w:val="005D3135"/>
    <w:rsid w:val="005D3BBC"/>
    <w:rsid w:val="005D68AA"/>
    <w:rsid w:val="005E35FE"/>
    <w:rsid w:val="005E49C9"/>
    <w:rsid w:val="005E4CE2"/>
    <w:rsid w:val="005E4FB4"/>
    <w:rsid w:val="005E54FF"/>
    <w:rsid w:val="005E720B"/>
    <w:rsid w:val="005E7D55"/>
    <w:rsid w:val="005F05F3"/>
    <w:rsid w:val="005F0B7E"/>
    <w:rsid w:val="005F0EF8"/>
    <w:rsid w:val="005F1B93"/>
    <w:rsid w:val="005F1F21"/>
    <w:rsid w:val="005F22C7"/>
    <w:rsid w:val="005F2C7A"/>
    <w:rsid w:val="005F426F"/>
    <w:rsid w:val="005F55DE"/>
    <w:rsid w:val="00604203"/>
    <w:rsid w:val="00606490"/>
    <w:rsid w:val="00607802"/>
    <w:rsid w:val="00607ECB"/>
    <w:rsid w:val="006112C2"/>
    <w:rsid w:val="00612171"/>
    <w:rsid w:val="006121F0"/>
    <w:rsid w:val="006146BA"/>
    <w:rsid w:val="00615138"/>
    <w:rsid w:val="00615282"/>
    <w:rsid w:val="00615EF0"/>
    <w:rsid w:val="00616488"/>
    <w:rsid w:val="00620666"/>
    <w:rsid w:val="00620871"/>
    <w:rsid w:val="006208FF"/>
    <w:rsid w:val="00621BF1"/>
    <w:rsid w:val="00622FA2"/>
    <w:rsid w:val="00625428"/>
    <w:rsid w:val="0062586D"/>
    <w:rsid w:val="006265BD"/>
    <w:rsid w:val="006267D4"/>
    <w:rsid w:val="0063013B"/>
    <w:rsid w:val="00630709"/>
    <w:rsid w:val="00631A11"/>
    <w:rsid w:val="00634BFD"/>
    <w:rsid w:val="0063556A"/>
    <w:rsid w:val="00636020"/>
    <w:rsid w:val="006378C9"/>
    <w:rsid w:val="00637E54"/>
    <w:rsid w:val="00641F49"/>
    <w:rsid w:val="006425FA"/>
    <w:rsid w:val="00642767"/>
    <w:rsid w:val="00642847"/>
    <w:rsid w:val="00643F80"/>
    <w:rsid w:val="006456BB"/>
    <w:rsid w:val="006466A9"/>
    <w:rsid w:val="00646F76"/>
    <w:rsid w:val="00647314"/>
    <w:rsid w:val="00647990"/>
    <w:rsid w:val="00650998"/>
    <w:rsid w:val="00650E1B"/>
    <w:rsid w:val="0065146D"/>
    <w:rsid w:val="0065162B"/>
    <w:rsid w:val="006520ED"/>
    <w:rsid w:val="00654764"/>
    <w:rsid w:val="006551D3"/>
    <w:rsid w:val="00655656"/>
    <w:rsid w:val="00655663"/>
    <w:rsid w:val="0066051C"/>
    <w:rsid w:val="00661349"/>
    <w:rsid w:val="00667FD1"/>
    <w:rsid w:val="006702AD"/>
    <w:rsid w:val="00670AF4"/>
    <w:rsid w:val="00670DC1"/>
    <w:rsid w:val="00674298"/>
    <w:rsid w:val="00675E1B"/>
    <w:rsid w:val="00677DBA"/>
    <w:rsid w:val="00680292"/>
    <w:rsid w:val="00680F38"/>
    <w:rsid w:val="006815AE"/>
    <w:rsid w:val="00681890"/>
    <w:rsid w:val="006823F5"/>
    <w:rsid w:val="0068527B"/>
    <w:rsid w:val="006859F2"/>
    <w:rsid w:val="00686090"/>
    <w:rsid w:val="0068614F"/>
    <w:rsid w:val="00693E0B"/>
    <w:rsid w:val="006943AF"/>
    <w:rsid w:val="00695DEF"/>
    <w:rsid w:val="0069673A"/>
    <w:rsid w:val="0069783D"/>
    <w:rsid w:val="006A1437"/>
    <w:rsid w:val="006A5591"/>
    <w:rsid w:val="006A6E4C"/>
    <w:rsid w:val="006A761C"/>
    <w:rsid w:val="006B0445"/>
    <w:rsid w:val="006B047B"/>
    <w:rsid w:val="006B0796"/>
    <w:rsid w:val="006B24F8"/>
    <w:rsid w:val="006B3884"/>
    <w:rsid w:val="006B3DA2"/>
    <w:rsid w:val="006B45C7"/>
    <w:rsid w:val="006B4E3B"/>
    <w:rsid w:val="006B4E49"/>
    <w:rsid w:val="006B54C6"/>
    <w:rsid w:val="006B5D5B"/>
    <w:rsid w:val="006B6008"/>
    <w:rsid w:val="006B69CB"/>
    <w:rsid w:val="006B752A"/>
    <w:rsid w:val="006B754B"/>
    <w:rsid w:val="006B7E77"/>
    <w:rsid w:val="006C1123"/>
    <w:rsid w:val="006C28F2"/>
    <w:rsid w:val="006C3724"/>
    <w:rsid w:val="006C3C66"/>
    <w:rsid w:val="006C486B"/>
    <w:rsid w:val="006C4911"/>
    <w:rsid w:val="006C4DCE"/>
    <w:rsid w:val="006C5426"/>
    <w:rsid w:val="006C5CCB"/>
    <w:rsid w:val="006C68F9"/>
    <w:rsid w:val="006C7DBB"/>
    <w:rsid w:val="006D04A9"/>
    <w:rsid w:val="006D05B1"/>
    <w:rsid w:val="006D540B"/>
    <w:rsid w:val="006D6F2D"/>
    <w:rsid w:val="006D7B66"/>
    <w:rsid w:val="006E001D"/>
    <w:rsid w:val="006E406D"/>
    <w:rsid w:val="006E430D"/>
    <w:rsid w:val="006E4F2B"/>
    <w:rsid w:val="006E4F4B"/>
    <w:rsid w:val="006E5929"/>
    <w:rsid w:val="006E704F"/>
    <w:rsid w:val="006E7308"/>
    <w:rsid w:val="006F0439"/>
    <w:rsid w:val="006F1DE8"/>
    <w:rsid w:val="006F2A39"/>
    <w:rsid w:val="006F43D1"/>
    <w:rsid w:val="006F47AC"/>
    <w:rsid w:val="006F4B40"/>
    <w:rsid w:val="006F57B7"/>
    <w:rsid w:val="006F581B"/>
    <w:rsid w:val="006F64C2"/>
    <w:rsid w:val="00700D12"/>
    <w:rsid w:val="00702577"/>
    <w:rsid w:val="007041C6"/>
    <w:rsid w:val="00705031"/>
    <w:rsid w:val="007053E7"/>
    <w:rsid w:val="007055BB"/>
    <w:rsid w:val="00707A24"/>
    <w:rsid w:val="00707C69"/>
    <w:rsid w:val="00707D91"/>
    <w:rsid w:val="00707E12"/>
    <w:rsid w:val="0071005D"/>
    <w:rsid w:val="00713D61"/>
    <w:rsid w:val="007142AC"/>
    <w:rsid w:val="00716A6C"/>
    <w:rsid w:val="00716D9B"/>
    <w:rsid w:val="00717791"/>
    <w:rsid w:val="00717BED"/>
    <w:rsid w:val="0072248A"/>
    <w:rsid w:val="00722A90"/>
    <w:rsid w:val="00722BE8"/>
    <w:rsid w:val="0072348D"/>
    <w:rsid w:val="00723F6B"/>
    <w:rsid w:val="0072599F"/>
    <w:rsid w:val="00725DF0"/>
    <w:rsid w:val="0072711A"/>
    <w:rsid w:val="00727613"/>
    <w:rsid w:val="00727D4D"/>
    <w:rsid w:val="0073009E"/>
    <w:rsid w:val="00730513"/>
    <w:rsid w:val="00731D93"/>
    <w:rsid w:val="00731F26"/>
    <w:rsid w:val="00733DC3"/>
    <w:rsid w:val="00734507"/>
    <w:rsid w:val="007348C2"/>
    <w:rsid w:val="00741B93"/>
    <w:rsid w:val="007473C9"/>
    <w:rsid w:val="00750122"/>
    <w:rsid w:val="00750E64"/>
    <w:rsid w:val="007512E8"/>
    <w:rsid w:val="00751586"/>
    <w:rsid w:val="007518CC"/>
    <w:rsid w:val="007523BB"/>
    <w:rsid w:val="00752D6E"/>
    <w:rsid w:val="00753426"/>
    <w:rsid w:val="00753EED"/>
    <w:rsid w:val="007540FA"/>
    <w:rsid w:val="00754F3F"/>
    <w:rsid w:val="00755956"/>
    <w:rsid w:val="00756106"/>
    <w:rsid w:val="00756BDB"/>
    <w:rsid w:val="00757CC9"/>
    <w:rsid w:val="00760D13"/>
    <w:rsid w:val="00763DEF"/>
    <w:rsid w:val="0076442B"/>
    <w:rsid w:val="007645B0"/>
    <w:rsid w:val="00765312"/>
    <w:rsid w:val="00765837"/>
    <w:rsid w:val="00765A93"/>
    <w:rsid w:val="00765D59"/>
    <w:rsid w:val="00766802"/>
    <w:rsid w:val="00766DB6"/>
    <w:rsid w:val="00766DEF"/>
    <w:rsid w:val="00766E60"/>
    <w:rsid w:val="007703DE"/>
    <w:rsid w:val="007716DB"/>
    <w:rsid w:val="00771909"/>
    <w:rsid w:val="0077213A"/>
    <w:rsid w:val="00773207"/>
    <w:rsid w:val="00774303"/>
    <w:rsid w:val="007756CF"/>
    <w:rsid w:val="00775E95"/>
    <w:rsid w:val="00776900"/>
    <w:rsid w:val="007772DC"/>
    <w:rsid w:val="00777C46"/>
    <w:rsid w:val="0078075E"/>
    <w:rsid w:val="00780C31"/>
    <w:rsid w:val="007824BE"/>
    <w:rsid w:val="007825D8"/>
    <w:rsid w:val="00782B3D"/>
    <w:rsid w:val="00784AFC"/>
    <w:rsid w:val="00785E80"/>
    <w:rsid w:val="0078680A"/>
    <w:rsid w:val="0078690C"/>
    <w:rsid w:val="00787717"/>
    <w:rsid w:val="00790567"/>
    <w:rsid w:val="0079224E"/>
    <w:rsid w:val="00793C96"/>
    <w:rsid w:val="00795149"/>
    <w:rsid w:val="00795ADF"/>
    <w:rsid w:val="007A1E73"/>
    <w:rsid w:val="007A3839"/>
    <w:rsid w:val="007A3B0D"/>
    <w:rsid w:val="007A4A52"/>
    <w:rsid w:val="007A503D"/>
    <w:rsid w:val="007B240E"/>
    <w:rsid w:val="007B396A"/>
    <w:rsid w:val="007B76A3"/>
    <w:rsid w:val="007C1C1D"/>
    <w:rsid w:val="007C1F86"/>
    <w:rsid w:val="007C2C35"/>
    <w:rsid w:val="007C3758"/>
    <w:rsid w:val="007C4565"/>
    <w:rsid w:val="007C57A6"/>
    <w:rsid w:val="007C5DF0"/>
    <w:rsid w:val="007C6491"/>
    <w:rsid w:val="007C709D"/>
    <w:rsid w:val="007C7FC9"/>
    <w:rsid w:val="007D0A1B"/>
    <w:rsid w:val="007D2520"/>
    <w:rsid w:val="007D4803"/>
    <w:rsid w:val="007D4FE0"/>
    <w:rsid w:val="007D5730"/>
    <w:rsid w:val="007D733A"/>
    <w:rsid w:val="007D7486"/>
    <w:rsid w:val="007E04F3"/>
    <w:rsid w:val="007E14A4"/>
    <w:rsid w:val="007E208E"/>
    <w:rsid w:val="007E23A5"/>
    <w:rsid w:val="007E4131"/>
    <w:rsid w:val="007E59E3"/>
    <w:rsid w:val="007E60EB"/>
    <w:rsid w:val="007E68C1"/>
    <w:rsid w:val="007F0288"/>
    <w:rsid w:val="007F07A4"/>
    <w:rsid w:val="007F0E00"/>
    <w:rsid w:val="007F1CCF"/>
    <w:rsid w:val="007F1CE6"/>
    <w:rsid w:val="007F3359"/>
    <w:rsid w:val="007F355E"/>
    <w:rsid w:val="007F54EE"/>
    <w:rsid w:val="007F5A85"/>
    <w:rsid w:val="007F5D43"/>
    <w:rsid w:val="007F6168"/>
    <w:rsid w:val="007F6E36"/>
    <w:rsid w:val="007F7E2B"/>
    <w:rsid w:val="008018ED"/>
    <w:rsid w:val="008019B0"/>
    <w:rsid w:val="0080209E"/>
    <w:rsid w:val="00805D15"/>
    <w:rsid w:val="00805EDC"/>
    <w:rsid w:val="0080606D"/>
    <w:rsid w:val="00806637"/>
    <w:rsid w:val="00812326"/>
    <w:rsid w:val="008125C7"/>
    <w:rsid w:val="00812651"/>
    <w:rsid w:val="00814ECF"/>
    <w:rsid w:val="00814F56"/>
    <w:rsid w:val="00815D47"/>
    <w:rsid w:val="00816A44"/>
    <w:rsid w:val="0081784F"/>
    <w:rsid w:val="00821DFD"/>
    <w:rsid w:val="00822129"/>
    <w:rsid w:val="00822CCB"/>
    <w:rsid w:val="008237F8"/>
    <w:rsid w:val="00824C5B"/>
    <w:rsid w:val="008250C3"/>
    <w:rsid w:val="00825327"/>
    <w:rsid w:val="008262B3"/>
    <w:rsid w:val="00826BD1"/>
    <w:rsid w:val="00826E8C"/>
    <w:rsid w:val="0082773F"/>
    <w:rsid w:val="00827D40"/>
    <w:rsid w:val="00827F8F"/>
    <w:rsid w:val="00830630"/>
    <w:rsid w:val="008309D1"/>
    <w:rsid w:val="00830F37"/>
    <w:rsid w:val="008311DC"/>
    <w:rsid w:val="00832B92"/>
    <w:rsid w:val="00833F3B"/>
    <w:rsid w:val="0083461B"/>
    <w:rsid w:val="00836138"/>
    <w:rsid w:val="00836853"/>
    <w:rsid w:val="00840AD3"/>
    <w:rsid w:val="00840D82"/>
    <w:rsid w:val="00842238"/>
    <w:rsid w:val="00842412"/>
    <w:rsid w:val="008434B4"/>
    <w:rsid w:val="00843D5F"/>
    <w:rsid w:val="008459CD"/>
    <w:rsid w:val="00846904"/>
    <w:rsid w:val="00846E40"/>
    <w:rsid w:val="00846FF5"/>
    <w:rsid w:val="00851B39"/>
    <w:rsid w:val="0085479F"/>
    <w:rsid w:val="00855854"/>
    <w:rsid w:val="00855E25"/>
    <w:rsid w:val="00861ECE"/>
    <w:rsid w:val="0086233A"/>
    <w:rsid w:val="00865C02"/>
    <w:rsid w:val="00866128"/>
    <w:rsid w:val="008662A4"/>
    <w:rsid w:val="008665BF"/>
    <w:rsid w:val="00866A76"/>
    <w:rsid w:val="008677A2"/>
    <w:rsid w:val="00867D66"/>
    <w:rsid w:val="008705A0"/>
    <w:rsid w:val="00871CB2"/>
    <w:rsid w:val="008740C5"/>
    <w:rsid w:val="00874555"/>
    <w:rsid w:val="008746CF"/>
    <w:rsid w:val="00875869"/>
    <w:rsid w:val="00875E90"/>
    <w:rsid w:val="008813BA"/>
    <w:rsid w:val="008825EB"/>
    <w:rsid w:val="0088478A"/>
    <w:rsid w:val="00884A37"/>
    <w:rsid w:val="00885546"/>
    <w:rsid w:val="008860E2"/>
    <w:rsid w:val="008868C9"/>
    <w:rsid w:val="0088746D"/>
    <w:rsid w:val="008912B1"/>
    <w:rsid w:val="00891EEC"/>
    <w:rsid w:val="00892572"/>
    <w:rsid w:val="00892F40"/>
    <w:rsid w:val="00893D8D"/>
    <w:rsid w:val="0089446A"/>
    <w:rsid w:val="00897882"/>
    <w:rsid w:val="008A10F3"/>
    <w:rsid w:val="008A1A36"/>
    <w:rsid w:val="008A2B5B"/>
    <w:rsid w:val="008A38D9"/>
    <w:rsid w:val="008A5387"/>
    <w:rsid w:val="008A5DDF"/>
    <w:rsid w:val="008A5E3A"/>
    <w:rsid w:val="008A6B1A"/>
    <w:rsid w:val="008A723B"/>
    <w:rsid w:val="008A72E2"/>
    <w:rsid w:val="008B13D6"/>
    <w:rsid w:val="008B244E"/>
    <w:rsid w:val="008B381A"/>
    <w:rsid w:val="008B5B5A"/>
    <w:rsid w:val="008C10EE"/>
    <w:rsid w:val="008C1A81"/>
    <w:rsid w:val="008C2878"/>
    <w:rsid w:val="008C317F"/>
    <w:rsid w:val="008C3DDC"/>
    <w:rsid w:val="008C4072"/>
    <w:rsid w:val="008C4D74"/>
    <w:rsid w:val="008C7172"/>
    <w:rsid w:val="008C7E63"/>
    <w:rsid w:val="008D015B"/>
    <w:rsid w:val="008D047B"/>
    <w:rsid w:val="008D489E"/>
    <w:rsid w:val="008D4DA4"/>
    <w:rsid w:val="008D5188"/>
    <w:rsid w:val="008D6087"/>
    <w:rsid w:val="008E1F5C"/>
    <w:rsid w:val="008E2C56"/>
    <w:rsid w:val="008E3044"/>
    <w:rsid w:val="008E30D7"/>
    <w:rsid w:val="008E335F"/>
    <w:rsid w:val="008E4181"/>
    <w:rsid w:val="008E47CD"/>
    <w:rsid w:val="008E5253"/>
    <w:rsid w:val="008E6A9F"/>
    <w:rsid w:val="008E6B3D"/>
    <w:rsid w:val="008F1599"/>
    <w:rsid w:val="008F3067"/>
    <w:rsid w:val="008F32E3"/>
    <w:rsid w:val="008F42CC"/>
    <w:rsid w:val="008F457B"/>
    <w:rsid w:val="008F4DC1"/>
    <w:rsid w:val="008F6A7B"/>
    <w:rsid w:val="008F7787"/>
    <w:rsid w:val="00900803"/>
    <w:rsid w:val="00900B39"/>
    <w:rsid w:val="00900C19"/>
    <w:rsid w:val="00902CDC"/>
    <w:rsid w:val="00902EFE"/>
    <w:rsid w:val="00903237"/>
    <w:rsid w:val="00904867"/>
    <w:rsid w:val="0090698B"/>
    <w:rsid w:val="00907D83"/>
    <w:rsid w:val="00910CD3"/>
    <w:rsid w:val="009113BD"/>
    <w:rsid w:val="009122ED"/>
    <w:rsid w:val="00913DAD"/>
    <w:rsid w:val="009142FE"/>
    <w:rsid w:val="00914A50"/>
    <w:rsid w:val="0091599A"/>
    <w:rsid w:val="00916907"/>
    <w:rsid w:val="0091767E"/>
    <w:rsid w:val="009176FF"/>
    <w:rsid w:val="00917F42"/>
    <w:rsid w:val="009206E4"/>
    <w:rsid w:val="00920F38"/>
    <w:rsid w:val="00921271"/>
    <w:rsid w:val="009215D0"/>
    <w:rsid w:val="00921748"/>
    <w:rsid w:val="009221B3"/>
    <w:rsid w:val="0092488F"/>
    <w:rsid w:val="009254E9"/>
    <w:rsid w:val="00925507"/>
    <w:rsid w:val="00925DCE"/>
    <w:rsid w:val="00927AEA"/>
    <w:rsid w:val="009300FE"/>
    <w:rsid w:val="009310B0"/>
    <w:rsid w:val="009314BB"/>
    <w:rsid w:val="009334FA"/>
    <w:rsid w:val="009343AE"/>
    <w:rsid w:val="00935F0E"/>
    <w:rsid w:val="00936DCC"/>
    <w:rsid w:val="009401DA"/>
    <w:rsid w:val="00940B3E"/>
    <w:rsid w:val="00941D97"/>
    <w:rsid w:val="009442C4"/>
    <w:rsid w:val="009452D8"/>
    <w:rsid w:val="00945BFD"/>
    <w:rsid w:val="00945C78"/>
    <w:rsid w:val="00946309"/>
    <w:rsid w:val="009465FF"/>
    <w:rsid w:val="00946A44"/>
    <w:rsid w:val="00946DCE"/>
    <w:rsid w:val="0094709A"/>
    <w:rsid w:val="00947D36"/>
    <w:rsid w:val="00950B3C"/>
    <w:rsid w:val="00950E42"/>
    <w:rsid w:val="00952FD5"/>
    <w:rsid w:val="00953140"/>
    <w:rsid w:val="0095436B"/>
    <w:rsid w:val="00955B63"/>
    <w:rsid w:val="00956AC4"/>
    <w:rsid w:val="009570CB"/>
    <w:rsid w:val="009576AB"/>
    <w:rsid w:val="00960AF6"/>
    <w:rsid w:val="00960CFE"/>
    <w:rsid w:val="00963F33"/>
    <w:rsid w:val="00964F30"/>
    <w:rsid w:val="00965970"/>
    <w:rsid w:val="00965F49"/>
    <w:rsid w:val="00966E9D"/>
    <w:rsid w:val="009677E4"/>
    <w:rsid w:val="0097035B"/>
    <w:rsid w:val="00971FFA"/>
    <w:rsid w:val="0097228E"/>
    <w:rsid w:val="0097404F"/>
    <w:rsid w:val="009747E4"/>
    <w:rsid w:val="009750E0"/>
    <w:rsid w:val="00977070"/>
    <w:rsid w:val="00977947"/>
    <w:rsid w:val="00977B81"/>
    <w:rsid w:val="009801DB"/>
    <w:rsid w:val="009805D5"/>
    <w:rsid w:val="009819AB"/>
    <w:rsid w:val="00982F79"/>
    <w:rsid w:val="009847F9"/>
    <w:rsid w:val="009849AE"/>
    <w:rsid w:val="00987B04"/>
    <w:rsid w:val="00990DF1"/>
    <w:rsid w:val="00990F30"/>
    <w:rsid w:val="009924A9"/>
    <w:rsid w:val="00993561"/>
    <w:rsid w:val="00993BC3"/>
    <w:rsid w:val="00994681"/>
    <w:rsid w:val="00994877"/>
    <w:rsid w:val="00994F79"/>
    <w:rsid w:val="00996819"/>
    <w:rsid w:val="009A3B52"/>
    <w:rsid w:val="009A3D69"/>
    <w:rsid w:val="009A4928"/>
    <w:rsid w:val="009A4E6B"/>
    <w:rsid w:val="009A5AB1"/>
    <w:rsid w:val="009A66F6"/>
    <w:rsid w:val="009B006B"/>
    <w:rsid w:val="009B1578"/>
    <w:rsid w:val="009B2C42"/>
    <w:rsid w:val="009B4CD8"/>
    <w:rsid w:val="009B4E46"/>
    <w:rsid w:val="009B540C"/>
    <w:rsid w:val="009B6CA5"/>
    <w:rsid w:val="009B70A5"/>
    <w:rsid w:val="009C0306"/>
    <w:rsid w:val="009C0DCE"/>
    <w:rsid w:val="009C1B13"/>
    <w:rsid w:val="009C2635"/>
    <w:rsid w:val="009C4244"/>
    <w:rsid w:val="009C4ED1"/>
    <w:rsid w:val="009C5507"/>
    <w:rsid w:val="009C62D0"/>
    <w:rsid w:val="009C6EC1"/>
    <w:rsid w:val="009D1A66"/>
    <w:rsid w:val="009D2447"/>
    <w:rsid w:val="009D2B85"/>
    <w:rsid w:val="009D2CC6"/>
    <w:rsid w:val="009D2D0D"/>
    <w:rsid w:val="009D40CE"/>
    <w:rsid w:val="009D4377"/>
    <w:rsid w:val="009D43F2"/>
    <w:rsid w:val="009D5FD1"/>
    <w:rsid w:val="009D6025"/>
    <w:rsid w:val="009D6171"/>
    <w:rsid w:val="009D73D1"/>
    <w:rsid w:val="009D7C8A"/>
    <w:rsid w:val="009E0050"/>
    <w:rsid w:val="009E0B10"/>
    <w:rsid w:val="009E16E2"/>
    <w:rsid w:val="009E3357"/>
    <w:rsid w:val="009E3A4A"/>
    <w:rsid w:val="009E3A64"/>
    <w:rsid w:val="009E4002"/>
    <w:rsid w:val="009E46F3"/>
    <w:rsid w:val="009E5E1D"/>
    <w:rsid w:val="009F0148"/>
    <w:rsid w:val="009F0213"/>
    <w:rsid w:val="009F2C17"/>
    <w:rsid w:val="009F370E"/>
    <w:rsid w:val="009F42F2"/>
    <w:rsid w:val="009F484C"/>
    <w:rsid w:val="009F5B67"/>
    <w:rsid w:val="009F5BE7"/>
    <w:rsid w:val="009F707C"/>
    <w:rsid w:val="00A002B5"/>
    <w:rsid w:val="00A007DD"/>
    <w:rsid w:val="00A03D29"/>
    <w:rsid w:val="00A05B7E"/>
    <w:rsid w:val="00A06604"/>
    <w:rsid w:val="00A06B7A"/>
    <w:rsid w:val="00A07187"/>
    <w:rsid w:val="00A07BB6"/>
    <w:rsid w:val="00A124BD"/>
    <w:rsid w:val="00A14449"/>
    <w:rsid w:val="00A15078"/>
    <w:rsid w:val="00A150DF"/>
    <w:rsid w:val="00A15D0D"/>
    <w:rsid w:val="00A15E74"/>
    <w:rsid w:val="00A166AE"/>
    <w:rsid w:val="00A16852"/>
    <w:rsid w:val="00A17AE0"/>
    <w:rsid w:val="00A20409"/>
    <w:rsid w:val="00A2397E"/>
    <w:rsid w:val="00A2534A"/>
    <w:rsid w:val="00A256B9"/>
    <w:rsid w:val="00A26DCC"/>
    <w:rsid w:val="00A26E58"/>
    <w:rsid w:val="00A272A0"/>
    <w:rsid w:val="00A31AA3"/>
    <w:rsid w:val="00A31F2A"/>
    <w:rsid w:val="00A33988"/>
    <w:rsid w:val="00A33F99"/>
    <w:rsid w:val="00A345E2"/>
    <w:rsid w:val="00A35620"/>
    <w:rsid w:val="00A365D3"/>
    <w:rsid w:val="00A417B8"/>
    <w:rsid w:val="00A420C3"/>
    <w:rsid w:val="00A42663"/>
    <w:rsid w:val="00A45117"/>
    <w:rsid w:val="00A45A80"/>
    <w:rsid w:val="00A46E52"/>
    <w:rsid w:val="00A47130"/>
    <w:rsid w:val="00A50BFF"/>
    <w:rsid w:val="00A51197"/>
    <w:rsid w:val="00A53868"/>
    <w:rsid w:val="00A538CD"/>
    <w:rsid w:val="00A53AFD"/>
    <w:rsid w:val="00A54938"/>
    <w:rsid w:val="00A55334"/>
    <w:rsid w:val="00A56D07"/>
    <w:rsid w:val="00A56D4D"/>
    <w:rsid w:val="00A57279"/>
    <w:rsid w:val="00A57933"/>
    <w:rsid w:val="00A57C8F"/>
    <w:rsid w:val="00A57EFC"/>
    <w:rsid w:val="00A609F6"/>
    <w:rsid w:val="00A613C0"/>
    <w:rsid w:val="00A62000"/>
    <w:rsid w:val="00A620FD"/>
    <w:rsid w:val="00A63E2A"/>
    <w:rsid w:val="00A64CA9"/>
    <w:rsid w:val="00A64D72"/>
    <w:rsid w:val="00A73E99"/>
    <w:rsid w:val="00A741EE"/>
    <w:rsid w:val="00A7734D"/>
    <w:rsid w:val="00A773E8"/>
    <w:rsid w:val="00A77700"/>
    <w:rsid w:val="00A777D6"/>
    <w:rsid w:val="00A81949"/>
    <w:rsid w:val="00A84818"/>
    <w:rsid w:val="00A85D52"/>
    <w:rsid w:val="00A90BAE"/>
    <w:rsid w:val="00A91485"/>
    <w:rsid w:val="00A91954"/>
    <w:rsid w:val="00A91ABC"/>
    <w:rsid w:val="00A91DB4"/>
    <w:rsid w:val="00A952AE"/>
    <w:rsid w:val="00A96B77"/>
    <w:rsid w:val="00A97BF0"/>
    <w:rsid w:val="00AA2323"/>
    <w:rsid w:val="00AA2703"/>
    <w:rsid w:val="00AA28A9"/>
    <w:rsid w:val="00AA2B87"/>
    <w:rsid w:val="00AA4268"/>
    <w:rsid w:val="00AA61EB"/>
    <w:rsid w:val="00AA68DF"/>
    <w:rsid w:val="00AA6DA9"/>
    <w:rsid w:val="00AA7633"/>
    <w:rsid w:val="00AA77AD"/>
    <w:rsid w:val="00AB0479"/>
    <w:rsid w:val="00AB2632"/>
    <w:rsid w:val="00AB369E"/>
    <w:rsid w:val="00AB3894"/>
    <w:rsid w:val="00AB415A"/>
    <w:rsid w:val="00AB432B"/>
    <w:rsid w:val="00AB459A"/>
    <w:rsid w:val="00AB45B1"/>
    <w:rsid w:val="00AB5EE7"/>
    <w:rsid w:val="00AB6B89"/>
    <w:rsid w:val="00AC03F3"/>
    <w:rsid w:val="00AC04D3"/>
    <w:rsid w:val="00AC1BA8"/>
    <w:rsid w:val="00AC23C7"/>
    <w:rsid w:val="00AC4B86"/>
    <w:rsid w:val="00AC6DFC"/>
    <w:rsid w:val="00AC7A0F"/>
    <w:rsid w:val="00AD2F6E"/>
    <w:rsid w:val="00AD3275"/>
    <w:rsid w:val="00AD36FF"/>
    <w:rsid w:val="00AD49B3"/>
    <w:rsid w:val="00AE00AE"/>
    <w:rsid w:val="00AE00D8"/>
    <w:rsid w:val="00AE0FC1"/>
    <w:rsid w:val="00AE1A0C"/>
    <w:rsid w:val="00AE4E28"/>
    <w:rsid w:val="00AE6F12"/>
    <w:rsid w:val="00AE77B4"/>
    <w:rsid w:val="00AE7DF7"/>
    <w:rsid w:val="00AF01EB"/>
    <w:rsid w:val="00AF0545"/>
    <w:rsid w:val="00AF1CFA"/>
    <w:rsid w:val="00AF26EE"/>
    <w:rsid w:val="00AF4765"/>
    <w:rsid w:val="00AF4768"/>
    <w:rsid w:val="00AF47D3"/>
    <w:rsid w:val="00AF4B73"/>
    <w:rsid w:val="00AF5A35"/>
    <w:rsid w:val="00AF5C95"/>
    <w:rsid w:val="00AF6AAC"/>
    <w:rsid w:val="00B008E0"/>
    <w:rsid w:val="00B01059"/>
    <w:rsid w:val="00B01B5C"/>
    <w:rsid w:val="00B01E14"/>
    <w:rsid w:val="00B02B07"/>
    <w:rsid w:val="00B030C0"/>
    <w:rsid w:val="00B0341C"/>
    <w:rsid w:val="00B03520"/>
    <w:rsid w:val="00B0414F"/>
    <w:rsid w:val="00B05874"/>
    <w:rsid w:val="00B1183E"/>
    <w:rsid w:val="00B12E05"/>
    <w:rsid w:val="00B12F80"/>
    <w:rsid w:val="00B135F4"/>
    <w:rsid w:val="00B1366B"/>
    <w:rsid w:val="00B13A0C"/>
    <w:rsid w:val="00B14723"/>
    <w:rsid w:val="00B15CAF"/>
    <w:rsid w:val="00B1751C"/>
    <w:rsid w:val="00B20CD3"/>
    <w:rsid w:val="00B21AA1"/>
    <w:rsid w:val="00B21BB9"/>
    <w:rsid w:val="00B220D9"/>
    <w:rsid w:val="00B230DC"/>
    <w:rsid w:val="00B239F8"/>
    <w:rsid w:val="00B23A16"/>
    <w:rsid w:val="00B244EC"/>
    <w:rsid w:val="00B24AEE"/>
    <w:rsid w:val="00B25828"/>
    <w:rsid w:val="00B2684A"/>
    <w:rsid w:val="00B26FEA"/>
    <w:rsid w:val="00B273D6"/>
    <w:rsid w:val="00B27AE5"/>
    <w:rsid w:val="00B30555"/>
    <w:rsid w:val="00B31DED"/>
    <w:rsid w:val="00B346FF"/>
    <w:rsid w:val="00B35C03"/>
    <w:rsid w:val="00B41196"/>
    <w:rsid w:val="00B43AE9"/>
    <w:rsid w:val="00B44750"/>
    <w:rsid w:val="00B462F0"/>
    <w:rsid w:val="00B46C26"/>
    <w:rsid w:val="00B46DAC"/>
    <w:rsid w:val="00B50E96"/>
    <w:rsid w:val="00B51F5A"/>
    <w:rsid w:val="00B525A6"/>
    <w:rsid w:val="00B52D42"/>
    <w:rsid w:val="00B53E4A"/>
    <w:rsid w:val="00B54090"/>
    <w:rsid w:val="00B54542"/>
    <w:rsid w:val="00B54FD2"/>
    <w:rsid w:val="00B55235"/>
    <w:rsid w:val="00B57950"/>
    <w:rsid w:val="00B57DD6"/>
    <w:rsid w:val="00B60916"/>
    <w:rsid w:val="00B610AA"/>
    <w:rsid w:val="00B610E7"/>
    <w:rsid w:val="00B61946"/>
    <w:rsid w:val="00B627C3"/>
    <w:rsid w:val="00B63C84"/>
    <w:rsid w:val="00B66CB2"/>
    <w:rsid w:val="00B67914"/>
    <w:rsid w:val="00B67D91"/>
    <w:rsid w:val="00B70D25"/>
    <w:rsid w:val="00B72C8B"/>
    <w:rsid w:val="00B73F5A"/>
    <w:rsid w:val="00B7464D"/>
    <w:rsid w:val="00B7531A"/>
    <w:rsid w:val="00B76FEF"/>
    <w:rsid w:val="00B80453"/>
    <w:rsid w:val="00B81AEF"/>
    <w:rsid w:val="00B87931"/>
    <w:rsid w:val="00B91156"/>
    <w:rsid w:val="00B928FC"/>
    <w:rsid w:val="00B92E45"/>
    <w:rsid w:val="00B95133"/>
    <w:rsid w:val="00B971D9"/>
    <w:rsid w:val="00B977DB"/>
    <w:rsid w:val="00BA0595"/>
    <w:rsid w:val="00BA2023"/>
    <w:rsid w:val="00BA3059"/>
    <w:rsid w:val="00BA384D"/>
    <w:rsid w:val="00BA3E98"/>
    <w:rsid w:val="00BA5CD6"/>
    <w:rsid w:val="00BA6C76"/>
    <w:rsid w:val="00BB29B3"/>
    <w:rsid w:val="00BB3B7E"/>
    <w:rsid w:val="00BB6BFA"/>
    <w:rsid w:val="00BB6CAF"/>
    <w:rsid w:val="00BB7166"/>
    <w:rsid w:val="00BB7711"/>
    <w:rsid w:val="00BC1439"/>
    <w:rsid w:val="00BC2FBB"/>
    <w:rsid w:val="00BC425B"/>
    <w:rsid w:val="00BC5752"/>
    <w:rsid w:val="00BC5AB8"/>
    <w:rsid w:val="00BC62F0"/>
    <w:rsid w:val="00BC68A6"/>
    <w:rsid w:val="00BC6A1C"/>
    <w:rsid w:val="00BD09B6"/>
    <w:rsid w:val="00BD1C6A"/>
    <w:rsid w:val="00BD2138"/>
    <w:rsid w:val="00BD4566"/>
    <w:rsid w:val="00BD4D1B"/>
    <w:rsid w:val="00BD53A5"/>
    <w:rsid w:val="00BD7A7F"/>
    <w:rsid w:val="00BE1306"/>
    <w:rsid w:val="00BE20F1"/>
    <w:rsid w:val="00BE2882"/>
    <w:rsid w:val="00BE2B5C"/>
    <w:rsid w:val="00BE4E47"/>
    <w:rsid w:val="00BE50C4"/>
    <w:rsid w:val="00BE5168"/>
    <w:rsid w:val="00BE5963"/>
    <w:rsid w:val="00BE5B2A"/>
    <w:rsid w:val="00BE5BB2"/>
    <w:rsid w:val="00BF1B3F"/>
    <w:rsid w:val="00BF24FF"/>
    <w:rsid w:val="00BF311A"/>
    <w:rsid w:val="00BF3C3A"/>
    <w:rsid w:val="00BF3F70"/>
    <w:rsid w:val="00BF4993"/>
    <w:rsid w:val="00BF5786"/>
    <w:rsid w:val="00BF7A8F"/>
    <w:rsid w:val="00C00C88"/>
    <w:rsid w:val="00C01A66"/>
    <w:rsid w:val="00C02485"/>
    <w:rsid w:val="00C03663"/>
    <w:rsid w:val="00C04AD7"/>
    <w:rsid w:val="00C061E2"/>
    <w:rsid w:val="00C064C3"/>
    <w:rsid w:val="00C11144"/>
    <w:rsid w:val="00C123E1"/>
    <w:rsid w:val="00C12675"/>
    <w:rsid w:val="00C14216"/>
    <w:rsid w:val="00C14A6E"/>
    <w:rsid w:val="00C14C28"/>
    <w:rsid w:val="00C1528F"/>
    <w:rsid w:val="00C17CCC"/>
    <w:rsid w:val="00C20AD8"/>
    <w:rsid w:val="00C21071"/>
    <w:rsid w:val="00C214B7"/>
    <w:rsid w:val="00C21F3C"/>
    <w:rsid w:val="00C2377F"/>
    <w:rsid w:val="00C23AD7"/>
    <w:rsid w:val="00C23BB6"/>
    <w:rsid w:val="00C23C75"/>
    <w:rsid w:val="00C23F02"/>
    <w:rsid w:val="00C24A7B"/>
    <w:rsid w:val="00C25543"/>
    <w:rsid w:val="00C3121E"/>
    <w:rsid w:val="00C32222"/>
    <w:rsid w:val="00C33A61"/>
    <w:rsid w:val="00C33D13"/>
    <w:rsid w:val="00C34337"/>
    <w:rsid w:val="00C365F0"/>
    <w:rsid w:val="00C36674"/>
    <w:rsid w:val="00C37E83"/>
    <w:rsid w:val="00C41E0C"/>
    <w:rsid w:val="00C4318D"/>
    <w:rsid w:val="00C4425C"/>
    <w:rsid w:val="00C44DC5"/>
    <w:rsid w:val="00C474B5"/>
    <w:rsid w:val="00C505EE"/>
    <w:rsid w:val="00C51A2B"/>
    <w:rsid w:val="00C51F49"/>
    <w:rsid w:val="00C523DB"/>
    <w:rsid w:val="00C540EF"/>
    <w:rsid w:val="00C57245"/>
    <w:rsid w:val="00C576AB"/>
    <w:rsid w:val="00C57CB2"/>
    <w:rsid w:val="00C57D2E"/>
    <w:rsid w:val="00C60EFB"/>
    <w:rsid w:val="00C61D48"/>
    <w:rsid w:val="00C62B36"/>
    <w:rsid w:val="00C63369"/>
    <w:rsid w:val="00C63E5A"/>
    <w:rsid w:val="00C64DC6"/>
    <w:rsid w:val="00C654FE"/>
    <w:rsid w:val="00C67143"/>
    <w:rsid w:val="00C6794B"/>
    <w:rsid w:val="00C67CF9"/>
    <w:rsid w:val="00C7192E"/>
    <w:rsid w:val="00C71CC1"/>
    <w:rsid w:val="00C73242"/>
    <w:rsid w:val="00C73662"/>
    <w:rsid w:val="00C737B7"/>
    <w:rsid w:val="00C73A6F"/>
    <w:rsid w:val="00C74BB4"/>
    <w:rsid w:val="00C755C2"/>
    <w:rsid w:val="00C761E9"/>
    <w:rsid w:val="00C76B65"/>
    <w:rsid w:val="00C76F3B"/>
    <w:rsid w:val="00C813F7"/>
    <w:rsid w:val="00C82923"/>
    <w:rsid w:val="00C82EC7"/>
    <w:rsid w:val="00C832F3"/>
    <w:rsid w:val="00C83820"/>
    <w:rsid w:val="00C854E1"/>
    <w:rsid w:val="00C85E99"/>
    <w:rsid w:val="00C86AED"/>
    <w:rsid w:val="00C875E7"/>
    <w:rsid w:val="00C87D66"/>
    <w:rsid w:val="00C87E38"/>
    <w:rsid w:val="00C90D95"/>
    <w:rsid w:val="00C91E4F"/>
    <w:rsid w:val="00C938EA"/>
    <w:rsid w:val="00C940BE"/>
    <w:rsid w:val="00C9480D"/>
    <w:rsid w:val="00C949AC"/>
    <w:rsid w:val="00C94C15"/>
    <w:rsid w:val="00CA1FD2"/>
    <w:rsid w:val="00CA2027"/>
    <w:rsid w:val="00CA2244"/>
    <w:rsid w:val="00CA3369"/>
    <w:rsid w:val="00CA35AB"/>
    <w:rsid w:val="00CA455C"/>
    <w:rsid w:val="00CA7BB5"/>
    <w:rsid w:val="00CB054B"/>
    <w:rsid w:val="00CB3073"/>
    <w:rsid w:val="00CB3584"/>
    <w:rsid w:val="00CB676F"/>
    <w:rsid w:val="00CB6F91"/>
    <w:rsid w:val="00CC11EB"/>
    <w:rsid w:val="00CC5168"/>
    <w:rsid w:val="00CC58EE"/>
    <w:rsid w:val="00CC6422"/>
    <w:rsid w:val="00CC6CCC"/>
    <w:rsid w:val="00CD0A8B"/>
    <w:rsid w:val="00CD0CE2"/>
    <w:rsid w:val="00CD1628"/>
    <w:rsid w:val="00CD2C32"/>
    <w:rsid w:val="00CD2CB8"/>
    <w:rsid w:val="00CD2D3F"/>
    <w:rsid w:val="00CD30D6"/>
    <w:rsid w:val="00CD4E09"/>
    <w:rsid w:val="00CD5D04"/>
    <w:rsid w:val="00CD5FE6"/>
    <w:rsid w:val="00CD78E3"/>
    <w:rsid w:val="00CD798D"/>
    <w:rsid w:val="00CE08FE"/>
    <w:rsid w:val="00CE44DD"/>
    <w:rsid w:val="00CE5A60"/>
    <w:rsid w:val="00CE6A17"/>
    <w:rsid w:val="00CE79D2"/>
    <w:rsid w:val="00CF18BE"/>
    <w:rsid w:val="00CF1DF1"/>
    <w:rsid w:val="00CF1E17"/>
    <w:rsid w:val="00CF25F4"/>
    <w:rsid w:val="00CF50B2"/>
    <w:rsid w:val="00CF6399"/>
    <w:rsid w:val="00CF641E"/>
    <w:rsid w:val="00CF70A9"/>
    <w:rsid w:val="00CF727D"/>
    <w:rsid w:val="00D0076B"/>
    <w:rsid w:val="00D00CC1"/>
    <w:rsid w:val="00D01F12"/>
    <w:rsid w:val="00D0392B"/>
    <w:rsid w:val="00D04F82"/>
    <w:rsid w:val="00D051DE"/>
    <w:rsid w:val="00D07006"/>
    <w:rsid w:val="00D075AF"/>
    <w:rsid w:val="00D1047D"/>
    <w:rsid w:val="00D1116E"/>
    <w:rsid w:val="00D1246F"/>
    <w:rsid w:val="00D1341A"/>
    <w:rsid w:val="00D1363D"/>
    <w:rsid w:val="00D13858"/>
    <w:rsid w:val="00D13B60"/>
    <w:rsid w:val="00D14A02"/>
    <w:rsid w:val="00D16306"/>
    <w:rsid w:val="00D1658A"/>
    <w:rsid w:val="00D16A2B"/>
    <w:rsid w:val="00D17440"/>
    <w:rsid w:val="00D17752"/>
    <w:rsid w:val="00D20802"/>
    <w:rsid w:val="00D20C8D"/>
    <w:rsid w:val="00D217EC"/>
    <w:rsid w:val="00D271CD"/>
    <w:rsid w:val="00D302F6"/>
    <w:rsid w:val="00D30823"/>
    <w:rsid w:val="00D311ED"/>
    <w:rsid w:val="00D31BD4"/>
    <w:rsid w:val="00D3225D"/>
    <w:rsid w:val="00D33F5A"/>
    <w:rsid w:val="00D35C1A"/>
    <w:rsid w:val="00D3718B"/>
    <w:rsid w:val="00D4005F"/>
    <w:rsid w:val="00D40457"/>
    <w:rsid w:val="00D40ADA"/>
    <w:rsid w:val="00D4350A"/>
    <w:rsid w:val="00D43711"/>
    <w:rsid w:val="00D439C2"/>
    <w:rsid w:val="00D43C34"/>
    <w:rsid w:val="00D45215"/>
    <w:rsid w:val="00D463B7"/>
    <w:rsid w:val="00D503CF"/>
    <w:rsid w:val="00D516DB"/>
    <w:rsid w:val="00D52A4A"/>
    <w:rsid w:val="00D52AE5"/>
    <w:rsid w:val="00D52E5A"/>
    <w:rsid w:val="00D52EA6"/>
    <w:rsid w:val="00D5479C"/>
    <w:rsid w:val="00D55CDA"/>
    <w:rsid w:val="00D6306C"/>
    <w:rsid w:val="00D63459"/>
    <w:rsid w:val="00D63AEA"/>
    <w:rsid w:val="00D6485F"/>
    <w:rsid w:val="00D66171"/>
    <w:rsid w:val="00D66F37"/>
    <w:rsid w:val="00D674F5"/>
    <w:rsid w:val="00D67628"/>
    <w:rsid w:val="00D70B05"/>
    <w:rsid w:val="00D74150"/>
    <w:rsid w:val="00D74297"/>
    <w:rsid w:val="00D74C74"/>
    <w:rsid w:val="00D7618C"/>
    <w:rsid w:val="00D7641F"/>
    <w:rsid w:val="00D767AE"/>
    <w:rsid w:val="00D76F30"/>
    <w:rsid w:val="00D772E3"/>
    <w:rsid w:val="00D7735B"/>
    <w:rsid w:val="00D773B5"/>
    <w:rsid w:val="00D777F9"/>
    <w:rsid w:val="00D80DE3"/>
    <w:rsid w:val="00D862DB"/>
    <w:rsid w:val="00D9063F"/>
    <w:rsid w:val="00D9145D"/>
    <w:rsid w:val="00D935FF"/>
    <w:rsid w:val="00D9497F"/>
    <w:rsid w:val="00D9622D"/>
    <w:rsid w:val="00DA2992"/>
    <w:rsid w:val="00DA2CA8"/>
    <w:rsid w:val="00DA310A"/>
    <w:rsid w:val="00DA5A0C"/>
    <w:rsid w:val="00DA6428"/>
    <w:rsid w:val="00DA69CB"/>
    <w:rsid w:val="00DA6FCA"/>
    <w:rsid w:val="00DB122F"/>
    <w:rsid w:val="00DB24B4"/>
    <w:rsid w:val="00DB24C2"/>
    <w:rsid w:val="00DB2A6B"/>
    <w:rsid w:val="00DB2CF1"/>
    <w:rsid w:val="00DB2F8F"/>
    <w:rsid w:val="00DB3814"/>
    <w:rsid w:val="00DB4AA7"/>
    <w:rsid w:val="00DB5159"/>
    <w:rsid w:val="00DB54AC"/>
    <w:rsid w:val="00DB6756"/>
    <w:rsid w:val="00DB6D7B"/>
    <w:rsid w:val="00DB7090"/>
    <w:rsid w:val="00DB7D2C"/>
    <w:rsid w:val="00DC1A88"/>
    <w:rsid w:val="00DC1E3A"/>
    <w:rsid w:val="00DC284B"/>
    <w:rsid w:val="00DC2F58"/>
    <w:rsid w:val="00DC5181"/>
    <w:rsid w:val="00DC7211"/>
    <w:rsid w:val="00DD0420"/>
    <w:rsid w:val="00DD178B"/>
    <w:rsid w:val="00DD2782"/>
    <w:rsid w:val="00DD27CD"/>
    <w:rsid w:val="00DD33A7"/>
    <w:rsid w:val="00DD355C"/>
    <w:rsid w:val="00DD39A5"/>
    <w:rsid w:val="00DD3B94"/>
    <w:rsid w:val="00DD4DE2"/>
    <w:rsid w:val="00DD5ECE"/>
    <w:rsid w:val="00DD6043"/>
    <w:rsid w:val="00DD6108"/>
    <w:rsid w:val="00DE01E2"/>
    <w:rsid w:val="00DE0AF9"/>
    <w:rsid w:val="00DE167D"/>
    <w:rsid w:val="00DE1AC9"/>
    <w:rsid w:val="00DE2DAC"/>
    <w:rsid w:val="00DE6191"/>
    <w:rsid w:val="00DE75AC"/>
    <w:rsid w:val="00DF0DE1"/>
    <w:rsid w:val="00DF2026"/>
    <w:rsid w:val="00DF53BE"/>
    <w:rsid w:val="00E00548"/>
    <w:rsid w:val="00E01394"/>
    <w:rsid w:val="00E029A5"/>
    <w:rsid w:val="00E0314E"/>
    <w:rsid w:val="00E0476C"/>
    <w:rsid w:val="00E05203"/>
    <w:rsid w:val="00E07091"/>
    <w:rsid w:val="00E11EB3"/>
    <w:rsid w:val="00E12543"/>
    <w:rsid w:val="00E13314"/>
    <w:rsid w:val="00E17467"/>
    <w:rsid w:val="00E21694"/>
    <w:rsid w:val="00E2210E"/>
    <w:rsid w:val="00E236E6"/>
    <w:rsid w:val="00E2499C"/>
    <w:rsid w:val="00E261C1"/>
    <w:rsid w:val="00E279BB"/>
    <w:rsid w:val="00E27E89"/>
    <w:rsid w:val="00E30452"/>
    <w:rsid w:val="00E32CAA"/>
    <w:rsid w:val="00E35548"/>
    <w:rsid w:val="00E35D2E"/>
    <w:rsid w:val="00E41686"/>
    <w:rsid w:val="00E41E32"/>
    <w:rsid w:val="00E441C4"/>
    <w:rsid w:val="00E45E05"/>
    <w:rsid w:val="00E47BDC"/>
    <w:rsid w:val="00E50EA2"/>
    <w:rsid w:val="00E5546B"/>
    <w:rsid w:val="00E55943"/>
    <w:rsid w:val="00E56666"/>
    <w:rsid w:val="00E568ED"/>
    <w:rsid w:val="00E57AF1"/>
    <w:rsid w:val="00E57C5B"/>
    <w:rsid w:val="00E60261"/>
    <w:rsid w:val="00E604EA"/>
    <w:rsid w:val="00E611F1"/>
    <w:rsid w:val="00E61438"/>
    <w:rsid w:val="00E616A5"/>
    <w:rsid w:val="00E6321A"/>
    <w:rsid w:val="00E65BC3"/>
    <w:rsid w:val="00E66352"/>
    <w:rsid w:val="00E6702F"/>
    <w:rsid w:val="00E700A8"/>
    <w:rsid w:val="00E7031C"/>
    <w:rsid w:val="00E716E4"/>
    <w:rsid w:val="00E71BB9"/>
    <w:rsid w:val="00E71CAA"/>
    <w:rsid w:val="00E71DA7"/>
    <w:rsid w:val="00E72BCB"/>
    <w:rsid w:val="00E72C56"/>
    <w:rsid w:val="00E7426E"/>
    <w:rsid w:val="00E75B94"/>
    <w:rsid w:val="00E76424"/>
    <w:rsid w:val="00E76B6E"/>
    <w:rsid w:val="00E775BD"/>
    <w:rsid w:val="00E77900"/>
    <w:rsid w:val="00E8093E"/>
    <w:rsid w:val="00E8241B"/>
    <w:rsid w:val="00E824A6"/>
    <w:rsid w:val="00E83EC2"/>
    <w:rsid w:val="00E846BE"/>
    <w:rsid w:val="00E879A5"/>
    <w:rsid w:val="00E90418"/>
    <w:rsid w:val="00E9176C"/>
    <w:rsid w:val="00E918DE"/>
    <w:rsid w:val="00E92256"/>
    <w:rsid w:val="00E925E1"/>
    <w:rsid w:val="00E94D10"/>
    <w:rsid w:val="00E95F8C"/>
    <w:rsid w:val="00E975E0"/>
    <w:rsid w:val="00E97BE0"/>
    <w:rsid w:val="00E97D30"/>
    <w:rsid w:val="00EA0E18"/>
    <w:rsid w:val="00EA1E87"/>
    <w:rsid w:val="00EA5069"/>
    <w:rsid w:val="00EA5A71"/>
    <w:rsid w:val="00EB2AA4"/>
    <w:rsid w:val="00EB3581"/>
    <w:rsid w:val="00EB386E"/>
    <w:rsid w:val="00EB63C5"/>
    <w:rsid w:val="00EB7DA2"/>
    <w:rsid w:val="00EC04E5"/>
    <w:rsid w:val="00EC0F59"/>
    <w:rsid w:val="00EC248C"/>
    <w:rsid w:val="00EC289C"/>
    <w:rsid w:val="00EC417C"/>
    <w:rsid w:val="00EC5235"/>
    <w:rsid w:val="00EC57FE"/>
    <w:rsid w:val="00EC73D9"/>
    <w:rsid w:val="00ED1485"/>
    <w:rsid w:val="00ED1984"/>
    <w:rsid w:val="00ED30B7"/>
    <w:rsid w:val="00ED3A7E"/>
    <w:rsid w:val="00ED588A"/>
    <w:rsid w:val="00ED6B2C"/>
    <w:rsid w:val="00ED7EA9"/>
    <w:rsid w:val="00EE1EE4"/>
    <w:rsid w:val="00EE220C"/>
    <w:rsid w:val="00EE2355"/>
    <w:rsid w:val="00EE3395"/>
    <w:rsid w:val="00EE443E"/>
    <w:rsid w:val="00EE6063"/>
    <w:rsid w:val="00EE67AB"/>
    <w:rsid w:val="00EF1987"/>
    <w:rsid w:val="00EF23D9"/>
    <w:rsid w:val="00EF712C"/>
    <w:rsid w:val="00EF7BC0"/>
    <w:rsid w:val="00F01571"/>
    <w:rsid w:val="00F024D0"/>
    <w:rsid w:val="00F028FD"/>
    <w:rsid w:val="00F0457D"/>
    <w:rsid w:val="00F04D6F"/>
    <w:rsid w:val="00F051D4"/>
    <w:rsid w:val="00F124B3"/>
    <w:rsid w:val="00F139D1"/>
    <w:rsid w:val="00F15190"/>
    <w:rsid w:val="00F169C7"/>
    <w:rsid w:val="00F210D2"/>
    <w:rsid w:val="00F21CBC"/>
    <w:rsid w:val="00F24866"/>
    <w:rsid w:val="00F2590E"/>
    <w:rsid w:val="00F26E0F"/>
    <w:rsid w:val="00F27572"/>
    <w:rsid w:val="00F303CF"/>
    <w:rsid w:val="00F30747"/>
    <w:rsid w:val="00F308BF"/>
    <w:rsid w:val="00F3128E"/>
    <w:rsid w:val="00F31824"/>
    <w:rsid w:val="00F31B0D"/>
    <w:rsid w:val="00F35C85"/>
    <w:rsid w:val="00F37136"/>
    <w:rsid w:val="00F40882"/>
    <w:rsid w:val="00F40EB0"/>
    <w:rsid w:val="00F419D2"/>
    <w:rsid w:val="00F42C31"/>
    <w:rsid w:val="00F43852"/>
    <w:rsid w:val="00F44DD0"/>
    <w:rsid w:val="00F45F5F"/>
    <w:rsid w:val="00F461AC"/>
    <w:rsid w:val="00F46EBB"/>
    <w:rsid w:val="00F52650"/>
    <w:rsid w:val="00F539C6"/>
    <w:rsid w:val="00F55692"/>
    <w:rsid w:val="00F56BA1"/>
    <w:rsid w:val="00F571D4"/>
    <w:rsid w:val="00F573CA"/>
    <w:rsid w:val="00F57F29"/>
    <w:rsid w:val="00F602D1"/>
    <w:rsid w:val="00F60F9F"/>
    <w:rsid w:val="00F611B7"/>
    <w:rsid w:val="00F61A84"/>
    <w:rsid w:val="00F63237"/>
    <w:rsid w:val="00F6347D"/>
    <w:rsid w:val="00F63CD1"/>
    <w:rsid w:val="00F653A3"/>
    <w:rsid w:val="00F65515"/>
    <w:rsid w:val="00F65A3D"/>
    <w:rsid w:val="00F66317"/>
    <w:rsid w:val="00F663C6"/>
    <w:rsid w:val="00F666F4"/>
    <w:rsid w:val="00F67E5E"/>
    <w:rsid w:val="00F70675"/>
    <w:rsid w:val="00F71179"/>
    <w:rsid w:val="00F71261"/>
    <w:rsid w:val="00F737A2"/>
    <w:rsid w:val="00F7400A"/>
    <w:rsid w:val="00F7596B"/>
    <w:rsid w:val="00F766F6"/>
    <w:rsid w:val="00F813DC"/>
    <w:rsid w:val="00F8174B"/>
    <w:rsid w:val="00F82215"/>
    <w:rsid w:val="00F828A3"/>
    <w:rsid w:val="00F82DBC"/>
    <w:rsid w:val="00F8625A"/>
    <w:rsid w:val="00F864AD"/>
    <w:rsid w:val="00F864C4"/>
    <w:rsid w:val="00F86B0B"/>
    <w:rsid w:val="00F876EB"/>
    <w:rsid w:val="00F90525"/>
    <w:rsid w:val="00F908F2"/>
    <w:rsid w:val="00F90C22"/>
    <w:rsid w:val="00F91A9D"/>
    <w:rsid w:val="00F92C55"/>
    <w:rsid w:val="00F92E06"/>
    <w:rsid w:val="00F9419F"/>
    <w:rsid w:val="00F943A2"/>
    <w:rsid w:val="00F94B04"/>
    <w:rsid w:val="00F96F77"/>
    <w:rsid w:val="00FA0028"/>
    <w:rsid w:val="00FA197B"/>
    <w:rsid w:val="00FA289B"/>
    <w:rsid w:val="00FA420B"/>
    <w:rsid w:val="00FA4AAC"/>
    <w:rsid w:val="00FA5C1B"/>
    <w:rsid w:val="00FA5D0D"/>
    <w:rsid w:val="00FA7EAF"/>
    <w:rsid w:val="00FB018D"/>
    <w:rsid w:val="00FB075D"/>
    <w:rsid w:val="00FB26EF"/>
    <w:rsid w:val="00FB311B"/>
    <w:rsid w:val="00FB3F55"/>
    <w:rsid w:val="00FB5D0E"/>
    <w:rsid w:val="00FC1F16"/>
    <w:rsid w:val="00FC30BB"/>
    <w:rsid w:val="00FC3B7C"/>
    <w:rsid w:val="00FC3FB7"/>
    <w:rsid w:val="00FC409F"/>
    <w:rsid w:val="00FC5782"/>
    <w:rsid w:val="00FC693D"/>
    <w:rsid w:val="00FC6CCF"/>
    <w:rsid w:val="00FD3249"/>
    <w:rsid w:val="00FD379F"/>
    <w:rsid w:val="00FD385E"/>
    <w:rsid w:val="00FD433A"/>
    <w:rsid w:val="00FD54F1"/>
    <w:rsid w:val="00FD58A0"/>
    <w:rsid w:val="00FD5920"/>
    <w:rsid w:val="00FD5CEB"/>
    <w:rsid w:val="00FD5E5F"/>
    <w:rsid w:val="00FD6C62"/>
    <w:rsid w:val="00FE32A2"/>
    <w:rsid w:val="00FE4CDD"/>
    <w:rsid w:val="00FE563B"/>
    <w:rsid w:val="00FE6DC0"/>
    <w:rsid w:val="00FE79E8"/>
    <w:rsid w:val="00FE7B02"/>
    <w:rsid w:val="00FE7E61"/>
    <w:rsid w:val="00FF0D88"/>
    <w:rsid w:val="00FF5C07"/>
    <w:rsid w:val="00FF7052"/>
    <w:rsid w:val="00FF7773"/>
    <w:rsid w:val="00FF7DA5"/>
    <w:rsid w:val="00FF7E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1CFAB"/>
  <w15:docId w15:val="{96C8831C-90BF-4693-97AA-4CDFD2C5A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DA0"/>
  </w:style>
  <w:style w:type="paragraph" w:styleId="Heading1">
    <w:name w:val="heading 1"/>
    <w:basedOn w:val="Normal"/>
    <w:next w:val="Normal"/>
    <w:link w:val="Heading1Char"/>
    <w:uiPriority w:val="9"/>
    <w:qFormat/>
    <w:rsid w:val="00022DA0"/>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022DA0"/>
    <w:pPr>
      <w:spacing w:after="0"/>
      <w:jc w:val="left"/>
      <w:outlineLvl w:val="1"/>
    </w:pPr>
    <w:rPr>
      <w:smallCaps/>
      <w:spacing w:val="5"/>
      <w:sz w:val="28"/>
      <w:szCs w:val="28"/>
    </w:rPr>
  </w:style>
  <w:style w:type="paragraph" w:styleId="Heading3">
    <w:name w:val="heading 3"/>
    <w:basedOn w:val="Normal"/>
    <w:next w:val="Normal"/>
    <w:link w:val="Heading3Char"/>
    <w:uiPriority w:val="9"/>
    <w:unhideWhenUsed/>
    <w:qFormat/>
    <w:rsid w:val="00022DA0"/>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022DA0"/>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022DA0"/>
    <w:pPr>
      <w:spacing w:after="0"/>
      <w:jc w:val="left"/>
      <w:outlineLvl w:val="4"/>
    </w:pPr>
    <w:rPr>
      <w:smallCaps/>
      <w:color w:val="E36C0A" w:themeColor="accent6" w:themeShade="BF"/>
      <w:spacing w:val="10"/>
      <w:sz w:val="22"/>
      <w:szCs w:val="22"/>
    </w:rPr>
  </w:style>
  <w:style w:type="paragraph" w:styleId="Heading6">
    <w:name w:val="heading 6"/>
    <w:basedOn w:val="Normal"/>
    <w:next w:val="Normal"/>
    <w:link w:val="Heading6Char"/>
    <w:uiPriority w:val="9"/>
    <w:unhideWhenUsed/>
    <w:qFormat/>
    <w:rsid w:val="00022DA0"/>
    <w:pPr>
      <w:spacing w:after="0"/>
      <w:jc w:val="left"/>
      <w:outlineLvl w:val="5"/>
    </w:pPr>
    <w:rPr>
      <w:smallCaps/>
      <w:color w:val="F79646" w:themeColor="accent6"/>
      <w:spacing w:val="5"/>
      <w:sz w:val="22"/>
      <w:szCs w:val="22"/>
    </w:rPr>
  </w:style>
  <w:style w:type="paragraph" w:styleId="Heading7">
    <w:name w:val="heading 7"/>
    <w:basedOn w:val="Normal"/>
    <w:next w:val="Normal"/>
    <w:link w:val="Heading7Char"/>
    <w:uiPriority w:val="9"/>
    <w:semiHidden/>
    <w:unhideWhenUsed/>
    <w:qFormat/>
    <w:rsid w:val="00022DA0"/>
    <w:pPr>
      <w:spacing w:after="0"/>
      <w:jc w:val="left"/>
      <w:outlineLvl w:val="6"/>
    </w:pPr>
    <w:rPr>
      <w:b/>
      <w:bCs/>
      <w:smallCaps/>
      <w:color w:val="F79646" w:themeColor="accent6"/>
      <w:spacing w:val="10"/>
    </w:rPr>
  </w:style>
  <w:style w:type="paragraph" w:styleId="Heading8">
    <w:name w:val="heading 8"/>
    <w:basedOn w:val="Normal"/>
    <w:next w:val="Normal"/>
    <w:link w:val="Heading8Char"/>
    <w:uiPriority w:val="9"/>
    <w:semiHidden/>
    <w:unhideWhenUsed/>
    <w:qFormat/>
    <w:rsid w:val="00022DA0"/>
    <w:pPr>
      <w:spacing w:after="0"/>
      <w:jc w:val="left"/>
      <w:outlineLvl w:val="7"/>
    </w:pPr>
    <w:rPr>
      <w:b/>
      <w:bCs/>
      <w:i/>
      <w:iCs/>
      <w:smallCaps/>
      <w:color w:val="E36C0A" w:themeColor="accent6" w:themeShade="BF"/>
    </w:rPr>
  </w:style>
  <w:style w:type="paragraph" w:styleId="Heading9">
    <w:name w:val="heading 9"/>
    <w:basedOn w:val="Normal"/>
    <w:next w:val="Normal"/>
    <w:link w:val="Heading9Char"/>
    <w:uiPriority w:val="9"/>
    <w:semiHidden/>
    <w:unhideWhenUsed/>
    <w:qFormat/>
    <w:rsid w:val="00022DA0"/>
    <w:pPr>
      <w:spacing w:after="0"/>
      <w:jc w:val="left"/>
      <w:outlineLvl w:val="8"/>
    </w:pPr>
    <w:rPr>
      <w:b/>
      <w:bCs/>
      <w:i/>
      <w:iCs/>
      <w:smallCaps/>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olor w:val="000080"/>
      <w:lang w:val="en-GB" w:eastAsia="en-GB"/>
    </w:rPr>
  </w:style>
  <w:style w:type="character" w:customStyle="1" w:styleId="WW8Num3z0">
    <w:name w:val="WW8Num3z0"/>
    <w:rPr>
      <w:rFonts w:ascii="Symbol" w:hAnsi="Symbol"/>
      <w:lang w:val="en-GB" w:eastAsia="en-GB"/>
    </w:rPr>
  </w:style>
  <w:style w:type="character" w:customStyle="1" w:styleId="WW8Num3z1">
    <w:name w:val="WW8Num3z1"/>
    <w:rPr>
      <w:rFonts w:ascii="Courier New" w:hAnsi="Courier New" w:cs="Courier New"/>
      <w:lang w:val="en-GB" w:eastAsia="en-GB"/>
    </w:rPr>
  </w:style>
  <w:style w:type="character" w:customStyle="1" w:styleId="WW8Num3z2">
    <w:name w:val="WW8Num3z2"/>
    <w:rPr>
      <w:rFonts w:ascii="Wingdings" w:hAnsi="Wingdings"/>
      <w:lang w:val="en-GB" w:eastAsia="en-GB"/>
    </w:rPr>
  </w:style>
  <w:style w:type="character" w:customStyle="1" w:styleId="WW8Num3z3">
    <w:name w:val="WW8Num3z3"/>
    <w:rPr>
      <w:rFonts w:ascii="Symbol" w:hAnsi="Symbol"/>
      <w:lang w:val="en-GB" w:eastAsia="en-GB"/>
    </w:rPr>
  </w:style>
  <w:style w:type="character" w:customStyle="1" w:styleId="WW8Num3z4">
    <w:name w:val="WW8Num3z4"/>
    <w:rPr>
      <w:rFonts w:ascii="Courier New" w:hAnsi="Courier New" w:cs="Courier New"/>
      <w:lang w:val="en-GB" w:eastAsia="en-GB"/>
    </w:rPr>
  </w:style>
  <w:style w:type="character" w:customStyle="1" w:styleId="WW8Num3z5">
    <w:name w:val="WW8Num3z5"/>
    <w:rPr>
      <w:rFonts w:ascii="Wingdings" w:hAnsi="Wingdings"/>
      <w:lang w:val="en-GB" w:eastAsia="en-GB"/>
    </w:rPr>
  </w:style>
  <w:style w:type="character" w:customStyle="1" w:styleId="Policepardfaut2">
    <w:name w:val="Police par défaut2"/>
  </w:style>
  <w:style w:type="character" w:customStyle="1" w:styleId="WW8Num1z0">
    <w:name w:val="WW8Num1z0"/>
    <w:rPr>
      <w:rFonts w:ascii="Times New Roman" w:eastAsia="MS Mincho" w:hAnsi="Times New Roman" w:cs="Times New Roman"/>
      <w:lang w:val="en-GB" w:eastAsia="en-GB"/>
    </w:rPr>
  </w:style>
  <w:style w:type="character" w:customStyle="1" w:styleId="WW8Num1z1">
    <w:name w:val="WW8Num1z1"/>
    <w:rPr>
      <w:rFonts w:ascii="Courier New" w:hAnsi="Courier New" w:cs="Courier New"/>
      <w:lang w:val="en-GB" w:eastAsia="en-GB"/>
    </w:rPr>
  </w:style>
  <w:style w:type="character" w:customStyle="1" w:styleId="WW8Num1z2">
    <w:name w:val="WW8Num1z2"/>
    <w:rPr>
      <w:rFonts w:ascii="Wingdings" w:hAnsi="Wingdings"/>
      <w:lang w:val="en-GB" w:eastAsia="en-GB"/>
    </w:rPr>
  </w:style>
  <w:style w:type="character" w:customStyle="1" w:styleId="WW8Num1z3">
    <w:name w:val="WW8Num1z3"/>
    <w:rPr>
      <w:rFonts w:ascii="Symbol" w:hAnsi="Symbol"/>
      <w:lang w:val="en-GB" w:eastAsia="en-GB"/>
    </w:rPr>
  </w:style>
  <w:style w:type="character" w:customStyle="1" w:styleId="WW8Num2z1">
    <w:name w:val="WW8Num2z1"/>
    <w:rPr>
      <w:rFonts w:ascii="Wingdings" w:hAnsi="Wingdings"/>
      <w:color w:val="000080"/>
      <w:lang w:val="en-GB" w:eastAsia="en-GB"/>
    </w:rPr>
  </w:style>
  <w:style w:type="character" w:customStyle="1" w:styleId="WW8Num2z2">
    <w:name w:val="WW8Num2z2"/>
    <w:rPr>
      <w:rFonts w:ascii="Arial" w:eastAsia="MS Mincho" w:hAnsi="Arial" w:cs="Arial"/>
      <w:lang w:val="en-GB" w:eastAsia="en-GB"/>
    </w:rPr>
  </w:style>
  <w:style w:type="character" w:customStyle="1" w:styleId="WW8Num2z3">
    <w:name w:val="WW8Num2z3"/>
    <w:rPr>
      <w:rFonts w:ascii="Symbol" w:hAnsi="Symbol"/>
      <w:lang w:val="en-GB" w:eastAsia="en-GB"/>
    </w:rPr>
  </w:style>
  <w:style w:type="character" w:customStyle="1" w:styleId="WW8Num2z4">
    <w:name w:val="WW8Num2z4"/>
    <w:rPr>
      <w:rFonts w:ascii="Courier New" w:hAnsi="Courier New" w:cs="Courier New"/>
      <w:lang w:val="en-GB" w:eastAsia="en-GB"/>
    </w:rPr>
  </w:style>
  <w:style w:type="character" w:customStyle="1" w:styleId="WW8Num2z5">
    <w:name w:val="WW8Num2z5"/>
    <w:rPr>
      <w:rFonts w:ascii="Wingdings" w:hAnsi="Wingdings"/>
      <w:lang w:val="en-GB" w:eastAsia="en-GB"/>
    </w:rPr>
  </w:style>
  <w:style w:type="character" w:customStyle="1" w:styleId="WW8Num4z0">
    <w:name w:val="WW8Num4z0"/>
    <w:rPr>
      <w:rFonts w:ascii="Symbol" w:hAnsi="Symbol"/>
      <w:color w:val="000080"/>
      <w:lang w:val="en-GB" w:eastAsia="en-GB"/>
    </w:rPr>
  </w:style>
  <w:style w:type="character" w:customStyle="1" w:styleId="WW8Num4z1">
    <w:name w:val="WW8Num4z1"/>
    <w:rPr>
      <w:rFonts w:ascii="Courier New" w:hAnsi="Courier New"/>
      <w:color w:val="000080"/>
      <w:lang w:val="en-GB" w:eastAsia="en-GB"/>
    </w:rPr>
  </w:style>
  <w:style w:type="character" w:customStyle="1" w:styleId="WW8Num4z2">
    <w:name w:val="WW8Num4z2"/>
    <w:rPr>
      <w:rFonts w:ascii="Arial" w:eastAsia="MS Mincho" w:hAnsi="Arial" w:cs="Arial"/>
      <w:lang w:val="en-GB" w:eastAsia="en-GB"/>
    </w:rPr>
  </w:style>
  <w:style w:type="character" w:customStyle="1" w:styleId="WW8Num4z3">
    <w:name w:val="WW8Num4z3"/>
    <w:rPr>
      <w:rFonts w:ascii="Symbol" w:hAnsi="Symbol"/>
      <w:lang w:val="en-GB" w:eastAsia="en-GB"/>
    </w:rPr>
  </w:style>
  <w:style w:type="character" w:customStyle="1" w:styleId="WW8Num4z4">
    <w:name w:val="WW8Num4z4"/>
    <w:rPr>
      <w:rFonts w:ascii="Courier New" w:hAnsi="Courier New" w:cs="Courier New"/>
      <w:lang w:val="en-GB" w:eastAsia="en-GB"/>
    </w:rPr>
  </w:style>
  <w:style w:type="character" w:customStyle="1" w:styleId="WW8Num4z5">
    <w:name w:val="WW8Num4z5"/>
    <w:rPr>
      <w:rFonts w:ascii="Wingdings" w:hAnsi="Wingdings"/>
      <w:lang w:val="en-GB" w:eastAsia="en-GB"/>
    </w:rPr>
  </w:style>
  <w:style w:type="character" w:customStyle="1" w:styleId="WW8Num5z0">
    <w:name w:val="WW8Num5z0"/>
    <w:rPr>
      <w:rFonts w:ascii="Symbol" w:hAnsi="Symbol"/>
      <w:color w:val="61B57C"/>
      <w:w w:val="100"/>
      <w:lang w:val="en-GB" w:eastAsia="en-GB"/>
    </w:rPr>
  </w:style>
  <w:style w:type="character" w:customStyle="1" w:styleId="WW8Num5z1">
    <w:name w:val="WW8Num5z1"/>
    <w:rPr>
      <w:rFonts w:ascii="Courier New" w:hAnsi="Courier New" w:cs="Courier New"/>
      <w:lang w:val="en-GB" w:eastAsia="en-GB"/>
    </w:rPr>
  </w:style>
  <w:style w:type="character" w:customStyle="1" w:styleId="WW8Num5z2">
    <w:name w:val="WW8Num5z2"/>
    <w:rPr>
      <w:rFonts w:ascii="Wingdings" w:hAnsi="Wingdings"/>
      <w:lang w:val="en-GB" w:eastAsia="en-GB"/>
    </w:rPr>
  </w:style>
  <w:style w:type="character" w:customStyle="1" w:styleId="WW8Num5z3">
    <w:name w:val="WW8Num5z3"/>
    <w:rPr>
      <w:rFonts w:ascii="Symbol" w:hAnsi="Symbol"/>
      <w:lang w:val="en-GB" w:eastAsia="en-GB"/>
    </w:rPr>
  </w:style>
  <w:style w:type="character" w:customStyle="1" w:styleId="WW8Num6z0">
    <w:name w:val="WW8Num6z0"/>
    <w:rPr>
      <w:rFonts w:ascii="Symbol" w:hAnsi="Symbol"/>
      <w:color w:val="61B57C"/>
      <w:w w:val="100"/>
      <w:lang w:val="en-GB" w:eastAsia="en-GB"/>
    </w:rPr>
  </w:style>
  <w:style w:type="character" w:customStyle="1" w:styleId="WW8Num6z1">
    <w:name w:val="WW8Num6z1"/>
    <w:rPr>
      <w:rFonts w:ascii="Courier New" w:hAnsi="Courier New" w:cs="Courier New"/>
      <w:lang w:val="en-GB" w:eastAsia="en-GB"/>
    </w:rPr>
  </w:style>
  <w:style w:type="character" w:customStyle="1" w:styleId="WW8Num6z2">
    <w:name w:val="WW8Num6z2"/>
    <w:rPr>
      <w:rFonts w:ascii="Wingdings" w:hAnsi="Wingdings"/>
      <w:lang w:val="en-GB" w:eastAsia="en-GB"/>
    </w:rPr>
  </w:style>
  <w:style w:type="character" w:customStyle="1" w:styleId="WW8Num6z3">
    <w:name w:val="WW8Num6z3"/>
    <w:rPr>
      <w:rFonts w:ascii="Symbol" w:hAnsi="Symbol"/>
      <w:lang w:val="en-GB" w:eastAsia="en-GB"/>
    </w:rPr>
  </w:style>
  <w:style w:type="character" w:customStyle="1" w:styleId="WW8Num7z0">
    <w:name w:val="WW8Num7z0"/>
    <w:rPr>
      <w:rFonts w:ascii="Symbol" w:hAnsi="Symbol"/>
      <w:color w:val="000080"/>
      <w:lang w:val="en-GB" w:eastAsia="en-GB"/>
    </w:rPr>
  </w:style>
  <w:style w:type="character" w:customStyle="1" w:styleId="WW8Num7z1">
    <w:name w:val="WW8Num7z1"/>
    <w:rPr>
      <w:rFonts w:ascii="Wingdings" w:hAnsi="Wingdings"/>
      <w:color w:val="000080"/>
      <w:lang w:val="en-GB" w:eastAsia="en-GB"/>
    </w:rPr>
  </w:style>
  <w:style w:type="character" w:customStyle="1" w:styleId="WW8Num7z2">
    <w:name w:val="WW8Num7z2"/>
    <w:rPr>
      <w:rFonts w:ascii="Arial" w:eastAsia="MS Mincho" w:hAnsi="Arial" w:cs="Arial"/>
      <w:lang w:val="en-GB" w:eastAsia="en-GB"/>
    </w:rPr>
  </w:style>
  <w:style w:type="character" w:customStyle="1" w:styleId="WW8Num7z3">
    <w:name w:val="WW8Num7z3"/>
    <w:rPr>
      <w:rFonts w:ascii="Symbol" w:hAnsi="Symbol"/>
      <w:lang w:val="en-GB" w:eastAsia="en-GB"/>
    </w:rPr>
  </w:style>
  <w:style w:type="character" w:customStyle="1" w:styleId="WW8Num7z4">
    <w:name w:val="WW8Num7z4"/>
    <w:rPr>
      <w:rFonts w:ascii="Courier New" w:hAnsi="Courier New" w:cs="Courier New"/>
      <w:lang w:val="en-GB" w:eastAsia="en-GB"/>
    </w:rPr>
  </w:style>
  <w:style w:type="character" w:customStyle="1" w:styleId="WW8Num7z5">
    <w:name w:val="WW8Num7z5"/>
    <w:rPr>
      <w:rFonts w:ascii="Wingdings" w:hAnsi="Wingdings"/>
      <w:lang w:val="en-GB" w:eastAsia="en-GB"/>
    </w:rPr>
  </w:style>
  <w:style w:type="character" w:customStyle="1" w:styleId="WW8Num8z0">
    <w:name w:val="WW8Num8z0"/>
    <w:rPr>
      <w:rFonts w:ascii="Symbol" w:hAnsi="Symbol"/>
      <w:lang w:val="en-GB" w:eastAsia="en-GB"/>
    </w:rPr>
  </w:style>
  <w:style w:type="character" w:customStyle="1" w:styleId="WW8Num8z1">
    <w:name w:val="WW8Num8z1"/>
    <w:rPr>
      <w:rFonts w:ascii="Courier New" w:hAnsi="Courier New" w:cs="Courier New"/>
      <w:lang w:val="en-GB" w:eastAsia="en-GB"/>
    </w:rPr>
  </w:style>
  <w:style w:type="character" w:customStyle="1" w:styleId="WW8Num8z2">
    <w:name w:val="WW8Num8z2"/>
    <w:rPr>
      <w:rFonts w:ascii="Wingdings" w:hAnsi="Wingdings"/>
      <w:lang w:val="en-GB" w:eastAsia="en-GB"/>
    </w:rPr>
  </w:style>
  <w:style w:type="character" w:customStyle="1" w:styleId="WW8Num9z0">
    <w:name w:val="WW8Num9z0"/>
    <w:rPr>
      <w:rFonts w:ascii="Symbol" w:hAnsi="Symbol"/>
      <w:color w:val="000080"/>
      <w:lang w:val="en-GB" w:eastAsia="en-GB"/>
    </w:rPr>
  </w:style>
  <w:style w:type="character" w:customStyle="1" w:styleId="WW8Num9z1">
    <w:name w:val="WW8Num9z1"/>
    <w:rPr>
      <w:rFonts w:ascii="Wingdings" w:hAnsi="Wingdings"/>
      <w:color w:val="61B57C"/>
      <w:lang w:val="en-GB" w:eastAsia="en-GB"/>
    </w:rPr>
  </w:style>
  <w:style w:type="character" w:customStyle="1" w:styleId="WW8Num9z2">
    <w:name w:val="WW8Num9z2"/>
    <w:rPr>
      <w:rFonts w:ascii="Arial" w:eastAsia="MS Mincho" w:hAnsi="Arial" w:cs="Arial"/>
      <w:lang w:val="en-GB" w:eastAsia="en-GB"/>
    </w:rPr>
  </w:style>
  <w:style w:type="character" w:customStyle="1" w:styleId="WW8Num9z3">
    <w:name w:val="WW8Num9z3"/>
    <w:rPr>
      <w:rFonts w:ascii="Symbol" w:hAnsi="Symbol"/>
      <w:lang w:val="en-GB" w:eastAsia="en-GB"/>
    </w:rPr>
  </w:style>
  <w:style w:type="character" w:customStyle="1" w:styleId="WW8Num9z4">
    <w:name w:val="WW8Num9z4"/>
    <w:rPr>
      <w:rFonts w:ascii="Courier New" w:hAnsi="Courier New" w:cs="Courier New"/>
      <w:lang w:val="en-GB" w:eastAsia="en-GB"/>
    </w:rPr>
  </w:style>
  <w:style w:type="character" w:customStyle="1" w:styleId="WW8Num9z5">
    <w:name w:val="WW8Num9z5"/>
    <w:rPr>
      <w:rFonts w:ascii="Wingdings" w:hAnsi="Wingdings"/>
      <w:lang w:val="en-GB" w:eastAsia="en-GB"/>
    </w:rPr>
  </w:style>
  <w:style w:type="character" w:customStyle="1" w:styleId="WW8Num11z0">
    <w:name w:val="WW8Num11z0"/>
    <w:rPr>
      <w:rFonts w:ascii="Symbol" w:hAnsi="Symbol"/>
      <w:color w:val="000080"/>
      <w:lang w:val="en-GB" w:eastAsia="en-GB"/>
    </w:rPr>
  </w:style>
  <w:style w:type="character" w:customStyle="1" w:styleId="WW8Num11z1">
    <w:name w:val="WW8Num11z1"/>
    <w:rPr>
      <w:rFonts w:ascii="Courier New" w:hAnsi="Courier New"/>
      <w:color w:val="000080"/>
      <w:lang w:val="en-GB" w:eastAsia="en-GB"/>
    </w:rPr>
  </w:style>
  <w:style w:type="character" w:customStyle="1" w:styleId="WW8Num11z2">
    <w:name w:val="WW8Num11z2"/>
    <w:rPr>
      <w:rFonts w:ascii="Arial" w:eastAsia="MS Mincho" w:hAnsi="Arial" w:cs="Arial"/>
      <w:lang w:val="en-GB" w:eastAsia="en-GB"/>
    </w:rPr>
  </w:style>
  <w:style w:type="character" w:customStyle="1" w:styleId="WW8Num11z3">
    <w:name w:val="WW8Num11z3"/>
    <w:rPr>
      <w:rFonts w:ascii="Symbol" w:hAnsi="Symbol"/>
      <w:lang w:val="en-GB" w:eastAsia="en-GB"/>
    </w:rPr>
  </w:style>
  <w:style w:type="character" w:customStyle="1" w:styleId="WW8Num11z4">
    <w:name w:val="WW8Num11z4"/>
    <w:rPr>
      <w:rFonts w:ascii="Courier New" w:hAnsi="Courier New" w:cs="Courier New"/>
      <w:lang w:val="en-GB" w:eastAsia="en-GB"/>
    </w:rPr>
  </w:style>
  <w:style w:type="character" w:customStyle="1" w:styleId="WW8Num11z5">
    <w:name w:val="WW8Num11z5"/>
    <w:rPr>
      <w:rFonts w:ascii="Wingdings" w:hAnsi="Wingdings"/>
      <w:lang w:val="en-GB" w:eastAsia="en-GB"/>
    </w:rPr>
  </w:style>
  <w:style w:type="character" w:customStyle="1" w:styleId="WW8Num12z0">
    <w:name w:val="WW8Num12z0"/>
    <w:rPr>
      <w:rFonts w:ascii="Symbol" w:hAnsi="Symbol"/>
      <w:color w:val="61B57C"/>
      <w:w w:val="100"/>
      <w:lang w:val="en-GB" w:eastAsia="en-GB"/>
    </w:rPr>
  </w:style>
  <w:style w:type="character" w:customStyle="1" w:styleId="WW8Num12z1">
    <w:name w:val="WW8Num12z1"/>
    <w:rPr>
      <w:rFonts w:ascii="Courier New" w:hAnsi="Courier New" w:cs="Courier New"/>
      <w:lang w:val="en-GB" w:eastAsia="en-GB"/>
    </w:rPr>
  </w:style>
  <w:style w:type="character" w:customStyle="1" w:styleId="WW8Num12z2">
    <w:name w:val="WW8Num12z2"/>
    <w:rPr>
      <w:rFonts w:ascii="Wingdings" w:hAnsi="Wingdings"/>
      <w:lang w:val="en-GB" w:eastAsia="en-GB"/>
    </w:rPr>
  </w:style>
  <w:style w:type="character" w:customStyle="1" w:styleId="WW8Num12z3">
    <w:name w:val="WW8Num12z3"/>
    <w:rPr>
      <w:rFonts w:ascii="Symbol" w:hAnsi="Symbol"/>
      <w:lang w:val="en-GB" w:eastAsia="en-GB"/>
    </w:rPr>
  </w:style>
  <w:style w:type="character" w:customStyle="1" w:styleId="Policepardfaut1">
    <w:name w:val="Police par défaut1"/>
  </w:style>
  <w:style w:type="character" w:customStyle="1" w:styleId="CarCar2">
    <w:name w:val="Car Car2"/>
    <w:basedOn w:val="Policepardfaut1"/>
  </w:style>
  <w:style w:type="character" w:customStyle="1" w:styleId="CarCar1">
    <w:name w:val="Car Car1"/>
    <w:basedOn w:val="Policepardfaut1"/>
  </w:style>
  <w:style w:type="character" w:customStyle="1" w:styleId="CarCar">
    <w:name w:val="Car Car"/>
    <w:rPr>
      <w:rFonts w:ascii="Lucida Grande" w:hAnsi="Lucida Grande" w:cs="Lucida Grande"/>
      <w:sz w:val="18"/>
      <w:szCs w:val="18"/>
      <w:lang w:val="en-GB" w:eastAsia="en-GB"/>
    </w:rPr>
  </w:style>
  <w:style w:type="character" w:styleId="Hyperlink">
    <w:name w:val="Hyperlink"/>
    <w:uiPriority w:val="99"/>
    <w:rPr>
      <w:rFonts w:cs="Times New Roman"/>
      <w:color w:val="0000FF"/>
      <w:u w:val="single"/>
      <w:lang w:val="en-GB" w:eastAsia="en-GB"/>
    </w:rPr>
  </w:style>
  <w:style w:type="character" w:customStyle="1" w:styleId="Caractresdenotedebasdepage">
    <w:name w:val="Caractères de note de bas de page"/>
    <w:rPr>
      <w:vertAlign w:val="superscript"/>
      <w:lang w:val="en-GB" w:eastAsia="en-GB"/>
    </w:rPr>
  </w:style>
  <w:style w:type="character" w:customStyle="1" w:styleId="st1">
    <w:name w:val="st1"/>
    <w:basedOn w:val="Policepardfaut1"/>
  </w:style>
  <w:style w:type="character" w:styleId="PageNumber">
    <w:name w:val="page number"/>
    <w:basedOn w:val="Policepardfaut1"/>
    <w:semiHidden/>
  </w:style>
  <w:style w:type="character" w:styleId="Strong">
    <w:name w:val="Strong"/>
    <w:uiPriority w:val="22"/>
    <w:qFormat/>
    <w:rsid w:val="00022DA0"/>
    <w:rPr>
      <w:b/>
      <w:bCs/>
      <w:color w:val="F79646" w:themeColor="accent6"/>
    </w:rPr>
  </w:style>
  <w:style w:type="character" w:customStyle="1" w:styleId="PieddepageCar">
    <w:name w:val="Pied de page Car"/>
    <w:uiPriority w:val="99"/>
    <w:rPr>
      <w:rFonts w:ascii="Cambria" w:eastAsia="MS Mincho" w:hAnsi="Cambria" w:cs="Cambria"/>
      <w:sz w:val="24"/>
      <w:szCs w:val="24"/>
      <w:lang w:val="en-GB" w:eastAsia="en-GB"/>
    </w:rPr>
  </w:style>
  <w:style w:type="character" w:customStyle="1" w:styleId="italique">
    <w:name w:val="italique"/>
  </w:style>
  <w:style w:type="character" w:customStyle="1" w:styleId="Appelnotedebasdep1">
    <w:name w:val="Appel note de bas de p.1"/>
    <w:rPr>
      <w:vertAlign w:val="superscript"/>
      <w:lang w:val="en-GB" w:eastAsia="en-GB"/>
    </w:rPr>
  </w:style>
  <w:style w:type="character" w:customStyle="1" w:styleId="hps">
    <w:name w:val="hps"/>
  </w:style>
  <w:style w:type="paragraph" w:customStyle="1" w:styleId="Titre2">
    <w:name w:val="Titre2"/>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customStyle="1" w:styleId="Lgende2">
    <w:name w:val="Légende2"/>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Titre1">
    <w:name w:val="Titre1"/>
    <w:basedOn w:val="Normal"/>
    <w:next w:val="BodyText"/>
    <w:pPr>
      <w:keepNext/>
      <w:spacing w:before="240" w:after="120"/>
    </w:pPr>
    <w:rPr>
      <w:rFonts w:ascii="Arial" w:eastAsia="Lucida Sans Unicode" w:hAnsi="Arial" w:cs="Tahoma"/>
      <w:sz w:val="28"/>
      <w:szCs w:val="28"/>
    </w:rPr>
  </w:style>
  <w:style w:type="paragraph" w:customStyle="1" w:styleId="Lgende1">
    <w:name w:val="Légende1"/>
    <w:basedOn w:val="Normal"/>
    <w:pPr>
      <w:suppressLineNumbers/>
      <w:spacing w:before="120" w:after="120"/>
    </w:pPr>
    <w:rPr>
      <w:rFonts w:cs="Tahoma"/>
      <w:i/>
      <w:iCs/>
    </w:rPr>
  </w:style>
  <w:style w:type="paragraph" w:styleId="Header">
    <w:name w:val="header"/>
    <w:basedOn w:val="Normal"/>
    <w:semiHidden/>
  </w:style>
  <w:style w:type="paragraph" w:styleId="Footer">
    <w:name w:val="footer"/>
    <w:basedOn w:val="Normal"/>
    <w:uiPriority w:val="99"/>
  </w:style>
  <w:style w:type="paragraph" w:styleId="BalloonText">
    <w:name w:val="Balloon Text"/>
    <w:basedOn w:val="Normal"/>
    <w:rPr>
      <w:rFonts w:ascii="Lucida Grande" w:hAnsi="Lucida Grande" w:cs="Lucida Grande"/>
      <w:sz w:val="18"/>
      <w:szCs w:val="18"/>
    </w:rPr>
  </w:style>
  <w:style w:type="paragraph" w:customStyle="1" w:styleId="textecontact">
    <w:name w:val="textecontact"/>
    <w:basedOn w:val="Normal"/>
    <w:pPr>
      <w:spacing w:before="280" w:after="280"/>
    </w:pPr>
    <w:rPr>
      <w:rFonts w:ascii="Times New Roman" w:eastAsia="Times New Roman" w:hAnsi="Times New Roman"/>
    </w:rPr>
  </w:style>
  <w:style w:type="paragraph" w:customStyle="1" w:styleId="Textecontact0">
    <w:name w:val="Texte contact"/>
    <w:basedOn w:val="Normal"/>
    <w:pPr>
      <w:spacing w:before="60" w:after="60" w:line="220" w:lineRule="atLeast"/>
      <w:ind w:left="113" w:right="113"/>
    </w:pPr>
    <w:rPr>
      <w:rFonts w:ascii="Arial" w:eastAsia="Times New Roman" w:hAnsi="Arial"/>
      <w:sz w:val="18"/>
    </w:rPr>
  </w:style>
  <w:style w:type="paragraph" w:customStyle="1" w:styleId="Titrecontact">
    <w:name w:val="Titre contact"/>
    <w:basedOn w:val="Textecontact0"/>
    <w:pPr>
      <w:spacing w:before="0" w:after="0"/>
      <w:ind w:left="0" w:right="0"/>
    </w:pPr>
    <w:rPr>
      <w:b/>
      <w:color w:val="000000"/>
    </w:rPr>
  </w:style>
  <w:style w:type="paragraph" w:styleId="FootnoteText">
    <w:name w:val="footnote text"/>
    <w:basedOn w:val="Normal"/>
    <w:link w:val="FootnoteTextChar"/>
    <w:uiPriority w:val="99"/>
  </w:style>
  <w:style w:type="paragraph" w:customStyle="1" w:styleId="Textedesaisie">
    <w:name w:val="Texte de saisie"/>
    <w:basedOn w:val="Normal"/>
    <w:pPr>
      <w:spacing w:line="260" w:lineRule="atLeast"/>
    </w:pPr>
    <w:rPr>
      <w:rFonts w:ascii="Arial" w:eastAsia="Times New Roman" w:hAnsi="Arial"/>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BodyText"/>
  </w:style>
  <w:style w:type="paragraph" w:styleId="NormalWeb">
    <w:name w:val="Normal (Web)"/>
    <w:basedOn w:val="Normal"/>
    <w:uiPriority w:val="99"/>
    <w:pPr>
      <w:spacing w:before="240" w:after="240"/>
    </w:pPr>
    <w:rPr>
      <w:rFonts w:ascii="Times New Roman" w:eastAsia="Times New Roman" w:hAnsi="Times New Roman" w:cs="Times New Roman"/>
    </w:rPr>
  </w:style>
  <w:style w:type="paragraph" w:customStyle="1" w:styleId="Default">
    <w:name w:val="Default"/>
    <w:rsid w:val="00286AFD"/>
    <w:pPr>
      <w:autoSpaceDE w:val="0"/>
      <w:autoSpaceDN w:val="0"/>
      <w:adjustRightInd w:val="0"/>
    </w:pPr>
    <w:rPr>
      <w:rFonts w:ascii="Arial" w:hAnsi="Arial" w:cs="Arial"/>
      <w:color w:val="000000"/>
      <w:sz w:val="24"/>
      <w:szCs w:val="24"/>
      <w:lang w:val="en-GB" w:eastAsia="en-GB"/>
    </w:rPr>
  </w:style>
  <w:style w:type="character" w:customStyle="1" w:styleId="Heading6Char">
    <w:name w:val="Heading 6 Char"/>
    <w:basedOn w:val="DefaultParagraphFont"/>
    <w:link w:val="Heading6"/>
    <w:uiPriority w:val="9"/>
    <w:rsid w:val="00022DA0"/>
    <w:rPr>
      <w:smallCaps/>
      <w:color w:val="F79646" w:themeColor="accent6"/>
      <w:spacing w:val="5"/>
      <w:sz w:val="22"/>
      <w:szCs w:val="22"/>
    </w:rPr>
  </w:style>
  <w:style w:type="paragraph" w:styleId="ListParagraph">
    <w:name w:val="List Paragraph"/>
    <w:basedOn w:val="Normal"/>
    <w:uiPriority w:val="34"/>
    <w:qFormat/>
    <w:rsid w:val="009C1C3B"/>
    <w:pPr>
      <w:ind w:left="720"/>
      <w:contextualSpacing/>
    </w:pPr>
  </w:style>
  <w:style w:type="character" w:styleId="FootnoteReference">
    <w:name w:val="footnote reference"/>
    <w:uiPriority w:val="99"/>
    <w:semiHidden/>
    <w:unhideWhenUsed/>
    <w:rsid w:val="00D27875"/>
    <w:rPr>
      <w:vertAlign w:val="superscript"/>
      <w:lang w:val="en-GB" w:eastAsia="en-GB"/>
    </w:rPr>
  </w:style>
  <w:style w:type="character" w:styleId="CommentReference">
    <w:name w:val="annotation reference"/>
    <w:uiPriority w:val="99"/>
    <w:semiHidden/>
    <w:unhideWhenUsed/>
    <w:rsid w:val="005E6D3C"/>
    <w:rPr>
      <w:sz w:val="16"/>
      <w:szCs w:val="16"/>
      <w:lang w:val="en-GB" w:eastAsia="en-GB"/>
    </w:rPr>
  </w:style>
  <w:style w:type="paragraph" w:styleId="CommentText">
    <w:name w:val="annotation text"/>
    <w:basedOn w:val="Normal"/>
    <w:link w:val="CommentTextChar"/>
    <w:uiPriority w:val="99"/>
    <w:semiHidden/>
    <w:unhideWhenUsed/>
    <w:rsid w:val="005E6D3C"/>
  </w:style>
  <w:style w:type="character" w:customStyle="1" w:styleId="CommentTextChar">
    <w:name w:val="Comment Text Char"/>
    <w:link w:val="CommentText"/>
    <w:uiPriority w:val="99"/>
    <w:semiHidden/>
    <w:rsid w:val="005E6D3C"/>
    <w:rPr>
      <w:rFonts w:ascii="Cambria" w:eastAsia="MS Mincho" w:hAnsi="Cambria" w:cs="Cambria"/>
      <w:lang w:val="en-GB" w:eastAsia="en-GB"/>
    </w:rPr>
  </w:style>
  <w:style w:type="paragraph" w:styleId="CommentSubject">
    <w:name w:val="annotation subject"/>
    <w:basedOn w:val="CommentText"/>
    <w:next w:val="CommentText"/>
    <w:link w:val="CommentSubjectChar"/>
    <w:uiPriority w:val="99"/>
    <w:semiHidden/>
    <w:unhideWhenUsed/>
    <w:rsid w:val="005E6D3C"/>
    <w:rPr>
      <w:b/>
      <w:bCs/>
    </w:rPr>
  </w:style>
  <w:style w:type="character" w:customStyle="1" w:styleId="CommentSubjectChar">
    <w:name w:val="Comment Subject Char"/>
    <w:link w:val="CommentSubject"/>
    <w:uiPriority w:val="99"/>
    <w:semiHidden/>
    <w:rsid w:val="005E6D3C"/>
    <w:rPr>
      <w:rFonts w:ascii="Cambria" w:eastAsia="MS Mincho" w:hAnsi="Cambria" w:cs="Cambria"/>
      <w:b/>
      <w:bCs/>
      <w:lang w:val="en-GB" w:eastAsia="en-GB"/>
    </w:rPr>
  </w:style>
  <w:style w:type="paragraph" w:styleId="Revision">
    <w:name w:val="Revision"/>
    <w:hidden/>
    <w:uiPriority w:val="99"/>
    <w:semiHidden/>
    <w:rsid w:val="005E6D3C"/>
    <w:rPr>
      <w:rFonts w:ascii="Cambria" w:eastAsia="MS Mincho" w:hAnsi="Cambria" w:cs="Cambria"/>
      <w:sz w:val="24"/>
      <w:szCs w:val="24"/>
      <w:lang w:val="en-GB" w:eastAsia="en-GB"/>
    </w:rPr>
  </w:style>
  <w:style w:type="character" w:customStyle="1" w:styleId="st">
    <w:name w:val="st"/>
    <w:rsid w:val="00E22E3D"/>
  </w:style>
  <w:style w:type="character" w:styleId="Emphasis">
    <w:name w:val="Emphasis"/>
    <w:uiPriority w:val="20"/>
    <w:qFormat/>
    <w:rsid w:val="00022DA0"/>
    <w:rPr>
      <w:b/>
      <w:bCs/>
      <w:i/>
      <w:iCs/>
      <w:spacing w:val="10"/>
    </w:rPr>
  </w:style>
  <w:style w:type="character" w:customStyle="1" w:styleId="Heading4Char">
    <w:name w:val="Heading 4 Char"/>
    <w:basedOn w:val="DefaultParagraphFont"/>
    <w:link w:val="Heading4"/>
    <w:uiPriority w:val="9"/>
    <w:semiHidden/>
    <w:rsid w:val="00022DA0"/>
    <w:rPr>
      <w:i/>
      <w:iCs/>
      <w:smallCaps/>
      <w:spacing w:val="10"/>
      <w:sz w:val="22"/>
      <w:szCs w:val="22"/>
    </w:rPr>
  </w:style>
  <w:style w:type="character" w:customStyle="1" w:styleId="FootnoteTextChar">
    <w:name w:val="Footnote Text Char"/>
    <w:link w:val="FootnoteText"/>
    <w:uiPriority w:val="99"/>
    <w:rsid w:val="00866128"/>
    <w:rPr>
      <w:rFonts w:ascii="Cambria" w:eastAsia="MS Mincho" w:hAnsi="Cambria" w:cs="Cambria"/>
      <w:lang w:val="en-GB" w:eastAsia="en-GB"/>
    </w:rPr>
  </w:style>
  <w:style w:type="paragraph" w:styleId="HTMLPreformatted">
    <w:name w:val="HTML Preformatted"/>
    <w:basedOn w:val="Normal"/>
    <w:link w:val="HTMLPreformattedChar"/>
    <w:uiPriority w:val="99"/>
    <w:semiHidden/>
    <w:unhideWhenUsed/>
    <w:rsid w:val="00335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fr-FR" w:eastAsia="fr-FR"/>
    </w:rPr>
  </w:style>
  <w:style w:type="character" w:customStyle="1" w:styleId="HTMLPreformattedChar">
    <w:name w:val="HTML Preformatted Char"/>
    <w:basedOn w:val="DefaultParagraphFont"/>
    <w:link w:val="HTMLPreformatted"/>
    <w:uiPriority w:val="99"/>
    <w:semiHidden/>
    <w:rsid w:val="00335C08"/>
    <w:rPr>
      <w:rFonts w:ascii="Courier New" w:hAnsi="Courier New" w:cs="Courier New"/>
      <w:lang w:val="fr-FR" w:eastAsia="fr-FR"/>
    </w:rPr>
  </w:style>
  <w:style w:type="paragraph" w:styleId="EndnoteText">
    <w:name w:val="endnote text"/>
    <w:basedOn w:val="Normal"/>
    <w:link w:val="EndnoteTextChar"/>
    <w:uiPriority w:val="99"/>
    <w:semiHidden/>
    <w:unhideWhenUsed/>
    <w:rsid w:val="000A1B81"/>
  </w:style>
  <w:style w:type="character" w:customStyle="1" w:styleId="EndnoteTextChar">
    <w:name w:val="Endnote Text Char"/>
    <w:basedOn w:val="DefaultParagraphFont"/>
    <w:link w:val="EndnoteText"/>
    <w:uiPriority w:val="99"/>
    <w:semiHidden/>
    <w:rsid w:val="000A1B81"/>
    <w:rPr>
      <w:rFonts w:ascii="Cambria" w:eastAsia="MS Mincho" w:hAnsi="Cambria" w:cs="Cambria"/>
      <w:lang w:val="en-GB" w:eastAsia="en-GB"/>
    </w:rPr>
  </w:style>
  <w:style w:type="character" w:styleId="EndnoteReference">
    <w:name w:val="endnote reference"/>
    <w:basedOn w:val="DefaultParagraphFont"/>
    <w:uiPriority w:val="99"/>
    <w:semiHidden/>
    <w:unhideWhenUsed/>
    <w:rsid w:val="000A1B81"/>
    <w:rPr>
      <w:vertAlign w:val="superscript"/>
    </w:rPr>
  </w:style>
  <w:style w:type="character" w:customStyle="1" w:styleId="Heading1Char">
    <w:name w:val="Heading 1 Char"/>
    <w:basedOn w:val="DefaultParagraphFont"/>
    <w:link w:val="Heading1"/>
    <w:uiPriority w:val="9"/>
    <w:rsid w:val="00022DA0"/>
    <w:rPr>
      <w:smallCaps/>
      <w:spacing w:val="5"/>
      <w:sz w:val="32"/>
      <w:szCs w:val="32"/>
    </w:rPr>
  </w:style>
  <w:style w:type="character" w:customStyle="1" w:styleId="Heading2Char">
    <w:name w:val="Heading 2 Char"/>
    <w:basedOn w:val="DefaultParagraphFont"/>
    <w:link w:val="Heading2"/>
    <w:uiPriority w:val="9"/>
    <w:semiHidden/>
    <w:rsid w:val="00022DA0"/>
    <w:rPr>
      <w:smallCaps/>
      <w:spacing w:val="5"/>
      <w:sz w:val="28"/>
      <w:szCs w:val="28"/>
    </w:rPr>
  </w:style>
  <w:style w:type="character" w:customStyle="1" w:styleId="Heading3Char">
    <w:name w:val="Heading 3 Char"/>
    <w:basedOn w:val="DefaultParagraphFont"/>
    <w:link w:val="Heading3"/>
    <w:uiPriority w:val="9"/>
    <w:rsid w:val="00022DA0"/>
    <w:rPr>
      <w:smallCaps/>
      <w:spacing w:val="5"/>
      <w:sz w:val="24"/>
      <w:szCs w:val="24"/>
    </w:rPr>
  </w:style>
  <w:style w:type="character" w:customStyle="1" w:styleId="Heading5Char">
    <w:name w:val="Heading 5 Char"/>
    <w:basedOn w:val="DefaultParagraphFont"/>
    <w:link w:val="Heading5"/>
    <w:uiPriority w:val="9"/>
    <w:semiHidden/>
    <w:rsid w:val="00022DA0"/>
    <w:rPr>
      <w:smallCaps/>
      <w:color w:val="E36C0A" w:themeColor="accent6" w:themeShade="BF"/>
      <w:spacing w:val="10"/>
      <w:sz w:val="22"/>
      <w:szCs w:val="22"/>
    </w:rPr>
  </w:style>
  <w:style w:type="character" w:customStyle="1" w:styleId="Heading7Char">
    <w:name w:val="Heading 7 Char"/>
    <w:basedOn w:val="DefaultParagraphFont"/>
    <w:link w:val="Heading7"/>
    <w:uiPriority w:val="9"/>
    <w:semiHidden/>
    <w:rsid w:val="00022DA0"/>
    <w:rPr>
      <w:b/>
      <w:bCs/>
      <w:smallCaps/>
      <w:color w:val="F79646" w:themeColor="accent6"/>
      <w:spacing w:val="10"/>
    </w:rPr>
  </w:style>
  <w:style w:type="character" w:customStyle="1" w:styleId="Heading8Char">
    <w:name w:val="Heading 8 Char"/>
    <w:basedOn w:val="DefaultParagraphFont"/>
    <w:link w:val="Heading8"/>
    <w:uiPriority w:val="9"/>
    <w:semiHidden/>
    <w:rsid w:val="00022DA0"/>
    <w:rPr>
      <w:b/>
      <w:bCs/>
      <w:i/>
      <w:iCs/>
      <w:smallCaps/>
      <w:color w:val="E36C0A" w:themeColor="accent6" w:themeShade="BF"/>
    </w:rPr>
  </w:style>
  <w:style w:type="character" w:customStyle="1" w:styleId="Heading9Char">
    <w:name w:val="Heading 9 Char"/>
    <w:basedOn w:val="DefaultParagraphFont"/>
    <w:link w:val="Heading9"/>
    <w:uiPriority w:val="9"/>
    <w:semiHidden/>
    <w:rsid w:val="00022DA0"/>
    <w:rPr>
      <w:b/>
      <w:bCs/>
      <w:i/>
      <w:iCs/>
      <w:smallCaps/>
      <w:color w:val="984806" w:themeColor="accent6" w:themeShade="80"/>
    </w:rPr>
  </w:style>
  <w:style w:type="paragraph" w:styleId="Caption">
    <w:name w:val="caption"/>
    <w:basedOn w:val="Normal"/>
    <w:next w:val="Normal"/>
    <w:uiPriority w:val="35"/>
    <w:semiHidden/>
    <w:unhideWhenUsed/>
    <w:qFormat/>
    <w:rsid w:val="00022DA0"/>
    <w:rPr>
      <w:b/>
      <w:bCs/>
      <w:caps/>
      <w:sz w:val="16"/>
      <w:szCs w:val="16"/>
    </w:rPr>
  </w:style>
  <w:style w:type="paragraph" w:styleId="Title">
    <w:name w:val="Title"/>
    <w:basedOn w:val="Normal"/>
    <w:next w:val="Normal"/>
    <w:link w:val="TitleChar"/>
    <w:uiPriority w:val="10"/>
    <w:qFormat/>
    <w:rsid w:val="00022DA0"/>
    <w:pPr>
      <w:pBdr>
        <w:top w:val="single" w:sz="8" w:space="1" w:color="F79646" w:themeColor="accent6"/>
      </w:pBdr>
      <w:spacing w:after="120" w:line="240" w:lineRule="auto"/>
      <w:jc w:val="right"/>
    </w:pPr>
    <w:rPr>
      <w:smallCaps/>
      <w:color w:val="05579A" w:themeColor="text1" w:themeTint="D9"/>
      <w:sz w:val="52"/>
      <w:szCs w:val="52"/>
    </w:rPr>
  </w:style>
  <w:style w:type="character" w:customStyle="1" w:styleId="TitleChar">
    <w:name w:val="Title Char"/>
    <w:basedOn w:val="DefaultParagraphFont"/>
    <w:link w:val="Title"/>
    <w:uiPriority w:val="10"/>
    <w:rsid w:val="00022DA0"/>
    <w:rPr>
      <w:smallCaps/>
      <w:color w:val="05579A" w:themeColor="text1" w:themeTint="D9"/>
      <w:sz w:val="52"/>
      <w:szCs w:val="52"/>
    </w:rPr>
  </w:style>
  <w:style w:type="paragraph" w:styleId="Subtitle">
    <w:name w:val="Subtitle"/>
    <w:basedOn w:val="Normal"/>
    <w:next w:val="Normal"/>
    <w:link w:val="SubtitleChar"/>
    <w:uiPriority w:val="11"/>
    <w:qFormat/>
    <w:rsid w:val="00022DA0"/>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22DA0"/>
    <w:rPr>
      <w:rFonts w:asciiTheme="majorHAnsi" w:eastAsiaTheme="majorEastAsia" w:hAnsiTheme="majorHAnsi" w:cstheme="majorBidi"/>
    </w:rPr>
  </w:style>
  <w:style w:type="paragraph" w:styleId="NoSpacing">
    <w:name w:val="No Spacing"/>
    <w:uiPriority w:val="1"/>
    <w:qFormat/>
    <w:rsid w:val="00022DA0"/>
    <w:pPr>
      <w:spacing w:after="0" w:line="240" w:lineRule="auto"/>
    </w:pPr>
  </w:style>
  <w:style w:type="paragraph" w:styleId="Quote">
    <w:name w:val="Quote"/>
    <w:basedOn w:val="Normal"/>
    <w:next w:val="Normal"/>
    <w:link w:val="QuoteChar"/>
    <w:uiPriority w:val="29"/>
    <w:qFormat/>
    <w:rsid w:val="00022DA0"/>
    <w:rPr>
      <w:i/>
      <w:iCs/>
    </w:rPr>
  </w:style>
  <w:style w:type="character" w:customStyle="1" w:styleId="QuoteChar">
    <w:name w:val="Quote Char"/>
    <w:basedOn w:val="DefaultParagraphFont"/>
    <w:link w:val="Quote"/>
    <w:uiPriority w:val="29"/>
    <w:rsid w:val="00022DA0"/>
    <w:rPr>
      <w:i/>
      <w:iCs/>
    </w:rPr>
  </w:style>
  <w:style w:type="paragraph" w:styleId="IntenseQuote">
    <w:name w:val="Intense Quote"/>
    <w:basedOn w:val="Normal"/>
    <w:next w:val="Normal"/>
    <w:link w:val="IntenseQuoteChar"/>
    <w:uiPriority w:val="30"/>
    <w:qFormat/>
    <w:rsid w:val="00022DA0"/>
    <w:pPr>
      <w:pBdr>
        <w:top w:val="single" w:sz="8" w:space="1" w:color="F79646"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022DA0"/>
    <w:rPr>
      <w:b/>
      <w:bCs/>
      <w:i/>
      <w:iCs/>
    </w:rPr>
  </w:style>
  <w:style w:type="character" w:styleId="SubtleEmphasis">
    <w:name w:val="Subtle Emphasis"/>
    <w:uiPriority w:val="19"/>
    <w:qFormat/>
    <w:rsid w:val="00022DA0"/>
    <w:rPr>
      <w:i/>
      <w:iCs/>
    </w:rPr>
  </w:style>
  <w:style w:type="character" w:styleId="IntenseEmphasis">
    <w:name w:val="Intense Emphasis"/>
    <w:uiPriority w:val="21"/>
    <w:qFormat/>
    <w:rsid w:val="00022DA0"/>
    <w:rPr>
      <w:b/>
      <w:bCs/>
      <w:i/>
      <w:iCs/>
      <w:color w:val="F79646" w:themeColor="accent6"/>
      <w:spacing w:val="10"/>
    </w:rPr>
  </w:style>
  <w:style w:type="character" w:styleId="SubtleReference">
    <w:name w:val="Subtle Reference"/>
    <w:uiPriority w:val="31"/>
    <w:qFormat/>
    <w:rsid w:val="00022DA0"/>
    <w:rPr>
      <w:b/>
      <w:bCs/>
    </w:rPr>
  </w:style>
  <w:style w:type="character" w:styleId="IntenseReference">
    <w:name w:val="Intense Reference"/>
    <w:uiPriority w:val="32"/>
    <w:qFormat/>
    <w:rsid w:val="00022DA0"/>
    <w:rPr>
      <w:b/>
      <w:bCs/>
      <w:smallCaps/>
      <w:spacing w:val="5"/>
      <w:sz w:val="22"/>
      <w:szCs w:val="22"/>
      <w:u w:val="single"/>
    </w:rPr>
  </w:style>
  <w:style w:type="character" w:styleId="BookTitle">
    <w:name w:val="Book Title"/>
    <w:uiPriority w:val="33"/>
    <w:qFormat/>
    <w:rsid w:val="00022DA0"/>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022DA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9212">
      <w:bodyDiv w:val="1"/>
      <w:marLeft w:val="0"/>
      <w:marRight w:val="0"/>
      <w:marTop w:val="0"/>
      <w:marBottom w:val="0"/>
      <w:divBdr>
        <w:top w:val="none" w:sz="0" w:space="0" w:color="auto"/>
        <w:left w:val="none" w:sz="0" w:space="0" w:color="auto"/>
        <w:bottom w:val="none" w:sz="0" w:space="0" w:color="auto"/>
        <w:right w:val="none" w:sz="0" w:space="0" w:color="auto"/>
      </w:divBdr>
    </w:div>
    <w:div w:id="72095191">
      <w:bodyDiv w:val="1"/>
      <w:marLeft w:val="0"/>
      <w:marRight w:val="0"/>
      <w:marTop w:val="0"/>
      <w:marBottom w:val="0"/>
      <w:divBdr>
        <w:top w:val="none" w:sz="0" w:space="0" w:color="auto"/>
        <w:left w:val="none" w:sz="0" w:space="0" w:color="auto"/>
        <w:bottom w:val="none" w:sz="0" w:space="0" w:color="auto"/>
        <w:right w:val="none" w:sz="0" w:space="0" w:color="auto"/>
      </w:divBdr>
    </w:div>
    <w:div w:id="73095219">
      <w:bodyDiv w:val="1"/>
      <w:marLeft w:val="0"/>
      <w:marRight w:val="0"/>
      <w:marTop w:val="0"/>
      <w:marBottom w:val="0"/>
      <w:divBdr>
        <w:top w:val="none" w:sz="0" w:space="0" w:color="auto"/>
        <w:left w:val="none" w:sz="0" w:space="0" w:color="auto"/>
        <w:bottom w:val="none" w:sz="0" w:space="0" w:color="auto"/>
        <w:right w:val="none" w:sz="0" w:space="0" w:color="auto"/>
      </w:divBdr>
    </w:div>
    <w:div w:id="92552953">
      <w:bodyDiv w:val="1"/>
      <w:marLeft w:val="0"/>
      <w:marRight w:val="0"/>
      <w:marTop w:val="0"/>
      <w:marBottom w:val="0"/>
      <w:divBdr>
        <w:top w:val="none" w:sz="0" w:space="0" w:color="auto"/>
        <w:left w:val="none" w:sz="0" w:space="0" w:color="auto"/>
        <w:bottom w:val="none" w:sz="0" w:space="0" w:color="auto"/>
        <w:right w:val="none" w:sz="0" w:space="0" w:color="auto"/>
      </w:divBdr>
    </w:div>
    <w:div w:id="104270937">
      <w:bodyDiv w:val="1"/>
      <w:marLeft w:val="0"/>
      <w:marRight w:val="0"/>
      <w:marTop w:val="0"/>
      <w:marBottom w:val="0"/>
      <w:divBdr>
        <w:top w:val="none" w:sz="0" w:space="0" w:color="auto"/>
        <w:left w:val="none" w:sz="0" w:space="0" w:color="auto"/>
        <w:bottom w:val="none" w:sz="0" w:space="0" w:color="auto"/>
        <w:right w:val="none" w:sz="0" w:space="0" w:color="auto"/>
      </w:divBdr>
    </w:div>
    <w:div w:id="116797022">
      <w:bodyDiv w:val="1"/>
      <w:marLeft w:val="0"/>
      <w:marRight w:val="0"/>
      <w:marTop w:val="0"/>
      <w:marBottom w:val="0"/>
      <w:divBdr>
        <w:top w:val="none" w:sz="0" w:space="0" w:color="auto"/>
        <w:left w:val="none" w:sz="0" w:space="0" w:color="auto"/>
        <w:bottom w:val="none" w:sz="0" w:space="0" w:color="auto"/>
        <w:right w:val="none" w:sz="0" w:space="0" w:color="auto"/>
      </w:divBdr>
    </w:div>
    <w:div w:id="138423532">
      <w:bodyDiv w:val="1"/>
      <w:marLeft w:val="0"/>
      <w:marRight w:val="0"/>
      <w:marTop w:val="0"/>
      <w:marBottom w:val="0"/>
      <w:divBdr>
        <w:top w:val="none" w:sz="0" w:space="0" w:color="auto"/>
        <w:left w:val="none" w:sz="0" w:space="0" w:color="auto"/>
        <w:bottom w:val="none" w:sz="0" w:space="0" w:color="auto"/>
        <w:right w:val="none" w:sz="0" w:space="0" w:color="auto"/>
      </w:divBdr>
    </w:div>
    <w:div w:id="138763454">
      <w:bodyDiv w:val="1"/>
      <w:marLeft w:val="0"/>
      <w:marRight w:val="0"/>
      <w:marTop w:val="0"/>
      <w:marBottom w:val="0"/>
      <w:divBdr>
        <w:top w:val="none" w:sz="0" w:space="0" w:color="auto"/>
        <w:left w:val="none" w:sz="0" w:space="0" w:color="auto"/>
        <w:bottom w:val="none" w:sz="0" w:space="0" w:color="auto"/>
        <w:right w:val="none" w:sz="0" w:space="0" w:color="auto"/>
      </w:divBdr>
    </w:div>
    <w:div w:id="138766436">
      <w:bodyDiv w:val="1"/>
      <w:marLeft w:val="0"/>
      <w:marRight w:val="0"/>
      <w:marTop w:val="0"/>
      <w:marBottom w:val="0"/>
      <w:divBdr>
        <w:top w:val="none" w:sz="0" w:space="0" w:color="auto"/>
        <w:left w:val="none" w:sz="0" w:space="0" w:color="auto"/>
        <w:bottom w:val="none" w:sz="0" w:space="0" w:color="auto"/>
        <w:right w:val="none" w:sz="0" w:space="0" w:color="auto"/>
      </w:divBdr>
    </w:div>
    <w:div w:id="143281099">
      <w:bodyDiv w:val="1"/>
      <w:marLeft w:val="0"/>
      <w:marRight w:val="0"/>
      <w:marTop w:val="0"/>
      <w:marBottom w:val="0"/>
      <w:divBdr>
        <w:top w:val="none" w:sz="0" w:space="0" w:color="auto"/>
        <w:left w:val="none" w:sz="0" w:space="0" w:color="auto"/>
        <w:bottom w:val="none" w:sz="0" w:space="0" w:color="auto"/>
        <w:right w:val="none" w:sz="0" w:space="0" w:color="auto"/>
      </w:divBdr>
    </w:div>
    <w:div w:id="193155319">
      <w:bodyDiv w:val="1"/>
      <w:marLeft w:val="0"/>
      <w:marRight w:val="0"/>
      <w:marTop w:val="0"/>
      <w:marBottom w:val="0"/>
      <w:divBdr>
        <w:top w:val="none" w:sz="0" w:space="0" w:color="auto"/>
        <w:left w:val="none" w:sz="0" w:space="0" w:color="auto"/>
        <w:bottom w:val="none" w:sz="0" w:space="0" w:color="auto"/>
        <w:right w:val="none" w:sz="0" w:space="0" w:color="auto"/>
      </w:divBdr>
    </w:div>
    <w:div w:id="210459084">
      <w:bodyDiv w:val="1"/>
      <w:marLeft w:val="0"/>
      <w:marRight w:val="0"/>
      <w:marTop w:val="0"/>
      <w:marBottom w:val="0"/>
      <w:divBdr>
        <w:top w:val="none" w:sz="0" w:space="0" w:color="auto"/>
        <w:left w:val="none" w:sz="0" w:space="0" w:color="auto"/>
        <w:bottom w:val="none" w:sz="0" w:space="0" w:color="auto"/>
        <w:right w:val="none" w:sz="0" w:space="0" w:color="auto"/>
      </w:divBdr>
    </w:div>
    <w:div w:id="232931512">
      <w:bodyDiv w:val="1"/>
      <w:marLeft w:val="0"/>
      <w:marRight w:val="0"/>
      <w:marTop w:val="0"/>
      <w:marBottom w:val="0"/>
      <w:divBdr>
        <w:top w:val="none" w:sz="0" w:space="0" w:color="auto"/>
        <w:left w:val="none" w:sz="0" w:space="0" w:color="auto"/>
        <w:bottom w:val="none" w:sz="0" w:space="0" w:color="auto"/>
        <w:right w:val="none" w:sz="0" w:space="0" w:color="auto"/>
      </w:divBdr>
    </w:div>
    <w:div w:id="255335112">
      <w:bodyDiv w:val="1"/>
      <w:marLeft w:val="0"/>
      <w:marRight w:val="0"/>
      <w:marTop w:val="0"/>
      <w:marBottom w:val="0"/>
      <w:divBdr>
        <w:top w:val="none" w:sz="0" w:space="0" w:color="auto"/>
        <w:left w:val="none" w:sz="0" w:space="0" w:color="auto"/>
        <w:bottom w:val="none" w:sz="0" w:space="0" w:color="auto"/>
        <w:right w:val="none" w:sz="0" w:space="0" w:color="auto"/>
      </w:divBdr>
      <w:divsChild>
        <w:div w:id="208691023">
          <w:marLeft w:val="360"/>
          <w:marRight w:val="0"/>
          <w:marTop w:val="0"/>
          <w:marBottom w:val="0"/>
          <w:divBdr>
            <w:top w:val="none" w:sz="0" w:space="0" w:color="auto"/>
            <w:left w:val="none" w:sz="0" w:space="0" w:color="auto"/>
            <w:bottom w:val="none" w:sz="0" w:space="0" w:color="auto"/>
            <w:right w:val="none" w:sz="0" w:space="0" w:color="auto"/>
          </w:divBdr>
        </w:div>
      </w:divsChild>
    </w:div>
    <w:div w:id="261762352">
      <w:bodyDiv w:val="1"/>
      <w:marLeft w:val="0"/>
      <w:marRight w:val="0"/>
      <w:marTop w:val="0"/>
      <w:marBottom w:val="0"/>
      <w:divBdr>
        <w:top w:val="none" w:sz="0" w:space="0" w:color="auto"/>
        <w:left w:val="none" w:sz="0" w:space="0" w:color="auto"/>
        <w:bottom w:val="none" w:sz="0" w:space="0" w:color="auto"/>
        <w:right w:val="none" w:sz="0" w:space="0" w:color="auto"/>
      </w:divBdr>
    </w:div>
    <w:div w:id="287786327">
      <w:bodyDiv w:val="1"/>
      <w:marLeft w:val="0"/>
      <w:marRight w:val="0"/>
      <w:marTop w:val="0"/>
      <w:marBottom w:val="0"/>
      <w:divBdr>
        <w:top w:val="none" w:sz="0" w:space="0" w:color="auto"/>
        <w:left w:val="none" w:sz="0" w:space="0" w:color="auto"/>
        <w:bottom w:val="none" w:sz="0" w:space="0" w:color="auto"/>
        <w:right w:val="none" w:sz="0" w:space="0" w:color="auto"/>
      </w:divBdr>
    </w:div>
    <w:div w:id="305935243">
      <w:bodyDiv w:val="1"/>
      <w:marLeft w:val="0"/>
      <w:marRight w:val="0"/>
      <w:marTop w:val="0"/>
      <w:marBottom w:val="0"/>
      <w:divBdr>
        <w:top w:val="none" w:sz="0" w:space="0" w:color="auto"/>
        <w:left w:val="none" w:sz="0" w:space="0" w:color="auto"/>
        <w:bottom w:val="none" w:sz="0" w:space="0" w:color="auto"/>
        <w:right w:val="none" w:sz="0" w:space="0" w:color="auto"/>
      </w:divBdr>
    </w:div>
    <w:div w:id="317418762">
      <w:bodyDiv w:val="1"/>
      <w:marLeft w:val="0"/>
      <w:marRight w:val="0"/>
      <w:marTop w:val="0"/>
      <w:marBottom w:val="0"/>
      <w:divBdr>
        <w:top w:val="none" w:sz="0" w:space="0" w:color="auto"/>
        <w:left w:val="none" w:sz="0" w:space="0" w:color="auto"/>
        <w:bottom w:val="none" w:sz="0" w:space="0" w:color="auto"/>
        <w:right w:val="none" w:sz="0" w:space="0" w:color="auto"/>
      </w:divBdr>
    </w:div>
    <w:div w:id="327681279">
      <w:bodyDiv w:val="1"/>
      <w:marLeft w:val="0"/>
      <w:marRight w:val="0"/>
      <w:marTop w:val="0"/>
      <w:marBottom w:val="0"/>
      <w:divBdr>
        <w:top w:val="none" w:sz="0" w:space="0" w:color="auto"/>
        <w:left w:val="none" w:sz="0" w:space="0" w:color="auto"/>
        <w:bottom w:val="none" w:sz="0" w:space="0" w:color="auto"/>
        <w:right w:val="none" w:sz="0" w:space="0" w:color="auto"/>
      </w:divBdr>
    </w:div>
    <w:div w:id="352649801">
      <w:bodyDiv w:val="1"/>
      <w:marLeft w:val="0"/>
      <w:marRight w:val="0"/>
      <w:marTop w:val="0"/>
      <w:marBottom w:val="0"/>
      <w:divBdr>
        <w:top w:val="none" w:sz="0" w:space="0" w:color="auto"/>
        <w:left w:val="none" w:sz="0" w:space="0" w:color="auto"/>
        <w:bottom w:val="none" w:sz="0" w:space="0" w:color="auto"/>
        <w:right w:val="none" w:sz="0" w:space="0" w:color="auto"/>
      </w:divBdr>
    </w:div>
    <w:div w:id="367267547">
      <w:bodyDiv w:val="1"/>
      <w:marLeft w:val="0"/>
      <w:marRight w:val="0"/>
      <w:marTop w:val="0"/>
      <w:marBottom w:val="0"/>
      <w:divBdr>
        <w:top w:val="none" w:sz="0" w:space="0" w:color="auto"/>
        <w:left w:val="none" w:sz="0" w:space="0" w:color="auto"/>
        <w:bottom w:val="none" w:sz="0" w:space="0" w:color="auto"/>
        <w:right w:val="none" w:sz="0" w:space="0" w:color="auto"/>
      </w:divBdr>
    </w:div>
    <w:div w:id="371539034">
      <w:bodyDiv w:val="1"/>
      <w:marLeft w:val="0"/>
      <w:marRight w:val="0"/>
      <w:marTop w:val="0"/>
      <w:marBottom w:val="0"/>
      <w:divBdr>
        <w:top w:val="none" w:sz="0" w:space="0" w:color="auto"/>
        <w:left w:val="none" w:sz="0" w:space="0" w:color="auto"/>
        <w:bottom w:val="none" w:sz="0" w:space="0" w:color="auto"/>
        <w:right w:val="none" w:sz="0" w:space="0" w:color="auto"/>
      </w:divBdr>
    </w:div>
    <w:div w:id="406925687">
      <w:bodyDiv w:val="1"/>
      <w:marLeft w:val="0"/>
      <w:marRight w:val="0"/>
      <w:marTop w:val="0"/>
      <w:marBottom w:val="0"/>
      <w:divBdr>
        <w:top w:val="none" w:sz="0" w:space="0" w:color="auto"/>
        <w:left w:val="none" w:sz="0" w:space="0" w:color="auto"/>
        <w:bottom w:val="none" w:sz="0" w:space="0" w:color="auto"/>
        <w:right w:val="none" w:sz="0" w:space="0" w:color="auto"/>
      </w:divBdr>
    </w:div>
    <w:div w:id="410734951">
      <w:bodyDiv w:val="1"/>
      <w:marLeft w:val="0"/>
      <w:marRight w:val="0"/>
      <w:marTop w:val="0"/>
      <w:marBottom w:val="0"/>
      <w:divBdr>
        <w:top w:val="none" w:sz="0" w:space="0" w:color="auto"/>
        <w:left w:val="none" w:sz="0" w:space="0" w:color="auto"/>
        <w:bottom w:val="none" w:sz="0" w:space="0" w:color="auto"/>
        <w:right w:val="none" w:sz="0" w:space="0" w:color="auto"/>
      </w:divBdr>
    </w:div>
    <w:div w:id="434637151">
      <w:bodyDiv w:val="1"/>
      <w:marLeft w:val="0"/>
      <w:marRight w:val="0"/>
      <w:marTop w:val="0"/>
      <w:marBottom w:val="0"/>
      <w:divBdr>
        <w:top w:val="none" w:sz="0" w:space="0" w:color="auto"/>
        <w:left w:val="none" w:sz="0" w:space="0" w:color="auto"/>
        <w:bottom w:val="none" w:sz="0" w:space="0" w:color="auto"/>
        <w:right w:val="none" w:sz="0" w:space="0" w:color="auto"/>
      </w:divBdr>
    </w:div>
    <w:div w:id="449321421">
      <w:bodyDiv w:val="1"/>
      <w:marLeft w:val="0"/>
      <w:marRight w:val="0"/>
      <w:marTop w:val="0"/>
      <w:marBottom w:val="0"/>
      <w:divBdr>
        <w:top w:val="none" w:sz="0" w:space="0" w:color="auto"/>
        <w:left w:val="none" w:sz="0" w:space="0" w:color="auto"/>
        <w:bottom w:val="none" w:sz="0" w:space="0" w:color="auto"/>
        <w:right w:val="none" w:sz="0" w:space="0" w:color="auto"/>
      </w:divBdr>
    </w:div>
    <w:div w:id="451556866">
      <w:bodyDiv w:val="1"/>
      <w:marLeft w:val="0"/>
      <w:marRight w:val="0"/>
      <w:marTop w:val="0"/>
      <w:marBottom w:val="0"/>
      <w:divBdr>
        <w:top w:val="none" w:sz="0" w:space="0" w:color="auto"/>
        <w:left w:val="none" w:sz="0" w:space="0" w:color="auto"/>
        <w:bottom w:val="none" w:sz="0" w:space="0" w:color="auto"/>
        <w:right w:val="none" w:sz="0" w:space="0" w:color="auto"/>
      </w:divBdr>
    </w:div>
    <w:div w:id="456991395">
      <w:bodyDiv w:val="1"/>
      <w:marLeft w:val="0"/>
      <w:marRight w:val="0"/>
      <w:marTop w:val="0"/>
      <w:marBottom w:val="0"/>
      <w:divBdr>
        <w:top w:val="none" w:sz="0" w:space="0" w:color="auto"/>
        <w:left w:val="none" w:sz="0" w:space="0" w:color="auto"/>
        <w:bottom w:val="none" w:sz="0" w:space="0" w:color="auto"/>
        <w:right w:val="none" w:sz="0" w:space="0" w:color="auto"/>
      </w:divBdr>
      <w:divsChild>
        <w:div w:id="678238681">
          <w:marLeft w:val="0"/>
          <w:marRight w:val="0"/>
          <w:marTop w:val="0"/>
          <w:marBottom w:val="0"/>
          <w:divBdr>
            <w:top w:val="none" w:sz="0" w:space="0" w:color="auto"/>
            <w:left w:val="none" w:sz="0" w:space="0" w:color="auto"/>
            <w:bottom w:val="none" w:sz="0" w:space="0" w:color="auto"/>
            <w:right w:val="none" w:sz="0" w:space="0" w:color="auto"/>
          </w:divBdr>
          <w:divsChild>
            <w:div w:id="945969386">
              <w:marLeft w:val="0"/>
              <w:marRight w:val="0"/>
              <w:marTop w:val="0"/>
              <w:marBottom w:val="0"/>
              <w:divBdr>
                <w:top w:val="none" w:sz="0" w:space="0" w:color="auto"/>
                <w:left w:val="none" w:sz="0" w:space="0" w:color="auto"/>
                <w:bottom w:val="none" w:sz="0" w:space="0" w:color="auto"/>
                <w:right w:val="none" w:sz="0" w:space="0" w:color="auto"/>
              </w:divBdr>
              <w:divsChild>
                <w:div w:id="8085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45786">
      <w:bodyDiv w:val="1"/>
      <w:marLeft w:val="0"/>
      <w:marRight w:val="0"/>
      <w:marTop w:val="0"/>
      <w:marBottom w:val="0"/>
      <w:divBdr>
        <w:top w:val="none" w:sz="0" w:space="0" w:color="auto"/>
        <w:left w:val="none" w:sz="0" w:space="0" w:color="auto"/>
        <w:bottom w:val="none" w:sz="0" w:space="0" w:color="auto"/>
        <w:right w:val="none" w:sz="0" w:space="0" w:color="auto"/>
      </w:divBdr>
    </w:div>
    <w:div w:id="471675612">
      <w:bodyDiv w:val="1"/>
      <w:marLeft w:val="0"/>
      <w:marRight w:val="0"/>
      <w:marTop w:val="0"/>
      <w:marBottom w:val="0"/>
      <w:divBdr>
        <w:top w:val="none" w:sz="0" w:space="0" w:color="auto"/>
        <w:left w:val="none" w:sz="0" w:space="0" w:color="auto"/>
        <w:bottom w:val="none" w:sz="0" w:space="0" w:color="auto"/>
        <w:right w:val="none" w:sz="0" w:space="0" w:color="auto"/>
      </w:divBdr>
    </w:div>
    <w:div w:id="476922266">
      <w:bodyDiv w:val="1"/>
      <w:marLeft w:val="0"/>
      <w:marRight w:val="0"/>
      <w:marTop w:val="0"/>
      <w:marBottom w:val="0"/>
      <w:divBdr>
        <w:top w:val="none" w:sz="0" w:space="0" w:color="auto"/>
        <w:left w:val="none" w:sz="0" w:space="0" w:color="auto"/>
        <w:bottom w:val="none" w:sz="0" w:space="0" w:color="auto"/>
        <w:right w:val="none" w:sz="0" w:space="0" w:color="auto"/>
      </w:divBdr>
    </w:div>
    <w:div w:id="495540873">
      <w:bodyDiv w:val="1"/>
      <w:marLeft w:val="0"/>
      <w:marRight w:val="0"/>
      <w:marTop w:val="0"/>
      <w:marBottom w:val="0"/>
      <w:divBdr>
        <w:top w:val="none" w:sz="0" w:space="0" w:color="auto"/>
        <w:left w:val="none" w:sz="0" w:space="0" w:color="auto"/>
        <w:bottom w:val="none" w:sz="0" w:space="0" w:color="auto"/>
        <w:right w:val="none" w:sz="0" w:space="0" w:color="auto"/>
      </w:divBdr>
    </w:div>
    <w:div w:id="499079298">
      <w:bodyDiv w:val="1"/>
      <w:marLeft w:val="0"/>
      <w:marRight w:val="0"/>
      <w:marTop w:val="0"/>
      <w:marBottom w:val="0"/>
      <w:divBdr>
        <w:top w:val="none" w:sz="0" w:space="0" w:color="auto"/>
        <w:left w:val="none" w:sz="0" w:space="0" w:color="auto"/>
        <w:bottom w:val="none" w:sz="0" w:space="0" w:color="auto"/>
        <w:right w:val="none" w:sz="0" w:space="0" w:color="auto"/>
      </w:divBdr>
    </w:div>
    <w:div w:id="514656225">
      <w:bodyDiv w:val="1"/>
      <w:marLeft w:val="0"/>
      <w:marRight w:val="0"/>
      <w:marTop w:val="0"/>
      <w:marBottom w:val="0"/>
      <w:divBdr>
        <w:top w:val="none" w:sz="0" w:space="0" w:color="auto"/>
        <w:left w:val="none" w:sz="0" w:space="0" w:color="auto"/>
        <w:bottom w:val="none" w:sz="0" w:space="0" w:color="auto"/>
        <w:right w:val="none" w:sz="0" w:space="0" w:color="auto"/>
      </w:divBdr>
    </w:div>
    <w:div w:id="544562278">
      <w:bodyDiv w:val="1"/>
      <w:marLeft w:val="0"/>
      <w:marRight w:val="0"/>
      <w:marTop w:val="0"/>
      <w:marBottom w:val="0"/>
      <w:divBdr>
        <w:top w:val="none" w:sz="0" w:space="0" w:color="auto"/>
        <w:left w:val="none" w:sz="0" w:space="0" w:color="auto"/>
        <w:bottom w:val="none" w:sz="0" w:space="0" w:color="auto"/>
        <w:right w:val="none" w:sz="0" w:space="0" w:color="auto"/>
      </w:divBdr>
    </w:div>
    <w:div w:id="544752372">
      <w:bodyDiv w:val="1"/>
      <w:marLeft w:val="0"/>
      <w:marRight w:val="0"/>
      <w:marTop w:val="0"/>
      <w:marBottom w:val="0"/>
      <w:divBdr>
        <w:top w:val="none" w:sz="0" w:space="0" w:color="auto"/>
        <w:left w:val="none" w:sz="0" w:space="0" w:color="auto"/>
        <w:bottom w:val="none" w:sz="0" w:space="0" w:color="auto"/>
        <w:right w:val="none" w:sz="0" w:space="0" w:color="auto"/>
      </w:divBdr>
    </w:div>
    <w:div w:id="567961456">
      <w:bodyDiv w:val="1"/>
      <w:marLeft w:val="0"/>
      <w:marRight w:val="0"/>
      <w:marTop w:val="0"/>
      <w:marBottom w:val="0"/>
      <w:divBdr>
        <w:top w:val="none" w:sz="0" w:space="0" w:color="auto"/>
        <w:left w:val="none" w:sz="0" w:space="0" w:color="auto"/>
        <w:bottom w:val="none" w:sz="0" w:space="0" w:color="auto"/>
        <w:right w:val="none" w:sz="0" w:space="0" w:color="auto"/>
      </w:divBdr>
    </w:div>
    <w:div w:id="591084269">
      <w:bodyDiv w:val="1"/>
      <w:marLeft w:val="0"/>
      <w:marRight w:val="0"/>
      <w:marTop w:val="0"/>
      <w:marBottom w:val="0"/>
      <w:divBdr>
        <w:top w:val="none" w:sz="0" w:space="0" w:color="auto"/>
        <w:left w:val="none" w:sz="0" w:space="0" w:color="auto"/>
        <w:bottom w:val="none" w:sz="0" w:space="0" w:color="auto"/>
        <w:right w:val="none" w:sz="0" w:space="0" w:color="auto"/>
      </w:divBdr>
    </w:div>
    <w:div w:id="592010244">
      <w:bodyDiv w:val="1"/>
      <w:marLeft w:val="0"/>
      <w:marRight w:val="0"/>
      <w:marTop w:val="0"/>
      <w:marBottom w:val="0"/>
      <w:divBdr>
        <w:top w:val="none" w:sz="0" w:space="0" w:color="auto"/>
        <w:left w:val="none" w:sz="0" w:space="0" w:color="auto"/>
        <w:bottom w:val="none" w:sz="0" w:space="0" w:color="auto"/>
        <w:right w:val="none" w:sz="0" w:space="0" w:color="auto"/>
      </w:divBdr>
    </w:div>
    <w:div w:id="620573536">
      <w:bodyDiv w:val="1"/>
      <w:marLeft w:val="0"/>
      <w:marRight w:val="0"/>
      <w:marTop w:val="0"/>
      <w:marBottom w:val="0"/>
      <w:divBdr>
        <w:top w:val="none" w:sz="0" w:space="0" w:color="auto"/>
        <w:left w:val="none" w:sz="0" w:space="0" w:color="auto"/>
        <w:bottom w:val="none" w:sz="0" w:space="0" w:color="auto"/>
        <w:right w:val="none" w:sz="0" w:space="0" w:color="auto"/>
      </w:divBdr>
    </w:div>
    <w:div w:id="630482694">
      <w:bodyDiv w:val="1"/>
      <w:marLeft w:val="0"/>
      <w:marRight w:val="0"/>
      <w:marTop w:val="0"/>
      <w:marBottom w:val="0"/>
      <w:divBdr>
        <w:top w:val="none" w:sz="0" w:space="0" w:color="auto"/>
        <w:left w:val="none" w:sz="0" w:space="0" w:color="auto"/>
        <w:bottom w:val="none" w:sz="0" w:space="0" w:color="auto"/>
        <w:right w:val="none" w:sz="0" w:space="0" w:color="auto"/>
      </w:divBdr>
    </w:div>
    <w:div w:id="649751217">
      <w:bodyDiv w:val="1"/>
      <w:marLeft w:val="0"/>
      <w:marRight w:val="0"/>
      <w:marTop w:val="0"/>
      <w:marBottom w:val="0"/>
      <w:divBdr>
        <w:top w:val="none" w:sz="0" w:space="0" w:color="auto"/>
        <w:left w:val="none" w:sz="0" w:space="0" w:color="auto"/>
        <w:bottom w:val="none" w:sz="0" w:space="0" w:color="auto"/>
        <w:right w:val="none" w:sz="0" w:space="0" w:color="auto"/>
      </w:divBdr>
    </w:div>
    <w:div w:id="651565248">
      <w:bodyDiv w:val="1"/>
      <w:marLeft w:val="0"/>
      <w:marRight w:val="0"/>
      <w:marTop w:val="0"/>
      <w:marBottom w:val="0"/>
      <w:divBdr>
        <w:top w:val="none" w:sz="0" w:space="0" w:color="auto"/>
        <w:left w:val="none" w:sz="0" w:space="0" w:color="auto"/>
        <w:bottom w:val="none" w:sz="0" w:space="0" w:color="auto"/>
        <w:right w:val="none" w:sz="0" w:space="0" w:color="auto"/>
      </w:divBdr>
    </w:div>
    <w:div w:id="679241736">
      <w:bodyDiv w:val="1"/>
      <w:marLeft w:val="0"/>
      <w:marRight w:val="0"/>
      <w:marTop w:val="0"/>
      <w:marBottom w:val="0"/>
      <w:divBdr>
        <w:top w:val="none" w:sz="0" w:space="0" w:color="auto"/>
        <w:left w:val="none" w:sz="0" w:space="0" w:color="auto"/>
        <w:bottom w:val="none" w:sz="0" w:space="0" w:color="auto"/>
        <w:right w:val="none" w:sz="0" w:space="0" w:color="auto"/>
      </w:divBdr>
    </w:div>
    <w:div w:id="679477576">
      <w:bodyDiv w:val="1"/>
      <w:marLeft w:val="0"/>
      <w:marRight w:val="0"/>
      <w:marTop w:val="0"/>
      <w:marBottom w:val="0"/>
      <w:divBdr>
        <w:top w:val="none" w:sz="0" w:space="0" w:color="auto"/>
        <w:left w:val="none" w:sz="0" w:space="0" w:color="auto"/>
        <w:bottom w:val="none" w:sz="0" w:space="0" w:color="auto"/>
        <w:right w:val="none" w:sz="0" w:space="0" w:color="auto"/>
      </w:divBdr>
    </w:div>
    <w:div w:id="705253376">
      <w:bodyDiv w:val="1"/>
      <w:marLeft w:val="0"/>
      <w:marRight w:val="0"/>
      <w:marTop w:val="0"/>
      <w:marBottom w:val="0"/>
      <w:divBdr>
        <w:top w:val="none" w:sz="0" w:space="0" w:color="auto"/>
        <w:left w:val="none" w:sz="0" w:space="0" w:color="auto"/>
        <w:bottom w:val="none" w:sz="0" w:space="0" w:color="auto"/>
        <w:right w:val="none" w:sz="0" w:space="0" w:color="auto"/>
      </w:divBdr>
    </w:div>
    <w:div w:id="705905811">
      <w:bodyDiv w:val="1"/>
      <w:marLeft w:val="0"/>
      <w:marRight w:val="0"/>
      <w:marTop w:val="0"/>
      <w:marBottom w:val="0"/>
      <w:divBdr>
        <w:top w:val="none" w:sz="0" w:space="0" w:color="auto"/>
        <w:left w:val="none" w:sz="0" w:space="0" w:color="auto"/>
        <w:bottom w:val="none" w:sz="0" w:space="0" w:color="auto"/>
        <w:right w:val="none" w:sz="0" w:space="0" w:color="auto"/>
      </w:divBdr>
    </w:div>
    <w:div w:id="718433800">
      <w:bodyDiv w:val="1"/>
      <w:marLeft w:val="0"/>
      <w:marRight w:val="0"/>
      <w:marTop w:val="0"/>
      <w:marBottom w:val="0"/>
      <w:divBdr>
        <w:top w:val="none" w:sz="0" w:space="0" w:color="auto"/>
        <w:left w:val="none" w:sz="0" w:space="0" w:color="auto"/>
        <w:bottom w:val="none" w:sz="0" w:space="0" w:color="auto"/>
        <w:right w:val="none" w:sz="0" w:space="0" w:color="auto"/>
      </w:divBdr>
    </w:div>
    <w:div w:id="720640052">
      <w:bodyDiv w:val="1"/>
      <w:marLeft w:val="0"/>
      <w:marRight w:val="0"/>
      <w:marTop w:val="0"/>
      <w:marBottom w:val="0"/>
      <w:divBdr>
        <w:top w:val="none" w:sz="0" w:space="0" w:color="auto"/>
        <w:left w:val="none" w:sz="0" w:space="0" w:color="auto"/>
        <w:bottom w:val="none" w:sz="0" w:space="0" w:color="auto"/>
        <w:right w:val="none" w:sz="0" w:space="0" w:color="auto"/>
      </w:divBdr>
    </w:div>
    <w:div w:id="723986737">
      <w:bodyDiv w:val="1"/>
      <w:marLeft w:val="0"/>
      <w:marRight w:val="0"/>
      <w:marTop w:val="0"/>
      <w:marBottom w:val="0"/>
      <w:divBdr>
        <w:top w:val="none" w:sz="0" w:space="0" w:color="auto"/>
        <w:left w:val="none" w:sz="0" w:space="0" w:color="auto"/>
        <w:bottom w:val="none" w:sz="0" w:space="0" w:color="auto"/>
        <w:right w:val="none" w:sz="0" w:space="0" w:color="auto"/>
      </w:divBdr>
    </w:div>
    <w:div w:id="729962131">
      <w:bodyDiv w:val="1"/>
      <w:marLeft w:val="0"/>
      <w:marRight w:val="0"/>
      <w:marTop w:val="0"/>
      <w:marBottom w:val="0"/>
      <w:divBdr>
        <w:top w:val="none" w:sz="0" w:space="0" w:color="auto"/>
        <w:left w:val="none" w:sz="0" w:space="0" w:color="auto"/>
        <w:bottom w:val="none" w:sz="0" w:space="0" w:color="auto"/>
        <w:right w:val="none" w:sz="0" w:space="0" w:color="auto"/>
      </w:divBdr>
    </w:div>
    <w:div w:id="742416745">
      <w:bodyDiv w:val="1"/>
      <w:marLeft w:val="0"/>
      <w:marRight w:val="0"/>
      <w:marTop w:val="0"/>
      <w:marBottom w:val="0"/>
      <w:divBdr>
        <w:top w:val="none" w:sz="0" w:space="0" w:color="auto"/>
        <w:left w:val="none" w:sz="0" w:space="0" w:color="auto"/>
        <w:bottom w:val="none" w:sz="0" w:space="0" w:color="auto"/>
        <w:right w:val="none" w:sz="0" w:space="0" w:color="auto"/>
      </w:divBdr>
    </w:div>
    <w:div w:id="760833739">
      <w:bodyDiv w:val="1"/>
      <w:marLeft w:val="0"/>
      <w:marRight w:val="0"/>
      <w:marTop w:val="0"/>
      <w:marBottom w:val="0"/>
      <w:divBdr>
        <w:top w:val="none" w:sz="0" w:space="0" w:color="auto"/>
        <w:left w:val="none" w:sz="0" w:space="0" w:color="auto"/>
        <w:bottom w:val="none" w:sz="0" w:space="0" w:color="auto"/>
        <w:right w:val="none" w:sz="0" w:space="0" w:color="auto"/>
      </w:divBdr>
    </w:div>
    <w:div w:id="769400286">
      <w:bodyDiv w:val="1"/>
      <w:marLeft w:val="0"/>
      <w:marRight w:val="0"/>
      <w:marTop w:val="0"/>
      <w:marBottom w:val="0"/>
      <w:divBdr>
        <w:top w:val="none" w:sz="0" w:space="0" w:color="auto"/>
        <w:left w:val="none" w:sz="0" w:space="0" w:color="auto"/>
        <w:bottom w:val="none" w:sz="0" w:space="0" w:color="auto"/>
        <w:right w:val="none" w:sz="0" w:space="0" w:color="auto"/>
      </w:divBdr>
    </w:div>
    <w:div w:id="775366839">
      <w:bodyDiv w:val="1"/>
      <w:marLeft w:val="0"/>
      <w:marRight w:val="0"/>
      <w:marTop w:val="0"/>
      <w:marBottom w:val="0"/>
      <w:divBdr>
        <w:top w:val="none" w:sz="0" w:space="0" w:color="auto"/>
        <w:left w:val="none" w:sz="0" w:space="0" w:color="auto"/>
        <w:bottom w:val="none" w:sz="0" w:space="0" w:color="auto"/>
        <w:right w:val="none" w:sz="0" w:space="0" w:color="auto"/>
      </w:divBdr>
    </w:div>
    <w:div w:id="781463768">
      <w:bodyDiv w:val="1"/>
      <w:marLeft w:val="0"/>
      <w:marRight w:val="0"/>
      <w:marTop w:val="0"/>
      <w:marBottom w:val="0"/>
      <w:divBdr>
        <w:top w:val="none" w:sz="0" w:space="0" w:color="auto"/>
        <w:left w:val="none" w:sz="0" w:space="0" w:color="auto"/>
        <w:bottom w:val="none" w:sz="0" w:space="0" w:color="auto"/>
        <w:right w:val="none" w:sz="0" w:space="0" w:color="auto"/>
      </w:divBdr>
    </w:div>
    <w:div w:id="793643841">
      <w:bodyDiv w:val="1"/>
      <w:marLeft w:val="0"/>
      <w:marRight w:val="0"/>
      <w:marTop w:val="0"/>
      <w:marBottom w:val="0"/>
      <w:divBdr>
        <w:top w:val="none" w:sz="0" w:space="0" w:color="auto"/>
        <w:left w:val="none" w:sz="0" w:space="0" w:color="auto"/>
        <w:bottom w:val="none" w:sz="0" w:space="0" w:color="auto"/>
        <w:right w:val="none" w:sz="0" w:space="0" w:color="auto"/>
      </w:divBdr>
    </w:div>
    <w:div w:id="806581636">
      <w:bodyDiv w:val="1"/>
      <w:marLeft w:val="0"/>
      <w:marRight w:val="0"/>
      <w:marTop w:val="0"/>
      <w:marBottom w:val="0"/>
      <w:divBdr>
        <w:top w:val="none" w:sz="0" w:space="0" w:color="auto"/>
        <w:left w:val="none" w:sz="0" w:space="0" w:color="auto"/>
        <w:bottom w:val="none" w:sz="0" w:space="0" w:color="auto"/>
        <w:right w:val="none" w:sz="0" w:space="0" w:color="auto"/>
      </w:divBdr>
    </w:div>
    <w:div w:id="829708636">
      <w:bodyDiv w:val="1"/>
      <w:marLeft w:val="0"/>
      <w:marRight w:val="0"/>
      <w:marTop w:val="0"/>
      <w:marBottom w:val="0"/>
      <w:divBdr>
        <w:top w:val="none" w:sz="0" w:space="0" w:color="auto"/>
        <w:left w:val="none" w:sz="0" w:space="0" w:color="auto"/>
        <w:bottom w:val="none" w:sz="0" w:space="0" w:color="auto"/>
        <w:right w:val="none" w:sz="0" w:space="0" w:color="auto"/>
      </w:divBdr>
    </w:div>
    <w:div w:id="840390645">
      <w:bodyDiv w:val="1"/>
      <w:marLeft w:val="0"/>
      <w:marRight w:val="0"/>
      <w:marTop w:val="0"/>
      <w:marBottom w:val="0"/>
      <w:divBdr>
        <w:top w:val="none" w:sz="0" w:space="0" w:color="auto"/>
        <w:left w:val="none" w:sz="0" w:space="0" w:color="auto"/>
        <w:bottom w:val="none" w:sz="0" w:space="0" w:color="auto"/>
        <w:right w:val="none" w:sz="0" w:space="0" w:color="auto"/>
      </w:divBdr>
    </w:div>
    <w:div w:id="856314015">
      <w:bodyDiv w:val="1"/>
      <w:marLeft w:val="0"/>
      <w:marRight w:val="0"/>
      <w:marTop w:val="0"/>
      <w:marBottom w:val="0"/>
      <w:divBdr>
        <w:top w:val="none" w:sz="0" w:space="0" w:color="auto"/>
        <w:left w:val="none" w:sz="0" w:space="0" w:color="auto"/>
        <w:bottom w:val="none" w:sz="0" w:space="0" w:color="auto"/>
        <w:right w:val="none" w:sz="0" w:space="0" w:color="auto"/>
      </w:divBdr>
    </w:div>
    <w:div w:id="890574448">
      <w:bodyDiv w:val="1"/>
      <w:marLeft w:val="0"/>
      <w:marRight w:val="0"/>
      <w:marTop w:val="0"/>
      <w:marBottom w:val="0"/>
      <w:divBdr>
        <w:top w:val="none" w:sz="0" w:space="0" w:color="auto"/>
        <w:left w:val="none" w:sz="0" w:space="0" w:color="auto"/>
        <w:bottom w:val="none" w:sz="0" w:space="0" w:color="auto"/>
        <w:right w:val="none" w:sz="0" w:space="0" w:color="auto"/>
      </w:divBdr>
    </w:div>
    <w:div w:id="901477757">
      <w:bodyDiv w:val="1"/>
      <w:marLeft w:val="0"/>
      <w:marRight w:val="0"/>
      <w:marTop w:val="0"/>
      <w:marBottom w:val="0"/>
      <w:divBdr>
        <w:top w:val="none" w:sz="0" w:space="0" w:color="auto"/>
        <w:left w:val="none" w:sz="0" w:space="0" w:color="auto"/>
        <w:bottom w:val="none" w:sz="0" w:space="0" w:color="auto"/>
        <w:right w:val="none" w:sz="0" w:space="0" w:color="auto"/>
      </w:divBdr>
    </w:div>
    <w:div w:id="938560948">
      <w:bodyDiv w:val="1"/>
      <w:marLeft w:val="0"/>
      <w:marRight w:val="0"/>
      <w:marTop w:val="0"/>
      <w:marBottom w:val="0"/>
      <w:divBdr>
        <w:top w:val="none" w:sz="0" w:space="0" w:color="auto"/>
        <w:left w:val="none" w:sz="0" w:space="0" w:color="auto"/>
        <w:bottom w:val="none" w:sz="0" w:space="0" w:color="auto"/>
        <w:right w:val="none" w:sz="0" w:space="0" w:color="auto"/>
      </w:divBdr>
    </w:div>
    <w:div w:id="949161333">
      <w:bodyDiv w:val="1"/>
      <w:marLeft w:val="0"/>
      <w:marRight w:val="0"/>
      <w:marTop w:val="0"/>
      <w:marBottom w:val="0"/>
      <w:divBdr>
        <w:top w:val="none" w:sz="0" w:space="0" w:color="auto"/>
        <w:left w:val="none" w:sz="0" w:space="0" w:color="auto"/>
        <w:bottom w:val="none" w:sz="0" w:space="0" w:color="auto"/>
        <w:right w:val="none" w:sz="0" w:space="0" w:color="auto"/>
      </w:divBdr>
    </w:div>
    <w:div w:id="955452412">
      <w:bodyDiv w:val="1"/>
      <w:marLeft w:val="0"/>
      <w:marRight w:val="0"/>
      <w:marTop w:val="0"/>
      <w:marBottom w:val="0"/>
      <w:divBdr>
        <w:top w:val="none" w:sz="0" w:space="0" w:color="auto"/>
        <w:left w:val="none" w:sz="0" w:space="0" w:color="auto"/>
        <w:bottom w:val="none" w:sz="0" w:space="0" w:color="auto"/>
        <w:right w:val="none" w:sz="0" w:space="0" w:color="auto"/>
      </w:divBdr>
    </w:div>
    <w:div w:id="973413802">
      <w:bodyDiv w:val="1"/>
      <w:marLeft w:val="0"/>
      <w:marRight w:val="0"/>
      <w:marTop w:val="0"/>
      <w:marBottom w:val="0"/>
      <w:divBdr>
        <w:top w:val="none" w:sz="0" w:space="0" w:color="auto"/>
        <w:left w:val="none" w:sz="0" w:space="0" w:color="auto"/>
        <w:bottom w:val="none" w:sz="0" w:space="0" w:color="auto"/>
        <w:right w:val="none" w:sz="0" w:space="0" w:color="auto"/>
      </w:divBdr>
    </w:div>
    <w:div w:id="980040233">
      <w:bodyDiv w:val="1"/>
      <w:marLeft w:val="0"/>
      <w:marRight w:val="0"/>
      <w:marTop w:val="0"/>
      <w:marBottom w:val="0"/>
      <w:divBdr>
        <w:top w:val="none" w:sz="0" w:space="0" w:color="auto"/>
        <w:left w:val="none" w:sz="0" w:space="0" w:color="auto"/>
        <w:bottom w:val="none" w:sz="0" w:space="0" w:color="auto"/>
        <w:right w:val="none" w:sz="0" w:space="0" w:color="auto"/>
      </w:divBdr>
    </w:div>
    <w:div w:id="981957970">
      <w:bodyDiv w:val="1"/>
      <w:marLeft w:val="0"/>
      <w:marRight w:val="0"/>
      <w:marTop w:val="0"/>
      <w:marBottom w:val="0"/>
      <w:divBdr>
        <w:top w:val="none" w:sz="0" w:space="0" w:color="auto"/>
        <w:left w:val="none" w:sz="0" w:space="0" w:color="auto"/>
        <w:bottom w:val="none" w:sz="0" w:space="0" w:color="auto"/>
        <w:right w:val="none" w:sz="0" w:space="0" w:color="auto"/>
      </w:divBdr>
    </w:div>
    <w:div w:id="983313436">
      <w:bodyDiv w:val="1"/>
      <w:marLeft w:val="0"/>
      <w:marRight w:val="0"/>
      <w:marTop w:val="0"/>
      <w:marBottom w:val="0"/>
      <w:divBdr>
        <w:top w:val="none" w:sz="0" w:space="0" w:color="auto"/>
        <w:left w:val="none" w:sz="0" w:space="0" w:color="auto"/>
        <w:bottom w:val="none" w:sz="0" w:space="0" w:color="auto"/>
        <w:right w:val="none" w:sz="0" w:space="0" w:color="auto"/>
      </w:divBdr>
    </w:div>
    <w:div w:id="1001549455">
      <w:bodyDiv w:val="1"/>
      <w:marLeft w:val="0"/>
      <w:marRight w:val="0"/>
      <w:marTop w:val="0"/>
      <w:marBottom w:val="0"/>
      <w:divBdr>
        <w:top w:val="none" w:sz="0" w:space="0" w:color="auto"/>
        <w:left w:val="none" w:sz="0" w:space="0" w:color="auto"/>
        <w:bottom w:val="none" w:sz="0" w:space="0" w:color="auto"/>
        <w:right w:val="none" w:sz="0" w:space="0" w:color="auto"/>
      </w:divBdr>
    </w:div>
    <w:div w:id="1061907358">
      <w:bodyDiv w:val="1"/>
      <w:marLeft w:val="0"/>
      <w:marRight w:val="0"/>
      <w:marTop w:val="0"/>
      <w:marBottom w:val="0"/>
      <w:divBdr>
        <w:top w:val="none" w:sz="0" w:space="0" w:color="auto"/>
        <w:left w:val="none" w:sz="0" w:space="0" w:color="auto"/>
        <w:bottom w:val="none" w:sz="0" w:space="0" w:color="auto"/>
        <w:right w:val="none" w:sz="0" w:space="0" w:color="auto"/>
      </w:divBdr>
    </w:div>
    <w:div w:id="1063140815">
      <w:bodyDiv w:val="1"/>
      <w:marLeft w:val="0"/>
      <w:marRight w:val="0"/>
      <w:marTop w:val="0"/>
      <w:marBottom w:val="0"/>
      <w:divBdr>
        <w:top w:val="none" w:sz="0" w:space="0" w:color="auto"/>
        <w:left w:val="none" w:sz="0" w:space="0" w:color="auto"/>
        <w:bottom w:val="none" w:sz="0" w:space="0" w:color="auto"/>
        <w:right w:val="none" w:sz="0" w:space="0" w:color="auto"/>
      </w:divBdr>
    </w:div>
    <w:div w:id="1064450593">
      <w:bodyDiv w:val="1"/>
      <w:marLeft w:val="0"/>
      <w:marRight w:val="0"/>
      <w:marTop w:val="0"/>
      <w:marBottom w:val="0"/>
      <w:divBdr>
        <w:top w:val="none" w:sz="0" w:space="0" w:color="auto"/>
        <w:left w:val="none" w:sz="0" w:space="0" w:color="auto"/>
        <w:bottom w:val="none" w:sz="0" w:space="0" w:color="auto"/>
        <w:right w:val="none" w:sz="0" w:space="0" w:color="auto"/>
      </w:divBdr>
    </w:div>
    <w:div w:id="1105420115">
      <w:bodyDiv w:val="1"/>
      <w:marLeft w:val="0"/>
      <w:marRight w:val="0"/>
      <w:marTop w:val="0"/>
      <w:marBottom w:val="0"/>
      <w:divBdr>
        <w:top w:val="none" w:sz="0" w:space="0" w:color="auto"/>
        <w:left w:val="none" w:sz="0" w:space="0" w:color="auto"/>
        <w:bottom w:val="none" w:sz="0" w:space="0" w:color="auto"/>
        <w:right w:val="none" w:sz="0" w:space="0" w:color="auto"/>
      </w:divBdr>
    </w:div>
    <w:div w:id="1110585164">
      <w:bodyDiv w:val="1"/>
      <w:marLeft w:val="0"/>
      <w:marRight w:val="0"/>
      <w:marTop w:val="0"/>
      <w:marBottom w:val="0"/>
      <w:divBdr>
        <w:top w:val="none" w:sz="0" w:space="0" w:color="auto"/>
        <w:left w:val="none" w:sz="0" w:space="0" w:color="auto"/>
        <w:bottom w:val="none" w:sz="0" w:space="0" w:color="auto"/>
        <w:right w:val="none" w:sz="0" w:space="0" w:color="auto"/>
      </w:divBdr>
      <w:divsChild>
        <w:div w:id="1009983415">
          <w:marLeft w:val="0"/>
          <w:marRight w:val="0"/>
          <w:marTop w:val="0"/>
          <w:marBottom w:val="0"/>
          <w:divBdr>
            <w:top w:val="none" w:sz="0" w:space="0" w:color="auto"/>
            <w:left w:val="none" w:sz="0" w:space="0" w:color="auto"/>
            <w:bottom w:val="none" w:sz="0" w:space="0" w:color="auto"/>
            <w:right w:val="none" w:sz="0" w:space="0" w:color="auto"/>
          </w:divBdr>
          <w:divsChild>
            <w:div w:id="1779448881">
              <w:marLeft w:val="0"/>
              <w:marRight w:val="0"/>
              <w:marTop w:val="0"/>
              <w:marBottom w:val="0"/>
              <w:divBdr>
                <w:top w:val="none" w:sz="0" w:space="0" w:color="auto"/>
                <w:left w:val="none" w:sz="0" w:space="0" w:color="auto"/>
                <w:bottom w:val="none" w:sz="0" w:space="0" w:color="auto"/>
                <w:right w:val="none" w:sz="0" w:space="0" w:color="auto"/>
              </w:divBdr>
              <w:divsChild>
                <w:div w:id="35778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963970">
      <w:bodyDiv w:val="1"/>
      <w:marLeft w:val="0"/>
      <w:marRight w:val="0"/>
      <w:marTop w:val="0"/>
      <w:marBottom w:val="0"/>
      <w:divBdr>
        <w:top w:val="none" w:sz="0" w:space="0" w:color="auto"/>
        <w:left w:val="none" w:sz="0" w:space="0" w:color="auto"/>
        <w:bottom w:val="none" w:sz="0" w:space="0" w:color="auto"/>
        <w:right w:val="none" w:sz="0" w:space="0" w:color="auto"/>
      </w:divBdr>
    </w:div>
    <w:div w:id="1168836301">
      <w:bodyDiv w:val="1"/>
      <w:marLeft w:val="0"/>
      <w:marRight w:val="0"/>
      <w:marTop w:val="0"/>
      <w:marBottom w:val="0"/>
      <w:divBdr>
        <w:top w:val="none" w:sz="0" w:space="0" w:color="auto"/>
        <w:left w:val="none" w:sz="0" w:space="0" w:color="auto"/>
        <w:bottom w:val="none" w:sz="0" w:space="0" w:color="auto"/>
        <w:right w:val="none" w:sz="0" w:space="0" w:color="auto"/>
      </w:divBdr>
      <w:divsChild>
        <w:div w:id="954754544">
          <w:marLeft w:val="0"/>
          <w:marRight w:val="0"/>
          <w:marTop w:val="0"/>
          <w:marBottom w:val="0"/>
          <w:divBdr>
            <w:top w:val="none" w:sz="0" w:space="0" w:color="auto"/>
            <w:left w:val="none" w:sz="0" w:space="0" w:color="auto"/>
            <w:bottom w:val="none" w:sz="0" w:space="0" w:color="auto"/>
            <w:right w:val="none" w:sz="0" w:space="0" w:color="auto"/>
          </w:divBdr>
          <w:divsChild>
            <w:div w:id="1501651489">
              <w:marLeft w:val="0"/>
              <w:marRight w:val="0"/>
              <w:marTop w:val="0"/>
              <w:marBottom w:val="0"/>
              <w:divBdr>
                <w:top w:val="none" w:sz="0" w:space="0" w:color="auto"/>
                <w:left w:val="none" w:sz="0" w:space="0" w:color="auto"/>
                <w:bottom w:val="none" w:sz="0" w:space="0" w:color="auto"/>
                <w:right w:val="none" w:sz="0" w:space="0" w:color="auto"/>
              </w:divBdr>
              <w:divsChild>
                <w:div w:id="15239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5736">
      <w:bodyDiv w:val="1"/>
      <w:marLeft w:val="0"/>
      <w:marRight w:val="0"/>
      <w:marTop w:val="0"/>
      <w:marBottom w:val="0"/>
      <w:divBdr>
        <w:top w:val="none" w:sz="0" w:space="0" w:color="auto"/>
        <w:left w:val="none" w:sz="0" w:space="0" w:color="auto"/>
        <w:bottom w:val="none" w:sz="0" w:space="0" w:color="auto"/>
        <w:right w:val="none" w:sz="0" w:space="0" w:color="auto"/>
      </w:divBdr>
      <w:divsChild>
        <w:div w:id="1074595059">
          <w:marLeft w:val="0"/>
          <w:marRight w:val="0"/>
          <w:marTop w:val="0"/>
          <w:marBottom w:val="0"/>
          <w:divBdr>
            <w:top w:val="none" w:sz="0" w:space="0" w:color="auto"/>
            <w:left w:val="none" w:sz="0" w:space="0" w:color="auto"/>
            <w:bottom w:val="none" w:sz="0" w:space="0" w:color="auto"/>
            <w:right w:val="none" w:sz="0" w:space="0" w:color="auto"/>
          </w:divBdr>
          <w:divsChild>
            <w:div w:id="1063336098">
              <w:marLeft w:val="0"/>
              <w:marRight w:val="0"/>
              <w:marTop w:val="0"/>
              <w:marBottom w:val="0"/>
              <w:divBdr>
                <w:top w:val="none" w:sz="0" w:space="0" w:color="auto"/>
                <w:left w:val="none" w:sz="0" w:space="0" w:color="auto"/>
                <w:bottom w:val="none" w:sz="0" w:space="0" w:color="auto"/>
                <w:right w:val="none" w:sz="0" w:space="0" w:color="auto"/>
              </w:divBdr>
              <w:divsChild>
                <w:div w:id="1692874831">
                  <w:marLeft w:val="0"/>
                  <w:marRight w:val="0"/>
                  <w:marTop w:val="0"/>
                  <w:marBottom w:val="0"/>
                  <w:divBdr>
                    <w:top w:val="none" w:sz="0" w:space="0" w:color="auto"/>
                    <w:left w:val="none" w:sz="0" w:space="0" w:color="auto"/>
                    <w:bottom w:val="none" w:sz="0" w:space="0" w:color="auto"/>
                    <w:right w:val="none" w:sz="0" w:space="0" w:color="auto"/>
                  </w:divBdr>
                  <w:divsChild>
                    <w:div w:id="1908299761">
                      <w:marLeft w:val="0"/>
                      <w:marRight w:val="0"/>
                      <w:marTop w:val="0"/>
                      <w:marBottom w:val="0"/>
                      <w:divBdr>
                        <w:top w:val="none" w:sz="0" w:space="0" w:color="auto"/>
                        <w:left w:val="none" w:sz="0" w:space="0" w:color="auto"/>
                        <w:bottom w:val="none" w:sz="0" w:space="0" w:color="auto"/>
                        <w:right w:val="none" w:sz="0" w:space="0" w:color="auto"/>
                      </w:divBdr>
                      <w:divsChild>
                        <w:div w:id="1200823364">
                          <w:marLeft w:val="0"/>
                          <w:marRight w:val="0"/>
                          <w:marTop w:val="0"/>
                          <w:marBottom w:val="0"/>
                          <w:divBdr>
                            <w:top w:val="none" w:sz="0" w:space="0" w:color="auto"/>
                            <w:left w:val="none" w:sz="0" w:space="0" w:color="auto"/>
                            <w:bottom w:val="none" w:sz="0" w:space="0" w:color="auto"/>
                            <w:right w:val="none" w:sz="0" w:space="0" w:color="auto"/>
                          </w:divBdr>
                          <w:divsChild>
                            <w:div w:id="1990208100">
                              <w:marLeft w:val="0"/>
                              <w:marRight w:val="0"/>
                              <w:marTop w:val="0"/>
                              <w:marBottom w:val="0"/>
                              <w:divBdr>
                                <w:top w:val="none" w:sz="0" w:space="0" w:color="auto"/>
                                <w:left w:val="none" w:sz="0" w:space="0" w:color="auto"/>
                                <w:bottom w:val="none" w:sz="0" w:space="0" w:color="auto"/>
                                <w:right w:val="none" w:sz="0" w:space="0" w:color="auto"/>
                              </w:divBdr>
                              <w:divsChild>
                                <w:div w:id="654605817">
                                  <w:marLeft w:val="0"/>
                                  <w:marRight w:val="0"/>
                                  <w:marTop w:val="0"/>
                                  <w:marBottom w:val="0"/>
                                  <w:divBdr>
                                    <w:top w:val="none" w:sz="0" w:space="0" w:color="auto"/>
                                    <w:left w:val="none" w:sz="0" w:space="0" w:color="auto"/>
                                    <w:bottom w:val="none" w:sz="0" w:space="0" w:color="auto"/>
                                    <w:right w:val="none" w:sz="0" w:space="0" w:color="auto"/>
                                  </w:divBdr>
                                  <w:divsChild>
                                    <w:div w:id="1903517140">
                                      <w:marLeft w:val="0"/>
                                      <w:marRight w:val="0"/>
                                      <w:marTop w:val="0"/>
                                      <w:marBottom w:val="0"/>
                                      <w:divBdr>
                                        <w:top w:val="none" w:sz="0" w:space="0" w:color="auto"/>
                                        <w:left w:val="none" w:sz="0" w:space="0" w:color="auto"/>
                                        <w:bottom w:val="none" w:sz="0" w:space="0" w:color="auto"/>
                                        <w:right w:val="none" w:sz="0" w:space="0" w:color="auto"/>
                                      </w:divBdr>
                                      <w:divsChild>
                                        <w:div w:id="1262100922">
                                          <w:marLeft w:val="0"/>
                                          <w:marRight w:val="0"/>
                                          <w:marTop w:val="0"/>
                                          <w:marBottom w:val="0"/>
                                          <w:divBdr>
                                            <w:top w:val="none" w:sz="0" w:space="0" w:color="auto"/>
                                            <w:left w:val="none" w:sz="0" w:space="0" w:color="auto"/>
                                            <w:bottom w:val="none" w:sz="0" w:space="0" w:color="auto"/>
                                            <w:right w:val="none" w:sz="0" w:space="0" w:color="auto"/>
                                          </w:divBdr>
                                          <w:divsChild>
                                            <w:div w:id="1809859057">
                                              <w:marLeft w:val="0"/>
                                              <w:marRight w:val="0"/>
                                              <w:marTop w:val="0"/>
                                              <w:marBottom w:val="0"/>
                                              <w:divBdr>
                                                <w:top w:val="none" w:sz="0" w:space="0" w:color="auto"/>
                                                <w:left w:val="none" w:sz="0" w:space="0" w:color="auto"/>
                                                <w:bottom w:val="none" w:sz="0" w:space="0" w:color="auto"/>
                                                <w:right w:val="none" w:sz="0" w:space="0" w:color="auto"/>
                                              </w:divBdr>
                                              <w:divsChild>
                                                <w:div w:id="1503741546">
                                                  <w:marLeft w:val="0"/>
                                                  <w:marRight w:val="0"/>
                                                  <w:marTop w:val="0"/>
                                                  <w:marBottom w:val="0"/>
                                                  <w:divBdr>
                                                    <w:top w:val="none" w:sz="0" w:space="0" w:color="auto"/>
                                                    <w:left w:val="none" w:sz="0" w:space="0" w:color="auto"/>
                                                    <w:bottom w:val="none" w:sz="0" w:space="0" w:color="auto"/>
                                                    <w:right w:val="none" w:sz="0" w:space="0" w:color="auto"/>
                                                  </w:divBdr>
                                                  <w:divsChild>
                                                    <w:div w:id="1731031274">
                                                      <w:marLeft w:val="0"/>
                                                      <w:marRight w:val="0"/>
                                                      <w:marTop w:val="0"/>
                                                      <w:marBottom w:val="0"/>
                                                      <w:divBdr>
                                                        <w:top w:val="none" w:sz="0" w:space="0" w:color="auto"/>
                                                        <w:left w:val="none" w:sz="0" w:space="0" w:color="auto"/>
                                                        <w:bottom w:val="none" w:sz="0" w:space="0" w:color="auto"/>
                                                        <w:right w:val="none" w:sz="0" w:space="0" w:color="auto"/>
                                                      </w:divBdr>
                                                      <w:divsChild>
                                                        <w:div w:id="1932155833">
                                                          <w:marLeft w:val="0"/>
                                                          <w:marRight w:val="0"/>
                                                          <w:marTop w:val="0"/>
                                                          <w:marBottom w:val="0"/>
                                                          <w:divBdr>
                                                            <w:top w:val="none" w:sz="0" w:space="0" w:color="auto"/>
                                                            <w:left w:val="none" w:sz="0" w:space="0" w:color="auto"/>
                                                            <w:bottom w:val="none" w:sz="0" w:space="0" w:color="auto"/>
                                                            <w:right w:val="none" w:sz="0" w:space="0" w:color="auto"/>
                                                          </w:divBdr>
                                                          <w:divsChild>
                                                            <w:div w:id="116071479">
                                                              <w:marLeft w:val="0"/>
                                                              <w:marRight w:val="0"/>
                                                              <w:marTop w:val="0"/>
                                                              <w:marBottom w:val="0"/>
                                                              <w:divBdr>
                                                                <w:top w:val="none" w:sz="0" w:space="0" w:color="auto"/>
                                                                <w:left w:val="none" w:sz="0" w:space="0" w:color="auto"/>
                                                                <w:bottom w:val="none" w:sz="0" w:space="0" w:color="auto"/>
                                                                <w:right w:val="none" w:sz="0" w:space="0" w:color="auto"/>
                                                              </w:divBdr>
                                                              <w:divsChild>
                                                                <w:div w:id="87269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8267959">
          <w:marLeft w:val="0"/>
          <w:marRight w:val="0"/>
          <w:marTop w:val="0"/>
          <w:marBottom w:val="0"/>
          <w:divBdr>
            <w:top w:val="single" w:sz="6" w:space="3" w:color="808080"/>
            <w:left w:val="single" w:sz="6" w:space="3" w:color="808080"/>
            <w:bottom w:val="single" w:sz="6" w:space="3" w:color="808080"/>
            <w:right w:val="single" w:sz="6" w:space="3" w:color="808080"/>
          </w:divBdr>
        </w:div>
      </w:divsChild>
    </w:div>
    <w:div w:id="1206024637">
      <w:bodyDiv w:val="1"/>
      <w:marLeft w:val="0"/>
      <w:marRight w:val="0"/>
      <w:marTop w:val="0"/>
      <w:marBottom w:val="0"/>
      <w:divBdr>
        <w:top w:val="none" w:sz="0" w:space="0" w:color="auto"/>
        <w:left w:val="none" w:sz="0" w:space="0" w:color="auto"/>
        <w:bottom w:val="none" w:sz="0" w:space="0" w:color="auto"/>
        <w:right w:val="none" w:sz="0" w:space="0" w:color="auto"/>
      </w:divBdr>
    </w:div>
    <w:div w:id="1245147931">
      <w:bodyDiv w:val="1"/>
      <w:marLeft w:val="0"/>
      <w:marRight w:val="0"/>
      <w:marTop w:val="0"/>
      <w:marBottom w:val="0"/>
      <w:divBdr>
        <w:top w:val="none" w:sz="0" w:space="0" w:color="auto"/>
        <w:left w:val="none" w:sz="0" w:space="0" w:color="auto"/>
        <w:bottom w:val="none" w:sz="0" w:space="0" w:color="auto"/>
        <w:right w:val="none" w:sz="0" w:space="0" w:color="auto"/>
      </w:divBdr>
    </w:div>
    <w:div w:id="1252011279">
      <w:bodyDiv w:val="1"/>
      <w:marLeft w:val="0"/>
      <w:marRight w:val="0"/>
      <w:marTop w:val="0"/>
      <w:marBottom w:val="0"/>
      <w:divBdr>
        <w:top w:val="none" w:sz="0" w:space="0" w:color="auto"/>
        <w:left w:val="none" w:sz="0" w:space="0" w:color="auto"/>
        <w:bottom w:val="none" w:sz="0" w:space="0" w:color="auto"/>
        <w:right w:val="none" w:sz="0" w:space="0" w:color="auto"/>
      </w:divBdr>
    </w:div>
    <w:div w:id="1275669077">
      <w:bodyDiv w:val="1"/>
      <w:marLeft w:val="0"/>
      <w:marRight w:val="0"/>
      <w:marTop w:val="0"/>
      <w:marBottom w:val="0"/>
      <w:divBdr>
        <w:top w:val="none" w:sz="0" w:space="0" w:color="auto"/>
        <w:left w:val="none" w:sz="0" w:space="0" w:color="auto"/>
        <w:bottom w:val="none" w:sz="0" w:space="0" w:color="auto"/>
        <w:right w:val="none" w:sz="0" w:space="0" w:color="auto"/>
      </w:divBdr>
    </w:div>
    <w:div w:id="1312951421">
      <w:bodyDiv w:val="1"/>
      <w:marLeft w:val="0"/>
      <w:marRight w:val="0"/>
      <w:marTop w:val="0"/>
      <w:marBottom w:val="0"/>
      <w:divBdr>
        <w:top w:val="none" w:sz="0" w:space="0" w:color="auto"/>
        <w:left w:val="none" w:sz="0" w:space="0" w:color="auto"/>
        <w:bottom w:val="none" w:sz="0" w:space="0" w:color="auto"/>
        <w:right w:val="none" w:sz="0" w:space="0" w:color="auto"/>
      </w:divBdr>
    </w:div>
    <w:div w:id="1327630273">
      <w:bodyDiv w:val="1"/>
      <w:marLeft w:val="0"/>
      <w:marRight w:val="0"/>
      <w:marTop w:val="0"/>
      <w:marBottom w:val="0"/>
      <w:divBdr>
        <w:top w:val="none" w:sz="0" w:space="0" w:color="auto"/>
        <w:left w:val="none" w:sz="0" w:space="0" w:color="auto"/>
        <w:bottom w:val="none" w:sz="0" w:space="0" w:color="auto"/>
        <w:right w:val="none" w:sz="0" w:space="0" w:color="auto"/>
      </w:divBdr>
    </w:div>
    <w:div w:id="1355880837">
      <w:bodyDiv w:val="1"/>
      <w:marLeft w:val="0"/>
      <w:marRight w:val="0"/>
      <w:marTop w:val="0"/>
      <w:marBottom w:val="0"/>
      <w:divBdr>
        <w:top w:val="none" w:sz="0" w:space="0" w:color="auto"/>
        <w:left w:val="none" w:sz="0" w:space="0" w:color="auto"/>
        <w:bottom w:val="none" w:sz="0" w:space="0" w:color="auto"/>
        <w:right w:val="none" w:sz="0" w:space="0" w:color="auto"/>
      </w:divBdr>
    </w:div>
    <w:div w:id="1374768980">
      <w:bodyDiv w:val="1"/>
      <w:marLeft w:val="0"/>
      <w:marRight w:val="0"/>
      <w:marTop w:val="0"/>
      <w:marBottom w:val="0"/>
      <w:divBdr>
        <w:top w:val="none" w:sz="0" w:space="0" w:color="auto"/>
        <w:left w:val="none" w:sz="0" w:space="0" w:color="auto"/>
        <w:bottom w:val="none" w:sz="0" w:space="0" w:color="auto"/>
        <w:right w:val="none" w:sz="0" w:space="0" w:color="auto"/>
      </w:divBdr>
      <w:divsChild>
        <w:div w:id="1041175445">
          <w:marLeft w:val="0"/>
          <w:marRight w:val="0"/>
          <w:marTop w:val="0"/>
          <w:marBottom w:val="0"/>
          <w:divBdr>
            <w:top w:val="none" w:sz="0" w:space="0" w:color="auto"/>
            <w:left w:val="none" w:sz="0" w:space="0" w:color="auto"/>
            <w:bottom w:val="none" w:sz="0" w:space="0" w:color="auto"/>
            <w:right w:val="none" w:sz="0" w:space="0" w:color="auto"/>
          </w:divBdr>
          <w:divsChild>
            <w:div w:id="1634141760">
              <w:marLeft w:val="0"/>
              <w:marRight w:val="0"/>
              <w:marTop w:val="0"/>
              <w:marBottom w:val="0"/>
              <w:divBdr>
                <w:top w:val="none" w:sz="0" w:space="0" w:color="auto"/>
                <w:left w:val="none" w:sz="0" w:space="0" w:color="auto"/>
                <w:bottom w:val="none" w:sz="0" w:space="0" w:color="auto"/>
                <w:right w:val="none" w:sz="0" w:space="0" w:color="auto"/>
              </w:divBdr>
              <w:divsChild>
                <w:div w:id="20545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18908">
      <w:bodyDiv w:val="1"/>
      <w:marLeft w:val="0"/>
      <w:marRight w:val="0"/>
      <w:marTop w:val="0"/>
      <w:marBottom w:val="0"/>
      <w:divBdr>
        <w:top w:val="none" w:sz="0" w:space="0" w:color="auto"/>
        <w:left w:val="none" w:sz="0" w:space="0" w:color="auto"/>
        <w:bottom w:val="none" w:sz="0" w:space="0" w:color="auto"/>
        <w:right w:val="none" w:sz="0" w:space="0" w:color="auto"/>
      </w:divBdr>
    </w:div>
    <w:div w:id="1454130648">
      <w:bodyDiv w:val="1"/>
      <w:marLeft w:val="0"/>
      <w:marRight w:val="0"/>
      <w:marTop w:val="0"/>
      <w:marBottom w:val="0"/>
      <w:divBdr>
        <w:top w:val="none" w:sz="0" w:space="0" w:color="auto"/>
        <w:left w:val="none" w:sz="0" w:space="0" w:color="auto"/>
        <w:bottom w:val="none" w:sz="0" w:space="0" w:color="auto"/>
        <w:right w:val="none" w:sz="0" w:space="0" w:color="auto"/>
      </w:divBdr>
    </w:div>
    <w:div w:id="1457990643">
      <w:bodyDiv w:val="1"/>
      <w:marLeft w:val="0"/>
      <w:marRight w:val="0"/>
      <w:marTop w:val="0"/>
      <w:marBottom w:val="0"/>
      <w:divBdr>
        <w:top w:val="none" w:sz="0" w:space="0" w:color="auto"/>
        <w:left w:val="none" w:sz="0" w:space="0" w:color="auto"/>
        <w:bottom w:val="none" w:sz="0" w:space="0" w:color="auto"/>
        <w:right w:val="none" w:sz="0" w:space="0" w:color="auto"/>
      </w:divBdr>
    </w:div>
    <w:div w:id="1487822710">
      <w:bodyDiv w:val="1"/>
      <w:marLeft w:val="0"/>
      <w:marRight w:val="0"/>
      <w:marTop w:val="0"/>
      <w:marBottom w:val="0"/>
      <w:divBdr>
        <w:top w:val="none" w:sz="0" w:space="0" w:color="auto"/>
        <w:left w:val="none" w:sz="0" w:space="0" w:color="auto"/>
        <w:bottom w:val="none" w:sz="0" w:space="0" w:color="auto"/>
        <w:right w:val="none" w:sz="0" w:space="0" w:color="auto"/>
      </w:divBdr>
      <w:divsChild>
        <w:div w:id="966203102">
          <w:marLeft w:val="360"/>
          <w:marRight w:val="0"/>
          <w:marTop w:val="0"/>
          <w:marBottom w:val="0"/>
          <w:divBdr>
            <w:top w:val="none" w:sz="0" w:space="0" w:color="auto"/>
            <w:left w:val="none" w:sz="0" w:space="0" w:color="auto"/>
            <w:bottom w:val="none" w:sz="0" w:space="0" w:color="auto"/>
            <w:right w:val="none" w:sz="0" w:space="0" w:color="auto"/>
          </w:divBdr>
        </w:div>
      </w:divsChild>
    </w:div>
    <w:div w:id="1494493935">
      <w:bodyDiv w:val="1"/>
      <w:marLeft w:val="0"/>
      <w:marRight w:val="0"/>
      <w:marTop w:val="0"/>
      <w:marBottom w:val="0"/>
      <w:divBdr>
        <w:top w:val="none" w:sz="0" w:space="0" w:color="auto"/>
        <w:left w:val="none" w:sz="0" w:space="0" w:color="auto"/>
        <w:bottom w:val="none" w:sz="0" w:space="0" w:color="auto"/>
        <w:right w:val="none" w:sz="0" w:space="0" w:color="auto"/>
      </w:divBdr>
    </w:div>
    <w:div w:id="1548450458">
      <w:bodyDiv w:val="1"/>
      <w:marLeft w:val="0"/>
      <w:marRight w:val="0"/>
      <w:marTop w:val="0"/>
      <w:marBottom w:val="0"/>
      <w:divBdr>
        <w:top w:val="none" w:sz="0" w:space="0" w:color="auto"/>
        <w:left w:val="none" w:sz="0" w:space="0" w:color="auto"/>
        <w:bottom w:val="none" w:sz="0" w:space="0" w:color="auto"/>
        <w:right w:val="none" w:sz="0" w:space="0" w:color="auto"/>
      </w:divBdr>
    </w:div>
    <w:div w:id="1562475033">
      <w:bodyDiv w:val="1"/>
      <w:marLeft w:val="0"/>
      <w:marRight w:val="0"/>
      <w:marTop w:val="0"/>
      <w:marBottom w:val="0"/>
      <w:divBdr>
        <w:top w:val="none" w:sz="0" w:space="0" w:color="auto"/>
        <w:left w:val="none" w:sz="0" w:space="0" w:color="auto"/>
        <w:bottom w:val="none" w:sz="0" w:space="0" w:color="auto"/>
        <w:right w:val="none" w:sz="0" w:space="0" w:color="auto"/>
      </w:divBdr>
    </w:div>
    <w:div w:id="1581984751">
      <w:bodyDiv w:val="1"/>
      <w:marLeft w:val="0"/>
      <w:marRight w:val="0"/>
      <w:marTop w:val="0"/>
      <w:marBottom w:val="0"/>
      <w:divBdr>
        <w:top w:val="none" w:sz="0" w:space="0" w:color="auto"/>
        <w:left w:val="none" w:sz="0" w:space="0" w:color="auto"/>
        <w:bottom w:val="none" w:sz="0" w:space="0" w:color="auto"/>
        <w:right w:val="none" w:sz="0" w:space="0" w:color="auto"/>
      </w:divBdr>
    </w:div>
    <w:div w:id="1616789594">
      <w:bodyDiv w:val="1"/>
      <w:marLeft w:val="0"/>
      <w:marRight w:val="0"/>
      <w:marTop w:val="0"/>
      <w:marBottom w:val="0"/>
      <w:divBdr>
        <w:top w:val="none" w:sz="0" w:space="0" w:color="auto"/>
        <w:left w:val="none" w:sz="0" w:space="0" w:color="auto"/>
        <w:bottom w:val="none" w:sz="0" w:space="0" w:color="auto"/>
        <w:right w:val="none" w:sz="0" w:space="0" w:color="auto"/>
      </w:divBdr>
    </w:div>
    <w:div w:id="1636448206">
      <w:bodyDiv w:val="1"/>
      <w:marLeft w:val="0"/>
      <w:marRight w:val="0"/>
      <w:marTop w:val="0"/>
      <w:marBottom w:val="0"/>
      <w:divBdr>
        <w:top w:val="none" w:sz="0" w:space="0" w:color="auto"/>
        <w:left w:val="none" w:sz="0" w:space="0" w:color="auto"/>
        <w:bottom w:val="none" w:sz="0" w:space="0" w:color="auto"/>
        <w:right w:val="none" w:sz="0" w:space="0" w:color="auto"/>
      </w:divBdr>
    </w:div>
    <w:div w:id="1645234867">
      <w:bodyDiv w:val="1"/>
      <w:marLeft w:val="0"/>
      <w:marRight w:val="0"/>
      <w:marTop w:val="0"/>
      <w:marBottom w:val="0"/>
      <w:divBdr>
        <w:top w:val="none" w:sz="0" w:space="0" w:color="auto"/>
        <w:left w:val="none" w:sz="0" w:space="0" w:color="auto"/>
        <w:bottom w:val="none" w:sz="0" w:space="0" w:color="auto"/>
        <w:right w:val="none" w:sz="0" w:space="0" w:color="auto"/>
      </w:divBdr>
    </w:div>
    <w:div w:id="1668633800">
      <w:bodyDiv w:val="1"/>
      <w:marLeft w:val="0"/>
      <w:marRight w:val="0"/>
      <w:marTop w:val="0"/>
      <w:marBottom w:val="0"/>
      <w:divBdr>
        <w:top w:val="none" w:sz="0" w:space="0" w:color="auto"/>
        <w:left w:val="none" w:sz="0" w:space="0" w:color="auto"/>
        <w:bottom w:val="none" w:sz="0" w:space="0" w:color="auto"/>
        <w:right w:val="none" w:sz="0" w:space="0" w:color="auto"/>
      </w:divBdr>
      <w:divsChild>
        <w:div w:id="1918051023">
          <w:marLeft w:val="432"/>
          <w:marRight w:val="0"/>
          <w:marTop w:val="0"/>
          <w:marBottom w:val="0"/>
          <w:divBdr>
            <w:top w:val="none" w:sz="0" w:space="0" w:color="auto"/>
            <w:left w:val="none" w:sz="0" w:space="0" w:color="auto"/>
            <w:bottom w:val="none" w:sz="0" w:space="0" w:color="auto"/>
            <w:right w:val="none" w:sz="0" w:space="0" w:color="auto"/>
          </w:divBdr>
        </w:div>
      </w:divsChild>
    </w:div>
    <w:div w:id="1670012450">
      <w:bodyDiv w:val="1"/>
      <w:marLeft w:val="0"/>
      <w:marRight w:val="0"/>
      <w:marTop w:val="0"/>
      <w:marBottom w:val="0"/>
      <w:divBdr>
        <w:top w:val="none" w:sz="0" w:space="0" w:color="auto"/>
        <w:left w:val="none" w:sz="0" w:space="0" w:color="auto"/>
        <w:bottom w:val="none" w:sz="0" w:space="0" w:color="auto"/>
        <w:right w:val="none" w:sz="0" w:space="0" w:color="auto"/>
      </w:divBdr>
    </w:div>
    <w:div w:id="1701472776">
      <w:bodyDiv w:val="1"/>
      <w:marLeft w:val="0"/>
      <w:marRight w:val="0"/>
      <w:marTop w:val="0"/>
      <w:marBottom w:val="0"/>
      <w:divBdr>
        <w:top w:val="none" w:sz="0" w:space="0" w:color="auto"/>
        <w:left w:val="none" w:sz="0" w:space="0" w:color="auto"/>
        <w:bottom w:val="none" w:sz="0" w:space="0" w:color="auto"/>
        <w:right w:val="none" w:sz="0" w:space="0" w:color="auto"/>
      </w:divBdr>
    </w:div>
    <w:div w:id="1736316771">
      <w:bodyDiv w:val="1"/>
      <w:marLeft w:val="0"/>
      <w:marRight w:val="0"/>
      <w:marTop w:val="0"/>
      <w:marBottom w:val="0"/>
      <w:divBdr>
        <w:top w:val="none" w:sz="0" w:space="0" w:color="auto"/>
        <w:left w:val="none" w:sz="0" w:space="0" w:color="auto"/>
        <w:bottom w:val="none" w:sz="0" w:space="0" w:color="auto"/>
        <w:right w:val="none" w:sz="0" w:space="0" w:color="auto"/>
      </w:divBdr>
    </w:div>
    <w:div w:id="1738892371">
      <w:bodyDiv w:val="1"/>
      <w:marLeft w:val="0"/>
      <w:marRight w:val="0"/>
      <w:marTop w:val="0"/>
      <w:marBottom w:val="0"/>
      <w:divBdr>
        <w:top w:val="none" w:sz="0" w:space="0" w:color="auto"/>
        <w:left w:val="none" w:sz="0" w:space="0" w:color="auto"/>
        <w:bottom w:val="none" w:sz="0" w:space="0" w:color="auto"/>
        <w:right w:val="none" w:sz="0" w:space="0" w:color="auto"/>
      </w:divBdr>
    </w:div>
    <w:div w:id="1744987068">
      <w:bodyDiv w:val="1"/>
      <w:marLeft w:val="0"/>
      <w:marRight w:val="0"/>
      <w:marTop w:val="0"/>
      <w:marBottom w:val="0"/>
      <w:divBdr>
        <w:top w:val="none" w:sz="0" w:space="0" w:color="auto"/>
        <w:left w:val="none" w:sz="0" w:space="0" w:color="auto"/>
        <w:bottom w:val="none" w:sz="0" w:space="0" w:color="auto"/>
        <w:right w:val="none" w:sz="0" w:space="0" w:color="auto"/>
      </w:divBdr>
    </w:div>
    <w:div w:id="1749419229">
      <w:bodyDiv w:val="1"/>
      <w:marLeft w:val="0"/>
      <w:marRight w:val="0"/>
      <w:marTop w:val="0"/>
      <w:marBottom w:val="0"/>
      <w:divBdr>
        <w:top w:val="none" w:sz="0" w:space="0" w:color="auto"/>
        <w:left w:val="none" w:sz="0" w:space="0" w:color="auto"/>
        <w:bottom w:val="none" w:sz="0" w:space="0" w:color="auto"/>
        <w:right w:val="none" w:sz="0" w:space="0" w:color="auto"/>
      </w:divBdr>
    </w:div>
    <w:div w:id="1783918544">
      <w:bodyDiv w:val="1"/>
      <w:marLeft w:val="0"/>
      <w:marRight w:val="0"/>
      <w:marTop w:val="0"/>
      <w:marBottom w:val="0"/>
      <w:divBdr>
        <w:top w:val="none" w:sz="0" w:space="0" w:color="auto"/>
        <w:left w:val="none" w:sz="0" w:space="0" w:color="auto"/>
        <w:bottom w:val="none" w:sz="0" w:space="0" w:color="auto"/>
        <w:right w:val="none" w:sz="0" w:space="0" w:color="auto"/>
      </w:divBdr>
    </w:div>
    <w:div w:id="1784112389">
      <w:bodyDiv w:val="1"/>
      <w:marLeft w:val="0"/>
      <w:marRight w:val="0"/>
      <w:marTop w:val="0"/>
      <w:marBottom w:val="0"/>
      <w:divBdr>
        <w:top w:val="none" w:sz="0" w:space="0" w:color="auto"/>
        <w:left w:val="none" w:sz="0" w:space="0" w:color="auto"/>
        <w:bottom w:val="none" w:sz="0" w:space="0" w:color="auto"/>
        <w:right w:val="none" w:sz="0" w:space="0" w:color="auto"/>
      </w:divBdr>
    </w:div>
    <w:div w:id="1823961494">
      <w:bodyDiv w:val="1"/>
      <w:marLeft w:val="0"/>
      <w:marRight w:val="0"/>
      <w:marTop w:val="0"/>
      <w:marBottom w:val="0"/>
      <w:divBdr>
        <w:top w:val="none" w:sz="0" w:space="0" w:color="auto"/>
        <w:left w:val="none" w:sz="0" w:space="0" w:color="auto"/>
        <w:bottom w:val="none" w:sz="0" w:space="0" w:color="auto"/>
        <w:right w:val="none" w:sz="0" w:space="0" w:color="auto"/>
      </w:divBdr>
    </w:div>
    <w:div w:id="1871841650">
      <w:bodyDiv w:val="1"/>
      <w:marLeft w:val="0"/>
      <w:marRight w:val="0"/>
      <w:marTop w:val="0"/>
      <w:marBottom w:val="0"/>
      <w:divBdr>
        <w:top w:val="none" w:sz="0" w:space="0" w:color="auto"/>
        <w:left w:val="none" w:sz="0" w:space="0" w:color="auto"/>
        <w:bottom w:val="none" w:sz="0" w:space="0" w:color="auto"/>
        <w:right w:val="none" w:sz="0" w:space="0" w:color="auto"/>
      </w:divBdr>
    </w:div>
    <w:div w:id="1888494781">
      <w:bodyDiv w:val="1"/>
      <w:marLeft w:val="0"/>
      <w:marRight w:val="0"/>
      <w:marTop w:val="0"/>
      <w:marBottom w:val="0"/>
      <w:divBdr>
        <w:top w:val="none" w:sz="0" w:space="0" w:color="auto"/>
        <w:left w:val="none" w:sz="0" w:space="0" w:color="auto"/>
        <w:bottom w:val="none" w:sz="0" w:space="0" w:color="auto"/>
        <w:right w:val="none" w:sz="0" w:space="0" w:color="auto"/>
      </w:divBdr>
    </w:div>
    <w:div w:id="1910310430">
      <w:bodyDiv w:val="1"/>
      <w:marLeft w:val="0"/>
      <w:marRight w:val="0"/>
      <w:marTop w:val="0"/>
      <w:marBottom w:val="0"/>
      <w:divBdr>
        <w:top w:val="none" w:sz="0" w:space="0" w:color="auto"/>
        <w:left w:val="none" w:sz="0" w:space="0" w:color="auto"/>
        <w:bottom w:val="none" w:sz="0" w:space="0" w:color="auto"/>
        <w:right w:val="none" w:sz="0" w:space="0" w:color="auto"/>
      </w:divBdr>
    </w:div>
    <w:div w:id="1923678403">
      <w:bodyDiv w:val="1"/>
      <w:marLeft w:val="0"/>
      <w:marRight w:val="0"/>
      <w:marTop w:val="0"/>
      <w:marBottom w:val="0"/>
      <w:divBdr>
        <w:top w:val="none" w:sz="0" w:space="0" w:color="auto"/>
        <w:left w:val="none" w:sz="0" w:space="0" w:color="auto"/>
        <w:bottom w:val="none" w:sz="0" w:space="0" w:color="auto"/>
        <w:right w:val="none" w:sz="0" w:space="0" w:color="auto"/>
      </w:divBdr>
    </w:div>
    <w:div w:id="1983845874">
      <w:bodyDiv w:val="1"/>
      <w:marLeft w:val="0"/>
      <w:marRight w:val="0"/>
      <w:marTop w:val="0"/>
      <w:marBottom w:val="0"/>
      <w:divBdr>
        <w:top w:val="none" w:sz="0" w:space="0" w:color="auto"/>
        <w:left w:val="none" w:sz="0" w:space="0" w:color="auto"/>
        <w:bottom w:val="none" w:sz="0" w:space="0" w:color="auto"/>
        <w:right w:val="none" w:sz="0" w:space="0" w:color="auto"/>
      </w:divBdr>
    </w:div>
    <w:div w:id="1989360207">
      <w:bodyDiv w:val="1"/>
      <w:marLeft w:val="0"/>
      <w:marRight w:val="0"/>
      <w:marTop w:val="0"/>
      <w:marBottom w:val="0"/>
      <w:divBdr>
        <w:top w:val="none" w:sz="0" w:space="0" w:color="auto"/>
        <w:left w:val="none" w:sz="0" w:space="0" w:color="auto"/>
        <w:bottom w:val="none" w:sz="0" w:space="0" w:color="auto"/>
        <w:right w:val="none" w:sz="0" w:space="0" w:color="auto"/>
      </w:divBdr>
    </w:div>
    <w:div w:id="2013071749">
      <w:bodyDiv w:val="1"/>
      <w:marLeft w:val="0"/>
      <w:marRight w:val="0"/>
      <w:marTop w:val="0"/>
      <w:marBottom w:val="0"/>
      <w:divBdr>
        <w:top w:val="none" w:sz="0" w:space="0" w:color="auto"/>
        <w:left w:val="none" w:sz="0" w:space="0" w:color="auto"/>
        <w:bottom w:val="none" w:sz="0" w:space="0" w:color="auto"/>
        <w:right w:val="none" w:sz="0" w:space="0" w:color="auto"/>
      </w:divBdr>
    </w:div>
    <w:div w:id="2027904703">
      <w:bodyDiv w:val="1"/>
      <w:marLeft w:val="0"/>
      <w:marRight w:val="0"/>
      <w:marTop w:val="0"/>
      <w:marBottom w:val="0"/>
      <w:divBdr>
        <w:top w:val="none" w:sz="0" w:space="0" w:color="auto"/>
        <w:left w:val="none" w:sz="0" w:space="0" w:color="auto"/>
        <w:bottom w:val="none" w:sz="0" w:space="0" w:color="auto"/>
        <w:right w:val="none" w:sz="0" w:space="0" w:color="auto"/>
      </w:divBdr>
    </w:div>
    <w:div w:id="2028167888">
      <w:bodyDiv w:val="1"/>
      <w:marLeft w:val="0"/>
      <w:marRight w:val="0"/>
      <w:marTop w:val="0"/>
      <w:marBottom w:val="0"/>
      <w:divBdr>
        <w:top w:val="none" w:sz="0" w:space="0" w:color="auto"/>
        <w:left w:val="none" w:sz="0" w:space="0" w:color="auto"/>
        <w:bottom w:val="none" w:sz="0" w:space="0" w:color="auto"/>
        <w:right w:val="none" w:sz="0" w:space="0" w:color="auto"/>
      </w:divBdr>
    </w:div>
    <w:div w:id="2073963002">
      <w:bodyDiv w:val="1"/>
      <w:marLeft w:val="0"/>
      <w:marRight w:val="0"/>
      <w:marTop w:val="0"/>
      <w:marBottom w:val="0"/>
      <w:divBdr>
        <w:top w:val="none" w:sz="0" w:space="0" w:color="auto"/>
        <w:left w:val="none" w:sz="0" w:space="0" w:color="auto"/>
        <w:bottom w:val="none" w:sz="0" w:space="0" w:color="auto"/>
        <w:right w:val="none" w:sz="0" w:space="0" w:color="auto"/>
      </w:divBdr>
    </w:div>
    <w:div w:id="2089187359">
      <w:bodyDiv w:val="1"/>
      <w:marLeft w:val="0"/>
      <w:marRight w:val="0"/>
      <w:marTop w:val="0"/>
      <w:marBottom w:val="0"/>
      <w:divBdr>
        <w:top w:val="none" w:sz="0" w:space="0" w:color="auto"/>
        <w:left w:val="none" w:sz="0" w:space="0" w:color="auto"/>
        <w:bottom w:val="none" w:sz="0" w:space="0" w:color="auto"/>
        <w:right w:val="none" w:sz="0" w:space="0" w:color="auto"/>
      </w:divBdr>
    </w:div>
    <w:div w:id="2118137470">
      <w:bodyDiv w:val="1"/>
      <w:marLeft w:val="0"/>
      <w:marRight w:val="0"/>
      <w:marTop w:val="0"/>
      <w:marBottom w:val="0"/>
      <w:divBdr>
        <w:top w:val="none" w:sz="0" w:space="0" w:color="auto"/>
        <w:left w:val="none" w:sz="0" w:space="0" w:color="auto"/>
        <w:bottom w:val="none" w:sz="0" w:space="0" w:color="auto"/>
        <w:right w:val="none" w:sz="0" w:space="0" w:color="auto"/>
      </w:divBdr>
      <w:divsChild>
        <w:div w:id="918708945">
          <w:marLeft w:val="0"/>
          <w:marRight w:val="0"/>
          <w:marTop w:val="0"/>
          <w:marBottom w:val="0"/>
          <w:divBdr>
            <w:top w:val="none" w:sz="0" w:space="0" w:color="auto"/>
            <w:left w:val="none" w:sz="0" w:space="0" w:color="auto"/>
            <w:bottom w:val="none" w:sz="0" w:space="0" w:color="auto"/>
            <w:right w:val="none" w:sz="0" w:space="0" w:color="auto"/>
          </w:divBdr>
          <w:divsChild>
            <w:div w:id="1632975123">
              <w:marLeft w:val="0"/>
              <w:marRight w:val="0"/>
              <w:marTop w:val="0"/>
              <w:marBottom w:val="0"/>
              <w:divBdr>
                <w:top w:val="none" w:sz="0" w:space="0" w:color="auto"/>
                <w:left w:val="none" w:sz="0" w:space="0" w:color="auto"/>
                <w:bottom w:val="none" w:sz="0" w:space="0" w:color="auto"/>
                <w:right w:val="none" w:sz="0" w:space="0" w:color="auto"/>
              </w:divBdr>
              <w:divsChild>
                <w:div w:id="198137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face.com/Investors/financial-results-and-report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fac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ofaceza.com/News-Publications/Publications/Country-Sector-Risk-Barometer-Q1-2021-Quarterly-Update" TargetMode="External"/><Relationship Id="rId4" Type="http://schemas.openxmlformats.org/officeDocument/2006/relationships/settings" Target="settings.xml"/><Relationship Id="rId9" Type="http://schemas.openxmlformats.org/officeDocument/2006/relationships/hyperlink" Target="mailto:shaazia.khan@coface.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New Coface 2017">
  <a:themeElements>
    <a:clrScheme name="New Coface 2017">
      <a:dk1>
        <a:srgbClr val="03365F"/>
      </a:dk1>
      <a:lt1>
        <a:srgbClr val="FFFFFF"/>
      </a:lt1>
      <a:dk2>
        <a:srgbClr val="18B3B9"/>
      </a:dk2>
      <a:lt2>
        <a:srgbClr val="C40070"/>
      </a:lt2>
      <a:accent1>
        <a:srgbClr val="61B57C"/>
      </a:accent1>
      <a:accent2>
        <a:srgbClr val="03365F"/>
      </a:accent2>
      <a:accent3>
        <a:srgbClr val="E06E2B"/>
      </a:accent3>
      <a:accent4>
        <a:srgbClr val="ED4447"/>
      </a:accent4>
      <a:accent5>
        <a:srgbClr val="4BACC6"/>
      </a:accent5>
      <a:accent6>
        <a:srgbClr val="F79646"/>
      </a:accent6>
      <a:hlink>
        <a:srgbClr val="0000FF"/>
      </a:hlink>
      <a:folHlink>
        <a:srgbClr val="800080"/>
      </a:folHlink>
    </a:clrScheme>
    <a:fontScheme name="Coface 1">
      <a:majorFont>
        <a:latin typeface="Cambria"/>
        <a:ea typeface=""/>
        <a:cs typeface=""/>
      </a:majorFont>
      <a:minorFont>
        <a:latin typeface="Arial Narro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8A447-FF18-4EBF-9C20-CD76F098B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8</Pages>
  <Words>2217</Words>
  <Characters>12640</Characters>
  <Application>Microsoft Office Word</Application>
  <DocSecurity>0</DocSecurity>
  <Lines>105</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Paris, 21 janvier 2013</vt:lpstr>
    </vt:vector>
  </TitlesOfParts>
  <Company>Coface</Company>
  <LinksUpToDate>false</LinksUpToDate>
  <CharactersWithSpaces>14828</CharactersWithSpaces>
  <SharedDoc>false</SharedDoc>
  <HLinks>
    <vt:vector size="24" baseType="variant">
      <vt:variant>
        <vt:i4>2293813</vt:i4>
      </vt:variant>
      <vt:variant>
        <vt:i4>15</vt:i4>
      </vt:variant>
      <vt:variant>
        <vt:i4>0</vt:i4>
      </vt:variant>
      <vt:variant>
        <vt:i4>5</vt:i4>
      </vt:variant>
      <vt:variant>
        <vt:lpwstr>http://www.coface.com/</vt:lpwstr>
      </vt:variant>
      <vt:variant>
        <vt:lpwstr/>
      </vt:variant>
      <vt:variant>
        <vt:i4>3473423</vt:i4>
      </vt:variant>
      <vt:variant>
        <vt:i4>12</vt:i4>
      </vt:variant>
      <vt:variant>
        <vt:i4>0</vt:i4>
      </vt:variant>
      <vt:variant>
        <vt:i4>5</vt:i4>
      </vt:variant>
      <vt:variant>
        <vt:lpwstr>mailto:investors@coface.com</vt:lpwstr>
      </vt:variant>
      <vt:variant>
        <vt:lpwstr/>
      </vt:variant>
      <vt:variant>
        <vt:i4>2621512</vt:i4>
      </vt:variant>
      <vt:variant>
        <vt:i4>9</vt:i4>
      </vt:variant>
      <vt:variant>
        <vt:i4>0</vt:i4>
      </vt:variant>
      <vt:variant>
        <vt:i4>5</vt:i4>
      </vt:variant>
      <vt:variant>
        <vt:lpwstr>mailto:maria.krellenstein@coface.com</vt:lpwstr>
      </vt:variant>
      <vt:variant>
        <vt:lpwstr/>
      </vt:variant>
      <vt:variant>
        <vt:i4>655472</vt:i4>
      </vt:variant>
      <vt:variant>
        <vt:i4>6</vt:i4>
      </vt:variant>
      <vt:variant>
        <vt:i4>0</vt:i4>
      </vt:variant>
      <vt:variant>
        <vt:i4>5</vt:i4>
      </vt:variant>
      <vt:variant>
        <vt:lpwstr>mailto:monica.coull@coface.com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benoit.chastel@coface.com</dc:creator>
  <cp:lastModifiedBy>KHAN Shaazia</cp:lastModifiedBy>
  <cp:revision>75</cp:revision>
  <cp:lastPrinted>2021-04-27T13:42:00Z</cp:lastPrinted>
  <dcterms:created xsi:type="dcterms:W3CDTF">2020-04-17T11:11:00Z</dcterms:created>
  <dcterms:modified xsi:type="dcterms:W3CDTF">2021-04-28T10:32:00Z</dcterms:modified>
</cp:coreProperties>
</file>