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54041764" w14:textId="3BFB1050" w:rsidR="00AB5637" w:rsidRPr="00A06583" w:rsidRDefault="008C19C4" w:rsidP="001976A7">
      <w:pPr>
        <w:pStyle w:val="Heading1"/>
        <w:spacing w:before="0" w:after="0" w:line="32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3</w:t>
      </w:r>
      <w:r w:rsidR="00B47480">
        <w:rPr>
          <w:rFonts w:ascii="Verdana" w:hAnsi="Verdana"/>
          <w:sz w:val="24"/>
          <w:szCs w:val="24"/>
        </w:rPr>
        <w:t>0 June</w:t>
      </w:r>
      <w:r w:rsidR="00870751">
        <w:rPr>
          <w:rFonts w:ascii="Verdana" w:hAnsi="Verdana"/>
          <w:sz w:val="24"/>
          <w:szCs w:val="24"/>
        </w:rPr>
        <w:t xml:space="preserve"> 20</w:t>
      </w:r>
      <w:r w:rsidR="00863949">
        <w:rPr>
          <w:rFonts w:ascii="Verdana" w:hAnsi="Verdana"/>
          <w:sz w:val="24"/>
          <w:szCs w:val="24"/>
        </w:rPr>
        <w:t>2</w:t>
      </w:r>
      <w:r w:rsidR="002F5364">
        <w:rPr>
          <w:rFonts w:ascii="Verdana" w:hAnsi="Verdana"/>
          <w:sz w:val="24"/>
          <w:szCs w:val="24"/>
        </w:rPr>
        <w:t>1</w:t>
      </w:r>
    </w:p>
    <w:p w14:paraId="54041766" w14:textId="77777777" w:rsidR="00AB5637" w:rsidRPr="00F7786F" w:rsidRDefault="00AB5637" w:rsidP="001976A7">
      <w:pPr>
        <w:pStyle w:val="Heading1"/>
        <w:spacing w:before="0" w:after="0" w:line="320" w:lineRule="atLeast"/>
        <w:rPr>
          <w:rFonts w:ascii="Verdana" w:hAnsi="Verdana"/>
          <w:b w:val="0"/>
          <w:sz w:val="22"/>
          <w:szCs w:val="22"/>
        </w:rPr>
      </w:pPr>
      <w:r w:rsidRPr="00F7786F">
        <w:rPr>
          <w:rFonts w:ascii="Verdana" w:hAnsi="Verdana"/>
          <w:sz w:val="22"/>
          <w:szCs w:val="22"/>
        </w:rPr>
        <w:t>Mike Brown, Managing Director, etfSA.co.za</w:t>
      </w:r>
    </w:p>
    <w:p w14:paraId="10E219DF" w14:textId="73D075A9" w:rsidR="00DD75B5" w:rsidRDefault="00DD75B5" w:rsidP="001976A7">
      <w:pPr>
        <w:spacing w:after="0" w:line="320" w:lineRule="atLeast"/>
        <w:jc w:val="both"/>
        <w:rPr>
          <w:rFonts w:ascii="Verdana" w:hAnsi="Verdana"/>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
        <w:gridCol w:w="4671"/>
      </w:tblGrid>
      <w:tr w:rsidR="005509A2" w14:paraId="1F965989" w14:textId="77777777" w:rsidTr="00F2662C">
        <w:tc>
          <w:tcPr>
            <w:tcW w:w="4815" w:type="dxa"/>
          </w:tcPr>
          <w:p w14:paraId="2284BA37" w14:textId="6DC56CAC" w:rsidR="00051559" w:rsidRDefault="003F1BC4" w:rsidP="00F2662C">
            <w:pPr>
              <w:spacing w:line="320" w:lineRule="atLeast"/>
              <w:jc w:val="both"/>
              <w:rPr>
                <w:rFonts w:ascii="Verdana" w:hAnsi="Verdana"/>
                <w:sz w:val="21"/>
                <w:szCs w:val="21"/>
              </w:rPr>
            </w:pPr>
            <w:r>
              <w:rPr>
                <w:rFonts w:ascii="Verdana" w:hAnsi="Verdana"/>
                <w:sz w:val="21"/>
                <w:szCs w:val="21"/>
              </w:rPr>
              <w:t>During the sec</w:t>
            </w:r>
            <w:r w:rsidR="003353CB">
              <w:rPr>
                <w:rFonts w:ascii="Verdana" w:hAnsi="Verdana"/>
                <w:sz w:val="21"/>
                <w:szCs w:val="21"/>
              </w:rPr>
              <w:t xml:space="preserve">ond quarter of 2021, </w:t>
            </w:r>
            <w:r w:rsidR="00F45041" w:rsidRPr="00F45041">
              <w:rPr>
                <w:rFonts w:ascii="Verdana" w:hAnsi="Verdana"/>
                <w:b/>
                <w:bCs/>
                <w:sz w:val="21"/>
                <w:szCs w:val="21"/>
              </w:rPr>
              <w:t>Satrix Managers</w:t>
            </w:r>
            <w:r w:rsidR="00F45041">
              <w:rPr>
                <w:rFonts w:ascii="Verdana" w:hAnsi="Verdana"/>
                <w:sz w:val="21"/>
                <w:szCs w:val="21"/>
              </w:rPr>
              <w:t xml:space="preserve"> </w:t>
            </w:r>
            <w:r w:rsidR="0093030D">
              <w:rPr>
                <w:rFonts w:ascii="Verdana" w:hAnsi="Verdana"/>
                <w:sz w:val="21"/>
                <w:szCs w:val="21"/>
              </w:rPr>
              <w:t>became</w:t>
            </w:r>
            <w:r w:rsidR="00410B7D">
              <w:rPr>
                <w:rFonts w:ascii="Verdana" w:hAnsi="Verdana"/>
                <w:sz w:val="21"/>
                <w:szCs w:val="21"/>
              </w:rPr>
              <w:t xml:space="preserve"> the largest issuer</w:t>
            </w:r>
            <w:r w:rsidR="006C1593">
              <w:rPr>
                <w:rFonts w:ascii="Verdana" w:hAnsi="Verdana"/>
                <w:sz w:val="21"/>
                <w:szCs w:val="21"/>
              </w:rPr>
              <w:t>,</w:t>
            </w:r>
            <w:r w:rsidR="007624E8">
              <w:rPr>
                <w:rFonts w:ascii="Verdana" w:hAnsi="Verdana"/>
                <w:sz w:val="21"/>
                <w:szCs w:val="21"/>
              </w:rPr>
              <w:t xml:space="preserve"> measured by market capitalisation of ETFs</w:t>
            </w:r>
            <w:r w:rsidR="006C1593">
              <w:rPr>
                <w:rFonts w:ascii="Verdana" w:hAnsi="Verdana"/>
                <w:sz w:val="21"/>
                <w:szCs w:val="21"/>
              </w:rPr>
              <w:t>,</w:t>
            </w:r>
            <w:r w:rsidR="007624E8">
              <w:rPr>
                <w:rFonts w:ascii="Verdana" w:hAnsi="Verdana"/>
                <w:sz w:val="21"/>
                <w:szCs w:val="21"/>
              </w:rPr>
              <w:t xml:space="preserve"> in South Africa.  </w:t>
            </w:r>
            <w:r w:rsidR="003B0162">
              <w:rPr>
                <w:rFonts w:ascii="Verdana" w:hAnsi="Verdana"/>
                <w:sz w:val="21"/>
                <w:szCs w:val="21"/>
              </w:rPr>
              <w:t xml:space="preserve">In doing this, it surpassed Absa Capital, which </w:t>
            </w:r>
            <w:r w:rsidR="0093030D">
              <w:rPr>
                <w:rFonts w:ascii="Verdana" w:hAnsi="Verdana"/>
                <w:sz w:val="21"/>
                <w:szCs w:val="21"/>
              </w:rPr>
              <w:t>h</w:t>
            </w:r>
            <w:r w:rsidR="003B0162">
              <w:rPr>
                <w:rFonts w:ascii="Verdana" w:hAnsi="Verdana"/>
                <w:sz w:val="21"/>
                <w:szCs w:val="21"/>
              </w:rPr>
              <w:t>as been the lead issuer of Exchange Traded Products</w:t>
            </w:r>
            <w:r w:rsidR="00EB74F9">
              <w:rPr>
                <w:rFonts w:ascii="Verdana" w:hAnsi="Verdana"/>
                <w:sz w:val="21"/>
                <w:szCs w:val="21"/>
              </w:rPr>
              <w:t>, since 2008</w:t>
            </w:r>
            <w:r w:rsidR="00051559">
              <w:rPr>
                <w:rFonts w:ascii="Verdana" w:hAnsi="Verdana"/>
                <w:sz w:val="21"/>
                <w:szCs w:val="21"/>
              </w:rPr>
              <w:t xml:space="preserve">. </w:t>
            </w:r>
          </w:p>
          <w:p w14:paraId="703AD54C" w14:textId="77777777" w:rsidR="00051559" w:rsidRDefault="00051559" w:rsidP="00F2662C">
            <w:pPr>
              <w:spacing w:line="320" w:lineRule="atLeast"/>
              <w:jc w:val="both"/>
              <w:rPr>
                <w:rFonts w:ascii="Verdana" w:hAnsi="Verdana"/>
                <w:sz w:val="21"/>
                <w:szCs w:val="21"/>
              </w:rPr>
            </w:pPr>
          </w:p>
          <w:p w14:paraId="7AAB780B" w14:textId="15B80737" w:rsidR="006C31C8" w:rsidRDefault="00051559" w:rsidP="00F2662C">
            <w:pPr>
              <w:spacing w:line="320" w:lineRule="atLeast"/>
              <w:jc w:val="both"/>
              <w:rPr>
                <w:rFonts w:ascii="Verdana" w:hAnsi="Verdana"/>
                <w:sz w:val="21"/>
                <w:szCs w:val="21"/>
              </w:rPr>
            </w:pPr>
            <w:r>
              <w:rPr>
                <w:rFonts w:ascii="Verdana" w:hAnsi="Verdana"/>
                <w:sz w:val="21"/>
                <w:szCs w:val="21"/>
              </w:rPr>
              <w:t>Satrix Managers ETF products accounted for a market capitalisation of R31 884 million, compared with R31 452 million for the Absa Capital ETFs and ETNs</w:t>
            </w:r>
            <w:r w:rsidR="002B51E7">
              <w:rPr>
                <w:rFonts w:ascii="Verdana" w:hAnsi="Verdana"/>
                <w:sz w:val="21"/>
                <w:szCs w:val="21"/>
              </w:rPr>
              <w:t xml:space="preserve">, </w:t>
            </w:r>
            <w:r w:rsidR="00BF60E0">
              <w:rPr>
                <w:rFonts w:ascii="Verdana" w:hAnsi="Verdana"/>
                <w:sz w:val="21"/>
                <w:szCs w:val="21"/>
              </w:rPr>
              <w:t>at end June 2021</w:t>
            </w:r>
            <w:r>
              <w:rPr>
                <w:rFonts w:ascii="Verdana" w:hAnsi="Verdana"/>
                <w:sz w:val="21"/>
                <w:szCs w:val="21"/>
              </w:rPr>
              <w:t xml:space="preserve">. </w:t>
            </w:r>
          </w:p>
        </w:tc>
        <w:tc>
          <w:tcPr>
            <w:tcW w:w="425" w:type="dxa"/>
          </w:tcPr>
          <w:p w14:paraId="1F293369" w14:textId="5B1D315D" w:rsidR="005509A2" w:rsidRDefault="00F2662C" w:rsidP="001976A7">
            <w:pPr>
              <w:spacing w:line="320" w:lineRule="atLeast"/>
              <w:jc w:val="both"/>
              <w:rPr>
                <w:rFonts w:ascii="Verdana" w:hAnsi="Verdana"/>
                <w:sz w:val="21"/>
                <w:szCs w:val="21"/>
              </w:rPr>
            </w:pPr>
            <w:r>
              <w:rPr>
                <w:rFonts w:ascii="Verdana" w:hAnsi="Verdana"/>
                <w:noProof/>
                <w:sz w:val="21"/>
                <w:szCs w:val="21"/>
              </w:rPr>
              <mc:AlternateContent>
                <mc:Choice Requires="wps">
                  <w:drawing>
                    <wp:anchor distT="0" distB="0" distL="114300" distR="114300" simplePos="0" relativeHeight="251660288" behindDoc="0" locked="0" layoutInCell="1" allowOverlap="1" wp14:anchorId="09FB9A60" wp14:editId="473E03DF">
                      <wp:simplePos x="0" y="0"/>
                      <wp:positionH relativeFrom="column">
                        <wp:posOffset>71755</wp:posOffset>
                      </wp:positionH>
                      <wp:positionV relativeFrom="paragraph">
                        <wp:posOffset>81280</wp:posOffset>
                      </wp:positionV>
                      <wp:extent cx="19050" cy="2178050"/>
                      <wp:effectExtent l="0" t="0" r="19050" b="31750"/>
                      <wp:wrapNone/>
                      <wp:docPr id="3" name="Straight Connector 3"/>
                      <wp:cNvGraphicFramePr/>
                      <a:graphic xmlns:a="http://schemas.openxmlformats.org/drawingml/2006/main">
                        <a:graphicData uri="http://schemas.microsoft.com/office/word/2010/wordprocessingShape">
                          <wps:wsp>
                            <wps:cNvCnPr/>
                            <wps:spPr>
                              <a:xfrm flipH="1">
                                <a:off x="0" y="0"/>
                                <a:ext cx="19050" cy="217805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D837F"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6.4pt" to="7.1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" strokecolor="#c00000">
                      <v:stroke joinstyle="miter"/>
                    </v:line>
                  </w:pict>
                </mc:Fallback>
              </mc:AlternateContent>
            </w:r>
          </w:p>
        </w:tc>
        <w:tc>
          <w:tcPr>
            <w:tcW w:w="4671" w:type="dxa"/>
          </w:tcPr>
          <w:p w14:paraId="6E3AFEAD" w14:textId="5C130AF1" w:rsidR="005509A2" w:rsidRDefault="005B4FD8" w:rsidP="00F2662C">
            <w:pPr>
              <w:spacing w:line="320" w:lineRule="atLeast"/>
              <w:jc w:val="both"/>
              <w:rPr>
                <w:rFonts w:ascii="Verdana" w:hAnsi="Verdana"/>
                <w:sz w:val="21"/>
                <w:szCs w:val="21"/>
              </w:rPr>
            </w:pPr>
            <w:r>
              <w:rPr>
                <w:rFonts w:ascii="Verdana" w:hAnsi="Verdana"/>
                <w:sz w:val="21"/>
                <w:szCs w:val="21"/>
              </w:rPr>
              <w:t xml:space="preserve">Sygnia Itrix also </w:t>
            </w:r>
            <w:r w:rsidR="00051559">
              <w:rPr>
                <w:rFonts w:ascii="Verdana" w:hAnsi="Verdana"/>
                <w:sz w:val="21"/>
                <w:szCs w:val="21"/>
              </w:rPr>
              <w:t xml:space="preserve">significantly </w:t>
            </w:r>
            <w:r>
              <w:rPr>
                <w:rFonts w:ascii="Verdana" w:hAnsi="Verdana"/>
                <w:sz w:val="21"/>
                <w:szCs w:val="21"/>
              </w:rPr>
              <w:t>increased t</w:t>
            </w:r>
            <w:r w:rsidR="00C34AA3">
              <w:rPr>
                <w:rFonts w:ascii="Verdana" w:hAnsi="Verdana"/>
                <w:sz w:val="21"/>
                <w:szCs w:val="21"/>
              </w:rPr>
              <w:t>he</w:t>
            </w:r>
            <w:r>
              <w:rPr>
                <w:rFonts w:ascii="Verdana" w:hAnsi="Verdana"/>
                <w:sz w:val="21"/>
                <w:szCs w:val="21"/>
              </w:rPr>
              <w:t xml:space="preserve"> market capitalisation of </w:t>
            </w:r>
            <w:r w:rsidR="002628F1">
              <w:rPr>
                <w:rFonts w:ascii="Verdana" w:hAnsi="Verdana"/>
                <w:sz w:val="21"/>
                <w:szCs w:val="21"/>
              </w:rPr>
              <w:t>its</w:t>
            </w:r>
            <w:r>
              <w:rPr>
                <w:rFonts w:ascii="Verdana" w:hAnsi="Verdana"/>
                <w:sz w:val="21"/>
                <w:szCs w:val="21"/>
              </w:rPr>
              <w:t xml:space="preserve"> ETFs in the second quarter and now stands just below Absa Capital with R29 293 million ETFs in issue </w:t>
            </w:r>
            <w:r w:rsidR="00BF60E0">
              <w:rPr>
                <w:rFonts w:ascii="Verdana" w:hAnsi="Verdana"/>
                <w:sz w:val="21"/>
                <w:szCs w:val="21"/>
              </w:rPr>
              <w:t xml:space="preserve">as </w:t>
            </w:r>
            <w:r>
              <w:rPr>
                <w:rFonts w:ascii="Verdana" w:hAnsi="Verdana"/>
                <w:sz w:val="21"/>
                <w:szCs w:val="21"/>
              </w:rPr>
              <w:t xml:space="preserve">at end of June 2021. </w:t>
            </w:r>
          </w:p>
          <w:p w14:paraId="5780D633" w14:textId="77777777" w:rsidR="002628F1" w:rsidRDefault="002628F1" w:rsidP="00F2662C">
            <w:pPr>
              <w:spacing w:line="320" w:lineRule="atLeast"/>
              <w:jc w:val="both"/>
              <w:rPr>
                <w:rFonts w:ascii="Verdana" w:hAnsi="Verdana"/>
                <w:sz w:val="21"/>
                <w:szCs w:val="21"/>
              </w:rPr>
            </w:pPr>
          </w:p>
          <w:p w14:paraId="0AA60EE7" w14:textId="08377738" w:rsidR="002628F1" w:rsidRDefault="002628F1" w:rsidP="00F2662C">
            <w:pPr>
              <w:spacing w:line="320" w:lineRule="atLeast"/>
              <w:jc w:val="both"/>
              <w:rPr>
                <w:rFonts w:ascii="Verdana" w:hAnsi="Verdana"/>
                <w:sz w:val="21"/>
                <w:szCs w:val="21"/>
              </w:rPr>
            </w:pPr>
            <w:r>
              <w:rPr>
                <w:rFonts w:ascii="Verdana" w:hAnsi="Verdana"/>
                <w:sz w:val="21"/>
                <w:szCs w:val="21"/>
              </w:rPr>
              <w:t>This scramble to be the top issuing house amongst these three companies signals a strong degree of competition in the ETP industry, which bodes well for the future</w:t>
            </w:r>
          </w:p>
        </w:tc>
      </w:tr>
    </w:tbl>
    <w:p w14:paraId="5D02FC83" w14:textId="52E5481B" w:rsidR="00947A6D" w:rsidRDefault="00947A6D" w:rsidP="001976A7">
      <w:pPr>
        <w:spacing w:after="0" w:line="320" w:lineRule="atLeast"/>
        <w:jc w:val="both"/>
        <w:rPr>
          <w:rFonts w:ascii="Verdana" w:hAnsi="Verdana"/>
          <w:sz w:val="21"/>
          <w:szCs w:val="21"/>
        </w:rPr>
      </w:pPr>
    </w:p>
    <w:p w14:paraId="175F8A2F" w14:textId="49BFE47B" w:rsidR="00F2662C" w:rsidRDefault="00784C81" w:rsidP="001976A7">
      <w:pPr>
        <w:spacing w:after="0" w:line="320" w:lineRule="atLeast"/>
        <w:jc w:val="both"/>
        <w:rPr>
          <w:rFonts w:ascii="Verdana" w:hAnsi="Verdana"/>
          <w:sz w:val="21"/>
          <w:szCs w:val="21"/>
        </w:rPr>
      </w:pPr>
      <w:r>
        <w:rPr>
          <w:rFonts w:ascii="Verdana" w:hAnsi="Verdana"/>
          <w:noProof/>
          <w:sz w:val="21"/>
          <w:szCs w:val="21"/>
        </w:rPr>
        <mc:AlternateContent>
          <mc:Choice Requires="wps">
            <w:drawing>
              <wp:anchor distT="0" distB="0" distL="114300" distR="114300" simplePos="0" relativeHeight="251662336" behindDoc="0" locked="0" layoutInCell="1" allowOverlap="1" wp14:anchorId="2E263F76" wp14:editId="278BD6E5">
                <wp:simplePos x="0" y="0"/>
                <wp:positionH relativeFrom="margin">
                  <wp:posOffset>130810</wp:posOffset>
                </wp:positionH>
                <wp:positionV relativeFrom="paragraph">
                  <wp:posOffset>74930</wp:posOffset>
                </wp:positionV>
                <wp:extent cx="5962650" cy="44450"/>
                <wp:effectExtent l="0" t="0" r="19050" b="31750"/>
                <wp:wrapNone/>
                <wp:docPr id="5" name="Straight Connector 5"/>
                <wp:cNvGraphicFramePr/>
                <a:graphic xmlns:a="http://schemas.openxmlformats.org/drawingml/2006/main">
                  <a:graphicData uri="http://schemas.microsoft.com/office/word/2010/wordprocessingShape">
                    <wps:wsp>
                      <wps:cNvCnPr/>
                      <wps:spPr>
                        <a:xfrm flipH="1">
                          <a:off x="0" y="0"/>
                          <a:ext cx="5962650" cy="4445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E1AE0"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pt,5.9pt" to="479.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" strokecolor="#c00000">
                <v:stroke joinstyle="miter"/>
                <w10:wrap anchorx="margin"/>
              </v:line>
            </w:pict>
          </mc:Fallback>
        </mc:AlternateContent>
      </w:r>
    </w:p>
    <w:p w14:paraId="6B033BA0" w14:textId="77777777" w:rsidR="00784C81" w:rsidRDefault="00784C81" w:rsidP="00FC62D1">
      <w:pPr>
        <w:spacing w:after="0" w:line="300" w:lineRule="atLeast"/>
        <w:jc w:val="both"/>
        <w:rPr>
          <w:rFonts w:ascii="Verdana" w:hAnsi="Verdana"/>
          <w:b/>
          <w:color w:val="C00000"/>
          <w:sz w:val="24"/>
          <w:szCs w:val="24"/>
        </w:rPr>
      </w:pPr>
    </w:p>
    <w:p w14:paraId="02968165" w14:textId="3ABFCC09" w:rsidR="007D1C48" w:rsidRDefault="00511FB5" w:rsidP="00E20B2D">
      <w:pPr>
        <w:spacing w:after="12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3F87D32B" w:rsidR="00D72BC0" w:rsidRDefault="006C780E" w:rsidP="00CE3CC2">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T</w:t>
      </w:r>
      <w:r w:rsidR="004E7608">
        <w:rPr>
          <w:rFonts w:ascii="Verdana" w:hAnsi="Verdana"/>
          <w:color w:val="000000" w:themeColor="text1"/>
          <w:sz w:val="21"/>
          <w:szCs w:val="21"/>
        </w:rPr>
        <w:t>he total market capitalisation</w:t>
      </w:r>
      <w:r w:rsidR="004A53EA">
        <w:rPr>
          <w:rFonts w:ascii="Verdana" w:hAnsi="Verdana"/>
          <w:color w:val="000000" w:themeColor="text1"/>
          <w:sz w:val="21"/>
          <w:szCs w:val="21"/>
        </w:rPr>
        <w:t xml:space="preserve"> of </w:t>
      </w:r>
      <w:r w:rsidR="00B23C71">
        <w:rPr>
          <w:rFonts w:ascii="Verdana" w:hAnsi="Verdana"/>
          <w:color w:val="000000" w:themeColor="text1"/>
          <w:sz w:val="21"/>
          <w:szCs w:val="21"/>
        </w:rPr>
        <w:t>the entire South Africa ETF and ETN industry r</w:t>
      </w:r>
      <w:r w:rsidR="002F4117">
        <w:rPr>
          <w:rFonts w:ascii="Verdana" w:hAnsi="Verdana"/>
          <w:color w:val="000000" w:themeColor="text1"/>
          <w:sz w:val="21"/>
          <w:szCs w:val="21"/>
        </w:rPr>
        <w:t>ose</w:t>
      </w:r>
      <w:r>
        <w:rPr>
          <w:rFonts w:ascii="Verdana" w:hAnsi="Verdana"/>
          <w:color w:val="000000" w:themeColor="text1"/>
          <w:sz w:val="21"/>
          <w:szCs w:val="21"/>
        </w:rPr>
        <w:t xml:space="preserve"> from R1</w:t>
      </w:r>
      <w:r w:rsidR="00685233">
        <w:rPr>
          <w:rFonts w:ascii="Verdana" w:hAnsi="Verdana"/>
          <w:color w:val="000000" w:themeColor="text1"/>
          <w:sz w:val="21"/>
          <w:szCs w:val="21"/>
        </w:rPr>
        <w:t>1</w:t>
      </w:r>
      <w:r w:rsidR="004A687F">
        <w:rPr>
          <w:rFonts w:ascii="Verdana" w:hAnsi="Verdana"/>
          <w:color w:val="000000" w:themeColor="text1"/>
          <w:sz w:val="21"/>
          <w:szCs w:val="21"/>
        </w:rPr>
        <w:t>9</w:t>
      </w:r>
      <w:r>
        <w:rPr>
          <w:rFonts w:ascii="Verdana" w:hAnsi="Verdana"/>
          <w:color w:val="000000" w:themeColor="text1"/>
          <w:sz w:val="21"/>
          <w:szCs w:val="21"/>
        </w:rPr>
        <w:t>,</w:t>
      </w:r>
      <w:r w:rsidR="004A687F">
        <w:rPr>
          <w:rFonts w:ascii="Verdana" w:hAnsi="Verdana"/>
          <w:color w:val="000000" w:themeColor="text1"/>
          <w:sz w:val="21"/>
          <w:szCs w:val="21"/>
        </w:rPr>
        <w:t>7</w:t>
      </w:r>
      <w:r>
        <w:rPr>
          <w:rFonts w:ascii="Verdana" w:hAnsi="Verdana"/>
          <w:color w:val="000000" w:themeColor="text1"/>
          <w:sz w:val="21"/>
          <w:szCs w:val="21"/>
        </w:rPr>
        <w:t xml:space="preserve"> billion at the end of </w:t>
      </w:r>
      <w:r w:rsidR="004A687F">
        <w:rPr>
          <w:rFonts w:ascii="Verdana" w:hAnsi="Verdana"/>
          <w:color w:val="000000" w:themeColor="text1"/>
          <w:sz w:val="21"/>
          <w:szCs w:val="21"/>
        </w:rPr>
        <w:t xml:space="preserve">March 2021 </w:t>
      </w:r>
      <w:r>
        <w:rPr>
          <w:rFonts w:ascii="Verdana" w:hAnsi="Verdana"/>
          <w:color w:val="000000" w:themeColor="text1"/>
          <w:sz w:val="21"/>
          <w:szCs w:val="21"/>
        </w:rPr>
        <w:t>to R1</w:t>
      </w:r>
      <w:r w:rsidR="004A687F">
        <w:rPr>
          <w:rFonts w:ascii="Verdana" w:hAnsi="Verdana"/>
          <w:color w:val="000000" w:themeColor="text1"/>
          <w:sz w:val="21"/>
          <w:szCs w:val="21"/>
        </w:rPr>
        <w:t>24</w:t>
      </w:r>
      <w:r>
        <w:rPr>
          <w:rFonts w:ascii="Verdana" w:hAnsi="Verdana"/>
          <w:color w:val="000000" w:themeColor="text1"/>
          <w:sz w:val="21"/>
          <w:szCs w:val="21"/>
        </w:rPr>
        <w:t>,</w:t>
      </w:r>
      <w:r w:rsidR="004A687F">
        <w:rPr>
          <w:rFonts w:ascii="Verdana" w:hAnsi="Verdana"/>
          <w:color w:val="000000" w:themeColor="text1"/>
          <w:sz w:val="21"/>
          <w:szCs w:val="21"/>
        </w:rPr>
        <w:t>5</w:t>
      </w:r>
      <w:r>
        <w:rPr>
          <w:rFonts w:ascii="Verdana" w:hAnsi="Verdana"/>
          <w:color w:val="000000" w:themeColor="text1"/>
          <w:sz w:val="21"/>
          <w:szCs w:val="21"/>
        </w:rPr>
        <w:t xml:space="preserve"> billion at </w:t>
      </w:r>
      <w:r w:rsidR="00685233">
        <w:rPr>
          <w:rFonts w:ascii="Verdana" w:hAnsi="Verdana"/>
          <w:color w:val="000000" w:themeColor="text1"/>
          <w:sz w:val="21"/>
          <w:szCs w:val="21"/>
        </w:rPr>
        <w:t xml:space="preserve">the end of </w:t>
      </w:r>
      <w:r w:rsidR="004A687F">
        <w:rPr>
          <w:rFonts w:ascii="Verdana" w:hAnsi="Verdana"/>
          <w:color w:val="000000" w:themeColor="text1"/>
          <w:sz w:val="21"/>
          <w:szCs w:val="21"/>
        </w:rPr>
        <w:t>June 2021</w:t>
      </w:r>
      <w:r>
        <w:rPr>
          <w:rFonts w:ascii="Verdana" w:hAnsi="Verdana"/>
          <w:color w:val="000000" w:themeColor="text1"/>
          <w:sz w:val="21"/>
          <w:szCs w:val="21"/>
        </w:rPr>
        <w:t xml:space="preserve">.  </w:t>
      </w:r>
    </w:p>
    <w:p w14:paraId="07AF6E62" w14:textId="702A6942" w:rsidR="00D826DB" w:rsidRDefault="00D826DB" w:rsidP="00137500">
      <w:pPr>
        <w:spacing w:after="0" w:line="34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7386"/>
      </w:tblGrid>
      <w:tr w:rsidR="00F411F7" w14:paraId="02D18F07" w14:textId="77777777" w:rsidTr="004E4DAF">
        <w:tc>
          <w:tcPr>
            <w:tcW w:w="3261" w:type="dxa"/>
            <w:vAlign w:val="center"/>
          </w:tcPr>
          <w:p w14:paraId="1EC26A6C" w14:textId="4C89E044" w:rsidR="00185009" w:rsidRPr="00FB21A9" w:rsidRDefault="001C419C" w:rsidP="00CE3CC2">
            <w:pPr>
              <w:spacing w:line="320" w:lineRule="atLeast"/>
              <w:rPr>
                <w:rFonts w:ascii="Verdana" w:hAnsi="Verdana"/>
                <w:color w:val="000000" w:themeColor="text1"/>
                <w:sz w:val="21"/>
                <w:szCs w:val="21"/>
              </w:rPr>
            </w:pPr>
            <w:r>
              <w:rPr>
                <w:rFonts w:ascii="Verdana" w:hAnsi="Verdana"/>
                <w:color w:val="000000" w:themeColor="text1"/>
                <w:sz w:val="21"/>
                <w:szCs w:val="21"/>
              </w:rPr>
              <w:t xml:space="preserve">During the first half of this year, total market capitalisation has increased by 12,1 percent, </w:t>
            </w:r>
            <w:r w:rsidR="008C6006">
              <w:rPr>
                <w:rFonts w:ascii="Verdana" w:hAnsi="Verdana"/>
                <w:color w:val="000000" w:themeColor="text1"/>
                <w:sz w:val="21"/>
                <w:szCs w:val="21"/>
              </w:rPr>
              <w:t>following the pattern of</w:t>
            </w:r>
            <w:r>
              <w:rPr>
                <w:rFonts w:ascii="Verdana" w:hAnsi="Verdana"/>
                <w:color w:val="000000" w:themeColor="text1"/>
                <w:sz w:val="21"/>
                <w:szCs w:val="21"/>
              </w:rPr>
              <w:t xml:space="preserve"> continuously</w:t>
            </w:r>
            <w:r w:rsidR="00193608">
              <w:rPr>
                <w:rFonts w:ascii="Verdana" w:hAnsi="Verdana"/>
                <w:color w:val="000000" w:themeColor="text1"/>
                <w:sz w:val="21"/>
                <w:szCs w:val="21"/>
              </w:rPr>
              <w:t xml:space="preserve"> gaining traction</w:t>
            </w:r>
            <w:r w:rsidR="008C6006">
              <w:rPr>
                <w:rFonts w:ascii="Verdana" w:hAnsi="Verdana"/>
                <w:color w:val="000000" w:themeColor="text1"/>
                <w:sz w:val="21"/>
                <w:szCs w:val="21"/>
              </w:rPr>
              <w:t xml:space="preserve"> over the past three years</w:t>
            </w:r>
            <w:r w:rsidR="00193608">
              <w:rPr>
                <w:rFonts w:ascii="Verdana" w:hAnsi="Verdana"/>
                <w:color w:val="000000" w:themeColor="text1"/>
                <w:sz w:val="21"/>
                <w:szCs w:val="21"/>
              </w:rPr>
              <w:t xml:space="preserve">. </w:t>
            </w:r>
          </w:p>
        </w:tc>
        <w:tc>
          <w:tcPr>
            <w:tcW w:w="6660" w:type="dxa"/>
            <w:vAlign w:val="center"/>
          </w:tcPr>
          <w:p w14:paraId="237962D7" w14:textId="03969779" w:rsidR="00D826DB" w:rsidRDefault="004E4DAF" w:rsidP="00F411F7">
            <w:pPr>
              <w:spacing w:line="340" w:lineRule="atLeast"/>
              <w:jc w:val="right"/>
              <w:rPr>
                <w:rFonts w:ascii="Verdana" w:hAnsi="Verdana"/>
                <w:color w:val="000000" w:themeColor="text1"/>
                <w:sz w:val="21"/>
                <w:szCs w:val="21"/>
              </w:rPr>
            </w:pPr>
            <w:r>
              <w:rPr>
                <w:noProof/>
              </w:rPr>
              <w:drawing>
                <wp:inline distT="0" distB="0" distL="0" distR="0" wp14:anchorId="433DB142" wp14:editId="4E7AA8A5">
                  <wp:extent cx="4546600" cy="3073400"/>
                  <wp:effectExtent l="0" t="0" r="6350" b="12700"/>
                  <wp:docPr id="6" name="Chart 6">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7CCC5C48" w14:textId="5F694416" w:rsidR="00AE720D" w:rsidRDefault="00AE720D" w:rsidP="00CD37BB">
      <w:pPr>
        <w:spacing w:after="0" w:line="320" w:lineRule="atLeast"/>
        <w:jc w:val="both"/>
        <w:rPr>
          <w:rFonts w:ascii="Verdana" w:hAnsi="Verdana"/>
          <w:color w:val="000000" w:themeColor="text1"/>
          <w:sz w:val="21"/>
          <w:szCs w:val="21"/>
        </w:rPr>
      </w:pPr>
    </w:p>
    <w:p w14:paraId="3C4D2A41" w14:textId="34416D1B" w:rsidR="00046AC3" w:rsidRDefault="00332256" w:rsidP="00CE3CC2">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 xml:space="preserve">The R13,5 billion increase in the total market capitalisation in the ETP industry </w:t>
      </w:r>
      <w:r w:rsidR="00FF3DB8">
        <w:rPr>
          <w:rFonts w:ascii="Verdana" w:hAnsi="Verdana"/>
          <w:color w:val="000000" w:themeColor="text1"/>
          <w:sz w:val="21"/>
          <w:szCs w:val="21"/>
        </w:rPr>
        <w:t xml:space="preserve">in the first half of 2021 </w:t>
      </w:r>
      <w:r>
        <w:rPr>
          <w:rFonts w:ascii="Verdana" w:hAnsi="Verdana"/>
          <w:color w:val="000000" w:themeColor="text1"/>
          <w:sz w:val="21"/>
          <w:szCs w:val="21"/>
        </w:rPr>
        <w:t>was partly due to the price rise in local equity</w:t>
      </w:r>
      <w:r w:rsidR="006C58B8">
        <w:rPr>
          <w:rFonts w:ascii="Verdana" w:hAnsi="Verdana"/>
          <w:color w:val="000000" w:themeColor="text1"/>
          <w:sz w:val="21"/>
          <w:szCs w:val="21"/>
        </w:rPr>
        <w:t xml:space="preserve"> market indices, but also due to new capital raised fr</w:t>
      </w:r>
      <w:r w:rsidR="00C34AA3">
        <w:rPr>
          <w:rFonts w:ascii="Verdana" w:hAnsi="Verdana"/>
          <w:color w:val="000000" w:themeColor="text1"/>
          <w:sz w:val="21"/>
          <w:szCs w:val="21"/>
        </w:rPr>
        <w:t>om</w:t>
      </w:r>
      <w:r w:rsidR="006C58B8">
        <w:rPr>
          <w:rFonts w:ascii="Verdana" w:hAnsi="Verdana"/>
          <w:color w:val="000000" w:themeColor="text1"/>
          <w:sz w:val="21"/>
          <w:szCs w:val="21"/>
        </w:rPr>
        <w:t xml:space="preserve"> creation of ETFs during this period. </w:t>
      </w:r>
    </w:p>
    <w:p w14:paraId="4E186BF3" w14:textId="4A4C0753" w:rsidR="00FA5C9F" w:rsidRDefault="00FA5C9F">
      <w:pPr>
        <w:rPr>
          <w:rFonts w:ascii="Verdana" w:hAnsi="Verdana"/>
          <w:color w:val="000000" w:themeColor="text1"/>
          <w:sz w:val="21"/>
          <w:szCs w:val="21"/>
        </w:rPr>
      </w:pPr>
      <w:r>
        <w:rPr>
          <w:rFonts w:ascii="Verdana" w:hAnsi="Verdana"/>
          <w:color w:val="000000" w:themeColor="text1"/>
          <w:sz w:val="21"/>
          <w:szCs w:val="21"/>
        </w:rPr>
        <w:br w:type="page"/>
      </w:r>
    </w:p>
    <w:p w14:paraId="6B7A6171" w14:textId="737EC05E" w:rsidR="004B0713" w:rsidRPr="003A3D19" w:rsidRDefault="00B5062D" w:rsidP="00FA5C9F">
      <w:pPr>
        <w:spacing w:after="120" w:line="340" w:lineRule="atLeast"/>
        <w:jc w:val="both"/>
        <w:rPr>
          <w:rFonts w:ascii="Verdana" w:hAnsi="Verdana"/>
          <w:b/>
          <w:color w:val="C00000"/>
          <w:sz w:val="24"/>
          <w:szCs w:val="24"/>
        </w:rPr>
      </w:pPr>
      <w:r>
        <w:rPr>
          <w:rFonts w:ascii="Verdana" w:hAnsi="Verdana"/>
          <w:b/>
          <w:color w:val="C00000"/>
          <w:sz w:val="24"/>
          <w:szCs w:val="24"/>
        </w:rPr>
        <w:lastRenderedPageBreak/>
        <w:t>N</w:t>
      </w:r>
      <w:r w:rsidR="00CE3CC2">
        <w:rPr>
          <w:rFonts w:ascii="Verdana" w:hAnsi="Verdana"/>
          <w:b/>
          <w:color w:val="C00000"/>
          <w:sz w:val="24"/>
          <w:szCs w:val="24"/>
        </w:rPr>
        <w:t>e</w:t>
      </w:r>
      <w:r w:rsidR="00FA5C9F">
        <w:rPr>
          <w:rFonts w:ascii="Verdana" w:hAnsi="Verdana"/>
          <w:b/>
          <w:color w:val="C00000"/>
          <w:sz w:val="24"/>
          <w:szCs w:val="24"/>
        </w:rPr>
        <w:t>w Capital Raised</w:t>
      </w:r>
    </w:p>
    <w:p w14:paraId="6B0DDB60" w14:textId="4FBD694E" w:rsidR="00826CE1" w:rsidRDefault="00F52AAE" w:rsidP="00213163">
      <w:pPr>
        <w:spacing w:after="0" w:line="320" w:lineRule="atLeast"/>
        <w:rPr>
          <w:rFonts w:ascii="Verdana" w:hAnsi="Verdana"/>
          <w:color w:val="000000"/>
          <w:sz w:val="21"/>
          <w:szCs w:val="21"/>
        </w:rPr>
      </w:pPr>
      <w:r>
        <w:rPr>
          <w:rFonts w:ascii="Verdana" w:hAnsi="Verdana"/>
          <w:color w:val="000000"/>
          <w:sz w:val="21"/>
          <w:szCs w:val="21"/>
        </w:rPr>
        <w:t>Exchange Trade</w:t>
      </w:r>
      <w:r w:rsidR="00CE0539">
        <w:rPr>
          <w:rFonts w:ascii="Verdana" w:hAnsi="Verdana"/>
          <w:color w:val="000000"/>
          <w:sz w:val="21"/>
          <w:szCs w:val="21"/>
        </w:rPr>
        <w:t>d Funds and Notes are open-ended, so n</w:t>
      </w:r>
      <w:r w:rsidR="00993934">
        <w:rPr>
          <w:rFonts w:ascii="Verdana" w:hAnsi="Verdana"/>
          <w:color w:val="000000"/>
          <w:sz w:val="21"/>
          <w:szCs w:val="21"/>
        </w:rPr>
        <w:t>ew capital</w:t>
      </w:r>
      <w:r w:rsidR="00CE27F1">
        <w:rPr>
          <w:rFonts w:ascii="Verdana" w:hAnsi="Verdana"/>
          <w:color w:val="000000"/>
          <w:sz w:val="21"/>
          <w:szCs w:val="21"/>
        </w:rPr>
        <w:t xml:space="preserve"> can be raised or redeemed at any time </w:t>
      </w:r>
      <w:r w:rsidR="005475A6">
        <w:rPr>
          <w:rFonts w:ascii="Verdana" w:hAnsi="Verdana"/>
          <w:color w:val="000000"/>
          <w:sz w:val="21"/>
          <w:szCs w:val="21"/>
        </w:rPr>
        <w:t xml:space="preserve">to </w:t>
      </w:r>
      <w:r w:rsidR="00803DCA">
        <w:rPr>
          <w:rFonts w:ascii="Verdana" w:hAnsi="Verdana"/>
          <w:color w:val="000000"/>
          <w:sz w:val="21"/>
          <w:szCs w:val="21"/>
        </w:rPr>
        <w:t xml:space="preserve">match </w:t>
      </w:r>
      <w:r w:rsidR="005475A6">
        <w:rPr>
          <w:rFonts w:ascii="Verdana" w:hAnsi="Verdana"/>
          <w:color w:val="000000"/>
          <w:sz w:val="21"/>
          <w:szCs w:val="21"/>
        </w:rPr>
        <w:t>market demand for any particular ETP.  The open-</w:t>
      </w:r>
      <w:r w:rsidR="008D1027">
        <w:rPr>
          <w:rFonts w:ascii="Verdana" w:hAnsi="Verdana"/>
          <w:color w:val="000000"/>
          <w:sz w:val="21"/>
          <w:szCs w:val="21"/>
        </w:rPr>
        <w:t xml:space="preserve">ended nature of ETPs is, of course, an important factor in determining that these products trade at fair value at all times and not at the </w:t>
      </w:r>
      <w:r w:rsidR="005D1205">
        <w:rPr>
          <w:rFonts w:ascii="Verdana" w:hAnsi="Verdana"/>
          <w:color w:val="000000"/>
          <w:sz w:val="21"/>
          <w:szCs w:val="21"/>
        </w:rPr>
        <w:t>s</w:t>
      </w:r>
      <w:r w:rsidR="00803DCA">
        <w:rPr>
          <w:rFonts w:ascii="Verdana" w:hAnsi="Verdana"/>
          <w:color w:val="000000"/>
          <w:sz w:val="21"/>
          <w:szCs w:val="21"/>
        </w:rPr>
        <w:t xml:space="preserve">ubstantial </w:t>
      </w:r>
      <w:r w:rsidR="005D1205">
        <w:rPr>
          <w:rFonts w:ascii="Verdana" w:hAnsi="Verdana"/>
          <w:color w:val="000000"/>
          <w:sz w:val="21"/>
          <w:szCs w:val="21"/>
        </w:rPr>
        <w:t xml:space="preserve">discounts that apply to most fixed capital investment trusts and holding companies. </w:t>
      </w:r>
    </w:p>
    <w:p w14:paraId="4E3446B6" w14:textId="468983D7" w:rsidR="005D1205" w:rsidRDefault="005D1205" w:rsidP="00213163">
      <w:pPr>
        <w:spacing w:after="0" w:line="320" w:lineRule="atLeast"/>
        <w:rPr>
          <w:rFonts w:ascii="Verdana" w:hAnsi="Verdana"/>
          <w:color w:val="000000"/>
          <w:sz w:val="21"/>
          <w:szCs w:val="21"/>
        </w:rPr>
      </w:pPr>
    </w:p>
    <w:p w14:paraId="2493B323" w14:textId="5202D8E4" w:rsidR="005D1205" w:rsidRDefault="00362595" w:rsidP="00213163">
      <w:pPr>
        <w:spacing w:after="0" w:line="320" w:lineRule="atLeast"/>
        <w:rPr>
          <w:rFonts w:ascii="Verdana" w:hAnsi="Verdana"/>
          <w:color w:val="000000"/>
          <w:sz w:val="21"/>
          <w:szCs w:val="21"/>
        </w:rPr>
      </w:pPr>
      <w:r>
        <w:rPr>
          <w:rFonts w:ascii="Verdana" w:hAnsi="Verdana"/>
          <w:color w:val="000000"/>
          <w:sz w:val="21"/>
          <w:szCs w:val="21"/>
        </w:rPr>
        <w:t xml:space="preserve">Accordingly, it is a feature of the daily SENS service that new listings of ETPs </w:t>
      </w:r>
      <w:r w:rsidR="00921CF9">
        <w:rPr>
          <w:rFonts w:ascii="Verdana" w:hAnsi="Verdana"/>
          <w:color w:val="000000"/>
          <w:sz w:val="21"/>
          <w:szCs w:val="21"/>
        </w:rPr>
        <w:t xml:space="preserve">are announced </w:t>
      </w:r>
      <w:r>
        <w:rPr>
          <w:rFonts w:ascii="Verdana" w:hAnsi="Verdana"/>
          <w:color w:val="000000"/>
          <w:sz w:val="21"/>
          <w:szCs w:val="21"/>
        </w:rPr>
        <w:t xml:space="preserve">on a very regular basis and that </w:t>
      </w:r>
      <w:r w:rsidR="00D90B55">
        <w:rPr>
          <w:rFonts w:ascii="Verdana" w:hAnsi="Verdana"/>
          <w:color w:val="000000"/>
          <w:sz w:val="21"/>
          <w:szCs w:val="21"/>
        </w:rPr>
        <w:t xml:space="preserve">any </w:t>
      </w:r>
      <w:r>
        <w:rPr>
          <w:rFonts w:ascii="Verdana" w:hAnsi="Verdana"/>
          <w:color w:val="000000"/>
          <w:sz w:val="21"/>
          <w:szCs w:val="21"/>
        </w:rPr>
        <w:t xml:space="preserve">new capital coming into </w:t>
      </w:r>
      <w:r w:rsidR="00D90B55">
        <w:rPr>
          <w:rFonts w:ascii="Verdana" w:hAnsi="Verdana"/>
          <w:color w:val="000000"/>
          <w:sz w:val="21"/>
          <w:szCs w:val="21"/>
        </w:rPr>
        <w:t xml:space="preserve">or being redeemed </w:t>
      </w:r>
      <w:r>
        <w:rPr>
          <w:rFonts w:ascii="Verdana" w:hAnsi="Verdana"/>
          <w:color w:val="000000"/>
          <w:sz w:val="21"/>
          <w:szCs w:val="21"/>
        </w:rPr>
        <w:t>is easily accommodated</w:t>
      </w:r>
      <w:r w:rsidR="005D52D2">
        <w:rPr>
          <w:rFonts w:ascii="Verdana" w:hAnsi="Verdana"/>
          <w:color w:val="000000"/>
          <w:sz w:val="21"/>
          <w:szCs w:val="21"/>
        </w:rPr>
        <w:t xml:space="preserve"> by the open-ended system</w:t>
      </w:r>
      <w:r>
        <w:rPr>
          <w:rFonts w:ascii="Verdana" w:hAnsi="Verdana"/>
          <w:color w:val="000000"/>
          <w:sz w:val="21"/>
          <w:szCs w:val="21"/>
        </w:rPr>
        <w:t xml:space="preserve">. </w:t>
      </w:r>
    </w:p>
    <w:p w14:paraId="062B8BB0" w14:textId="4F9A82C1" w:rsidR="00362595" w:rsidRDefault="00362595" w:rsidP="00213163">
      <w:pPr>
        <w:spacing w:after="0" w:line="320" w:lineRule="atLeast"/>
        <w:rPr>
          <w:rFonts w:ascii="Verdana" w:hAnsi="Verdana"/>
          <w:color w:val="000000"/>
          <w:sz w:val="21"/>
          <w:szCs w:val="21"/>
        </w:rPr>
      </w:pPr>
    </w:p>
    <w:p w14:paraId="7596F935" w14:textId="576F3549" w:rsidR="00362595" w:rsidRDefault="00362595" w:rsidP="00213163">
      <w:pPr>
        <w:spacing w:after="0" w:line="320" w:lineRule="atLeast"/>
        <w:rPr>
          <w:rFonts w:ascii="Verdana" w:hAnsi="Verdana"/>
          <w:color w:val="000000"/>
          <w:sz w:val="21"/>
          <w:szCs w:val="21"/>
        </w:rPr>
      </w:pPr>
      <w:r>
        <w:rPr>
          <w:rFonts w:ascii="Verdana" w:hAnsi="Verdana"/>
          <w:color w:val="000000"/>
          <w:sz w:val="21"/>
          <w:szCs w:val="21"/>
        </w:rPr>
        <w:t>During the first half of 2021, a total of R6</w:t>
      </w:r>
      <w:r w:rsidR="00AC44C8">
        <w:rPr>
          <w:rFonts w:ascii="Verdana" w:hAnsi="Verdana"/>
          <w:color w:val="000000"/>
          <w:sz w:val="21"/>
          <w:szCs w:val="21"/>
        </w:rPr>
        <w:t> 988,4 million new capital was raised by the ETP industry through the JSE.  Only three new ETFs were listed in the first 6 months of this year, so the bulk of this</w:t>
      </w:r>
      <w:r w:rsidR="006F12EA">
        <w:rPr>
          <w:rFonts w:ascii="Verdana" w:hAnsi="Verdana"/>
          <w:color w:val="000000"/>
          <w:sz w:val="21"/>
          <w:szCs w:val="21"/>
        </w:rPr>
        <w:t xml:space="preserve"> new capital was raised by ETPs already </w:t>
      </w:r>
      <w:r w:rsidR="00F72AA3">
        <w:rPr>
          <w:rFonts w:ascii="Verdana" w:hAnsi="Verdana"/>
          <w:color w:val="000000"/>
          <w:sz w:val="21"/>
          <w:szCs w:val="21"/>
        </w:rPr>
        <w:t>in issue</w:t>
      </w:r>
      <w:r w:rsidR="006F12EA">
        <w:rPr>
          <w:rFonts w:ascii="Verdana" w:hAnsi="Verdana"/>
          <w:color w:val="000000"/>
          <w:sz w:val="21"/>
          <w:szCs w:val="21"/>
        </w:rPr>
        <w:t xml:space="preserve">. </w:t>
      </w:r>
    </w:p>
    <w:p w14:paraId="328E7DD5" w14:textId="1F7E14D2" w:rsidR="006F12EA" w:rsidRDefault="006F12EA" w:rsidP="00213163">
      <w:pPr>
        <w:spacing w:after="0" w:line="320" w:lineRule="atLeast"/>
        <w:rPr>
          <w:rFonts w:ascii="Verdana" w:hAnsi="Verdana"/>
          <w:color w:val="000000"/>
          <w:sz w:val="21"/>
          <w:szCs w:val="21"/>
        </w:rPr>
      </w:pPr>
    </w:p>
    <w:p w14:paraId="42F177DB" w14:textId="6367B9CF" w:rsidR="006F12EA" w:rsidRDefault="006F12EA" w:rsidP="00213163">
      <w:pPr>
        <w:spacing w:after="0" w:line="320" w:lineRule="atLeast"/>
        <w:rPr>
          <w:rFonts w:ascii="Verdana" w:hAnsi="Verdana"/>
          <w:color w:val="000000"/>
          <w:sz w:val="21"/>
          <w:szCs w:val="21"/>
        </w:rPr>
      </w:pPr>
      <w:r>
        <w:rPr>
          <w:rFonts w:ascii="Verdana" w:hAnsi="Verdana"/>
          <w:color w:val="000000"/>
          <w:sz w:val="21"/>
          <w:szCs w:val="21"/>
        </w:rPr>
        <w:t>Table A shows the to</w:t>
      </w:r>
      <w:r w:rsidR="00FB618E">
        <w:rPr>
          <w:rFonts w:ascii="Verdana" w:hAnsi="Verdana"/>
          <w:color w:val="000000"/>
          <w:sz w:val="21"/>
          <w:szCs w:val="21"/>
        </w:rPr>
        <w:t xml:space="preserve">p individual ETFs/ETNs that raised the most </w:t>
      </w:r>
      <w:r w:rsidR="00F72AA3">
        <w:rPr>
          <w:rFonts w:ascii="Verdana" w:hAnsi="Verdana"/>
          <w:color w:val="000000"/>
          <w:sz w:val="21"/>
          <w:szCs w:val="21"/>
        </w:rPr>
        <w:t xml:space="preserve">new </w:t>
      </w:r>
      <w:r w:rsidR="00FB618E">
        <w:rPr>
          <w:rFonts w:ascii="Verdana" w:hAnsi="Verdana"/>
          <w:color w:val="000000"/>
          <w:sz w:val="21"/>
          <w:szCs w:val="21"/>
        </w:rPr>
        <w:t xml:space="preserve">capital for the 6 month period under review. </w:t>
      </w:r>
    </w:p>
    <w:p w14:paraId="0E93263B" w14:textId="3E2E4BDF" w:rsidR="00A547A7" w:rsidRDefault="00A547A7" w:rsidP="003F5A9C">
      <w:pPr>
        <w:spacing w:after="0" w:line="360" w:lineRule="atLeast"/>
        <w:rPr>
          <w:rFonts w:ascii="Verdana" w:hAnsi="Verdana"/>
          <w:color w:val="000000"/>
          <w:sz w:val="21"/>
          <w:szCs w:val="21"/>
        </w:rPr>
      </w:pPr>
    </w:p>
    <w:p w14:paraId="35A558F8" w14:textId="77777777" w:rsidR="0042225F" w:rsidRPr="00340ED3" w:rsidRDefault="0042225F" w:rsidP="0042225F">
      <w:pPr>
        <w:spacing w:after="0" w:line="360" w:lineRule="atLeast"/>
        <w:rPr>
          <w:rFonts w:ascii="Verdana" w:hAnsi="Verdana"/>
          <w:b/>
          <w:color w:val="000000"/>
          <w:sz w:val="21"/>
          <w:szCs w:val="21"/>
        </w:rPr>
      </w:pPr>
      <w:r>
        <w:rPr>
          <w:rFonts w:ascii="Verdana" w:hAnsi="Verdana"/>
          <w:b/>
          <w:color w:val="000000"/>
          <w:sz w:val="21"/>
          <w:szCs w:val="21"/>
        </w:rPr>
        <w:t>Table A</w:t>
      </w:r>
    </w:p>
    <w:tbl>
      <w:tblPr>
        <w:tblW w:w="708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2126"/>
      </w:tblGrid>
      <w:tr w:rsidR="00DD75B5" w:rsidRPr="00AB6CBE" w14:paraId="66B25586" w14:textId="77777777" w:rsidTr="006015AB">
        <w:tc>
          <w:tcPr>
            <w:tcW w:w="7087" w:type="dxa"/>
            <w:gridSpan w:val="2"/>
            <w:shd w:val="clear" w:color="auto" w:fill="C00000"/>
          </w:tcPr>
          <w:p w14:paraId="432F6E41" w14:textId="386EEC20" w:rsidR="00DD75B5" w:rsidRDefault="00DD75B5" w:rsidP="00771D6F">
            <w:pPr>
              <w:spacing w:before="40" w:after="40" w:line="280" w:lineRule="atLeast"/>
              <w:jc w:val="center"/>
              <w:rPr>
                <w:rFonts w:ascii="Verdana" w:hAnsi="Verdana"/>
                <w:b/>
                <w:color w:val="FFFFFF"/>
                <w:sz w:val="18"/>
                <w:szCs w:val="18"/>
              </w:rPr>
            </w:pPr>
            <w:r>
              <w:rPr>
                <w:rFonts w:ascii="Verdana" w:hAnsi="Verdana"/>
                <w:b/>
                <w:color w:val="FFFFFF"/>
                <w:sz w:val="18"/>
                <w:szCs w:val="18"/>
              </w:rPr>
              <w:t xml:space="preserve">Capital </w:t>
            </w:r>
            <w:r w:rsidR="00575220">
              <w:rPr>
                <w:rFonts w:ascii="Verdana" w:hAnsi="Verdana"/>
                <w:b/>
                <w:color w:val="FFFFFF"/>
                <w:sz w:val="18"/>
                <w:szCs w:val="18"/>
              </w:rPr>
              <w:t>Raised Through Additional Issue of Securities</w:t>
            </w:r>
          </w:p>
          <w:p w14:paraId="40DFD9C6" w14:textId="794D5410" w:rsidR="00DD75B5" w:rsidRPr="003B4F95" w:rsidRDefault="003F5A9C" w:rsidP="00771D6F">
            <w:pPr>
              <w:spacing w:before="40" w:after="40" w:line="280" w:lineRule="atLeast"/>
              <w:jc w:val="center"/>
              <w:rPr>
                <w:rFonts w:ascii="Verdana" w:hAnsi="Verdana"/>
                <w:b/>
                <w:color w:val="FFFFFF"/>
                <w:sz w:val="18"/>
                <w:szCs w:val="18"/>
              </w:rPr>
            </w:pPr>
            <w:r>
              <w:rPr>
                <w:rFonts w:ascii="Verdana" w:hAnsi="Verdana"/>
                <w:b/>
                <w:color w:val="FFFFFF"/>
                <w:sz w:val="18"/>
                <w:szCs w:val="18"/>
              </w:rPr>
              <w:t>(</w:t>
            </w:r>
            <w:r w:rsidR="00575220">
              <w:rPr>
                <w:rFonts w:ascii="Verdana" w:hAnsi="Verdana"/>
                <w:b/>
                <w:color w:val="FFFFFF"/>
                <w:sz w:val="18"/>
                <w:szCs w:val="18"/>
              </w:rPr>
              <w:t xml:space="preserve">for </w:t>
            </w:r>
            <w:r w:rsidR="00AE45D7">
              <w:rPr>
                <w:rFonts w:ascii="Verdana" w:hAnsi="Verdana"/>
                <w:b/>
                <w:color w:val="FFFFFF"/>
                <w:sz w:val="18"/>
                <w:szCs w:val="18"/>
              </w:rPr>
              <w:t>6</w:t>
            </w:r>
            <w:r w:rsidR="00575220">
              <w:rPr>
                <w:rFonts w:ascii="Verdana" w:hAnsi="Verdana"/>
                <w:b/>
                <w:color w:val="FFFFFF"/>
                <w:sz w:val="18"/>
                <w:szCs w:val="18"/>
              </w:rPr>
              <w:t xml:space="preserve">-months to end </w:t>
            </w:r>
            <w:r w:rsidR="00AE45D7">
              <w:rPr>
                <w:rFonts w:ascii="Verdana" w:hAnsi="Verdana"/>
                <w:b/>
                <w:color w:val="FFFFFF"/>
                <w:sz w:val="18"/>
                <w:szCs w:val="18"/>
              </w:rPr>
              <w:t>June</w:t>
            </w:r>
            <w:r w:rsidR="00575220">
              <w:rPr>
                <w:rFonts w:ascii="Verdana" w:hAnsi="Verdana"/>
                <w:b/>
                <w:color w:val="FFFFFF"/>
                <w:sz w:val="18"/>
                <w:szCs w:val="18"/>
              </w:rPr>
              <w:t xml:space="preserve"> 2021</w:t>
            </w:r>
            <w:r>
              <w:rPr>
                <w:rFonts w:ascii="Verdana" w:hAnsi="Verdana"/>
                <w:b/>
                <w:color w:val="FFFFFF"/>
                <w:sz w:val="18"/>
                <w:szCs w:val="18"/>
              </w:rPr>
              <w:t>)</w:t>
            </w:r>
          </w:p>
        </w:tc>
      </w:tr>
      <w:tr w:rsidR="00575220" w:rsidRPr="00AB6CBE" w14:paraId="44633A99" w14:textId="77777777" w:rsidTr="006015AB">
        <w:trPr>
          <w:trHeight w:val="360"/>
        </w:trPr>
        <w:tc>
          <w:tcPr>
            <w:tcW w:w="4961" w:type="dxa"/>
            <w:shd w:val="clear" w:color="auto" w:fill="4C4C4C"/>
          </w:tcPr>
          <w:p w14:paraId="40E23C79" w14:textId="24F929A1" w:rsidR="00575220" w:rsidRPr="003B4F95" w:rsidRDefault="00575220" w:rsidP="00771D6F">
            <w:pPr>
              <w:spacing w:before="40" w:after="40" w:line="280" w:lineRule="atLeast"/>
              <w:rPr>
                <w:rFonts w:ascii="Verdana" w:hAnsi="Verdana"/>
                <w:b/>
                <w:color w:val="FFFFFF"/>
                <w:sz w:val="18"/>
                <w:szCs w:val="18"/>
              </w:rPr>
            </w:pPr>
            <w:r>
              <w:rPr>
                <w:rFonts w:ascii="Verdana" w:hAnsi="Verdana"/>
                <w:b/>
                <w:color w:val="FFFFFF"/>
                <w:sz w:val="18"/>
                <w:szCs w:val="18"/>
              </w:rPr>
              <w:t xml:space="preserve">Issuing </w:t>
            </w:r>
            <w:r w:rsidR="00A87409">
              <w:rPr>
                <w:rFonts w:ascii="Verdana" w:hAnsi="Verdana"/>
                <w:b/>
                <w:color w:val="FFFFFF"/>
                <w:sz w:val="18"/>
                <w:szCs w:val="18"/>
              </w:rPr>
              <w:t>Product</w:t>
            </w:r>
          </w:p>
        </w:tc>
        <w:tc>
          <w:tcPr>
            <w:tcW w:w="2126" w:type="dxa"/>
            <w:shd w:val="clear" w:color="auto" w:fill="4C4C4C"/>
            <w:vAlign w:val="center"/>
          </w:tcPr>
          <w:p w14:paraId="6E441194" w14:textId="5958C839" w:rsidR="00575220" w:rsidRPr="003B4F95" w:rsidRDefault="00575220" w:rsidP="00771D6F">
            <w:pPr>
              <w:spacing w:before="40" w:after="40" w:line="280" w:lineRule="atLeast"/>
              <w:jc w:val="right"/>
              <w:rPr>
                <w:rFonts w:ascii="Verdana" w:hAnsi="Verdana"/>
                <w:b/>
                <w:color w:val="FFFFFF"/>
                <w:sz w:val="18"/>
                <w:szCs w:val="18"/>
              </w:rPr>
            </w:pPr>
            <w:r>
              <w:rPr>
                <w:rFonts w:ascii="Verdana" w:hAnsi="Verdana"/>
                <w:b/>
                <w:color w:val="FFFFFF"/>
                <w:sz w:val="18"/>
                <w:szCs w:val="18"/>
              </w:rPr>
              <w:t>Capital Raised (R million)</w:t>
            </w:r>
          </w:p>
        </w:tc>
      </w:tr>
      <w:tr w:rsidR="00AE45D7" w:rsidRPr="00AB6CBE" w14:paraId="3D947CC4" w14:textId="77777777" w:rsidTr="006015AB">
        <w:tc>
          <w:tcPr>
            <w:tcW w:w="4961" w:type="dxa"/>
            <w:shd w:val="clear" w:color="auto" w:fill="auto"/>
          </w:tcPr>
          <w:p w14:paraId="2C6A203A" w14:textId="27BD8ACA" w:rsidR="00AE45D7" w:rsidRDefault="00A87409" w:rsidP="00771D6F">
            <w:pPr>
              <w:spacing w:before="40" w:after="40" w:line="280" w:lineRule="atLeast"/>
              <w:rPr>
                <w:rFonts w:ascii="Verdana" w:hAnsi="Verdana"/>
                <w:color w:val="000000"/>
                <w:sz w:val="18"/>
                <w:szCs w:val="18"/>
              </w:rPr>
            </w:pPr>
            <w:r>
              <w:rPr>
                <w:rFonts w:ascii="Verdana" w:hAnsi="Verdana"/>
                <w:color w:val="000000"/>
                <w:sz w:val="18"/>
                <w:szCs w:val="18"/>
              </w:rPr>
              <w:t>Satrix MSCI World ETF</w:t>
            </w:r>
          </w:p>
        </w:tc>
        <w:tc>
          <w:tcPr>
            <w:tcW w:w="2126" w:type="dxa"/>
            <w:vAlign w:val="center"/>
          </w:tcPr>
          <w:p w14:paraId="7E632BCE" w14:textId="21DB4115" w:rsidR="00AE45D7" w:rsidRDefault="00FA556D" w:rsidP="00771D6F">
            <w:pPr>
              <w:spacing w:before="40" w:after="40" w:line="280" w:lineRule="atLeast"/>
              <w:jc w:val="right"/>
              <w:rPr>
                <w:rFonts w:ascii="Verdana" w:hAnsi="Verdana"/>
                <w:color w:val="000000"/>
                <w:sz w:val="18"/>
                <w:szCs w:val="18"/>
              </w:rPr>
            </w:pPr>
            <w:r>
              <w:rPr>
                <w:rFonts w:ascii="Verdana" w:hAnsi="Verdana"/>
                <w:color w:val="000000"/>
                <w:sz w:val="18"/>
                <w:szCs w:val="18"/>
              </w:rPr>
              <w:t>1 007,8</w:t>
            </w:r>
          </w:p>
        </w:tc>
      </w:tr>
      <w:tr w:rsidR="00575220" w:rsidRPr="00AB6CBE" w14:paraId="2A870CDE" w14:textId="77777777" w:rsidTr="006015AB">
        <w:tc>
          <w:tcPr>
            <w:tcW w:w="4961" w:type="dxa"/>
            <w:shd w:val="clear" w:color="auto" w:fill="auto"/>
          </w:tcPr>
          <w:p w14:paraId="330C1FFD" w14:textId="44144DE6" w:rsidR="00575220" w:rsidRDefault="00A87409" w:rsidP="00771D6F">
            <w:pPr>
              <w:spacing w:before="40" w:after="40" w:line="280" w:lineRule="atLeast"/>
              <w:rPr>
                <w:rFonts w:ascii="Verdana" w:hAnsi="Verdana"/>
                <w:color w:val="000000"/>
                <w:sz w:val="18"/>
                <w:szCs w:val="18"/>
              </w:rPr>
            </w:pPr>
            <w:r>
              <w:rPr>
                <w:rFonts w:ascii="Verdana" w:hAnsi="Verdana"/>
                <w:color w:val="000000"/>
                <w:sz w:val="18"/>
                <w:szCs w:val="18"/>
              </w:rPr>
              <w:t>Satrix 40 ETF</w:t>
            </w:r>
          </w:p>
        </w:tc>
        <w:tc>
          <w:tcPr>
            <w:tcW w:w="2126" w:type="dxa"/>
            <w:vAlign w:val="center"/>
          </w:tcPr>
          <w:p w14:paraId="7333EFE5" w14:textId="55A1DE11" w:rsidR="00575220" w:rsidRDefault="008A3D62" w:rsidP="00771D6F">
            <w:pPr>
              <w:spacing w:before="40" w:after="40" w:line="280" w:lineRule="atLeast"/>
              <w:jc w:val="right"/>
              <w:rPr>
                <w:rFonts w:ascii="Verdana" w:hAnsi="Verdana"/>
                <w:color w:val="000000"/>
                <w:sz w:val="18"/>
                <w:szCs w:val="18"/>
              </w:rPr>
            </w:pPr>
            <w:r>
              <w:rPr>
                <w:rFonts w:ascii="Verdana" w:hAnsi="Verdana"/>
                <w:color w:val="000000"/>
                <w:sz w:val="18"/>
                <w:szCs w:val="18"/>
              </w:rPr>
              <w:t>751,3</w:t>
            </w:r>
          </w:p>
        </w:tc>
      </w:tr>
      <w:tr w:rsidR="00575220" w:rsidRPr="00AB6CBE" w14:paraId="34BCC300" w14:textId="77777777" w:rsidTr="006015AB">
        <w:tc>
          <w:tcPr>
            <w:tcW w:w="4961" w:type="dxa"/>
            <w:shd w:val="clear" w:color="auto" w:fill="auto"/>
          </w:tcPr>
          <w:p w14:paraId="08A06E8A" w14:textId="1534DAD2" w:rsidR="00575220" w:rsidRDefault="00AE03BE" w:rsidP="00771D6F">
            <w:pPr>
              <w:spacing w:before="40" w:after="40" w:line="280" w:lineRule="atLeast"/>
              <w:rPr>
                <w:rFonts w:ascii="Verdana" w:hAnsi="Verdana"/>
                <w:color w:val="000000"/>
                <w:sz w:val="18"/>
                <w:szCs w:val="18"/>
              </w:rPr>
            </w:pPr>
            <w:r>
              <w:rPr>
                <w:rFonts w:ascii="Verdana" w:hAnsi="Verdana"/>
                <w:color w:val="000000"/>
                <w:sz w:val="18"/>
                <w:szCs w:val="18"/>
              </w:rPr>
              <w:t>Sygnia Itrix MSCI Emerging Markets 50 ETF</w:t>
            </w:r>
          </w:p>
        </w:tc>
        <w:tc>
          <w:tcPr>
            <w:tcW w:w="2126" w:type="dxa"/>
            <w:vAlign w:val="center"/>
          </w:tcPr>
          <w:p w14:paraId="0DBD5D9B" w14:textId="6F5EDE66" w:rsidR="00575220" w:rsidRDefault="008A3D62" w:rsidP="00771D6F">
            <w:pPr>
              <w:spacing w:before="40" w:after="40" w:line="280" w:lineRule="atLeast"/>
              <w:jc w:val="right"/>
              <w:rPr>
                <w:rFonts w:ascii="Verdana" w:hAnsi="Verdana"/>
                <w:color w:val="000000"/>
                <w:sz w:val="18"/>
                <w:szCs w:val="18"/>
              </w:rPr>
            </w:pPr>
            <w:r>
              <w:rPr>
                <w:rFonts w:ascii="Verdana" w:hAnsi="Verdana"/>
                <w:color w:val="000000"/>
                <w:sz w:val="18"/>
                <w:szCs w:val="18"/>
              </w:rPr>
              <w:t>675,7</w:t>
            </w:r>
          </w:p>
        </w:tc>
      </w:tr>
      <w:tr w:rsidR="00E2008F" w:rsidRPr="00AB6CBE" w14:paraId="6D712E85" w14:textId="77777777" w:rsidTr="006015AB">
        <w:tc>
          <w:tcPr>
            <w:tcW w:w="4961" w:type="dxa"/>
            <w:shd w:val="clear" w:color="auto" w:fill="auto"/>
          </w:tcPr>
          <w:p w14:paraId="6A0611E6" w14:textId="3C68BDCB" w:rsidR="00E2008F" w:rsidRDefault="00E2008F" w:rsidP="00771D6F">
            <w:pPr>
              <w:spacing w:before="40" w:after="40" w:line="280" w:lineRule="atLeast"/>
              <w:rPr>
                <w:rFonts w:ascii="Verdana" w:hAnsi="Verdana"/>
                <w:color w:val="000000"/>
                <w:sz w:val="18"/>
                <w:szCs w:val="18"/>
              </w:rPr>
            </w:pPr>
            <w:r>
              <w:rPr>
                <w:rFonts w:ascii="Verdana" w:hAnsi="Verdana"/>
                <w:color w:val="000000"/>
                <w:sz w:val="18"/>
                <w:szCs w:val="18"/>
              </w:rPr>
              <w:t>Absa NewWave Silver ETN</w:t>
            </w:r>
          </w:p>
        </w:tc>
        <w:tc>
          <w:tcPr>
            <w:tcW w:w="2126" w:type="dxa"/>
            <w:vAlign w:val="center"/>
          </w:tcPr>
          <w:p w14:paraId="05E997CC" w14:textId="6DF28604" w:rsidR="00E2008F" w:rsidRDefault="008D743D" w:rsidP="00771D6F">
            <w:pPr>
              <w:spacing w:before="40" w:after="40" w:line="280" w:lineRule="atLeast"/>
              <w:jc w:val="right"/>
              <w:rPr>
                <w:rFonts w:ascii="Verdana" w:hAnsi="Verdana"/>
                <w:color w:val="000000"/>
                <w:sz w:val="18"/>
                <w:szCs w:val="18"/>
              </w:rPr>
            </w:pPr>
            <w:r>
              <w:rPr>
                <w:rFonts w:ascii="Verdana" w:hAnsi="Verdana"/>
                <w:color w:val="000000"/>
                <w:sz w:val="18"/>
                <w:szCs w:val="18"/>
              </w:rPr>
              <w:t>626,1</w:t>
            </w:r>
          </w:p>
        </w:tc>
      </w:tr>
      <w:tr w:rsidR="00575220" w:rsidRPr="00AB6CBE" w14:paraId="56DA63A1" w14:textId="77777777" w:rsidTr="006015AB">
        <w:tc>
          <w:tcPr>
            <w:tcW w:w="4961" w:type="dxa"/>
            <w:shd w:val="clear" w:color="auto" w:fill="auto"/>
          </w:tcPr>
          <w:p w14:paraId="1938B90E" w14:textId="33F51871" w:rsidR="00575220" w:rsidRDefault="00AE03BE" w:rsidP="00771D6F">
            <w:pPr>
              <w:spacing w:before="40" w:after="40" w:line="280" w:lineRule="atLeast"/>
              <w:rPr>
                <w:rFonts w:ascii="Verdana" w:hAnsi="Verdana"/>
                <w:color w:val="000000"/>
                <w:sz w:val="18"/>
                <w:szCs w:val="18"/>
              </w:rPr>
            </w:pPr>
            <w:r>
              <w:rPr>
                <w:rFonts w:ascii="Verdana" w:hAnsi="Verdana"/>
                <w:color w:val="000000"/>
                <w:sz w:val="18"/>
                <w:szCs w:val="18"/>
              </w:rPr>
              <w:t>Satrix RESI 10 ETF</w:t>
            </w:r>
          </w:p>
        </w:tc>
        <w:tc>
          <w:tcPr>
            <w:tcW w:w="2126" w:type="dxa"/>
            <w:vAlign w:val="center"/>
          </w:tcPr>
          <w:p w14:paraId="30200130" w14:textId="4FD6B2D2" w:rsidR="00575220" w:rsidRDefault="008D743D" w:rsidP="00771D6F">
            <w:pPr>
              <w:spacing w:before="40" w:after="40" w:line="280" w:lineRule="atLeast"/>
              <w:jc w:val="right"/>
              <w:rPr>
                <w:rFonts w:ascii="Verdana" w:hAnsi="Verdana"/>
                <w:color w:val="000000"/>
                <w:sz w:val="18"/>
                <w:szCs w:val="18"/>
              </w:rPr>
            </w:pPr>
            <w:r>
              <w:rPr>
                <w:rFonts w:ascii="Verdana" w:hAnsi="Verdana"/>
                <w:color w:val="000000"/>
                <w:sz w:val="18"/>
                <w:szCs w:val="18"/>
              </w:rPr>
              <w:t>542,1</w:t>
            </w:r>
          </w:p>
        </w:tc>
      </w:tr>
      <w:tr w:rsidR="00575220" w:rsidRPr="006015AB" w14:paraId="10504CE8" w14:textId="77777777" w:rsidTr="006015AB">
        <w:tc>
          <w:tcPr>
            <w:tcW w:w="4961" w:type="dxa"/>
            <w:shd w:val="clear" w:color="auto" w:fill="auto"/>
          </w:tcPr>
          <w:p w14:paraId="023840B3" w14:textId="07DF9837" w:rsidR="00575220" w:rsidRPr="006015AB" w:rsidRDefault="00AE03BE" w:rsidP="00771D6F">
            <w:pPr>
              <w:spacing w:before="40" w:after="40" w:line="280" w:lineRule="atLeast"/>
              <w:rPr>
                <w:rFonts w:ascii="Verdana" w:hAnsi="Verdana"/>
                <w:color w:val="000000"/>
                <w:sz w:val="18"/>
                <w:szCs w:val="18"/>
              </w:rPr>
            </w:pPr>
            <w:r>
              <w:rPr>
                <w:rFonts w:ascii="Verdana" w:hAnsi="Verdana"/>
                <w:color w:val="000000"/>
                <w:sz w:val="18"/>
                <w:szCs w:val="18"/>
              </w:rPr>
              <w:t>Old Mutual Global Equity ETN (UOMWPA)</w:t>
            </w:r>
          </w:p>
        </w:tc>
        <w:tc>
          <w:tcPr>
            <w:tcW w:w="2126" w:type="dxa"/>
            <w:vAlign w:val="center"/>
          </w:tcPr>
          <w:p w14:paraId="623B198E" w14:textId="6003A684" w:rsidR="00575220" w:rsidRPr="006015AB" w:rsidRDefault="008D743D" w:rsidP="00771D6F">
            <w:pPr>
              <w:spacing w:before="40" w:after="40" w:line="280" w:lineRule="atLeast"/>
              <w:jc w:val="right"/>
              <w:rPr>
                <w:rFonts w:ascii="Verdana" w:hAnsi="Verdana"/>
                <w:color w:val="000000"/>
                <w:sz w:val="18"/>
                <w:szCs w:val="18"/>
              </w:rPr>
            </w:pPr>
            <w:r>
              <w:rPr>
                <w:rFonts w:ascii="Verdana" w:hAnsi="Verdana"/>
                <w:color w:val="000000"/>
                <w:sz w:val="18"/>
                <w:szCs w:val="18"/>
              </w:rPr>
              <w:t>500,0</w:t>
            </w:r>
          </w:p>
        </w:tc>
      </w:tr>
      <w:tr w:rsidR="00575220" w:rsidRPr="006015AB" w14:paraId="47CE536E" w14:textId="77777777" w:rsidTr="006015AB">
        <w:tc>
          <w:tcPr>
            <w:tcW w:w="4961" w:type="dxa"/>
            <w:shd w:val="clear" w:color="auto" w:fill="auto"/>
          </w:tcPr>
          <w:p w14:paraId="5EF7A6A4" w14:textId="6A9C8103" w:rsidR="00575220" w:rsidRPr="006015AB" w:rsidRDefault="00AE03BE" w:rsidP="00771D6F">
            <w:pPr>
              <w:spacing w:before="40" w:after="40" w:line="280" w:lineRule="atLeast"/>
              <w:rPr>
                <w:rFonts w:ascii="Verdana" w:hAnsi="Verdana"/>
                <w:color w:val="000000"/>
                <w:sz w:val="18"/>
                <w:szCs w:val="18"/>
              </w:rPr>
            </w:pPr>
            <w:r>
              <w:rPr>
                <w:rFonts w:ascii="Verdana" w:hAnsi="Verdana"/>
                <w:color w:val="000000"/>
                <w:sz w:val="18"/>
                <w:szCs w:val="18"/>
              </w:rPr>
              <w:t>Satrix MSCI China ETF</w:t>
            </w:r>
          </w:p>
        </w:tc>
        <w:tc>
          <w:tcPr>
            <w:tcW w:w="2126" w:type="dxa"/>
            <w:vAlign w:val="center"/>
          </w:tcPr>
          <w:p w14:paraId="5DC0C83A" w14:textId="16E3B63D" w:rsidR="00575220" w:rsidRPr="006015AB" w:rsidRDefault="008D743D" w:rsidP="00771D6F">
            <w:pPr>
              <w:spacing w:before="40" w:after="40" w:line="280" w:lineRule="atLeast"/>
              <w:jc w:val="right"/>
              <w:rPr>
                <w:rFonts w:ascii="Verdana" w:hAnsi="Verdana"/>
                <w:color w:val="000000"/>
                <w:sz w:val="18"/>
                <w:szCs w:val="18"/>
              </w:rPr>
            </w:pPr>
            <w:r>
              <w:rPr>
                <w:rFonts w:ascii="Verdana" w:hAnsi="Verdana"/>
                <w:color w:val="000000"/>
                <w:sz w:val="18"/>
                <w:szCs w:val="18"/>
              </w:rPr>
              <w:t>494,5</w:t>
            </w:r>
          </w:p>
        </w:tc>
      </w:tr>
      <w:tr w:rsidR="00575220" w:rsidRPr="006015AB" w14:paraId="0538E706" w14:textId="77777777" w:rsidTr="006015AB">
        <w:tc>
          <w:tcPr>
            <w:tcW w:w="4961" w:type="dxa"/>
            <w:shd w:val="clear" w:color="auto" w:fill="auto"/>
          </w:tcPr>
          <w:p w14:paraId="4759389C" w14:textId="39117E20" w:rsidR="00575220" w:rsidRPr="00AE03BE" w:rsidRDefault="0065322B" w:rsidP="00771D6F">
            <w:pPr>
              <w:spacing w:before="40" w:after="40" w:line="280" w:lineRule="atLeast"/>
              <w:rPr>
                <w:rFonts w:ascii="Verdana" w:hAnsi="Verdana"/>
                <w:color w:val="000000"/>
                <w:sz w:val="18"/>
                <w:szCs w:val="18"/>
              </w:rPr>
            </w:pPr>
            <w:r>
              <w:rPr>
                <w:rFonts w:ascii="Verdana" w:hAnsi="Verdana"/>
                <w:color w:val="000000"/>
                <w:sz w:val="18"/>
                <w:szCs w:val="18"/>
              </w:rPr>
              <w:t>Sygnia Itrix MSCI World ETF</w:t>
            </w:r>
          </w:p>
        </w:tc>
        <w:tc>
          <w:tcPr>
            <w:tcW w:w="2126" w:type="dxa"/>
            <w:vAlign w:val="center"/>
          </w:tcPr>
          <w:p w14:paraId="44DD9F66" w14:textId="01A32037" w:rsidR="00575220" w:rsidRPr="00AE03BE" w:rsidRDefault="00532E7F" w:rsidP="00771D6F">
            <w:pPr>
              <w:spacing w:before="40" w:after="40" w:line="280" w:lineRule="atLeast"/>
              <w:jc w:val="right"/>
              <w:rPr>
                <w:rFonts w:ascii="Verdana" w:hAnsi="Verdana"/>
                <w:color w:val="000000"/>
                <w:sz w:val="18"/>
                <w:szCs w:val="18"/>
              </w:rPr>
            </w:pPr>
            <w:r>
              <w:rPr>
                <w:rFonts w:ascii="Verdana" w:hAnsi="Verdana"/>
                <w:color w:val="000000"/>
                <w:sz w:val="18"/>
                <w:szCs w:val="18"/>
              </w:rPr>
              <w:t>425,2</w:t>
            </w:r>
          </w:p>
        </w:tc>
      </w:tr>
      <w:tr w:rsidR="00575220" w:rsidRPr="006015AB" w14:paraId="7AE90974" w14:textId="77777777" w:rsidTr="006015AB">
        <w:tc>
          <w:tcPr>
            <w:tcW w:w="4961" w:type="dxa"/>
            <w:shd w:val="clear" w:color="auto" w:fill="auto"/>
          </w:tcPr>
          <w:p w14:paraId="4737B4A9" w14:textId="617B520E" w:rsidR="00575220" w:rsidRPr="00AE03BE" w:rsidRDefault="0065322B" w:rsidP="00771D6F">
            <w:pPr>
              <w:spacing w:before="40" w:after="40" w:line="280" w:lineRule="atLeast"/>
              <w:rPr>
                <w:rFonts w:ascii="Verdana" w:hAnsi="Verdana"/>
                <w:color w:val="000000"/>
                <w:sz w:val="18"/>
                <w:szCs w:val="18"/>
              </w:rPr>
            </w:pPr>
            <w:r>
              <w:rPr>
                <w:rFonts w:ascii="Verdana" w:hAnsi="Verdana"/>
                <w:color w:val="000000"/>
                <w:sz w:val="18"/>
                <w:szCs w:val="18"/>
              </w:rPr>
              <w:t>Sygnia Itrix 4</w:t>
            </w:r>
            <w:r w:rsidRPr="0065322B">
              <w:rPr>
                <w:rFonts w:ascii="Verdana" w:hAnsi="Verdana"/>
                <w:color w:val="000000"/>
                <w:sz w:val="18"/>
                <w:szCs w:val="18"/>
                <w:vertAlign w:val="superscript"/>
              </w:rPr>
              <w:t>th</w:t>
            </w:r>
            <w:r>
              <w:rPr>
                <w:rFonts w:ascii="Verdana" w:hAnsi="Verdana"/>
                <w:color w:val="000000"/>
                <w:sz w:val="18"/>
                <w:szCs w:val="18"/>
              </w:rPr>
              <w:t xml:space="preserve"> Industrial Revolution ETF</w:t>
            </w:r>
          </w:p>
        </w:tc>
        <w:tc>
          <w:tcPr>
            <w:tcW w:w="2126" w:type="dxa"/>
            <w:vAlign w:val="center"/>
          </w:tcPr>
          <w:p w14:paraId="3F1A9C40" w14:textId="5B46010F" w:rsidR="00575220" w:rsidRPr="00AE03BE" w:rsidRDefault="00532E7F" w:rsidP="00771D6F">
            <w:pPr>
              <w:spacing w:before="40" w:after="40" w:line="280" w:lineRule="atLeast"/>
              <w:jc w:val="right"/>
              <w:rPr>
                <w:rFonts w:ascii="Verdana" w:hAnsi="Verdana"/>
                <w:color w:val="000000"/>
                <w:sz w:val="18"/>
                <w:szCs w:val="18"/>
              </w:rPr>
            </w:pPr>
            <w:r>
              <w:rPr>
                <w:rFonts w:ascii="Verdana" w:hAnsi="Verdana"/>
                <w:color w:val="000000"/>
                <w:sz w:val="18"/>
                <w:szCs w:val="18"/>
              </w:rPr>
              <w:t>420,6</w:t>
            </w:r>
          </w:p>
        </w:tc>
      </w:tr>
      <w:tr w:rsidR="00575220" w:rsidRPr="00FA556D" w14:paraId="69C2292D" w14:textId="77777777" w:rsidTr="006015AB">
        <w:tc>
          <w:tcPr>
            <w:tcW w:w="4961" w:type="dxa"/>
            <w:shd w:val="clear" w:color="auto" w:fill="auto"/>
          </w:tcPr>
          <w:p w14:paraId="64A9024E" w14:textId="79EEE5D9" w:rsidR="00575220" w:rsidRPr="00FA556D" w:rsidRDefault="00FA556D" w:rsidP="00771D6F">
            <w:pPr>
              <w:spacing w:before="40" w:after="40" w:line="280" w:lineRule="atLeast"/>
              <w:rPr>
                <w:rFonts w:ascii="Verdana" w:hAnsi="Verdana"/>
                <w:color w:val="000000"/>
                <w:sz w:val="18"/>
                <w:szCs w:val="18"/>
              </w:rPr>
            </w:pPr>
            <w:r w:rsidRPr="00FA556D">
              <w:rPr>
                <w:rFonts w:ascii="Verdana" w:hAnsi="Verdana"/>
                <w:color w:val="000000"/>
                <w:sz w:val="18"/>
                <w:szCs w:val="18"/>
              </w:rPr>
              <w:t>Sygnia Itrix S&amp;P 500 ETF</w:t>
            </w:r>
          </w:p>
        </w:tc>
        <w:tc>
          <w:tcPr>
            <w:tcW w:w="2126" w:type="dxa"/>
            <w:vAlign w:val="center"/>
          </w:tcPr>
          <w:p w14:paraId="42CA6644" w14:textId="5B47396E" w:rsidR="00575220" w:rsidRPr="00FA556D" w:rsidRDefault="00532E7F" w:rsidP="00771D6F">
            <w:pPr>
              <w:spacing w:before="40" w:after="40" w:line="280" w:lineRule="atLeast"/>
              <w:jc w:val="right"/>
              <w:rPr>
                <w:rFonts w:ascii="Verdana" w:hAnsi="Verdana"/>
                <w:color w:val="000000"/>
                <w:sz w:val="18"/>
                <w:szCs w:val="18"/>
              </w:rPr>
            </w:pPr>
            <w:r>
              <w:rPr>
                <w:rFonts w:ascii="Verdana" w:hAnsi="Verdana"/>
                <w:color w:val="000000"/>
                <w:sz w:val="18"/>
                <w:szCs w:val="18"/>
              </w:rPr>
              <w:t>401,1</w:t>
            </w:r>
          </w:p>
        </w:tc>
      </w:tr>
      <w:tr w:rsidR="00575220" w:rsidRPr="00FA556D" w14:paraId="35E68D46" w14:textId="77777777" w:rsidTr="006015AB">
        <w:tc>
          <w:tcPr>
            <w:tcW w:w="4961" w:type="dxa"/>
            <w:shd w:val="clear" w:color="auto" w:fill="auto"/>
          </w:tcPr>
          <w:p w14:paraId="6ECC8133" w14:textId="5E5A0E4B" w:rsidR="00575220" w:rsidRPr="00FA556D" w:rsidRDefault="00FA556D" w:rsidP="00771D6F">
            <w:pPr>
              <w:spacing w:before="40" w:after="40" w:line="280" w:lineRule="atLeast"/>
              <w:rPr>
                <w:rFonts w:ascii="Verdana" w:hAnsi="Verdana"/>
                <w:color w:val="000000"/>
                <w:sz w:val="18"/>
                <w:szCs w:val="18"/>
              </w:rPr>
            </w:pPr>
            <w:r>
              <w:rPr>
                <w:rFonts w:ascii="Verdana" w:hAnsi="Verdana"/>
                <w:color w:val="000000"/>
                <w:sz w:val="18"/>
                <w:szCs w:val="18"/>
              </w:rPr>
              <w:t>Satrix Emerging Markets ETF</w:t>
            </w:r>
          </w:p>
        </w:tc>
        <w:tc>
          <w:tcPr>
            <w:tcW w:w="2126" w:type="dxa"/>
            <w:vAlign w:val="center"/>
          </w:tcPr>
          <w:p w14:paraId="368560FD" w14:textId="20933717" w:rsidR="00575220" w:rsidRPr="00FA556D" w:rsidRDefault="00532E7F" w:rsidP="00771D6F">
            <w:pPr>
              <w:spacing w:before="40" w:after="40" w:line="280" w:lineRule="atLeast"/>
              <w:jc w:val="right"/>
              <w:rPr>
                <w:rFonts w:ascii="Verdana" w:hAnsi="Verdana"/>
                <w:color w:val="000000"/>
                <w:sz w:val="18"/>
                <w:szCs w:val="18"/>
              </w:rPr>
            </w:pPr>
            <w:r>
              <w:rPr>
                <w:rFonts w:ascii="Verdana" w:hAnsi="Verdana"/>
                <w:color w:val="000000"/>
                <w:sz w:val="18"/>
                <w:szCs w:val="18"/>
              </w:rPr>
              <w:t>396,0</w:t>
            </w:r>
          </w:p>
        </w:tc>
      </w:tr>
      <w:tr w:rsidR="00A547A7" w:rsidRPr="006015AB" w14:paraId="444EC8A9" w14:textId="77777777" w:rsidTr="006015AB">
        <w:trPr>
          <w:trHeight w:val="217"/>
        </w:trPr>
        <w:tc>
          <w:tcPr>
            <w:tcW w:w="7087" w:type="dxa"/>
            <w:gridSpan w:val="2"/>
            <w:shd w:val="clear" w:color="auto" w:fill="auto"/>
            <w:vAlign w:val="center"/>
          </w:tcPr>
          <w:p w14:paraId="3DF6E8D3" w14:textId="00CDD6E4" w:rsidR="00A547A7" w:rsidRPr="006015AB" w:rsidRDefault="00A547A7" w:rsidP="00A547A7">
            <w:pPr>
              <w:spacing w:after="40" w:line="280" w:lineRule="atLeast"/>
              <w:rPr>
                <w:rFonts w:ascii="Verdana" w:hAnsi="Verdana"/>
                <w:i/>
                <w:color w:val="000000"/>
                <w:sz w:val="14"/>
                <w:szCs w:val="14"/>
              </w:rPr>
            </w:pPr>
            <w:r w:rsidRPr="006015AB">
              <w:rPr>
                <w:rFonts w:ascii="Verdana" w:hAnsi="Verdana"/>
                <w:i/>
                <w:color w:val="000000"/>
                <w:sz w:val="14"/>
                <w:szCs w:val="14"/>
              </w:rPr>
              <w:t xml:space="preserve">Source: etfSA.co.za </w:t>
            </w:r>
            <w:r w:rsidR="006015AB" w:rsidRPr="006015AB">
              <w:rPr>
                <w:rFonts w:ascii="Verdana" w:hAnsi="Verdana"/>
                <w:i/>
                <w:color w:val="000000"/>
                <w:sz w:val="14"/>
                <w:szCs w:val="14"/>
              </w:rPr>
              <w:t>Quarterly S</w:t>
            </w:r>
            <w:r w:rsidR="006015AB">
              <w:rPr>
                <w:rFonts w:ascii="Verdana" w:hAnsi="Verdana"/>
                <w:i/>
                <w:color w:val="000000"/>
                <w:sz w:val="14"/>
                <w:szCs w:val="14"/>
              </w:rPr>
              <w:t>ecurities in Issue and New Capital Raised Survey (</w:t>
            </w:r>
            <w:r w:rsidR="00A87409">
              <w:rPr>
                <w:rFonts w:ascii="Verdana" w:hAnsi="Verdana"/>
                <w:i/>
                <w:color w:val="000000"/>
                <w:sz w:val="14"/>
                <w:szCs w:val="14"/>
              </w:rPr>
              <w:t>June</w:t>
            </w:r>
            <w:r w:rsidR="006015AB">
              <w:rPr>
                <w:rFonts w:ascii="Verdana" w:hAnsi="Verdana"/>
                <w:i/>
                <w:color w:val="000000"/>
                <w:sz w:val="14"/>
                <w:szCs w:val="14"/>
              </w:rPr>
              <w:t xml:space="preserve"> 2021).</w:t>
            </w:r>
          </w:p>
        </w:tc>
      </w:tr>
    </w:tbl>
    <w:p w14:paraId="47595BC9" w14:textId="2CD211CD" w:rsidR="00A547A7" w:rsidRPr="006C5667" w:rsidRDefault="00A547A7" w:rsidP="00771D6F">
      <w:pPr>
        <w:spacing w:after="0" w:line="320" w:lineRule="atLeast"/>
        <w:rPr>
          <w:rFonts w:ascii="Verdana" w:hAnsi="Verdana"/>
          <w:color w:val="000000"/>
          <w:sz w:val="21"/>
          <w:szCs w:val="21"/>
        </w:rPr>
      </w:pPr>
    </w:p>
    <w:p w14:paraId="732BE1C2" w14:textId="7696299F" w:rsidR="006015AB" w:rsidRDefault="006C5667" w:rsidP="00771D6F">
      <w:pPr>
        <w:spacing w:after="0" w:line="320" w:lineRule="atLeast"/>
        <w:rPr>
          <w:rFonts w:ascii="Verdana" w:hAnsi="Verdana"/>
          <w:color w:val="000000"/>
          <w:sz w:val="21"/>
          <w:szCs w:val="21"/>
        </w:rPr>
      </w:pPr>
      <w:r w:rsidRPr="006C5667">
        <w:rPr>
          <w:rFonts w:ascii="Verdana" w:hAnsi="Verdana"/>
          <w:color w:val="000000"/>
          <w:sz w:val="21"/>
          <w:szCs w:val="21"/>
        </w:rPr>
        <w:t>Of interest is that, with the exception of the Satrix</w:t>
      </w:r>
      <w:r>
        <w:rPr>
          <w:rFonts w:ascii="Verdana" w:hAnsi="Verdana"/>
          <w:color w:val="000000"/>
          <w:sz w:val="21"/>
          <w:szCs w:val="21"/>
        </w:rPr>
        <w:t xml:space="preserve"> 40 and Satrix RESI 10 ETFs, which track local market indices, the </w:t>
      </w:r>
      <w:r w:rsidR="003453A7">
        <w:rPr>
          <w:rFonts w:ascii="Verdana" w:hAnsi="Verdana"/>
          <w:color w:val="000000"/>
          <w:sz w:val="21"/>
          <w:szCs w:val="21"/>
        </w:rPr>
        <w:t>larg</w:t>
      </w:r>
      <w:r>
        <w:rPr>
          <w:rFonts w:ascii="Verdana" w:hAnsi="Verdana"/>
          <w:color w:val="000000"/>
          <w:sz w:val="21"/>
          <w:szCs w:val="21"/>
        </w:rPr>
        <w:t>est capital issuers over this period have been foreign referenced ETFs and ETNs.  Given the underperformance of such offshore ETPs over the past year or more, relative to local ETPs, this demand for foreign</w:t>
      </w:r>
      <w:r w:rsidR="009928D9">
        <w:rPr>
          <w:rFonts w:ascii="Verdana" w:hAnsi="Verdana"/>
          <w:color w:val="000000"/>
          <w:sz w:val="21"/>
          <w:szCs w:val="21"/>
        </w:rPr>
        <w:t xml:space="preserve"> referenced index tracking products can probably be attributed to </w:t>
      </w:r>
      <w:r w:rsidR="00054445">
        <w:rPr>
          <w:rFonts w:ascii="Verdana" w:hAnsi="Verdana"/>
          <w:color w:val="000000"/>
          <w:sz w:val="21"/>
          <w:szCs w:val="21"/>
        </w:rPr>
        <w:t>:</w:t>
      </w:r>
    </w:p>
    <w:p w14:paraId="100858B4" w14:textId="2B3FA086" w:rsidR="00054445" w:rsidRDefault="00054445" w:rsidP="00771D6F">
      <w:pPr>
        <w:spacing w:after="0" w:line="320" w:lineRule="atLeast"/>
        <w:rPr>
          <w:rFonts w:ascii="Verdana" w:hAnsi="Verdana"/>
          <w:color w:val="000000"/>
          <w:sz w:val="21"/>
          <w:szCs w:val="21"/>
        </w:rPr>
      </w:pPr>
    </w:p>
    <w:p w14:paraId="42FDF1D2" w14:textId="7D7E5888" w:rsidR="00054445" w:rsidRDefault="00054445" w:rsidP="00054445">
      <w:pPr>
        <w:pStyle w:val="ListParagraph"/>
        <w:numPr>
          <w:ilvl w:val="0"/>
          <w:numId w:val="19"/>
        </w:numPr>
        <w:spacing w:after="0" w:line="320" w:lineRule="atLeast"/>
        <w:rPr>
          <w:rFonts w:ascii="Verdana" w:hAnsi="Verdana"/>
          <w:color w:val="000000"/>
          <w:sz w:val="21"/>
          <w:szCs w:val="21"/>
        </w:rPr>
      </w:pPr>
      <w:r>
        <w:rPr>
          <w:rFonts w:ascii="Verdana" w:hAnsi="Verdana"/>
          <w:color w:val="000000"/>
          <w:sz w:val="21"/>
          <w:szCs w:val="21"/>
        </w:rPr>
        <w:t>General belief amongst the investment public that offshore assets are sa</w:t>
      </w:r>
      <w:r w:rsidR="002A6D67">
        <w:rPr>
          <w:rFonts w:ascii="Verdana" w:hAnsi="Verdana"/>
          <w:color w:val="000000"/>
          <w:sz w:val="21"/>
          <w:szCs w:val="21"/>
        </w:rPr>
        <w:t>fer or offer better long-term prospects</w:t>
      </w:r>
      <w:r w:rsidR="00A668A9">
        <w:rPr>
          <w:rFonts w:ascii="Verdana" w:hAnsi="Verdana"/>
          <w:color w:val="000000"/>
          <w:sz w:val="21"/>
          <w:szCs w:val="21"/>
        </w:rPr>
        <w:t xml:space="preserve"> than local financial assets</w:t>
      </w:r>
      <w:r w:rsidR="002A6D67">
        <w:rPr>
          <w:rFonts w:ascii="Verdana" w:hAnsi="Verdana"/>
          <w:color w:val="000000"/>
          <w:sz w:val="21"/>
          <w:szCs w:val="21"/>
        </w:rPr>
        <w:t xml:space="preserve">. </w:t>
      </w:r>
    </w:p>
    <w:p w14:paraId="1A86FF47" w14:textId="4420A020" w:rsidR="002A6D67" w:rsidRDefault="002A6D67" w:rsidP="00054445">
      <w:pPr>
        <w:pStyle w:val="ListParagraph"/>
        <w:numPr>
          <w:ilvl w:val="0"/>
          <w:numId w:val="19"/>
        </w:numPr>
        <w:spacing w:after="0" w:line="320" w:lineRule="atLeast"/>
        <w:rPr>
          <w:rFonts w:ascii="Verdana" w:hAnsi="Verdana"/>
          <w:color w:val="000000"/>
          <w:sz w:val="21"/>
          <w:szCs w:val="21"/>
        </w:rPr>
      </w:pPr>
      <w:r>
        <w:rPr>
          <w:rFonts w:ascii="Verdana" w:hAnsi="Verdana"/>
          <w:color w:val="000000"/>
          <w:sz w:val="21"/>
          <w:szCs w:val="21"/>
        </w:rPr>
        <w:lastRenderedPageBreak/>
        <w:t xml:space="preserve">Strongly held views that the rand exchange rate will depreciate over time, so that investors can live with the </w:t>
      </w:r>
      <w:r w:rsidR="00FC5593">
        <w:rPr>
          <w:rFonts w:ascii="Verdana" w:hAnsi="Verdana"/>
          <w:color w:val="000000"/>
          <w:sz w:val="21"/>
          <w:szCs w:val="21"/>
        </w:rPr>
        <w:t>short-term</w:t>
      </w:r>
      <w:r w:rsidR="00080314">
        <w:rPr>
          <w:rFonts w:ascii="Verdana" w:hAnsi="Verdana"/>
          <w:color w:val="000000"/>
          <w:sz w:val="21"/>
          <w:szCs w:val="21"/>
        </w:rPr>
        <w:t xml:space="preserve"> </w:t>
      </w:r>
      <w:r w:rsidR="00A85809">
        <w:rPr>
          <w:rFonts w:ascii="Verdana" w:hAnsi="Verdana"/>
          <w:color w:val="000000"/>
          <w:sz w:val="21"/>
          <w:szCs w:val="21"/>
        </w:rPr>
        <w:t xml:space="preserve">volatility that exposure to </w:t>
      </w:r>
      <w:r w:rsidR="005447D2">
        <w:rPr>
          <w:rFonts w:ascii="Verdana" w:hAnsi="Verdana"/>
          <w:color w:val="000000"/>
          <w:sz w:val="21"/>
          <w:szCs w:val="21"/>
        </w:rPr>
        <w:t xml:space="preserve">rand denominated foreign assets provides. </w:t>
      </w:r>
    </w:p>
    <w:p w14:paraId="27F5BFF5" w14:textId="77777777" w:rsidR="005447D2" w:rsidRPr="005447D2" w:rsidRDefault="005447D2" w:rsidP="005447D2">
      <w:pPr>
        <w:pStyle w:val="ListParagraph"/>
        <w:rPr>
          <w:rFonts w:ascii="Verdana" w:hAnsi="Verdana"/>
          <w:color w:val="000000"/>
          <w:sz w:val="21"/>
          <w:szCs w:val="21"/>
        </w:rPr>
      </w:pPr>
    </w:p>
    <w:p w14:paraId="2BF66E64" w14:textId="629CF759" w:rsidR="005447D2" w:rsidRDefault="005447D2" w:rsidP="00054445">
      <w:pPr>
        <w:pStyle w:val="ListParagraph"/>
        <w:numPr>
          <w:ilvl w:val="0"/>
          <w:numId w:val="19"/>
        </w:numPr>
        <w:spacing w:after="0" w:line="320" w:lineRule="atLeast"/>
        <w:rPr>
          <w:rFonts w:ascii="Verdana" w:hAnsi="Verdana"/>
          <w:color w:val="000000"/>
          <w:sz w:val="21"/>
          <w:szCs w:val="21"/>
        </w:rPr>
      </w:pPr>
      <w:r>
        <w:rPr>
          <w:rFonts w:ascii="Verdana" w:hAnsi="Verdana"/>
          <w:color w:val="000000"/>
          <w:sz w:val="21"/>
          <w:szCs w:val="21"/>
        </w:rPr>
        <w:t xml:space="preserve">The </w:t>
      </w:r>
      <w:r w:rsidR="00080314">
        <w:rPr>
          <w:rFonts w:ascii="Verdana" w:hAnsi="Verdana"/>
          <w:color w:val="000000"/>
          <w:sz w:val="21"/>
          <w:szCs w:val="21"/>
        </w:rPr>
        <w:t xml:space="preserve">current </w:t>
      </w:r>
      <w:r>
        <w:rPr>
          <w:rFonts w:ascii="Verdana" w:hAnsi="Verdana"/>
          <w:color w:val="000000"/>
          <w:sz w:val="21"/>
          <w:szCs w:val="21"/>
        </w:rPr>
        <w:t>relativel</w:t>
      </w:r>
      <w:r w:rsidR="00222E4A">
        <w:rPr>
          <w:rFonts w:ascii="Verdana" w:hAnsi="Verdana"/>
          <w:color w:val="000000"/>
          <w:sz w:val="21"/>
          <w:szCs w:val="21"/>
        </w:rPr>
        <w:t xml:space="preserve">y firm rand makes foreign assets attractive, as they are cheaper in rand terms. </w:t>
      </w:r>
    </w:p>
    <w:p w14:paraId="4A42FB1C" w14:textId="77777777" w:rsidR="00222E4A" w:rsidRPr="00222E4A" w:rsidRDefault="00222E4A" w:rsidP="00222E4A">
      <w:pPr>
        <w:pStyle w:val="ListParagraph"/>
        <w:rPr>
          <w:rFonts w:ascii="Verdana" w:hAnsi="Verdana"/>
          <w:color w:val="000000"/>
          <w:sz w:val="21"/>
          <w:szCs w:val="21"/>
        </w:rPr>
      </w:pPr>
    </w:p>
    <w:p w14:paraId="5DBB9112" w14:textId="784DF82F" w:rsidR="004B0423" w:rsidRDefault="00222E4A" w:rsidP="0051214E">
      <w:pPr>
        <w:pStyle w:val="ListParagraph"/>
        <w:numPr>
          <w:ilvl w:val="0"/>
          <w:numId w:val="19"/>
        </w:numPr>
        <w:spacing w:after="0" w:line="320" w:lineRule="atLeast"/>
        <w:rPr>
          <w:rFonts w:ascii="Verdana" w:hAnsi="Verdana"/>
          <w:color w:val="000000"/>
          <w:sz w:val="21"/>
          <w:szCs w:val="21"/>
        </w:rPr>
      </w:pPr>
      <w:r w:rsidRPr="004B0423">
        <w:rPr>
          <w:rFonts w:ascii="Verdana" w:hAnsi="Verdana"/>
          <w:color w:val="000000"/>
          <w:sz w:val="21"/>
          <w:szCs w:val="21"/>
        </w:rPr>
        <w:t xml:space="preserve">The growing awareness that buying foreign referenced assets on the JSE through inward listed ETFs and ETNs is not only cost effective, but also </w:t>
      </w:r>
      <w:r w:rsidR="00FD2AB9">
        <w:rPr>
          <w:rFonts w:ascii="Verdana" w:hAnsi="Verdana"/>
          <w:color w:val="000000"/>
          <w:sz w:val="21"/>
          <w:szCs w:val="21"/>
        </w:rPr>
        <w:t>deals with</w:t>
      </w:r>
      <w:r w:rsidR="00B53CF2" w:rsidRPr="004B0423">
        <w:rPr>
          <w:rFonts w:ascii="Verdana" w:hAnsi="Verdana"/>
          <w:color w:val="000000"/>
          <w:sz w:val="21"/>
          <w:szCs w:val="21"/>
        </w:rPr>
        <w:t xml:space="preserve"> exchange controls and </w:t>
      </w:r>
      <w:r w:rsidR="00FD2AB9">
        <w:rPr>
          <w:rFonts w:ascii="Verdana" w:hAnsi="Verdana"/>
          <w:color w:val="000000"/>
          <w:sz w:val="21"/>
          <w:szCs w:val="21"/>
        </w:rPr>
        <w:t xml:space="preserve">forex </w:t>
      </w:r>
      <w:r w:rsidR="004B0423" w:rsidRPr="004B0423">
        <w:rPr>
          <w:rFonts w:ascii="Verdana" w:hAnsi="Verdana"/>
          <w:color w:val="000000"/>
          <w:sz w:val="21"/>
          <w:szCs w:val="21"/>
        </w:rPr>
        <w:t xml:space="preserve">costs very efficiently. </w:t>
      </w:r>
    </w:p>
    <w:p w14:paraId="7FB957CC" w14:textId="77777777" w:rsidR="004B0423" w:rsidRPr="004B0423" w:rsidRDefault="004B0423" w:rsidP="004B0423">
      <w:pPr>
        <w:pStyle w:val="ListParagraph"/>
        <w:rPr>
          <w:rFonts w:ascii="Verdana" w:hAnsi="Verdana"/>
          <w:color w:val="000000"/>
          <w:sz w:val="21"/>
          <w:szCs w:val="21"/>
        </w:rPr>
      </w:pPr>
    </w:p>
    <w:p w14:paraId="055C5561" w14:textId="5A35755B" w:rsidR="003F5A9C" w:rsidRPr="007A7050" w:rsidRDefault="003F5A9C" w:rsidP="00A547A7">
      <w:pPr>
        <w:spacing w:after="120" w:line="320" w:lineRule="atLeast"/>
        <w:rPr>
          <w:rFonts w:ascii="Verdana" w:hAnsi="Verdana"/>
          <w:b/>
          <w:bCs/>
          <w:color w:val="C00000"/>
        </w:rPr>
      </w:pPr>
      <w:r w:rsidRPr="007A7050">
        <w:rPr>
          <w:rFonts w:ascii="Verdana" w:hAnsi="Verdana"/>
          <w:b/>
          <w:bCs/>
          <w:color w:val="C00000"/>
        </w:rPr>
        <w:t>Snapshot of the SA ETP Industry as at 3</w:t>
      </w:r>
      <w:r w:rsidR="004B0423">
        <w:rPr>
          <w:rFonts w:ascii="Verdana" w:hAnsi="Verdana"/>
          <w:b/>
          <w:bCs/>
          <w:color w:val="C00000"/>
        </w:rPr>
        <w:t>0</w:t>
      </w:r>
      <w:r w:rsidRPr="007A7050">
        <w:rPr>
          <w:rFonts w:ascii="Verdana" w:hAnsi="Verdana"/>
          <w:b/>
          <w:bCs/>
          <w:color w:val="C00000"/>
        </w:rPr>
        <w:t xml:space="preserve"> </w:t>
      </w:r>
      <w:r w:rsidR="004B0423">
        <w:rPr>
          <w:rFonts w:ascii="Verdana" w:hAnsi="Verdana"/>
          <w:b/>
          <w:bCs/>
          <w:color w:val="C00000"/>
        </w:rPr>
        <w:t>June</w:t>
      </w:r>
      <w:r w:rsidRPr="007A7050">
        <w:rPr>
          <w:rFonts w:ascii="Verdana" w:hAnsi="Verdana"/>
          <w:b/>
          <w:bCs/>
          <w:color w:val="C00000"/>
        </w:rPr>
        <w:t xml:space="preserve"> 20</w:t>
      </w:r>
      <w:r>
        <w:rPr>
          <w:rFonts w:ascii="Verdana" w:hAnsi="Verdana"/>
          <w:b/>
          <w:bCs/>
          <w:color w:val="C00000"/>
        </w:rPr>
        <w:t>2</w:t>
      </w:r>
      <w:r w:rsidR="006015AB">
        <w:rPr>
          <w:rFonts w:ascii="Verdana" w:hAnsi="Verdana"/>
          <w:b/>
          <w:bCs/>
          <w:color w:val="C00000"/>
        </w:rPr>
        <w:t>1</w:t>
      </w:r>
    </w:p>
    <w:p w14:paraId="7AF34A1E" w14:textId="77777777" w:rsidR="006015AB" w:rsidRPr="00340ED3" w:rsidRDefault="006015AB" w:rsidP="006015AB">
      <w:pPr>
        <w:spacing w:after="0" w:line="360" w:lineRule="atLeast"/>
        <w:rPr>
          <w:rFonts w:ascii="Verdana" w:hAnsi="Verdana"/>
          <w:b/>
          <w:color w:val="000000"/>
          <w:sz w:val="21"/>
          <w:szCs w:val="21"/>
        </w:rPr>
      </w:pPr>
      <w:r>
        <w:rPr>
          <w:rFonts w:ascii="Verdana" w:hAnsi="Verdana"/>
          <w:b/>
          <w:color w:val="000000"/>
          <w:sz w:val="21"/>
          <w:szCs w:val="21"/>
        </w:rPr>
        <w:t>Table B</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6015AB" w:rsidRPr="00AB6CBE" w14:paraId="1D20FF11" w14:textId="77777777" w:rsidTr="001C1A83">
        <w:tc>
          <w:tcPr>
            <w:tcW w:w="9214" w:type="dxa"/>
            <w:gridSpan w:val="8"/>
            <w:shd w:val="clear" w:color="auto" w:fill="C00000"/>
            <w:vAlign w:val="center"/>
          </w:tcPr>
          <w:p w14:paraId="626F61D9" w14:textId="77777777"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6609B2E6" w14:textId="4CF41686"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Pr>
                <w:rFonts w:ascii="Verdana" w:hAnsi="Verdana"/>
                <w:b/>
                <w:color w:val="FFFFFF"/>
                <w:sz w:val="18"/>
                <w:szCs w:val="18"/>
              </w:rPr>
              <w:t>3</w:t>
            </w:r>
            <w:r w:rsidR="004B0423">
              <w:rPr>
                <w:rFonts w:ascii="Verdana" w:hAnsi="Verdana"/>
                <w:b/>
                <w:color w:val="FFFFFF"/>
                <w:sz w:val="18"/>
                <w:szCs w:val="18"/>
              </w:rPr>
              <w:t>0</w:t>
            </w:r>
            <w:r>
              <w:rPr>
                <w:rFonts w:ascii="Verdana" w:hAnsi="Verdana"/>
                <w:b/>
                <w:color w:val="FFFFFF"/>
                <w:sz w:val="18"/>
                <w:szCs w:val="18"/>
              </w:rPr>
              <w:t xml:space="preserve"> </w:t>
            </w:r>
            <w:r w:rsidR="004B0423">
              <w:rPr>
                <w:rFonts w:ascii="Verdana" w:hAnsi="Verdana"/>
                <w:b/>
                <w:color w:val="FFFFFF"/>
                <w:sz w:val="18"/>
                <w:szCs w:val="18"/>
              </w:rPr>
              <w:t>June</w:t>
            </w:r>
            <w:r w:rsidRPr="003B4F95">
              <w:rPr>
                <w:rFonts w:ascii="Verdana" w:hAnsi="Verdana"/>
                <w:b/>
                <w:color w:val="FFFFFF"/>
                <w:sz w:val="18"/>
                <w:szCs w:val="18"/>
              </w:rPr>
              <w:t xml:space="preserve"> 20</w:t>
            </w:r>
            <w:r>
              <w:rPr>
                <w:rFonts w:ascii="Verdana" w:hAnsi="Verdana"/>
                <w:b/>
                <w:color w:val="FFFFFF"/>
                <w:sz w:val="18"/>
                <w:szCs w:val="18"/>
              </w:rPr>
              <w:t>21</w:t>
            </w:r>
            <w:r w:rsidRPr="003B4F95">
              <w:rPr>
                <w:rFonts w:ascii="Verdana" w:hAnsi="Verdana"/>
                <w:b/>
                <w:color w:val="FFFFFF"/>
                <w:sz w:val="18"/>
                <w:szCs w:val="18"/>
              </w:rPr>
              <w:t>)</w:t>
            </w:r>
          </w:p>
        </w:tc>
      </w:tr>
      <w:tr w:rsidR="006015AB" w:rsidRPr="00AB6CBE" w14:paraId="76BF6CAD" w14:textId="77777777" w:rsidTr="001C1A83">
        <w:trPr>
          <w:trHeight w:val="311"/>
        </w:trPr>
        <w:tc>
          <w:tcPr>
            <w:tcW w:w="567" w:type="dxa"/>
            <w:vMerge w:val="restart"/>
            <w:shd w:val="clear" w:color="auto" w:fill="4C4C4C"/>
            <w:vAlign w:val="center"/>
          </w:tcPr>
          <w:p w14:paraId="15E5FD07" w14:textId="77777777" w:rsidR="006015AB" w:rsidRPr="003B4F95" w:rsidRDefault="006015AB" w:rsidP="001C1A83">
            <w:pPr>
              <w:spacing w:before="40" w:after="40" w:line="280" w:lineRule="atLeast"/>
              <w:rPr>
                <w:rFonts w:ascii="Verdana" w:hAnsi="Verdana"/>
                <w:b/>
                <w:color w:val="FFFFFF"/>
                <w:sz w:val="18"/>
                <w:szCs w:val="18"/>
              </w:rPr>
            </w:pPr>
          </w:p>
        </w:tc>
        <w:tc>
          <w:tcPr>
            <w:tcW w:w="1984" w:type="dxa"/>
            <w:gridSpan w:val="2"/>
            <w:vMerge w:val="restart"/>
            <w:shd w:val="clear" w:color="auto" w:fill="4C4C4C"/>
            <w:vAlign w:val="center"/>
          </w:tcPr>
          <w:p w14:paraId="3328C4D1" w14:textId="77777777" w:rsidR="006015AB" w:rsidRPr="003B4F95" w:rsidRDefault="006015AB" w:rsidP="001C1A83">
            <w:pPr>
              <w:spacing w:before="40" w:after="40" w:line="28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3E136682" w14:textId="77777777" w:rsidR="006015AB" w:rsidRPr="003B4F95" w:rsidRDefault="006015AB" w:rsidP="001C1A83">
            <w:pPr>
              <w:spacing w:before="40" w:after="4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0950683D" w14:textId="77777777"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6CBBABEC" w14:textId="77777777" w:rsidR="006015AB" w:rsidRPr="003B4F95" w:rsidRDefault="006015AB" w:rsidP="001C1A83">
            <w:pPr>
              <w:spacing w:before="40" w:after="40" w:line="28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6015AB" w:rsidRPr="00AB6CBE" w14:paraId="17CB071B" w14:textId="77777777" w:rsidTr="001C1A83">
        <w:trPr>
          <w:trHeight w:val="311"/>
        </w:trPr>
        <w:tc>
          <w:tcPr>
            <w:tcW w:w="567" w:type="dxa"/>
            <w:vMerge/>
            <w:shd w:val="clear" w:color="auto" w:fill="4C4C4C"/>
            <w:vAlign w:val="center"/>
          </w:tcPr>
          <w:p w14:paraId="28B91113" w14:textId="77777777" w:rsidR="006015AB" w:rsidRPr="003B4F95" w:rsidRDefault="006015AB" w:rsidP="001C1A83">
            <w:pPr>
              <w:spacing w:before="40" w:after="40" w:line="280" w:lineRule="atLeast"/>
              <w:rPr>
                <w:rFonts w:ascii="Verdana" w:hAnsi="Verdana"/>
                <w:b/>
                <w:color w:val="FFFFFF"/>
                <w:sz w:val="18"/>
                <w:szCs w:val="18"/>
              </w:rPr>
            </w:pPr>
          </w:p>
        </w:tc>
        <w:tc>
          <w:tcPr>
            <w:tcW w:w="1984" w:type="dxa"/>
            <w:gridSpan w:val="2"/>
            <w:vMerge/>
            <w:shd w:val="clear" w:color="auto" w:fill="4C4C4C"/>
          </w:tcPr>
          <w:p w14:paraId="5ED0D2DA" w14:textId="77777777" w:rsidR="006015AB" w:rsidRPr="003B4F95" w:rsidRDefault="006015AB" w:rsidP="001C1A83">
            <w:pPr>
              <w:spacing w:before="40" w:after="40" w:line="280" w:lineRule="atLeast"/>
              <w:rPr>
                <w:rFonts w:ascii="Verdana" w:hAnsi="Verdana"/>
                <w:b/>
                <w:color w:val="FFFFFF"/>
                <w:sz w:val="18"/>
                <w:szCs w:val="18"/>
              </w:rPr>
            </w:pPr>
          </w:p>
        </w:tc>
        <w:tc>
          <w:tcPr>
            <w:tcW w:w="993" w:type="dxa"/>
            <w:shd w:val="clear" w:color="auto" w:fill="4C4C4C"/>
            <w:vAlign w:val="center"/>
          </w:tcPr>
          <w:p w14:paraId="0C35E3F1" w14:textId="77777777"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0A7659DD" w14:textId="77777777" w:rsidR="006015AB" w:rsidRPr="003B4F95" w:rsidRDefault="006015AB" w:rsidP="001C1A83">
            <w:pPr>
              <w:spacing w:before="40" w:after="4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7962276F" w14:textId="77777777" w:rsidR="006015AB" w:rsidRPr="003B4F95" w:rsidRDefault="006015AB" w:rsidP="001C1A83">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458FB759" w14:textId="77777777" w:rsidR="006015AB" w:rsidRPr="003B4F95" w:rsidRDefault="006015AB" w:rsidP="001C1A83">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3579AC12" w14:textId="77777777" w:rsidR="006015AB" w:rsidRPr="003B4F95" w:rsidRDefault="006015AB" w:rsidP="001C1A83">
            <w:pPr>
              <w:spacing w:before="40" w:after="40" w:line="280" w:lineRule="atLeast"/>
              <w:jc w:val="right"/>
              <w:rPr>
                <w:rFonts w:ascii="Verdana" w:hAnsi="Verdana"/>
                <w:b/>
                <w:color w:val="FFFFFF"/>
                <w:sz w:val="18"/>
                <w:szCs w:val="18"/>
              </w:rPr>
            </w:pPr>
          </w:p>
        </w:tc>
      </w:tr>
      <w:tr w:rsidR="00FE6736" w:rsidRPr="00AB6CBE" w14:paraId="4B891F5E" w14:textId="77777777" w:rsidTr="001C1A83">
        <w:tc>
          <w:tcPr>
            <w:tcW w:w="567" w:type="dxa"/>
            <w:shd w:val="clear" w:color="auto" w:fill="auto"/>
          </w:tcPr>
          <w:p w14:paraId="4B77F61A" w14:textId="77777777" w:rsidR="00FE6736" w:rsidRPr="00771D6F" w:rsidRDefault="00FE6736"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54291318" w14:textId="2CB37C84" w:rsidR="00FE6736" w:rsidRPr="003B4F95" w:rsidRDefault="00FE6736" w:rsidP="003453E4">
            <w:pPr>
              <w:spacing w:before="20" w:after="40" w:line="28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46CE5CC8" w14:textId="7CBCAEEA" w:rsidR="00FE6736" w:rsidRDefault="00FE6736" w:rsidP="003453E4">
            <w:pPr>
              <w:spacing w:before="20" w:after="40" w:line="280" w:lineRule="atLeast"/>
              <w:jc w:val="center"/>
              <w:rPr>
                <w:rFonts w:ascii="Verdana" w:hAnsi="Verdana"/>
                <w:color w:val="000000"/>
                <w:sz w:val="18"/>
                <w:szCs w:val="18"/>
              </w:rPr>
            </w:pPr>
            <w:r>
              <w:rPr>
                <w:rFonts w:ascii="Verdana" w:hAnsi="Verdana"/>
                <w:color w:val="000000"/>
                <w:sz w:val="18"/>
                <w:szCs w:val="18"/>
              </w:rPr>
              <w:t>20</w:t>
            </w:r>
          </w:p>
        </w:tc>
        <w:tc>
          <w:tcPr>
            <w:tcW w:w="992" w:type="dxa"/>
            <w:shd w:val="clear" w:color="auto" w:fill="auto"/>
            <w:vAlign w:val="center"/>
          </w:tcPr>
          <w:p w14:paraId="75CA2F0F" w14:textId="6D8F347A" w:rsidR="00FE6736" w:rsidRDefault="00FE6736"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687C3A73" w14:textId="3E59BC75" w:rsidR="00FE6736" w:rsidRDefault="00405F9A" w:rsidP="003453E4">
            <w:pPr>
              <w:spacing w:before="20" w:after="40" w:line="280" w:lineRule="atLeast"/>
              <w:jc w:val="right"/>
              <w:rPr>
                <w:rFonts w:ascii="Verdana" w:hAnsi="Verdana"/>
                <w:color w:val="000000"/>
                <w:sz w:val="18"/>
                <w:szCs w:val="18"/>
              </w:rPr>
            </w:pPr>
            <w:r>
              <w:rPr>
                <w:rFonts w:ascii="Verdana" w:hAnsi="Verdana"/>
                <w:color w:val="000000"/>
                <w:sz w:val="18"/>
                <w:szCs w:val="18"/>
              </w:rPr>
              <w:t>31 881,4</w:t>
            </w:r>
          </w:p>
        </w:tc>
        <w:tc>
          <w:tcPr>
            <w:tcW w:w="1418" w:type="dxa"/>
            <w:vAlign w:val="center"/>
          </w:tcPr>
          <w:p w14:paraId="00DB2C1E" w14:textId="346A657C" w:rsidR="00FE6736" w:rsidRDefault="002F162B"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338224F" w14:textId="0F105D02" w:rsidR="00FE6736" w:rsidRDefault="00BD198C" w:rsidP="003453E4">
            <w:pPr>
              <w:spacing w:before="20" w:after="40" w:line="280" w:lineRule="atLeast"/>
              <w:jc w:val="right"/>
              <w:rPr>
                <w:rFonts w:ascii="Verdana" w:hAnsi="Verdana"/>
                <w:color w:val="000000"/>
                <w:sz w:val="18"/>
                <w:szCs w:val="18"/>
              </w:rPr>
            </w:pPr>
            <w:r>
              <w:rPr>
                <w:rFonts w:ascii="Verdana" w:hAnsi="Verdana"/>
                <w:color w:val="000000"/>
                <w:sz w:val="18"/>
                <w:szCs w:val="18"/>
              </w:rPr>
              <w:t>31 881,4</w:t>
            </w:r>
          </w:p>
        </w:tc>
      </w:tr>
      <w:tr w:rsidR="00FE6736" w:rsidRPr="00AB6CBE" w14:paraId="3E5AB5DE" w14:textId="77777777" w:rsidTr="001C1A83">
        <w:tc>
          <w:tcPr>
            <w:tcW w:w="567" w:type="dxa"/>
            <w:shd w:val="clear" w:color="auto" w:fill="auto"/>
          </w:tcPr>
          <w:p w14:paraId="62DC651B" w14:textId="77777777" w:rsidR="00FE6736" w:rsidRPr="00771D6F" w:rsidRDefault="00FE6736"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3C1FB5E5" w14:textId="77777777" w:rsidR="00FE6736" w:rsidRPr="003B4F95" w:rsidRDefault="00FE6736" w:rsidP="003453E4">
            <w:pPr>
              <w:spacing w:before="20" w:after="40" w:line="28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2791DA0D" w14:textId="3E5185BE" w:rsidR="00FE6736" w:rsidRPr="003B4F95" w:rsidRDefault="00FE6736" w:rsidP="003453E4">
            <w:pPr>
              <w:spacing w:before="20" w:after="40" w:line="280" w:lineRule="atLeast"/>
              <w:jc w:val="center"/>
              <w:rPr>
                <w:rFonts w:ascii="Verdana" w:hAnsi="Verdana"/>
                <w:color w:val="000000"/>
                <w:sz w:val="18"/>
                <w:szCs w:val="18"/>
              </w:rPr>
            </w:pPr>
            <w:r>
              <w:rPr>
                <w:rFonts w:ascii="Verdana" w:hAnsi="Verdana"/>
                <w:color w:val="000000"/>
                <w:sz w:val="18"/>
                <w:szCs w:val="18"/>
              </w:rPr>
              <w:t>1</w:t>
            </w:r>
            <w:r w:rsidR="00F14551">
              <w:rPr>
                <w:rFonts w:ascii="Verdana" w:hAnsi="Verdana"/>
                <w:color w:val="000000"/>
                <w:sz w:val="18"/>
                <w:szCs w:val="18"/>
              </w:rPr>
              <w:t>8</w:t>
            </w:r>
          </w:p>
        </w:tc>
        <w:tc>
          <w:tcPr>
            <w:tcW w:w="992" w:type="dxa"/>
            <w:shd w:val="clear" w:color="auto" w:fill="auto"/>
            <w:vAlign w:val="center"/>
          </w:tcPr>
          <w:p w14:paraId="2166DF9E" w14:textId="77777777" w:rsidR="00FE6736" w:rsidRPr="003B4F95" w:rsidRDefault="00FE6736" w:rsidP="003453E4">
            <w:pPr>
              <w:spacing w:before="20" w:after="40" w:line="28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029D8166" w14:textId="1DB2C79D" w:rsidR="00FE6736" w:rsidRPr="003B4F95" w:rsidRDefault="00405F9A" w:rsidP="003453E4">
            <w:pPr>
              <w:spacing w:before="20" w:after="40" w:line="280" w:lineRule="atLeast"/>
              <w:jc w:val="right"/>
              <w:rPr>
                <w:rFonts w:ascii="Verdana" w:hAnsi="Verdana"/>
                <w:color w:val="000000"/>
                <w:sz w:val="18"/>
                <w:szCs w:val="18"/>
              </w:rPr>
            </w:pPr>
            <w:r>
              <w:rPr>
                <w:rFonts w:ascii="Verdana" w:hAnsi="Verdana"/>
                <w:color w:val="000000"/>
                <w:sz w:val="18"/>
                <w:szCs w:val="18"/>
              </w:rPr>
              <w:t>29 674,0</w:t>
            </w:r>
          </w:p>
        </w:tc>
        <w:tc>
          <w:tcPr>
            <w:tcW w:w="1418" w:type="dxa"/>
            <w:vAlign w:val="center"/>
          </w:tcPr>
          <w:p w14:paraId="6F79E717" w14:textId="70CF3568" w:rsidR="00FE6736" w:rsidRPr="003B4F95" w:rsidRDefault="002F162B" w:rsidP="003453E4">
            <w:pPr>
              <w:spacing w:before="20" w:after="40" w:line="280" w:lineRule="atLeast"/>
              <w:jc w:val="right"/>
              <w:rPr>
                <w:rFonts w:ascii="Verdana" w:hAnsi="Verdana"/>
                <w:color w:val="000000"/>
                <w:sz w:val="18"/>
                <w:szCs w:val="18"/>
              </w:rPr>
            </w:pPr>
            <w:r>
              <w:rPr>
                <w:rFonts w:ascii="Verdana" w:hAnsi="Verdana"/>
                <w:color w:val="000000"/>
                <w:sz w:val="18"/>
                <w:szCs w:val="18"/>
              </w:rPr>
              <w:t>1 778,1</w:t>
            </w:r>
          </w:p>
        </w:tc>
        <w:tc>
          <w:tcPr>
            <w:tcW w:w="1843" w:type="dxa"/>
            <w:vAlign w:val="center"/>
          </w:tcPr>
          <w:p w14:paraId="32A350AC" w14:textId="792F8F98" w:rsidR="00FE6736" w:rsidRPr="003B4F95" w:rsidRDefault="00BD198C" w:rsidP="003453E4">
            <w:pPr>
              <w:spacing w:before="20" w:after="40" w:line="280" w:lineRule="atLeast"/>
              <w:jc w:val="right"/>
              <w:rPr>
                <w:rFonts w:ascii="Verdana" w:hAnsi="Verdana"/>
                <w:color w:val="000000"/>
                <w:sz w:val="18"/>
                <w:szCs w:val="18"/>
              </w:rPr>
            </w:pPr>
            <w:r>
              <w:rPr>
                <w:rFonts w:ascii="Verdana" w:hAnsi="Verdana"/>
                <w:color w:val="000000"/>
                <w:sz w:val="18"/>
                <w:szCs w:val="18"/>
              </w:rPr>
              <w:t>31 452,</w:t>
            </w:r>
            <w:r w:rsidR="00506218">
              <w:rPr>
                <w:rFonts w:ascii="Verdana" w:hAnsi="Verdana"/>
                <w:color w:val="000000"/>
                <w:sz w:val="18"/>
                <w:szCs w:val="18"/>
              </w:rPr>
              <w:t>1</w:t>
            </w:r>
          </w:p>
        </w:tc>
      </w:tr>
      <w:tr w:rsidR="00FE6736" w:rsidRPr="00AB6CBE" w14:paraId="67DF62A3" w14:textId="77777777" w:rsidTr="001C1A83">
        <w:tc>
          <w:tcPr>
            <w:tcW w:w="567" w:type="dxa"/>
            <w:shd w:val="clear" w:color="auto" w:fill="auto"/>
          </w:tcPr>
          <w:p w14:paraId="2371D063" w14:textId="77777777" w:rsidR="00FE6736" w:rsidRPr="00771D6F" w:rsidRDefault="00FE6736"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60542055" w14:textId="77777777" w:rsidR="00FE6736" w:rsidRPr="003B4F95" w:rsidRDefault="00FE6736" w:rsidP="003453E4">
            <w:pPr>
              <w:spacing w:before="20" w:after="40" w:line="280" w:lineRule="atLeast"/>
              <w:rPr>
                <w:rFonts w:ascii="Verdana" w:hAnsi="Verdana"/>
                <w:color w:val="000000"/>
                <w:sz w:val="18"/>
                <w:szCs w:val="18"/>
              </w:rPr>
            </w:pPr>
            <w:r>
              <w:rPr>
                <w:rFonts w:ascii="Verdana" w:hAnsi="Verdana"/>
                <w:color w:val="000000"/>
                <w:sz w:val="18"/>
                <w:szCs w:val="18"/>
              </w:rPr>
              <w:t>Sygnia/Itrix</w:t>
            </w:r>
          </w:p>
        </w:tc>
        <w:tc>
          <w:tcPr>
            <w:tcW w:w="993" w:type="dxa"/>
            <w:shd w:val="clear" w:color="auto" w:fill="auto"/>
            <w:vAlign w:val="center"/>
          </w:tcPr>
          <w:p w14:paraId="166949D4" w14:textId="70534C33" w:rsidR="00FE6736" w:rsidRDefault="00FE6736" w:rsidP="003453E4">
            <w:pPr>
              <w:spacing w:before="20" w:after="40" w:line="280" w:lineRule="atLeast"/>
              <w:jc w:val="center"/>
              <w:rPr>
                <w:rFonts w:ascii="Verdana" w:hAnsi="Verdana"/>
                <w:color w:val="000000"/>
                <w:sz w:val="18"/>
                <w:szCs w:val="18"/>
              </w:rPr>
            </w:pPr>
            <w:r>
              <w:rPr>
                <w:rFonts w:ascii="Verdana" w:hAnsi="Verdana"/>
                <w:color w:val="000000"/>
                <w:sz w:val="18"/>
                <w:szCs w:val="18"/>
              </w:rPr>
              <w:t>1</w:t>
            </w:r>
            <w:r w:rsidR="00F14551">
              <w:rPr>
                <w:rFonts w:ascii="Verdana" w:hAnsi="Verdana"/>
                <w:color w:val="000000"/>
                <w:sz w:val="18"/>
                <w:szCs w:val="18"/>
              </w:rPr>
              <w:t>2</w:t>
            </w:r>
          </w:p>
        </w:tc>
        <w:tc>
          <w:tcPr>
            <w:tcW w:w="992" w:type="dxa"/>
            <w:shd w:val="clear" w:color="auto" w:fill="auto"/>
            <w:vAlign w:val="center"/>
          </w:tcPr>
          <w:p w14:paraId="60420189" w14:textId="77777777" w:rsidR="00FE6736" w:rsidRDefault="00FE6736"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5F41D576" w14:textId="133BA06A" w:rsidR="00FE6736" w:rsidRDefault="00DA4AAF" w:rsidP="003453E4">
            <w:pPr>
              <w:spacing w:before="20" w:after="40" w:line="280" w:lineRule="atLeast"/>
              <w:jc w:val="right"/>
              <w:rPr>
                <w:rFonts w:ascii="Verdana" w:hAnsi="Verdana"/>
                <w:color w:val="000000"/>
                <w:sz w:val="18"/>
                <w:szCs w:val="18"/>
              </w:rPr>
            </w:pPr>
            <w:r>
              <w:rPr>
                <w:rFonts w:ascii="Verdana" w:hAnsi="Verdana"/>
                <w:color w:val="000000"/>
                <w:sz w:val="18"/>
                <w:szCs w:val="18"/>
              </w:rPr>
              <w:t>29 292,9</w:t>
            </w:r>
          </w:p>
        </w:tc>
        <w:tc>
          <w:tcPr>
            <w:tcW w:w="1418" w:type="dxa"/>
            <w:vAlign w:val="center"/>
          </w:tcPr>
          <w:p w14:paraId="7BA6F0E5" w14:textId="5840BA49" w:rsidR="00FE6736" w:rsidRDefault="002F162B"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4E748A03" w14:textId="66CCADB8" w:rsidR="00FE6736" w:rsidRDefault="00506218" w:rsidP="003453E4">
            <w:pPr>
              <w:spacing w:before="20" w:after="40" w:line="280" w:lineRule="atLeast"/>
              <w:jc w:val="right"/>
              <w:rPr>
                <w:rFonts w:ascii="Verdana" w:hAnsi="Verdana"/>
                <w:color w:val="000000"/>
                <w:sz w:val="18"/>
                <w:szCs w:val="18"/>
              </w:rPr>
            </w:pPr>
            <w:r>
              <w:rPr>
                <w:rFonts w:ascii="Verdana" w:hAnsi="Verdana"/>
                <w:color w:val="000000"/>
                <w:sz w:val="18"/>
                <w:szCs w:val="18"/>
              </w:rPr>
              <w:t>29 292,0</w:t>
            </w:r>
          </w:p>
        </w:tc>
      </w:tr>
      <w:tr w:rsidR="00FE6736" w:rsidRPr="000435BE" w14:paraId="56CF23E8" w14:textId="77777777" w:rsidTr="001C1A83">
        <w:tc>
          <w:tcPr>
            <w:tcW w:w="567" w:type="dxa"/>
            <w:shd w:val="clear" w:color="auto" w:fill="auto"/>
          </w:tcPr>
          <w:p w14:paraId="7FD80757" w14:textId="77777777" w:rsidR="00FE6736" w:rsidRPr="00771D6F" w:rsidRDefault="00FE6736"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1D9E85AD" w14:textId="77777777" w:rsidR="00FE6736" w:rsidRPr="003B4F95" w:rsidRDefault="00FE6736" w:rsidP="003453E4">
            <w:pPr>
              <w:spacing w:before="20" w:after="40" w:line="28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657AF511" w14:textId="77777777" w:rsidR="00FE6736" w:rsidRPr="003B4F95" w:rsidRDefault="00FE6736" w:rsidP="003453E4">
            <w:pPr>
              <w:spacing w:before="20" w:after="40" w:line="28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3918885C" w14:textId="77777777" w:rsidR="00FE6736" w:rsidRPr="003B4F95" w:rsidRDefault="00FE6736"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D33FC92" w14:textId="79CB12DA" w:rsidR="00FE6736" w:rsidRPr="003B4F95" w:rsidRDefault="00DA4AAF" w:rsidP="003453E4">
            <w:pPr>
              <w:spacing w:before="20" w:after="40" w:line="280" w:lineRule="atLeast"/>
              <w:jc w:val="right"/>
              <w:rPr>
                <w:rFonts w:ascii="Verdana" w:hAnsi="Verdana"/>
                <w:color w:val="000000"/>
                <w:sz w:val="18"/>
                <w:szCs w:val="18"/>
              </w:rPr>
            </w:pPr>
            <w:r>
              <w:rPr>
                <w:rFonts w:ascii="Verdana" w:hAnsi="Verdana"/>
                <w:color w:val="000000"/>
                <w:sz w:val="18"/>
                <w:szCs w:val="18"/>
              </w:rPr>
              <w:t>10 693,2</w:t>
            </w:r>
          </w:p>
        </w:tc>
        <w:tc>
          <w:tcPr>
            <w:tcW w:w="1418" w:type="dxa"/>
            <w:vAlign w:val="center"/>
          </w:tcPr>
          <w:p w14:paraId="4E6D745C" w14:textId="463764C0" w:rsidR="00FE6736" w:rsidRPr="003B4F95" w:rsidRDefault="002F162B"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815C90F" w14:textId="302B2E1A" w:rsidR="00FE6736" w:rsidRPr="003B4F95" w:rsidRDefault="00506218" w:rsidP="003453E4">
            <w:pPr>
              <w:spacing w:before="20" w:after="40" w:line="280" w:lineRule="atLeast"/>
              <w:jc w:val="right"/>
              <w:rPr>
                <w:rFonts w:ascii="Verdana" w:hAnsi="Verdana"/>
                <w:color w:val="000000"/>
                <w:sz w:val="18"/>
                <w:szCs w:val="18"/>
              </w:rPr>
            </w:pPr>
            <w:r>
              <w:rPr>
                <w:rFonts w:ascii="Verdana" w:hAnsi="Verdana"/>
                <w:color w:val="000000"/>
                <w:sz w:val="18"/>
                <w:szCs w:val="18"/>
              </w:rPr>
              <w:t>10 693,2</w:t>
            </w:r>
          </w:p>
        </w:tc>
      </w:tr>
      <w:tr w:rsidR="00BD60FD" w:rsidRPr="000435BE" w14:paraId="282E0210" w14:textId="77777777" w:rsidTr="001C1A83">
        <w:tc>
          <w:tcPr>
            <w:tcW w:w="567" w:type="dxa"/>
            <w:shd w:val="clear" w:color="auto" w:fill="auto"/>
          </w:tcPr>
          <w:p w14:paraId="4AEECEAB" w14:textId="77777777" w:rsidR="00BD60FD" w:rsidRPr="00771D6F" w:rsidRDefault="00BD60FD"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467B5FEB" w14:textId="7ED9A59A" w:rsidR="00BD60FD" w:rsidRDefault="00BD60FD" w:rsidP="003453E4">
            <w:pPr>
              <w:spacing w:before="20" w:after="40" w:line="28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061BA67F" w14:textId="7EB2F64F"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6DCF0DBB" w14:textId="31E22360"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1</w:t>
            </w:r>
            <w:r w:rsidR="00405F9A">
              <w:rPr>
                <w:rFonts w:ascii="Verdana" w:hAnsi="Verdana"/>
                <w:color w:val="000000"/>
                <w:sz w:val="18"/>
                <w:szCs w:val="18"/>
              </w:rPr>
              <w:t>4</w:t>
            </w:r>
          </w:p>
        </w:tc>
        <w:tc>
          <w:tcPr>
            <w:tcW w:w="1417" w:type="dxa"/>
            <w:vAlign w:val="center"/>
          </w:tcPr>
          <w:p w14:paraId="3B4EB698" w14:textId="7E9F24E9" w:rsidR="00BD60FD" w:rsidRPr="003B4F95" w:rsidRDefault="00DA4AAF"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5BFC234" w14:textId="59A98DD2" w:rsidR="00BD60FD" w:rsidRPr="003B4F95" w:rsidRDefault="009C71D3" w:rsidP="003453E4">
            <w:pPr>
              <w:spacing w:before="20" w:after="40" w:line="280" w:lineRule="atLeast"/>
              <w:jc w:val="right"/>
              <w:rPr>
                <w:rFonts w:ascii="Verdana" w:hAnsi="Verdana"/>
                <w:color w:val="000000"/>
                <w:sz w:val="18"/>
                <w:szCs w:val="18"/>
              </w:rPr>
            </w:pPr>
            <w:r>
              <w:rPr>
                <w:rFonts w:ascii="Verdana" w:hAnsi="Verdana"/>
                <w:color w:val="000000"/>
                <w:sz w:val="18"/>
                <w:szCs w:val="18"/>
              </w:rPr>
              <w:t>4 908,4</w:t>
            </w:r>
          </w:p>
        </w:tc>
        <w:tc>
          <w:tcPr>
            <w:tcW w:w="1843" w:type="dxa"/>
            <w:vAlign w:val="center"/>
          </w:tcPr>
          <w:p w14:paraId="388A2EB1" w14:textId="65EAE2A1" w:rsidR="00BD60FD" w:rsidRPr="003B4F95" w:rsidRDefault="00506218" w:rsidP="003453E4">
            <w:pPr>
              <w:spacing w:before="20" w:after="40" w:line="280" w:lineRule="atLeast"/>
              <w:jc w:val="right"/>
              <w:rPr>
                <w:rFonts w:ascii="Verdana" w:hAnsi="Verdana"/>
                <w:color w:val="000000"/>
                <w:sz w:val="18"/>
                <w:szCs w:val="18"/>
              </w:rPr>
            </w:pPr>
            <w:r>
              <w:rPr>
                <w:rFonts w:ascii="Verdana" w:hAnsi="Verdana"/>
                <w:color w:val="000000"/>
                <w:sz w:val="18"/>
                <w:szCs w:val="18"/>
              </w:rPr>
              <w:t>4 908,4</w:t>
            </w:r>
          </w:p>
        </w:tc>
      </w:tr>
      <w:tr w:rsidR="00BD60FD" w:rsidRPr="000435BE" w14:paraId="68CC93CC" w14:textId="77777777" w:rsidTr="001C1A83">
        <w:tc>
          <w:tcPr>
            <w:tcW w:w="567" w:type="dxa"/>
            <w:shd w:val="clear" w:color="auto" w:fill="auto"/>
          </w:tcPr>
          <w:p w14:paraId="63A164DA" w14:textId="77777777" w:rsidR="00BD60FD" w:rsidRPr="00771D6F" w:rsidRDefault="00BD60FD"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41A6FCC6" w14:textId="77777777" w:rsidR="00BD60FD" w:rsidRPr="003B4F95" w:rsidRDefault="00BD60FD" w:rsidP="003453E4">
            <w:pPr>
              <w:spacing w:before="20" w:after="40" w:line="28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3E3C2241" w14:textId="3A6224C4" w:rsidR="00BD60FD" w:rsidRPr="003B4F95" w:rsidRDefault="00405F9A" w:rsidP="003453E4">
            <w:pPr>
              <w:spacing w:before="20" w:after="40" w:line="280" w:lineRule="atLeast"/>
              <w:jc w:val="center"/>
              <w:rPr>
                <w:rFonts w:ascii="Verdana" w:hAnsi="Verdana"/>
                <w:color w:val="000000"/>
                <w:sz w:val="18"/>
                <w:szCs w:val="18"/>
              </w:rPr>
            </w:pPr>
            <w:r>
              <w:rPr>
                <w:rFonts w:ascii="Verdana" w:hAnsi="Verdana"/>
                <w:color w:val="000000"/>
                <w:sz w:val="18"/>
                <w:szCs w:val="18"/>
              </w:rPr>
              <w:t>9</w:t>
            </w:r>
          </w:p>
        </w:tc>
        <w:tc>
          <w:tcPr>
            <w:tcW w:w="992" w:type="dxa"/>
            <w:shd w:val="clear" w:color="auto" w:fill="auto"/>
            <w:vAlign w:val="center"/>
          </w:tcPr>
          <w:p w14:paraId="23FAE7CA" w14:textId="77777777" w:rsidR="00BD60FD" w:rsidRPr="003B4F95"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6B9AF17E" w14:textId="2A00915B" w:rsidR="00BD60FD" w:rsidRPr="003B4F95" w:rsidRDefault="00DA4AAF" w:rsidP="003453E4">
            <w:pPr>
              <w:spacing w:before="20" w:after="40" w:line="280" w:lineRule="atLeast"/>
              <w:jc w:val="right"/>
              <w:rPr>
                <w:rFonts w:ascii="Verdana" w:hAnsi="Verdana"/>
                <w:color w:val="000000"/>
                <w:sz w:val="18"/>
                <w:szCs w:val="18"/>
              </w:rPr>
            </w:pPr>
            <w:r>
              <w:rPr>
                <w:rFonts w:ascii="Verdana" w:hAnsi="Verdana"/>
                <w:color w:val="000000"/>
                <w:sz w:val="18"/>
                <w:szCs w:val="18"/>
              </w:rPr>
              <w:t>4 872,2</w:t>
            </w:r>
          </w:p>
        </w:tc>
        <w:tc>
          <w:tcPr>
            <w:tcW w:w="1418" w:type="dxa"/>
            <w:vAlign w:val="center"/>
          </w:tcPr>
          <w:p w14:paraId="322F690F" w14:textId="49EE50DD" w:rsidR="00BD60FD" w:rsidRPr="003B4F95" w:rsidRDefault="002F162B"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FDE28B5" w14:textId="5E68A853" w:rsidR="00BD60FD" w:rsidRPr="003B4F95" w:rsidRDefault="00506218" w:rsidP="003453E4">
            <w:pPr>
              <w:spacing w:before="20" w:after="40" w:line="280" w:lineRule="atLeast"/>
              <w:jc w:val="right"/>
              <w:rPr>
                <w:rFonts w:ascii="Verdana" w:hAnsi="Verdana"/>
                <w:color w:val="000000"/>
                <w:sz w:val="18"/>
                <w:szCs w:val="18"/>
              </w:rPr>
            </w:pPr>
            <w:r>
              <w:rPr>
                <w:rFonts w:ascii="Verdana" w:hAnsi="Verdana"/>
                <w:color w:val="000000"/>
                <w:sz w:val="18"/>
                <w:szCs w:val="18"/>
              </w:rPr>
              <w:t>4 872,2</w:t>
            </w:r>
          </w:p>
        </w:tc>
      </w:tr>
      <w:tr w:rsidR="00BD60FD" w:rsidRPr="000435BE" w14:paraId="058F621E" w14:textId="77777777" w:rsidTr="001C1A83">
        <w:tc>
          <w:tcPr>
            <w:tcW w:w="567" w:type="dxa"/>
            <w:shd w:val="clear" w:color="auto" w:fill="auto"/>
          </w:tcPr>
          <w:p w14:paraId="13960C14" w14:textId="77777777" w:rsidR="00BD60FD" w:rsidRPr="00771D6F" w:rsidRDefault="00BD60FD"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7E5A07EB" w14:textId="4C65BD2C" w:rsidR="00BD60FD" w:rsidRPr="003B4F95" w:rsidRDefault="00BD60FD" w:rsidP="003453E4">
            <w:pPr>
              <w:spacing w:before="20" w:after="40" w:line="28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5EEECC76" w14:textId="76172A8E"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0A26C215" w14:textId="71C8872A"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BF052BC" w14:textId="5C681D6A" w:rsidR="00BD60FD" w:rsidRDefault="00774F11" w:rsidP="003453E4">
            <w:pPr>
              <w:spacing w:before="20" w:after="40" w:line="280" w:lineRule="atLeast"/>
              <w:jc w:val="right"/>
              <w:rPr>
                <w:rFonts w:ascii="Verdana" w:hAnsi="Verdana"/>
                <w:color w:val="000000"/>
                <w:sz w:val="18"/>
                <w:szCs w:val="18"/>
              </w:rPr>
            </w:pPr>
            <w:r>
              <w:rPr>
                <w:rFonts w:ascii="Verdana" w:hAnsi="Verdana"/>
                <w:color w:val="000000"/>
                <w:sz w:val="18"/>
                <w:szCs w:val="18"/>
              </w:rPr>
              <w:t>4 173,0</w:t>
            </w:r>
          </w:p>
        </w:tc>
        <w:tc>
          <w:tcPr>
            <w:tcW w:w="1418" w:type="dxa"/>
            <w:vAlign w:val="center"/>
          </w:tcPr>
          <w:p w14:paraId="1DA2A521" w14:textId="56A1001B" w:rsidR="00BD60FD" w:rsidRDefault="002F162B"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3A5AAA0" w14:textId="17186B13" w:rsidR="00BD60FD" w:rsidRDefault="00506218" w:rsidP="003453E4">
            <w:pPr>
              <w:spacing w:before="20" w:after="40" w:line="280" w:lineRule="atLeast"/>
              <w:jc w:val="right"/>
              <w:rPr>
                <w:rFonts w:ascii="Verdana" w:hAnsi="Verdana"/>
                <w:color w:val="000000"/>
                <w:sz w:val="18"/>
                <w:szCs w:val="18"/>
              </w:rPr>
            </w:pPr>
            <w:r>
              <w:rPr>
                <w:rFonts w:ascii="Verdana" w:hAnsi="Verdana"/>
                <w:color w:val="000000"/>
                <w:sz w:val="18"/>
                <w:szCs w:val="18"/>
              </w:rPr>
              <w:t>4</w:t>
            </w:r>
            <w:r w:rsidR="0057426E">
              <w:rPr>
                <w:rFonts w:ascii="Verdana" w:hAnsi="Verdana"/>
                <w:color w:val="000000"/>
                <w:sz w:val="18"/>
                <w:szCs w:val="18"/>
              </w:rPr>
              <w:t> </w:t>
            </w:r>
            <w:r>
              <w:rPr>
                <w:rFonts w:ascii="Verdana" w:hAnsi="Verdana"/>
                <w:color w:val="000000"/>
                <w:sz w:val="18"/>
                <w:szCs w:val="18"/>
              </w:rPr>
              <w:t>173</w:t>
            </w:r>
            <w:r w:rsidR="0057426E">
              <w:rPr>
                <w:rFonts w:ascii="Verdana" w:hAnsi="Verdana"/>
                <w:color w:val="000000"/>
                <w:sz w:val="18"/>
                <w:szCs w:val="18"/>
              </w:rPr>
              <w:t>,</w:t>
            </w:r>
            <w:r>
              <w:rPr>
                <w:rFonts w:ascii="Verdana" w:hAnsi="Verdana"/>
                <w:color w:val="000000"/>
                <w:sz w:val="18"/>
                <w:szCs w:val="18"/>
              </w:rPr>
              <w:t>0</w:t>
            </w:r>
          </w:p>
        </w:tc>
      </w:tr>
      <w:tr w:rsidR="00BD60FD" w:rsidRPr="000435BE" w14:paraId="02650938" w14:textId="77777777" w:rsidTr="001C1A83">
        <w:tc>
          <w:tcPr>
            <w:tcW w:w="567" w:type="dxa"/>
            <w:shd w:val="clear" w:color="auto" w:fill="auto"/>
          </w:tcPr>
          <w:p w14:paraId="0B4EF678" w14:textId="77777777" w:rsidR="00BD60FD" w:rsidRPr="00771D6F" w:rsidRDefault="00BD60FD"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6F5208A5" w14:textId="77777777" w:rsidR="00BD60FD" w:rsidRPr="003B4F95" w:rsidRDefault="00BD60FD" w:rsidP="003453E4">
            <w:pPr>
              <w:spacing w:before="20" w:after="40" w:line="28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w:t>
            </w:r>
          </w:p>
        </w:tc>
        <w:tc>
          <w:tcPr>
            <w:tcW w:w="993" w:type="dxa"/>
            <w:shd w:val="clear" w:color="auto" w:fill="auto"/>
            <w:vAlign w:val="center"/>
          </w:tcPr>
          <w:p w14:paraId="3922A4D8" w14:textId="77777777"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011AB289" w14:textId="77777777"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36</w:t>
            </w:r>
          </w:p>
        </w:tc>
        <w:tc>
          <w:tcPr>
            <w:tcW w:w="1417" w:type="dxa"/>
            <w:vAlign w:val="center"/>
          </w:tcPr>
          <w:p w14:paraId="783FF0DB" w14:textId="1FA9E288" w:rsidR="00BD60FD" w:rsidRDefault="00774F11" w:rsidP="003453E4">
            <w:pPr>
              <w:spacing w:before="20" w:after="40" w:line="280" w:lineRule="atLeast"/>
              <w:jc w:val="right"/>
              <w:rPr>
                <w:rFonts w:ascii="Verdana" w:hAnsi="Verdana"/>
                <w:color w:val="000000"/>
                <w:sz w:val="18"/>
                <w:szCs w:val="18"/>
              </w:rPr>
            </w:pPr>
            <w:r>
              <w:rPr>
                <w:rFonts w:ascii="Verdana" w:hAnsi="Verdana"/>
                <w:color w:val="000000"/>
                <w:sz w:val="18"/>
                <w:szCs w:val="18"/>
              </w:rPr>
              <w:t>1 125,3</w:t>
            </w:r>
          </w:p>
        </w:tc>
        <w:tc>
          <w:tcPr>
            <w:tcW w:w="1418" w:type="dxa"/>
            <w:vAlign w:val="center"/>
          </w:tcPr>
          <w:p w14:paraId="4807FF84" w14:textId="2589A5F2" w:rsidR="00BD60FD" w:rsidRDefault="002F162B" w:rsidP="003453E4">
            <w:pPr>
              <w:spacing w:before="20" w:after="40" w:line="280" w:lineRule="atLeast"/>
              <w:jc w:val="right"/>
              <w:rPr>
                <w:rFonts w:ascii="Verdana" w:hAnsi="Verdana"/>
                <w:color w:val="000000"/>
                <w:sz w:val="18"/>
                <w:szCs w:val="18"/>
              </w:rPr>
            </w:pPr>
            <w:r>
              <w:rPr>
                <w:rFonts w:ascii="Verdana" w:hAnsi="Verdana"/>
                <w:color w:val="000000"/>
                <w:sz w:val="18"/>
                <w:szCs w:val="18"/>
              </w:rPr>
              <w:t>2 585,5</w:t>
            </w:r>
          </w:p>
        </w:tc>
        <w:tc>
          <w:tcPr>
            <w:tcW w:w="1843" w:type="dxa"/>
            <w:vAlign w:val="center"/>
          </w:tcPr>
          <w:p w14:paraId="75E23701" w14:textId="1E33E7C0" w:rsidR="00BD60FD" w:rsidRDefault="0057426E" w:rsidP="003453E4">
            <w:pPr>
              <w:spacing w:before="20" w:after="40" w:line="280" w:lineRule="atLeast"/>
              <w:jc w:val="right"/>
              <w:rPr>
                <w:rFonts w:ascii="Verdana" w:hAnsi="Verdana"/>
                <w:color w:val="000000"/>
                <w:sz w:val="18"/>
                <w:szCs w:val="18"/>
              </w:rPr>
            </w:pPr>
            <w:r>
              <w:rPr>
                <w:rFonts w:ascii="Verdana" w:hAnsi="Verdana"/>
                <w:color w:val="000000"/>
                <w:sz w:val="18"/>
                <w:szCs w:val="18"/>
              </w:rPr>
              <w:t>3 710,8</w:t>
            </w:r>
          </w:p>
        </w:tc>
      </w:tr>
      <w:tr w:rsidR="00BD60FD" w:rsidRPr="000435BE" w14:paraId="74FFBACF" w14:textId="77777777" w:rsidTr="001C1A83">
        <w:tc>
          <w:tcPr>
            <w:tcW w:w="567" w:type="dxa"/>
            <w:shd w:val="clear" w:color="auto" w:fill="auto"/>
          </w:tcPr>
          <w:p w14:paraId="115A2173" w14:textId="77777777" w:rsidR="00BD60FD" w:rsidRPr="00771D6F" w:rsidRDefault="00BD60FD"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49C1F41F" w14:textId="77777777" w:rsidR="00BD60FD" w:rsidRPr="003B4F95" w:rsidRDefault="00BD60FD" w:rsidP="003453E4">
            <w:pPr>
              <w:spacing w:before="20" w:after="40" w:line="28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30BF1DB5" w14:textId="77777777"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EE3776E" w14:textId="77777777"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67698628" w14:textId="5FC73922" w:rsidR="00BD60FD" w:rsidRDefault="00BD60FD"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64CAC82" w14:textId="00620E59" w:rsidR="00BD60FD" w:rsidRDefault="009C71D3" w:rsidP="003453E4">
            <w:pPr>
              <w:spacing w:before="20" w:after="40" w:line="280" w:lineRule="atLeast"/>
              <w:jc w:val="right"/>
              <w:rPr>
                <w:rFonts w:ascii="Verdana" w:hAnsi="Verdana"/>
                <w:color w:val="000000"/>
                <w:sz w:val="18"/>
                <w:szCs w:val="18"/>
              </w:rPr>
            </w:pPr>
            <w:r>
              <w:rPr>
                <w:rFonts w:ascii="Verdana" w:hAnsi="Verdana"/>
                <w:color w:val="000000"/>
                <w:sz w:val="18"/>
                <w:szCs w:val="18"/>
              </w:rPr>
              <w:t>2 277,0</w:t>
            </w:r>
          </w:p>
        </w:tc>
        <w:tc>
          <w:tcPr>
            <w:tcW w:w="1843" w:type="dxa"/>
            <w:vAlign w:val="center"/>
          </w:tcPr>
          <w:p w14:paraId="5682DA5B" w14:textId="2C53D5AE" w:rsidR="00BD60FD" w:rsidRDefault="00B133BE" w:rsidP="003453E4">
            <w:pPr>
              <w:spacing w:before="20" w:after="40" w:line="280" w:lineRule="atLeast"/>
              <w:jc w:val="right"/>
              <w:rPr>
                <w:rFonts w:ascii="Verdana" w:hAnsi="Verdana"/>
                <w:color w:val="000000"/>
                <w:sz w:val="18"/>
                <w:szCs w:val="18"/>
              </w:rPr>
            </w:pPr>
            <w:r>
              <w:rPr>
                <w:rFonts w:ascii="Verdana" w:hAnsi="Verdana"/>
                <w:color w:val="000000"/>
                <w:sz w:val="18"/>
                <w:szCs w:val="18"/>
              </w:rPr>
              <w:t>2 277,0</w:t>
            </w:r>
          </w:p>
        </w:tc>
      </w:tr>
      <w:tr w:rsidR="00BD60FD" w:rsidRPr="000435BE" w14:paraId="5FB42103" w14:textId="77777777" w:rsidTr="001C1A83">
        <w:tc>
          <w:tcPr>
            <w:tcW w:w="567" w:type="dxa"/>
            <w:shd w:val="clear" w:color="auto" w:fill="auto"/>
          </w:tcPr>
          <w:p w14:paraId="11AE8AAB" w14:textId="77777777" w:rsidR="00BD60FD" w:rsidRPr="00771D6F" w:rsidRDefault="00BD60FD"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700A7226" w14:textId="77777777" w:rsidR="00BD60FD" w:rsidRPr="003B4F95" w:rsidRDefault="00BD60FD" w:rsidP="003453E4">
            <w:pPr>
              <w:spacing w:before="20" w:after="40" w:line="28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5BCA0634" w14:textId="77777777"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705CD008" w14:textId="77777777" w:rsidR="00BD60FD"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4</w:t>
            </w:r>
          </w:p>
        </w:tc>
        <w:tc>
          <w:tcPr>
            <w:tcW w:w="1417" w:type="dxa"/>
            <w:vAlign w:val="center"/>
          </w:tcPr>
          <w:p w14:paraId="33A5A643" w14:textId="78E7B2BA" w:rsidR="00BD60FD" w:rsidRDefault="00BD60FD"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74E82CC8" w14:textId="68C64E73" w:rsidR="00BD60FD" w:rsidRDefault="009C71D3" w:rsidP="003453E4">
            <w:pPr>
              <w:spacing w:before="20" w:after="40" w:line="280" w:lineRule="atLeast"/>
              <w:jc w:val="right"/>
              <w:rPr>
                <w:rFonts w:ascii="Verdana" w:hAnsi="Verdana"/>
                <w:color w:val="000000"/>
                <w:sz w:val="18"/>
                <w:szCs w:val="18"/>
              </w:rPr>
            </w:pPr>
            <w:r>
              <w:rPr>
                <w:rFonts w:ascii="Verdana" w:hAnsi="Verdana"/>
                <w:color w:val="000000"/>
                <w:sz w:val="18"/>
                <w:szCs w:val="18"/>
              </w:rPr>
              <w:t>1 066,0</w:t>
            </w:r>
          </w:p>
        </w:tc>
        <w:tc>
          <w:tcPr>
            <w:tcW w:w="1843" w:type="dxa"/>
            <w:vAlign w:val="center"/>
          </w:tcPr>
          <w:p w14:paraId="0A0AE9B3" w14:textId="1A36883F" w:rsidR="00BD60FD" w:rsidRDefault="006E0E3D" w:rsidP="003453E4">
            <w:pPr>
              <w:spacing w:before="20" w:after="40" w:line="280" w:lineRule="atLeast"/>
              <w:jc w:val="right"/>
              <w:rPr>
                <w:rFonts w:ascii="Verdana" w:hAnsi="Verdana"/>
                <w:color w:val="000000"/>
                <w:sz w:val="18"/>
                <w:szCs w:val="18"/>
              </w:rPr>
            </w:pPr>
            <w:r>
              <w:rPr>
                <w:rFonts w:ascii="Verdana" w:hAnsi="Verdana"/>
                <w:color w:val="000000"/>
                <w:sz w:val="18"/>
                <w:szCs w:val="18"/>
              </w:rPr>
              <w:t>1 066,0</w:t>
            </w:r>
          </w:p>
        </w:tc>
      </w:tr>
      <w:tr w:rsidR="00BD60FD" w:rsidRPr="000435BE" w14:paraId="0F1A63F0" w14:textId="77777777" w:rsidTr="001C1A83">
        <w:tc>
          <w:tcPr>
            <w:tcW w:w="567" w:type="dxa"/>
            <w:shd w:val="clear" w:color="auto" w:fill="auto"/>
          </w:tcPr>
          <w:p w14:paraId="1C6357A5" w14:textId="77777777" w:rsidR="00BD60FD" w:rsidRPr="00771D6F" w:rsidRDefault="00BD60FD" w:rsidP="003453E4">
            <w:pPr>
              <w:pStyle w:val="ListParagraph"/>
              <w:numPr>
                <w:ilvl w:val="0"/>
                <w:numId w:val="18"/>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2A260978" w14:textId="77777777" w:rsidR="00BD60FD" w:rsidRPr="003B4F95" w:rsidRDefault="00BD60FD" w:rsidP="003453E4">
            <w:pPr>
              <w:spacing w:before="20" w:after="40" w:line="28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104600BC" w14:textId="77777777" w:rsidR="00BD60FD" w:rsidRPr="003B4F95"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6896F25A" w14:textId="77777777" w:rsidR="00BD60FD" w:rsidRPr="003B4F95" w:rsidRDefault="00BD60FD"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1DC6088" w14:textId="16F4066B" w:rsidR="00BD60FD" w:rsidRPr="003B4F95" w:rsidRDefault="00774F11" w:rsidP="003453E4">
            <w:pPr>
              <w:spacing w:before="20" w:after="40" w:line="280" w:lineRule="atLeast"/>
              <w:jc w:val="right"/>
              <w:rPr>
                <w:rFonts w:ascii="Verdana" w:hAnsi="Verdana"/>
                <w:color w:val="000000"/>
                <w:sz w:val="18"/>
                <w:szCs w:val="18"/>
              </w:rPr>
            </w:pPr>
            <w:r>
              <w:rPr>
                <w:rFonts w:ascii="Verdana" w:hAnsi="Verdana"/>
                <w:color w:val="000000"/>
                <w:sz w:val="18"/>
                <w:szCs w:val="18"/>
              </w:rPr>
              <w:t>148,3</w:t>
            </w:r>
          </w:p>
        </w:tc>
        <w:tc>
          <w:tcPr>
            <w:tcW w:w="1418" w:type="dxa"/>
            <w:vAlign w:val="center"/>
          </w:tcPr>
          <w:p w14:paraId="7E700237" w14:textId="1ABC889E" w:rsidR="00BD60FD" w:rsidRPr="003B4F95" w:rsidRDefault="009C71D3"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A11FCC2" w14:textId="2961CC42" w:rsidR="00BD60FD" w:rsidRPr="003B4F95" w:rsidRDefault="006E0E3D" w:rsidP="003453E4">
            <w:pPr>
              <w:spacing w:before="20" w:after="40" w:line="280" w:lineRule="atLeast"/>
              <w:jc w:val="right"/>
              <w:rPr>
                <w:rFonts w:ascii="Verdana" w:hAnsi="Verdana"/>
                <w:color w:val="000000"/>
                <w:sz w:val="18"/>
                <w:szCs w:val="18"/>
              </w:rPr>
            </w:pPr>
            <w:r>
              <w:rPr>
                <w:rFonts w:ascii="Verdana" w:hAnsi="Verdana"/>
                <w:color w:val="000000"/>
                <w:sz w:val="18"/>
                <w:szCs w:val="18"/>
              </w:rPr>
              <w:t>148,3</w:t>
            </w:r>
          </w:p>
        </w:tc>
      </w:tr>
      <w:tr w:rsidR="00BD60FD" w:rsidRPr="000435BE" w14:paraId="1AE5CE6C" w14:textId="77777777" w:rsidTr="001C1A83">
        <w:tc>
          <w:tcPr>
            <w:tcW w:w="2551" w:type="dxa"/>
            <w:gridSpan w:val="3"/>
            <w:shd w:val="clear" w:color="auto" w:fill="auto"/>
          </w:tcPr>
          <w:p w14:paraId="0278B047" w14:textId="77777777" w:rsidR="00BD60FD" w:rsidRPr="003B4F95" w:rsidRDefault="00BD60FD" w:rsidP="003453E4">
            <w:pPr>
              <w:spacing w:before="20" w:after="40" w:line="28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0F4F35" w14:textId="6391E6C8" w:rsidR="00BD60FD" w:rsidRPr="003B4F95" w:rsidRDefault="00BD60FD" w:rsidP="003453E4">
            <w:pPr>
              <w:spacing w:before="20" w:after="40" w:line="280" w:lineRule="atLeast"/>
              <w:jc w:val="center"/>
              <w:rPr>
                <w:rFonts w:ascii="Verdana" w:hAnsi="Verdana"/>
                <w:b/>
                <w:color w:val="000000"/>
                <w:sz w:val="18"/>
                <w:szCs w:val="18"/>
              </w:rPr>
            </w:pPr>
            <w:r>
              <w:rPr>
                <w:rFonts w:ascii="Verdana" w:hAnsi="Verdana"/>
                <w:b/>
                <w:color w:val="000000"/>
                <w:sz w:val="18"/>
                <w:szCs w:val="18"/>
              </w:rPr>
              <w:t>8</w:t>
            </w:r>
            <w:r w:rsidR="00405F9A">
              <w:rPr>
                <w:rFonts w:ascii="Verdana" w:hAnsi="Verdana"/>
                <w:b/>
                <w:color w:val="000000"/>
                <w:sz w:val="18"/>
                <w:szCs w:val="18"/>
              </w:rPr>
              <w:t>2</w:t>
            </w:r>
          </w:p>
        </w:tc>
        <w:tc>
          <w:tcPr>
            <w:tcW w:w="992" w:type="dxa"/>
            <w:shd w:val="clear" w:color="auto" w:fill="auto"/>
            <w:vAlign w:val="center"/>
          </w:tcPr>
          <w:p w14:paraId="455EA608" w14:textId="5543C224" w:rsidR="00BD60FD" w:rsidRPr="003B4F95" w:rsidRDefault="00BD60FD" w:rsidP="003453E4">
            <w:pPr>
              <w:spacing w:before="20" w:after="40" w:line="280" w:lineRule="atLeast"/>
              <w:jc w:val="center"/>
              <w:rPr>
                <w:rFonts w:ascii="Verdana" w:hAnsi="Verdana"/>
                <w:b/>
                <w:color w:val="000000"/>
                <w:sz w:val="18"/>
                <w:szCs w:val="18"/>
              </w:rPr>
            </w:pPr>
            <w:r>
              <w:rPr>
                <w:rFonts w:ascii="Verdana" w:hAnsi="Verdana"/>
                <w:b/>
                <w:color w:val="000000"/>
                <w:sz w:val="18"/>
                <w:szCs w:val="18"/>
              </w:rPr>
              <w:t>5</w:t>
            </w:r>
            <w:r w:rsidR="00405F9A">
              <w:rPr>
                <w:rFonts w:ascii="Verdana" w:hAnsi="Verdana"/>
                <w:b/>
                <w:color w:val="000000"/>
                <w:sz w:val="18"/>
                <w:szCs w:val="18"/>
              </w:rPr>
              <w:t>5</w:t>
            </w:r>
          </w:p>
        </w:tc>
        <w:tc>
          <w:tcPr>
            <w:tcW w:w="1417" w:type="dxa"/>
            <w:vAlign w:val="center"/>
          </w:tcPr>
          <w:p w14:paraId="5B146289" w14:textId="36597FFD" w:rsidR="00BD60FD" w:rsidRPr="003B4F95" w:rsidRDefault="00BD60FD" w:rsidP="003453E4">
            <w:pPr>
              <w:spacing w:before="20" w:after="40" w:line="280" w:lineRule="atLeast"/>
              <w:jc w:val="right"/>
              <w:rPr>
                <w:rFonts w:ascii="Verdana" w:hAnsi="Verdana"/>
                <w:b/>
                <w:color w:val="000000"/>
                <w:sz w:val="18"/>
                <w:szCs w:val="18"/>
              </w:rPr>
            </w:pPr>
            <w:r>
              <w:rPr>
                <w:rFonts w:ascii="Verdana" w:hAnsi="Verdana"/>
                <w:b/>
                <w:color w:val="000000"/>
                <w:sz w:val="18"/>
                <w:szCs w:val="18"/>
              </w:rPr>
              <w:t>1</w:t>
            </w:r>
            <w:r w:rsidR="00774F11">
              <w:rPr>
                <w:rFonts w:ascii="Verdana" w:hAnsi="Verdana"/>
                <w:b/>
                <w:color w:val="000000"/>
                <w:sz w:val="18"/>
                <w:szCs w:val="18"/>
              </w:rPr>
              <w:t>11</w:t>
            </w:r>
            <w:r>
              <w:rPr>
                <w:rFonts w:ascii="Verdana" w:hAnsi="Verdana"/>
                <w:b/>
                <w:color w:val="000000"/>
                <w:sz w:val="18"/>
                <w:szCs w:val="18"/>
              </w:rPr>
              <w:t> </w:t>
            </w:r>
            <w:r w:rsidR="00774F11">
              <w:rPr>
                <w:rFonts w:ascii="Verdana" w:hAnsi="Verdana"/>
                <w:b/>
                <w:color w:val="000000"/>
                <w:sz w:val="18"/>
                <w:szCs w:val="18"/>
              </w:rPr>
              <w:t>860</w:t>
            </w:r>
            <w:r>
              <w:rPr>
                <w:rFonts w:ascii="Verdana" w:hAnsi="Verdana"/>
                <w:b/>
                <w:color w:val="000000"/>
                <w:sz w:val="18"/>
                <w:szCs w:val="18"/>
              </w:rPr>
              <w:t>,</w:t>
            </w:r>
            <w:r w:rsidR="00774F11">
              <w:rPr>
                <w:rFonts w:ascii="Verdana" w:hAnsi="Verdana"/>
                <w:b/>
                <w:color w:val="000000"/>
                <w:sz w:val="18"/>
                <w:szCs w:val="18"/>
              </w:rPr>
              <w:t>3</w:t>
            </w:r>
          </w:p>
        </w:tc>
        <w:tc>
          <w:tcPr>
            <w:tcW w:w="1418" w:type="dxa"/>
            <w:vAlign w:val="center"/>
          </w:tcPr>
          <w:p w14:paraId="3815159C" w14:textId="6EBCA816" w:rsidR="00BD60FD" w:rsidRPr="003B4F95" w:rsidRDefault="00BD198C" w:rsidP="003453E4">
            <w:pPr>
              <w:spacing w:before="20" w:after="40" w:line="280" w:lineRule="atLeast"/>
              <w:jc w:val="right"/>
              <w:rPr>
                <w:rFonts w:ascii="Verdana" w:hAnsi="Verdana"/>
                <w:b/>
                <w:color w:val="000000"/>
                <w:sz w:val="18"/>
                <w:szCs w:val="18"/>
              </w:rPr>
            </w:pPr>
            <w:r>
              <w:rPr>
                <w:rFonts w:ascii="Verdana" w:hAnsi="Verdana"/>
                <w:b/>
                <w:color w:val="000000"/>
                <w:sz w:val="18"/>
                <w:szCs w:val="18"/>
              </w:rPr>
              <w:t>12</w:t>
            </w:r>
            <w:r w:rsidR="00BD60FD">
              <w:rPr>
                <w:rFonts w:ascii="Verdana" w:hAnsi="Verdana"/>
                <w:b/>
                <w:color w:val="000000"/>
                <w:sz w:val="18"/>
                <w:szCs w:val="18"/>
              </w:rPr>
              <w:t> </w:t>
            </w:r>
            <w:r>
              <w:rPr>
                <w:rFonts w:ascii="Verdana" w:hAnsi="Verdana"/>
                <w:b/>
                <w:color w:val="000000"/>
                <w:sz w:val="18"/>
                <w:szCs w:val="18"/>
              </w:rPr>
              <w:t>615</w:t>
            </w:r>
            <w:r w:rsidR="00BD60FD">
              <w:rPr>
                <w:rFonts w:ascii="Verdana" w:hAnsi="Verdana"/>
                <w:b/>
                <w:color w:val="000000"/>
                <w:sz w:val="18"/>
                <w:szCs w:val="18"/>
              </w:rPr>
              <w:t>,</w:t>
            </w:r>
            <w:r>
              <w:rPr>
                <w:rFonts w:ascii="Verdana" w:hAnsi="Verdana"/>
                <w:b/>
                <w:color w:val="000000"/>
                <w:sz w:val="18"/>
                <w:szCs w:val="18"/>
              </w:rPr>
              <w:t>0</w:t>
            </w:r>
          </w:p>
        </w:tc>
        <w:tc>
          <w:tcPr>
            <w:tcW w:w="1843" w:type="dxa"/>
            <w:vAlign w:val="center"/>
          </w:tcPr>
          <w:p w14:paraId="1BEAD478" w14:textId="2524CE2D" w:rsidR="00BD60FD" w:rsidRPr="003B4F95" w:rsidRDefault="006E0E3D" w:rsidP="003453E4">
            <w:pPr>
              <w:spacing w:before="20" w:after="40" w:line="280" w:lineRule="atLeast"/>
              <w:jc w:val="right"/>
              <w:rPr>
                <w:rFonts w:ascii="Verdana" w:hAnsi="Verdana"/>
                <w:b/>
                <w:color w:val="000000"/>
                <w:sz w:val="18"/>
                <w:szCs w:val="18"/>
              </w:rPr>
            </w:pPr>
            <w:r>
              <w:rPr>
                <w:rFonts w:ascii="Verdana" w:hAnsi="Verdana"/>
                <w:b/>
                <w:color w:val="000000"/>
                <w:sz w:val="18"/>
                <w:szCs w:val="18"/>
              </w:rPr>
              <w:t>124</w:t>
            </w:r>
            <w:r w:rsidR="000204F0">
              <w:rPr>
                <w:rFonts w:ascii="Verdana" w:hAnsi="Verdana"/>
                <w:b/>
                <w:color w:val="000000"/>
                <w:sz w:val="18"/>
                <w:szCs w:val="18"/>
              </w:rPr>
              <w:t> </w:t>
            </w:r>
            <w:r>
              <w:rPr>
                <w:rFonts w:ascii="Verdana" w:hAnsi="Verdana"/>
                <w:b/>
                <w:color w:val="000000"/>
                <w:sz w:val="18"/>
                <w:szCs w:val="18"/>
              </w:rPr>
              <w:t>475</w:t>
            </w:r>
            <w:r w:rsidR="000204F0">
              <w:rPr>
                <w:rFonts w:ascii="Verdana" w:hAnsi="Verdana"/>
                <w:b/>
                <w:color w:val="000000"/>
                <w:sz w:val="18"/>
                <w:szCs w:val="18"/>
              </w:rPr>
              <w:t>,3</w:t>
            </w:r>
          </w:p>
        </w:tc>
      </w:tr>
      <w:tr w:rsidR="00BD60FD" w:rsidRPr="006C1593" w14:paraId="7434251C" w14:textId="77777777" w:rsidTr="001C1A83">
        <w:trPr>
          <w:trHeight w:val="217"/>
        </w:trPr>
        <w:tc>
          <w:tcPr>
            <w:tcW w:w="850" w:type="dxa"/>
            <w:gridSpan w:val="2"/>
            <w:tcBorders>
              <w:right w:val="nil"/>
            </w:tcBorders>
            <w:shd w:val="clear" w:color="auto" w:fill="auto"/>
            <w:vAlign w:val="center"/>
          </w:tcPr>
          <w:p w14:paraId="7D2CBC01" w14:textId="77777777" w:rsidR="00BD60FD" w:rsidRPr="000435BE" w:rsidRDefault="00BD60FD" w:rsidP="00BD60FD">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38356A19" w14:textId="758F36BD" w:rsidR="00BD60FD" w:rsidRPr="00573EA2" w:rsidRDefault="00BD60FD" w:rsidP="00BD60FD">
            <w:pPr>
              <w:spacing w:after="40" w:line="280" w:lineRule="atLeast"/>
              <w:rPr>
                <w:rFonts w:ascii="Verdana" w:hAnsi="Verdana"/>
                <w:i/>
                <w:color w:val="000000"/>
                <w:sz w:val="14"/>
                <w:szCs w:val="14"/>
                <w:lang w:val="it-IT"/>
              </w:rPr>
            </w:pPr>
            <w:r w:rsidRPr="00573EA2">
              <w:rPr>
                <w:rFonts w:ascii="Verdana" w:hAnsi="Verdana"/>
                <w:i/>
                <w:color w:val="000000"/>
                <w:sz w:val="14"/>
                <w:szCs w:val="14"/>
                <w:lang w:val="it-IT"/>
              </w:rPr>
              <w:t>etfSA.co.za / JSE / Profile Data (3</w:t>
            </w:r>
            <w:r w:rsidR="000204F0">
              <w:rPr>
                <w:rFonts w:ascii="Verdana" w:hAnsi="Verdana"/>
                <w:i/>
                <w:color w:val="000000"/>
                <w:sz w:val="14"/>
                <w:szCs w:val="14"/>
                <w:lang w:val="it-IT"/>
              </w:rPr>
              <w:t>0</w:t>
            </w:r>
            <w:r w:rsidRPr="00573EA2">
              <w:rPr>
                <w:rFonts w:ascii="Verdana" w:hAnsi="Verdana"/>
                <w:i/>
                <w:color w:val="000000"/>
                <w:sz w:val="14"/>
                <w:szCs w:val="14"/>
                <w:lang w:val="it-IT"/>
              </w:rPr>
              <w:t>/</w:t>
            </w:r>
            <w:r w:rsidR="000204F0">
              <w:rPr>
                <w:rFonts w:ascii="Verdana" w:hAnsi="Verdana"/>
                <w:i/>
                <w:color w:val="000000"/>
                <w:sz w:val="14"/>
                <w:szCs w:val="14"/>
                <w:lang w:val="it-IT"/>
              </w:rPr>
              <w:t>6</w:t>
            </w:r>
            <w:r w:rsidRPr="00573EA2">
              <w:rPr>
                <w:rFonts w:ascii="Verdana" w:hAnsi="Verdana"/>
                <w:i/>
                <w:color w:val="000000"/>
                <w:sz w:val="14"/>
                <w:szCs w:val="14"/>
                <w:lang w:val="it-IT"/>
              </w:rPr>
              <w:t>/202</w:t>
            </w:r>
            <w:r>
              <w:rPr>
                <w:rFonts w:ascii="Verdana" w:hAnsi="Verdana"/>
                <w:i/>
                <w:color w:val="000000"/>
                <w:sz w:val="14"/>
                <w:szCs w:val="14"/>
                <w:lang w:val="it-IT"/>
              </w:rPr>
              <w:t>1</w:t>
            </w:r>
            <w:r w:rsidRPr="00573EA2">
              <w:rPr>
                <w:rFonts w:ascii="Verdana" w:hAnsi="Verdana"/>
                <w:i/>
                <w:color w:val="000000"/>
                <w:sz w:val="14"/>
                <w:szCs w:val="14"/>
                <w:lang w:val="it-IT"/>
              </w:rPr>
              <w:t xml:space="preserve">). </w:t>
            </w:r>
          </w:p>
        </w:tc>
      </w:tr>
    </w:tbl>
    <w:p w14:paraId="0F808FD2" w14:textId="77777777" w:rsidR="006015AB" w:rsidRPr="002F5364" w:rsidRDefault="006015AB" w:rsidP="00E64BE4">
      <w:pPr>
        <w:spacing w:after="0" w:line="340" w:lineRule="atLeast"/>
        <w:rPr>
          <w:rFonts w:ascii="Verdana" w:hAnsi="Verdana"/>
          <w:color w:val="000000"/>
          <w:sz w:val="21"/>
          <w:szCs w:val="21"/>
          <w:lang w:val="it-IT"/>
        </w:rPr>
      </w:pPr>
    </w:p>
    <w:p w14:paraId="2673AF93" w14:textId="64240EDA" w:rsidR="0013275D" w:rsidRDefault="00A547A7" w:rsidP="00E64BE4">
      <w:pPr>
        <w:spacing w:after="0" w:line="320" w:lineRule="atLeast"/>
        <w:rPr>
          <w:rFonts w:ascii="Verdana" w:hAnsi="Verdana"/>
          <w:color w:val="000000"/>
          <w:sz w:val="21"/>
          <w:szCs w:val="21"/>
        </w:rPr>
      </w:pPr>
      <w:r w:rsidRPr="00E674AE">
        <w:rPr>
          <w:rFonts w:ascii="Verdana" w:hAnsi="Verdana"/>
          <w:b/>
          <w:bCs/>
          <w:color w:val="000000"/>
          <w:sz w:val="21"/>
          <w:szCs w:val="21"/>
        </w:rPr>
        <w:t>Satrix Managers</w:t>
      </w:r>
      <w:r>
        <w:rPr>
          <w:rFonts w:ascii="Verdana" w:hAnsi="Verdana"/>
          <w:color w:val="000000"/>
          <w:sz w:val="21"/>
          <w:szCs w:val="21"/>
        </w:rPr>
        <w:t xml:space="preserve"> </w:t>
      </w:r>
      <w:r w:rsidR="007561FE">
        <w:rPr>
          <w:rFonts w:ascii="Verdana" w:hAnsi="Verdana"/>
          <w:color w:val="000000"/>
          <w:sz w:val="21"/>
          <w:szCs w:val="21"/>
        </w:rPr>
        <w:t xml:space="preserve">– as highlighted earlier in this report, Satrix Managers, with </w:t>
      </w:r>
      <w:r w:rsidR="00B8742E">
        <w:rPr>
          <w:rFonts w:ascii="Verdana" w:hAnsi="Verdana"/>
          <w:color w:val="000000"/>
          <w:sz w:val="21"/>
          <w:szCs w:val="21"/>
        </w:rPr>
        <w:t>its sta</w:t>
      </w:r>
      <w:r w:rsidR="005B0992">
        <w:rPr>
          <w:rFonts w:ascii="Verdana" w:hAnsi="Verdana"/>
          <w:color w:val="000000"/>
          <w:sz w:val="21"/>
          <w:szCs w:val="21"/>
        </w:rPr>
        <w:t>ble</w:t>
      </w:r>
      <w:r w:rsidR="00B8742E">
        <w:rPr>
          <w:rFonts w:ascii="Verdana" w:hAnsi="Verdana"/>
          <w:color w:val="000000"/>
          <w:sz w:val="21"/>
          <w:szCs w:val="21"/>
        </w:rPr>
        <w:t xml:space="preserve"> of 20 ETFs, has taken back </w:t>
      </w:r>
      <w:r w:rsidR="005B0992">
        <w:rPr>
          <w:rFonts w:ascii="Verdana" w:hAnsi="Verdana"/>
          <w:color w:val="000000"/>
          <w:sz w:val="21"/>
          <w:szCs w:val="21"/>
        </w:rPr>
        <w:t xml:space="preserve">its </w:t>
      </w:r>
      <w:r w:rsidR="00B8742E">
        <w:rPr>
          <w:rFonts w:ascii="Verdana" w:hAnsi="Verdana"/>
          <w:color w:val="000000"/>
          <w:sz w:val="21"/>
          <w:szCs w:val="21"/>
        </w:rPr>
        <w:t>top spot in the ETP industry, measured by the market capitalisation of all its ETFs in issue</w:t>
      </w:r>
      <w:r w:rsidR="005B0992">
        <w:rPr>
          <w:rFonts w:ascii="Verdana" w:hAnsi="Verdana"/>
          <w:color w:val="000000"/>
          <w:sz w:val="21"/>
          <w:szCs w:val="21"/>
        </w:rPr>
        <w:t>, for the first time since 2008</w:t>
      </w:r>
      <w:r w:rsidR="00B8742E">
        <w:rPr>
          <w:rFonts w:ascii="Verdana" w:hAnsi="Verdana"/>
          <w:color w:val="000000"/>
          <w:sz w:val="21"/>
          <w:szCs w:val="21"/>
        </w:rPr>
        <w:t xml:space="preserve">. </w:t>
      </w:r>
    </w:p>
    <w:p w14:paraId="10C078EC" w14:textId="77777777" w:rsidR="00B8742E" w:rsidRDefault="00B8742E" w:rsidP="00E64BE4">
      <w:pPr>
        <w:spacing w:after="0" w:line="320" w:lineRule="atLeast"/>
        <w:rPr>
          <w:rFonts w:ascii="Verdana" w:hAnsi="Verdana"/>
          <w:color w:val="000000"/>
          <w:sz w:val="21"/>
          <w:szCs w:val="21"/>
        </w:rPr>
      </w:pPr>
    </w:p>
    <w:p w14:paraId="504B84AD" w14:textId="7DB9F18F" w:rsidR="00B8742E" w:rsidRDefault="00B8742E" w:rsidP="00E64BE4">
      <w:pPr>
        <w:spacing w:after="0" w:line="320" w:lineRule="atLeast"/>
        <w:rPr>
          <w:rFonts w:ascii="Verdana" w:hAnsi="Verdana"/>
          <w:color w:val="000000"/>
          <w:sz w:val="21"/>
          <w:szCs w:val="21"/>
        </w:rPr>
      </w:pPr>
      <w:r>
        <w:rPr>
          <w:rFonts w:ascii="Verdana" w:hAnsi="Verdana"/>
          <w:color w:val="000000"/>
          <w:sz w:val="21"/>
          <w:szCs w:val="21"/>
        </w:rPr>
        <w:t>Satrix</w:t>
      </w:r>
      <w:r w:rsidR="00FB18DD">
        <w:rPr>
          <w:rFonts w:ascii="Verdana" w:hAnsi="Verdana"/>
          <w:color w:val="000000"/>
          <w:sz w:val="21"/>
          <w:szCs w:val="21"/>
        </w:rPr>
        <w:t xml:space="preserve">’s strategy of focussing on its foreign referenced ETF </w:t>
      </w:r>
      <w:r w:rsidR="002D1ED9">
        <w:rPr>
          <w:rFonts w:ascii="Verdana" w:hAnsi="Verdana"/>
          <w:color w:val="000000"/>
          <w:sz w:val="21"/>
          <w:szCs w:val="21"/>
        </w:rPr>
        <w:t xml:space="preserve">products </w:t>
      </w:r>
      <w:r w:rsidR="00227D37">
        <w:rPr>
          <w:rFonts w:ascii="Verdana" w:hAnsi="Verdana"/>
          <w:color w:val="000000"/>
          <w:sz w:val="21"/>
          <w:szCs w:val="21"/>
        </w:rPr>
        <w:t xml:space="preserve">as a convenient, low cost and efficient way of gaining access </w:t>
      </w:r>
      <w:r w:rsidR="005B0992">
        <w:rPr>
          <w:rFonts w:ascii="Verdana" w:hAnsi="Verdana"/>
          <w:color w:val="000000"/>
          <w:sz w:val="21"/>
          <w:szCs w:val="21"/>
        </w:rPr>
        <w:t xml:space="preserve">to </w:t>
      </w:r>
      <w:r w:rsidR="00227D37">
        <w:rPr>
          <w:rFonts w:ascii="Verdana" w:hAnsi="Verdana"/>
          <w:color w:val="000000"/>
          <w:sz w:val="21"/>
          <w:szCs w:val="21"/>
        </w:rPr>
        <w:t xml:space="preserve">global assets by buying JSE </w:t>
      </w:r>
      <w:r w:rsidR="005B0992">
        <w:rPr>
          <w:rFonts w:ascii="Verdana" w:hAnsi="Verdana"/>
          <w:color w:val="000000"/>
          <w:sz w:val="21"/>
          <w:szCs w:val="21"/>
        </w:rPr>
        <w:t>inward</w:t>
      </w:r>
      <w:r w:rsidR="00C83652">
        <w:rPr>
          <w:rFonts w:ascii="Verdana" w:hAnsi="Verdana"/>
          <w:color w:val="000000"/>
          <w:sz w:val="21"/>
          <w:szCs w:val="21"/>
        </w:rPr>
        <w:t xml:space="preserve"> </w:t>
      </w:r>
      <w:r w:rsidR="00227D37">
        <w:rPr>
          <w:rFonts w:ascii="Verdana" w:hAnsi="Verdana"/>
          <w:color w:val="000000"/>
          <w:sz w:val="21"/>
          <w:szCs w:val="21"/>
        </w:rPr>
        <w:t xml:space="preserve">listed products, appears to be gaining momentum.  </w:t>
      </w:r>
      <w:r w:rsidR="00CE72B9">
        <w:rPr>
          <w:rFonts w:ascii="Verdana" w:hAnsi="Verdana"/>
          <w:color w:val="000000"/>
          <w:sz w:val="21"/>
          <w:szCs w:val="21"/>
        </w:rPr>
        <w:t xml:space="preserve">The feeder fund structure, whereby Satrix uses iShares offshore listed products to purchase the underlying </w:t>
      </w:r>
      <w:r w:rsidR="00244ACE">
        <w:rPr>
          <w:rFonts w:ascii="Verdana" w:hAnsi="Verdana"/>
          <w:color w:val="000000"/>
          <w:sz w:val="21"/>
          <w:szCs w:val="21"/>
        </w:rPr>
        <w:t xml:space="preserve">100% cover for its South African listed ETFs, is working well and has </w:t>
      </w:r>
      <w:r w:rsidR="00C83652">
        <w:rPr>
          <w:rFonts w:ascii="Verdana" w:hAnsi="Verdana"/>
          <w:color w:val="000000"/>
          <w:sz w:val="21"/>
          <w:szCs w:val="21"/>
        </w:rPr>
        <w:t>good</w:t>
      </w:r>
      <w:r w:rsidR="00244ACE">
        <w:rPr>
          <w:rFonts w:ascii="Verdana" w:hAnsi="Verdana"/>
          <w:color w:val="000000"/>
          <w:sz w:val="21"/>
          <w:szCs w:val="21"/>
        </w:rPr>
        <w:t xml:space="preserve"> market acceptance. </w:t>
      </w:r>
    </w:p>
    <w:p w14:paraId="2B2E5EB2" w14:textId="2CF39E0B" w:rsidR="00244ACE" w:rsidRDefault="00244ACE" w:rsidP="00E64BE4">
      <w:pPr>
        <w:spacing w:after="0" w:line="320" w:lineRule="atLeast"/>
        <w:rPr>
          <w:rFonts w:ascii="Verdana" w:hAnsi="Verdana"/>
          <w:color w:val="000000"/>
          <w:sz w:val="21"/>
          <w:szCs w:val="21"/>
        </w:rPr>
      </w:pPr>
    </w:p>
    <w:p w14:paraId="1902DB7F" w14:textId="6B0E71E1" w:rsidR="00244ACE" w:rsidRDefault="00244ACE" w:rsidP="00E64BE4">
      <w:pPr>
        <w:spacing w:after="0" w:line="320" w:lineRule="atLeast"/>
        <w:rPr>
          <w:rFonts w:ascii="Verdana" w:hAnsi="Verdana"/>
          <w:color w:val="000000"/>
          <w:sz w:val="21"/>
          <w:szCs w:val="21"/>
        </w:rPr>
      </w:pPr>
      <w:r>
        <w:rPr>
          <w:rFonts w:ascii="Verdana" w:hAnsi="Verdana"/>
          <w:color w:val="000000"/>
          <w:sz w:val="21"/>
          <w:szCs w:val="21"/>
        </w:rPr>
        <w:t>Satrix has indicated</w:t>
      </w:r>
      <w:r w:rsidR="00D331A9">
        <w:rPr>
          <w:rFonts w:ascii="Verdana" w:hAnsi="Verdana"/>
          <w:color w:val="000000"/>
          <w:sz w:val="21"/>
          <w:szCs w:val="21"/>
        </w:rPr>
        <w:t xml:space="preserve"> </w:t>
      </w:r>
      <w:r>
        <w:rPr>
          <w:rFonts w:ascii="Verdana" w:hAnsi="Verdana"/>
          <w:color w:val="000000"/>
          <w:sz w:val="21"/>
          <w:szCs w:val="21"/>
        </w:rPr>
        <w:t>that it is looking to list further ETFs on the JSE du</w:t>
      </w:r>
      <w:r w:rsidR="00D331A9">
        <w:rPr>
          <w:rFonts w:ascii="Verdana" w:hAnsi="Verdana"/>
          <w:color w:val="000000"/>
          <w:sz w:val="21"/>
          <w:szCs w:val="21"/>
        </w:rPr>
        <w:t>r</w:t>
      </w:r>
      <w:r>
        <w:rPr>
          <w:rFonts w:ascii="Verdana" w:hAnsi="Verdana"/>
          <w:color w:val="000000"/>
          <w:sz w:val="21"/>
          <w:szCs w:val="21"/>
        </w:rPr>
        <w:t xml:space="preserve">ing the course of this year, which </w:t>
      </w:r>
      <w:r w:rsidR="00C83652">
        <w:rPr>
          <w:rFonts w:ascii="Verdana" w:hAnsi="Verdana"/>
          <w:color w:val="000000"/>
          <w:sz w:val="21"/>
          <w:szCs w:val="21"/>
        </w:rPr>
        <w:t>could</w:t>
      </w:r>
      <w:r>
        <w:rPr>
          <w:rFonts w:ascii="Verdana" w:hAnsi="Verdana"/>
          <w:color w:val="000000"/>
          <w:sz w:val="21"/>
          <w:szCs w:val="21"/>
        </w:rPr>
        <w:t xml:space="preserve"> </w:t>
      </w:r>
      <w:r w:rsidR="00D331A9">
        <w:rPr>
          <w:rFonts w:ascii="Verdana" w:hAnsi="Verdana"/>
          <w:color w:val="000000"/>
          <w:sz w:val="21"/>
          <w:szCs w:val="21"/>
        </w:rPr>
        <w:t xml:space="preserve">be of assistance to them in retaining their number one spot </w:t>
      </w:r>
      <w:r w:rsidR="00201C15">
        <w:rPr>
          <w:rFonts w:ascii="Verdana" w:hAnsi="Verdana"/>
          <w:color w:val="000000"/>
          <w:sz w:val="21"/>
          <w:szCs w:val="21"/>
        </w:rPr>
        <w:t xml:space="preserve">in the </w:t>
      </w:r>
      <w:r w:rsidR="00C83652">
        <w:rPr>
          <w:rFonts w:ascii="Verdana" w:hAnsi="Verdana"/>
          <w:color w:val="000000"/>
          <w:sz w:val="21"/>
          <w:szCs w:val="21"/>
        </w:rPr>
        <w:t>local</w:t>
      </w:r>
      <w:r w:rsidR="00201C15">
        <w:rPr>
          <w:rFonts w:ascii="Verdana" w:hAnsi="Verdana"/>
          <w:color w:val="000000"/>
          <w:sz w:val="21"/>
          <w:szCs w:val="21"/>
        </w:rPr>
        <w:t xml:space="preserve"> ETP industry</w:t>
      </w:r>
      <w:r w:rsidR="006B399B">
        <w:rPr>
          <w:rFonts w:ascii="Verdana" w:hAnsi="Verdana"/>
          <w:color w:val="000000"/>
          <w:sz w:val="21"/>
          <w:szCs w:val="21"/>
        </w:rPr>
        <w:t xml:space="preserve">.  </w:t>
      </w:r>
    </w:p>
    <w:p w14:paraId="37E97D46" w14:textId="66E02139" w:rsidR="006B399B" w:rsidRDefault="006B399B" w:rsidP="003453E4">
      <w:pPr>
        <w:spacing w:after="0" w:line="340" w:lineRule="atLeast"/>
        <w:rPr>
          <w:rFonts w:ascii="Verdana" w:hAnsi="Verdana"/>
          <w:color w:val="000000"/>
          <w:sz w:val="21"/>
          <w:szCs w:val="21"/>
        </w:rPr>
      </w:pPr>
      <w:r>
        <w:rPr>
          <w:rFonts w:ascii="Verdana" w:hAnsi="Verdana"/>
          <w:b/>
          <w:bCs/>
          <w:color w:val="000000"/>
          <w:sz w:val="21"/>
          <w:szCs w:val="21"/>
        </w:rPr>
        <w:lastRenderedPageBreak/>
        <w:t>Absa Capital</w:t>
      </w:r>
      <w:r>
        <w:rPr>
          <w:rFonts w:ascii="Verdana" w:hAnsi="Verdana"/>
          <w:color w:val="000000"/>
          <w:sz w:val="21"/>
          <w:szCs w:val="21"/>
        </w:rPr>
        <w:t xml:space="preserve"> – Absa’s vulnerability to the commodity price cycle, with 85% or more of the market cap of their ETFs and ETNs </w:t>
      </w:r>
      <w:r w:rsidR="0017124F">
        <w:rPr>
          <w:rFonts w:ascii="Verdana" w:hAnsi="Verdana"/>
          <w:color w:val="000000"/>
          <w:sz w:val="21"/>
          <w:szCs w:val="21"/>
        </w:rPr>
        <w:t xml:space="preserve">it has in issue linked to tracking commodity prices, has </w:t>
      </w:r>
      <w:r w:rsidR="00D435A8">
        <w:rPr>
          <w:rFonts w:ascii="Verdana" w:hAnsi="Verdana"/>
          <w:color w:val="000000"/>
          <w:sz w:val="21"/>
          <w:szCs w:val="21"/>
        </w:rPr>
        <w:t>st</w:t>
      </w:r>
      <w:r w:rsidR="00CA0778">
        <w:rPr>
          <w:rFonts w:ascii="Verdana" w:hAnsi="Verdana"/>
          <w:color w:val="000000"/>
          <w:sz w:val="21"/>
          <w:szCs w:val="21"/>
        </w:rPr>
        <w:t>r</w:t>
      </w:r>
      <w:r w:rsidR="00D435A8">
        <w:rPr>
          <w:rFonts w:ascii="Verdana" w:hAnsi="Verdana"/>
          <w:color w:val="000000"/>
          <w:sz w:val="21"/>
          <w:szCs w:val="21"/>
        </w:rPr>
        <w:t xml:space="preserve">uck </w:t>
      </w:r>
      <w:r w:rsidR="00CA0778">
        <w:rPr>
          <w:rFonts w:ascii="Verdana" w:hAnsi="Verdana"/>
          <w:color w:val="000000"/>
          <w:sz w:val="21"/>
          <w:szCs w:val="21"/>
        </w:rPr>
        <w:t xml:space="preserve">back </w:t>
      </w:r>
      <w:r w:rsidR="00D435A8">
        <w:rPr>
          <w:rFonts w:ascii="Verdana" w:hAnsi="Verdana"/>
          <w:color w:val="000000"/>
          <w:sz w:val="21"/>
          <w:szCs w:val="21"/>
        </w:rPr>
        <w:t xml:space="preserve">in the first half of 2021.  Although the positive commodity price cycle appears to still be intact, some profit taking in precious metals has led to an easing of such </w:t>
      </w:r>
      <w:r w:rsidR="00CA0778">
        <w:rPr>
          <w:rFonts w:ascii="Verdana" w:hAnsi="Verdana"/>
          <w:color w:val="000000"/>
          <w:sz w:val="21"/>
          <w:szCs w:val="21"/>
        </w:rPr>
        <w:t xml:space="preserve">metal </w:t>
      </w:r>
      <w:r w:rsidR="00D435A8">
        <w:rPr>
          <w:rFonts w:ascii="Verdana" w:hAnsi="Verdana"/>
          <w:color w:val="000000"/>
          <w:sz w:val="21"/>
          <w:szCs w:val="21"/>
        </w:rPr>
        <w:t xml:space="preserve">prices.  This, coupled with a stronger rand </w:t>
      </w:r>
      <w:r w:rsidR="004423A7">
        <w:rPr>
          <w:rFonts w:ascii="Verdana" w:hAnsi="Verdana"/>
          <w:color w:val="000000"/>
          <w:sz w:val="21"/>
          <w:szCs w:val="21"/>
        </w:rPr>
        <w:t xml:space="preserve">exchange rate </w:t>
      </w:r>
      <w:r w:rsidR="00D435A8">
        <w:rPr>
          <w:rFonts w:ascii="Verdana" w:hAnsi="Verdana"/>
          <w:color w:val="000000"/>
          <w:sz w:val="21"/>
          <w:szCs w:val="21"/>
        </w:rPr>
        <w:t xml:space="preserve">against the US dollar for much of the first </w:t>
      </w:r>
      <w:r w:rsidR="000B77EA">
        <w:rPr>
          <w:rFonts w:ascii="Verdana" w:hAnsi="Verdana"/>
          <w:color w:val="000000"/>
          <w:sz w:val="21"/>
          <w:szCs w:val="21"/>
        </w:rPr>
        <w:t>half of this year</w:t>
      </w:r>
      <w:r w:rsidR="00023812">
        <w:rPr>
          <w:rFonts w:ascii="Verdana" w:hAnsi="Verdana"/>
          <w:color w:val="000000"/>
          <w:sz w:val="21"/>
          <w:szCs w:val="21"/>
        </w:rPr>
        <w:t>,</w:t>
      </w:r>
      <w:r w:rsidR="000B77EA">
        <w:rPr>
          <w:rFonts w:ascii="Verdana" w:hAnsi="Verdana"/>
          <w:color w:val="000000"/>
          <w:sz w:val="21"/>
          <w:szCs w:val="21"/>
        </w:rPr>
        <w:t xml:space="preserve"> has led to a R3 billion dec</w:t>
      </w:r>
      <w:r w:rsidR="00023812">
        <w:rPr>
          <w:rFonts w:ascii="Verdana" w:hAnsi="Verdana"/>
          <w:color w:val="000000"/>
          <w:sz w:val="21"/>
          <w:szCs w:val="21"/>
        </w:rPr>
        <w:t>line in</w:t>
      </w:r>
      <w:r w:rsidR="000B77EA">
        <w:rPr>
          <w:rFonts w:ascii="Verdana" w:hAnsi="Verdana"/>
          <w:color w:val="000000"/>
          <w:sz w:val="21"/>
          <w:szCs w:val="21"/>
        </w:rPr>
        <w:t xml:space="preserve"> the </w:t>
      </w:r>
      <w:r w:rsidR="00023812">
        <w:rPr>
          <w:rFonts w:ascii="Verdana" w:hAnsi="Verdana"/>
          <w:color w:val="000000"/>
          <w:sz w:val="21"/>
          <w:szCs w:val="21"/>
        </w:rPr>
        <w:t xml:space="preserve">market value of the </w:t>
      </w:r>
      <w:r w:rsidR="004423A7">
        <w:rPr>
          <w:rFonts w:ascii="Verdana" w:hAnsi="Verdana"/>
          <w:color w:val="000000"/>
          <w:sz w:val="21"/>
          <w:szCs w:val="21"/>
        </w:rPr>
        <w:t>three</w:t>
      </w:r>
      <w:r w:rsidR="00023812">
        <w:rPr>
          <w:rFonts w:ascii="Verdana" w:hAnsi="Verdana"/>
          <w:color w:val="000000"/>
          <w:sz w:val="21"/>
          <w:szCs w:val="21"/>
        </w:rPr>
        <w:t xml:space="preserve"> NewGold </w:t>
      </w:r>
      <w:r w:rsidR="001204A0">
        <w:rPr>
          <w:rFonts w:ascii="Verdana" w:hAnsi="Verdana"/>
          <w:color w:val="000000"/>
          <w:sz w:val="21"/>
          <w:szCs w:val="21"/>
        </w:rPr>
        <w:t>ETFs in issue, covering gold, platinum and palladium.  This volatility</w:t>
      </w:r>
      <w:r w:rsidR="004423A7">
        <w:rPr>
          <w:rFonts w:ascii="Verdana" w:hAnsi="Verdana"/>
          <w:color w:val="000000"/>
          <w:sz w:val="21"/>
          <w:szCs w:val="21"/>
        </w:rPr>
        <w:t>, which</w:t>
      </w:r>
      <w:r w:rsidR="001204A0">
        <w:rPr>
          <w:rFonts w:ascii="Verdana" w:hAnsi="Verdana"/>
          <w:color w:val="000000"/>
          <w:sz w:val="21"/>
          <w:szCs w:val="21"/>
        </w:rPr>
        <w:t xml:space="preserve"> has worked against Absa Capital in the past 6 months raises the question </w:t>
      </w:r>
      <w:r w:rsidR="00EE2E17">
        <w:rPr>
          <w:rFonts w:ascii="Verdana" w:hAnsi="Verdana"/>
          <w:color w:val="000000"/>
          <w:sz w:val="21"/>
          <w:szCs w:val="21"/>
        </w:rPr>
        <w:t xml:space="preserve">if this issuer should not </w:t>
      </w:r>
      <w:r w:rsidR="00CF7150">
        <w:rPr>
          <w:rFonts w:ascii="Verdana" w:hAnsi="Verdana"/>
          <w:color w:val="000000"/>
          <w:sz w:val="21"/>
          <w:szCs w:val="21"/>
        </w:rPr>
        <w:t xml:space="preserve">be </w:t>
      </w:r>
      <w:r w:rsidR="00EE2E17">
        <w:rPr>
          <w:rFonts w:ascii="Verdana" w:hAnsi="Verdana"/>
          <w:color w:val="000000"/>
          <w:sz w:val="21"/>
          <w:szCs w:val="21"/>
        </w:rPr>
        <w:t>look</w:t>
      </w:r>
      <w:r w:rsidR="00CF7150">
        <w:rPr>
          <w:rFonts w:ascii="Verdana" w:hAnsi="Verdana"/>
          <w:color w:val="000000"/>
          <w:sz w:val="21"/>
          <w:szCs w:val="21"/>
        </w:rPr>
        <w:t>ing</w:t>
      </w:r>
      <w:r w:rsidR="00EE2E17">
        <w:rPr>
          <w:rFonts w:ascii="Verdana" w:hAnsi="Verdana"/>
          <w:color w:val="000000"/>
          <w:sz w:val="21"/>
          <w:szCs w:val="21"/>
        </w:rPr>
        <w:t xml:space="preserve"> to broaden its product base. </w:t>
      </w:r>
    </w:p>
    <w:p w14:paraId="0FE56258" w14:textId="6DFA93D8" w:rsidR="00EE2E17" w:rsidRDefault="00EE2E17" w:rsidP="003453E4">
      <w:pPr>
        <w:spacing w:after="0" w:line="340" w:lineRule="atLeast"/>
        <w:rPr>
          <w:rFonts w:ascii="Verdana" w:hAnsi="Verdana"/>
          <w:color w:val="000000"/>
          <w:sz w:val="21"/>
          <w:szCs w:val="21"/>
        </w:rPr>
      </w:pPr>
    </w:p>
    <w:p w14:paraId="4106C96B" w14:textId="58406E76" w:rsidR="00EE2E17" w:rsidRPr="006B399B" w:rsidRDefault="00EE2E17" w:rsidP="003453E4">
      <w:pPr>
        <w:spacing w:after="0" w:line="340" w:lineRule="atLeast"/>
        <w:rPr>
          <w:rFonts w:ascii="Verdana" w:hAnsi="Verdana"/>
          <w:color w:val="000000"/>
          <w:sz w:val="21"/>
          <w:szCs w:val="21"/>
        </w:rPr>
      </w:pPr>
      <w:r>
        <w:rPr>
          <w:rFonts w:ascii="Verdana" w:hAnsi="Verdana"/>
          <w:color w:val="000000"/>
          <w:sz w:val="21"/>
          <w:szCs w:val="21"/>
        </w:rPr>
        <w:t>Absa Capital did issue one new ETF in the period, the NewFunds Reitway Global Property ETF, track</w:t>
      </w:r>
      <w:r w:rsidR="00CF7150">
        <w:rPr>
          <w:rFonts w:ascii="Verdana" w:hAnsi="Verdana"/>
          <w:color w:val="000000"/>
          <w:sz w:val="21"/>
          <w:szCs w:val="21"/>
        </w:rPr>
        <w:t>ing</w:t>
      </w:r>
      <w:r>
        <w:rPr>
          <w:rFonts w:ascii="Verdana" w:hAnsi="Verdana"/>
          <w:color w:val="000000"/>
          <w:sz w:val="21"/>
          <w:szCs w:val="21"/>
        </w:rPr>
        <w:t xml:space="preserve"> the Reitway </w:t>
      </w:r>
      <w:r w:rsidR="009D49A1">
        <w:rPr>
          <w:rFonts w:ascii="Verdana" w:hAnsi="Verdana"/>
          <w:color w:val="000000"/>
          <w:sz w:val="21"/>
          <w:szCs w:val="21"/>
        </w:rPr>
        <w:t xml:space="preserve">Global Property index, which focuses on the larger and more liquid international property stocks that tend </w:t>
      </w:r>
      <w:r w:rsidR="00217F89">
        <w:rPr>
          <w:rFonts w:ascii="Verdana" w:hAnsi="Verdana"/>
          <w:color w:val="000000"/>
          <w:sz w:val="21"/>
          <w:szCs w:val="21"/>
        </w:rPr>
        <w:t xml:space="preserve">to follow general equity trends rather than pure property fundamentals.  </w:t>
      </w:r>
    </w:p>
    <w:p w14:paraId="49021BD0" w14:textId="77777777" w:rsidR="0013275D" w:rsidRDefault="0013275D" w:rsidP="003453E4">
      <w:pPr>
        <w:spacing w:after="0" w:line="340" w:lineRule="atLeast"/>
        <w:rPr>
          <w:rFonts w:ascii="Verdana" w:hAnsi="Verdana"/>
          <w:color w:val="000000"/>
          <w:sz w:val="21"/>
          <w:szCs w:val="21"/>
        </w:rPr>
      </w:pPr>
    </w:p>
    <w:p w14:paraId="4C838737" w14:textId="40C753AB" w:rsidR="0090715C" w:rsidRDefault="0051590D" w:rsidP="003453E4">
      <w:pPr>
        <w:spacing w:after="0" w:line="340" w:lineRule="atLeast"/>
        <w:rPr>
          <w:rFonts w:ascii="Verdana" w:hAnsi="Verdana"/>
          <w:color w:val="000000"/>
          <w:sz w:val="21"/>
          <w:szCs w:val="21"/>
        </w:rPr>
      </w:pPr>
      <w:r>
        <w:rPr>
          <w:rFonts w:ascii="Verdana" w:hAnsi="Verdana"/>
          <w:b/>
          <w:bCs/>
          <w:color w:val="000000"/>
          <w:sz w:val="21"/>
          <w:szCs w:val="21"/>
        </w:rPr>
        <w:t>Sygnia Itrix</w:t>
      </w:r>
      <w:r>
        <w:rPr>
          <w:rFonts w:ascii="Verdana" w:hAnsi="Verdana"/>
          <w:color w:val="000000"/>
          <w:sz w:val="21"/>
          <w:szCs w:val="21"/>
        </w:rPr>
        <w:t xml:space="preserve"> </w:t>
      </w:r>
      <w:r w:rsidR="00217F89">
        <w:rPr>
          <w:rFonts w:ascii="Verdana" w:hAnsi="Verdana"/>
          <w:color w:val="000000"/>
          <w:sz w:val="21"/>
          <w:szCs w:val="21"/>
        </w:rPr>
        <w:t>listed two new ETFs in the first six months of 2021, to tak</w:t>
      </w:r>
      <w:r w:rsidR="00E444E6">
        <w:rPr>
          <w:rFonts w:ascii="Verdana" w:hAnsi="Verdana"/>
          <w:color w:val="000000"/>
          <w:sz w:val="21"/>
          <w:szCs w:val="21"/>
        </w:rPr>
        <w:t>e its tally of products to 12.  The new ETFs are the S&amp;P Global 1200 ESG ETF, which tracks a global index of companies meeting sustainability (ESG) criteria and the MSCI Emerging Markets 50 ETF, which focuses on large</w:t>
      </w:r>
      <w:r w:rsidR="00B11A47">
        <w:rPr>
          <w:rFonts w:ascii="Verdana" w:hAnsi="Verdana"/>
          <w:color w:val="000000"/>
          <w:sz w:val="21"/>
          <w:szCs w:val="21"/>
        </w:rPr>
        <w:t>r</w:t>
      </w:r>
      <w:r w:rsidR="00E444E6">
        <w:rPr>
          <w:rFonts w:ascii="Verdana" w:hAnsi="Verdana"/>
          <w:color w:val="000000"/>
          <w:sz w:val="21"/>
          <w:szCs w:val="21"/>
        </w:rPr>
        <w:t xml:space="preserve"> emerging market companies.  Both products have </w:t>
      </w:r>
      <w:r w:rsidR="00B157B7">
        <w:rPr>
          <w:rFonts w:ascii="Verdana" w:hAnsi="Verdana"/>
          <w:color w:val="000000"/>
          <w:sz w:val="21"/>
          <w:szCs w:val="21"/>
        </w:rPr>
        <w:t xml:space="preserve">received </w:t>
      </w:r>
      <w:r w:rsidR="00B11A47">
        <w:rPr>
          <w:rFonts w:ascii="Verdana" w:hAnsi="Verdana"/>
          <w:color w:val="000000"/>
          <w:sz w:val="21"/>
          <w:szCs w:val="21"/>
        </w:rPr>
        <w:t xml:space="preserve">good </w:t>
      </w:r>
      <w:r w:rsidR="00B157B7">
        <w:rPr>
          <w:rFonts w:ascii="Verdana" w:hAnsi="Verdana"/>
          <w:color w:val="000000"/>
          <w:sz w:val="21"/>
          <w:szCs w:val="21"/>
        </w:rPr>
        <w:t xml:space="preserve">initial acceptance </w:t>
      </w:r>
      <w:r w:rsidR="00F660FB">
        <w:rPr>
          <w:rFonts w:ascii="Verdana" w:hAnsi="Verdana"/>
          <w:color w:val="000000"/>
          <w:sz w:val="21"/>
          <w:szCs w:val="21"/>
        </w:rPr>
        <w:t xml:space="preserve">in the marketplace with over R1 billion new capital raised by the issue of these two new ETF securities. </w:t>
      </w:r>
    </w:p>
    <w:p w14:paraId="70D7B808" w14:textId="1EBBF3E2" w:rsidR="00F660FB" w:rsidRDefault="00F660FB" w:rsidP="003453E4">
      <w:pPr>
        <w:spacing w:after="0" w:line="340" w:lineRule="atLeast"/>
        <w:rPr>
          <w:rFonts w:ascii="Verdana" w:hAnsi="Verdana"/>
          <w:color w:val="000000"/>
          <w:sz w:val="21"/>
          <w:szCs w:val="21"/>
        </w:rPr>
      </w:pPr>
    </w:p>
    <w:p w14:paraId="2B87EB03" w14:textId="78BBD89B" w:rsidR="00F660FB" w:rsidRDefault="004B2D37" w:rsidP="003453E4">
      <w:pPr>
        <w:spacing w:after="0" w:line="340" w:lineRule="atLeast"/>
        <w:rPr>
          <w:rFonts w:ascii="Verdana" w:hAnsi="Verdana"/>
          <w:color w:val="000000"/>
          <w:sz w:val="21"/>
          <w:szCs w:val="21"/>
        </w:rPr>
      </w:pPr>
      <w:r>
        <w:rPr>
          <w:rFonts w:ascii="Verdana" w:hAnsi="Verdana"/>
          <w:color w:val="000000"/>
          <w:sz w:val="21"/>
          <w:szCs w:val="21"/>
        </w:rPr>
        <w:t xml:space="preserve">The </w:t>
      </w:r>
      <w:r w:rsidR="00F660FB" w:rsidRPr="00695F0A">
        <w:rPr>
          <w:rFonts w:ascii="Verdana" w:hAnsi="Verdana"/>
          <w:color w:val="000000"/>
          <w:sz w:val="21"/>
          <w:szCs w:val="21"/>
        </w:rPr>
        <w:t xml:space="preserve">Sygnia Itrix </w:t>
      </w:r>
      <w:r w:rsidR="00695F0A" w:rsidRPr="00695F0A">
        <w:rPr>
          <w:rFonts w:ascii="Verdana" w:hAnsi="Verdana"/>
          <w:color w:val="000000"/>
          <w:sz w:val="21"/>
          <w:szCs w:val="21"/>
        </w:rPr>
        <w:t>str</w:t>
      </w:r>
      <w:r w:rsidR="00695F0A">
        <w:rPr>
          <w:rFonts w:ascii="Verdana" w:hAnsi="Verdana"/>
          <w:color w:val="000000"/>
          <w:sz w:val="21"/>
          <w:szCs w:val="21"/>
        </w:rPr>
        <w:t>ate</w:t>
      </w:r>
      <w:r w:rsidR="00695F0A" w:rsidRPr="00695F0A">
        <w:rPr>
          <w:rFonts w:ascii="Verdana" w:hAnsi="Verdana"/>
          <w:color w:val="000000"/>
          <w:sz w:val="21"/>
          <w:szCs w:val="21"/>
        </w:rPr>
        <w:t>gy of</w:t>
      </w:r>
      <w:r w:rsidR="00695F0A">
        <w:rPr>
          <w:rFonts w:ascii="Verdana" w:hAnsi="Verdana"/>
          <w:color w:val="000000"/>
          <w:sz w:val="21"/>
          <w:szCs w:val="21"/>
        </w:rPr>
        <w:t xml:space="preserve"> specialising in foreign referenced ETFs, listed in rands on the JSE, is proving to be a winning str</w:t>
      </w:r>
      <w:r w:rsidR="00D33107">
        <w:rPr>
          <w:rFonts w:ascii="Verdana" w:hAnsi="Verdana"/>
          <w:color w:val="000000"/>
          <w:sz w:val="21"/>
          <w:szCs w:val="21"/>
        </w:rPr>
        <w:t xml:space="preserve">ategy and this company is now challenging for the top position in the ETF industry.  </w:t>
      </w:r>
    </w:p>
    <w:p w14:paraId="5E8227C6" w14:textId="423CC514" w:rsidR="00D33107" w:rsidRDefault="00D33107" w:rsidP="003453E4">
      <w:pPr>
        <w:spacing w:after="0" w:line="340" w:lineRule="atLeast"/>
        <w:rPr>
          <w:rFonts w:ascii="Verdana" w:hAnsi="Verdana"/>
          <w:color w:val="000000"/>
          <w:sz w:val="21"/>
          <w:szCs w:val="21"/>
        </w:rPr>
      </w:pPr>
    </w:p>
    <w:p w14:paraId="30615B32" w14:textId="3708A471" w:rsidR="00D33107" w:rsidRPr="00695F0A" w:rsidRDefault="00D33107" w:rsidP="003453E4">
      <w:pPr>
        <w:spacing w:after="0" w:line="340" w:lineRule="atLeast"/>
        <w:rPr>
          <w:rFonts w:ascii="Verdana" w:hAnsi="Verdana"/>
          <w:color w:val="000000"/>
          <w:sz w:val="21"/>
          <w:szCs w:val="21"/>
        </w:rPr>
      </w:pPr>
      <w:r>
        <w:rPr>
          <w:rFonts w:ascii="Verdana" w:hAnsi="Verdana"/>
          <w:color w:val="000000"/>
          <w:sz w:val="21"/>
          <w:szCs w:val="21"/>
        </w:rPr>
        <w:t xml:space="preserve">Sygnia Itrix has indicated that further new ETFs are in the pipeline for 2021 and that thematic ETFs, which </w:t>
      </w:r>
      <w:r w:rsidR="008C7E9E">
        <w:rPr>
          <w:rFonts w:ascii="Verdana" w:hAnsi="Verdana"/>
          <w:color w:val="000000"/>
          <w:sz w:val="21"/>
          <w:szCs w:val="21"/>
        </w:rPr>
        <w:t xml:space="preserve">track global mega-trends, are part of this strategy.  </w:t>
      </w:r>
    </w:p>
    <w:p w14:paraId="6314452D" w14:textId="77777777" w:rsidR="00E674AE" w:rsidRDefault="00E674AE" w:rsidP="003453E4">
      <w:pPr>
        <w:spacing w:after="0" w:line="340" w:lineRule="atLeast"/>
        <w:rPr>
          <w:rFonts w:ascii="Verdana" w:hAnsi="Verdana"/>
          <w:color w:val="000000"/>
          <w:sz w:val="21"/>
          <w:szCs w:val="21"/>
        </w:rPr>
      </w:pPr>
    </w:p>
    <w:p w14:paraId="268A23B2" w14:textId="1AA88D96" w:rsidR="008C7E9E" w:rsidRPr="008C7E9E" w:rsidRDefault="008C7E9E" w:rsidP="003453E4">
      <w:pPr>
        <w:spacing w:after="0" w:line="340" w:lineRule="atLeast"/>
        <w:rPr>
          <w:rFonts w:ascii="Verdana" w:hAnsi="Verdana"/>
          <w:color w:val="000000"/>
          <w:sz w:val="21"/>
          <w:szCs w:val="21"/>
        </w:rPr>
      </w:pPr>
      <w:r>
        <w:rPr>
          <w:rFonts w:ascii="Verdana" w:hAnsi="Verdana"/>
          <w:b/>
          <w:bCs/>
          <w:color w:val="000000"/>
          <w:sz w:val="21"/>
          <w:szCs w:val="21"/>
        </w:rPr>
        <w:t xml:space="preserve">Union Bank of </w:t>
      </w:r>
      <w:r w:rsidRPr="008C7E9E">
        <w:rPr>
          <w:rFonts w:ascii="Verdana" w:hAnsi="Verdana"/>
          <w:b/>
          <w:bCs/>
          <w:color w:val="000000"/>
          <w:sz w:val="21"/>
          <w:szCs w:val="21"/>
        </w:rPr>
        <w:t>Switzerland</w:t>
      </w:r>
      <w:r>
        <w:rPr>
          <w:rFonts w:ascii="Verdana" w:hAnsi="Verdana"/>
          <w:color w:val="000000"/>
          <w:sz w:val="21"/>
          <w:szCs w:val="21"/>
        </w:rPr>
        <w:t xml:space="preserve"> – UBS off</w:t>
      </w:r>
      <w:r w:rsidR="00B11A47">
        <w:rPr>
          <w:rFonts w:ascii="Verdana" w:hAnsi="Verdana"/>
          <w:color w:val="000000"/>
          <w:sz w:val="21"/>
          <w:szCs w:val="21"/>
        </w:rPr>
        <w:t>ers</w:t>
      </w:r>
      <w:r w:rsidR="00354846">
        <w:rPr>
          <w:rFonts w:ascii="Verdana" w:hAnsi="Verdana"/>
          <w:color w:val="000000"/>
          <w:sz w:val="21"/>
          <w:szCs w:val="21"/>
        </w:rPr>
        <w:t xml:space="preserve"> its </w:t>
      </w:r>
      <w:r w:rsidR="00614644">
        <w:rPr>
          <w:rFonts w:ascii="Verdana" w:hAnsi="Verdana"/>
          <w:color w:val="000000"/>
          <w:sz w:val="21"/>
          <w:szCs w:val="21"/>
        </w:rPr>
        <w:t xml:space="preserve">high credit rating </w:t>
      </w:r>
      <w:r w:rsidR="00354846">
        <w:rPr>
          <w:rFonts w:ascii="Verdana" w:hAnsi="Verdana"/>
          <w:color w:val="000000"/>
          <w:sz w:val="21"/>
          <w:szCs w:val="21"/>
        </w:rPr>
        <w:t xml:space="preserve">for credit backing </w:t>
      </w:r>
      <w:r w:rsidR="00614644">
        <w:rPr>
          <w:rFonts w:ascii="Verdana" w:hAnsi="Verdana"/>
          <w:color w:val="000000"/>
          <w:sz w:val="21"/>
          <w:szCs w:val="21"/>
        </w:rPr>
        <w:t xml:space="preserve">to local asset managers looking to list actively managed </w:t>
      </w:r>
      <w:r w:rsidR="006C3AD1">
        <w:rPr>
          <w:rFonts w:ascii="Verdana" w:hAnsi="Verdana"/>
          <w:color w:val="000000"/>
          <w:sz w:val="21"/>
          <w:szCs w:val="21"/>
        </w:rPr>
        <w:t>Exchange</w:t>
      </w:r>
      <w:r w:rsidR="000752F6">
        <w:rPr>
          <w:rFonts w:ascii="Verdana" w:hAnsi="Verdana"/>
          <w:color w:val="000000"/>
          <w:sz w:val="21"/>
          <w:szCs w:val="21"/>
        </w:rPr>
        <w:t xml:space="preserve"> </w:t>
      </w:r>
      <w:r w:rsidR="006C3AD1">
        <w:rPr>
          <w:rFonts w:ascii="Verdana" w:hAnsi="Verdana"/>
          <w:color w:val="000000"/>
          <w:sz w:val="21"/>
          <w:szCs w:val="21"/>
        </w:rPr>
        <w:t>Traded Notes on the</w:t>
      </w:r>
      <w:r w:rsidR="000752F6">
        <w:rPr>
          <w:rFonts w:ascii="Verdana" w:hAnsi="Verdana"/>
          <w:color w:val="000000"/>
          <w:sz w:val="21"/>
          <w:szCs w:val="21"/>
        </w:rPr>
        <w:t xml:space="preserve"> JSE.  This </w:t>
      </w:r>
      <w:r w:rsidR="00354846">
        <w:rPr>
          <w:rFonts w:ascii="Verdana" w:hAnsi="Verdana"/>
          <w:color w:val="000000"/>
          <w:sz w:val="21"/>
          <w:szCs w:val="21"/>
        </w:rPr>
        <w:t>tactic</w:t>
      </w:r>
      <w:r w:rsidR="000752F6">
        <w:rPr>
          <w:rFonts w:ascii="Verdana" w:hAnsi="Verdana"/>
          <w:color w:val="000000"/>
          <w:sz w:val="21"/>
          <w:szCs w:val="21"/>
        </w:rPr>
        <w:t xml:space="preserve"> is paying off with growing market acceptance of this </w:t>
      </w:r>
      <w:r w:rsidR="004A2267">
        <w:rPr>
          <w:rFonts w:ascii="Verdana" w:hAnsi="Verdana"/>
          <w:color w:val="000000"/>
          <w:sz w:val="21"/>
          <w:szCs w:val="21"/>
        </w:rPr>
        <w:t xml:space="preserve">active/passive blend strategy which is shown by the UBS stable </w:t>
      </w:r>
      <w:r w:rsidR="001945CA">
        <w:rPr>
          <w:rFonts w:ascii="Verdana" w:hAnsi="Verdana"/>
          <w:color w:val="000000"/>
          <w:sz w:val="21"/>
          <w:szCs w:val="21"/>
        </w:rPr>
        <w:t>o</w:t>
      </w:r>
      <w:r w:rsidR="004A2267">
        <w:rPr>
          <w:rFonts w:ascii="Verdana" w:hAnsi="Verdana"/>
          <w:color w:val="000000"/>
          <w:sz w:val="21"/>
          <w:szCs w:val="21"/>
        </w:rPr>
        <w:t>f 14 ETNs</w:t>
      </w:r>
      <w:r w:rsidR="005B25BF">
        <w:rPr>
          <w:rFonts w:ascii="Verdana" w:hAnsi="Verdana"/>
          <w:color w:val="000000"/>
          <w:sz w:val="21"/>
          <w:szCs w:val="21"/>
        </w:rPr>
        <w:t xml:space="preserve"> now moving into fifth spot in the league table for ETP issuers.  </w:t>
      </w:r>
    </w:p>
    <w:p w14:paraId="2C906A61" w14:textId="77777777" w:rsidR="008C7E9E" w:rsidRPr="001945CA" w:rsidRDefault="008C7E9E" w:rsidP="001945CA">
      <w:pPr>
        <w:spacing w:after="0" w:line="320" w:lineRule="atLeast"/>
        <w:rPr>
          <w:rFonts w:ascii="Verdana" w:hAnsi="Verdana"/>
          <w:color w:val="000000"/>
          <w:sz w:val="16"/>
          <w:szCs w:val="16"/>
        </w:rPr>
      </w:pPr>
    </w:p>
    <w:p w14:paraId="67DE6A59" w14:textId="77777777" w:rsidR="00F25E18" w:rsidRDefault="005B25BF" w:rsidP="003453E4">
      <w:pPr>
        <w:spacing w:after="0" w:line="340" w:lineRule="atLeast"/>
        <w:rPr>
          <w:rFonts w:ascii="Verdana" w:hAnsi="Verdana"/>
          <w:color w:val="000000"/>
          <w:sz w:val="21"/>
          <w:szCs w:val="21"/>
        </w:rPr>
      </w:pPr>
      <w:r>
        <w:rPr>
          <w:rFonts w:ascii="Verdana" w:hAnsi="Verdana"/>
          <w:b/>
          <w:bCs/>
          <w:color w:val="000000"/>
          <w:sz w:val="21"/>
          <w:szCs w:val="21"/>
        </w:rPr>
        <w:t xml:space="preserve">CoreShares </w:t>
      </w:r>
      <w:r w:rsidR="00CF2053">
        <w:rPr>
          <w:rFonts w:ascii="Verdana" w:hAnsi="Verdana"/>
          <w:color w:val="000000"/>
          <w:sz w:val="21"/>
          <w:szCs w:val="21"/>
        </w:rPr>
        <w:t>has been pushed</w:t>
      </w:r>
      <w:r w:rsidR="00EE147E">
        <w:rPr>
          <w:rFonts w:ascii="Verdana" w:hAnsi="Verdana"/>
          <w:color w:val="000000"/>
          <w:sz w:val="21"/>
          <w:szCs w:val="21"/>
        </w:rPr>
        <w:t xml:space="preserve"> </w:t>
      </w:r>
      <w:r w:rsidR="00CF2053">
        <w:rPr>
          <w:rFonts w:ascii="Verdana" w:hAnsi="Verdana"/>
          <w:color w:val="000000"/>
          <w:sz w:val="21"/>
          <w:szCs w:val="21"/>
        </w:rPr>
        <w:t>down to si</w:t>
      </w:r>
      <w:r w:rsidR="00EE147E">
        <w:rPr>
          <w:rFonts w:ascii="Verdana" w:hAnsi="Verdana"/>
          <w:color w:val="000000"/>
          <w:sz w:val="21"/>
          <w:szCs w:val="21"/>
        </w:rPr>
        <w:t>x</w:t>
      </w:r>
      <w:r w:rsidR="00CF2053">
        <w:rPr>
          <w:rFonts w:ascii="Verdana" w:hAnsi="Verdana"/>
          <w:color w:val="000000"/>
          <w:sz w:val="21"/>
          <w:szCs w:val="21"/>
        </w:rPr>
        <w:t>th spot by the latent popularity of the UBS actively managed ETNs</w:t>
      </w:r>
      <w:r w:rsidR="00EE147E">
        <w:rPr>
          <w:rFonts w:ascii="Verdana" w:hAnsi="Verdana"/>
          <w:color w:val="000000"/>
          <w:sz w:val="21"/>
          <w:szCs w:val="21"/>
        </w:rPr>
        <w:t xml:space="preserve">.  </w:t>
      </w:r>
    </w:p>
    <w:p w14:paraId="3248E93D" w14:textId="77777777" w:rsidR="00F25E18" w:rsidRPr="001945CA" w:rsidRDefault="00F25E18" w:rsidP="001945CA">
      <w:pPr>
        <w:spacing w:after="0" w:line="320" w:lineRule="atLeast"/>
        <w:rPr>
          <w:rFonts w:ascii="Verdana" w:hAnsi="Verdana"/>
          <w:color w:val="000000"/>
          <w:sz w:val="16"/>
          <w:szCs w:val="16"/>
        </w:rPr>
      </w:pPr>
    </w:p>
    <w:p w14:paraId="7F6F2B23" w14:textId="4C53242D" w:rsidR="005B25BF" w:rsidRDefault="00EE147E" w:rsidP="003453E4">
      <w:pPr>
        <w:spacing w:after="0" w:line="340" w:lineRule="atLeast"/>
        <w:rPr>
          <w:rFonts w:ascii="Verdana" w:hAnsi="Verdana"/>
          <w:color w:val="000000"/>
          <w:sz w:val="21"/>
          <w:szCs w:val="21"/>
        </w:rPr>
      </w:pPr>
      <w:r>
        <w:rPr>
          <w:rFonts w:ascii="Verdana" w:hAnsi="Verdana"/>
          <w:color w:val="000000"/>
          <w:sz w:val="21"/>
          <w:szCs w:val="21"/>
        </w:rPr>
        <w:t xml:space="preserve">CoreShares </w:t>
      </w:r>
      <w:r w:rsidR="00F25E18">
        <w:rPr>
          <w:rFonts w:ascii="Verdana" w:hAnsi="Verdana"/>
          <w:color w:val="000000"/>
          <w:sz w:val="21"/>
          <w:szCs w:val="21"/>
        </w:rPr>
        <w:t xml:space="preserve">issued one new product in the first half of 2021, the CoreShares Total World </w:t>
      </w:r>
      <w:r w:rsidR="00111B11">
        <w:rPr>
          <w:rFonts w:ascii="Verdana" w:hAnsi="Verdana"/>
          <w:color w:val="000000"/>
          <w:sz w:val="21"/>
          <w:szCs w:val="21"/>
        </w:rPr>
        <w:t xml:space="preserve">Stock Market Feeder ETF (share code: GLOBAL).  This gives investors exposure to shares listed in 25 developed markets and 24 emerging markets, with 89% allocated to developed and 11% </w:t>
      </w:r>
      <w:r w:rsidR="00D97D04">
        <w:rPr>
          <w:rFonts w:ascii="Verdana" w:hAnsi="Verdana"/>
          <w:color w:val="000000"/>
          <w:sz w:val="21"/>
          <w:szCs w:val="21"/>
        </w:rPr>
        <w:t xml:space="preserve">to emerging markets.  This mix of emerging and developed markets is </w:t>
      </w:r>
      <w:r w:rsidR="00A41EC0">
        <w:rPr>
          <w:rFonts w:ascii="Verdana" w:hAnsi="Verdana"/>
          <w:color w:val="000000"/>
          <w:sz w:val="21"/>
          <w:szCs w:val="21"/>
        </w:rPr>
        <w:t xml:space="preserve">finding favour with local investors and regular new listings of additional </w:t>
      </w:r>
      <w:r w:rsidR="004B2D37">
        <w:rPr>
          <w:rFonts w:ascii="Verdana" w:hAnsi="Verdana"/>
          <w:color w:val="000000"/>
          <w:sz w:val="21"/>
          <w:szCs w:val="21"/>
        </w:rPr>
        <w:t xml:space="preserve">CoreShares global </w:t>
      </w:r>
      <w:r w:rsidR="00A41EC0">
        <w:rPr>
          <w:rFonts w:ascii="Verdana" w:hAnsi="Verdana"/>
          <w:color w:val="000000"/>
          <w:sz w:val="21"/>
          <w:szCs w:val="21"/>
        </w:rPr>
        <w:t>securities are being announced on SENS</w:t>
      </w:r>
      <w:r w:rsidR="00141CB8">
        <w:rPr>
          <w:rFonts w:ascii="Verdana" w:hAnsi="Verdana"/>
          <w:color w:val="000000"/>
          <w:sz w:val="21"/>
          <w:szCs w:val="21"/>
        </w:rPr>
        <w:t xml:space="preserve">, indicating strong acceptance of this product. </w:t>
      </w:r>
    </w:p>
    <w:p w14:paraId="74E7D22F" w14:textId="00D99122" w:rsidR="002A12CA" w:rsidRDefault="002A12CA">
      <w:pPr>
        <w:rPr>
          <w:rFonts w:ascii="Verdana" w:hAnsi="Verdana"/>
          <w:color w:val="000000"/>
          <w:sz w:val="21"/>
          <w:szCs w:val="21"/>
        </w:rPr>
      </w:pPr>
      <w:r>
        <w:rPr>
          <w:rFonts w:ascii="Verdana" w:hAnsi="Verdana"/>
          <w:color w:val="000000"/>
          <w:sz w:val="21"/>
          <w:szCs w:val="21"/>
        </w:rPr>
        <w:br w:type="page"/>
      </w:r>
    </w:p>
    <w:p w14:paraId="35A17F92" w14:textId="77777777" w:rsidR="00141CB8" w:rsidRDefault="00141CB8" w:rsidP="003453E4">
      <w:pPr>
        <w:spacing w:after="0" w:line="340" w:lineRule="atLeast"/>
        <w:rPr>
          <w:rFonts w:ascii="Verdana" w:hAnsi="Verdana"/>
          <w:color w:val="000000"/>
          <w:sz w:val="21"/>
          <w:szCs w:val="21"/>
        </w:rPr>
      </w:pPr>
    </w:p>
    <w:p w14:paraId="55B05C11" w14:textId="2C31A842" w:rsidR="0054188E" w:rsidRDefault="00141CB8" w:rsidP="003453E4">
      <w:pPr>
        <w:spacing w:after="0" w:line="340" w:lineRule="atLeast"/>
        <w:rPr>
          <w:rFonts w:ascii="Verdana" w:hAnsi="Verdana"/>
          <w:color w:val="000000"/>
          <w:sz w:val="21"/>
          <w:szCs w:val="21"/>
        </w:rPr>
      </w:pPr>
      <w:r>
        <w:rPr>
          <w:rFonts w:ascii="Verdana" w:hAnsi="Verdana"/>
          <w:b/>
          <w:bCs/>
          <w:color w:val="000000"/>
          <w:sz w:val="21"/>
          <w:szCs w:val="21"/>
        </w:rPr>
        <w:t>Cloud Atlas</w:t>
      </w:r>
      <w:r w:rsidR="00F65131">
        <w:rPr>
          <w:rFonts w:ascii="Verdana" w:hAnsi="Verdana"/>
          <w:color w:val="000000"/>
          <w:sz w:val="21"/>
          <w:szCs w:val="21"/>
        </w:rPr>
        <w:t xml:space="preserve"> </w:t>
      </w:r>
      <w:r>
        <w:rPr>
          <w:rFonts w:ascii="Verdana" w:hAnsi="Verdana"/>
          <w:color w:val="000000"/>
          <w:sz w:val="21"/>
          <w:szCs w:val="21"/>
        </w:rPr>
        <w:t xml:space="preserve">was able to </w:t>
      </w:r>
      <w:r w:rsidR="0054188E">
        <w:rPr>
          <w:rFonts w:ascii="Verdana" w:hAnsi="Verdana"/>
          <w:color w:val="000000"/>
          <w:sz w:val="21"/>
          <w:szCs w:val="21"/>
        </w:rPr>
        <w:t xml:space="preserve">announce some institutional </w:t>
      </w:r>
      <w:r w:rsidR="00067065">
        <w:rPr>
          <w:rFonts w:ascii="Verdana" w:hAnsi="Verdana"/>
          <w:color w:val="000000"/>
          <w:sz w:val="21"/>
          <w:szCs w:val="21"/>
        </w:rPr>
        <w:t xml:space="preserve">investment in its AMI Big 50 ETF which tracks an index of shares listed on African stock exchanges, outside of South Africa.  As a result, the market capitalisation of this ETF rose by R195 million. </w:t>
      </w:r>
    </w:p>
    <w:p w14:paraId="0810A454" w14:textId="017CCE69" w:rsidR="00A65E16" w:rsidRDefault="00A65E16" w:rsidP="003453E4">
      <w:pPr>
        <w:spacing w:after="0" w:line="340" w:lineRule="atLeast"/>
        <w:rPr>
          <w:rFonts w:ascii="Verdana" w:hAnsi="Verdana"/>
          <w:color w:val="000000"/>
          <w:sz w:val="21"/>
          <w:szCs w:val="21"/>
        </w:rPr>
      </w:pPr>
    </w:p>
    <w:p w14:paraId="2C0745D9" w14:textId="0C9F864C" w:rsidR="00A65E16" w:rsidRDefault="00A65E16" w:rsidP="003453E4">
      <w:pPr>
        <w:spacing w:after="0" w:line="340" w:lineRule="atLeast"/>
        <w:rPr>
          <w:rFonts w:ascii="Verdana" w:hAnsi="Verdana"/>
          <w:color w:val="000000"/>
          <w:sz w:val="21"/>
          <w:szCs w:val="21"/>
        </w:rPr>
      </w:pPr>
      <w:r>
        <w:rPr>
          <w:rFonts w:ascii="Verdana" w:hAnsi="Verdana"/>
          <w:color w:val="000000"/>
          <w:sz w:val="21"/>
          <w:szCs w:val="21"/>
        </w:rPr>
        <w:t>Cloud Atlas also announced that the AMI Real Estate ETF, which tracks an index of African property shares, would be converted to the Cloud Atlas S&amp;P African Sovereign Bond ETF.  Th</w:t>
      </w:r>
      <w:r w:rsidR="00742511">
        <w:rPr>
          <w:rFonts w:ascii="Verdana" w:hAnsi="Verdana"/>
          <w:color w:val="000000"/>
          <w:sz w:val="21"/>
          <w:szCs w:val="21"/>
        </w:rPr>
        <w:t>e new product will</w:t>
      </w:r>
      <w:r>
        <w:rPr>
          <w:rFonts w:ascii="Verdana" w:hAnsi="Verdana"/>
          <w:color w:val="000000"/>
          <w:sz w:val="21"/>
          <w:szCs w:val="21"/>
        </w:rPr>
        <w:t xml:space="preserve"> focus on </w:t>
      </w:r>
      <w:r w:rsidR="00742511">
        <w:rPr>
          <w:rFonts w:ascii="Verdana" w:hAnsi="Verdana"/>
          <w:color w:val="000000"/>
          <w:sz w:val="21"/>
          <w:szCs w:val="21"/>
        </w:rPr>
        <w:t xml:space="preserve">dollar </w:t>
      </w:r>
      <w:r w:rsidR="00AE1BCE">
        <w:rPr>
          <w:rFonts w:ascii="Verdana" w:hAnsi="Verdana"/>
          <w:color w:val="000000"/>
          <w:sz w:val="21"/>
          <w:szCs w:val="21"/>
        </w:rPr>
        <w:t xml:space="preserve">debt instruments issued by African </w:t>
      </w:r>
      <w:r w:rsidR="00D57E29">
        <w:rPr>
          <w:rFonts w:ascii="Verdana" w:hAnsi="Verdana"/>
          <w:color w:val="000000"/>
          <w:sz w:val="21"/>
          <w:szCs w:val="21"/>
        </w:rPr>
        <w:t>n</w:t>
      </w:r>
      <w:r w:rsidR="009307DF">
        <w:rPr>
          <w:rFonts w:ascii="Verdana" w:hAnsi="Verdana"/>
          <w:color w:val="000000"/>
          <w:sz w:val="21"/>
          <w:szCs w:val="21"/>
        </w:rPr>
        <w:t xml:space="preserve">ations.  The African bond ETF </w:t>
      </w:r>
      <w:r w:rsidR="00D57E29">
        <w:rPr>
          <w:rFonts w:ascii="Verdana" w:hAnsi="Verdana"/>
          <w:color w:val="000000"/>
          <w:sz w:val="21"/>
          <w:szCs w:val="21"/>
        </w:rPr>
        <w:t xml:space="preserve">offers interesting prospects of high yields, but with </w:t>
      </w:r>
      <w:r w:rsidR="00786573">
        <w:rPr>
          <w:rFonts w:ascii="Verdana" w:hAnsi="Verdana"/>
          <w:color w:val="000000"/>
          <w:sz w:val="21"/>
          <w:szCs w:val="21"/>
        </w:rPr>
        <w:t>co</w:t>
      </w:r>
      <w:r w:rsidR="00121080">
        <w:rPr>
          <w:rFonts w:ascii="Verdana" w:hAnsi="Verdana"/>
          <w:color w:val="000000"/>
          <w:sz w:val="21"/>
          <w:szCs w:val="21"/>
        </w:rPr>
        <w:t>mmensurate</w:t>
      </w:r>
      <w:r w:rsidR="00786573">
        <w:rPr>
          <w:rFonts w:ascii="Verdana" w:hAnsi="Verdana"/>
          <w:color w:val="000000"/>
          <w:sz w:val="21"/>
          <w:szCs w:val="21"/>
        </w:rPr>
        <w:t xml:space="preserve"> risk.  The Cloud Atlas S&amp;P </w:t>
      </w:r>
      <w:r w:rsidR="00765BCF">
        <w:rPr>
          <w:rFonts w:ascii="Verdana" w:hAnsi="Verdana"/>
          <w:color w:val="000000"/>
          <w:sz w:val="21"/>
          <w:szCs w:val="21"/>
        </w:rPr>
        <w:t xml:space="preserve">Sovereign Bond ETF will be listed on the JSE in early August 2021.  </w:t>
      </w:r>
    </w:p>
    <w:p w14:paraId="4BEC23F3" w14:textId="4194A06A" w:rsidR="00636507" w:rsidRDefault="00636507" w:rsidP="00F65131">
      <w:pPr>
        <w:spacing w:after="0" w:line="360" w:lineRule="atLeast"/>
        <w:rPr>
          <w:rFonts w:ascii="Verdana" w:hAnsi="Verdana"/>
          <w:color w:val="000000"/>
          <w:sz w:val="21"/>
          <w:szCs w:val="21"/>
        </w:rPr>
      </w:pPr>
    </w:p>
    <w:p w14:paraId="72B999CB" w14:textId="03CD946E" w:rsidR="008468F3" w:rsidRDefault="00636507" w:rsidP="00FA51FA">
      <w:pPr>
        <w:spacing w:after="0" w:line="360" w:lineRule="atLeast"/>
        <w:rPr>
          <w:rFonts w:ascii="Verdana" w:hAnsi="Verdana"/>
          <w:color w:val="000000"/>
          <w:sz w:val="21"/>
          <w:szCs w:val="21"/>
        </w:rPr>
      </w:pPr>
      <w:r>
        <w:rPr>
          <w:rFonts w:ascii="Verdana" w:hAnsi="Verdana"/>
          <w:noProof/>
          <w:color w:val="000000"/>
          <w:sz w:val="21"/>
          <w:szCs w:val="21"/>
        </w:rPr>
        <mc:AlternateContent>
          <mc:Choice Requires="wps">
            <w:drawing>
              <wp:anchor distT="0" distB="0" distL="114300" distR="114300" simplePos="0" relativeHeight="251659264" behindDoc="0" locked="0" layoutInCell="1" allowOverlap="1" wp14:anchorId="00C403B3" wp14:editId="0B4786EE">
                <wp:simplePos x="0" y="0"/>
                <wp:positionH relativeFrom="column">
                  <wp:posOffset>797560</wp:posOffset>
                </wp:positionH>
                <wp:positionV relativeFrom="paragraph">
                  <wp:posOffset>208915</wp:posOffset>
                </wp:positionV>
                <wp:extent cx="4622800" cy="25400"/>
                <wp:effectExtent l="0" t="0" r="25400" b="31750"/>
                <wp:wrapNone/>
                <wp:docPr id="4" name="Straight Connector 4"/>
                <wp:cNvGraphicFramePr/>
                <a:graphic xmlns:a="http://schemas.openxmlformats.org/drawingml/2006/main">
                  <a:graphicData uri="http://schemas.microsoft.com/office/word/2010/wordprocessingShape">
                    <wps:wsp>
                      <wps:cNvCnPr/>
                      <wps:spPr>
                        <a:xfrm>
                          <a:off x="0" y="0"/>
                          <a:ext cx="4622800" cy="2540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B5ED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8pt,16.45pt" to="426.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" strokecolor="#c00000" strokeweight="1pt">
                <v:stroke joinstyle="miter"/>
              </v:line>
            </w:pict>
          </mc:Fallback>
        </mc:AlternateContent>
      </w:r>
    </w:p>
    <w:p w14:paraId="30AD915B" w14:textId="77777777" w:rsidR="0067082E" w:rsidRDefault="0067082E" w:rsidP="00FA51FA">
      <w:pPr>
        <w:spacing w:after="0" w:line="360" w:lineRule="atLeast"/>
        <w:rPr>
          <w:rFonts w:ascii="Verdana" w:hAnsi="Verdana"/>
          <w:color w:val="000000"/>
          <w:sz w:val="21"/>
          <w:szCs w:val="21"/>
        </w:rPr>
      </w:pPr>
    </w:p>
    <w:p w14:paraId="3094944C" w14:textId="72616E4A" w:rsidR="00F13A0B" w:rsidRPr="00602DDF" w:rsidRDefault="00602DDF" w:rsidP="00602DDF">
      <w:pPr>
        <w:spacing w:after="0" w:line="34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Fund and Exchange Traded Note are available on the quarterly reports available on the etfSA website: </w:t>
      </w:r>
      <w:hyperlink r:id="rId10"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602DDF">
      <w:pPr>
        <w:spacing w:after="0" w:line="340" w:lineRule="atLeast"/>
        <w:jc w:val="both"/>
        <w:rPr>
          <w:rFonts w:ascii="Verdana" w:hAnsi="Verdana"/>
          <w:sz w:val="21"/>
          <w:szCs w:val="21"/>
        </w:rPr>
      </w:pPr>
    </w:p>
    <w:p w14:paraId="54885B65" w14:textId="5803210E" w:rsid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 xml:space="preserve">All South African ETFs &amp; ETNs – Market Capitalisation </w:t>
      </w:r>
      <w:r w:rsidR="00A37F02">
        <w:rPr>
          <w:rFonts w:ascii="Verdana" w:hAnsi="Verdana"/>
          <w:sz w:val="21"/>
          <w:szCs w:val="21"/>
        </w:rPr>
        <w:t>Totals</w:t>
      </w:r>
      <w:r>
        <w:rPr>
          <w:rFonts w:ascii="Verdana" w:hAnsi="Verdana"/>
          <w:sz w:val="21"/>
          <w:szCs w:val="21"/>
        </w:rPr>
        <w:t xml:space="preserve"> – December 2009 to </w:t>
      </w:r>
      <w:r w:rsidR="00E31961">
        <w:rPr>
          <w:rFonts w:ascii="Verdana" w:hAnsi="Verdana"/>
          <w:sz w:val="21"/>
          <w:szCs w:val="21"/>
        </w:rPr>
        <w:t>June</w:t>
      </w:r>
      <w:r w:rsidR="0067082E">
        <w:rPr>
          <w:rFonts w:ascii="Verdana" w:hAnsi="Verdana"/>
          <w:sz w:val="21"/>
          <w:szCs w:val="21"/>
        </w:rPr>
        <w:t xml:space="preserve"> 2021</w:t>
      </w:r>
      <w:r>
        <w:rPr>
          <w:rFonts w:ascii="Verdana" w:hAnsi="Verdana"/>
          <w:sz w:val="21"/>
          <w:szCs w:val="21"/>
        </w:rPr>
        <w:t xml:space="preserve">. </w:t>
      </w:r>
    </w:p>
    <w:p w14:paraId="687B4DFB" w14:textId="77777777" w:rsidR="0025163D" w:rsidRDefault="0025163D" w:rsidP="0025163D">
      <w:pPr>
        <w:pStyle w:val="ListParagraph"/>
        <w:spacing w:after="0" w:line="340" w:lineRule="atLeast"/>
        <w:jc w:val="both"/>
        <w:rPr>
          <w:rFonts w:ascii="Verdana" w:hAnsi="Verdana"/>
          <w:sz w:val="21"/>
          <w:szCs w:val="21"/>
        </w:rPr>
      </w:pPr>
    </w:p>
    <w:p w14:paraId="045E74ED" w14:textId="75AF19F5" w:rsidR="00602DDF" w:rsidRP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ETFs &amp; ETNs survey – Securities in Issue and New Capital Raised/Redeemed (for period ended 3</w:t>
      </w:r>
      <w:r w:rsidR="00E31961">
        <w:rPr>
          <w:rFonts w:ascii="Verdana" w:hAnsi="Verdana"/>
          <w:sz w:val="21"/>
          <w:szCs w:val="21"/>
        </w:rPr>
        <w:t>0</w:t>
      </w:r>
      <w:r>
        <w:rPr>
          <w:rFonts w:ascii="Verdana" w:hAnsi="Verdana"/>
          <w:sz w:val="21"/>
          <w:szCs w:val="21"/>
        </w:rPr>
        <w:t xml:space="preserve"> </w:t>
      </w:r>
      <w:r w:rsidR="00E31961">
        <w:rPr>
          <w:rFonts w:ascii="Verdana" w:hAnsi="Verdana"/>
          <w:sz w:val="21"/>
          <w:szCs w:val="21"/>
        </w:rPr>
        <w:t>June</w:t>
      </w:r>
      <w:r>
        <w:rPr>
          <w:rFonts w:ascii="Verdana" w:hAnsi="Verdana"/>
          <w:sz w:val="21"/>
          <w:szCs w:val="21"/>
        </w:rPr>
        <w:t xml:space="preserve"> 202</w:t>
      </w:r>
      <w:r w:rsidR="0067082E">
        <w:rPr>
          <w:rFonts w:ascii="Verdana" w:hAnsi="Verdana"/>
          <w:sz w:val="21"/>
          <w:szCs w:val="21"/>
        </w:rPr>
        <w:t>1</w:t>
      </w:r>
      <w:r>
        <w:rPr>
          <w:rFonts w:ascii="Verdana" w:hAnsi="Verdana"/>
          <w:sz w:val="21"/>
          <w:szCs w:val="21"/>
        </w:rPr>
        <w:t xml:space="preserve">). </w:t>
      </w:r>
    </w:p>
    <w:p w14:paraId="23B6CBCE" w14:textId="77777777" w:rsidR="0067082E" w:rsidRDefault="0067082E" w:rsidP="00DB4A11">
      <w:pPr>
        <w:spacing w:after="0" w:line="320" w:lineRule="atLeast"/>
        <w:jc w:val="both"/>
        <w:rPr>
          <w:rFonts w:ascii="Verdana" w:hAnsi="Verdana"/>
          <w:sz w:val="21"/>
          <w:szCs w:val="21"/>
        </w:rPr>
      </w:pPr>
    </w:p>
    <w:p w14:paraId="5E252CA9" w14:textId="793E96DB" w:rsidR="0067082E" w:rsidRDefault="0067082E" w:rsidP="00DB4A11">
      <w:pPr>
        <w:spacing w:after="0" w:line="320" w:lineRule="atLeast"/>
        <w:jc w:val="both"/>
        <w:rPr>
          <w:rFonts w:ascii="Verdana" w:hAnsi="Verdana"/>
          <w:sz w:val="21"/>
          <w:szCs w:val="21"/>
        </w:rPr>
      </w:pPr>
    </w:p>
    <w:p w14:paraId="5572BBC4" w14:textId="44D79D51" w:rsidR="0067082E" w:rsidRDefault="0067082E" w:rsidP="00DB4A11">
      <w:pPr>
        <w:spacing w:after="0" w:line="320" w:lineRule="atLeast"/>
        <w:jc w:val="both"/>
        <w:rPr>
          <w:rFonts w:ascii="Verdana" w:hAnsi="Verdana"/>
          <w:sz w:val="21"/>
          <w:szCs w:val="21"/>
        </w:rPr>
      </w:pPr>
    </w:p>
    <w:p w14:paraId="1EBB0F1C" w14:textId="083E2B73" w:rsidR="0067082E" w:rsidRDefault="0067082E" w:rsidP="0067082E">
      <w:pPr>
        <w:spacing w:after="0" w:line="320" w:lineRule="atLeast"/>
        <w:jc w:val="center"/>
        <w:rPr>
          <w:rFonts w:ascii="Verdana" w:hAnsi="Verdana"/>
          <w:sz w:val="21"/>
          <w:szCs w:val="21"/>
        </w:rPr>
      </w:pPr>
      <w:r>
        <w:rPr>
          <w:rFonts w:ascii="Verdana" w:hAnsi="Verdana"/>
          <w:noProof/>
          <w:sz w:val="21"/>
          <w:szCs w:val="21"/>
        </w:rPr>
        <w:drawing>
          <wp:inline distT="0" distB="0" distL="0" distR="0" wp14:anchorId="5415876F" wp14:editId="58F9910D">
            <wp:extent cx="5715000" cy="142875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15000" cy="1428750"/>
                    </a:xfrm>
                    <a:prstGeom prst="rect">
                      <a:avLst/>
                    </a:prstGeom>
                  </pic:spPr>
                </pic:pic>
              </a:graphicData>
            </a:graphic>
          </wp:inline>
        </w:drawing>
      </w:r>
    </w:p>
    <w:p w14:paraId="0E7588FF" w14:textId="52101C7F" w:rsidR="0067082E" w:rsidRDefault="0067082E" w:rsidP="00DB4A11">
      <w:pPr>
        <w:spacing w:after="0" w:line="320" w:lineRule="atLeast"/>
        <w:jc w:val="both"/>
        <w:rPr>
          <w:rFonts w:ascii="Verdana" w:hAnsi="Verdana"/>
          <w:sz w:val="21"/>
          <w:szCs w:val="21"/>
        </w:rPr>
      </w:pPr>
    </w:p>
    <w:p w14:paraId="4F220B47" w14:textId="77777777" w:rsidR="00D07C81" w:rsidRDefault="00D07C81" w:rsidP="00DB4A11">
      <w:pPr>
        <w:spacing w:after="0" w:line="320" w:lineRule="atLeast"/>
        <w:jc w:val="both"/>
        <w:rPr>
          <w:rFonts w:ascii="Verdana" w:hAnsi="Verdana"/>
          <w:sz w:val="21"/>
          <w:szCs w:val="21"/>
        </w:rPr>
      </w:pPr>
    </w:p>
    <w:p w14:paraId="10B3C081" w14:textId="77777777" w:rsidR="0067082E" w:rsidRDefault="0067082E" w:rsidP="00DB4A11">
      <w:pPr>
        <w:spacing w:after="0" w:line="320" w:lineRule="atLeast"/>
        <w:jc w:val="both"/>
        <w:rPr>
          <w:rFonts w:ascii="Verdana" w:hAnsi="Verdana"/>
          <w:sz w:val="21"/>
          <w:szCs w:val="21"/>
        </w:rPr>
      </w:pPr>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8555E3">
      <w:footerReference w:type="default" r:id="rId12"/>
      <w:pgSz w:w="11906" w:h="16838" w:code="9"/>
      <w:pgMar w:top="851" w:right="851" w:bottom="567" w:left="1134" w:header="709" w:footer="567"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EBA78" w14:textId="77777777" w:rsidR="00D54A88" w:rsidRDefault="00D54A88" w:rsidP="001860C2">
      <w:pPr>
        <w:spacing w:after="0" w:line="240" w:lineRule="auto"/>
      </w:pPr>
      <w:r>
        <w:separator/>
      </w:r>
    </w:p>
  </w:endnote>
  <w:endnote w:type="continuationSeparator" w:id="0">
    <w:p w14:paraId="55785617" w14:textId="77777777" w:rsidR="00D54A88" w:rsidRDefault="00D54A88"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95888" w14:textId="77777777" w:rsidR="00D54A88" w:rsidRDefault="00D54A88" w:rsidP="001860C2">
      <w:pPr>
        <w:spacing w:after="0" w:line="240" w:lineRule="auto"/>
      </w:pPr>
      <w:r>
        <w:separator/>
      </w:r>
    </w:p>
  </w:footnote>
  <w:footnote w:type="continuationSeparator" w:id="0">
    <w:p w14:paraId="3504ECAE" w14:textId="77777777" w:rsidR="00D54A88" w:rsidRDefault="00D54A88"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ED2A13"/>
    <w:multiLevelType w:val="hybridMultilevel"/>
    <w:tmpl w:val="8F46E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5923930"/>
    <w:multiLevelType w:val="hybridMultilevel"/>
    <w:tmpl w:val="2AA8FD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8"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5"/>
  </w:num>
  <w:num w:numId="5">
    <w:abstractNumId w:val="1"/>
  </w:num>
  <w:num w:numId="6">
    <w:abstractNumId w:val="13"/>
  </w:num>
  <w:num w:numId="7">
    <w:abstractNumId w:val="4"/>
  </w:num>
  <w:num w:numId="8">
    <w:abstractNumId w:val="6"/>
  </w:num>
  <w:num w:numId="9">
    <w:abstractNumId w:val="2"/>
  </w:num>
  <w:num w:numId="10">
    <w:abstractNumId w:val="7"/>
  </w:num>
  <w:num w:numId="11">
    <w:abstractNumId w:val="9"/>
  </w:num>
  <w:num w:numId="12">
    <w:abstractNumId w:val="11"/>
  </w:num>
  <w:num w:numId="13">
    <w:abstractNumId w:val="10"/>
  </w:num>
  <w:num w:numId="14">
    <w:abstractNumId w:val="17"/>
  </w:num>
  <w:num w:numId="15">
    <w:abstractNumId w:val="18"/>
  </w:num>
  <w:num w:numId="16">
    <w:abstractNumId w:val="14"/>
  </w:num>
  <w:num w:numId="17">
    <w:abstractNumId w:val="3"/>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16006"/>
    <w:rsid w:val="000204F0"/>
    <w:rsid w:val="00023812"/>
    <w:rsid w:val="00034E06"/>
    <w:rsid w:val="00042250"/>
    <w:rsid w:val="000435BE"/>
    <w:rsid w:val="00046AC3"/>
    <w:rsid w:val="00051559"/>
    <w:rsid w:val="0005247E"/>
    <w:rsid w:val="0005437D"/>
    <w:rsid w:val="00054445"/>
    <w:rsid w:val="00063719"/>
    <w:rsid w:val="00064D86"/>
    <w:rsid w:val="0006568F"/>
    <w:rsid w:val="00065FC4"/>
    <w:rsid w:val="00067065"/>
    <w:rsid w:val="00072FB5"/>
    <w:rsid w:val="000736A9"/>
    <w:rsid w:val="0007371D"/>
    <w:rsid w:val="000752F6"/>
    <w:rsid w:val="00080314"/>
    <w:rsid w:val="00083E17"/>
    <w:rsid w:val="00086ECE"/>
    <w:rsid w:val="00093396"/>
    <w:rsid w:val="000A3329"/>
    <w:rsid w:val="000B189D"/>
    <w:rsid w:val="000B77EA"/>
    <w:rsid w:val="000C1ACB"/>
    <w:rsid w:val="000C2A04"/>
    <w:rsid w:val="000C74EB"/>
    <w:rsid w:val="000D0FF5"/>
    <w:rsid w:val="000D5C7D"/>
    <w:rsid w:val="000F1A9D"/>
    <w:rsid w:val="000F2E19"/>
    <w:rsid w:val="000F4D11"/>
    <w:rsid w:val="000F676D"/>
    <w:rsid w:val="001004CA"/>
    <w:rsid w:val="00100BC7"/>
    <w:rsid w:val="001011BA"/>
    <w:rsid w:val="00110027"/>
    <w:rsid w:val="001113DA"/>
    <w:rsid w:val="001113EA"/>
    <w:rsid w:val="00111B11"/>
    <w:rsid w:val="00112914"/>
    <w:rsid w:val="001149F4"/>
    <w:rsid w:val="001161FE"/>
    <w:rsid w:val="001169ED"/>
    <w:rsid w:val="001204A0"/>
    <w:rsid w:val="00121080"/>
    <w:rsid w:val="00121661"/>
    <w:rsid w:val="00122449"/>
    <w:rsid w:val="001255EF"/>
    <w:rsid w:val="0013147F"/>
    <w:rsid w:val="0013275D"/>
    <w:rsid w:val="00137500"/>
    <w:rsid w:val="00141CB8"/>
    <w:rsid w:val="00143C23"/>
    <w:rsid w:val="00145C7E"/>
    <w:rsid w:val="00147712"/>
    <w:rsid w:val="00161566"/>
    <w:rsid w:val="0016315C"/>
    <w:rsid w:val="0016524A"/>
    <w:rsid w:val="0017124F"/>
    <w:rsid w:val="001723F2"/>
    <w:rsid w:val="00175BD4"/>
    <w:rsid w:val="0018165B"/>
    <w:rsid w:val="00185009"/>
    <w:rsid w:val="001860C2"/>
    <w:rsid w:val="00187148"/>
    <w:rsid w:val="00193608"/>
    <w:rsid w:val="0019419C"/>
    <w:rsid w:val="001945CA"/>
    <w:rsid w:val="001951A8"/>
    <w:rsid w:val="001976A7"/>
    <w:rsid w:val="001A440E"/>
    <w:rsid w:val="001A631C"/>
    <w:rsid w:val="001A6952"/>
    <w:rsid w:val="001B0CAA"/>
    <w:rsid w:val="001C419C"/>
    <w:rsid w:val="001C426E"/>
    <w:rsid w:val="001C48EF"/>
    <w:rsid w:val="001D296F"/>
    <w:rsid w:val="001D3AD8"/>
    <w:rsid w:val="001E36F8"/>
    <w:rsid w:val="001F12A9"/>
    <w:rsid w:val="001F6BD9"/>
    <w:rsid w:val="00201C15"/>
    <w:rsid w:val="00202A1E"/>
    <w:rsid w:val="00211E65"/>
    <w:rsid w:val="00213163"/>
    <w:rsid w:val="00214624"/>
    <w:rsid w:val="00215EC5"/>
    <w:rsid w:val="00217F89"/>
    <w:rsid w:val="00222E4A"/>
    <w:rsid w:val="00227D37"/>
    <w:rsid w:val="00231639"/>
    <w:rsid w:val="00240106"/>
    <w:rsid w:val="00244ACE"/>
    <w:rsid w:val="0024764F"/>
    <w:rsid w:val="00251098"/>
    <w:rsid w:val="0025163D"/>
    <w:rsid w:val="00253345"/>
    <w:rsid w:val="002536F5"/>
    <w:rsid w:val="00257F69"/>
    <w:rsid w:val="00260037"/>
    <w:rsid w:val="002628F1"/>
    <w:rsid w:val="002647AB"/>
    <w:rsid w:val="00267704"/>
    <w:rsid w:val="002678D7"/>
    <w:rsid w:val="00267A62"/>
    <w:rsid w:val="00270178"/>
    <w:rsid w:val="0027130E"/>
    <w:rsid w:val="00271472"/>
    <w:rsid w:val="00275FDA"/>
    <w:rsid w:val="002821C1"/>
    <w:rsid w:val="00283442"/>
    <w:rsid w:val="0028371C"/>
    <w:rsid w:val="0028580C"/>
    <w:rsid w:val="00287580"/>
    <w:rsid w:val="002944F7"/>
    <w:rsid w:val="00295FE0"/>
    <w:rsid w:val="002A024C"/>
    <w:rsid w:val="002A12CA"/>
    <w:rsid w:val="002A439C"/>
    <w:rsid w:val="002A4EC3"/>
    <w:rsid w:val="002A6914"/>
    <w:rsid w:val="002A6D67"/>
    <w:rsid w:val="002B51E7"/>
    <w:rsid w:val="002D1ED9"/>
    <w:rsid w:val="002D4D18"/>
    <w:rsid w:val="002E30E8"/>
    <w:rsid w:val="002E4F01"/>
    <w:rsid w:val="002E55EA"/>
    <w:rsid w:val="002E6A24"/>
    <w:rsid w:val="002F162B"/>
    <w:rsid w:val="002F16E9"/>
    <w:rsid w:val="002F19B0"/>
    <w:rsid w:val="002F4117"/>
    <w:rsid w:val="002F5364"/>
    <w:rsid w:val="00302AA8"/>
    <w:rsid w:val="00321934"/>
    <w:rsid w:val="00322BD7"/>
    <w:rsid w:val="003230DF"/>
    <w:rsid w:val="00325F2F"/>
    <w:rsid w:val="00330C63"/>
    <w:rsid w:val="00332256"/>
    <w:rsid w:val="003353CB"/>
    <w:rsid w:val="00336154"/>
    <w:rsid w:val="00337675"/>
    <w:rsid w:val="00340ED3"/>
    <w:rsid w:val="00345103"/>
    <w:rsid w:val="003453A7"/>
    <w:rsid w:val="003453E4"/>
    <w:rsid w:val="003455BD"/>
    <w:rsid w:val="00354846"/>
    <w:rsid w:val="00356055"/>
    <w:rsid w:val="00362595"/>
    <w:rsid w:val="00371A95"/>
    <w:rsid w:val="00374625"/>
    <w:rsid w:val="003768E4"/>
    <w:rsid w:val="003804A8"/>
    <w:rsid w:val="00380C83"/>
    <w:rsid w:val="00382ADA"/>
    <w:rsid w:val="003835A0"/>
    <w:rsid w:val="00383630"/>
    <w:rsid w:val="0038427E"/>
    <w:rsid w:val="00384A36"/>
    <w:rsid w:val="003935AB"/>
    <w:rsid w:val="00394359"/>
    <w:rsid w:val="00395C1E"/>
    <w:rsid w:val="003A0D8D"/>
    <w:rsid w:val="003A29FB"/>
    <w:rsid w:val="003A3D19"/>
    <w:rsid w:val="003A6075"/>
    <w:rsid w:val="003B0162"/>
    <w:rsid w:val="003B10C9"/>
    <w:rsid w:val="003B4F95"/>
    <w:rsid w:val="003C278D"/>
    <w:rsid w:val="003C3187"/>
    <w:rsid w:val="003C34BA"/>
    <w:rsid w:val="003C36D7"/>
    <w:rsid w:val="003C4CE2"/>
    <w:rsid w:val="003C6031"/>
    <w:rsid w:val="003C700A"/>
    <w:rsid w:val="003D13C9"/>
    <w:rsid w:val="003D3AB6"/>
    <w:rsid w:val="003D5B90"/>
    <w:rsid w:val="003E41CF"/>
    <w:rsid w:val="003F1BC4"/>
    <w:rsid w:val="003F5A00"/>
    <w:rsid w:val="003F5A9C"/>
    <w:rsid w:val="003F6A02"/>
    <w:rsid w:val="003F76E0"/>
    <w:rsid w:val="003F7712"/>
    <w:rsid w:val="004038EE"/>
    <w:rsid w:val="0040423E"/>
    <w:rsid w:val="00405F9A"/>
    <w:rsid w:val="00407678"/>
    <w:rsid w:val="00410B7D"/>
    <w:rsid w:val="00410B90"/>
    <w:rsid w:val="00416503"/>
    <w:rsid w:val="00417CC4"/>
    <w:rsid w:val="0042225F"/>
    <w:rsid w:val="00433C1B"/>
    <w:rsid w:val="00434DA5"/>
    <w:rsid w:val="00435E56"/>
    <w:rsid w:val="00441724"/>
    <w:rsid w:val="004423A7"/>
    <w:rsid w:val="00443433"/>
    <w:rsid w:val="00451766"/>
    <w:rsid w:val="00451A86"/>
    <w:rsid w:val="004568F5"/>
    <w:rsid w:val="00486A17"/>
    <w:rsid w:val="0049405F"/>
    <w:rsid w:val="004A1759"/>
    <w:rsid w:val="004A2267"/>
    <w:rsid w:val="004A28B2"/>
    <w:rsid w:val="004A53EA"/>
    <w:rsid w:val="004A687F"/>
    <w:rsid w:val="004A7DA9"/>
    <w:rsid w:val="004B0423"/>
    <w:rsid w:val="004B0713"/>
    <w:rsid w:val="004B2D37"/>
    <w:rsid w:val="004C1102"/>
    <w:rsid w:val="004C60DA"/>
    <w:rsid w:val="004D0295"/>
    <w:rsid w:val="004D1524"/>
    <w:rsid w:val="004D6498"/>
    <w:rsid w:val="004E2922"/>
    <w:rsid w:val="004E4DAF"/>
    <w:rsid w:val="004E5FC6"/>
    <w:rsid w:val="004E7608"/>
    <w:rsid w:val="004F0766"/>
    <w:rsid w:val="004F1DF6"/>
    <w:rsid w:val="004F47FC"/>
    <w:rsid w:val="00506218"/>
    <w:rsid w:val="0050685E"/>
    <w:rsid w:val="00511FB5"/>
    <w:rsid w:val="005135D4"/>
    <w:rsid w:val="005138C3"/>
    <w:rsid w:val="0051590D"/>
    <w:rsid w:val="005248F6"/>
    <w:rsid w:val="00527C9E"/>
    <w:rsid w:val="00532E7F"/>
    <w:rsid w:val="005355B2"/>
    <w:rsid w:val="0054188E"/>
    <w:rsid w:val="005447D2"/>
    <w:rsid w:val="005475A6"/>
    <w:rsid w:val="005509A2"/>
    <w:rsid w:val="00557D80"/>
    <w:rsid w:val="00561C75"/>
    <w:rsid w:val="005628FE"/>
    <w:rsid w:val="00573EA2"/>
    <w:rsid w:val="0057426E"/>
    <w:rsid w:val="00574800"/>
    <w:rsid w:val="00575220"/>
    <w:rsid w:val="00576C93"/>
    <w:rsid w:val="00581B69"/>
    <w:rsid w:val="00587E90"/>
    <w:rsid w:val="005923A8"/>
    <w:rsid w:val="005A16E0"/>
    <w:rsid w:val="005A21ED"/>
    <w:rsid w:val="005A77A2"/>
    <w:rsid w:val="005B0992"/>
    <w:rsid w:val="005B0C73"/>
    <w:rsid w:val="005B25BF"/>
    <w:rsid w:val="005B450E"/>
    <w:rsid w:val="005B4FD8"/>
    <w:rsid w:val="005B6048"/>
    <w:rsid w:val="005B62B4"/>
    <w:rsid w:val="005B7CFF"/>
    <w:rsid w:val="005C3133"/>
    <w:rsid w:val="005C4D11"/>
    <w:rsid w:val="005C6EDE"/>
    <w:rsid w:val="005D1205"/>
    <w:rsid w:val="005D52D2"/>
    <w:rsid w:val="005D54DF"/>
    <w:rsid w:val="005D7F9E"/>
    <w:rsid w:val="005E6456"/>
    <w:rsid w:val="005F02F6"/>
    <w:rsid w:val="005F2A62"/>
    <w:rsid w:val="005F3B27"/>
    <w:rsid w:val="005F5553"/>
    <w:rsid w:val="005F72F5"/>
    <w:rsid w:val="005F7544"/>
    <w:rsid w:val="006015AB"/>
    <w:rsid w:val="00602DDF"/>
    <w:rsid w:val="006052EB"/>
    <w:rsid w:val="00605876"/>
    <w:rsid w:val="00606273"/>
    <w:rsid w:val="00607890"/>
    <w:rsid w:val="00610270"/>
    <w:rsid w:val="00611D35"/>
    <w:rsid w:val="006124A0"/>
    <w:rsid w:val="00614644"/>
    <w:rsid w:val="0062560E"/>
    <w:rsid w:val="00630A2B"/>
    <w:rsid w:val="00634A9D"/>
    <w:rsid w:val="00636507"/>
    <w:rsid w:val="006427A5"/>
    <w:rsid w:val="00650F13"/>
    <w:rsid w:val="0065322B"/>
    <w:rsid w:val="00653EAC"/>
    <w:rsid w:val="006557AA"/>
    <w:rsid w:val="00665208"/>
    <w:rsid w:val="00665C94"/>
    <w:rsid w:val="00667B94"/>
    <w:rsid w:val="0067082E"/>
    <w:rsid w:val="00670E82"/>
    <w:rsid w:val="006806B9"/>
    <w:rsid w:val="006820C0"/>
    <w:rsid w:val="00685233"/>
    <w:rsid w:val="00690162"/>
    <w:rsid w:val="006924BC"/>
    <w:rsid w:val="00695F0A"/>
    <w:rsid w:val="006A0C56"/>
    <w:rsid w:val="006A24D6"/>
    <w:rsid w:val="006A6635"/>
    <w:rsid w:val="006B399B"/>
    <w:rsid w:val="006B620E"/>
    <w:rsid w:val="006C1593"/>
    <w:rsid w:val="006C31C8"/>
    <w:rsid w:val="006C3432"/>
    <w:rsid w:val="006C3AD1"/>
    <w:rsid w:val="006C5667"/>
    <w:rsid w:val="006C58B8"/>
    <w:rsid w:val="006C780E"/>
    <w:rsid w:val="006D30DE"/>
    <w:rsid w:val="006D32E9"/>
    <w:rsid w:val="006D3930"/>
    <w:rsid w:val="006D3B08"/>
    <w:rsid w:val="006E0E3D"/>
    <w:rsid w:val="006E70F6"/>
    <w:rsid w:val="006F12EA"/>
    <w:rsid w:val="006F464E"/>
    <w:rsid w:val="007017CF"/>
    <w:rsid w:val="007026CA"/>
    <w:rsid w:val="00702765"/>
    <w:rsid w:val="007028A0"/>
    <w:rsid w:val="00705212"/>
    <w:rsid w:val="007153E8"/>
    <w:rsid w:val="00715DF1"/>
    <w:rsid w:val="00727AC5"/>
    <w:rsid w:val="00737776"/>
    <w:rsid w:val="0074101D"/>
    <w:rsid w:val="00742511"/>
    <w:rsid w:val="00744360"/>
    <w:rsid w:val="0075135D"/>
    <w:rsid w:val="00752C5D"/>
    <w:rsid w:val="00754226"/>
    <w:rsid w:val="007549A4"/>
    <w:rsid w:val="0075574D"/>
    <w:rsid w:val="007561FE"/>
    <w:rsid w:val="0075656E"/>
    <w:rsid w:val="007617B4"/>
    <w:rsid w:val="00761DC1"/>
    <w:rsid w:val="007624E8"/>
    <w:rsid w:val="007640DF"/>
    <w:rsid w:val="00765BCF"/>
    <w:rsid w:val="00767654"/>
    <w:rsid w:val="00771D6F"/>
    <w:rsid w:val="00774D53"/>
    <w:rsid w:val="00774F11"/>
    <w:rsid w:val="00784C81"/>
    <w:rsid w:val="00786573"/>
    <w:rsid w:val="0078694D"/>
    <w:rsid w:val="00792524"/>
    <w:rsid w:val="007967FF"/>
    <w:rsid w:val="007A7050"/>
    <w:rsid w:val="007A7A18"/>
    <w:rsid w:val="007B1D8E"/>
    <w:rsid w:val="007B3F08"/>
    <w:rsid w:val="007C2AC1"/>
    <w:rsid w:val="007C4EB1"/>
    <w:rsid w:val="007D0DE9"/>
    <w:rsid w:val="007D1C48"/>
    <w:rsid w:val="007D3765"/>
    <w:rsid w:val="007E5C23"/>
    <w:rsid w:val="007E68F3"/>
    <w:rsid w:val="007F2E9B"/>
    <w:rsid w:val="007F4718"/>
    <w:rsid w:val="007F5E1E"/>
    <w:rsid w:val="0080262B"/>
    <w:rsid w:val="0080317E"/>
    <w:rsid w:val="008033A1"/>
    <w:rsid w:val="00803DCA"/>
    <w:rsid w:val="00805B57"/>
    <w:rsid w:val="00810312"/>
    <w:rsid w:val="0082551A"/>
    <w:rsid w:val="00826CE1"/>
    <w:rsid w:val="00831695"/>
    <w:rsid w:val="00834896"/>
    <w:rsid w:val="00837416"/>
    <w:rsid w:val="008468F3"/>
    <w:rsid w:val="008555E3"/>
    <w:rsid w:val="00863949"/>
    <w:rsid w:val="008678CF"/>
    <w:rsid w:val="00870751"/>
    <w:rsid w:val="008723C3"/>
    <w:rsid w:val="00873A85"/>
    <w:rsid w:val="00874BC3"/>
    <w:rsid w:val="008767CE"/>
    <w:rsid w:val="008927A0"/>
    <w:rsid w:val="0089761A"/>
    <w:rsid w:val="008A3D62"/>
    <w:rsid w:val="008A4C09"/>
    <w:rsid w:val="008A7891"/>
    <w:rsid w:val="008B14A6"/>
    <w:rsid w:val="008B1AB4"/>
    <w:rsid w:val="008B4F73"/>
    <w:rsid w:val="008B6F18"/>
    <w:rsid w:val="008C19C4"/>
    <w:rsid w:val="008C2BE8"/>
    <w:rsid w:val="008C4FF1"/>
    <w:rsid w:val="008C6006"/>
    <w:rsid w:val="008C75B2"/>
    <w:rsid w:val="008C7E9E"/>
    <w:rsid w:val="008D1027"/>
    <w:rsid w:val="008D5DE6"/>
    <w:rsid w:val="008D743D"/>
    <w:rsid w:val="008E2FDF"/>
    <w:rsid w:val="008F5B96"/>
    <w:rsid w:val="00900106"/>
    <w:rsid w:val="00900795"/>
    <w:rsid w:val="00902C9D"/>
    <w:rsid w:val="0090715C"/>
    <w:rsid w:val="00912273"/>
    <w:rsid w:val="0091603A"/>
    <w:rsid w:val="00921CF9"/>
    <w:rsid w:val="00925D2A"/>
    <w:rsid w:val="0092766E"/>
    <w:rsid w:val="0093030D"/>
    <w:rsid w:val="009307DF"/>
    <w:rsid w:val="00931166"/>
    <w:rsid w:val="00932B35"/>
    <w:rsid w:val="00933922"/>
    <w:rsid w:val="00935C75"/>
    <w:rsid w:val="00947A6D"/>
    <w:rsid w:val="00964DB3"/>
    <w:rsid w:val="00967F07"/>
    <w:rsid w:val="00972CCD"/>
    <w:rsid w:val="009732C5"/>
    <w:rsid w:val="00975BA8"/>
    <w:rsid w:val="00975CA7"/>
    <w:rsid w:val="00976701"/>
    <w:rsid w:val="00976971"/>
    <w:rsid w:val="00977364"/>
    <w:rsid w:val="00980BD8"/>
    <w:rsid w:val="00990E6C"/>
    <w:rsid w:val="009928D9"/>
    <w:rsid w:val="00993934"/>
    <w:rsid w:val="009A0517"/>
    <w:rsid w:val="009A4055"/>
    <w:rsid w:val="009A4B52"/>
    <w:rsid w:val="009C3FDD"/>
    <w:rsid w:val="009C71D3"/>
    <w:rsid w:val="009D06A1"/>
    <w:rsid w:val="009D1D25"/>
    <w:rsid w:val="009D2502"/>
    <w:rsid w:val="009D49A1"/>
    <w:rsid w:val="009D539F"/>
    <w:rsid w:val="009D63BC"/>
    <w:rsid w:val="009E06CC"/>
    <w:rsid w:val="009E08B1"/>
    <w:rsid w:val="009E19AA"/>
    <w:rsid w:val="009E4AA6"/>
    <w:rsid w:val="009F598B"/>
    <w:rsid w:val="009F66FE"/>
    <w:rsid w:val="009F7261"/>
    <w:rsid w:val="00A00FDB"/>
    <w:rsid w:val="00A018BA"/>
    <w:rsid w:val="00A01E0B"/>
    <w:rsid w:val="00A029E7"/>
    <w:rsid w:val="00A051FB"/>
    <w:rsid w:val="00A06583"/>
    <w:rsid w:val="00A1052C"/>
    <w:rsid w:val="00A1059D"/>
    <w:rsid w:val="00A167E1"/>
    <w:rsid w:val="00A24DE7"/>
    <w:rsid w:val="00A25A8D"/>
    <w:rsid w:val="00A30C9E"/>
    <w:rsid w:val="00A3197A"/>
    <w:rsid w:val="00A32F36"/>
    <w:rsid w:val="00A34964"/>
    <w:rsid w:val="00A35AAF"/>
    <w:rsid w:val="00A37F02"/>
    <w:rsid w:val="00A41EC0"/>
    <w:rsid w:val="00A547A7"/>
    <w:rsid w:val="00A572A0"/>
    <w:rsid w:val="00A65E16"/>
    <w:rsid w:val="00A668A9"/>
    <w:rsid w:val="00A6703F"/>
    <w:rsid w:val="00A67209"/>
    <w:rsid w:val="00A836BC"/>
    <w:rsid w:val="00A8447A"/>
    <w:rsid w:val="00A85809"/>
    <w:rsid w:val="00A85AC4"/>
    <w:rsid w:val="00A87409"/>
    <w:rsid w:val="00A904A9"/>
    <w:rsid w:val="00A933CB"/>
    <w:rsid w:val="00A94957"/>
    <w:rsid w:val="00A95B1E"/>
    <w:rsid w:val="00A96CC9"/>
    <w:rsid w:val="00A97831"/>
    <w:rsid w:val="00AA2591"/>
    <w:rsid w:val="00AA3690"/>
    <w:rsid w:val="00AB1469"/>
    <w:rsid w:val="00AB5637"/>
    <w:rsid w:val="00AB659F"/>
    <w:rsid w:val="00AB779B"/>
    <w:rsid w:val="00AC2829"/>
    <w:rsid w:val="00AC2C23"/>
    <w:rsid w:val="00AC44C8"/>
    <w:rsid w:val="00AC4855"/>
    <w:rsid w:val="00AC54A6"/>
    <w:rsid w:val="00AC5A30"/>
    <w:rsid w:val="00AC5FC2"/>
    <w:rsid w:val="00AC615B"/>
    <w:rsid w:val="00AD0CE4"/>
    <w:rsid w:val="00AE03BE"/>
    <w:rsid w:val="00AE12F4"/>
    <w:rsid w:val="00AE1BCE"/>
    <w:rsid w:val="00AE2E69"/>
    <w:rsid w:val="00AE3A0B"/>
    <w:rsid w:val="00AE45D7"/>
    <w:rsid w:val="00AE6B7A"/>
    <w:rsid w:val="00AE720D"/>
    <w:rsid w:val="00AF734A"/>
    <w:rsid w:val="00AF7BAB"/>
    <w:rsid w:val="00B010F5"/>
    <w:rsid w:val="00B04A5D"/>
    <w:rsid w:val="00B0556F"/>
    <w:rsid w:val="00B064A2"/>
    <w:rsid w:val="00B06DBF"/>
    <w:rsid w:val="00B11A47"/>
    <w:rsid w:val="00B11DFE"/>
    <w:rsid w:val="00B133BE"/>
    <w:rsid w:val="00B15601"/>
    <w:rsid w:val="00B157B7"/>
    <w:rsid w:val="00B17F8F"/>
    <w:rsid w:val="00B228FA"/>
    <w:rsid w:val="00B238F4"/>
    <w:rsid w:val="00B23C71"/>
    <w:rsid w:val="00B33939"/>
    <w:rsid w:val="00B352AB"/>
    <w:rsid w:val="00B373FE"/>
    <w:rsid w:val="00B43C70"/>
    <w:rsid w:val="00B46D9E"/>
    <w:rsid w:val="00B47480"/>
    <w:rsid w:val="00B5062D"/>
    <w:rsid w:val="00B53321"/>
    <w:rsid w:val="00B5384D"/>
    <w:rsid w:val="00B539B4"/>
    <w:rsid w:val="00B53CF2"/>
    <w:rsid w:val="00B544F8"/>
    <w:rsid w:val="00B600A0"/>
    <w:rsid w:val="00B6448D"/>
    <w:rsid w:val="00B65933"/>
    <w:rsid w:val="00B7090D"/>
    <w:rsid w:val="00B7153C"/>
    <w:rsid w:val="00B76B5D"/>
    <w:rsid w:val="00B80A20"/>
    <w:rsid w:val="00B80B89"/>
    <w:rsid w:val="00B81DF4"/>
    <w:rsid w:val="00B822A3"/>
    <w:rsid w:val="00B82C05"/>
    <w:rsid w:val="00B84B3B"/>
    <w:rsid w:val="00B8742E"/>
    <w:rsid w:val="00BA3DC2"/>
    <w:rsid w:val="00BA7F27"/>
    <w:rsid w:val="00BB3618"/>
    <w:rsid w:val="00BB61E9"/>
    <w:rsid w:val="00BC4EB7"/>
    <w:rsid w:val="00BC6FBB"/>
    <w:rsid w:val="00BD198C"/>
    <w:rsid w:val="00BD2909"/>
    <w:rsid w:val="00BD2BD9"/>
    <w:rsid w:val="00BD35C4"/>
    <w:rsid w:val="00BD4AED"/>
    <w:rsid w:val="00BD60FD"/>
    <w:rsid w:val="00BD73DC"/>
    <w:rsid w:val="00BE106B"/>
    <w:rsid w:val="00BE1AB8"/>
    <w:rsid w:val="00BE387A"/>
    <w:rsid w:val="00BE58F6"/>
    <w:rsid w:val="00BF214D"/>
    <w:rsid w:val="00BF60E0"/>
    <w:rsid w:val="00C11C7B"/>
    <w:rsid w:val="00C16778"/>
    <w:rsid w:val="00C2040D"/>
    <w:rsid w:val="00C262C9"/>
    <w:rsid w:val="00C34AA3"/>
    <w:rsid w:val="00C361AA"/>
    <w:rsid w:val="00C36612"/>
    <w:rsid w:val="00C36D78"/>
    <w:rsid w:val="00C43586"/>
    <w:rsid w:val="00C6212D"/>
    <w:rsid w:val="00C648B8"/>
    <w:rsid w:val="00C67C90"/>
    <w:rsid w:val="00C70110"/>
    <w:rsid w:val="00C74DB9"/>
    <w:rsid w:val="00C83652"/>
    <w:rsid w:val="00C848CE"/>
    <w:rsid w:val="00C9155D"/>
    <w:rsid w:val="00C96C19"/>
    <w:rsid w:val="00C9721C"/>
    <w:rsid w:val="00C97248"/>
    <w:rsid w:val="00CA0778"/>
    <w:rsid w:val="00CA0977"/>
    <w:rsid w:val="00CA5F6B"/>
    <w:rsid w:val="00CB421E"/>
    <w:rsid w:val="00CC34CF"/>
    <w:rsid w:val="00CC53BB"/>
    <w:rsid w:val="00CD0246"/>
    <w:rsid w:val="00CD1139"/>
    <w:rsid w:val="00CD37BB"/>
    <w:rsid w:val="00CD5761"/>
    <w:rsid w:val="00CE0539"/>
    <w:rsid w:val="00CE0B76"/>
    <w:rsid w:val="00CE27F1"/>
    <w:rsid w:val="00CE2B2F"/>
    <w:rsid w:val="00CE3BAE"/>
    <w:rsid w:val="00CE3CC2"/>
    <w:rsid w:val="00CE72B9"/>
    <w:rsid w:val="00CF2053"/>
    <w:rsid w:val="00CF7150"/>
    <w:rsid w:val="00CF7569"/>
    <w:rsid w:val="00CF781A"/>
    <w:rsid w:val="00D01489"/>
    <w:rsid w:val="00D019A9"/>
    <w:rsid w:val="00D02BBA"/>
    <w:rsid w:val="00D040F4"/>
    <w:rsid w:val="00D07C81"/>
    <w:rsid w:val="00D10188"/>
    <w:rsid w:val="00D11DEF"/>
    <w:rsid w:val="00D121D5"/>
    <w:rsid w:val="00D17A57"/>
    <w:rsid w:val="00D20525"/>
    <w:rsid w:val="00D22956"/>
    <w:rsid w:val="00D250C6"/>
    <w:rsid w:val="00D2618D"/>
    <w:rsid w:val="00D271F3"/>
    <w:rsid w:val="00D27571"/>
    <w:rsid w:val="00D307D7"/>
    <w:rsid w:val="00D33107"/>
    <w:rsid w:val="00D331A9"/>
    <w:rsid w:val="00D3426D"/>
    <w:rsid w:val="00D36A69"/>
    <w:rsid w:val="00D435A8"/>
    <w:rsid w:val="00D43D4C"/>
    <w:rsid w:val="00D5059A"/>
    <w:rsid w:val="00D5118F"/>
    <w:rsid w:val="00D515DF"/>
    <w:rsid w:val="00D52692"/>
    <w:rsid w:val="00D529C5"/>
    <w:rsid w:val="00D52C3B"/>
    <w:rsid w:val="00D53225"/>
    <w:rsid w:val="00D54A88"/>
    <w:rsid w:val="00D57E29"/>
    <w:rsid w:val="00D65796"/>
    <w:rsid w:val="00D65EA8"/>
    <w:rsid w:val="00D72BC0"/>
    <w:rsid w:val="00D75B21"/>
    <w:rsid w:val="00D826DB"/>
    <w:rsid w:val="00D9077C"/>
    <w:rsid w:val="00D90B55"/>
    <w:rsid w:val="00D92FEA"/>
    <w:rsid w:val="00D958E2"/>
    <w:rsid w:val="00D97D04"/>
    <w:rsid w:val="00DA0759"/>
    <w:rsid w:val="00DA4AAF"/>
    <w:rsid w:val="00DB1C85"/>
    <w:rsid w:val="00DB291B"/>
    <w:rsid w:val="00DB4A11"/>
    <w:rsid w:val="00DB6E1D"/>
    <w:rsid w:val="00DB6EB9"/>
    <w:rsid w:val="00DB71F9"/>
    <w:rsid w:val="00DC1373"/>
    <w:rsid w:val="00DD461D"/>
    <w:rsid w:val="00DD75B5"/>
    <w:rsid w:val="00DE5C90"/>
    <w:rsid w:val="00DF6902"/>
    <w:rsid w:val="00DF7E2F"/>
    <w:rsid w:val="00E01551"/>
    <w:rsid w:val="00E01C02"/>
    <w:rsid w:val="00E06C77"/>
    <w:rsid w:val="00E07C73"/>
    <w:rsid w:val="00E132EA"/>
    <w:rsid w:val="00E2008F"/>
    <w:rsid w:val="00E20B2D"/>
    <w:rsid w:val="00E21946"/>
    <w:rsid w:val="00E23E04"/>
    <w:rsid w:val="00E24F85"/>
    <w:rsid w:val="00E30126"/>
    <w:rsid w:val="00E3031D"/>
    <w:rsid w:val="00E31961"/>
    <w:rsid w:val="00E34CCA"/>
    <w:rsid w:val="00E35FA2"/>
    <w:rsid w:val="00E444E6"/>
    <w:rsid w:val="00E54244"/>
    <w:rsid w:val="00E61D18"/>
    <w:rsid w:val="00E63CE0"/>
    <w:rsid w:val="00E64BE4"/>
    <w:rsid w:val="00E674AE"/>
    <w:rsid w:val="00E67F46"/>
    <w:rsid w:val="00E71803"/>
    <w:rsid w:val="00E72DBE"/>
    <w:rsid w:val="00E742FD"/>
    <w:rsid w:val="00E7506A"/>
    <w:rsid w:val="00E761AB"/>
    <w:rsid w:val="00E7626C"/>
    <w:rsid w:val="00E8446A"/>
    <w:rsid w:val="00E913B6"/>
    <w:rsid w:val="00E93A18"/>
    <w:rsid w:val="00E973F2"/>
    <w:rsid w:val="00EA0580"/>
    <w:rsid w:val="00EB416B"/>
    <w:rsid w:val="00EB74F9"/>
    <w:rsid w:val="00EC0455"/>
    <w:rsid w:val="00EC06B5"/>
    <w:rsid w:val="00ED17B2"/>
    <w:rsid w:val="00ED1C62"/>
    <w:rsid w:val="00EE0926"/>
    <w:rsid w:val="00EE147E"/>
    <w:rsid w:val="00EE2E17"/>
    <w:rsid w:val="00EE7BDC"/>
    <w:rsid w:val="00EF38EC"/>
    <w:rsid w:val="00EF6A3A"/>
    <w:rsid w:val="00F00380"/>
    <w:rsid w:val="00F019F8"/>
    <w:rsid w:val="00F06EC5"/>
    <w:rsid w:val="00F13A0B"/>
    <w:rsid w:val="00F14551"/>
    <w:rsid w:val="00F14ACA"/>
    <w:rsid w:val="00F246CA"/>
    <w:rsid w:val="00F25E18"/>
    <w:rsid w:val="00F2662C"/>
    <w:rsid w:val="00F27D65"/>
    <w:rsid w:val="00F32170"/>
    <w:rsid w:val="00F3655E"/>
    <w:rsid w:val="00F40D88"/>
    <w:rsid w:val="00F411F7"/>
    <w:rsid w:val="00F41953"/>
    <w:rsid w:val="00F44D41"/>
    <w:rsid w:val="00F44F89"/>
    <w:rsid w:val="00F45041"/>
    <w:rsid w:val="00F52AAE"/>
    <w:rsid w:val="00F52F55"/>
    <w:rsid w:val="00F565F3"/>
    <w:rsid w:val="00F56643"/>
    <w:rsid w:val="00F6273E"/>
    <w:rsid w:val="00F65131"/>
    <w:rsid w:val="00F660FB"/>
    <w:rsid w:val="00F70495"/>
    <w:rsid w:val="00F72AA3"/>
    <w:rsid w:val="00F7786F"/>
    <w:rsid w:val="00F822BF"/>
    <w:rsid w:val="00F83240"/>
    <w:rsid w:val="00F90B5E"/>
    <w:rsid w:val="00F9104A"/>
    <w:rsid w:val="00F91371"/>
    <w:rsid w:val="00F94FB2"/>
    <w:rsid w:val="00FA0979"/>
    <w:rsid w:val="00FA0A82"/>
    <w:rsid w:val="00FA2E82"/>
    <w:rsid w:val="00FA4675"/>
    <w:rsid w:val="00FA51FA"/>
    <w:rsid w:val="00FA556D"/>
    <w:rsid w:val="00FA5C9F"/>
    <w:rsid w:val="00FB18DD"/>
    <w:rsid w:val="00FB21A9"/>
    <w:rsid w:val="00FB4766"/>
    <w:rsid w:val="00FB618E"/>
    <w:rsid w:val="00FC15C7"/>
    <w:rsid w:val="00FC5593"/>
    <w:rsid w:val="00FC62D1"/>
    <w:rsid w:val="00FC7345"/>
    <w:rsid w:val="00FD20B5"/>
    <w:rsid w:val="00FD2AB9"/>
    <w:rsid w:val="00FD49C7"/>
    <w:rsid w:val="00FD7DBB"/>
    <w:rsid w:val="00FE0A9D"/>
    <w:rsid w:val="00FE2ED4"/>
    <w:rsid w:val="00FE4355"/>
    <w:rsid w:val="00FE4A84"/>
    <w:rsid w:val="00FE5ACF"/>
    <w:rsid w:val="00FE6736"/>
    <w:rsid w:val="00FE6BE9"/>
    <w:rsid w:val="00FE752C"/>
    <w:rsid w:val="00FE771E"/>
    <w:rsid w:val="00FE787B"/>
    <w:rsid w:val="00FF004F"/>
    <w:rsid w:val="00FF19E6"/>
    <w:rsid w:val="00FF3D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hyperlink" Target="http://www.etfsa.co.z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etfsa-my.sharepoint.com/personal/sherrylf_etfsa_co_za/Documents/odds%20and%20ends/market%20cap%202008%20to%20Jun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AC-4B8F-8D83-149E720E81E1}"/>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AC-4B8F-8D83-149E720E81E1}"/>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AC-4B8F-8D83-149E720E81E1}"/>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AC-4B8F-8D83-149E720E81E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 Jun</c:v>
                </c:pt>
              </c:strCache>
            </c:strRef>
          </c:cat>
          <c:val>
            <c:numRef>
              <c:f>Sheet1!$B$2:$B$15</c:f>
              <c:numCache>
                <c:formatCode>General</c:formatCode>
                <c:ptCount val="14"/>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124475</c:v>
                </c:pt>
              </c:numCache>
            </c:numRef>
          </c:val>
          <c:extLst>
            <c:ext xmlns:c16="http://schemas.microsoft.com/office/drawing/2014/chart" uri="{C3380CC4-5D6E-409C-BE32-E72D297353CC}">
              <c16:uniqueId val="{00000004-B7AC-4B8F-8D83-149E720E81E1}"/>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0.49221</cdr:x>
      <cdr:y>0.90668</cdr:y>
    </cdr:from>
    <cdr:to>
      <cdr:x>0.67165</cdr:x>
      <cdr:y>0.99152</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508219" y="2714616"/>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 (June 2021)</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175</cp:revision>
  <cp:lastPrinted>2021-07-14T13:08:00Z</cp:lastPrinted>
  <dcterms:created xsi:type="dcterms:W3CDTF">2021-07-09T09:07:00Z</dcterms:created>
  <dcterms:modified xsi:type="dcterms:W3CDTF">2021-07-14T13:27:00Z</dcterms:modified>
</cp:coreProperties>
</file>