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553EA2D0"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A8447A">
        <w:rPr>
          <w:rFonts w:ascii="Verdana" w:hAnsi="Verdana"/>
          <w:sz w:val="24"/>
          <w:szCs w:val="24"/>
        </w:rPr>
        <w:t>1</w:t>
      </w:r>
      <w:r w:rsidR="00A8447A" w:rsidRPr="00A8447A">
        <w:rPr>
          <w:rFonts w:ascii="Verdana" w:hAnsi="Verdana"/>
          <w:sz w:val="24"/>
          <w:szCs w:val="24"/>
          <w:vertAlign w:val="superscript"/>
        </w:rPr>
        <w:t>st</w:t>
      </w:r>
      <w:r w:rsidR="00A8447A">
        <w:rPr>
          <w:rFonts w:ascii="Verdana" w:hAnsi="Verdana"/>
          <w:sz w:val="24"/>
          <w:szCs w:val="24"/>
        </w:rPr>
        <w:t xml:space="preserve"> </w:t>
      </w:r>
      <w:r w:rsidR="002F5364">
        <w:rPr>
          <w:rFonts w:ascii="Verdana" w:hAnsi="Verdana"/>
          <w:sz w:val="24"/>
          <w:szCs w:val="24"/>
        </w:rPr>
        <w:t>March</w:t>
      </w:r>
      <w:r w:rsidR="00870751">
        <w:rPr>
          <w:rFonts w:ascii="Verdana" w:hAnsi="Verdana"/>
          <w:sz w:val="24"/>
          <w:szCs w:val="24"/>
        </w:rPr>
        <w:t xml:space="preserve"> 20</w:t>
      </w:r>
      <w:r w:rsidR="00863949">
        <w:rPr>
          <w:rFonts w:ascii="Verdana" w:hAnsi="Verdana"/>
          <w:sz w:val="24"/>
          <w:szCs w:val="24"/>
        </w:rPr>
        <w:t>2</w:t>
      </w:r>
      <w:r w:rsidR="002F5364">
        <w:rPr>
          <w:rFonts w:ascii="Verdana" w:hAnsi="Verdana"/>
          <w:sz w:val="24"/>
          <w:szCs w:val="24"/>
        </w:rPr>
        <w:t>1</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0E219DF" w14:textId="77777777" w:rsidR="00DD75B5" w:rsidRDefault="00DD75B5"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2E03ACFB" w:rsidR="00D72BC0" w:rsidRDefault="006C780E"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T</w:t>
      </w:r>
      <w:r w:rsidR="004E7608">
        <w:rPr>
          <w:rFonts w:ascii="Verdana" w:hAnsi="Verdana"/>
          <w:color w:val="000000" w:themeColor="text1"/>
          <w:sz w:val="21"/>
          <w:szCs w:val="21"/>
        </w:rPr>
        <w:t>he total market capitalisation</w:t>
      </w:r>
      <w:r w:rsidR="004A53EA">
        <w:rPr>
          <w:rFonts w:ascii="Verdana" w:hAnsi="Verdana"/>
          <w:color w:val="000000" w:themeColor="text1"/>
          <w:sz w:val="21"/>
          <w:szCs w:val="21"/>
        </w:rPr>
        <w:t xml:space="preserve"> of </w:t>
      </w:r>
      <w:r>
        <w:rPr>
          <w:rFonts w:ascii="Verdana" w:hAnsi="Verdana"/>
          <w:color w:val="000000" w:themeColor="text1"/>
          <w:sz w:val="21"/>
          <w:szCs w:val="21"/>
        </w:rPr>
        <w:t>all</w:t>
      </w:r>
      <w:r w:rsidR="004A53EA">
        <w:rPr>
          <w:rFonts w:ascii="Verdana" w:hAnsi="Verdana"/>
          <w:color w:val="000000" w:themeColor="text1"/>
          <w:sz w:val="21"/>
          <w:szCs w:val="21"/>
        </w:rPr>
        <w:t xml:space="preserve"> </w:t>
      </w:r>
      <w:r>
        <w:rPr>
          <w:rFonts w:ascii="Verdana" w:hAnsi="Verdana"/>
          <w:color w:val="000000" w:themeColor="text1"/>
          <w:sz w:val="21"/>
          <w:szCs w:val="21"/>
        </w:rPr>
        <w:t>E</w:t>
      </w:r>
      <w:r w:rsidR="004A53EA">
        <w:rPr>
          <w:rFonts w:ascii="Verdana" w:hAnsi="Verdana"/>
          <w:color w:val="000000" w:themeColor="text1"/>
          <w:sz w:val="21"/>
          <w:szCs w:val="21"/>
        </w:rPr>
        <w:t>TF</w:t>
      </w:r>
      <w:r>
        <w:rPr>
          <w:rFonts w:ascii="Verdana" w:hAnsi="Verdana"/>
          <w:color w:val="000000" w:themeColor="text1"/>
          <w:sz w:val="21"/>
          <w:szCs w:val="21"/>
        </w:rPr>
        <w:t>s/</w:t>
      </w:r>
      <w:r w:rsidR="004A53EA">
        <w:rPr>
          <w:rFonts w:ascii="Verdana" w:hAnsi="Verdana"/>
          <w:color w:val="000000" w:themeColor="text1"/>
          <w:sz w:val="21"/>
          <w:szCs w:val="21"/>
        </w:rPr>
        <w:t>ETNs</w:t>
      </w:r>
      <w:r w:rsidR="007D0DE9">
        <w:rPr>
          <w:rFonts w:ascii="Verdana" w:hAnsi="Verdana"/>
          <w:color w:val="000000" w:themeColor="text1"/>
          <w:sz w:val="21"/>
          <w:szCs w:val="21"/>
        </w:rPr>
        <w:t xml:space="preserve">, listed on the JSE, </w:t>
      </w:r>
      <w:r w:rsidR="002F4117">
        <w:rPr>
          <w:rFonts w:ascii="Verdana" w:hAnsi="Verdana"/>
          <w:color w:val="000000" w:themeColor="text1"/>
          <w:sz w:val="21"/>
          <w:szCs w:val="21"/>
        </w:rPr>
        <w:t>rose</w:t>
      </w:r>
      <w:r>
        <w:rPr>
          <w:rFonts w:ascii="Verdana" w:hAnsi="Verdana"/>
          <w:color w:val="000000" w:themeColor="text1"/>
          <w:sz w:val="21"/>
          <w:szCs w:val="21"/>
        </w:rPr>
        <w:t xml:space="preserve"> from R1</w:t>
      </w:r>
      <w:r w:rsidR="00685233">
        <w:rPr>
          <w:rFonts w:ascii="Verdana" w:hAnsi="Verdana"/>
          <w:color w:val="000000" w:themeColor="text1"/>
          <w:sz w:val="21"/>
          <w:szCs w:val="21"/>
        </w:rPr>
        <w:t>11</w:t>
      </w:r>
      <w:r>
        <w:rPr>
          <w:rFonts w:ascii="Verdana" w:hAnsi="Verdana"/>
          <w:color w:val="000000" w:themeColor="text1"/>
          <w:sz w:val="21"/>
          <w:szCs w:val="21"/>
        </w:rPr>
        <w:t>,</w:t>
      </w:r>
      <w:r w:rsidR="00685233">
        <w:rPr>
          <w:rFonts w:ascii="Verdana" w:hAnsi="Verdana"/>
          <w:color w:val="000000" w:themeColor="text1"/>
          <w:sz w:val="21"/>
          <w:szCs w:val="21"/>
        </w:rPr>
        <w:t>0</w:t>
      </w:r>
      <w:r>
        <w:rPr>
          <w:rFonts w:ascii="Verdana" w:hAnsi="Verdana"/>
          <w:color w:val="000000" w:themeColor="text1"/>
          <w:sz w:val="21"/>
          <w:szCs w:val="21"/>
        </w:rPr>
        <w:t xml:space="preserve"> billion at the end of 20</w:t>
      </w:r>
      <w:r w:rsidR="00685233">
        <w:rPr>
          <w:rFonts w:ascii="Verdana" w:hAnsi="Verdana"/>
          <w:color w:val="000000" w:themeColor="text1"/>
          <w:sz w:val="21"/>
          <w:szCs w:val="21"/>
        </w:rPr>
        <w:t>20</w:t>
      </w:r>
      <w:r>
        <w:rPr>
          <w:rFonts w:ascii="Verdana" w:hAnsi="Verdana"/>
          <w:color w:val="000000" w:themeColor="text1"/>
          <w:sz w:val="21"/>
          <w:szCs w:val="21"/>
        </w:rPr>
        <w:t xml:space="preserve"> to R1</w:t>
      </w:r>
      <w:r w:rsidR="00573EA2">
        <w:rPr>
          <w:rFonts w:ascii="Verdana" w:hAnsi="Verdana"/>
          <w:color w:val="000000" w:themeColor="text1"/>
          <w:sz w:val="21"/>
          <w:szCs w:val="21"/>
        </w:rPr>
        <w:t>1</w:t>
      </w:r>
      <w:r w:rsidR="00685233">
        <w:rPr>
          <w:rFonts w:ascii="Verdana" w:hAnsi="Verdana"/>
          <w:color w:val="000000" w:themeColor="text1"/>
          <w:sz w:val="21"/>
          <w:szCs w:val="21"/>
        </w:rPr>
        <w:t>9</w:t>
      </w:r>
      <w:r>
        <w:rPr>
          <w:rFonts w:ascii="Verdana" w:hAnsi="Verdana"/>
          <w:color w:val="000000" w:themeColor="text1"/>
          <w:sz w:val="21"/>
          <w:szCs w:val="21"/>
        </w:rPr>
        <w:t>,</w:t>
      </w:r>
      <w:r w:rsidR="00685233">
        <w:rPr>
          <w:rFonts w:ascii="Verdana" w:hAnsi="Verdana"/>
          <w:color w:val="000000" w:themeColor="text1"/>
          <w:sz w:val="21"/>
          <w:szCs w:val="21"/>
        </w:rPr>
        <w:t>7</w:t>
      </w:r>
      <w:r>
        <w:rPr>
          <w:rFonts w:ascii="Verdana" w:hAnsi="Verdana"/>
          <w:color w:val="000000" w:themeColor="text1"/>
          <w:sz w:val="21"/>
          <w:szCs w:val="21"/>
        </w:rPr>
        <w:t xml:space="preserve"> billion at </w:t>
      </w:r>
      <w:r w:rsidR="00685233">
        <w:rPr>
          <w:rFonts w:ascii="Verdana" w:hAnsi="Verdana"/>
          <w:color w:val="000000" w:themeColor="text1"/>
          <w:sz w:val="21"/>
          <w:szCs w:val="21"/>
        </w:rPr>
        <w:t>the end of first quarter of 2021.  This is an appreciation of 7</w:t>
      </w:r>
      <w:r>
        <w:rPr>
          <w:rFonts w:ascii="Verdana" w:hAnsi="Verdana"/>
          <w:color w:val="000000" w:themeColor="text1"/>
          <w:sz w:val="21"/>
          <w:szCs w:val="21"/>
        </w:rPr>
        <w:t>,</w:t>
      </w:r>
      <w:r w:rsidR="00685233">
        <w:rPr>
          <w:rFonts w:ascii="Verdana" w:hAnsi="Verdana"/>
          <w:color w:val="000000" w:themeColor="text1"/>
          <w:sz w:val="21"/>
          <w:szCs w:val="21"/>
        </w:rPr>
        <w:t>8</w:t>
      </w:r>
      <w:r>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6666"/>
      </w:tblGrid>
      <w:tr w:rsidR="00F411F7" w14:paraId="02D18F07" w14:textId="77777777" w:rsidTr="00685233">
        <w:tc>
          <w:tcPr>
            <w:tcW w:w="3261" w:type="dxa"/>
            <w:vAlign w:val="center"/>
          </w:tcPr>
          <w:p w14:paraId="1EC26A6C" w14:textId="34208B46" w:rsidR="00185009" w:rsidRPr="00FB21A9" w:rsidRDefault="00685233" w:rsidP="00CE3CC2">
            <w:pPr>
              <w:spacing w:line="320" w:lineRule="atLeast"/>
              <w:rPr>
                <w:rFonts w:ascii="Verdana" w:hAnsi="Verdana"/>
                <w:color w:val="000000" w:themeColor="text1"/>
                <w:sz w:val="21"/>
                <w:szCs w:val="21"/>
              </w:rPr>
            </w:pPr>
            <w:r>
              <w:rPr>
                <w:rFonts w:ascii="Verdana" w:hAnsi="Verdana"/>
                <w:color w:val="000000" w:themeColor="text1"/>
                <w:sz w:val="21"/>
                <w:szCs w:val="21"/>
              </w:rPr>
              <w:t xml:space="preserve">Generally speaking financial markets performed favourably over the first 3 months of this year, as economic recovery from the COVID-19 pandemic now appears </w:t>
            </w:r>
            <w:r w:rsidR="0067082E">
              <w:rPr>
                <w:rFonts w:ascii="Verdana" w:hAnsi="Verdana"/>
                <w:color w:val="000000" w:themeColor="text1"/>
                <w:sz w:val="21"/>
                <w:szCs w:val="21"/>
              </w:rPr>
              <w:t>to</w:t>
            </w:r>
            <w:r>
              <w:rPr>
                <w:rFonts w:ascii="Verdana" w:hAnsi="Verdana"/>
                <w:color w:val="000000" w:themeColor="text1"/>
                <w:sz w:val="21"/>
                <w:szCs w:val="21"/>
              </w:rPr>
              <w:t xml:space="preserve"> be accepted.  Global equities have responded well to the portents for international economic recovery and the South African equity market has continued its revival which started in the final months of 2020. </w:t>
            </w:r>
          </w:p>
        </w:tc>
        <w:tc>
          <w:tcPr>
            <w:tcW w:w="6660" w:type="dxa"/>
            <w:vAlign w:val="center"/>
          </w:tcPr>
          <w:p w14:paraId="237962D7" w14:textId="799FEDCF" w:rsidR="00D826DB" w:rsidRDefault="00685233" w:rsidP="00F411F7">
            <w:pPr>
              <w:spacing w:line="340" w:lineRule="atLeast"/>
              <w:jc w:val="right"/>
              <w:rPr>
                <w:rFonts w:ascii="Verdana" w:hAnsi="Verdana"/>
                <w:color w:val="000000" w:themeColor="text1"/>
                <w:sz w:val="21"/>
                <w:szCs w:val="21"/>
              </w:rPr>
            </w:pPr>
            <w:r>
              <w:rPr>
                <w:noProof/>
              </w:rPr>
              <w:drawing>
                <wp:inline distT="0" distB="0" distL="0" distR="0" wp14:anchorId="077311BE" wp14:editId="39FFED29">
                  <wp:extent cx="4089400" cy="2667000"/>
                  <wp:effectExtent l="0" t="0" r="6350" b="0"/>
                  <wp:docPr id="2" name="Chart 2">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CCC5C48" w14:textId="5F694416" w:rsidR="00AE720D" w:rsidRDefault="00AE720D" w:rsidP="00CD37BB">
      <w:pPr>
        <w:spacing w:after="0" w:line="320" w:lineRule="atLeast"/>
        <w:jc w:val="both"/>
        <w:rPr>
          <w:rFonts w:ascii="Verdana" w:hAnsi="Verdana"/>
          <w:color w:val="000000" w:themeColor="text1"/>
          <w:sz w:val="21"/>
          <w:szCs w:val="21"/>
        </w:rPr>
      </w:pPr>
    </w:p>
    <w:p w14:paraId="3C4D2A41" w14:textId="5BBA63BD" w:rsidR="00046AC3" w:rsidRDefault="00685233"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One signal of the improved sentiment towards South Africa, has been the relatively strong appreciation of the rand against the US dollar, in particular.  This has led to a dampening effect on the rand prices of foreign referenced ETFs/ETNs, which has offset the increase in the dollar prices of these assets.  For instance, the MSCI World index (for global equities), in rands, increased by </w:t>
      </w:r>
      <w:r w:rsidR="00D10188">
        <w:rPr>
          <w:rFonts w:ascii="Verdana" w:hAnsi="Verdana"/>
          <w:color w:val="000000" w:themeColor="text1"/>
          <w:sz w:val="21"/>
          <w:szCs w:val="21"/>
        </w:rPr>
        <w:t xml:space="preserve">only </w:t>
      </w:r>
      <w:r>
        <w:rPr>
          <w:rFonts w:ascii="Verdana" w:hAnsi="Verdana"/>
          <w:color w:val="000000" w:themeColor="text1"/>
          <w:sz w:val="21"/>
          <w:szCs w:val="21"/>
        </w:rPr>
        <w:t xml:space="preserve">4,9% over the first 3 months of 2021, whereas the FTSE/JSE All Share index </w:t>
      </w:r>
      <w:r w:rsidR="006F464E">
        <w:rPr>
          <w:rFonts w:ascii="Verdana" w:hAnsi="Verdana"/>
          <w:color w:val="000000" w:themeColor="text1"/>
          <w:sz w:val="21"/>
          <w:szCs w:val="21"/>
        </w:rPr>
        <w:t xml:space="preserve">(for local equities) </w:t>
      </w:r>
      <w:r>
        <w:rPr>
          <w:rFonts w:ascii="Verdana" w:hAnsi="Verdana"/>
          <w:color w:val="000000" w:themeColor="text1"/>
          <w:sz w:val="21"/>
          <w:szCs w:val="21"/>
        </w:rPr>
        <w:t xml:space="preserve">appreciated by 13,1% over the same 3 month period. </w:t>
      </w:r>
    </w:p>
    <w:p w14:paraId="4A88887D" w14:textId="72E90304" w:rsidR="00685233" w:rsidRDefault="00685233" w:rsidP="00CE3CC2">
      <w:pPr>
        <w:spacing w:after="0" w:line="320" w:lineRule="atLeast"/>
        <w:jc w:val="both"/>
        <w:rPr>
          <w:rFonts w:ascii="Verdana" w:hAnsi="Verdana"/>
          <w:color w:val="000000" w:themeColor="text1"/>
          <w:sz w:val="21"/>
          <w:szCs w:val="21"/>
        </w:rPr>
      </w:pPr>
    </w:p>
    <w:p w14:paraId="7025A7F6" w14:textId="17642520" w:rsidR="00685233" w:rsidRDefault="00685233"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The majority</w:t>
      </w:r>
      <w:r w:rsidR="00FA5C9F">
        <w:rPr>
          <w:rFonts w:ascii="Verdana" w:hAnsi="Verdana"/>
          <w:color w:val="000000" w:themeColor="text1"/>
          <w:sz w:val="21"/>
          <w:szCs w:val="21"/>
        </w:rPr>
        <w:t xml:space="preserve"> of ETFs/ETNs available on the JSE (</w:t>
      </w:r>
      <w:r w:rsidR="006F464E">
        <w:rPr>
          <w:rFonts w:ascii="Verdana" w:hAnsi="Verdana"/>
          <w:color w:val="000000" w:themeColor="text1"/>
          <w:sz w:val="21"/>
          <w:szCs w:val="21"/>
        </w:rPr>
        <w:t xml:space="preserve">more </w:t>
      </w:r>
      <w:r w:rsidR="00FA5C9F">
        <w:rPr>
          <w:rFonts w:ascii="Verdana" w:hAnsi="Verdana"/>
          <w:color w:val="000000" w:themeColor="text1"/>
          <w:sz w:val="21"/>
          <w:szCs w:val="21"/>
        </w:rPr>
        <w:t xml:space="preserve">than two-thirds), track foreign assets rather than local equities or bonds.  Whilst this </w:t>
      </w:r>
      <w:r w:rsidR="006F464E">
        <w:rPr>
          <w:rFonts w:ascii="Verdana" w:hAnsi="Verdana"/>
          <w:color w:val="000000" w:themeColor="text1"/>
          <w:sz w:val="21"/>
          <w:szCs w:val="21"/>
        </w:rPr>
        <w:t>ha</w:t>
      </w:r>
      <w:r w:rsidR="00FA5C9F">
        <w:rPr>
          <w:rFonts w:ascii="Verdana" w:hAnsi="Verdana"/>
          <w:color w:val="000000" w:themeColor="text1"/>
          <w:sz w:val="21"/>
          <w:szCs w:val="21"/>
        </w:rPr>
        <w:t xml:space="preserve">s not appeared to impact the public demand for foreign referenced ETFs, and in fact may be providing a buying opportunity to pick up such assets at favourable rand prices, it has meant that the overall market capitalisation of all ETFs </w:t>
      </w:r>
      <w:r w:rsidR="006F464E">
        <w:rPr>
          <w:rFonts w:ascii="Verdana" w:hAnsi="Verdana"/>
          <w:color w:val="000000" w:themeColor="text1"/>
          <w:sz w:val="21"/>
          <w:szCs w:val="21"/>
        </w:rPr>
        <w:t xml:space="preserve">has been dampened by the </w:t>
      </w:r>
      <w:r w:rsidR="00D10188">
        <w:rPr>
          <w:rFonts w:ascii="Verdana" w:hAnsi="Verdana"/>
          <w:color w:val="000000" w:themeColor="text1"/>
          <w:sz w:val="21"/>
          <w:szCs w:val="21"/>
        </w:rPr>
        <w:t>im</w:t>
      </w:r>
      <w:r w:rsidR="006F464E">
        <w:rPr>
          <w:rFonts w:ascii="Verdana" w:hAnsi="Verdana"/>
          <w:color w:val="000000" w:themeColor="text1"/>
          <w:sz w:val="21"/>
          <w:szCs w:val="21"/>
        </w:rPr>
        <w:t>pact of a stronger rand</w:t>
      </w:r>
      <w:r w:rsidR="00FA5C9F">
        <w:rPr>
          <w:rFonts w:ascii="Verdana" w:hAnsi="Verdana"/>
          <w:color w:val="000000" w:themeColor="text1"/>
          <w:sz w:val="21"/>
          <w:szCs w:val="21"/>
        </w:rPr>
        <w:t xml:space="preserve">.  </w:t>
      </w:r>
    </w:p>
    <w:p w14:paraId="4C9D4150" w14:textId="47DF885B" w:rsidR="00FA5C9F" w:rsidRDefault="00FA5C9F" w:rsidP="00CE3CC2">
      <w:pPr>
        <w:spacing w:after="0" w:line="320" w:lineRule="atLeast"/>
        <w:jc w:val="both"/>
        <w:rPr>
          <w:rFonts w:ascii="Verdana" w:hAnsi="Verdana"/>
          <w:color w:val="000000" w:themeColor="text1"/>
          <w:sz w:val="21"/>
          <w:szCs w:val="21"/>
        </w:rPr>
      </w:pPr>
    </w:p>
    <w:p w14:paraId="657EF348" w14:textId="0DCB1565" w:rsidR="00FA5C9F" w:rsidRDefault="00FA5C9F"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No new ETFs or ETNs were issued during the first quarter of this year, so the t</w:t>
      </w:r>
      <w:r w:rsidR="006F464E">
        <w:rPr>
          <w:rFonts w:ascii="Verdana" w:hAnsi="Verdana"/>
          <w:color w:val="000000" w:themeColor="text1"/>
          <w:sz w:val="21"/>
          <w:szCs w:val="21"/>
        </w:rPr>
        <w:t>otal</w:t>
      </w:r>
      <w:r>
        <w:rPr>
          <w:rFonts w:ascii="Verdana" w:hAnsi="Verdana"/>
          <w:color w:val="000000" w:themeColor="text1"/>
          <w:sz w:val="21"/>
          <w:szCs w:val="21"/>
        </w:rPr>
        <w:t xml:space="preserve"> number of ETPs remains at 137 (78 ETFs and 59 ETNs).  </w:t>
      </w:r>
    </w:p>
    <w:p w14:paraId="4E186BF3" w14:textId="4A4C0753" w:rsidR="00FA5C9F" w:rsidRDefault="00FA5C9F">
      <w:pPr>
        <w:rPr>
          <w:rFonts w:ascii="Verdana" w:hAnsi="Verdana"/>
          <w:color w:val="000000" w:themeColor="text1"/>
          <w:sz w:val="21"/>
          <w:szCs w:val="21"/>
        </w:rPr>
      </w:pPr>
      <w:r>
        <w:rPr>
          <w:rFonts w:ascii="Verdana" w:hAnsi="Verdana"/>
          <w:color w:val="000000" w:themeColor="text1"/>
          <w:sz w:val="21"/>
          <w:szCs w:val="21"/>
        </w:rPr>
        <w:br w:type="page"/>
      </w:r>
    </w:p>
    <w:p w14:paraId="61C1D4D7" w14:textId="77777777" w:rsidR="00573EA2" w:rsidRDefault="00573EA2" w:rsidP="00FC7345">
      <w:pPr>
        <w:spacing w:after="0" w:line="340" w:lineRule="atLeast"/>
        <w:jc w:val="both"/>
        <w:rPr>
          <w:rFonts w:ascii="Verdana" w:hAnsi="Verdana"/>
          <w:color w:val="000000" w:themeColor="text1"/>
          <w:sz w:val="21"/>
          <w:szCs w:val="21"/>
        </w:rPr>
      </w:pPr>
    </w:p>
    <w:p w14:paraId="6B7A6171" w14:textId="737EC05E" w:rsidR="004B0713" w:rsidRPr="003A3D19" w:rsidRDefault="00B5062D" w:rsidP="00FA5C9F">
      <w:pPr>
        <w:spacing w:after="120" w:line="340" w:lineRule="atLeast"/>
        <w:jc w:val="both"/>
        <w:rPr>
          <w:rFonts w:ascii="Verdana" w:hAnsi="Verdana"/>
          <w:b/>
          <w:color w:val="C00000"/>
          <w:sz w:val="24"/>
          <w:szCs w:val="24"/>
        </w:rPr>
      </w:pPr>
      <w:r>
        <w:rPr>
          <w:rFonts w:ascii="Verdana" w:hAnsi="Verdana"/>
          <w:b/>
          <w:color w:val="C00000"/>
          <w:sz w:val="24"/>
          <w:szCs w:val="24"/>
        </w:rPr>
        <w:t>N</w:t>
      </w:r>
      <w:r w:rsidR="00CE3CC2">
        <w:rPr>
          <w:rFonts w:ascii="Verdana" w:hAnsi="Verdana"/>
          <w:b/>
          <w:color w:val="C00000"/>
          <w:sz w:val="24"/>
          <w:szCs w:val="24"/>
        </w:rPr>
        <w:t>e</w:t>
      </w:r>
      <w:r w:rsidR="00FA5C9F">
        <w:rPr>
          <w:rFonts w:ascii="Verdana" w:hAnsi="Verdana"/>
          <w:b/>
          <w:color w:val="C00000"/>
          <w:sz w:val="24"/>
          <w:szCs w:val="24"/>
        </w:rPr>
        <w:t>w Capital Raised</w:t>
      </w:r>
    </w:p>
    <w:p w14:paraId="321F4611" w14:textId="72BF19E7" w:rsidR="00AC4855" w:rsidRDefault="00826CE1" w:rsidP="003F5A9C">
      <w:pPr>
        <w:spacing w:after="0" w:line="360" w:lineRule="atLeast"/>
        <w:rPr>
          <w:rFonts w:ascii="Verdana" w:hAnsi="Verdana"/>
          <w:color w:val="000000"/>
          <w:sz w:val="21"/>
          <w:szCs w:val="21"/>
        </w:rPr>
      </w:pPr>
      <w:r>
        <w:rPr>
          <w:rFonts w:ascii="Verdana" w:hAnsi="Verdana"/>
          <w:color w:val="000000"/>
          <w:sz w:val="21"/>
          <w:szCs w:val="21"/>
        </w:rPr>
        <w:t xml:space="preserve">An important determinant of the health of the ETP industry is the amount of new capital that is raised by the issuers of ETPs, either through new listings (IPOs) or through additional securities issued to meet the demand for specific ETPs.  Of course, both ETFs and ETNs are open-ended, so securities can be listed or redeemed at any time to meet market conditions.  In this way, the issuers ensure that ETPs trade at their net asset value at all times, assisted by market makers, and do not show significant discounts or premiums to NAVs. </w:t>
      </w:r>
    </w:p>
    <w:p w14:paraId="28519CCB" w14:textId="5DF8E48C" w:rsidR="00826CE1" w:rsidRDefault="00826CE1" w:rsidP="003F5A9C">
      <w:pPr>
        <w:spacing w:after="0" w:line="360" w:lineRule="atLeast"/>
        <w:rPr>
          <w:rFonts w:ascii="Verdana" w:hAnsi="Verdana"/>
          <w:color w:val="000000"/>
          <w:sz w:val="21"/>
          <w:szCs w:val="21"/>
        </w:rPr>
      </w:pPr>
    </w:p>
    <w:p w14:paraId="3064AFAB" w14:textId="721CD82C" w:rsidR="00826CE1" w:rsidRDefault="00826CE1" w:rsidP="003F5A9C">
      <w:pPr>
        <w:spacing w:after="0" w:line="360" w:lineRule="atLeast"/>
        <w:rPr>
          <w:rFonts w:ascii="Verdana" w:hAnsi="Verdana"/>
          <w:color w:val="000000"/>
          <w:sz w:val="21"/>
          <w:szCs w:val="21"/>
        </w:rPr>
      </w:pPr>
      <w:r>
        <w:rPr>
          <w:rFonts w:ascii="Verdana" w:hAnsi="Verdana"/>
          <w:color w:val="000000"/>
          <w:sz w:val="21"/>
          <w:szCs w:val="21"/>
        </w:rPr>
        <w:t xml:space="preserve">During the first quarter of 2021, a total of R3 068 million new capital was raised from the issue of additional securities during this period. </w:t>
      </w:r>
    </w:p>
    <w:p w14:paraId="579DF596" w14:textId="61E36105" w:rsidR="00826CE1" w:rsidRDefault="00826CE1" w:rsidP="003F5A9C">
      <w:pPr>
        <w:spacing w:after="0" w:line="360" w:lineRule="atLeast"/>
        <w:rPr>
          <w:rFonts w:ascii="Verdana" w:hAnsi="Verdana"/>
          <w:color w:val="000000"/>
          <w:sz w:val="21"/>
          <w:szCs w:val="21"/>
        </w:rPr>
      </w:pPr>
    </w:p>
    <w:p w14:paraId="6B0DDB60" w14:textId="407B8A2A" w:rsidR="00826CE1" w:rsidRDefault="00826CE1" w:rsidP="003F5A9C">
      <w:pPr>
        <w:spacing w:after="0" w:line="360" w:lineRule="atLeast"/>
        <w:rPr>
          <w:rFonts w:ascii="Verdana" w:hAnsi="Verdana"/>
          <w:color w:val="000000"/>
          <w:sz w:val="21"/>
          <w:szCs w:val="21"/>
        </w:rPr>
      </w:pPr>
      <w:r>
        <w:rPr>
          <w:rFonts w:ascii="Verdana" w:hAnsi="Verdana"/>
          <w:color w:val="000000"/>
          <w:sz w:val="21"/>
          <w:szCs w:val="21"/>
        </w:rPr>
        <w:t xml:space="preserve">The table below shows the </w:t>
      </w:r>
      <w:r w:rsidR="006015AB">
        <w:rPr>
          <w:rFonts w:ascii="Verdana" w:hAnsi="Verdana"/>
          <w:color w:val="000000"/>
          <w:sz w:val="21"/>
          <w:szCs w:val="21"/>
        </w:rPr>
        <w:t xml:space="preserve">top ten </w:t>
      </w:r>
      <w:r>
        <w:rPr>
          <w:rFonts w:ascii="Verdana" w:hAnsi="Verdana"/>
          <w:color w:val="000000"/>
          <w:sz w:val="21"/>
          <w:szCs w:val="21"/>
        </w:rPr>
        <w:t>individual ETFs/ETNs that raised the m</w:t>
      </w:r>
      <w:r w:rsidR="006F464E">
        <w:rPr>
          <w:rFonts w:ascii="Verdana" w:hAnsi="Verdana"/>
          <w:color w:val="000000"/>
          <w:sz w:val="21"/>
          <w:szCs w:val="21"/>
        </w:rPr>
        <w:t>ost new</w:t>
      </w:r>
      <w:r>
        <w:rPr>
          <w:rFonts w:ascii="Verdana" w:hAnsi="Verdana"/>
          <w:color w:val="000000"/>
          <w:sz w:val="21"/>
          <w:szCs w:val="21"/>
        </w:rPr>
        <w:t xml:space="preserve"> capital for the 3-month period ended 31 March 2021.  </w:t>
      </w:r>
    </w:p>
    <w:p w14:paraId="0E93263B" w14:textId="3E2E4BDF" w:rsidR="00A547A7" w:rsidRDefault="00A547A7" w:rsidP="003F5A9C">
      <w:pPr>
        <w:spacing w:after="0" w:line="360" w:lineRule="atLeast"/>
        <w:rPr>
          <w:rFonts w:ascii="Verdana" w:hAnsi="Verdana"/>
          <w:color w:val="000000"/>
          <w:sz w:val="21"/>
          <w:szCs w:val="21"/>
        </w:rPr>
      </w:pPr>
    </w:p>
    <w:p w14:paraId="35A558F8" w14:textId="77777777" w:rsidR="0042225F" w:rsidRPr="00340ED3" w:rsidRDefault="0042225F" w:rsidP="0042225F">
      <w:pPr>
        <w:spacing w:after="0" w:line="360" w:lineRule="atLeast"/>
        <w:rPr>
          <w:rFonts w:ascii="Verdana" w:hAnsi="Verdana"/>
          <w:b/>
          <w:color w:val="000000"/>
          <w:sz w:val="21"/>
          <w:szCs w:val="21"/>
        </w:rPr>
      </w:pPr>
      <w:r>
        <w:rPr>
          <w:rFonts w:ascii="Verdana" w:hAnsi="Verdana"/>
          <w:b/>
          <w:color w:val="000000"/>
          <w:sz w:val="21"/>
          <w:szCs w:val="21"/>
        </w:rPr>
        <w:t>Table A</w:t>
      </w:r>
    </w:p>
    <w:tbl>
      <w:tblPr>
        <w:tblW w:w="708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126"/>
      </w:tblGrid>
      <w:tr w:rsidR="00DD75B5" w:rsidRPr="00AB6CBE" w14:paraId="66B25586" w14:textId="77777777" w:rsidTr="006015AB">
        <w:tc>
          <w:tcPr>
            <w:tcW w:w="7087" w:type="dxa"/>
            <w:gridSpan w:val="2"/>
            <w:shd w:val="clear" w:color="auto" w:fill="C00000"/>
          </w:tcPr>
          <w:p w14:paraId="432F6E41" w14:textId="386EEC20" w:rsidR="00DD75B5" w:rsidRDefault="00DD75B5"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 xml:space="preserve">Capital </w:t>
            </w:r>
            <w:r w:rsidR="00575220">
              <w:rPr>
                <w:rFonts w:ascii="Verdana" w:hAnsi="Verdana"/>
                <w:b/>
                <w:color w:val="FFFFFF"/>
                <w:sz w:val="18"/>
                <w:szCs w:val="18"/>
              </w:rPr>
              <w:t>Raised Through Additional Issue of Securities</w:t>
            </w:r>
          </w:p>
          <w:p w14:paraId="40DFD9C6" w14:textId="41914EF3" w:rsidR="00DD75B5" w:rsidRPr="003B4F95" w:rsidRDefault="003F5A9C"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w:t>
            </w:r>
            <w:r w:rsidR="00575220">
              <w:rPr>
                <w:rFonts w:ascii="Verdana" w:hAnsi="Verdana"/>
                <w:b/>
                <w:color w:val="FFFFFF"/>
                <w:sz w:val="18"/>
                <w:szCs w:val="18"/>
              </w:rPr>
              <w:t>for 3-months to end March 2021</w:t>
            </w:r>
            <w:r>
              <w:rPr>
                <w:rFonts w:ascii="Verdana" w:hAnsi="Verdana"/>
                <w:b/>
                <w:color w:val="FFFFFF"/>
                <w:sz w:val="18"/>
                <w:szCs w:val="18"/>
              </w:rPr>
              <w:t>)</w:t>
            </w:r>
          </w:p>
        </w:tc>
      </w:tr>
      <w:tr w:rsidR="00575220" w:rsidRPr="00AB6CBE" w14:paraId="44633A99" w14:textId="77777777" w:rsidTr="006015AB">
        <w:trPr>
          <w:trHeight w:val="360"/>
        </w:trPr>
        <w:tc>
          <w:tcPr>
            <w:tcW w:w="4961" w:type="dxa"/>
            <w:shd w:val="clear" w:color="auto" w:fill="4C4C4C"/>
          </w:tcPr>
          <w:p w14:paraId="40E23C79" w14:textId="762A561D" w:rsidR="00575220" w:rsidRPr="003B4F95" w:rsidRDefault="00575220" w:rsidP="00771D6F">
            <w:pPr>
              <w:spacing w:before="40" w:after="40" w:line="280" w:lineRule="atLeast"/>
              <w:rPr>
                <w:rFonts w:ascii="Verdana" w:hAnsi="Verdana"/>
                <w:b/>
                <w:color w:val="FFFFFF"/>
                <w:sz w:val="18"/>
                <w:szCs w:val="18"/>
              </w:rPr>
            </w:pPr>
            <w:r>
              <w:rPr>
                <w:rFonts w:ascii="Verdana" w:hAnsi="Verdana"/>
                <w:b/>
                <w:color w:val="FFFFFF"/>
                <w:sz w:val="18"/>
                <w:szCs w:val="18"/>
              </w:rPr>
              <w:t xml:space="preserve">Issuing House </w:t>
            </w:r>
          </w:p>
        </w:tc>
        <w:tc>
          <w:tcPr>
            <w:tcW w:w="2126" w:type="dxa"/>
            <w:shd w:val="clear" w:color="auto" w:fill="4C4C4C"/>
            <w:vAlign w:val="center"/>
          </w:tcPr>
          <w:p w14:paraId="6E441194" w14:textId="5958C839" w:rsidR="00575220" w:rsidRPr="003B4F95" w:rsidRDefault="00575220" w:rsidP="00771D6F">
            <w:pPr>
              <w:spacing w:before="40" w:after="40" w:line="280" w:lineRule="atLeast"/>
              <w:jc w:val="right"/>
              <w:rPr>
                <w:rFonts w:ascii="Verdana" w:hAnsi="Verdana"/>
                <w:b/>
                <w:color w:val="FFFFFF"/>
                <w:sz w:val="18"/>
                <w:szCs w:val="18"/>
              </w:rPr>
            </w:pPr>
            <w:r>
              <w:rPr>
                <w:rFonts w:ascii="Verdana" w:hAnsi="Verdana"/>
                <w:b/>
                <w:color w:val="FFFFFF"/>
                <w:sz w:val="18"/>
                <w:szCs w:val="18"/>
              </w:rPr>
              <w:t>Capital Raised (R million)</w:t>
            </w:r>
          </w:p>
        </w:tc>
      </w:tr>
      <w:tr w:rsidR="00575220" w:rsidRPr="00AB6CBE" w14:paraId="2A870CDE" w14:textId="77777777" w:rsidTr="006015AB">
        <w:tc>
          <w:tcPr>
            <w:tcW w:w="4961" w:type="dxa"/>
            <w:shd w:val="clear" w:color="auto" w:fill="auto"/>
          </w:tcPr>
          <w:p w14:paraId="330C1FFD" w14:textId="4E712545" w:rsidR="00575220" w:rsidRDefault="006015AB" w:rsidP="00771D6F">
            <w:pPr>
              <w:spacing w:before="40" w:after="40" w:line="280" w:lineRule="atLeast"/>
              <w:rPr>
                <w:rFonts w:ascii="Verdana" w:hAnsi="Verdana"/>
                <w:color w:val="000000"/>
                <w:sz w:val="18"/>
                <w:szCs w:val="18"/>
              </w:rPr>
            </w:pPr>
            <w:r>
              <w:rPr>
                <w:rFonts w:ascii="Verdana" w:hAnsi="Verdana"/>
                <w:color w:val="000000"/>
                <w:sz w:val="18"/>
                <w:szCs w:val="18"/>
              </w:rPr>
              <w:t>1nvest Gold ETF</w:t>
            </w:r>
          </w:p>
        </w:tc>
        <w:tc>
          <w:tcPr>
            <w:tcW w:w="2126" w:type="dxa"/>
            <w:vAlign w:val="center"/>
          </w:tcPr>
          <w:p w14:paraId="7333EFE5" w14:textId="3874607E" w:rsidR="00575220"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1 978,2</w:t>
            </w:r>
          </w:p>
        </w:tc>
      </w:tr>
      <w:tr w:rsidR="00575220" w:rsidRPr="00AB6CBE" w14:paraId="34BCC300" w14:textId="77777777" w:rsidTr="006015AB">
        <w:tc>
          <w:tcPr>
            <w:tcW w:w="4961" w:type="dxa"/>
            <w:shd w:val="clear" w:color="auto" w:fill="auto"/>
          </w:tcPr>
          <w:p w14:paraId="08A06E8A" w14:textId="6F0BE763" w:rsidR="00575220" w:rsidRDefault="006015AB" w:rsidP="00771D6F">
            <w:pPr>
              <w:spacing w:before="40" w:after="40" w:line="280" w:lineRule="atLeast"/>
              <w:rPr>
                <w:rFonts w:ascii="Verdana" w:hAnsi="Verdana"/>
                <w:color w:val="000000"/>
                <w:sz w:val="18"/>
                <w:szCs w:val="18"/>
              </w:rPr>
            </w:pPr>
            <w:r>
              <w:rPr>
                <w:rFonts w:ascii="Verdana" w:hAnsi="Verdana"/>
                <w:color w:val="000000"/>
                <w:sz w:val="18"/>
                <w:szCs w:val="18"/>
              </w:rPr>
              <w:t>NewGold Palladium ETF</w:t>
            </w:r>
          </w:p>
        </w:tc>
        <w:tc>
          <w:tcPr>
            <w:tcW w:w="2126" w:type="dxa"/>
            <w:vAlign w:val="center"/>
          </w:tcPr>
          <w:p w14:paraId="0DBD5D9B" w14:textId="3A90D695" w:rsidR="00575220"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401,4</w:t>
            </w:r>
          </w:p>
        </w:tc>
      </w:tr>
      <w:tr w:rsidR="00575220" w:rsidRPr="00AB6CBE" w14:paraId="56DA63A1" w14:textId="77777777" w:rsidTr="006015AB">
        <w:tc>
          <w:tcPr>
            <w:tcW w:w="4961" w:type="dxa"/>
            <w:shd w:val="clear" w:color="auto" w:fill="auto"/>
          </w:tcPr>
          <w:p w14:paraId="1938B90E" w14:textId="3133D4EA" w:rsidR="00575220" w:rsidRDefault="006015AB" w:rsidP="00771D6F">
            <w:pPr>
              <w:spacing w:before="40" w:after="40" w:line="280" w:lineRule="atLeast"/>
              <w:rPr>
                <w:rFonts w:ascii="Verdana" w:hAnsi="Verdana"/>
                <w:color w:val="000000"/>
                <w:sz w:val="18"/>
                <w:szCs w:val="18"/>
              </w:rPr>
            </w:pPr>
            <w:r>
              <w:rPr>
                <w:rFonts w:ascii="Verdana" w:hAnsi="Verdana"/>
                <w:color w:val="000000"/>
                <w:sz w:val="18"/>
                <w:szCs w:val="18"/>
              </w:rPr>
              <w:t>Sygnia Itrix MSCI World ETF</w:t>
            </w:r>
          </w:p>
        </w:tc>
        <w:tc>
          <w:tcPr>
            <w:tcW w:w="2126" w:type="dxa"/>
            <w:vAlign w:val="center"/>
          </w:tcPr>
          <w:p w14:paraId="30200130" w14:textId="182C6230" w:rsidR="00575220"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365,1</w:t>
            </w:r>
          </w:p>
        </w:tc>
      </w:tr>
      <w:tr w:rsidR="00575220" w:rsidRPr="006015AB" w14:paraId="10504CE8" w14:textId="77777777" w:rsidTr="006015AB">
        <w:tc>
          <w:tcPr>
            <w:tcW w:w="4961" w:type="dxa"/>
            <w:shd w:val="clear" w:color="auto" w:fill="auto"/>
          </w:tcPr>
          <w:p w14:paraId="023840B3" w14:textId="70F34CFF" w:rsidR="00575220" w:rsidRPr="006015AB" w:rsidRDefault="006015AB" w:rsidP="00771D6F">
            <w:pPr>
              <w:spacing w:before="40" w:after="40" w:line="280" w:lineRule="atLeast"/>
              <w:rPr>
                <w:rFonts w:ascii="Verdana" w:hAnsi="Verdana"/>
                <w:color w:val="000000"/>
                <w:sz w:val="18"/>
                <w:szCs w:val="18"/>
              </w:rPr>
            </w:pPr>
            <w:r w:rsidRPr="006015AB">
              <w:rPr>
                <w:rFonts w:ascii="Verdana" w:hAnsi="Verdana"/>
                <w:color w:val="000000"/>
                <w:sz w:val="18"/>
                <w:szCs w:val="18"/>
              </w:rPr>
              <w:t>Sygnia Itrix S&amp;P 500 ETF</w:t>
            </w:r>
          </w:p>
        </w:tc>
        <w:tc>
          <w:tcPr>
            <w:tcW w:w="2126" w:type="dxa"/>
            <w:vAlign w:val="center"/>
          </w:tcPr>
          <w:p w14:paraId="623B198E" w14:textId="2EDAC9EF" w:rsidR="00575220" w:rsidRPr="006015AB"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340,3</w:t>
            </w:r>
          </w:p>
        </w:tc>
      </w:tr>
      <w:tr w:rsidR="00575220" w:rsidRPr="006015AB" w14:paraId="5291853B" w14:textId="77777777" w:rsidTr="006015AB">
        <w:tc>
          <w:tcPr>
            <w:tcW w:w="4961" w:type="dxa"/>
            <w:shd w:val="clear" w:color="auto" w:fill="auto"/>
          </w:tcPr>
          <w:p w14:paraId="53D4D8A7" w14:textId="69AFF029" w:rsidR="00575220" w:rsidRPr="006015AB" w:rsidRDefault="006015AB" w:rsidP="00771D6F">
            <w:pPr>
              <w:spacing w:before="40" w:after="40" w:line="280" w:lineRule="atLeast"/>
              <w:rPr>
                <w:rFonts w:ascii="Verdana" w:hAnsi="Verdana"/>
                <w:color w:val="000000"/>
                <w:sz w:val="18"/>
                <w:szCs w:val="18"/>
              </w:rPr>
            </w:pPr>
            <w:r>
              <w:rPr>
                <w:rFonts w:ascii="Verdana" w:hAnsi="Verdana"/>
                <w:color w:val="000000"/>
                <w:sz w:val="18"/>
                <w:szCs w:val="18"/>
              </w:rPr>
              <w:t>Satrix MSCI China ETF</w:t>
            </w:r>
          </w:p>
        </w:tc>
        <w:tc>
          <w:tcPr>
            <w:tcW w:w="2126" w:type="dxa"/>
            <w:vAlign w:val="center"/>
          </w:tcPr>
          <w:p w14:paraId="19CFC3A6" w14:textId="79312743" w:rsidR="00575220" w:rsidRPr="006015AB"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298,5</w:t>
            </w:r>
          </w:p>
        </w:tc>
      </w:tr>
      <w:tr w:rsidR="00575220" w:rsidRPr="006015AB" w14:paraId="47CE536E" w14:textId="77777777" w:rsidTr="006015AB">
        <w:tc>
          <w:tcPr>
            <w:tcW w:w="4961" w:type="dxa"/>
            <w:shd w:val="clear" w:color="auto" w:fill="auto"/>
          </w:tcPr>
          <w:p w14:paraId="5EF7A6A4" w14:textId="62EAE536" w:rsidR="00575220" w:rsidRPr="006015AB" w:rsidRDefault="006015AB" w:rsidP="00771D6F">
            <w:pPr>
              <w:spacing w:before="40" w:after="40" w:line="280" w:lineRule="atLeast"/>
              <w:rPr>
                <w:rFonts w:ascii="Verdana" w:hAnsi="Verdana"/>
                <w:color w:val="000000"/>
                <w:sz w:val="18"/>
                <w:szCs w:val="18"/>
              </w:rPr>
            </w:pPr>
            <w:r>
              <w:rPr>
                <w:rFonts w:ascii="Verdana" w:hAnsi="Verdana"/>
                <w:color w:val="000000"/>
                <w:sz w:val="18"/>
                <w:szCs w:val="18"/>
              </w:rPr>
              <w:t>Sygnia Itrix 4</w:t>
            </w:r>
            <w:r w:rsidRPr="006015AB">
              <w:rPr>
                <w:rFonts w:ascii="Verdana" w:hAnsi="Verdana"/>
                <w:color w:val="000000"/>
                <w:sz w:val="18"/>
                <w:szCs w:val="18"/>
                <w:vertAlign w:val="superscript"/>
              </w:rPr>
              <w:t>th</w:t>
            </w:r>
            <w:r>
              <w:rPr>
                <w:rFonts w:ascii="Verdana" w:hAnsi="Verdana"/>
                <w:color w:val="000000"/>
                <w:sz w:val="18"/>
                <w:szCs w:val="18"/>
              </w:rPr>
              <w:t xml:space="preserve"> Industrial Revolution ETF</w:t>
            </w:r>
          </w:p>
        </w:tc>
        <w:tc>
          <w:tcPr>
            <w:tcW w:w="2126" w:type="dxa"/>
            <w:vAlign w:val="center"/>
          </w:tcPr>
          <w:p w14:paraId="5DC0C83A" w14:textId="6519B43F" w:rsidR="00575220" w:rsidRPr="006015AB" w:rsidRDefault="006015AB" w:rsidP="00771D6F">
            <w:pPr>
              <w:spacing w:before="40" w:after="40" w:line="280" w:lineRule="atLeast"/>
              <w:jc w:val="right"/>
              <w:rPr>
                <w:rFonts w:ascii="Verdana" w:hAnsi="Verdana"/>
                <w:color w:val="000000"/>
                <w:sz w:val="18"/>
                <w:szCs w:val="18"/>
              </w:rPr>
            </w:pPr>
            <w:r>
              <w:rPr>
                <w:rFonts w:ascii="Verdana" w:hAnsi="Verdana"/>
                <w:color w:val="000000"/>
                <w:sz w:val="18"/>
                <w:szCs w:val="18"/>
              </w:rPr>
              <w:t>264,9</w:t>
            </w:r>
          </w:p>
        </w:tc>
      </w:tr>
      <w:tr w:rsidR="00575220" w:rsidRPr="006015AB" w14:paraId="0538E706" w14:textId="77777777" w:rsidTr="006015AB">
        <w:tc>
          <w:tcPr>
            <w:tcW w:w="4961" w:type="dxa"/>
            <w:shd w:val="clear" w:color="auto" w:fill="auto"/>
          </w:tcPr>
          <w:p w14:paraId="4759389C" w14:textId="44726558" w:rsidR="00575220" w:rsidRPr="006015AB" w:rsidRDefault="006015AB" w:rsidP="00771D6F">
            <w:pPr>
              <w:spacing w:before="40" w:after="40" w:line="280" w:lineRule="atLeast"/>
              <w:rPr>
                <w:rFonts w:ascii="Verdana" w:hAnsi="Verdana"/>
                <w:color w:val="000000"/>
                <w:sz w:val="18"/>
                <w:szCs w:val="18"/>
                <w:lang w:val="fr-FR"/>
              </w:rPr>
            </w:pPr>
            <w:r w:rsidRPr="006015AB">
              <w:rPr>
                <w:rFonts w:ascii="Verdana" w:hAnsi="Verdana"/>
                <w:color w:val="000000"/>
                <w:sz w:val="18"/>
                <w:szCs w:val="18"/>
                <w:lang w:val="fr-FR"/>
              </w:rPr>
              <w:t xml:space="preserve">Satrix </w:t>
            </w:r>
            <w:proofErr w:type="spellStart"/>
            <w:r w:rsidRPr="006015AB">
              <w:rPr>
                <w:rFonts w:ascii="Verdana" w:hAnsi="Verdana"/>
                <w:color w:val="000000"/>
                <w:sz w:val="18"/>
                <w:szCs w:val="18"/>
                <w:lang w:val="fr-FR"/>
              </w:rPr>
              <w:t>Emerging</w:t>
            </w:r>
            <w:proofErr w:type="spellEnd"/>
            <w:r w:rsidRPr="006015AB">
              <w:rPr>
                <w:rFonts w:ascii="Verdana" w:hAnsi="Verdana"/>
                <w:color w:val="000000"/>
                <w:sz w:val="18"/>
                <w:szCs w:val="18"/>
                <w:lang w:val="fr-FR"/>
              </w:rPr>
              <w:t xml:space="preserve"> </w:t>
            </w:r>
            <w:proofErr w:type="spellStart"/>
            <w:r w:rsidRPr="006015AB">
              <w:rPr>
                <w:rFonts w:ascii="Verdana" w:hAnsi="Verdana"/>
                <w:color w:val="000000"/>
                <w:sz w:val="18"/>
                <w:szCs w:val="18"/>
                <w:lang w:val="fr-FR"/>
              </w:rPr>
              <w:t>Markets</w:t>
            </w:r>
            <w:proofErr w:type="spellEnd"/>
            <w:r w:rsidRPr="006015AB">
              <w:rPr>
                <w:rFonts w:ascii="Verdana" w:hAnsi="Verdana"/>
                <w:color w:val="000000"/>
                <w:sz w:val="18"/>
                <w:szCs w:val="18"/>
                <w:lang w:val="fr-FR"/>
              </w:rPr>
              <w:t xml:space="preserve"> (EMG ET</w:t>
            </w:r>
            <w:r>
              <w:rPr>
                <w:rFonts w:ascii="Verdana" w:hAnsi="Verdana"/>
                <w:color w:val="000000"/>
                <w:sz w:val="18"/>
                <w:szCs w:val="18"/>
                <w:lang w:val="fr-FR"/>
              </w:rPr>
              <w:t>F</w:t>
            </w:r>
          </w:p>
        </w:tc>
        <w:tc>
          <w:tcPr>
            <w:tcW w:w="2126" w:type="dxa"/>
            <w:vAlign w:val="center"/>
          </w:tcPr>
          <w:p w14:paraId="44DD9F66" w14:textId="7BD43A33" w:rsidR="00575220" w:rsidRPr="006015AB" w:rsidRDefault="006015AB" w:rsidP="00771D6F">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215,6</w:t>
            </w:r>
          </w:p>
        </w:tc>
      </w:tr>
      <w:tr w:rsidR="00575220" w:rsidRPr="006015AB" w14:paraId="7AE90974" w14:textId="77777777" w:rsidTr="006015AB">
        <w:tc>
          <w:tcPr>
            <w:tcW w:w="4961" w:type="dxa"/>
            <w:shd w:val="clear" w:color="auto" w:fill="auto"/>
          </w:tcPr>
          <w:p w14:paraId="4737B4A9" w14:textId="679FA876" w:rsidR="00575220" w:rsidRPr="006015AB" w:rsidRDefault="006015AB" w:rsidP="00771D6F">
            <w:pPr>
              <w:spacing w:before="40" w:after="40" w:line="280" w:lineRule="atLeast"/>
              <w:rPr>
                <w:rFonts w:ascii="Verdana" w:hAnsi="Verdana"/>
                <w:color w:val="000000"/>
                <w:sz w:val="18"/>
                <w:szCs w:val="18"/>
                <w:lang w:val="fr-FR"/>
              </w:rPr>
            </w:pPr>
            <w:r>
              <w:rPr>
                <w:rFonts w:ascii="Verdana" w:hAnsi="Verdana"/>
                <w:color w:val="000000"/>
                <w:sz w:val="18"/>
                <w:szCs w:val="18"/>
                <w:lang w:val="fr-FR"/>
              </w:rPr>
              <w:t>Satrix FINI 15 ETF</w:t>
            </w:r>
          </w:p>
        </w:tc>
        <w:tc>
          <w:tcPr>
            <w:tcW w:w="2126" w:type="dxa"/>
            <w:vAlign w:val="center"/>
          </w:tcPr>
          <w:p w14:paraId="3F1A9C40" w14:textId="6690C506" w:rsidR="00575220" w:rsidRPr="006015AB" w:rsidRDefault="006015AB" w:rsidP="00771D6F">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200,6</w:t>
            </w:r>
          </w:p>
        </w:tc>
      </w:tr>
      <w:tr w:rsidR="00575220" w:rsidRPr="006015AB" w14:paraId="69C2292D" w14:textId="77777777" w:rsidTr="006015AB">
        <w:tc>
          <w:tcPr>
            <w:tcW w:w="4961" w:type="dxa"/>
            <w:shd w:val="clear" w:color="auto" w:fill="auto"/>
          </w:tcPr>
          <w:p w14:paraId="64A9024E" w14:textId="46E13476" w:rsidR="00575220" w:rsidRPr="006015AB" w:rsidRDefault="006015AB" w:rsidP="00771D6F">
            <w:pPr>
              <w:spacing w:before="40" w:after="40" w:line="280" w:lineRule="atLeast"/>
              <w:rPr>
                <w:rFonts w:ascii="Verdana" w:hAnsi="Verdana"/>
                <w:color w:val="000000"/>
                <w:sz w:val="18"/>
                <w:szCs w:val="18"/>
                <w:lang w:val="fr-FR"/>
              </w:rPr>
            </w:pPr>
            <w:r>
              <w:rPr>
                <w:rFonts w:ascii="Verdana" w:hAnsi="Verdana"/>
                <w:color w:val="000000"/>
                <w:sz w:val="18"/>
                <w:szCs w:val="18"/>
                <w:lang w:val="fr-FR"/>
              </w:rPr>
              <w:t>NewWave US Dollar ETN</w:t>
            </w:r>
          </w:p>
        </w:tc>
        <w:tc>
          <w:tcPr>
            <w:tcW w:w="2126" w:type="dxa"/>
            <w:vAlign w:val="center"/>
          </w:tcPr>
          <w:p w14:paraId="42CA6644" w14:textId="2A713BAF" w:rsidR="00575220" w:rsidRPr="006015AB" w:rsidRDefault="006015AB" w:rsidP="00771D6F">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191,3</w:t>
            </w:r>
          </w:p>
        </w:tc>
      </w:tr>
      <w:tr w:rsidR="00575220" w:rsidRPr="006015AB" w14:paraId="35E68D46" w14:textId="77777777" w:rsidTr="006015AB">
        <w:tc>
          <w:tcPr>
            <w:tcW w:w="4961" w:type="dxa"/>
            <w:shd w:val="clear" w:color="auto" w:fill="auto"/>
          </w:tcPr>
          <w:p w14:paraId="6ECC8133" w14:textId="0E552557" w:rsidR="00575220" w:rsidRPr="006015AB" w:rsidRDefault="006015AB" w:rsidP="00771D6F">
            <w:pPr>
              <w:spacing w:before="40" w:after="40" w:line="280" w:lineRule="atLeast"/>
              <w:rPr>
                <w:rFonts w:ascii="Verdana" w:hAnsi="Verdana"/>
                <w:color w:val="000000"/>
                <w:sz w:val="18"/>
                <w:szCs w:val="18"/>
                <w:lang w:val="fr-FR"/>
              </w:rPr>
            </w:pPr>
            <w:r>
              <w:rPr>
                <w:rFonts w:ascii="Verdana" w:hAnsi="Verdana"/>
                <w:color w:val="000000"/>
                <w:sz w:val="18"/>
                <w:szCs w:val="18"/>
                <w:lang w:val="fr-FR"/>
              </w:rPr>
              <w:t>Ashburton Top 40 ETF</w:t>
            </w:r>
          </w:p>
        </w:tc>
        <w:tc>
          <w:tcPr>
            <w:tcW w:w="2126" w:type="dxa"/>
            <w:vAlign w:val="center"/>
          </w:tcPr>
          <w:p w14:paraId="368560FD" w14:textId="48277576" w:rsidR="00575220" w:rsidRPr="006015AB" w:rsidRDefault="006015AB" w:rsidP="00771D6F">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172,4</w:t>
            </w:r>
          </w:p>
        </w:tc>
      </w:tr>
      <w:tr w:rsidR="00A547A7" w:rsidRPr="006015AB" w14:paraId="444EC8A9" w14:textId="77777777" w:rsidTr="006015AB">
        <w:trPr>
          <w:trHeight w:val="217"/>
        </w:trPr>
        <w:tc>
          <w:tcPr>
            <w:tcW w:w="7087" w:type="dxa"/>
            <w:gridSpan w:val="2"/>
            <w:shd w:val="clear" w:color="auto" w:fill="auto"/>
            <w:vAlign w:val="center"/>
          </w:tcPr>
          <w:p w14:paraId="3DF6E8D3" w14:textId="30A917FB" w:rsidR="00A547A7" w:rsidRPr="006015AB" w:rsidRDefault="00A547A7" w:rsidP="00A547A7">
            <w:pPr>
              <w:spacing w:after="40" w:line="280" w:lineRule="atLeast"/>
              <w:rPr>
                <w:rFonts w:ascii="Verdana" w:hAnsi="Verdana"/>
                <w:i/>
                <w:color w:val="000000"/>
                <w:sz w:val="14"/>
                <w:szCs w:val="14"/>
              </w:rPr>
            </w:pPr>
            <w:r w:rsidRPr="006015AB">
              <w:rPr>
                <w:rFonts w:ascii="Verdana" w:hAnsi="Verdana"/>
                <w:i/>
                <w:color w:val="000000"/>
                <w:sz w:val="14"/>
                <w:szCs w:val="14"/>
              </w:rPr>
              <w:t xml:space="preserve">Source: etfSA.co.za </w:t>
            </w:r>
            <w:r w:rsidR="006015AB" w:rsidRPr="006015AB">
              <w:rPr>
                <w:rFonts w:ascii="Verdana" w:hAnsi="Verdana"/>
                <w:i/>
                <w:color w:val="000000"/>
                <w:sz w:val="14"/>
                <w:szCs w:val="14"/>
              </w:rPr>
              <w:t>Quarterly S</w:t>
            </w:r>
            <w:r w:rsidR="006015AB">
              <w:rPr>
                <w:rFonts w:ascii="Verdana" w:hAnsi="Verdana"/>
                <w:i/>
                <w:color w:val="000000"/>
                <w:sz w:val="14"/>
                <w:szCs w:val="14"/>
              </w:rPr>
              <w:t>ecurities in Issue and New Capital Raised Survey (March 2021).</w:t>
            </w:r>
          </w:p>
        </w:tc>
      </w:tr>
    </w:tbl>
    <w:p w14:paraId="47595BC9" w14:textId="2CD211CD" w:rsidR="00A547A7" w:rsidRDefault="00A547A7" w:rsidP="00771D6F">
      <w:pPr>
        <w:spacing w:after="0" w:line="320" w:lineRule="atLeast"/>
        <w:rPr>
          <w:rFonts w:ascii="Verdana" w:hAnsi="Verdana"/>
          <w:color w:val="000000"/>
          <w:sz w:val="20"/>
          <w:szCs w:val="20"/>
        </w:rPr>
      </w:pPr>
    </w:p>
    <w:p w14:paraId="1201A876" w14:textId="0E3096B6" w:rsidR="006015AB" w:rsidRDefault="006015AB" w:rsidP="00771D6F">
      <w:pPr>
        <w:spacing w:after="0" w:line="320" w:lineRule="atLeast"/>
        <w:rPr>
          <w:rFonts w:ascii="Verdana" w:hAnsi="Verdana"/>
          <w:color w:val="000000"/>
          <w:sz w:val="20"/>
          <w:szCs w:val="20"/>
        </w:rPr>
      </w:pPr>
      <w:r>
        <w:rPr>
          <w:rFonts w:ascii="Verdana" w:hAnsi="Verdana"/>
          <w:color w:val="000000"/>
          <w:sz w:val="20"/>
          <w:szCs w:val="20"/>
        </w:rPr>
        <w:t xml:space="preserve">Of interest is that only two of the top ten capital raising ETPs were for </w:t>
      </w:r>
      <w:r w:rsidR="006F464E">
        <w:rPr>
          <w:rFonts w:ascii="Verdana" w:hAnsi="Verdana"/>
          <w:color w:val="000000"/>
          <w:sz w:val="20"/>
          <w:szCs w:val="20"/>
        </w:rPr>
        <w:t xml:space="preserve">ETFs tracking </w:t>
      </w:r>
      <w:r>
        <w:rPr>
          <w:rFonts w:ascii="Verdana" w:hAnsi="Verdana"/>
          <w:color w:val="000000"/>
          <w:sz w:val="20"/>
          <w:szCs w:val="20"/>
        </w:rPr>
        <w:t xml:space="preserve">South African assets.  This is despite the outperformance of South African equities, relative to foreign based assets (in rands), particularly over the </w:t>
      </w:r>
      <w:r w:rsidR="006F464E">
        <w:rPr>
          <w:rFonts w:ascii="Verdana" w:hAnsi="Verdana"/>
          <w:color w:val="000000"/>
          <w:sz w:val="20"/>
          <w:szCs w:val="20"/>
        </w:rPr>
        <w:t>last</w:t>
      </w:r>
      <w:r>
        <w:rPr>
          <w:rFonts w:ascii="Verdana" w:hAnsi="Verdana"/>
          <w:color w:val="000000"/>
          <w:sz w:val="20"/>
          <w:szCs w:val="20"/>
        </w:rPr>
        <w:t xml:space="preserve"> 3-6 months. </w:t>
      </w:r>
    </w:p>
    <w:p w14:paraId="2CEB2B33" w14:textId="54E5138D" w:rsidR="006015AB" w:rsidRDefault="006015AB" w:rsidP="00771D6F">
      <w:pPr>
        <w:spacing w:after="0" w:line="320" w:lineRule="atLeast"/>
        <w:rPr>
          <w:rFonts w:ascii="Verdana" w:hAnsi="Verdana"/>
          <w:color w:val="000000"/>
          <w:sz w:val="20"/>
          <w:szCs w:val="20"/>
        </w:rPr>
      </w:pPr>
    </w:p>
    <w:p w14:paraId="732BE1C2" w14:textId="5211BA3D" w:rsidR="006015AB" w:rsidRDefault="006015AB" w:rsidP="00771D6F">
      <w:pPr>
        <w:spacing w:after="0" w:line="320" w:lineRule="atLeast"/>
        <w:rPr>
          <w:rFonts w:ascii="Verdana" w:hAnsi="Verdana"/>
          <w:color w:val="000000"/>
          <w:sz w:val="20"/>
          <w:szCs w:val="20"/>
        </w:rPr>
      </w:pPr>
      <w:r>
        <w:rPr>
          <w:rFonts w:ascii="Verdana" w:hAnsi="Verdana"/>
          <w:color w:val="000000"/>
          <w:sz w:val="20"/>
          <w:szCs w:val="20"/>
        </w:rPr>
        <w:t>Given the clear sign of momentum in the local equity market, the f</w:t>
      </w:r>
      <w:r w:rsidR="006F464E">
        <w:rPr>
          <w:rFonts w:ascii="Verdana" w:hAnsi="Verdana"/>
          <w:color w:val="000000"/>
          <w:sz w:val="20"/>
          <w:szCs w:val="20"/>
        </w:rPr>
        <w:t>ailure</w:t>
      </w:r>
      <w:r>
        <w:rPr>
          <w:rFonts w:ascii="Verdana" w:hAnsi="Verdana"/>
          <w:color w:val="000000"/>
          <w:sz w:val="20"/>
          <w:szCs w:val="20"/>
        </w:rPr>
        <w:t xml:space="preserve"> of local asset managers to, at least loc</w:t>
      </w:r>
      <w:r w:rsidR="006F464E">
        <w:rPr>
          <w:rFonts w:ascii="Verdana" w:hAnsi="Verdana"/>
          <w:color w:val="000000"/>
          <w:sz w:val="20"/>
          <w:szCs w:val="20"/>
        </w:rPr>
        <w:t>k</w:t>
      </w:r>
      <w:r>
        <w:rPr>
          <w:rFonts w:ascii="Verdana" w:hAnsi="Verdana"/>
          <w:color w:val="000000"/>
          <w:sz w:val="20"/>
          <w:szCs w:val="20"/>
        </w:rPr>
        <w:t xml:space="preserve">-in the beta of local index movements, is puzzling.  </w:t>
      </w:r>
      <w:r w:rsidR="006F464E">
        <w:rPr>
          <w:rFonts w:ascii="Verdana" w:hAnsi="Verdana"/>
          <w:color w:val="000000"/>
          <w:sz w:val="20"/>
          <w:szCs w:val="20"/>
        </w:rPr>
        <w:t xml:space="preserve">They could easily do this through the purchase of </w:t>
      </w:r>
      <w:r w:rsidR="00D10188">
        <w:rPr>
          <w:rFonts w:ascii="Verdana" w:hAnsi="Verdana"/>
          <w:color w:val="000000"/>
          <w:sz w:val="20"/>
          <w:szCs w:val="20"/>
        </w:rPr>
        <w:t xml:space="preserve">index </w:t>
      </w:r>
      <w:r w:rsidR="006F464E">
        <w:rPr>
          <w:rFonts w:ascii="Verdana" w:hAnsi="Verdana"/>
          <w:color w:val="000000"/>
          <w:sz w:val="20"/>
          <w:szCs w:val="20"/>
        </w:rPr>
        <w:t xml:space="preserve">market cap tracking local ETPs.  This may </w:t>
      </w:r>
      <w:r>
        <w:rPr>
          <w:rFonts w:ascii="Verdana" w:hAnsi="Verdana"/>
          <w:color w:val="000000"/>
          <w:sz w:val="20"/>
          <w:szCs w:val="20"/>
        </w:rPr>
        <w:t xml:space="preserve">help explain why over 90% of the active investment industry failed to outperform representative index benchmarks over the past 12 months, according to some recently released Surveys. </w:t>
      </w:r>
    </w:p>
    <w:p w14:paraId="4954913D" w14:textId="473A7EE7" w:rsidR="006F464E" w:rsidRDefault="006F464E">
      <w:pPr>
        <w:rPr>
          <w:rFonts w:ascii="Verdana" w:hAnsi="Verdana"/>
          <w:color w:val="000000"/>
          <w:sz w:val="20"/>
          <w:szCs w:val="20"/>
        </w:rPr>
      </w:pPr>
      <w:r>
        <w:rPr>
          <w:rFonts w:ascii="Verdana" w:hAnsi="Verdana"/>
          <w:color w:val="000000"/>
          <w:sz w:val="20"/>
          <w:szCs w:val="20"/>
        </w:rPr>
        <w:br w:type="page"/>
      </w:r>
    </w:p>
    <w:p w14:paraId="2A232E19" w14:textId="77777777" w:rsidR="003F5A9C" w:rsidRPr="006015AB" w:rsidRDefault="003F5A9C" w:rsidP="00771D6F">
      <w:pPr>
        <w:spacing w:after="0" w:line="320" w:lineRule="atLeast"/>
        <w:rPr>
          <w:rFonts w:ascii="Verdana" w:hAnsi="Verdana"/>
          <w:color w:val="000000"/>
          <w:sz w:val="20"/>
          <w:szCs w:val="20"/>
        </w:rPr>
      </w:pPr>
    </w:p>
    <w:p w14:paraId="055C5561" w14:textId="4209502A" w:rsidR="003F5A9C" w:rsidRPr="007A7050" w:rsidRDefault="003F5A9C" w:rsidP="00A547A7">
      <w:pPr>
        <w:spacing w:after="120" w:line="320" w:lineRule="atLeast"/>
        <w:rPr>
          <w:rFonts w:ascii="Verdana" w:hAnsi="Verdana"/>
          <w:b/>
          <w:bCs/>
          <w:color w:val="C00000"/>
        </w:rPr>
      </w:pPr>
      <w:r w:rsidRPr="007A7050">
        <w:rPr>
          <w:rFonts w:ascii="Verdana" w:hAnsi="Verdana"/>
          <w:b/>
          <w:bCs/>
          <w:color w:val="C00000"/>
        </w:rPr>
        <w:t>Snapshot of the SA ETP Industry as at 3</w:t>
      </w:r>
      <w:r>
        <w:rPr>
          <w:rFonts w:ascii="Verdana" w:hAnsi="Verdana"/>
          <w:b/>
          <w:bCs/>
          <w:color w:val="C00000"/>
        </w:rPr>
        <w:t>1</w:t>
      </w:r>
      <w:r w:rsidRPr="007A7050">
        <w:rPr>
          <w:rFonts w:ascii="Verdana" w:hAnsi="Verdana"/>
          <w:b/>
          <w:bCs/>
          <w:color w:val="C00000"/>
        </w:rPr>
        <w:t xml:space="preserve"> </w:t>
      </w:r>
      <w:r w:rsidR="006015AB">
        <w:rPr>
          <w:rFonts w:ascii="Verdana" w:hAnsi="Verdana"/>
          <w:b/>
          <w:bCs/>
          <w:color w:val="C00000"/>
        </w:rPr>
        <w:t>March</w:t>
      </w:r>
      <w:r w:rsidRPr="007A7050">
        <w:rPr>
          <w:rFonts w:ascii="Verdana" w:hAnsi="Verdana"/>
          <w:b/>
          <w:bCs/>
          <w:color w:val="C00000"/>
        </w:rPr>
        <w:t xml:space="preserve"> 20</w:t>
      </w:r>
      <w:r>
        <w:rPr>
          <w:rFonts w:ascii="Verdana" w:hAnsi="Verdana"/>
          <w:b/>
          <w:bCs/>
          <w:color w:val="C00000"/>
        </w:rPr>
        <w:t>2</w:t>
      </w:r>
      <w:r w:rsidR="006015AB">
        <w:rPr>
          <w:rFonts w:ascii="Verdana" w:hAnsi="Verdana"/>
          <w:b/>
          <w:bCs/>
          <w:color w:val="C00000"/>
        </w:rPr>
        <w:t>1</w:t>
      </w:r>
    </w:p>
    <w:p w14:paraId="7AF34A1E" w14:textId="77777777" w:rsidR="006015AB" w:rsidRPr="00340ED3" w:rsidRDefault="006015AB" w:rsidP="006015AB">
      <w:pPr>
        <w:spacing w:after="0" w:line="360" w:lineRule="atLeast"/>
        <w:rPr>
          <w:rFonts w:ascii="Verdana" w:hAnsi="Verdana"/>
          <w:b/>
          <w:color w:val="000000"/>
          <w:sz w:val="21"/>
          <w:szCs w:val="21"/>
        </w:rPr>
      </w:pPr>
      <w:r>
        <w:rPr>
          <w:rFonts w:ascii="Verdana" w:hAnsi="Verdana"/>
          <w:b/>
          <w:color w:val="000000"/>
          <w:sz w:val="21"/>
          <w:szCs w:val="21"/>
        </w:rPr>
        <w:t>Table 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56E6BB40"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 xml:space="preserve">31 </w:t>
            </w:r>
            <w:r>
              <w:rPr>
                <w:rFonts w:ascii="Verdana" w:hAnsi="Verdana"/>
                <w:b/>
                <w:color w:val="FFFFFF"/>
                <w:sz w:val="18"/>
                <w:szCs w:val="18"/>
              </w:rPr>
              <w:t>March</w:t>
            </w:r>
            <w:r w:rsidRPr="003B4F95">
              <w:rPr>
                <w:rFonts w:ascii="Verdana" w:hAnsi="Verdana"/>
                <w:b/>
                <w:color w:val="FFFFFF"/>
                <w:sz w:val="18"/>
                <w:szCs w:val="18"/>
              </w:rPr>
              <w:t xml:space="preserve"> 20</w:t>
            </w:r>
            <w:r>
              <w:rPr>
                <w:rFonts w:ascii="Verdana" w:hAnsi="Verdana"/>
                <w:b/>
                <w:color w:val="FFFFFF"/>
                <w:sz w:val="18"/>
                <w:szCs w:val="18"/>
              </w:rPr>
              <w:t>2</w:t>
            </w:r>
            <w:r>
              <w:rPr>
                <w:rFonts w:ascii="Verdana" w:hAnsi="Verdana"/>
                <w:b/>
                <w:color w:val="FFFFFF"/>
                <w:sz w:val="18"/>
                <w:szCs w:val="18"/>
              </w:rPr>
              <w:t>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1C1A83">
            <w:pPr>
              <w:spacing w:before="40" w:after="4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1C1A83">
            <w:pPr>
              <w:spacing w:before="40" w:after="4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1C1A83">
            <w:pPr>
              <w:spacing w:before="40" w:after="40" w:line="28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1C1A83">
            <w:pPr>
              <w:spacing w:before="40" w:after="40" w:line="280" w:lineRule="atLeast"/>
              <w:jc w:val="right"/>
              <w:rPr>
                <w:rFonts w:ascii="Verdana" w:hAnsi="Verdana"/>
                <w:b/>
                <w:color w:val="FFFFFF"/>
                <w:sz w:val="18"/>
                <w:szCs w:val="18"/>
              </w:rPr>
            </w:pPr>
          </w:p>
        </w:tc>
      </w:tr>
      <w:tr w:rsidR="006015AB" w:rsidRPr="00AB6CBE" w14:paraId="3E5AB5DE" w14:textId="77777777" w:rsidTr="001C1A83">
        <w:tc>
          <w:tcPr>
            <w:tcW w:w="567" w:type="dxa"/>
            <w:shd w:val="clear" w:color="auto" w:fill="auto"/>
          </w:tcPr>
          <w:p w14:paraId="62DC651B" w14:textId="77777777" w:rsidR="006015AB" w:rsidRPr="00771D6F" w:rsidRDefault="006015AB" w:rsidP="001C1A83">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6015AB" w:rsidRPr="003B4F95" w:rsidRDefault="006015AB" w:rsidP="001C1A83">
            <w:pPr>
              <w:spacing w:before="4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77777777" w:rsidR="006015AB" w:rsidRPr="003B4F95" w:rsidRDefault="006015AB" w:rsidP="001C1A83">
            <w:pPr>
              <w:spacing w:before="40" w:after="40" w:line="280" w:lineRule="atLeast"/>
              <w:jc w:val="center"/>
              <w:rPr>
                <w:rFonts w:ascii="Verdana" w:hAnsi="Verdana"/>
                <w:color w:val="000000"/>
                <w:sz w:val="18"/>
                <w:szCs w:val="18"/>
              </w:rPr>
            </w:pPr>
            <w:r>
              <w:rPr>
                <w:rFonts w:ascii="Verdana" w:hAnsi="Verdana"/>
                <w:color w:val="000000"/>
                <w:sz w:val="18"/>
                <w:szCs w:val="18"/>
              </w:rPr>
              <w:t>17</w:t>
            </w:r>
          </w:p>
        </w:tc>
        <w:tc>
          <w:tcPr>
            <w:tcW w:w="992" w:type="dxa"/>
            <w:shd w:val="clear" w:color="auto" w:fill="auto"/>
            <w:vAlign w:val="center"/>
          </w:tcPr>
          <w:p w14:paraId="2166DF9E" w14:textId="77777777" w:rsidR="006015AB" w:rsidRPr="003B4F95" w:rsidRDefault="006015AB" w:rsidP="001C1A83">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1E54B232" w:rsidR="006015AB" w:rsidRPr="003B4F95" w:rsidRDefault="006015AB" w:rsidP="001C1A83">
            <w:pPr>
              <w:spacing w:before="40" w:after="40" w:line="280" w:lineRule="atLeast"/>
              <w:jc w:val="right"/>
              <w:rPr>
                <w:rFonts w:ascii="Verdana" w:hAnsi="Verdana"/>
                <w:color w:val="000000"/>
                <w:sz w:val="18"/>
                <w:szCs w:val="18"/>
              </w:rPr>
            </w:pPr>
            <w:r>
              <w:rPr>
                <w:rFonts w:ascii="Verdana" w:hAnsi="Verdana"/>
                <w:color w:val="000000"/>
                <w:sz w:val="18"/>
                <w:szCs w:val="18"/>
              </w:rPr>
              <w:t>31 256,3</w:t>
            </w:r>
          </w:p>
        </w:tc>
        <w:tc>
          <w:tcPr>
            <w:tcW w:w="1418" w:type="dxa"/>
            <w:vAlign w:val="center"/>
          </w:tcPr>
          <w:p w14:paraId="6F79E717" w14:textId="64E50BE1" w:rsidR="006015AB" w:rsidRPr="003B4F95" w:rsidRDefault="006015AB" w:rsidP="001C1A83">
            <w:pPr>
              <w:spacing w:before="40" w:after="40" w:line="280" w:lineRule="atLeast"/>
              <w:jc w:val="right"/>
              <w:rPr>
                <w:rFonts w:ascii="Verdana" w:hAnsi="Verdana"/>
                <w:color w:val="000000"/>
                <w:sz w:val="18"/>
                <w:szCs w:val="18"/>
              </w:rPr>
            </w:pPr>
            <w:r>
              <w:rPr>
                <w:rFonts w:ascii="Verdana" w:hAnsi="Verdana"/>
                <w:color w:val="000000"/>
                <w:sz w:val="18"/>
                <w:szCs w:val="18"/>
              </w:rPr>
              <w:t>1 431,7</w:t>
            </w:r>
          </w:p>
        </w:tc>
        <w:tc>
          <w:tcPr>
            <w:tcW w:w="1843" w:type="dxa"/>
            <w:vAlign w:val="center"/>
          </w:tcPr>
          <w:p w14:paraId="32A350AC" w14:textId="5F76CC60" w:rsidR="006015AB" w:rsidRPr="003B4F95" w:rsidRDefault="006015AB" w:rsidP="001C1A83">
            <w:pPr>
              <w:spacing w:before="40" w:after="40" w:line="280" w:lineRule="atLeast"/>
              <w:jc w:val="right"/>
              <w:rPr>
                <w:rFonts w:ascii="Verdana" w:hAnsi="Verdana"/>
                <w:color w:val="000000"/>
                <w:sz w:val="18"/>
                <w:szCs w:val="18"/>
              </w:rPr>
            </w:pPr>
            <w:r>
              <w:rPr>
                <w:rFonts w:ascii="Verdana" w:hAnsi="Verdana"/>
                <w:color w:val="000000"/>
                <w:sz w:val="18"/>
                <w:szCs w:val="18"/>
              </w:rPr>
              <w:t>32 688,0</w:t>
            </w:r>
          </w:p>
        </w:tc>
      </w:tr>
      <w:tr w:rsidR="006015AB" w:rsidRPr="00AB6CBE" w14:paraId="0E8F1DAB" w14:textId="77777777" w:rsidTr="001C1A83">
        <w:tc>
          <w:tcPr>
            <w:tcW w:w="567" w:type="dxa"/>
            <w:shd w:val="clear" w:color="auto" w:fill="auto"/>
          </w:tcPr>
          <w:p w14:paraId="38FFE841"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C7DE0F3" w14:textId="77777777" w:rsidR="006015AB" w:rsidRDefault="006015AB" w:rsidP="006015AB">
            <w:pPr>
              <w:spacing w:before="4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142BB43B"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20</w:t>
            </w:r>
          </w:p>
        </w:tc>
        <w:tc>
          <w:tcPr>
            <w:tcW w:w="992" w:type="dxa"/>
            <w:shd w:val="clear" w:color="auto" w:fill="auto"/>
            <w:vAlign w:val="center"/>
          </w:tcPr>
          <w:p w14:paraId="6BADE8C3"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9C77CED" w14:textId="6692D573"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28 517,2</w:t>
            </w:r>
          </w:p>
        </w:tc>
        <w:tc>
          <w:tcPr>
            <w:tcW w:w="1418" w:type="dxa"/>
            <w:vAlign w:val="center"/>
          </w:tcPr>
          <w:p w14:paraId="45103BC8" w14:textId="2A138A40"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AD23D87" w14:textId="2867861B"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28 517,2</w:t>
            </w:r>
          </w:p>
        </w:tc>
      </w:tr>
      <w:tr w:rsidR="006015AB" w:rsidRPr="00AB6CBE" w14:paraId="67DF62A3" w14:textId="77777777" w:rsidTr="001C1A83">
        <w:tc>
          <w:tcPr>
            <w:tcW w:w="567" w:type="dxa"/>
            <w:shd w:val="clear" w:color="auto" w:fill="auto"/>
          </w:tcPr>
          <w:p w14:paraId="2371D063"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60542055" w14:textId="77777777" w:rsidR="006015AB" w:rsidRPr="003B4F95" w:rsidRDefault="006015AB" w:rsidP="006015AB">
            <w:pPr>
              <w:spacing w:before="4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166949D4"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60420189"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F41D576" w14:textId="19E05375"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27 047,3</w:t>
            </w:r>
          </w:p>
        </w:tc>
        <w:tc>
          <w:tcPr>
            <w:tcW w:w="1418" w:type="dxa"/>
            <w:vAlign w:val="center"/>
          </w:tcPr>
          <w:p w14:paraId="7BA6F0E5" w14:textId="3FDFE2D2"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4E748A03" w14:textId="269077ED"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27 047,3</w:t>
            </w:r>
          </w:p>
        </w:tc>
      </w:tr>
      <w:tr w:rsidR="006015AB" w:rsidRPr="000435BE" w14:paraId="56CF23E8" w14:textId="77777777" w:rsidTr="001C1A83">
        <w:tc>
          <w:tcPr>
            <w:tcW w:w="567" w:type="dxa"/>
            <w:shd w:val="clear" w:color="auto" w:fill="auto"/>
          </w:tcPr>
          <w:p w14:paraId="7FD80757"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6015AB" w:rsidRPr="003B4F95" w:rsidRDefault="006015AB" w:rsidP="006015AB">
            <w:pPr>
              <w:spacing w:before="40" w:after="4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77777777" w:rsidR="006015AB" w:rsidRPr="003B4F95"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77777777" w:rsidR="006015AB" w:rsidRPr="003B4F95"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0BC56981"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13 252,6</w:t>
            </w:r>
          </w:p>
        </w:tc>
        <w:tc>
          <w:tcPr>
            <w:tcW w:w="1418" w:type="dxa"/>
            <w:vAlign w:val="center"/>
          </w:tcPr>
          <w:p w14:paraId="4E6D745C" w14:textId="0B0D5CB2"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0F5588D5"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13 252,6</w:t>
            </w:r>
          </w:p>
        </w:tc>
      </w:tr>
      <w:tr w:rsidR="006015AB" w:rsidRPr="000435BE" w14:paraId="68CC93CC" w14:textId="77777777" w:rsidTr="001C1A83">
        <w:tc>
          <w:tcPr>
            <w:tcW w:w="567" w:type="dxa"/>
            <w:shd w:val="clear" w:color="auto" w:fill="auto"/>
          </w:tcPr>
          <w:p w14:paraId="63A164DA"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1A6FCC6" w14:textId="77777777" w:rsidR="006015AB" w:rsidRPr="003B4F95" w:rsidRDefault="006015AB" w:rsidP="006015AB">
            <w:pPr>
              <w:spacing w:before="4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3E3C2241" w14:textId="77777777" w:rsidR="006015AB" w:rsidRPr="003B4F95"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23FAE7CA" w14:textId="77777777" w:rsidR="006015AB" w:rsidRPr="003B4F95"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B9AF17E" w14:textId="6A0FCE3F"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4 657,9</w:t>
            </w:r>
          </w:p>
        </w:tc>
        <w:tc>
          <w:tcPr>
            <w:tcW w:w="1418" w:type="dxa"/>
            <w:vAlign w:val="center"/>
          </w:tcPr>
          <w:p w14:paraId="322F690F" w14:textId="1AA9DA4E"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FDE28B5" w14:textId="5F6EFCAA" w:rsidR="006015AB" w:rsidRPr="003B4F95"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4 657,9</w:t>
            </w:r>
          </w:p>
        </w:tc>
      </w:tr>
      <w:tr w:rsidR="006015AB" w:rsidRPr="000435BE" w14:paraId="058F621E" w14:textId="77777777" w:rsidTr="001C1A83">
        <w:tc>
          <w:tcPr>
            <w:tcW w:w="567" w:type="dxa"/>
            <w:shd w:val="clear" w:color="auto" w:fill="auto"/>
          </w:tcPr>
          <w:p w14:paraId="13960C14"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7E5A07EB" w14:textId="4C65BD2C" w:rsidR="006015AB" w:rsidRPr="003B4F95" w:rsidRDefault="006015AB" w:rsidP="006015AB">
            <w:pPr>
              <w:spacing w:before="4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5EEECC76" w14:textId="76172A8E"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0A26C215" w14:textId="71C8872A"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F052BC" w14:textId="480F0A8F"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3 959,5</w:t>
            </w:r>
          </w:p>
        </w:tc>
        <w:tc>
          <w:tcPr>
            <w:tcW w:w="1418" w:type="dxa"/>
            <w:vAlign w:val="center"/>
          </w:tcPr>
          <w:p w14:paraId="1DA2A521" w14:textId="0414FE2C"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3A5AAA0" w14:textId="17C8D532"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3 959,5</w:t>
            </w:r>
          </w:p>
        </w:tc>
      </w:tr>
      <w:tr w:rsidR="006015AB" w:rsidRPr="000435BE" w14:paraId="02650938" w14:textId="77777777" w:rsidTr="001C1A83">
        <w:tc>
          <w:tcPr>
            <w:tcW w:w="567" w:type="dxa"/>
            <w:shd w:val="clear" w:color="auto" w:fill="auto"/>
          </w:tcPr>
          <w:p w14:paraId="0B4EF678" w14:textId="77777777" w:rsidR="006015AB" w:rsidRPr="00771D6F" w:rsidRDefault="006015AB" w:rsidP="006015AB">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6F5208A5" w14:textId="77777777" w:rsidR="006015AB" w:rsidRPr="003B4F95" w:rsidRDefault="006015AB" w:rsidP="006015AB">
            <w:pPr>
              <w:spacing w:before="4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w:t>
            </w:r>
          </w:p>
        </w:tc>
        <w:tc>
          <w:tcPr>
            <w:tcW w:w="993" w:type="dxa"/>
            <w:shd w:val="clear" w:color="auto" w:fill="auto"/>
            <w:vAlign w:val="center"/>
          </w:tcPr>
          <w:p w14:paraId="3922A4D8"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011AB289" w14:textId="77777777" w:rsidR="006015AB" w:rsidRDefault="006015AB" w:rsidP="006015AB">
            <w:pPr>
              <w:spacing w:before="40" w:after="40" w:line="280" w:lineRule="atLeast"/>
              <w:jc w:val="center"/>
              <w:rPr>
                <w:rFonts w:ascii="Verdana" w:hAnsi="Verdana"/>
                <w:color w:val="000000"/>
                <w:sz w:val="18"/>
                <w:szCs w:val="18"/>
              </w:rPr>
            </w:pPr>
            <w:r>
              <w:rPr>
                <w:rFonts w:ascii="Verdana" w:hAnsi="Verdana"/>
                <w:color w:val="000000"/>
                <w:sz w:val="18"/>
                <w:szCs w:val="18"/>
              </w:rPr>
              <w:t>36</w:t>
            </w:r>
          </w:p>
        </w:tc>
        <w:tc>
          <w:tcPr>
            <w:tcW w:w="1417" w:type="dxa"/>
            <w:vAlign w:val="center"/>
          </w:tcPr>
          <w:p w14:paraId="783FF0DB" w14:textId="7D370D42"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1 058,5</w:t>
            </w:r>
          </w:p>
        </w:tc>
        <w:tc>
          <w:tcPr>
            <w:tcW w:w="1418" w:type="dxa"/>
            <w:vAlign w:val="center"/>
          </w:tcPr>
          <w:p w14:paraId="4807FF84" w14:textId="02254D53"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2 370,0</w:t>
            </w:r>
          </w:p>
        </w:tc>
        <w:tc>
          <w:tcPr>
            <w:tcW w:w="1843" w:type="dxa"/>
            <w:vAlign w:val="center"/>
          </w:tcPr>
          <w:p w14:paraId="75E23701" w14:textId="7EC48CCD" w:rsidR="006015AB" w:rsidRDefault="006015AB" w:rsidP="006015AB">
            <w:pPr>
              <w:spacing w:before="40" w:after="40" w:line="280" w:lineRule="atLeast"/>
              <w:jc w:val="right"/>
              <w:rPr>
                <w:rFonts w:ascii="Verdana" w:hAnsi="Verdana"/>
                <w:color w:val="000000"/>
                <w:sz w:val="18"/>
                <w:szCs w:val="18"/>
              </w:rPr>
            </w:pPr>
            <w:r>
              <w:rPr>
                <w:rFonts w:ascii="Verdana" w:hAnsi="Verdana"/>
                <w:color w:val="000000"/>
                <w:sz w:val="18"/>
                <w:szCs w:val="18"/>
              </w:rPr>
              <w:t>3 428,5</w:t>
            </w:r>
          </w:p>
        </w:tc>
      </w:tr>
      <w:tr w:rsidR="0013275D" w:rsidRPr="000435BE" w14:paraId="0410BE1D" w14:textId="77777777" w:rsidTr="001C1A83">
        <w:tc>
          <w:tcPr>
            <w:tcW w:w="567" w:type="dxa"/>
            <w:shd w:val="clear" w:color="auto" w:fill="auto"/>
          </w:tcPr>
          <w:p w14:paraId="0F5B8558" w14:textId="77777777" w:rsidR="0013275D" w:rsidRPr="00771D6F" w:rsidRDefault="0013275D" w:rsidP="0013275D">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5172FF3" w14:textId="77777777" w:rsidR="0013275D" w:rsidRPr="003B4F95" w:rsidRDefault="0013275D" w:rsidP="0013275D">
            <w:pPr>
              <w:spacing w:before="4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259752D9"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395212F1"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12</w:t>
            </w:r>
          </w:p>
        </w:tc>
        <w:tc>
          <w:tcPr>
            <w:tcW w:w="1417" w:type="dxa"/>
            <w:vAlign w:val="center"/>
          </w:tcPr>
          <w:p w14:paraId="1CAD85AA" w14:textId="5CA2774A"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47ED83A1" w14:textId="0507EEE0"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2 855,8</w:t>
            </w:r>
          </w:p>
        </w:tc>
        <w:tc>
          <w:tcPr>
            <w:tcW w:w="1843" w:type="dxa"/>
            <w:vAlign w:val="center"/>
          </w:tcPr>
          <w:p w14:paraId="7DDF8C27" w14:textId="4AE8F881"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2 855,8</w:t>
            </w:r>
          </w:p>
        </w:tc>
      </w:tr>
      <w:tr w:rsidR="0013275D" w:rsidRPr="000435BE" w14:paraId="74FFBACF" w14:textId="77777777" w:rsidTr="001C1A83">
        <w:tc>
          <w:tcPr>
            <w:tcW w:w="567" w:type="dxa"/>
            <w:shd w:val="clear" w:color="auto" w:fill="auto"/>
          </w:tcPr>
          <w:p w14:paraId="115A2173" w14:textId="77777777" w:rsidR="0013275D" w:rsidRPr="00771D6F" w:rsidRDefault="0013275D" w:rsidP="0013275D">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13275D" w:rsidRPr="003B4F95" w:rsidRDefault="0013275D" w:rsidP="0013275D">
            <w:pPr>
              <w:spacing w:before="4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5FC73922"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14F080EE"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2 326,6</w:t>
            </w:r>
          </w:p>
        </w:tc>
        <w:tc>
          <w:tcPr>
            <w:tcW w:w="1843" w:type="dxa"/>
            <w:vAlign w:val="center"/>
          </w:tcPr>
          <w:p w14:paraId="5682DA5B" w14:textId="6692370A"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2 326,6</w:t>
            </w:r>
          </w:p>
        </w:tc>
      </w:tr>
      <w:tr w:rsidR="0013275D" w:rsidRPr="000435BE" w14:paraId="5FB42103" w14:textId="77777777" w:rsidTr="001C1A83">
        <w:tc>
          <w:tcPr>
            <w:tcW w:w="567" w:type="dxa"/>
            <w:shd w:val="clear" w:color="auto" w:fill="auto"/>
          </w:tcPr>
          <w:p w14:paraId="11AE8AAB" w14:textId="77777777" w:rsidR="0013275D" w:rsidRPr="00771D6F" w:rsidRDefault="0013275D" w:rsidP="0013275D">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13275D" w:rsidRPr="003B4F95" w:rsidRDefault="0013275D" w:rsidP="0013275D">
            <w:pPr>
              <w:spacing w:before="4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77777777" w:rsidR="0013275D"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4</w:t>
            </w:r>
          </w:p>
        </w:tc>
        <w:tc>
          <w:tcPr>
            <w:tcW w:w="1417" w:type="dxa"/>
            <w:vAlign w:val="center"/>
          </w:tcPr>
          <w:p w14:paraId="33A5A643" w14:textId="78E7B2BA"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1A5B2D89"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919,6</w:t>
            </w:r>
          </w:p>
        </w:tc>
        <w:tc>
          <w:tcPr>
            <w:tcW w:w="1843" w:type="dxa"/>
            <w:vAlign w:val="center"/>
          </w:tcPr>
          <w:p w14:paraId="0A0AE9B3" w14:textId="12567418" w:rsidR="0013275D"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919,6</w:t>
            </w:r>
          </w:p>
        </w:tc>
      </w:tr>
      <w:tr w:rsidR="0013275D" w:rsidRPr="000435BE" w14:paraId="0F1A63F0" w14:textId="77777777" w:rsidTr="001C1A83">
        <w:tc>
          <w:tcPr>
            <w:tcW w:w="567" w:type="dxa"/>
            <w:shd w:val="clear" w:color="auto" w:fill="auto"/>
          </w:tcPr>
          <w:p w14:paraId="1C6357A5" w14:textId="77777777" w:rsidR="0013275D" w:rsidRPr="00771D6F" w:rsidRDefault="0013275D" w:rsidP="0013275D">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13275D" w:rsidRPr="003B4F95" w:rsidRDefault="0013275D" w:rsidP="0013275D">
            <w:pPr>
              <w:spacing w:before="4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77777777" w:rsidR="0013275D" w:rsidRPr="003B4F95"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77777777" w:rsidR="0013275D" w:rsidRPr="003B4F95" w:rsidRDefault="0013275D" w:rsidP="0013275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429D06DC" w:rsidR="0013275D" w:rsidRPr="003B4F95"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7,2</w:t>
            </w:r>
          </w:p>
        </w:tc>
        <w:tc>
          <w:tcPr>
            <w:tcW w:w="1418" w:type="dxa"/>
            <w:vAlign w:val="center"/>
          </w:tcPr>
          <w:p w14:paraId="7E700237" w14:textId="1D1CF366" w:rsidR="0013275D" w:rsidRPr="003B4F95"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6117E0F3" w:rsidR="0013275D" w:rsidRPr="003B4F95" w:rsidRDefault="0013275D" w:rsidP="0013275D">
            <w:pPr>
              <w:spacing w:before="40" w:after="40" w:line="280" w:lineRule="atLeast"/>
              <w:jc w:val="right"/>
              <w:rPr>
                <w:rFonts w:ascii="Verdana" w:hAnsi="Verdana"/>
                <w:color w:val="000000"/>
                <w:sz w:val="18"/>
                <w:szCs w:val="18"/>
              </w:rPr>
            </w:pPr>
            <w:r>
              <w:rPr>
                <w:rFonts w:ascii="Verdana" w:hAnsi="Verdana"/>
                <w:color w:val="000000"/>
                <w:sz w:val="18"/>
                <w:szCs w:val="18"/>
              </w:rPr>
              <w:t>7,2</w:t>
            </w:r>
          </w:p>
        </w:tc>
      </w:tr>
      <w:tr w:rsidR="0013275D" w:rsidRPr="000435BE" w14:paraId="1AE5CE6C" w14:textId="77777777" w:rsidTr="001C1A83">
        <w:tc>
          <w:tcPr>
            <w:tcW w:w="2551" w:type="dxa"/>
            <w:gridSpan w:val="3"/>
            <w:shd w:val="clear" w:color="auto" w:fill="auto"/>
          </w:tcPr>
          <w:p w14:paraId="0278B047" w14:textId="77777777" w:rsidR="0013275D" w:rsidRPr="003B4F95" w:rsidRDefault="0013275D" w:rsidP="0013275D">
            <w:pPr>
              <w:spacing w:before="4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77777777" w:rsidR="0013275D" w:rsidRPr="003B4F95" w:rsidRDefault="0013275D" w:rsidP="0013275D">
            <w:pPr>
              <w:spacing w:before="40" w:after="40" w:line="280" w:lineRule="atLeast"/>
              <w:jc w:val="center"/>
              <w:rPr>
                <w:rFonts w:ascii="Verdana" w:hAnsi="Verdana"/>
                <w:b/>
                <w:color w:val="000000"/>
                <w:sz w:val="18"/>
                <w:szCs w:val="18"/>
              </w:rPr>
            </w:pPr>
            <w:r>
              <w:rPr>
                <w:rFonts w:ascii="Verdana" w:hAnsi="Verdana"/>
                <w:b/>
                <w:color w:val="000000"/>
                <w:sz w:val="18"/>
                <w:szCs w:val="18"/>
              </w:rPr>
              <w:t>78</w:t>
            </w:r>
          </w:p>
        </w:tc>
        <w:tc>
          <w:tcPr>
            <w:tcW w:w="992" w:type="dxa"/>
            <w:shd w:val="clear" w:color="auto" w:fill="auto"/>
            <w:vAlign w:val="center"/>
          </w:tcPr>
          <w:p w14:paraId="455EA608" w14:textId="77777777" w:rsidR="0013275D" w:rsidRPr="003B4F95" w:rsidRDefault="0013275D" w:rsidP="0013275D">
            <w:pPr>
              <w:spacing w:before="40" w:after="40" w:line="280" w:lineRule="atLeast"/>
              <w:jc w:val="center"/>
              <w:rPr>
                <w:rFonts w:ascii="Verdana" w:hAnsi="Verdana"/>
                <w:b/>
                <w:color w:val="000000"/>
                <w:sz w:val="18"/>
                <w:szCs w:val="18"/>
              </w:rPr>
            </w:pPr>
            <w:r>
              <w:rPr>
                <w:rFonts w:ascii="Verdana" w:hAnsi="Verdana"/>
                <w:b/>
                <w:color w:val="000000"/>
                <w:sz w:val="18"/>
                <w:szCs w:val="18"/>
              </w:rPr>
              <w:t>59</w:t>
            </w:r>
          </w:p>
        </w:tc>
        <w:tc>
          <w:tcPr>
            <w:tcW w:w="1417" w:type="dxa"/>
            <w:vAlign w:val="center"/>
          </w:tcPr>
          <w:p w14:paraId="5B146289" w14:textId="3051FFCD" w:rsidR="0013275D" w:rsidRPr="003B4F95" w:rsidRDefault="0013275D" w:rsidP="0013275D">
            <w:pPr>
              <w:spacing w:before="40" w:after="40" w:line="280" w:lineRule="atLeast"/>
              <w:jc w:val="right"/>
              <w:rPr>
                <w:rFonts w:ascii="Verdana" w:hAnsi="Verdana"/>
                <w:b/>
                <w:color w:val="000000"/>
                <w:sz w:val="18"/>
                <w:szCs w:val="18"/>
              </w:rPr>
            </w:pPr>
            <w:r>
              <w:rPr>
                <w:rFonts w:ascii="Verdana" w:hAnsi="Verdana"/>
                <w:b/>
                <w:color w:val="000000"/>
                <w:sz w:val="18"/>
                <w:szCs w:val="18"/>
              </w:rPr>
              <w:t>109 756,5</w:t>
            </w:r>
          </w:p>
        </w:tc>
        <w:tc>
          <w:tcPr>
            <w:tcW w:w="1418" w:type="dxa"/>
            <w:vAlign w:val="center"/>
          </w:tcPr>
          <w:p w14:paraId="3815159C" w14:textId="51D5D39A" w:rsidR="0013275D" w:rsidRPr="003B4F95" w:rsidRDefault="0013275D" w:rsidP="0013275D">
            <w:pPr>
              <w:spacing w:before="40" w:after="40" w:line="280" w:lineRule="atLeast"/>
              <w:jc w:val="right"/>
              <w:rPr>
                <w:rFonts w:ascii="Verdana" w:hAnsi="Verdana"/>
                <w:b/>
                <w:color w:val="000000"/>
                <w:sz w:val="18"/>
                <w:szCs w:val="18"/>
              </w:rPr>
            </w:pPr>
            <w:r>
              <w:rPr>
                <w:rFonts w:ascii="Verdana" w:hAnsi="Verdana"/>
                <w:b/>
                <w:color w:val="000000"/>
                <w:sz w:val="18"/>
                <w:szCs w:val="18"/>
              </w:rPr>
              <w:t>9 903,7</w:t>
            </w:r>
          </w:p>
        </w:tc>
        <w:tc>
          <w:tcPr>
            <w:tcW w:w="1843" w:type="dxa"/>
            <w:vAlign w:val="center"/>
          </w:tcPr>
          <w:p w14:paraId="1BEAD478" w14:textId="53A9210B" w:rsidR="0013275D" w:rsidRPr="003B4F95" w:rsidRDefault="0013275D" w:rsidP="0013275D">
            <w:pPr>
              <w:spacing w:before="40" w:after="40" w:line="280" w:lineRule="atLeast"/>
              <w:jc w:val="right"/>
              <w:rPr>
                <w:rFonts w:ascii="Verdana" w:hAnsi="Verdana"/>
                <w:b/>
                <w:color w:val="000000"/>
                <w:sz w:val="18"/>
                <w:szCs w:val="18"/>
              </w:rPr>
            </w:pPr>
            <w:r>
              <w:rPr>
                <w:rFonts w:ascii="Verdana" w:hAnsi="Verdana"/>
                <w:b/>
                <w:color w:val="000000"/>
                <w:sz w:val="18"/>
                <w:szCs w:val="18"/>
              </w:rPr>
              <w:t>119 660,2</w:t>
            </w:r>
          </w:p>
        </w:tc>
      </w:tr>
      <w:tr w:rsidR="0013275D" w:rsidRPr="002F5364" w14:paraId="7434251C" w14:textId="77777777" w:rsidTr="001C1A83">
        <w:trPr>
          <w:trHeight w:val="217"/>
        </w:trPr>
        <w:tc>
          <w:tcPr>
            <w:tcW w:w="850" w:type="dxa"/>
            <w:gridSpan w:val="2"/>
            <w:tcBorders>
              <w:right w:val="nil"/>
            </w:tcBorders>
            <w:shd w:val="clear" w:color="auto" w:fill="auto"/>
            <w:vAlign w:val="center"/>
          </w:tcPr>
          <w:p w14:paraId="7D2CBC01" w14:textId="77777777" w:rsidR="0013275D" w:rsidRPr="000435BE" w:rsidRDefault="0013275D" w:rsidP="0013275D">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07D1077E" w:rsidR="0013275D" w:rsidRPr="00573EA2" w:rsidRDefault="0013275D" w:rsidP="0013275D">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Pr>
                <w:rFonts w:ascii="Verdana" w:hAnsi="Verdana"/>
                <w:i/>
                <w:color w:val="000000"/>
                <w:sz w:val="14"/>
                <w:szCs w:val="14"/>
                <w:lang w:val="it-IT"/>
              </w:rPr>
              <w:t>1</w:t>
            </w:r>
            <w:r w:rsidRPr="00573EA2">
              <w:rPr>
                <w:rFonts w:ascii="Verdana" w:hAnsi="Verdana"/>
                <w:i/>
                <w:color w:val="000000"/>
                <w:sz w:val="14"/>
                <w:szCs w:val="14"/>
                <w:lang w:val="it-IT"/>
              </w:rPr>
              <w:t>/</w:t>
            </w:r>
            <w:r>
              <w:rPr>
                <w:rFonts w:ascii="Verdana" w:hAnsi="Verdana"/>
                <w:i/>
                <w:color w:val="000000"/>
                <w:sz w:val="14"/>
                <w:szCs w:val="14"/>
                <w:lang w:val="it-IT"/>
              </w:rPr>
              <w:t>3</w:t>
            </w:r>
            <w:r w:rsidRPr="00573EA2">
              <w:rPr>
                <w:rFonts w:ascii="Verdana" w:hAnsi="Verdana"/>
                <w:i/>
                <w:color w:val="000000"/>
                <w:sz w:val="14"/>
                <w:szCs w:val="14"/>
                <w:lang w:val="it-IT"/>
              </w:rPr>
              <w:t>/202</w:t>
            </w:r>
            <w:r>
              <w:rPr>
                <w:rFonts w:ascii="Verdana" w:hAnsi="Verdana"/>
                <w:i/>
                <w:color w:val="000000"/>
                <w:sz w:val="14"/>
                <w:szCs w:val="14"/>
                <w:lang w:val="it-IT"/>
              </w:rPr>
              <w:t>1</w:t>
            </w:r>
            <w:r w:rsidRPr="00573EA2">
              <w:rPr>
                <w:rFonts w:ascii="Verdana" w:hAnsi="Verdana"/>
                <w:i/>
                <w:color w:val="000000"/>
                <w:sz w:val="14"/>
                <w:szCs w:val="14"/>
                <w:lang w:val="it-IT"/>
              </w:rPr>
              <w:t xml:space="preserve">). </w:t>
            </w:r>
          </w:p>
        </w:tc>
      </w:tr>
    </w:tbl>
    <w:p w14:paraId="0F808FD2" w14:textId="77777777" w:rsidR="006015AB" w:rsidRPr="002F5364" w:rsidRDefault="006015AB" w:rsidP="006015AB">
      <w:pPr>
        <w:spacing w:after="0" w:line="360" w:lineRule="atLeast"/>
        <w:rPr>
          <w:rFonts w:ascii="Verdana" w:hAnsi="Verdana"/>
          <w:color w:val="000000"/>
          <w:sz w:val="21"/>
          <w:szCs w:val="21"/>
          <w:lang w:val="it-IT"/>
        </w:rPr>
      </w:pPr>
    </w:p>
    <w:p w14:paraId="46801556" w14:textId="36A3C32C" w:rsidR="00A547A7" w:rsidRDefault="00A547A7" w:rsidP="00A547A7">
      <w:pPr>
        <w:spacing w:after="0" w:line="360" w:lineRule="atLeast"/>
        <w:rPr>
          <w:rFonts w:ascii="Verdana" w:hAnsi="Verdana"/>
          <w:color w:val="000000"/>
          <w:sz w:val="21"/>
          <w:szCs w:val="21"/>
        </w:rPr>
      </w:pPr>
      <w:r>
        <w:rPr>
          <w:rFonts w:ascii="Verdana" w:hAnsi="Verdana"/>
          <w:color w:val="000000"/>
          <w:sz w:val="21"/>
          <w:szCs w:val="21"/>
        </w:rPr>
        <w:t xml:space="preserve">Table B shows </w:t>
      </w:r>
      <w:r w:rsidR="0013275D">
        <w:rPr>
          <w:rFonts w:ascii="Verdana" w:hAnsi="Verdana"/>
          <w:color w:val="000000"/>
          <w:sz w:val="21"/>
          <w:szCs w:val="21"/>
        </w:rPr>
        <w:t>the</w:t>
      </w:r>
      <w:r>
        <w:rPr>
          <w:rFonts w:ascii="Verdana" w:hAnsi="Verdana"/>
          <w:color w:val="000000"/>
          <w:sz w:val="21"/>
          <w:szCs w:val="21"/>
        </w:rPr>
        <w:t xml:space="preserve"> profile</w:t>
      </w:r>
      <w:r w:rsidR="0013275D">
        <w:rPr>
          <w:rFonts w:ascii="Verdana" w:hAnsi="Verdana"/>
          <w:color w:val="000000"/>
          <w:sz w:val="21"/>
          <w:szCs w:val="21"/>
        </w:rPr>
        <w:t>, as at 31 March 2021, of the 11 houses issuing ETPs</w:t>
      </w:r>
      <w:r w:rsidR="006F464E">
        <w:rPr>
          <w:rFonts w:ascii="Verdana" w:hAnsi="Verdana"/>
          <w:color w:val="000000"/>
          <w:sz w:val="21"/>
          <w:szCs w:val="21"/>
        </w:rPr>
        <w:t>;</w:t>
      </w:r>
      <w:r w:rsidR="0013275D">
        <w:rPr>
          <w:rFonts w:ascii="Verdana" w:hAnsi="Verdana"/>
          <w:color w:val="000000"/>
          <w:sz w:val="21"/>
          <w:szCs w:val="21"/>
        </w:rPr>
        <w:t xml:space="preserve"> the number of </w:t>
      </w:r>
      <w:r w:rsidR="006F464E">
        <w:rPr>
          <w:rFonts w:ascii="Verdana" w:hAnsi="Verdana"/>
          <w:color w:val="000000"/>
          <w:sz w:val="21"/>
          <w:szCs w:val="21"/>
        </w:rPr>
        <w:t xml:space="preserve">ETP </w:t>
      </w:r>
      <w:r w:rsidR="0013275D">
        <w:rPr>
          <w:rFonts w:ascii="Verdana" w:hAnsi="Verdana"/>
          <w:color w:val="000000"/>
          <w:sz w:val="21"/>
          <w:szCs w:val="21"/>
        </w:rPr>
        <w:t>products in issue</w:t>
      </w:r>
      <w:r w:rsidR="006F464E">
        <w:rPr>
          <w:rFonts w:ascii="Verdana" w:hAnsi="Verdana"/>
          <w:color w:val="000000"/>
          <w:sz w:val="21"/>
          <w:szCs w:val="21"/>
        </w:rPr>
        <w:t>;</w:t>
      </w:r>
      <w:r w:rsidR="0013275D">
        <w:rPr>
          <w:rFonts w:ascii="Verdana" w:hAnsi="Verdana"/>
          <w:color w:val="000000"/>
          <w:sz w:val="21"/>
          <w:szCs w:val="21"/>
        </w:rPr>
        <w:t xml:space="preserve"> and the AUM for each issuer</w:t>
      </w:r>
      <w:r>
        <w:rPr>
          <w:rFonts w:ascii="Verdana" w:hAnsi="Verdana"/>
          <w:color w:val="000000"/>
          <w:sz w:val="21"/>
          <w:szCs w:val="21"/>
        </w:rPr>
        <w:t xml:space="preserve">.  </w:t>
      </w:r>
    </w:p>
    <w:p w14:paraId="3ABF6D4B" w14:textId="77777777" w:rsidR="00A547A7" w:rsidRDefault="00A547A7" w:rsidP="00A547A7">
      <w:pPr>
        <w:spacing w:after="0" w:line="360" w:lineRule="atLeast"/>
        <w:rPr>
          <w:rFonts w:ascii="Verdana" w:hAnsi="Verdana"/>
          <w:color w:val="000000"/>
          <w:sz w:val="21"/>
          <w:szCs w:val="21"/>
        </w:rPr>
      </w:pPr>
    </w:p>
    <w:p w14:paraId="5CD0A30C" w14:textId="488AC546" w:rsidR="00A547A7" w:rsidRDefault="00A547A7" w:rsidP="00A547A7">
      <w:pPr>
        <w:spacing w:after="0" w:line="360" w:lineRule="atLeast"/>
        <w:rPr>
          <w:rFonts w:ascii="Verdana" w:hAnsi="Verdana"/>
          <w:color w:val="000000"/>
          <w:sz w:val="21"/>
          <w:szCs w:val="21"/>
        </w:rPr>
      </w:pPr>
      <w:r w:rsidRPr="00771D6F">
        <w:rPr>
          <w:rFonts w:ascii="Verdana" w:hAnsi="Verdana"/>
          <w:b/>
          <w:bCs/>
          <w:color w:val="000000"/>
          <w:sz w:val="21"/>
          <w:szCs w:val="21"/>
        </w:rPr>
        <w:t>Absa Capital</w:t>
      </w:r>
      <w:r w:rsidRPr="003F5A9C">
        <w:rPr>
          <w:rFonts w:ascii="Verdana" w:hAnsi="Verdana"/>
          <w:color w:val="000000"/>
          <w:sz w:val="21"/>
          <w:szCs w:val="21"/>
        </w:rPr>
        <w:t xml:space="preserve"> retains i</w:t>
      </w:r>
      <w:r>
        <w:rPr>
          <w:rFonts w:ascii="Verdana" w:hAnsi="Verdana"/>
          <w:color w:val="000000"/>
          <w:sz w:val="21"/>
          <w:szCs w:val="21"/>
        </w:rPr>
        <w:t>t</w:t>
      </w:r>
      <w:r w:rsidRPr="003F5A9C">
        <w:rPr>
          <w:rFonts w:ascii="Verdana" w:hAnsi="Verdana"/>
          <w:color w:val="000000"/>
          <w:sz w:val="21"/>
          <w:szCs w:val="21"/>
        </w:rPr>
        <w:t xml:space="preserve">s </w:t>
      </w:r>
      <w:r w:rsidR="0013275D">
        <w:rPr>
          <w:rFonts w:ascii="Verdana" w:hAnsi="Verdana"/>
          <w:color w:val="000000"/>
          <w:sz w:val="21"/>
          <w:szCs w:val="21"/>
        </w:rPr>
        <w:t>pre</w:t>
      </w:r>
      <w:r w:rsidRPr="003F5A9C">
        <w:rPr>
          <w:rFonts w:ascii="Verdana" w:hAnsi="Verdana"/>
          <w:color w:val="000000"/>
          <w:sz w:val="21"/>
          <w:szCs w:val="21"/>
        </w:rPr>
        <w:t xml:space="preserve">dominant position as the </w:t>
      </w:r>
      <w:r w:rsidR="0013275D">
        <w:rPr>
          <w:rFonts w:ascii="Verdana" w:hAnsi="Verdana"/>
          <w:color w:val="000000"/>
          <w:sz w:val="21"/>
          <w:szCs w:val="21"/>
        </w:rPr>
        <w:t xml:space="preserve">largest issuer of ETFs and ETNs, with a total of R32 688 million under management for 17 ETFs and 5 ETNs.  But, </w:t>
      </w:r>
      <w:r w:rsidR="006F464E">
        <w:rPr>
          <w:rFonts w:ascii="Verdana" w:hAnsi="Verdana"/>
          <w:color w:val="000000"/>
          <w:sz w:val="21"/>
          <w:szCs w:val="21"/>
        </w:rPr>
        <w:t>three</w:t>
      </w:r>
      <w:r w:rsidR="0013275D">
        <w:rPr>
          <w:rFonts w:ascii="Verdana" w:hAnsi="Verdana"/>
          <w:color w:val="000000"/>
          <w:sz w:val="21"/>
          <w:szCs w:val="21"/>
        </w:rPr>
        <w:t xml:space="preserve"> commodity ETFs, issued under the NewGold brand, account for 87% of the total market </w:t>
      </w:r>
      <w:r w:rsidR="0067082E">
        <w:rPr>
          <w:rFonts w:ascii="Verdana" w:hAnsi="Verdana"/>
          <w:color w:val="000000"/>
          <w:sz w:val="21"/>
          <w:szCs w:val="21"/>
        </w:rPr>
        <w:t>capitalisation</w:t>
      </w:r>
      <w:r w:rsidR="0013275D">
        <w:rPr>
          <w:rFonts w:ascii="Verdana" w:hAnsi="Verdana"/>
          <w:color w:val="000000"/>
          <w:sz w:val="21"/>
          <w:szCs w:val="21"/>
        </w:rPr>
        <w:t xml:space="preserve"> of all Absa ETPs. </w:t>
      </w:r>
    </w:p>
    <w:p w14:paraId="25668CD9" w14:textId="6A363533" w:rsidR="0013275D" w:rsidRDefault="0013275D" w:rsidP="00A547A7">
      <w:pPr>
        <w:spacing w:after="0" w:line="360" w:lineRule="atLeast"/>
        <w:rPr>
          <w:rFonts w:ascii="Verdana" w:hAnsi="Verdana"/>
          <w:color w:val="000000"/>
          <w:sz w:val="21"/>
          <w:szCs w:val="21"/>
        </w:rPr>
      </w:pPr>
    </w:p>
    <w:p w14:paraId="3CA3D399" w14:textId="3DEF0889" w:rsidR="0013275D" w:rsidRDefault="0013275D" w:rsidP="00A547A7">
      <w:pPr>
        <w:spacing w:after="0" w:line="360" w:lineRule="atLeast"/>
        <w:rPr>
          <w:rFonts w:ascii="Verdana" w:hAnsi="Verdana"/>
          <w:color w:val="000000"/>
          <w:sz w:val="21"/>
          <w:szCs w:val="21"/>
        </w:rPr>
      </w:pPr>
      <w:r>
        <w:rPr>
          <w:rFonts w:ascii="Verdana" w:hAnsi="Verdana"/>
          <w:color w:val="000000"/>
          <w:sz w:val="21"/>
          <w:szCs w:val="21"/>
        </w:rPr>
        <w:t xml:space="preserve">Absa’s position as the top issuer of ETPs in South Africa, is therefore very dependent on the direction of commodity prices and they have made only limited inroads into the SA market for non-commodity ETFs.  </w:t>
      </w:r>
    </w:p>
    <w:p w14:paraId="4B0BE42B" w14:textId="77777777" w:rsidR="00A547A7" w:rsidRPr="003F5A9C" w:rsidRDefault="00A547A7" w:rsidP="00A547A7">
      <w:pPr>
        <w:spacing w:after="0" w:line="360" w:lineRule="atLeast"/>
        <w:rPr>
          <w:rFonts w:ascii="Verdana" w:hAnsi="Verdana"/>
          <w:color w:val="000000"/>
          <w:sz w:val="21"/>
          <w:szCs w:val="21"/>
        </w:rPr>
      </w:pPr>
    </w:p>
    <w:p w14:paraId="2673AF93" w14:textId="77777777" w:rsidR="0013275D" w:rsidRDefault="00A547A7" w:rsidP="00A547A7">
      <w:pPr>
        <w:spacing w:after="0" w:line="360" w:lineRule="atLeast"/>
        <w:rPr>
          <w:rFonts w:ascii="Verdana" w:hAnsi="Verdana"/>
          <w:color w:val="000000"/>
          <w:sz w:val="21"/>
          <w:szCs w:val="21"/>
        </w:rPr>
      </w:pPr>
      <w:r w:rsidRPr="00E674AE">
        <w:rPr>
          <w:rFonts w:ascii="Verdana" w:hAnsi="Verdana"/>
          <w:b/>
          <w:bCs/>
          <w:color w:val="000000"/>
          <w:sz w:val="21"/>
          <w:szCs w:val="21"/>
        </w:rPr>
        <w:t>Satrix Managers</w:t>
      </w:r>
      <w:r>
        <w:rPr>
          <w:rFonts w:ascii="Verdana" w:hAnsi="Verdana"/>
          <w:color w:val="000000"/>
          <w:sz w:val="21"/>
          <w:szCs w:val="21"/>
        </w:rPr>
        <w:t xml:space="preserve"> </w:t>
      </w:r>
      <w:r w:rsidR="0013275D">
        <w:rPr>
          <w:rFonts w:ascii="Verdana" w:hAnsi="Verdana"/>
          <w:color w:val="000000"/>
          <w:sz w:val="21"/>
          <w:szCs w:val="21"/>
        </w:rPr>
        <w:t xml:space="preserve">continues to consolidate its position as the second largest issuer of ETFs in South Africa, measured by market capitalisation. </w:t>
      </w:r>
    </w:p>
    <w:p w14:paraId="49021BD0" w14:textId="77777777" w:rsidR="0013275D" w:rsidRDefault="0013275D" w:rsidP="00A547A7">
      <w:pPr>
        <w:spacing w:after="0" w:line="360" w:lineRule="atLeast"/>
        <w:rPr>
          <w:rFonts w:ascii="Verdana" w:hAnsi="Verdana"/>
          <w:color w:val="000000"/>
          <w:sz w:val="21"/>
          <w:szCs w:val="21"/>
        </w:rPr>
      </w:pPr>
    </w:p>
    <w:p w14:paraId="796D97CA" w14:textId="74A00643" w:rsidR="0013275D" w:rsidRDefault="0013275D" w:rsidP="00A547A7">
      <w:pPr>
        <w:spacing w:after="0" w:line="360" w:lineRule="atLeast"/>
        <w:rPr>
          <w:rFonts w:ascii="Verdana" w:hAnsi="Verdana"/>
          <w:color w:val="000000"/>
          <w:sz w:val="21"/>
          <w:szCs w:val="21"/>
        </w:rPr>
      </w:pPr>
      <w:r>
        <w:rPr>
          <w:rFonts w:ascii="Verdana" w:hAnsi="Verdana"/>
          <w:color w:val="000000"/>
          <w:sz w:val="21"/>
          <w:szCs w:val="21"/>
        </w:rPr>
        <w:t xml:space="preserve">Although Satrix did not issue any new ETPs in the first quarter of 2021, it has reported that it has a number of new ETF products it intends listing during the </w:t>
      </w:r>
      <w:r w:rsidR="006F464E">
        <w:rPr>
          <w:rFonts w:ascii="Verdana" w:hAnsi="Verdana"/>
          <w:color w:val="000000"/>
          <w:sz w:val="21"/>
          <w:szCs w:val="21"/>
        </w:rPr>
        <w:t>remainder</w:t>
      </w:r>
      <w:r>
        <w:rPr>
          <w:rFonts w:ascii="Verdana" w:hAnsi="Verdana"/>
          <w:color w:val="000000"/>
          <w:sz w:val="21"/>
          <w:szCs w:val="21"/>
        </w:rPr>
        <w:t xml:space="preserve"> of this year. </w:t>
      </w:r>
    </w:p>
    <w:p w14:paraId="76B9A432" w14:textId="4ADD028E" w:rsidR="0013275D" w:rsidRDefault="0013275D">
      <w:pPr>
        <w:rPr>
          <w:rFonts w:ascii="Verdana" w:hAnsi="Verdana"/>
          <w:color w:val="000000"/>
          <w:sz w:val="21"/>
          <w:szCs w:val="21"/>
        </w:rPr>
      </w:pPr>
      <w:r>
        <w:rPr>
          <w:rFonts w:ascii="Verdana" w:hAnsi="Verdana"/>
          <w:color w:val="000000"/>
          <w:sz w:val="21"/>
          <w:szCs w:val="21"/>
        </w:rPr>
        <w:br w:type="page"/>
      </w:r>
    </w:p>
    <w:p w14:paraId="1BB7ED1C" w14:textId="7A1017BF" w:rsidR="0013275D" w:rsidRDefault="0013275D" w:rsidP="00A547A7">
      <w:pPr>
        <w:spacing w:after="0" w:line="360" w:lineRule="atLeast"/>
        <w:rPr>
          <w:rFonts w:ascii="Verdana" w:hAnsi="Verdana"/>
          <w:color w:val="000000"/>
          <w:sz w:val="21"/>
          <w:szCs w:val="21"/>
        </w:rPr>
      </w:pPr>
    </w:p>
    <w:p w14:paraId="566BECA7" w14:textId="3AFC2A40" w:rsidR="0013275D" w:rsidRDefault="0013275D" w:rsidP="00A547A7">
      <w:pPr>
        <w:spacing w:after="0" w:line="360" w:lineRule="atLeast"/>
        <w:rPr>
          <w:rFonts w:ascii="Verdana" w:hAnsi="Verdana"/>
          <w:color w:val="000000"/>
          <w:sz w:val="21"/>
          <w:szCs w:val="21"/>
        </w:rPr>
      </w:pPr>
      <w:r>
        <w:rPr>
          <w:rFonts w:ascii="Verdana" w:hAnsi="Verdana"/>
          <w:color w:val="000000"/>
          <w:sz w:val="21"/>
          <w:szCs w:val="21"/>
        </w:rPr>
        <w:t>Satrix dominates the ETFs issued</w:t>
      </w:r>
      <w:r w:rsidR="006F464E">
        <w:rPr>
          <w:rFonts w:ascii="Verdana" w:hAnsi="Verdana"/>
          <w:color w:val="000000"/>
          <w:sz w:val="21"/>
          <w:szCs w:val="21"/>
        </w:rPr>
        <w:t xml:space="preserve"> that</w:t>
      </w:r>
      <w:r>
        <w:rPr>
          <w:rFonts w:ascii="Verdana" w:hAnsi="Verdana"/>
          <w:color w:val="000000"/>
          <w:sz w:val="21"/>
          <w:szCs w:val="21"/>
        </w:rPr>
        <w:t xml:space="preserve"> track major indices in South Africa, so the re</w:t>
      </w:r>
      <w:r w:rsidR="006F464E">
        <w:rPr>
          <w:rFonts w:ascii="Verdana" w:hAnsi="Verdana"/>
          <w:color w:val="000000"/>
          <w:sz w:val="21"/>
          <w:szCs w:val="21"/>
        </w:rPr>
        <w:t>vival</w:t>
      </w:r>
      <w:r>
        <w:rPr>
          <w:rFonts w:ascii="Verdana" w:hAnsi="Verdana"/>
          <w:color w:val="000000"/>
          <w:sz w:val="21"/>
          <w:szCs w:val="21"/>
        </w:rPr>
        <w:t xml:space="preserve"> in the local equity market has seen a strong rise in the prices of most of their locally referenced </w:t>
      </w:r>
      <w:r w:rsidR="00B5384D">
        <w:rPr>
          <w:rFonts w:ascii="Verdana" w:hAnsi="Verdana"/>
          <w:color w:val="000000"/>
          <w:sz w:val="21"/>
          <w:szCs w:val="21"/>
        </w:rPr>
        <w:t>E</w:t>
      </w:r>
      <w:r>
        <w:rPr>
          <w:rFonts w:ascii="Verdana" w:hAnsi="Verdana"/>
          <w:color w:val="000000"/>
          <w:sz w:val="21"/>
          <w:szCs w:val="21"/>
        </w:rPr>
        <w:t xml:space="preserve">TFs and boosted Satrix’s AUM figures. </w:t>
      </w:r>
    </w:p>
    <w:p w14:paraId="47B1F9F4" w14:textId="11CECDBA" w:rsidR="0013275D" w:rsidRDefault="0013275D" w:rsidP="00A547A7">
      <w:pPr>
        <w:spacing w:after="0" w:line="360" w:lineRule="atLeast"/>
        <w:rPr>
          <w:rFonts w:ascii="Verdana" w:hAnsi="Verdana"/>
          <w:color w:val="000000"/>
          <w:sz w:val="21"/>
          <w:szCs w:val="21"/>
        </w:rPr>
      </w:pPr>
    </w:p>
    <w:p w14:paraId="45B70201" w14:textId="690C87DD" w:rsidR="0013275D" w:rsidRDefault="0013275D" w:rsidP="00A547A7">
      <w:pPr>
        <w:spacing w:after="0" w:line="360" w:lineRule="atLeast"/>
        <w:rPr>
          <w:rFonts w:ascii="Verdana" w:hAnsi="Verdana"/>
          <w:color w:val="000000"/>
          <w:sz w:val="21"/>
          <w:szCs w:val="21"/>
        </w:rPr>
      </w:pPr>
      <w:r>
        <w:rPr>
          <w:rFonts w:ascii="Verdana" w:hAnsi="Verdana"/>
          <w:color w:val="000000"/>
          <w:sz w:val="21"/>
          <w:szCs w:val="21"/>
        </w:rPr>
        <w:t xml:space="preserve">Satrix now appears to be closing in on Absa to be the top issuing house for </w:t>
      </w:r>
      <w:r w:rsidR="00B5384D">
        <w:rPr>
          <w:rFonts w:ascii="Verdana" w:hAnsi="Verdana"/>
          <w:color w:val="000000"/>
          <w:sz w:val="21"/>
          <w:szCs w:val="21"/>
        </w:rPr>
        <w:t>E</w:t>
      </w:r>
      <w:r>
        <w:rPr>
          <w:rFonts w:ascii="Verdana" w:hAnsi="Verdana"/>
          <w:color w:val="000000"/>
          <w:sz w:val="21"/>
          <w:szCs w:val="21"/>
        </w:rPr>
        <w:t xml:space="preserve">TFs in South Africa, a position held for the first decade of ETFs in South Africa, but surrendered to Absa when commodity ETFs started to dominate the local market. </w:t>
      </w:r>
    </w:p>
    <w:p w14:paraId="196BBE2D" w14:textId="77777777" w:rsidR="0013275D" w:rsidRDefault="0013275D" w:rsidP="00A547A7">
      <w:pPr>
        <w:spacing w:after="0" w:line="360" w:lineRule="atLeast"/>
        <w:rPr>
          <w:rFonts w:ascii="Verdana" w:hAnsi="Verdana"/>
          <w:color w:val="000000"/>
          <w:sz w:val="21"/>
          <w:szCs w:val="21"/>
        </w:rPr>
      </w:pPr>
    </w:p>
    <w:p w14:paraId="4C838737" w14:textId="53E5FA2A" w:rsidR="0090715C" w:rsidRDefault="0051590D" w:rsidP="00F65131">
      <w:pPr>
        <w:spacing w:after="0" w:line="360" w:lineRule="atLeast"/>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w:t>
      </w:r>
      <w:r w:rsidR="00636507">
        <w:rPr>
          <w:rFonts w:ascii="Verdana" w:hAnsi="Verdana"/>
          <w:color w:val="000000"/>
          <w:sz w:val="21"/>
          <w:szCs w:val="21"/>
        </w:rPr>
        <w:t>h</w:t>
      </w:r>
      <w:r w:rsidR="0090715C">
        <w:rPr>
          <w:rFonts w:ascii="Verdana" w:hAnsi="Verdana"/>
          <w:color w:val="000000"/>
          <w:sz w:val="21"/>
          <w:szCs w:val="21"/>
        </w:rPr>
        <w:t xml:space="preserve">ad a good first quarter of 2021, with total market capitalisation of the ETFs it issues, rising from R24 546 million in December 2020, to R27 047 million at the end of March 2021, an increase of R2 501 million.  Only Satrix, with an increase of R3 044 million in AUM over the same period, was able to better the Sygnia Itrix achievement. </w:t>
      </w:r>
    </w:p>
    <w:p w14:paraId="79860B97" w14:textId="77777777" w:rsidR="0090715C" w:rsidRDefault="0090715C" w:rsidP="00F65131">
      <w:pPr>
        <w:spacing w:after="0" w:line="360" w:lineRule="atLeast"/>
        <w:rPr>
          <w:rFonts w:ascii="Verdana" w:hAnsi="Verdana"/>
          <w:color w:val="000000"/>
          <w:sz w:val="21"/>
          <w:szCs w:val="21"/>
        </w:rPr>
      </w:pPr>
    </w:p>
    <w:p w14:paraId="20BA1E80" w14:textId="4D12CC2B" w:rsidR="0090715C" w:rsidRDefault="0090715C" w:rsidP="00F65131">
      <w:pPr>
        <w:spacing w:after="0" w:line="360" w:lineRule="atLeast"/>
        <w:rPr>
          <w:rFonts w:ascii="Verdana" w:hAnsi="Verdana"/>
          <w:color w:val="000000"/>
          <w:sz w:val="21"/>
          <w:szCs w:val="21"/>
        </w:rPr>
      </w:pPr>
      <w:r>
        <w:rPr>
          <w:rFonts w:ascii="Verdana" w:hAnsi="Verdana"/>
          <w:color w:val="000000"/>
          <w:sz w:val="21"/>
          <w:szCs w:val="21"/>
        </w:rPr>
        <w:t>Sygnia Itrix</w:t>
      </w:r>
      <w:r w:rsidR="006F464E">
        <w:rPr>
          <w:rFonts w:ascii="Verdana" w:hAnsi="Verdana"/>
          <w:color w:val="000000"/>
          <w:sz w:val="21"/>
          <w:szCs w:val="21"/>
        </w:rPr>
        <w:t>, with</w:t>
      </w:r>
      <w:r>
        <w:rPr>
          <w:rFonts w:ascii="Verdana" w:hAnsi="Verdana"/>
          <w:color w:val="000000"/>
          <w:sz w:val="21"/>
          <w:szCs w:val="21"/>
        </w:rPr>
        <w:t xml:space="preserve"> R27 027 million in </w:t>
      </w:r>
      <w:r w:rsidR="006F464E">
        <w:rPr>
          <w:rFonts w:ascii="Verdana" w:hAnsi="Verdana"/>
          <w:color w:val="000000"/>
          <w:sz w:val="21"/>
          <w:szCs w:val="21"/>
        </w:rPr>
        <w:t xml:space="preserve">total </w:t>
      </w:r>
      <w:r>
        <w:rPr>
          <w:rFonts w:ascii="Verdana" w:hAnsi="Verdana"/>
          <w:color w:val="000000"/>
          <w:sz w:val="21"/>
          <w:szCs w:val="21"/>
        </w:rPr>
        <w:t xml:space="preserve">market capitalisation, leaves </w:t>
      </w:r>
      <w:r w:rsidR="006F464E">
        <w:rPr>
          <w:rFonts w:ascii="Verdana" w:hAnsi="Verdana"/>
          <w:color w:val="000000"/>
          <w:sz w:val="21"/>
          <w:szCs w:val="21"/>
        </w:rPr>
        <w:t>them</w:t>
      </w:r>
      <w:r>
        <w:rPr>
          <w:rFonts w:ascii="Verdana" w:hAnsi="Verdana"/>
          <w:color w:val="000000"/>
          <w:sz w:val="21"/>
          <w:szCs w:val="21"/>
        </w:rPr>
        <w:t xml:space="preserve"> trailing Satrix by a relatively small amount and the contest between these two ETF providers to rise to the top of the issuing league tables, is a key driver of growth in the local ETP industry.  </w:t>
      </w:r>
    </w:p>
    <w:p w14:paraId="2D52150C" w14:textId="77777777" w:rsidR="0090715C" w:rsidRDefault="0090715C" w:rsidP="00F65131">
      <w:pPr>
        <w:spacing w:after="0" w:line="360" w:lineRule="atLeast"/>
        <w:rPr>
          <w:rFonts w:ascii="Verdana" w:hAnsi="Verdana"/>
          <w:color w:val="000000"/>
          <w:sz w:val="21"/>
          <w:szCs w:val="21"/>
        </w:rPr>
      </w:pPr>
    </w:p>
    <w:p w14:paraId="4441602C" w14:textId="77777777" w:rsidR="0090715C" w:rsidRDefault="0090715C" w:rsidP="00F65131">
      <w:pPr>
        <w:spacing w:after="0" w:line="360" w:lineRule="atLeast"/>
        <w:rPr>
          <w:rFonts w:ascii="Verdana" w:hAnsi="Verdana"/>
          <w:color w:val="000000"/>
          <w:sz w:val="21"/>
          <w:szCs w:val="21"/>
        </w:rPr>
      </w:pPr>
      <w:r>
        <w:rPr>
          <w:rFonts w:ascii="Verdana" w:hAnsi="Verdana"/>
          <w:color w:val="000000"/>
          <w:sz w:val="21"/>
          <w:szCs w:val="21"/>
        </w:rPr>
        <w:t xml:space="preserve">Sygnia Itrix have also announced that they are planning to issue a number of new ETFs in 2021.  In fact, the first such new product, the Sygnia Itrix S&amp;P Global 1200 ESG ETF, was listed on 12 April 2021.  </w:t>
      </w:r>
    </w:p>
    <w:p w14:paraId="5167641B" w14:textId="77777777" w:rsidR="0090715C" w:rsidRDefault="0090715C" w:rsidP="00F65131">
      <w:pPr>
        <w:spacing w:after="0" w:line="360" w:lineRule="atLeast"/>
        <w:rPr>
          <w:rFonts w:ascii="Verdana" w:hAnsi="Verdana"/>
          <w:color w:val="000000"/>
          <w:sz w:val="21"/>
          <w:szCs w:val="21"/>
        </w:rPr>
      </w:pPr>
    </w:p>
    <w:p w14:paraId="52A007C8" w14:textId="303CFF7A" w:rsidR="00A25A8D" w:rsidRDefault="0090715C" w:rsidP="00F65131">
      <w:pPr>
        <w:spacing w:after="0" w:line="360" w:lineRule="atLeast"/>
        <w:rPr>
          <w:rFonts w:ascii="Verdana" w:hAnsi="Verdana"/>
          <w:color w:val="000000"/>
          <w:sz w:val="21"/>
          <w:szCs w:val="21"/>
        </w:rPr>
      </w:pPr>
      <w:r>
        <w:rPr>
          <w:rFonts w:ascii="Verdana" w:hAnsi="Verdana"/>
          <w:color w:val="000000"/>
          <w:sz w:val="21"/>
          <w:szCs w:val="21"/>
        </w:rPr>
        <w:t>Sygnia Itrix were highly innovative in listing the 4</w:t>
      </w:r>
      <w:r w:rsidRPr="0090715C">
        <w:rPr>
          <w:rFonts w:ascii="Verdana" w:hAnsi="Verdana"/>
          <w:color w:val="000000"/>
          <w:sz w:val="21"/>
          <w:szCs w:val="21"/>
          <w:vertAlign w:val="superscript"/>
        </w:rPr>
        <w:t>th</w:t>
      </w:r>
      <w:r>
        <w:rPr>
          <w:rFonts w:ascii="Verdana" w:hAnsi="Verdana"/>
          <w:color w:val="000000"/>
          <w:sz w:val="21"/>
          <w:szCs w:val="21"/>
        </w:rPr>
        <w:t xml:space="preserve"> Industrial Revolution ETF, back in 2017.  This product tracks the Kensho New Economies Composite Index, which comprises companies listed around the world that embrace new technologies.  As such, this was the first, and to date only, local ETF that provides a “thematic” exposure to a specific co</w:t>
      </w:r>
      <w:r w:rsidR="006F464E">
        <w:rPr>
          <w:rFonts w:ascii="Verdana" w:hAnsi="Verdana"/>
          <w:color w:val="000000"/>
          <w:sz w:val="21"/>
          <w:szCs w:val="21"/>
        </w:rPr>
        <w:t>rporate</w:t>
      </w:r>
      <w:r>
        <w:rPr>
          <w:rFonts w:ascii="Verdana" w:hAnsi="Verdana"/>
          <w:color w:val="000000"/>
          <w:sz w:val="21"/>
          <w:szCs w:val="21"/>
        </w:rPr>
        <w:t xml:space="preserve"> theme or mega-trend. </w:t>
      </w:r>
    </w:p>
    <w:p w14:paraId="458205F5" w14:textId="282B51E3" w:rsidR="0090715C" w:rsidRDefault="0090715C" w:rsidP="00F65131">
      <w:pPr>
        <w:spacing w:after="0" w:line="360" w:lineRule="atLeast"/>
        <w:rPr>
          <w:rFonts w:ascii="Verdana" w:hAnsi="Verdana"/>
          <w:color w:val="000000"/>
          <w:sz w:val="21"/>
          <w:szCs w:val="21"/>
        </w:rPr>
      </w:pPr>
    </w:p>
    <w:p w14:paraId="20F13427" w14:textId="71AB20EF" w:rsidR="0090715C" w:rsidRDefault="0090715C" w:rsidP="00F65131">
      <w:pPr>
        <w:spacing w:after="0" w:line="360" w:lineRule="atLeast"/>
        <w:rPr>
          <w:rFonts w:ascii="Verdana" w:hAnsi="Verdana"/>
          <w:color w:val="000000"/>
          <w:sz w:val="21"/>
          <w:szCs w:val="21"/>
        </w:rPr>
      </w:pPr>
      <w:r>
        <w:rPr>
          <w:rFonts w:ascii="Verdana" w:hAnsi="Verdana"/>
          <w:color w:val="000000"/>
          <w:sz w:val="21"/>
          <w:szCs w:val="21"/>
        </w:rPr>
        <w:t xml:space="preserve">Such thematic ETFs have proved very popular and provided top investment returns in other equity markets because they can provide consistent outperformance of </w:t>
      </w:r>
      <w:r w:rsidR="006F464E">
        <w:rPr>
          <w:rFonts w:ascii="Verdana" w:hAnsi="Verdana"/>
          <w:color w:val="000000"/>
          <w:sz w:val="21"/>
          <w:szCs w:val="21"/>
        </w:rPr>
        <w:t xml:space="preserve">the </w:t>
      </w:r>
      <w:r>
        <w:rPr>
          <w:rFonts w:ascii="Verdana" w:hAnsi="Verdana"/>
          <w:color w:val="000000"/>
          <w:sz w:val="21"/>
          <w:szCs w:val="21"/>
        </w:rPr>
        <w:t xml:space="preserve">more general indices for </w:t>
      </w:r>
      <w:r w:rsidR="006F464E">
        <w:rPr>
          <w:rFonts w:ascii="Verdana" w:hAnsi="Verdana"/>
          <w:color w:val="000000"/>
          <w:sz w:val="21"/>
          <w:szCs w:val="21"/>
        </w:rPr>
        <w:t>extended</w:t>
      </w:r>
      <w:r>
        <w:rPr>
          <w:rFonts w:ascii="Verdana" w:hAnsi="Verdana"/>
          <w:color w:val="000000"/>
          <w:sz w:val="21"/>
          <w:szCs w:val="21"/>
        </w:rPr>
        <w:t xml:space="preserve"> periods of time, thereby </w:t>
      </w:r>
      <w:r w:rsidR="006F464E">
        <w:rPr>
          <w:rFonts w:ascii="Verdana" w:hAnsi="Verdana"/>
          <w:color w:val="000000"/>
          <w:sz w:val="21"/>
          <w:szCs w:val="21"/>
        </w:rPr>
        <w:t>delivering</w:t>
      </w:r>
      <w:r>
        <w:rPr>
          <w:rFonts w:ascii="Verdana" w:hAnsi="Verdana"/>
          <w:color w:val="000000"/>
          <w:sz w:val="21"/>
          <w:szCs w:val="21"/>
        </w:rPr>
        <w:t xml:space="preserve"> “systemic alpha”.  </w:t>
      </w:r>
    </w:p>
    <w:p w14:paraId="298A6D90" w14:textId="3E99F8FE" w:rsidR="006820C0" w:rsidRDefault="006820C0" w:rsidP="00F65131">
      <w:pPr>
        <w:spacing w:after="0" w:line="360" w:lineRule="atLeast"/>
        <w:rPr>
          <w:rFonts w:ascii="Verdana" w:hAnsi="Verdana"/>
          <w:color w:val="000000"/>
          <w:sz w:val="21"/>
          <w:szCs w:val="21"/>
        </w:rPr>
      </w:pPr>
    </w:p>
    <w:p w14:paraId="33F1ED49" w14:textId="0FCC7BF0" w:rsidR="006820C0" w:rsidRDefault="006820C0" w:rsidP="00F65131">
      <w:pPr>
        <w:spacing w:after="0" w:line="360" w:lineRule="atLeast"/>
        <w:rPr>
          <w:rFonts w:ascii="Verdana" w:hAnsi="Verdana"/>
          <w:color w:val="000000"/>
          <w:sz w:val="21"/>
          <w:szCs w:val="21"/>
        </w:rPr>
      </w:pPr>
      <w:r>
        <w:rPr>
          <w:rFonts w:ascii="Verdana" w:hAnsi="Verdana"/>
          <w:color w:val="000000"/>
          <w:sz w:val="21"/>
          <w:szCs w:val="21"/>
        </w:rPr>
        <w:t xml:space="preserve">Not only Sygnia, but also Satrix, have indicated that they are looking to list further such </w:t>
      </w:r>
      <w:r w:rsidR="006F464E">
        <w:rPr>
          <w:rFonts w:ascii="Verdana" w:hAnsi="Verdana"/>
          <w:color w:val="000000"/>
          <w:sz w:val="21"/>
          <w:szCs w:val="21"/>
        </w:rPr>
        <w:t xml:space="preserve">thematic </w:t>
      </w:r>
      <w:r>
        <w:rPr>
          <w:rFonts w:ascii="Verdana" w:hAnsi="Verdana"/>
          <w:color w:val="000000"/>
          <w:sz w:val="21"/>
          <w:szCs w:val="21"/>
        </w:rPr>
        <w:t xml:space="preserve">ETFs on the JSE during the course of this year. </w:t>
      </w:r>
    </w:p>
    <w:p w14:paraId="3B4E7544" w14:textId="4BF57C1B" w:rsidR="0051590D" w:rsidRDefault="0051590D" w:rsidP="00F65131">
      <w:pPr>
        <w:spacing w:after="0" w:line="360" w:lineRule="atLeast"/>
        <w:rPr>
          <w:rFonts w:ascii="Verdana" w:hAnsi="Verdana"/>
          <w:color w:val="000000"/>
          <w:sz w:val="21"/>
          <w:szCs w:val="21"/>
        </w:rPr>
      </w:pPr>
    </w:p>
    <w:p w14:paraId="23A6FFD0" w14:textId="38BAF91F" w:rsidR="0051590D" w:rsidRDefault="0051590D" w:rsidP="00F65131">
      <w:pPr>
        <w:spacing w:after="0" w:line="360" w:lineRule="atLeast"/>
        <w:rPr>
          <w:rFonts w:ascii="Verdana" w:hAnsi="Verdana"/>
          <w:color w:val="000000"/>
          <w:sz w:val="21"/>
          <w:szCs w:val="21"/>
        </w:rPr>
      </w:pPr>
      <w:r>
        <w:rPr>
          <w:rFonts w:ascii="Verdana" w:hAnsi="Verdana"/>
          <w:b/>
          <w:bCs/>
          <w:color w:val="000000"/>
          <w:sz w:val="21"/>
          <w:szCs w:val="21"/>
        </w:rPr>
        <w:t>1nvest</w:t>
      </w:r>
      <w:r w:rsidR="00F65131">
        <w:rPr>
          <w:rFonts w:ascii="Verdana" w:hAnsi="Verdana"/>
          <w:color w:val="000000"/>
          <w:sz w:val="21"/>
          <w:szCs w:val="21"/>
        </w:rPr>
        <w:t xml:space="preserve"> </w:t>
      </w:r>
      <w:r w:rsidR="006820C0">
        <w:rPr>
          <w:rFonts w:ascii="Verdana" w:hAnsi="Verdana"/>
          <w:color w:val="000000"/>
          <w:sz w:val="21"/>
          <w:szCs w:val="21"/>
        </w:rPr>
        <w:t>had a good first quarter, increasing AUM by over R2 billion.  The key factor was a flow of money into the 1</w:t>
      </w:r>
      <w:r w:rsidR="006F464E">
        <w:rPr>
          <w:rFonts w:ascii="Verdana" w:hAnsi="Verdana"/>
          <w:color w:val="000000"/>
          <w:sz w:val="21"/>
          <w:szCs w:val="21"/>
        </w:rPr>
        <w:t>n</w:t>
      </w:r>
      <w:r w:rsidR="006820C0">
        <w:rPr>
          <w:rFonts w:ascii="Verdana" w:hAnsi="Verdana"/>
          <w:color w:val="000000"/>
          <w:sz w:val="21"/>
          <w:szCs w:val="21"/>
        </w:rPr>
        <w:t xml:space="preserve">vest Gold ETF early in the year. </w:t>
      </w:r>
    </w:p>
    <w:p w14:paraId="5F555864" w14:textId="682CE88A" w:rsidR="006820C0" w:rsidRDefault="006820C0" w:rsidP="00F65131">
      <w:pPr>
        <w:spacing w:after="0" w:line="360" w:lineRule="atLeast"/>
        <w:rPr>
          <w:rFonts w:ascii="Verdana" w:hAnsi="Verdana"/>
          <w:color w:val="000000"/>
          <w:sz w:val="21"/>
          <w:szCs w:val="21"/>
        </w:rPr>
      </w:pPr>
    </w:p>
    <w:p w14:paraId="1DE1EBC6" w14:textId="46D88301" w:rsidR="006820C0" w:rsidRPr="0051590D" w:rsidRDefault="006820C0" w:rsidP="00F65131">
      <w:pPr>
        <w:spacing w:after="0" w:line="360" w:lineRule="atLeast"/>
        <w:rPr>
          <w:rFonts w:ascii="Verdana" w:hAnsi="Verdana"/>
          <w:color w:val="000000"/>
          <w:sz w:val="21"/>
          <w:szCs w:val="21"/>
        </w:rPr>
      </w:pPr>
      <w:r>
        <w:rPr>
          <w:rFonts w:ascii="Verdana" w:hAnsi="Verdana"/>
          <w:color w:val="000000"/>
          <w:sz w:val="21"/>
          <w:szCs w:val="21"/>
        </w:rPr>
        <w:t>1nvest, which is an amalgamation of the ETF business</w:t>
      </w:r>
      <w:r w:rsidR="006F464E">
        <w:rPr>
          <w:rFonts w:ascii="Verdana" w:hAnsi="Verdana"/>
          <w:color w:val="000000"/>
          <w:sz w:val="21"/>
          <w:szCs w:val="21"/>
        </w:rPr>
        <w:t>es</w:t>
      </w:r>
      <w:r>
        <w:rPr>
          <w:rFonts w:ascii="Verdana" w:hAnsi="Verdana"/>
          <w:color w:val="000000"/>
          <w:sz w:val="21"/>
          <w:szCs w:val="21"/>
        </w:rPr>
        <w:t xml:space="preserve"> of Standard Bank and Standard Liberty, has now established itself in a clear fourth place in the industry.  It has indicated that it has expansion plans for 2021 and th</w:t>
      </w:r>
      <w:r w:rsidR="006F464E">
        <w:rPr>
          <w:rFonts w:ascii="Verdana" w:hAnsi="Verdana"/>
          <w:color w:val="000000"/>
          <w:sz w:val="21"/>
          <w:szCs w:val="21"/>
        </w:rPr>
        <w:t>e</w:t>
      </w:r>
      <w:r>
        <w:rPr>
          <w:rFonts w:ascii="Verdana" w:hAnsi="Verdana"/>
          <w:color w:val="000000"/>
          <w:sz w:val="21"/>
          <w:szCs w:val="21"/>
        </w:rPr>
        <w:t>s</w:t>
      </w:r>
      <w:r w:rsidR="006F464E">
        <w:rPr>
          <w:rFonts w:ascii="Verdana" w:hAnsi="Verdana"/>
          <w:color w:val="000000"/>
          <w:sz w:val="21"/>
          <w:szCs w:val="21"/>
        </w:rPr>
        <w:t>e</w:t>
      </w:r>
      <w:r>
        <w:rPr>
          <w:rFonts w:ascii="Verdana" w:hAnsi="Verdana"/>
          <w:color w:val="000000"/>
          <w:sz w:val="21"/>
          <w:szCs w:val="21"/>
        </w:rPr>
        <w:t xml:space="preserve"> will be awaited with interest.  </w:t>
      </w:r>
    </w:p>
    <w:p w14:paraId="169A1F99" w14:textId="7B4F09A9" w:rsidR="006820C0" w:rsidRDefault="006820C0">
      <w:pPr>
        <w:rPr>
          <w:rFonts w:ascii="Verdana" w:hAnsi="Verdana"/>
          <w:color w:val="000000"/>
          <w:sz w:val="21"/>
          <w:szCs w:val="21"/>
        </w:rPr>
      </w:pPr>
      <w:r>
        <w:rPr>
          <w:rFonts w:ascii="Verdana" w:hAnsi="Verdana"/>
          <w:color w:val="000000"/>
          <w:sz w:val="21"/>
          <w:szCs w:val="21"/>
        </w:rPr>
        <w:br w:type="page"/>
      </w:r>
    </w:p>
    <w:p w14:paraId="2232966D" w14:textId="77777777" w:rsidR="00E674AE" w:rsidRDefault="00E674AE" w:rsidP="00F65131">
      <w:pPr>
        <w:spacing w:after="0" w:line="360" w:lineRule="atLeast"/>
        <w:rPr>
          <w:rFonts w:ascii="Verdana" w:hAnsi="Verdana"/>
          <w:color w:val="000000"/>
          <w:sz w:val="21"/>
          <w:szCs w:val="21"/>
        </w:rPr>
      </w:pPr>
    </w:p>
    <w:p w14:paraId="1306EAB2" w14:textId="3E38FDB6" w:rsidR="00F65131" w:rsidRDefault="00F65131" w:rsidP="00F65131">
      <w:pPr>
        <w:spacing w:after="0" w:line="360" w:lineRule="atLeast"/>
        <w:rPr>
          <w:rFonts w:ascii="Verdana" w:hAnsi="Verdana"/>
          <w:color w:val="000000"/>
          <w:sz w:val="21"/>
          <w:szCs w:val="21"/>
        </w:rPr>
      </w:pPr>
      <w:r>
        <w:rPr>
          <w:rFonts w:ascii="Verdana" w:hAnsi="Verdana"/>
          <w:b/>
          <w:bCs/>
          <w:color w:val="000000"/>
          <w:sz w:val="21"/>
          <w:szCs w:val="21"/>
        </w:rPr>
        <w:t>First National Bank</w:t>
      </w:r>
      <w:r>
        <w:rPr>
          <w:rFonts w:ascii="Verdana" w:hAnsi="Verdana"/>
          <w:color w:val="000000"/>
          <w:sz w:val="21"/>
          <w:szCs w:val="21"/>
        </w:rPr>
        <w:t xml:space="preserve"> </w:t>
      </w:r>
      <w:r w:rsidR="00636507">
        <w:rPr>
          <w:rFonts w:ascii="Verdana" w:hAnsi="Verdana"/>
          <w:color w:val="000000"/>
          <w:sz w:val="21"/>
          <w:szCs w:val="21"/>
        </w:rPr>
        <w:t>issued 36 new ETNs late in 202, tracking single stocks in the USA.  It provides these trackers in two forms, the quanto products that effective</w:t>
      </w:r>
      <w:r w:rsidR="006F464E">
        <w:rPr>
          <w:rFonts w:ascii="Verdana" w:hAnsi="Verdana"/>
          <w:color w:val="000000"/>
          <w:sz w:val="21"/>
          <w:szCs w:val="21"/>
        </w:rPr>
        <w:t>ly</w:t>
      </w:r>
      <w:r w:rsidR="00636507">
        <w:rPr>
          <w:rFonts w:ascii="Verdana" w:hAnsi="Verdana"/>
          <w:color w:val="000000"/>
          <w:sz w:val="21"/>
          <w:szCs w:val="21"/>
        </w:rPr>
        <w:t xml:space="preserve"> track the dollar price of the US share, and </w:t>
      </w:r>
      <w:r w:rsidR="006F464E">
        <w:rPr>
          <w:rFonts w:ascii="Verdana" w:hAnsi="Verdana"/>
          <w:color w:val="000000"/>
          <w:sz w:val="21"/>
          <w:szCs w:val="21"/>
        </w:rPr>
        <w:t>in</w:t>
      </w:r>
      <w:r w:rsidR="00636507">
        <w:rPr>
          <w:rFonts w:ascii="Verdana" w:hAnsi="Verdana"/>
          <w:color w:val="000000"/>
          <w:sz w:val="21"/>
          <w:szCs w:val="21"/>
        </w:rPr>
        <w:t xml:space="preserve"> compo form, which takes into account the rand exchange rate movements as well. </w:t>
      </w:r>
    </w:p>
    <w:p w14:paraId="024BD85A" w14:textId="32B7B01D" w:rsidR="00636507" w:rsidRDefault="00636507" w:rsidP="00F65131">
      <w:pPr>
        <w:spacing w:after="0" w:line="360" w:lineRule="atLeast"/>
        <w:rPr>
          <w:rFonts w:ascii="Verdana" w:hAnsi="Verdana"/>
          <w:color w:val="000000"/>
          <w:sz w:val="21"/>
          <w:szCs w:val="21"/>
        </w:rPr>
      </w:pPr>
    </w:p>
    <w:p w14:paraId="4BEC23F3" w14:textId="3077D9DF" w:rsidR="00636507" w:rsidRDefault="00636507" w:rsidP="00F65131">
      <w:pPr>
        <w:spacing w:after="0" w:line="360" w:lineRule="atLeast"/>
        <w:rPr>
          <w:rFonts w:ascii="Verdana" w:hAnsi="Verdana"/>
          <w:color w:val="000000"/>
          <w:sz w:val="21"/>
          <w:szCs w:val="21"/>
        </w:rPr>
      </w:pPr>
      <w:r>
        <w:rPr>
          <w:rFonts w:ascii="Verdana" w:hAnsi="Verdana"/>
          <w:color w:val="000000"/>
          <w:sz w:val="21"/>
          <w:szCs w:val="21"/>
        </w:rPr>
        <w:t xml:space="preserve">The South African market has been slow to realise that the quanto products offer exact tracking of the key US major stocks at very low cost and with </w:t>
      </w:r>
      <w:r w:rsidR="006F464E">
        <w:rPr>
          <w:rFonts w:ascii="Verdana" w:hAnsi="Verdana"/>
          <w:color w:val="000000"/>
          <w:sz w:val="21"/>
          <w:szCs w:val="21"/>
        </w:rPr>
        <w:t xml:space="preserve">instant </w:t>
      </w:r>
      <w:r>
        <w:rPr>
          <w:rFonts w:ascii="Verdana" w:hAnsi="Verdana"/>
          <w:color w:val="000000"/>
          <w:sz w:val="21"/>
          <w:szCs w:val="21"/>
        </w:rPr>
        <w:t>liquidity.  With many investors looking to participate directly in the US equity markets, the FNB s</w:t>
      </w:r>
      <w:r w:rsidR="006F464E">
        <w:rPr>
          <w:rFonts w:ascii="Verdana" w:hAnsi="Verdana"/>
          <w:color w:val="000000"/>
          <w:sz w:val="21"/>
          <w:szCs w:val="21"/>
        </w:rPr>
        <w:t>olu</w:t>
      </w:r>
      <w:r>
        <w:rPr>
          <w:rFonts w:ascii="Verdana" w:hAnsi="Verdana"/>
          <w:color w:val="000000"/>
          <w:sz w:val="21"/>
          <w:szCs w:val="21"/>
        </w:rPr>
        <w:t>tion is highly competitive</w:t>
      </w:r>
      <w:r w:rsidR="006F464E">
        <w:rPr>
          <w:rFonts w:ascii="Verdana" w:hAnsi="Verdana"/>
          <w:color w:val="000000"/>
          <w:sz w:val="21"/>
          <w:szCs w:val="21"/>
        </w:rPr>
        <w:t>.  I</w:t>
      </w:r>
      <w:r>
        <w:rPr>
          <w:rFonts w:ascii="Verdana" w:hAnsi="Verdana"/>
          <w:color w:val="000000"/>
          <w:sz w:val="21"/>
          <w:szCs w:val="21"/>
        </w:rPr>
        <w:t xml:space="preserve">t would appear </w:t>
      </w:r>
      <w:r w:rsidR="00581B69">
        <w:rPr>
          <w:rFonts w:ascii="Verdana" w:hAnsi="Verdana"/>
          <w:color w:val="000000"/>
          <w:sz w:val="21"/>
          <w:szCs w:val="21"/>
        </w:rPr>
        <w:t>that</w:t>
      </w:r>
      <w:r>
        <w:rPr>
          <w:rFonts w:ascii="Verdana" w:hAnsi="Verdana"/>
          <w:color w:val="000000"/>
          <w:sz w:val="21"/>
          <w:szCs w:val="21"/>
        </w:rPr>
        <w:t xml:space="preserve"> a relatively limited m</w:t>
      </w:r>
      <w:r w:rsidR="006F464E">
        <w:rPr>
          <w:rFonts w:ascii="Verdana" w:hAnsi="Verdana"/>
          <w:color w:val="000000"/>
          <w:sz w:val="21"/>
          <w:szCs w:val="21"/>
        </w:rPr>
        <w:t>arketing effort</w:t>
      </w:r>
      <w:r>
        <w:rPr>
          <w:rFonts w:ascii="Verdana" w:hAnsi="Verdana"/>
          <w:color w:val="000000"/>
          <w:sz w:val="21"/>
          <w:szCs w:val="21"/>
        </w:rPr>
        <w:t xml:space="preserve"> by FNB </w:t>
      </w:r>
      <w:r w:rsidR="006F464E">
        <w:rPr>
          <w:rFonts w:ascii="Verdana" w:hAnsi="Verdana"/>
          <w:color w:val="000000"/>
          <w:sz w:val="21"/>
          <w:szCs w:val="21"/>
        </w:rPr>
        <w:t xml:space="preserve">to date </w:t>
      </w:r>
      <w:r>
        <w:rPr>
          <w:rFonts w:ascii="Verdana" w:hAnsi="Verdana"/>
          <w:color w:val="000000"/>
          <w:sz w:val="21"/>
          <w:szCs w:val="21"/>
        </w:rPr>
        <w:t xml:space="preserve">has </w:t>
      </w:r>
      <w:r w:rsidR="00581B69">
        <w:rPr>
          <w:rFonts w:ascii="Verdana" w:hAnsi="Verdana"/>
          <w:color w:val="000000"/>
          <w:sz w:val="21"/>
          <w:szCs w:val="21"/>
        </w:rPr>
        <w:t xml:space="preserve">failed to </w:t>
      </w:r>
      <w:r w:rsidR="006F464E">
        <w:rPr>
          <w:rFonts w:ascii="Verdana" w:hAnsi="Verdana"/>
          <w:color w:val="000000"/>
          <w:sz w:val="21"/>
          <w:szCs w:val="21"/>
        </w:rPr>
        <w:t>promote</w:t>
      </w:r>
      <w:r>
        <w:rPr>
          <w:rFonts w:ascii="Verdana" w:hAnsi="Verdana"/>
          <w:color w:val="000000"/>
          <w:sz w:val="21"/>
          <w:szCs w:val="21"/>
        </w:rPr>
        <w:t xml:space="preserve"> far greater acceptance </w:t>
      </w:r>
      <w:r w:rsidR="006F464E">
        <w:rPr>
          <w:rFonts w:ascii="Verdana" w:hAnsi="Verdana"/>
          <w:color w:val="000000"/>
          <w:sz w:val="21"/>
          <w:szCs w:val="21"/>
        </w:rPr>
        <w:t xml:space="preserve">of these ETNs </w:t>
      </w:r>
      <w:r>
        <w:rPr>
          <w:rFonts w:ascii="Verdana" w:hAnsi="Verdana"/>
          <w:color w:val="000000"/>
          <w:sz w:val="21"/>
          <w:szCs w:val="21"/>
        </w:rPr>
        <w:t xml:space="preserve">by local retail investors. </w:t>
      </w: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272DD8BC">
                <wp:simplePos x="0" y="0"/>
                <wp:positionH relativeFrom="column">
                  <wp:posOffset>797560</wp:posOffset>
                </wp:positionH>
                <wp:positionV relativeFrom="paragraph">
                  <wp:posOffset>164465</wp:posOffset>
                </wp:positionV>
                <wp:extent cx="4616450" cy="444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4616450" cy="4445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FC800"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8pt,12.95pt" to="426.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" strokecolor="#c00000" strokeweight="1pt">
                <v:stroke joinstyle="miter"/>
              </v:line>
            </w:pict>
          </mc:Fallback>
        </mc:AlternateContent>
      </w:r>
    </w:p>
    <w:p w14:paraId="30AD915B" w14:textId="77777777" w:rsidR="0067082E" w:rsidRDefault="0067082E" w:rsidP="00FA51FA">
      <w:pPr>
        <w:spacing w:after="0" w:line="360" w:lineRule="atLeast"/>
        <w:rPr>
          <w:rFonts w:ascii="Verdana" w:hAnsi="Verdana"/>
          <w:color w:val="000000"/>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7869A2B4"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67082E">
        <w:rPr>
          <w:rFonts w:ascii="Verdana" w:hAnsi="Verdana"/>
          <w:sz w:val="21"/>
          <w:szCs w:val="21"/>
        </w:rPr>
        <w:t>March 2021</w:t>
      </w:r>
      <w:r>
        <w:rPr>
          <w:rFonts w:ascii="Verdana" w:hAnsi="Verdana"/>
          <w:sz w:val="21"/>
          <w:szCs w:val="21"/>
        </w:rPr>
        <w:t xml:space="preserve">.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6EEDA2AB"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8468F3">
        <w:rPr>
          <w:rFonts w:ascii="Verdana" w:hAnsi="Verdana"/>
          <w:sz w:val="21"/>
          <w:szCs w:val="21"/>
        </w:rPr>
        <w:t>1</w:t>
      </w:r>
      <w:r>
        <w:rPr>
          <w:rFonts w:ascii="Verdana" w:hAnsi="Verdana"/>
          <w:sz w:val="21"/>
          <w:szCs w:val="21"/>
        </w:rPr>
        <w:t xml:space="preserve"> </w:t>
      </w:r>
      <w:r w:rsidR="0067082E">
        <w:rPr>
          <w:rFonts w:ascii="Verdana" w:hAnsi="Verdana"/>
          <w:sz w:val="21"/>
          <w:szCs w:val="21"/>
        </w:rPr>
        <w:t>March</w:t>
      </w:r>
      <w:r>
        <w:rPr>
          <w:rFonts w:ascii="Verdana" w:hAnsi="Verdana"/>
          <w:sz w:val="21"/>
          <w:szCs w:val="21"/>
        </w:rPr>
        <w:t xml:space="preserve"> 202</w:t>
      </w:r>
      <w:r w:rsidR="0067082E">
        <w:rPr>
          <w:rFonts w:ascii="Verdana" w:hAnsi="Verdana"/>
          <w:sz w:val="21"/>
          <w:szCs w:val="21"/>
        </w:rPr>
        <w:t>1</w:t>
      </w:r>
      <w:r>
        <w:rPr>
          <w:rFonts w:ascii="Verdana" w:hAnsi="Verdana"/>
          <w:sz w:val="21"/>
          <w:szCs w:val="21"/>
        </w:rPr>
        <w:t xml:space="preserve">). </w:t>
      </w:r>
    </w:p>
    <w:p w14:paraId="23B6CBCE" w14:textId="77777777" w:rsidR="0067082E" w:rsidRDefault="0067082E" w:rsidP="00DB4A11">
      <w:pPr>
        <w:spacing w:after="0" w:line="320" w:lineRule="atLeast"/>
        <w:jc w:val="both"/>
        <w:rPr>
          <w:rFonts w:ascii="Verdana" w:hAnsi="Verdana"/>
          <w:sz w:val="21"/>
          <w:szCs w:val="21"/>
        </w:rPr>
      </w:pPr>
    </w:p>
    <w:p w14:paraId="5E252CA9" w14:textId="793E96DB" w:rsidR="0067082E" w:rsidRDefault="0067082E" w:rsidP="00DB4A11">
      <w:pPr>
        <w:spacing w:after="0" w:line="320" w:lineRule="atLeast"/>
        <w:jc w:val="both"/>
        <w:rPr>
          <w:rFonts w:ascii="Verdana" w:hAnsi="Verdana"/>
          <w:sz w:val="21"/>
          <w:szCs w:val="21"/>
        </w:rPr>
      </w:pPr>
    </w:p>
    <w:p w14:paraId="5572BBC4" w14:textId="44D79D51" w:rsidR="0067082E" w:rsidRDefault="0067082E" w:rsidP="00DB4A11">
      <w:pPr>
        <w:spacing w:after="0" w:line="320" w:lineRule="atLeast"/>
        <w:jc w:val="both"/>
        <w:rPr>
          <w:rFonts w:ascii="Verdana" w:hAnsi="Verdana"/>
          <w:sz w:val="21"/>
          <w:szCs w:val="21"/>
        </w:rPr>
      </w:pPr>
    </w:p>
    <w:p w14:paraId="1EBB0F1C" w14:textId="083E2B73" w:rsidR="0067082E" w:rsidRDefault="0067082E" w:rsidP="0067082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5415876F" wp14:editId="58F9910D">
            <wp:extent cx="5715000" cy="14287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15000" cy="1428750"/>
                    </a:xfrm>
                    <a:prstGeom prst="rect">
                      <a:avLst/>
                    </a:prstGeom>
                  </pic:spPr>
                </pic:pic>
              </a:graphicData>
            </a:graphic>
          </wp:inline>
        </w:drawing>
      </w:r>
    </w:p>
    <w:p w14:paraId="0E7588FF" w14:textId="0F084B78" w:rsidR="0067082E" w:rsidRDefault="0067082E" w:rsidP="00DB4A11">
      <w:pPr>
        <w:spacing w:after="0" w:line="320" w:lineRule="atLeast"/>
        <w:jc w:val="both"/>
        <w:rPr>
          <w:rFonts w:ascii="Verdana" w:hAnsi="Verdana"/>
          <w:sz w:val="21"/>
          <w:szCs w:val="21"/>
        </w:rPr>
      </w:pPr>
    </w:p>
    <w:p w14:paraId="10B3C081" w14:textId="77777777" w:rsidR="0067082E" w:rsidRDefault="0067082E"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A572A0">
      <w:footerReference w:type="default" r:id="rId12"/>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76B43" w14:textId="77777777" w:rsidR="002F19B0" w:rsidRDefault="002F19B0" w:rsidP="001860C2">
      <w:pPr>
        <w:spacing w:after="0" w:line="240" w:lineRule="auto"/>
      </w:pPr>
      <w:r>
        <w:separator/>
      </w:r>
    </w:p>
  </w:endnote>
  <w:endnote w:type="continuationSeparator" w:id="0">
    <w:p w14:paraId="02F2D7FE" w14:textId="77777777" w:rsidR="002F19B0" w:rsidRDefault="002F19B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63265" w14:textId="77777777" w:rsidR="002F19B0" w:rsidRDefault="002F19B0" w:rsidP="001860C2">
      <w:pPr>
        <w:spacing w:after="0" w:line="240" w:lineRule="auto"/>
      </w:pPr>
      <w:r>
        <w:separator/>
      </w:r>
    </w:p>
  </w:footnote>
  <w:footnote w:type="continuationSeparator" w:id="0">
    <w:p w14:paraId="444FB782" w14:textId="77777777" w:rsidR="002F19B0" w:rsidRDefault="002F19B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5923930"/>
    <w:multiLevelType w:val="hybridMultilevel"/>
    <w:tmpl w:val="2AA8FD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7"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5"/>
  </w:num>
  <w:num w:numId="5">
    <w:abstractNumId w:val="1"/>
  </w:num>
  <w:num w:numId="6">
    <w:abstractNumId w:val="13"/>
  </w:num>
  <w:num w:numId="7">
    <w:abstractNumId w:val="4"/>
  </w:num>
  <w:num w:numId="8">
    <w:abstractNumId w:val="6"/>
  </w:num>
  <w:num w:numId="9">
    <w:abstractNumId w:val="2"/>
  </w:num>
  <w:num w:numId="10">
    <w:abstractNumId w:val="7"/>
  </w:num>
  <w:num w:numId="11">
    <w:abstractNumId w:val="9"/>
  </w:num>
  <w:num w:numId="12">
    <w:abstractNumId w:val="11"/>
  </w:num>
  <w:num w:numId="13">
    <w:abstractNumId w:val="10"/>
  </w:num>
  <w:num w:numId="14">
    <w:abstractNumId w:val="16"/>
  </w:num>
  <w:num w:numId="15">
    <w:abstractNumId w:val="17"/>
  </w:num>
  <w:num w:numId="16">
    <w:abstractNumId w:val="14"/>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34E06"/>
    <w:rsid w:val="00042250"/>
    <w:rsid w:val="000435BE"/>
    <w:rsid w:val="00046AC3"/>
    <w:rsid w:val="0005247E"/>
    <w:rsid w:val="0005437D"/>
    <w:rsid w:val="00063719"/>
    <w:rsid w:val="00064D86"/>
    <w:rsid w:val="0006568F"/>
    <w:rsid w:val="00065FC4"/>
    <w:rsid w:val="00072FB5"/>
    <w:rsid w:val="000736A9"/>
    <w:rsid w:val="0007371D"/>
    <w:rsid w:val="00083E17"/>
    <w:rsid w:val="00086ECE"/>
    <w:rsid w:val="00093396"/>
    <w:rsid w:val="000A3329"/>
    <w:rsid w:val="000B189D"/>
    <w:rsid w:val="000C1ACB"/>
    <w:rsid w:val="000C2A04"/>
    <w:rsid w:val="000C74EB"/>
    <w:rsid w:val="000D0FF5"/>
    <w:rsid w:val="000D5C7D"/>
    <w:rsid w:val="000F1A9D"/>
    <w:rsid w:val="000F2E19"/>
    <w:rsid w:val="000F4D11"/>
    <w:rsid w:val="000F676D"/>
    <w:rsid w:val="001004CA"/>
    <w:rsid w:val="00100BC7"/>
    <w:rsid w:val="001011BA"/>
    <w:rsid w:val="00110027"/>
    <w:rsid w:val="001113DA"/>
    <w:rsid w:val="001113EA"/>
    <w:rsid w:val="00112914"/>
    <w:rsid w:val="001149F4"/>
    <w:rsid w:val="001161FE"/>
    <w:rsid w:val="001169ED"/>
    <w:rsid w:val="00121661"/>
    <w:rsid w:val="00122449"/>
    <w:rsid w:val="001255EF"/>
    <w:rsid w:val="0013147F"/>
    <w:rsid w:val="0013275D"/>
    <w:rsid w:val="00137500"/>
    <w:rsid w:val="00143C23"/>
    <w:rsid w:val="00147712"/>
    <w:rsid w:val="00161566"/>
    <w:rsid w:val="0016315C"/>
    <w:rsid w:val="0016524A"/>
    <w:rsid w:val="001723F2"/>
    <w:rsid w:val="00175BD4"/>
    <w:rsid w:val="0018165B"/>
    <w:rsid w:val="00185009"/>
    <w:rsid w:val="001860C2"/>
    <w:rsid w:val="0019419C"/>
    <w:rsid w:val="001951A8"/>
    <w:rsid w:val="001976A7"/>
    <w:rsid w:val="001A440E"/>
    <w:rsid w:val="001A631C"/>
    <w:rsid w:val="001A6952"/>
    <w:rsid w:val="001B0CAA"/>
    <w:rsid w:val="001C426E"/>
    <w:rsid w:val="001C48EF"/>
    <w:rsid w:val="001D296F"/>
    <w:rsid w:val="001D3AD8"/>
    <w:rsid w:val="001E36F8"/>
    <w:rsid w:val="001F12A9"/>
    <w:rsid w:val="001F6BD9"/>
    <w:rsid w:val="00211E65"/>
    <w:rsid w:val="00214624"/>
    <w:rsid w:val="00215EC5"/>
    <w:rsid w:val="00231639"/>
    <w:rsid w:val="00240106"/>
    <w:rsid w:val="0024764F"/>
    <w:rsid w:val="00251098"/>
    <w:rsid w:val="0025163D"/>
    <w:rsid w:val="002536F5"/>
    <w:rsid w:val="00257F69"/>
    <w:rsid w:val="00260037"/>
    <w:rsid w:val="002647AB"/>
    <w:rsid w:val="00267704"/>
    <w:rsid w:val="002678D7"/>
    <w:rsid w:val="00267A62"/>
    <w:rsid w:val="00270178"/>
    <w:rsid w:val="0027130E"/>
    <w:rsid w:val="00271472"/>
    <w:rsid w:val="00275FDA"/>
    <w:rsid w:val="002821C1"/>
    <w:rsid w:val="00283442"/>
    <w:rsid w:val="0028371C"/>
    <w:rsid w:val="0028580C"/>
    <w:rsid w:val="00287580"/>
    <w:rsid w:val="002944F7"/>
    <w:rsid w:val="002A024C"/>
    <w:rsid w:val="002A439C"/>
    <w:rsid w:val="002A4EC3"/>
    <w:rsid w:val="002A6914"/>
    <w:rsid w:val="002D4D18"/>
    <w:rsid w:val="002E30E8"/>
    <w:rsid w:val="002E4F01"/>
    <w:rsid w:val="002E55EA"/>
    <w:rsid w:val="002E6A24"/>
    <w:rsid w:val="002F16E9"/>
    <w:rsid w:val="002F19B0"/>
    <w:rsid w:val="002F4117"/>
    <w:rsid w:val="002F5364"/>
    <w:rsid w:val="00302AA8"/>
    <w:rsid w:val="00321934"/>
    <w:rsid w:val="00322BD7"/>
    <w:rsid w:val="003230DF"/>
    <w:rsid w:val="00325F2F"/>
    <w:rsid w:val="00330C63"/>
    <w:rsid w:val="00336154"/>
    <w:rsid w:val="00337675"/>
    <w:rsid w:val="00340ED3"/>
    <w:rsid w:val="00345103"/>
    <w:rsid w:val="003455BD"/>
    <w:rsid w:val="00356055"/>
    <w:rsid w:val="00371A95"/>
    <w:rsid w:val="00374625"/>
    <w:rsid w:val="003768E4"/>
    <w:rsid w:val="00380C83"/>
    <w:rsid w:val="00382ADA"/>
    <w:rsid w:val="003835A0"/>
    <w:rsid w:val="00383630"/>
    <w:rsid w:val="003935AB"/>
    <w:rsid w:val="00394359"/>
    <w:rsid w:val="003A0D8D"/>
    <w:rsid w:val="003A29FB"/>
    <w:rsid w:val="003A3D19"/>
    <w:rsid w:val="003A6075"/>
    <w:rsid w:val="003B10C9"/>
    <w:rsid w:val="003B4F95"/>
    <w:rsid w:val="003C278D"/>
    <w:rsid w:val="003C3187"/>
    <w:rsid w:val="003C34BA"/>
    <w:rsid w:val="003C36D7"/>
    <w:rsid w:val="003C4CE2"/>
    <w:rsid w:val="003C6031"/>
    <w:rsid w:val="003C700A"/>
    <w:rsid w:val="003D13C9"/>
    <w:rsid w:val="003D3AB6"/>
    <w:rsid w:val="003D5B90"/>
    <w:rsid w:val="003E41CF"/>
    <w:rsid w:val="003F5A00"/>
    <w:rsid w:val="003F5A9C"/>
    <w:rsid w:val="003F6A02"/>
    <w:rsid w:val="003F76E0"/>
    <w:rsid w:val="003F7712"/>
    <w:rsid w:val="004038EE"/>
    <w:rsid w:val="0040423E"/>
    <w:rsid w:val="00407678"/>
    <w:rsid w:val="00410B90"/>
    <w:rsid w:val="00417CC4"/>
    <w:rsid w:val="0042225F"/>
    <w:rsid w:val="00433C1B"/>
    <w:rsid w:val="00434DA5"/>
    <w:rsid w:val="00435E56"/>
    <w:rsid w:val="00441724"/>
    <w:rsid w:val="00443433"/>
    <w:rsid w:val="00451766"/>
    <w:rsid w:val="00451A86"/>
    <w:rsid w:val="004568F5"/>
    <w:rsid w:val="00486A17"/>
    <w:rsid w:val="0049405F"/>
    <w:rsid w:val="004A1759"/>
    <w:rsid w:val="004A53EA"/>
    <w:rsid w:val="004A7DA9"/>
    <w:rsid w:val="004B0713"/>
    <w:rsid w:val="004C1102"/>
    <w:rsid w:val="004C60DA"/>
    <w:rsid w:val="004D0295"/>
    <w:rsid w:val="004D1524"/>
    <w:rsid w:val="004D6498"/>
    <w:rsid w:val="004E2922"/>
    <w:rsid w:val="004E7608"/>
    <w:rsid w:val="004F0766"/>
    <w:rsid w:val="004F1DF6"/>
    <w:rsid w:val="004F47FC"/>
    <w:rsid w:val="0050685E"/>
    <w:rsid w:val="00511FB5"/>
    <w:rsid w:val="005135D4"/>
    <w:rsid w:val="005138C3"/>
    <w:rsid w:val="0051590D"/>
    <w:rsid w:val="005248F6"/>
    <w:rsid w:val="00527C9E"/>
    <w:rsid w:val="005355B2"/>
    <w:rsid w:val="00557D80"/>
    <w:rsid w:val="00561C75"/>
    <w:rsid w:val="005628FE"/>
    <w:rsid w:val="00573EA2"/>
    <w:rsid w:val="00574800"/>
    <w:rsid w:val="00575220"/>
    <w:rsid w:val="00581B69"/>
    <w:rsid w:val="00587E90"/>
    <w:rsid w:val="005923A8"/>
    <w:rsid w:val="005A16E0"/>
    <w:rsid w:val="005A21ED"/>
    <w:rsid w:val="005A77A2"/>
    <w:rsid w:val="005B0C73"/>
    <w:rsid w:val="005B450E"/>
    <w:rsid w:val="005B6048"/>
    <w:rsid w:val="005B62B4"/>
    <w:rsid w:val="005B7CFF"/>
    <w:rsid w:val="005C4D11"/>
    <w:rsid w:val="005C6EDE"/>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1D35"/>
    <w:rsid w:val="006124A0"/>
    <w:rsid w:val="0062560E"/>
    <w:rsid w:val="00634A9D"/>
    <w:rsid w:val="00636507"/>
    <w:rsid w:val="006427A5"/>
    <w:rsid w:val="00650F13"/>
    <w:rsid w:val="00653EAC"/>
    <w:rsid w:val="006557AA"/>
    <w:rsid w:val="00665208"/>
    <w:rsid w:val="00665C94"/>
    <w:rsid w:val="00667B94"/>
    <w:rsid w:val="0067082E"/>
    <w:rsid w:val="00670E82"/>
    <w:rsid w:val="006806B9"/>
    <w:rsid w:val="006820C0"/>
    <w:rsid w:val="00685233"/>
    <w:rsid w:val="00690162"/>
    <w:rsid w:val="006924BC"/>
    <w:rsid w:val="006A0C56"/>
    <w:rsid w:val="006A24D6"/>
    <w:rsid w:val="006A6635"/>
    <w:rsid w:val="006B620E"/>
    <w:rsid w:val="006C3432"/>
    <w:rsid w:val="006C780E"/>
    <w:rsid w:val="006D30DE"/>
    <w:rsid w:val="006D32E9"/>
    <w:rsid w:val="006D3930"/>
    <w:rsid w:val="006D3B08"/>
    <w:rsid w:val="006E70F6"/>
    <w:rsid w:val="006F464E"/>
    <w:rsid w:val="007017CF"/>
    <w:rsid w:val="007026CA"/>
    <w:rsid w:val="00702765"/>
    <w:rsid w:val="007028A0"/>
    <w:rsid w:val="00705212"/>
    <w:rsid w:val="007153E8"/>
    <w:rsid w:val="00715DF1"/>
    <w:rsid w:val="00727AC5"/>
    <w:rsid w:val="00737776"/>
    <w:rsid w:val="0074101D"/>
    <w:rsid w:val="00744360"/>
    <w:rsid w:val="0075135D"/>
    <w:rsid w:val="00752C5D"/>
    <w:rsid w:val="00754226"/>
    <w:rsid w:val="007549A4"/>
    <w:rsid w:val="0075574D"/>
    <w:rsid w:val="0075656E"/>
    <w:rsid w:val="007617B4"/>
    <w:rsid w:val="00761DC1"/>
    <w:rsid w:val="007640DF"/>
    <w:rsid w:val="00767654"/>
    <w:rsid w:val="00771D6F"/>
    <w:rsid w:val="00774D5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2E9B"/>
    <w:rsid w:val="007F4718"/>
    <w:rsid w:val="007F5E1E"/>
    <w:rsid w:val="0080262B"/>
    <w:rsid w:val="0080317E"/>
    <w:rsid w:val="008033A1"/>
    <w:rsid w:val="00805B57"/>
    <w:rsid w:val="00810312"/>
    <w:rsid w:val="0082551A"/>
    <w:rsid w:val="00826CE1"/>
    <w:rsid w:val="00831695"/>
    <w:rsid w:val="00834896"/>
    <w:rsid w:val="00837416"/>
    <w:rsid w:val="008468F3"/>
    <w:rsid w:val="00863949"/>
    <w:rsid w:val="008678CF"/>
    <w:rsid w:val="00870751"/>
    <w:rsid w:val="008723C3"/>
    <w:rsid w:val="00873A85"/>
    <w:rsid w:val="00874BC3"/>
    <w:rsid w:val="008767CE"/>
    <w:rsid w:val="008927A0"/>
    <w:rsid w:val="0089761A"/>
    <w:rsid w:val="008A4C09"/>
    <w:rsid w:val="008A7891"/>
    <w:rsid w:val="008B14A6"/>
    <w:rsid w:val="008B1AB4"/>
    <w:rsid w:val="008B4F73"/>
    <w:rsid w:val="008C19C4"/>
    <w:rsid w:val="008C2BE8"/>
    <w:rsid w:val="008C4FF1"/>
    <w:rsid w:val="008C75B2"/>
    <w:rsid w:val="008D5DE6"/>
    <w:rsid w:val="008E2FDF"/>
    <w:rsid w:val="008F5B96"/>
    <w:rsid w:val="00900106"/>
    <w:rsid w:val="00900795"/>
    <w:rsid w:val="00902C9D"/>
    <w:rsid w:val="0090715C"/>
    <w:rsid w:val="00912273"/>
    <w:rsid w:val="0091603A"/>
    <w:rsid w:val="00925D2A"/>
    <w:rsid w:val="0092766E"/>
    <w:rsid w:val="00932B35"/>
    <w:rsid w:val="00933922"/>
    <w:rsid w:val="00935C75"/>
    <w:rsid w:val="00964DB3"/>
    <w:rsid w:val="00967F07"/>
    <w:rsid w:val="00972CCD"/>
    <w:rsid w:val="009732C5"/>
    <w:rsid w:val="00975BA8"/>
    <w:rsid w:val="00975CA7"/>
    <w:rsid w:val="00976701"/>
    <w:rsid w:val="00976971"/>
    <w:rsid w:val="00977364"/>
    <w:rsid w:val="00980BD8"/>
    <w:rsid w:val="00990E6C"/>
    <w:rsid w:val="009A0517"/>
    <w:rsid w:val="009A4055"/>
    <w:rsid w:val="009C3FDD"/>
    <w:rsid w:val="009D06A1"/>
    <w:rsid w:val="009D1D25"/>
    <w:rsid w:val="009D2502"/>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67E1"/>
    <w:rsid w:val="00A24DE7"/>
    <w:rsid w:val="00A25A8D"/>
    <w:rsid w:val="00A30C9E"/>
    <w:rsid w:val="00A3197A"/>
    <w:rsid w:val="00A32F36"/>
    <w:rsid w:val="00A34964"/>
    <w:rsid w:val="00A37F02"/>
    <w:rsid w:val="00A547A7"/>
    <w:rsid w:val="00A572A0"/>
    <w:rsid w:val="00A6703F"/>
    <w:rsid w:val="00A836BC"/>
    <w:rsid w:val="00A8447A"/>
    <w:rsid w:val="00A85AC4"/>
    <w:rsid w:val="00A904A9"/>
    <w:rsid w:val="00A933CB"/>
    <w:rsid w:val="00A94957"/>
    <w:rsid w:val="00A95B1E"/>
    <w:rsid w:val="00A96CC9"/>
    <w:rsid w:val="00A97831"/>
    <w:rsid w:val="00AA2591"/>
    <w:rsid w:val="00AA3690"/>
    <w:rsid w:val="00AB1469"/>
    <w:rsid w:val="00AB5637"/>
    <w:rsid w:val="00AB659F"/>
    <w:rsid w:val="00AB779B"/>
    <w:rsid w:val="00AC2829"/>
    <w:rsid w:val="00AC2C23"/>
    <w:rsid w:val="00AC4855"/>
    <w:rsid w:val="00AC54A6"/>
    <w:rsid w:val="00AC5A30"/>
    <w:rsid w:val="00AC5FC2"/>
    <w:rsid w:val="00AC615B"/>
    <w:rsid w:val="00AD0CE4"/>
    <w:rsid w:val="00AE12F4"/>
    <w:rsid w:val="00AE2E69"/>
    <w:rsid w:val="00AE3A0B"/>
    <w:rsid w:val="00AE6B7A"/>
    <w:rsid w:val="00AE720D"/>
    <w:rsid w:val="00AF734A"/>
    <w:rsid w:val="00AF7BAB"/>
    <w:rsid w:val="00B010F5"/>
    <w:rsid w:val="00B04A5D"/>
    <w:rsid w:val="00B0556F"/>
    <w:rsid w:val="00B064A2"/>
    <w:rsid w:val="00B06DBF"/>
    <w:rsid w:val="00B11DFE"/>
    <w:rsid w:val="00B15601"/>
    <w:rsid w:val="00B17F8F"/>
    <w:rsid w:val="00B228FA"/>
    <w:rsid w:val="00B238F4"/>
    <w:rsid w:val="00B352AB"/>
    <w:rsid w:val="00B373FE"/>
    <w:rsid w:val="00B43C70"/>
    <w:rsid w:val="00B46D9E"/>
    <w:rsid w:val="00B5062D"/>
    <w:rsid w:val="00B53321"/>
    <w:rsid w:val="00B5384D"/>
    <w:rsid w:val="00B539B4"/>
    <w:rsid w:val="00B544F8"/>
    <w:rsid w:val="00B600A0"/>
    <w:rsid w:val="00B6448D"/>
    <w:rsid w:val="00B65933"/>
    <w:rsid w:val="00B7090D"/>
    <w:rsid w:val="00B7153C"/>
    <w:rsid w:val="00B76B5D"/>
    <w:rsid w:val="00B80A20"/>
    <w:rsid w:val="00B80B89"/>
    <w:rsid w:val="00B81DF4"/>
    <w:rsid w:val="00B822A3"/>
    <w:rsid w:val="00B82C05"/>
    <w:rsid w:val="00B84B3B"/>
    <w:rsid w:val="00BA3DC2"/>
    <w:rsid w:val="00BA7F27"/>
    <w:rsid w:val="00BB3618"/>
    <w:rsid w:val="00BB61E9"/>
    <w:rsid w:val="00BC4EB7"/>
    <w:rsid w:val="00BC6FBB"/>
    <w:rsid w:val="00BD2909"/>
    <w:rsid w:val="00BD35C4"/>
    <w:rsid w:val="00BD4AED"/>
    <w:rsid w:val="00BD73DC"/>
    <w:rsid w:val="00BE106B"/>
    <w:rsid w:val="00BE1AB8"/>
    <w:rsid w:val="00BE387A"/>
    <w:rsid w:val="00BE58F6"/>
    <w:rsid w:val="00BF214D"/>
    <w:rsid w:val="00C11C7B"/>
    <w:rsid w:val="00C16778"/>
    <w:rsid w:val="00C2040D"/>
    <w:rsid w:val="00C262C9"/>
    <w:rsid w:val="00C361AA"/>
    <w:rsid w:val="00C36612"/>
    <w:rsid w:val="00C36D78"/>
    <w:rsid w:val="00C43586"/>
    <w:rsid w:val="00C6212D"/>
    <w:rsid w:val="00C648B8"/>
    <w:rsid w:val="00C67C90"/>
    <w:rsid w:val="00C70110"/>
    <w:rsid w:val="00C74DB9"/>
    <w:rsid w:val="00C848CE"/>
    <w:rsid w:val="00C9155D"/>
    <w:rsid w:val="00C96C19"/>
    <w:rsid w:val="00C9721C"/>
    <w:rsid w:val="00C97248"/>
    <w:rsid w:val="00CA0977"/>
    <w:rsid w:val="00CA5F6B"/>
    <w:rsid w:val="00CB421E"/>
    <w:rsid w:val="00CC34CF"/>
    <w:rsid w:val="00CC53BB"/>
    <w:rsid w:val="00CD0246"/>
    <w:rsid w:val="00CD37BB"/>
    <w:rsid w:val="00CD5761"/>
    <w:rsid w:val="00CE0B76"/>
    <w:rsid w:val="00CE2B2F"/>
    <w:rsid w:val="00CE3BAE"/>
    <w:rsid w:val="00CE3CC2"/>
    <w:rsid w:val="00CF7569"/>
    <w:rsid w:val="00CF781A"/>
    <w:rsid w:val="00D01489"/>
    <w:rsid w:val="00D019A9"/>
    <w:rsid w:val="00D02BBA"/>
    <w:rsid w:val="00D040F4"/>
    <w:rsid w:val="00D10188"/>
    <w:rsid w:val="00D11DEF"/>
    <w:rsid w:val="00D121D5"/>
    <w:rsid w:val="00D17A57"/>
    <w:rsid w:val="00D20525"/>
    <w:rsid w:val="00D22956"/>
    <w:rsid w:val="00D250C6"/>
    <w:rsid w:val="00D2618D"/>
    <w:rsid w:val="00D271F3"/>
    <w:rsid w:val="00D27571"/>
    <w:rsid w:val="00D307D7"/>
    <w:rsid w:val="00D3426D"/>
    <w:rsid w:val="00D36A69"/>
    <w:rsid w:val="00D43D4C"/>
    <w:rsid w:val="00D5059A"/>
    <w:rsid w:val="00D5118F"/>
    <w:rsid w:val="00D515DF"/>
    <w:rsid w:val="00D52692"/>
    <w:rsid w:val="00D529C5"/>
    <w:rsid w:val="00D52C3B"/>
    <w:rsid w:val="00D53225"/>
    <w:rsid w:val="00D65796"/>
    <w:rsid w:val="00D65EA8"/>
    <w:rsid w:val="00D72BC0"/>
    <w:rsid w:val="00D75B21"/>
    <w:rsid w:val="00D826DB"/>
    <w:rsid w:val="00D9077C"/>
    <w:rsid w:val="00D92FEA"/>
    <w:rsid w:val="00D958E2"/>
    <w:rsid w:val="00DB1C85"/>
    <w:rsid w:val="00DB291B"/>
    <w:rsid w:val="00DB4A11"/>
    <w:rsid w:val="00DB6E1D"/>
    <w:rsid w:val="00DB6EB9"/>
    <w:rsid w:val="00DB71F9"/>
    <w:rsid w:val="00DC1373"/>
    <w:rsid w:val="00DD461D"/>
    <w:rsid w:val="00DD75B5"/>
    <w:rsid w:val="00DE5C90"/>
    <w:rsid w:val="00DF6902"/>
    <w:rsid w:val="00DF7E2F"/>
    <w:rsid w:val="00E01C02"/>
    <w:rsid w:val="00E06C77"/>
    <w:rsid w:val="00E07C73"/>
    <w:rsid w:val="00E132EA"/>
    <w:rsid w:val="00E21946"/>
    <w:rsid w:val="00E23E04"/>
    <w:rsid w:val="00E24F85"/>
    <w:rsid w:val="00E30126"/>
    <w:rsid w:val="00E3031D"/>
    <w:rsid w:val="00E34CCA"/>
    <w:rsid w:val="00E35FA2"/>
    <w:rsid w:val="00E54244"/>
    <w:rsid w:val="00E61D18"/>
    <w:rsid w:val="00E63CE0"/>
    <w:rsid w:val="00E674AE"/>
    <w:rsid w:val="00E67F46"/>
    <w:rsid w:val="00E71803"/>
    <w:rsid w:val="00E72DBE"/>
    <w:rsid w:val="00E742FD"/>
    <w:rsid w:val="00E761AB"/>
    <w:rsid w:val="00E7626C"/>
    <w:rsid w:val="00E8446A"/>
    <w:rsid w:val="00E913B6"/>
    <w:rsid w:val="00E93A18"/>
    <w:rsid w:val="00E973F2"/>
    <w:rsid w:val="00EA0580"/>
    <w:rsid w:val="00EB416B"/>
    <w:rsid w:val="00EC0455"/>
    <w:rsid w:val="00EC06B5"/>
    <w:rsid w:val="00ED17B2"/>
    <w:rsid w:val="00ED1C62"/>
    <w:rsid w:val="00EE0926"/>
    <w:rsid w:val="00EE7BDC"/>
    <w:rsid w:val="00EF38EC"/>
    <w:rsid w:val="00EF6A3A"/>
    <w:rsid w:val="00F00380"/>
    <w:rsid w:val="00F019F8"/>
    <w:rsid w:val="00F06EC5"/>
    <w:rsid w:val="00F13A0B"/>
    <w:rsid w:val="00F14ACA"/>
    <w:rsid w:val="00F246CA"/>
    <w:rsid w:val="00F27D65"/>
    <w:rsid w:val="00F32170"/>
    <w:rsid w:val="00F3655E"/>
    <w:rsid w:val="00F40D88"/>
    <w:rsid w:val="00F411F7"/>
    <w:rsid w:val="00F41953"/>
    <w:rsid w:val="00F44D41"/>
    <w:rsid w:val="00F44F89"/>
    <w:rsid w:val="00F52F55"/>
    <w:rsid w:val="00F565F3"/>
    <w:rsid w:val="00F56643"/>
    <w:rsid w:val="00F6273E"/>
    <w:rsid w:val="00F65131"/>
    <w:rsid w:val="00F70495"/>
    <w:rsid w:val="00F7786F"/>
    <w:rsid w:val="00F822BF"/>
    <w:rsid w:val="00F83240"/>
    <w:rsid w:val="00F90B5E"/>
    <w:rsid w:val="00F9104A"/>
    <w:rsid w:val="00F91371"/>
    <w:rsid w:val="00F94FB2"/>
    <w:rsid w:val="00FA0979"/>
    <w:rsid w:val="00FA0A82"/>
    <w:rsid w:val="00FA2E82"/>
    <w:rsid w:val="00FA4675"/>
    <w:rsid w:val="00FA51FA"/>
    <w:rsid w:val="00FA5C9F"/>
    <w:rsid w:val="00FB21A9"/>
    <w:rsid w:val="00FB4766"/>
    <w:rsid w:val="00FC15C7"/>
    <w:rsid w:val="00FC62D1"/>
    <w:rsid w:val="00FC7345"/>
    <w:rsid w:val="00FD20B5"/>
    <w:rsid w:val="00FD49C7"/>
    <w:rsid w:val="00FD7DBB"/>
    <w:rsid w:val="00FE0A9D"/>
    <w:rsid w:val="00FE2ED4"/>
    <w:rsid w:val="00FE4355"/>
    <w:rsid w:val="00FE4A84"/>
    <w:rsid w:val="00FE5ACF"/>
    <w:rsid w:val="00FE6BE9"/>
    <w:rsid w:val="00FE752C"/>
    <w:rsid w:val="00FE771E"/>
    <w:rsid w:val="00FF004F"/>
    <w:rsid w:val="00FF19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1\market%20cap%202008%20to%20Mar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55-4FD2-84A1-7305884B8E27}"/>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55-4FD2-84A1-7305884B8E27}"/>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55-4FD2-84A1-7305884B8E27}"/>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55-4FD2-84A1-7305884B8E2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 Mar</c:v>
                </c:pt>
              </c:strCache>
            </c:strRef>
          </c:cat>
          <c:val>
            <c:numRef>
              <c:f>Sheet1!$B$2:$B$15</c:f>
              <c:numCache>
                <c:formatCode>General</c:formatCode>
                <c:ptCount val="14"/>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119660</c:v>
                </c:pt>
              </c:numCache>
            </c:numRef>
          </c:val>
          <c:extLst>
            <c:ext xmlns:c16="http://schemas.microsoft.com/office/drawing/2014/chart" uri="{C3380CC4-5D6E-409C-BE32-E72D297353CC}">
              <c16:uniqueId val="{00000004-8455-4FD2-84A1-7305884B8E27}"/>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0.48289</cdr:x>
      <cdr:y>0.84979</cdr:y>
    </cdr:from>
    <cdr:to>
      <cdr:x>0.66233</cdr:x>
      <cdr:y>0.93403</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1974744" y="2159000"/>
          <a:ext cx="733802" cy="21404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0.91727</cdr:y>
    </cdr:from>
    <cdr:to>
      <cdr:x>0.47516</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91724" y="2330450"/>
          <a:ext cx="1851375" cy="21018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(Mar 2021)</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11</cp:revision>
  <cp:lastPrinted>2021-04-15T13:35:00Z</cp:lastPrinted>
  <dcterms:created xsi:type="dcterms:W3CDTF">2021-04-15T07:40:00Z</dcterms:created>
  <dcterms:modified xsi:type="dcterms:W3CDTF">2021-04-15T13:35:00Z</dcterms:modified>
</cp:coreProperties>
</file>