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79BAC" w14:textId="3D2A24CF" w:rsidR="00782C2F" w:rsidRDefault="009A59A7" w:rsidP="00782C2F">
      <w:pPr>
        <w:pStyle w:val="PrescientLevel1Heading"/>
        <w:rPr>
          <w:rFonts w:asciiTheme="minorHAnsi" w:hAnsiTheme="minorHAnsi" w:cstheme="minorHAnsi"/>
          <w:b/>
          <w:bCs w:val="0"/>
          <w:color w:val="auto"/>
          <w:sz w:val="24"/>
          <w:szCs w:val="24"/>
          <w:lang w:val="en-US"/>
        </w:rPr>
      </w:pPr>
      <w:bookmarkStart w:id="0" w:name="OLE_LINK1"/>
      <w:bookmarkStart w:id="1" w:name="OLE_LINK2"/>
      <w:r>
        <w:rPr>
          <w:rFonts w:asciiTheme="minorHAnsi" w:hAnsiTheme="minorHAnsi" w:cstheme="minorHAnsi"/>
          <w:b/>
          <w:bCs w:val="0"/>
          <w:color w:val="auto"/>
          <w:sz w:val="24"/>
          <w:szCs w:val="24"/>
          <w:lang w:val="en-US"/>
        </w:rPr>
        <w:t>TAKING STOCK OF THE COVID-19 PANDEMIC THROUGH A SUSTAINABILITY LENS</w:t>
      </w:r>
    </w:p>
    <w:p w14:paraId="00E832C4" w14:textId="50B59259" w:rsidR="0025050B" w:rsidRDefault="0025050B" w:rsidP="0025050B">
      <w:pPr>
        <w:autoSpaceDE w:val="0"/>
        <w:autoSpaceDN w:val="0"/>
        <w:adjustRightInd w:val="0"/>
        <w:rPr>
          <w:rFonts w:eastAsia="Times New Roman" w:cstheme="minorHAnsi"/>
          <w:i/>
          <w:iCs/>
          <w:color w:val="808080" w:themeColor="background1" w:themeShade="80"/>
          <w:sz w:val="18"/>
          <w:szCs w:val="18"/>
          <w:lang w:eastAsia="en-GB"/>
        </w:rPr>
      </w:pPr>
      <w:bookmarkStart w:id="2" w:name="_Hlk53387853"/>
      <w:r w:rsidRPr="0025050B">
        <w:rPr>
          <w:rFonts w:eastAsia="Times New Roman" w:cstheme="minorHAnsi"/>
          <w:i/>
          <w:iCs/>
          <w:color w:val="808080" w:themeColor="background1" w:themeShade="80"/>
          <w:sz w:val="18"/>
          <w:szCs w:val="18"/>
          <w:lang w:eastAsia="en-GB"/>
        </w:rPr>
        <w:t>By</w:t>
      </w:r>
      <w:r w:rsidR="008B6797">
        <w:rPr>
          <w:rFonts w:eastAsia="Times New Roman" w:cstheme="minorHAnsi"/>
          <w:i/>
          <w:iCs/>
          <w:color w:val="808080" w:themeColor="background1" w:themeShade="80"/>
          <w:sz w:val="18"/>
          <w:szCs w:val="18"/>
          <w:lang w:eastAsia="en-GB"/>
        </w:rPr>
        <w:t xml:space="preserve"> </w:t>
      </w:r>
      <w:r w:rsidR="009A59A7">
        <w:rPr>
          <w:rFonts w:eastAsia="Times New Roman" w:cstheme="minorHAnsi"/>
          <w:i/>
          <w:iCs/>
          <w:color w:val="808080" w:themeColor="background1" w:themeShade="80"/>
          <w:sz w:val="18"/>
          <w:szCs w:val="18"/>
          <w:lang w:eastAsia="en-GB"/>
        </w:rPr>
        <w:t xml:space="preserve">Jessica </w:t>
      </w:r>
      <w:proofErr w:type="spellStart"/>
      <w:r w:rsidR="009A59A7">
        <w:rPr>
          <w:rFonts w:eastAsia="Times New Roman" w:cstheme="minorHAnsi"/>
          <w:i/>
          <w:iCs/>
          <w:color w:val="808080" w:themeColor="background1" w:themeShade="80"/>
          <w:sz w:val="18"/>
          <w:szCs w:val="18"/>
          <w:lang w:eastAsia="en-GB"/>
        </w:rPr>
        <w:t>Phalafala</w:t>
      </w:r>
      <w:proofErr w:type="spellEnd"/>
      <w:r w:rsidRPr="0025050B">
        <w:rPr>
          <w:rFonts w:eastAsia="Times New Roman" w:cstheme="minorHAnsi"/>
          <w:i/>
          <w:iCs/>
          <w:color w:val="808080" w:themeColor="background1" w:themeShade="80"/>
          <w:sz w:val="18"/>
          <w:szCs w:val="18"/>
          <w:lang w:eastAsia="en-GB"/>
        </w:rPr>
        <w:t xml:space="preserve">, </w:t>
      </w:r>
      <w:r w:rsidR="009A59A7">
        <w:rPr>
          <w:rFonts w:eastAsia="Times New Roman" w:cstheme="minorHAnsi"/>
          <w:i/>
          <w:iCs/>
          <w:color w:val="808080" w:themeColor="background1" w:themeShade="80"/>
          <w:sz w:val="18"/>
          <w:szCs w:val="18"/>
          <w:lang w:eastAsia="en-GB"/>
        </w:rPr>
        <w:t xml:space="preserve">Fixed Income </w:t>
      </w:r>
      <w:r w:rsidR="00587CDA">
        <w:rPr>
          <w:rFonts w:eastAsia="Times New Roman" w:cstheme="minorHAnsi"/>
          <w:i/>
          <w:iCs/>
          <w:color w:val="808080" w:themeColor="background1" w:themeShade="80"/>
          <w:sz w:val="18"/>
          <w:szCs w:val="18"/>
          <w:lang w:eastAsia="en-GB"/>
        </w:rPr>
        <w:t>Quantitative Analyst</w:t>
      </w:r>
      <w:r w:rsidRPr="0025050B">
        <w:rPr>
          <w:rFonts w:eastAsia="Times New Roman" w:cstheme="minorHAnsi"/>
          <w:i/>
          <w:iCs/>
          <w:color w:val="808080" w:themeColor="background1" w:themeShade="80"/>
          <w:sz w:val="18"/>
          <w:szCs w:val="18"/>
          <w:lang w:eastAsia="en-GB"/>
        </w:rPr>
        <w:t xml:space="preserve"> at Prescient Investment Management</w:t>
      </w:r>
    </w:p>
    <w:p w14:paraId="1480DD3A" w14:textId="77777777" w:rsidR="0025050B" w:rsidRPr="0025050B" w:rsidRDefault="0025050B" w:rsidP="0025050B">
      <w:pPr>
        <w:autoSpaceDE w:val="0"/>
        <w:autoSpaceDN w:val="0"/>
        <w:adjustRightInd w:val="0"/>
        <w:rPr>
          <w:rFonts w:eastAsia="Times New Roman" w:cstheme="minorHAnsi"/>
          <w:i/>
          <w:iCs/>
          <w:color w:val="808080" w:themeColor="background1" w:themeShade="80"/>
          <w:sz w:val="18"/>
          <w:szCs w:val="18"/>
          <w:lang w:eastAsia="en-GB"/>
        </w:rPr>
      </w:pPr>
    </w:p>
    <w:bookmarkEnd w:id="2"/>
    <w:p w14:paraId="0AA12252" w14:textId="09FE9DBB" w:rsidR="00F40B0F" w:rsidRDefault="00F40B0F" w:rsidP="00F40B0F">
      <w:r w:rsidRPr="00782C2F">
        <w:rPr>
          <w:rFonts w:cstheme="minorHAnsi"/>
          <w:b/>
          <w:bCs/>
          <w:noProof/>
          <w:sz w:val="18"/>
          <w:szCs w:val="18"/>
        </w:rPr>
        <mc:AlternateContent>
          <mc:Choice Requires="wps">
            <w:drawing>
              <wp:anchor distT="45720" distB="45720" distL="114300" distR="114300" simplePos="0" relativeHeight="251662336" behindDoc="0" locked="0" layoutInCell="1" allowOverlap="1" wp14:anchorId="740B1EA8" wp14:editId="7CAA3C55">
                <wp:simplePos x="0" y="0"/>
                <wp:positionH relativeFrom="column">
                  <wp:posOffset>3810</wp:posOffset>
                </wp:positionH>
                <wp:positionV relativeFrom="paragraph">
                  <wp:posOffset>125117</wp:posOffset>
                </wp:positionV>
                <wp:extent cx="2057400" cy="298069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80690"/>
                        </a:xfrm>
                        <a:prstGeom prst="rect">
                          <a:avLst/>
                        </a:prstGeom>
                        <a:solidFill>
                          <a:srgbClr val="FFFFFF"/>
                        </a:solidFill>
                        <a:ln w="3175">
                          <a:solidFill>
                            <a:schemeClr val="bg1">
                              <a:lumMod val="85000"/>
                            </a:schemeClr>
                          </a:solidFill>
                          <a:miter lim="800000"/>
                          <a:headEnd/>
                          <a:tailEnd/>
                        </a:ln>
                      </wps:spPr>
                      <wps:txbx>
                        <w:txbxContent>
                          <w:p w14:paraId="6A996632" w14:textId="77777777" w:rsidR="00782C2F" w:rsidRPr="00657F29" w:rsidRDefault="00782C2F" w:rsidP="00782C2F">
                            <w:pPr>
                              <w:spacing w:after="160" w:line="360" w:lineRule="auto"/>
                              <w:jc w:val="center"/>
                              <w:rPr>
                                <w:rFonts w:cstheme="minorHAnsi"/>
                                <w:color w:val="000000"/>
                                <w:sz w:val="22"/>
                              </w:rPr>
                            </w:pPr>
                            <w:r>
                              <w:rPr>
                                <w:noProof/>
                              </w:rPr>
                              <w:drawing>
                                <wp:inline distT="0" distB="0" distL="0" distR="0" wp14:anchorId="096FEB10" wp14:editId="2DA3856B">
                                  <wp:extent cx="1592315" cy="20764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8">
                                            <a:extLst>
                                              <a:ext uri="{28A0092B-C50C-407E-A947-70E740481C1C}">
                                                <a14:useLocalDpi xmlns:a14="http://schemas.microsoft.com/office/drawing/2010/main" val="0"/>
                                              </a:ext>
                                            </a:extLst>
                                          </a:blip>
                                          <a:srcRect l="10799" r="36645"/>
                                          <a:stretch/>
                                        </pic:blipFill>
                                        <pic:spPr bwMode="auto">
                                          <a:xfrm>
                                            <a:off x="0" y="0"/>
                                            <a:ext cx="1604729" cy="2092638"/>
                                          </a:xfrm>
                                          <a:prstGeom prst="rect">
                                            <a:avLst/>
                                          </a:prstGeom>
                                          <a:noFill/>
                                          <a:ln>
                                            <a:noFill/>
                                          </a:ln>
                                          <a:extLst>
                                            <a:ext uri="{53640926-AAD7-44D8-BBD7-CCE9431645EC}">
                                              <a14:shadowObscured xmlns:a14="http://schemas.microsoft.com/office/drawing/2010/main"/>
                                            </a:ext>
                                          </a:extLst>
                                        </pic:spPr>
                                      </pic:pic>
                                    </a:graphicData>
                                  </a:graphic>
                                </wp:inline>
                              </w:drawing>
                            </w:r>
                          </w:p>
                          <w:p w14:paraId="19F28CF8" w14:textId="2555F076" w:rsidR="00782C2F" w:rsidRPr="00616AC1" w:rsidRDefault="009A59A7" w:rsidP="00782C2F">
                            <w:pPr>
                              <w:pStyle w:val="PrescientLevel2Heading"/>
                              <w:spacing w:after="0"/>
                              <w:jc w:val="center"/>
                              <w:rPr>
                                <w:rFonts w:asciiTheme="minorHAnsi" w:hAnsiTheme="minorHAnsi" w:cstheme="minorHAnsi"/>
                                <w:b/>
                                <w:bCs w:val="0"/>
                                <w:color w:val="0D0D0D" w:themeColor="text1" w:themeTint="F2"/>
                                <w:sz w:val="20"/>
                                <w:szCs w:val="22"/>
                              </w:rPr>
                            </w:pPr>
                            <w:r>
                              <w:rPr>
                                <w:rFonts w:asciiTheme="minorHAnsi" w:hAnsiTheme="minorHAnsi" w:cstheme="minorHAnsi"/>
                                <w:b/>
                                <w:bCs w:val="0"/>
                                <w:sz w:val="20"/>
                                <w:szCs w:val="20"/>
                              </w:rPr>
                              <w:t xml:space="preserve">Jessica </w:t>
                            </w:r>
                            <w:proofErr w:type="spellStart"/>
                            <w:r>
                              <w:rPr>
                                <w:rFonts w:asciiTheme="minorHAnsi" w:hAnsiTheme="minorHAnsi" w:cstheme="minorHAnsi"/>
                                <w:b/>
                                <w:bCs w:val="0"/>
                                <w:sz w:val="20"/>
                                <w:szCs w:val="20"/>
                              </w:rPr>
                              <w:t>Phalafala</w:t>
                            </w:r>
                            <w:proofErr w:type="spellEnd"/>
                          </w:p>
                          <w:p w14:paraId="0916C2CA" w14:textId="77777777" w:rsidR="00782C2F" w:rsidRPr="00C66168" w:rsidRDefault="00782C2F" w:rsidP="00782C2F">
                            <w:pPr>
                              <w:pStyle w:val="PrescientLevel2Heading"/>
                              <w:spacing w:after="0"/>
                              <w:jc w:val="center"/>
                              <w:rPr>
                                <w:rFonts w:asciiTheme="minorHAnsi" w:hAnsiTheme="minorHAnsi" w:cstheme="minorHAnsi"/>
                                <w:b/>
                                <w:bCs w:val="0"/>
                                <w:sz w:val="8"/>
                                <w:szCs w:val="8"/>
                              </w:rPr>
                            </w:pPr>
                          </w:p>
                          <w:p w14:paraId="493B77CE" w14:textId="554F6B05" w:rsidR="00782C2F" w:rsidRPr="00616AC1" w:rsidRDefault="009A59A7" w:rsidP="00782C2F">
                            <w:pPr>
                              <w:jc w:val="center"/>
                              <w:rPr>
                                <w:color w:val="404040" w:themeColor="text1" w:themeTint="BF"/>
                                <w:sz w:val="18"/>
                                <w:szCs w:val="18"/>
                              </w:rPr>
                            </w:pPr>
                            <w:r>
                              <w:rPr>
                                <w:color w:val="404040" w:themeColor="text1" w:themeTint="BF"/>
                                <w:sz w:val="18"/>
                                <w:szCs w:val="18"/>
                              </w:rPr>
                              <w:t xml:space="preserve">Fixed Income </w:t>
                            </w:r>
                            <w:r w:rsidR="00587CDA">
                              <w:rPr>
                                <w:color w:val="404040" w:themeColor="text1" w:themeTint="BF"/>
                                <w:sz w:val="18"/>
                                <w:szCs w:val="18"/>
                              </w:rPr>
                              <w:t xml:space="preserve">Quantitative Analyst </w:t>
                            </w:r>
                            <w:r w:rsidR="00F40B0F">
                              <w:rPr>
                                <w:color w:val="404040" w:themeColor="text1" w:themeTint="BF"/>
                                <w:sz w:val="18"/>
                                <w:szCs w:val="18"/>
                              </w:rPr>
                              <w:t>at Prescient Investment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B1EA8" id="_x0000_t202" coordsize="21600,21600" o:spt="202" path="m,l,21600r21600,l21600,xe">
                <v:stroke joinstyle="miter"/>
                <v:path gradientshapeok="t" o:connecttype="rect"/>
              </v:shapetype>
              <v:shape id="Text Box 2" o:spid="_x0000_s1026" type="#_x0000_t202" style="position:absolute;left:0;text-align:left;margin-left:.3pt;margin-top:9.85pt;width:162pt;height:234.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" strokecolor="#d8d8d8 [2732]" strokeweight=".25pt">
                <v:textbox>
                  <w:txbxContent>
                    <w:p w14:paraId="6A996632" w14:textId="77777777" w:rsidR="00782C2F" w:rsidRPr="00657F29" w:rsidRDefault="00782C2F" w:rsidP="00782C2F">
                      <w:pPr>
                        <w:spacing w:after="160" w:line="360" w:lineRule="auto"/>
                        <w:jc w:val="center"/>
                        <w:rPr>
                          <w:rFonts w:cstheme="minorHAnsi"/>
                          <w:color w:val="000000"/>
                          <w:sz w:val="22"/>
                        </w:rPr>
                      </w:pPr>
                      <w:r>
                        <w:rPr>
                          <w:noProof/>
                        </w:rPr>
                        <w:drawing>
                          <wp:inline distT="0" distB="0" distL="0" distR="0" wp14:anchorId="096FEB10" wp14:editId="2DA3856B">
                            <wp:extent cx="1592315" cy="20764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9">
                                      <a:extLst>
                                        <a:ext uri="{28A0092B-C50C-407E-A947-70E740481C1C}">
                                          <a14:useLocalDpi xmlns:a14="http://schemas.microsoft.com/office/drawing/2010/main" val="0"/>
                                        </a:ext>
                                      </a:extLst>
                                    </a:blip>
                                    <a:srcRect l="10799" r="36645"/>
                                    <a:stretch/>
                                  </pic:blipFill>
                                  <pic:spPr bwMode="auto">
                                    <a:xfrm>
                                      <a:off x="0" y="0"/>
                                      <a:ext cx="1604729" cy="2092638"/>
                                    </a:xfrm>
                                    <a:prstGeom prst="rect">
                                      <a:avLst/>
                                    </a:prstGeom>
                                    <a:noFill/>
                                    <a:ln>
                                      <a:noFill/>
                                    </a:ln>
                                    <a:extLst>
                                      <a:ext uri="{53640926-AAD7-44D8-BBD7-CCE9431645EC}">
                                        <a14:shadowObscured xmlns:a14="http://schemas.microsoft.com/office/drawing/2010/main"/>
                                      </a:ext>
                                    </a:extLst>
                                  </pic:spPr>
                                </pic:pic>
                              </a:graphicData>
                            </a:graphic>
                          </wp:inline>
                        </w:drawing>
                      </w:r>
                    </w:p>
                    <w:p w14:paraId="19F28CF8" w14:textId="2555F076" w:rsidR="00782C2F" w:rsidRPr="00616AC1" w:rsidRDefault="009A59A7" w:rsidP="00782C2F">
                      <w:pPr>
                        <w:pStyle w:val="PrescientLevel2Heading"/>
                        <w:spacing w:after="0"/>
                        <w:jc w:val="center"/>
                        <w:rPr>
                          <w:rFonts w:asciiTheme="minorHAnsi" w:hAnsiTheme="minorHAnsi" w:cstheme="minorHAnsi"/>
                          <w:b/>
                          <w:bCs w:val="0"/>
                          <w:color w:val="0D0D0D" w:themeColor="text1" w:themeTint="F2"/>
                          <w:sz w:val="20"/>
                          <w:szCs w:val="22"/>
                        </w:rPr>
                      </w:pPr>
                      <w:r>
                        <w:rPr>
                          <w:rFonts w:asciiTheme="minorHAnsi" w:hAnsiTheme="minorHAnsi" w:cstheme="minorHAnsi"/>
                          <w:b/>
                          <w:bCs w:val="0"/>
                          <w:sz w:val="20"/>
                          <w:szCs w:val="20"/>
                        </w:rPr>
                        <w:t>Jessica Phalafala</w:t>
                      </w:r>
                    </w:p>
                    <w:p w14:paraId="0916C2CA" w14:textId="77777777" w:rsidR="00782C2F" w:rsidRPr="00C66168" w:rsidRDefault="00782C2F" w:rsidP="00782C2F">
                      <w:pPr>
                        <w:pStyle w:val="PrescientLevel2Heading"/>
                        <w:spacing w:after="0"/>
                        <w:jc w:val="center"/>
                        <w:rPr>
                          <w:rFonts w:asciiTheme="minorHAnsi" w:hAnsiTheme="minorHAnsi" w:cstheme="minorHAnsi"/>
                          <w:b/>
                          <w:bCs w:val="0"/>
                          <w:sz w:val="8"/>
                          <w:szCs w:val="8"/>
                        </w:rPr>
                      </w:pPr>
                    </w:p>
                    <w:p w14:paraId="493B77CE" w14:textId="554F6B05" w:rsidR="00782C2F" w:rsidRPr="00616AC1" w:rsidRDefault="009A59A7" w:rsidP="00782C2F">
                      <w:pPr>
                        <w:jc w:val="center"/>
                        <w:rPr>
                          <w:color w:val="404040" w:themeColor="text1" w:themeTint="BF"/>
                          <w:sz w:val="18"/>
                          <w:szCs w:val="18"/>
                        </w:rPr>
                      </w:pPr>
                      <w:r>
                        <w:rPr>
                          <w:color w:val="404040" w:themeColor="text1" w:themeTint="BF"/>
                          <w:sz w:val="18"/>
                          <w:szCs w:val="18"/>
                        </w:rPr>
                        <w:t xml:space="preserve">Fixed Income </w:t>
                      </w:r>
                      <w:r w:rsidR="00587CDA">
                        <w:rPr>
                          <w:color w:val="404040" w:themeColor="text1" w:themeTint="BF"/>
                          <w:sz w:val="18"/>
                          <w:szCs w:val="18"/>
                        </w:rPr>
                        <w:t xml:space="preserve">Quantitative Analyst </w:t>
                      </w:r>
                      <w:r w:rsidR="00F40B0F">
                        <w:rPr>
                          <w:color w:val="404040" w:themeColor="text1" w:themeTint="BF"/>
                          <w:sz w:val="18"/>
                          <w:szCs w:val="18"/>
                        </w:rPr>
                        <w:t>at Prescient Investment Management</w:t>
                      </w:r>
                    </w:p>
                  </w:txbxContent>
                </v:textbox>
                <w10:wrap type="square"/>
              </v:shape>
            </w:pict>
          </mc:Fallback>
        </mc:AlternateContent>
      </w:r>
    </w:p>
    <w:p w14:paraId="39ABCDB3"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If you are reading this, you are well on your way towards surviving one of the most cataclysmic events of our lifetime; one that is forever going to reshape the way we view the world and drive home the importance of </w:t>
      </w:r>
      <w:proofErr w:type="spellStart"/>
      <w:r w:rsidRPr="009A59A7">
        <w:rPr>
          <w:rFonts w:ascii="Arial" w:hAnsi="Arial" w:cs="Arial"/>
          <w:szCs w:val="20"/>
          <w:lang w:val="en-US"/>
        </w:rPr>
        <w:t>prioritising</w:t>
      </w:r>
      <w:proofErr w:type="spellEnd"/>
      <w:r w:rsidRPr="009A59A7">
        <w:rPr>
          <w:rFonts w:ascii="Arial" w:hAnsi="Arial" w:cs="Arial"/>
          <w:szCs w:val="20"/>
          <w:lang w:val="en-US"/>
        </w:rPr>
        <w:t xml:space="preserve"> sustainability and all it entails during the years ahead. </w:t>
      </w:r>
    </w:p>
    <w:p w14:paraId="0EFF2A4A" w14:textId="77777777" w:rsidR="009A59A7" w:rsidRPr="009A59A7" w:rsidRDefault="009A59A7" w:rsidP="009A59A7">
      <w:pPr>
        <w:spacing w:line="360" w:lineRule="auto"/>
        <w:rPr>
          <w:rFonts w:ascii="Arial" w:hAnsi="Arial" w:cs="Arial"/>
          <w:szCs w:val="20"/>
          <w:lang w:val="en-US"/>
        </w:rPr>
      </w:pPr>
    </w:p>
    <w:p w14:paraId="6E061FB0"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The coronavirus, which originated in a wet market in Wuhan, China, in December 2019, has since been declared a global pandemic that has spread across the planet through international travel and global supply chains. At the time of writing, the number of cases worldwide was inching towards the 54 million mark. Additionally, the effects of the virus have reverberated through global financial markets and economies, resulting in the greatest recession since World War II. </w:t>
      </w:r>
    </w:p>
    <w:p w14:paraId="7BFA95B9" w14:textId="77777777" w:rsidR="009A59A7" w:rsidRPr="009A59A7" w:rsidRDefault="009A59A7" w:rsidP="009A59A7">
      <w:pPr>
        <w:spacing w:line="360" w:lineRule="auto"/>
        <w:rPr>
          <w:rFonts w:ascii="Arial" w:hAnsi="Arial" w:cs="Arial"/>
          <w:szCs w:val="20"/>
          <w:lang w:val="en-US"/>
        </w:rPr>
      </w:pPr>
    </w:p>
    <w:p w14:paraId="574EE4E6"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The pandemic has also brought to bear the severity of socio-economic inequalities, risks introduced by our unsustainable systems as well as the materiality of fat-tail events. In so doing, it has provided us with an opportunity to redefine ‘a new normal’ and introduce structural shifts that will help us work towards a sustainable future for all.</w:t>
      </w:r>
    </w:p>
    <w:p w14:paraId="08B02DCA" w14:textId="77777777" w:rsidR="009A59A7" w:rsidRPr="009A59A7" w:rsidRDefault="009A59A7" w:rsidP="009A59A7">
      <w:pPr>
        <w:spacing w:line="360" w:lineRule="auto"/>
        <w:rPr>
          <w:rFonts w:ascii="Arial" w:hAnsi="Arial" w:cs="Arial"/>
          <w:szCs w:val="20"/>
          <w:lang w:val="en-US"/>
        </w:rPr>
      </w:pPr>
    </w:p>
    <w:p w14:paraId="51E6CDEE" w14:textId="0D48802A" w:rsidR="009A59A7" w:rsidRPr="009A59A7" w:rsidRDefault="009A59A7" w:rsidP="009A59A7">
      <w:pPr>
        <w:pStyle w:val="PrescientLevel3Heading"/>
        <w:spacing w:line="360" w:lineRule="auto"/>
        <w:rPr>
          <w:rFonts w:ascii="Arial" w:hAnsi="Arial" w:cs="Arial"/>
          <w:szCs w:val="20"/>
        </w:rPr>
      </w:pPr>
      <w:r w:rsidRPr="009A59A7">
        <w:rPr>
          <w:rFonts w:ascii="Arial" w:hAnsi="Arial" w:cs="Arial"/>
          <w:szCs w:val="20"/>
        </w:rPr>
        <w:t>Governments brought to action</w:t>
      </w:r>
    </w:p>
    <w:p w14:paraId="1E76F549"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Many countries instituted national lockdowns at an early stage in the pandemic, which is a classic example of a </w:t>
      </w:r>
      <w:r w:rsidRPr="009A59A7">
        <w:rPr>
          <w:rFonts w:ascii="Arial" w:hAnsi="Arial" w:cs="Arial"/>
          <w:i/>
          <w:iCs/>
          <w:szCs w:val="20"/>
          <w:lang w:val="en-US"/>
        </w:rPr>
        <w:t>suppression</w:t>
      </w:r>
      <w:r w:rsidRPr="009A59A7">
        <w:rPr>
          <w:rFonts w:ascii="Arial" w:hAnsi="Arial" w:cs="Arial"/>
          <w:szCs w:val="20"/>
          <w:lang w:val="en-US"/>
        </w:rPr>
        <w:t xml:space="preserve"> approach to pandemic management. The logic underpinning this methodology is to introduce social distancing to entire populations and </w:t>
      </w:r>
      <w:proofErr w:type="spellStart"/>
      <w:r w:rsidRPr="009A59A7">
        <w:rPr>
          <w:rFonts w:ascii="Arial" w:hAnsi="Arial" w:cs="Arial"/>
          <w:szCs w:val="20"/>
          <w:lang w:val="en-US"/>
        </w:rPr>
        <w:t>minimise</w:t>
      </w:r>
      <w:proofErr w:type="spellEnd"/>
      <w:r w:rsidRPr="009A59A7">
        <w:rPr>
          <w:rFonts w:ascii="Arial" w:hAnsi="Arial" w:cs="Arial"/>
          <w:szCs w:val="20"/>
          <w:lang w:val="en-US"/>
        </w:rPr>
        <w:t xml:space="preserve"> the number of additional infections reproduced by each confirmed case, thereby slowing the spread. This, </w:t>
      </w:r>
      <w:r w:rsidRPr="009A59A7">
        <w:rPr>
          <w:rFonts w:ascii="Arial" w:hAnsi="Arial" w:cs="Arial"/>
          <w:i/>
          <w:iCs/>
          <w:szCs w:val="20"/>
          <w:lang w:val="en-US"/>
        </w:rPr>
        <w:t>ceteris paribus</w:t>
      </w:r>
      <w:r w:rsidRPr="009A59A7">
        <w:rPr>
          <w:rFonts w:ascii="Arial" w:hAnsi="Arial" w:cs="Arial"/>
          <w:szCs w:val="20"/>
          <w:lang w:val="en-US"/>
        </w:rPr>
        <w:t>, is a highly effective public health risk management plan.</w:t>
      </w:r>
    </w:p>
    <w:p w14:paraId="54ACB27B" w14:textId="77777777" w:rsidR="009A59A7" w:rsidRPr="009A59A7" w:rsidRDefault="009A59A7" w:rsidP="009A59A7">
      <w:pPr>
        <w:spacing w:line="360" w:lineRule="auto"/>
        <w:rPr>
          <w:rFonts w:ascii="Arial" w:hAnsi="Arial" w:cs="Arial"/>
          <w:szCs w:val="20"/>
          <w:lang w:val="en-US"/>
        </w:rPr>
      </w:pPr>
    </w:p>
    <w:p w14:paraId="00480509"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However, </w:t>
      </w:r>
      <w:proofErr w:type="gramStart"/>
      <w:r w:rsidRPr="009A59A7">
        <w:rPr>
          <w:rFonts w:ascii="Arial" w:hAnsi="Arial" w:cs="Arial"/>
          <w:szCs w:val="20"/>
          <w:lang w:val="en-US"/>
        </w:rPr>
        <w:t>in reality all</w:t>
      </w:r>
      <w:proofErr w:type="gramEnd"/>
      <w:r w:rsidRPr="009A59A7">
        <w:rPr>
          <w:rFonts w:ascii="Arial" w:hAnsi="Arial" w:cs="Arial"/>
          <w:szCs w:val="20"/>
          <w:lang w:val="en-US"/>
        </w:rPr>
        <w:t xml:space="preserve"> other things are not, in fact, equal. Thus, the coronavirus has brought crucial attention to the social element of environmental, social and governance (ESG) issues. National lockdowns entail the suspension of economic activity, which results in loss of income and employment, pushing the vulnerable segments of society, already on the precipice of poverty, into a state of destitution. Also, countries encumbered by acute socio-economic inequalities, like South Africa, have had to face the reality that large segments of their populations living in high population density areas and with inadequate access to clean water and sanitation would face a higher risk of exposure to Covid-19. </w:t>
      </w:r>
    </w:p>
    <w:p w14:paraId="65F5D068" w14:textId="77777777" w:rsidR="009A59A7" w:rsidRPr="009A59A7" w:rsidRDefault="009A59A7" w:rsidP="009A59A7">
      <w:pPr>
        <w:spacing w:line="360" w:lineRule="auto"/>
        <w:rPr>
          <w:rFonts w:ascii="Arial" w:hAnsi="Arial" w:cs="Arial"/>
          <w:szCs w:val="20"/>
          <w:lang w:val="en-US"/>
        </w:rPr>
      </w:pPr>
    </w:p>
    <w:p w14:paraId="22491115"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The reality of the plethora of social risks has since powered the rollout of unprecedented global fiscal stimulus packages to soften the adverse economic effects of the pandemic. Although these packages have provided </w:t>
      </w:r>
      <w:r w:rsidRPr="009A59A7">
        <w:rPr>
          <w:rFonts w:ascii="Arial" w:hAnsi="Arial" w:cs="Arial"/>
          <w:szCs w:val="20"/>
          <w:lang w:val="en-US"/>
        </w:rPr>
        <w:lastRenderedPageBreak/>
        <w:t>the buoyancy required to see us through the immediate challenges, a fundamental shift in the discourse surrounding the risks fragile economic structures pose is translating into the development of a far more robust and well-defined path towards a sustainable future.</w:t>
      </w:r>
    </w:p>
    <w:p w14:paraId="682118AF" w14:textId="77777777" w:rsidR="009A59A7" w:rsidRPr="009A59A7" w:rsidRDefault="009A59A7" w:rsidP="009A59A7">
      <w:pPr>
        <w:spacing w:line="360" w:lineRule="auto"/>
        <w:rPr>
          <w:rFonts w:ascii="Arial" w:hAnsi="Arial" w:cs="Arial"/>
          <w:szCs w:val="20"/>
          <w:lang w:val="en-US"/>
        </w:rPr>
      </w:pPr>
    </w:p>
    <w:p w14:paraId="58BCEB68"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Consequently, sustainable investing will be a vital component of a post-pandemic recovery. For instance, there has been an increase in the global issuance of social and sustainability bonds over the past five years, as illustrated in the figure below. New issuances in response to Covid-19 are also coming to market. A guidance note has been published by the International Capital Markets Association (ICMA) to provide a benchmark for the structuring and reporting standards associated with the new Covid-19 social bonds. </w:t>
      </w:r>
    </w:p>
    <w:p w14:paraId="629FDBF5" w14:textId="77777777" w:rsidR="009A59A7" w:rsidRPr="009A59A7" w:rsidRDefault="009A59A7" w:rsidP="009A59A7">
      <w:pPr>
        <w:spacing w:line="360" w:lineRule="auto"/>
        <w:rPr>
          <w:rFonts w:ascii="Arial" w:hAnsi="Arial" w:cs="Arial"/>
          <w:szCs w:val="20"/>
          <w:lang w:val="en-US"/>
        </w:rPr>
      </w:pPr>
    </w:p>
    <w:p w14:paraId="29C6246A"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Domestically, the South African Minister of Finance announced plans to amend Regulation 28 of the Pension Funds Act to improve the ease with which retirement funds can finance infrastructure projects to help kickstart economic development. The establishment of a robust regulatory framework and the dramatic increase in the need for social intervention worldwide will dramatically improve the level of interest in sustainability bonds and help reshape the economy of the future.</w:t>
      </w:r>
    </w:p>
    <w:p w14:paraId="316FCB41" w14:textId="77777777" w:rsidR="009A59A7" w:rsidRPr="009A59A7" w:rsidRDefault="009A59A7" w:rsidP="009A59A7">
      <w:pPr>
        <w:spacing w:line="360" w:lineRule="auto"/>
        <w:rPr>
          <w:rFonts w:ascii="Arial" w:hAnsi="Arial" w:cs="Arial"/>
          <w:szCs w:val="20"/>
          <w:lang w:val="en-US"/>
        </w:rPr>
      </w:pPr>
    </w:p>
    <w:p w14:paraId="28D540CD" w14:textId="1928A265" w:rsidR="009A59A7" w:rsidRPr="009A59A7" w:rsidRDefault="009A59A7" w:rsidP="009A59A7">
      <w:pPr>
        <w:spacing w:line="360" w:lineRule="auto"/>
        <w:rPr>
          <w:rFonts w:ascii="Arial" w:hAnsi="Arial" w:cs="Arial"/>
          <w:szCs w:val="20"/>
          <w:lang w:val="en-US"/>
        </w:rPr>
      </w:pPr>
      <w:r w:rsidRPr="009A59A7">
        <w:rPr>
          <w:rFonts w:ascii="Arial" w:hAnsi="Arial" w:cs="Arial"/>
          <w:noProof/>
          <w:szCs w:val="20"/>
          <w:lang w:val="en-US"/>
        </w:rPr>
        <w:drawing>
          <wp:inline distT="0" distB="0" distL="0" distR="0" wp14:anchorId="6DC35E10" wp14:editId="5B710062">
            <wp:extent cx="6115050" cy="3495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495675"/>
                    </a:xfrm>
                    <a:prstGeom prst="rect">
                      <a:avLst/>
                    </a:prstGeom>
                    <a:noFill/>
                    <a:ln>
                      <a:noFill/>
                    </a:ln>
                  </pic:spPr>
                </pic:pic>
              </a:graphicData>
            </a:graphic>
          </wp:inline>
        </w:drawing>
      </w:r>
    </w:p>
    <w:p w14:paraId="1823B731" w14:textId="77777777" w:rsidR="009A59A7" w:rsidRPr="009A59A7" w:rsidRDefault="009A59A7" w:rsidP="009A59A7">
      <w:pPr>
        <w:spacing w:line="360" w:lineRule="auto"/>
        <w:rPr>
          <w:rFonts w:ascii="Arial" w:hAnsi="Arial" w:cs="Arial"/>
          <w:szCs w:val="20"/>
          <w:lang w:val="en-US"/>
        </w:rPr>
      </w:pPr>
    </w:p>
    <w:p w14:paraId="46580144" w14:textId="7FA9E9BA" w:rsidR="009A59A7" w:rsidRPr="009A59A7" w:rsidRDefault="009A59A7" w:rsidP="009A59A7">
      <w:pPr>
        <w:pStyle w:val="PrescientLevel3Heading"/>
        <w:spacing w:line="360" w:lineRule="auto"/>
        <w:rPr>
          <w:rFonts w:ascii="Arial" w:hAnsi="Arial" w:cs="Arial"/>
          <w:szCs w:val="20"/>
        </w:rPr>
      </w:pPr>
      <w:r w:rsidRPr="009A59A7">
        <w:rPr>
          <w:rFonts w:ascii="Arial" w:hAnsi="Arial" w:cs="Arial"/>
          <w:szCs w:val="20"/>
        </w:rPr>
        <w:t>Companies adapting to change</w:t>
      </w:r>
    </w:p>
    <w:p w14:paraId="39356DC3"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Specific sectors and individual firms have been impacted in varying ways by the pandemic. When governments instituted lockdown laws, the spotlight turned to company governance practices and how executives would navigate the crisis. Corporate boards faced scrutiny from various stakeholder groups that challenged the shareholder-centric model of governance, thereby making the board decision-making process much more </w:t>
      </w:r>
      <w:r w:rsidRPr="009A59A7">
        <w:rPr>
          <w:rFonts w:ascii="Arial" w:hAnsi="Arial" w:cs="Arial"/>
          <w:szCs w:val="20"/>
          <w:lang w:val="en-US"/>
        </w:rPr>
        <w:lastRenderedPageBreak/>
        <w:t xml:space="preserve">multi-faceted. Companies became more </w:t>
      </w:r>
      <w:proofErr w:type="spellStart"/>
      <w:r w:rsidRPr="009A59A7">
        <w:rPr>
          <w:rFonts w:ascii="Arial" w:hAnsi="Arial" w:cs="Arial"/>
          <w:szCs w:val="20"/>
          <w:lang w:val="en-US"/>
        </w:rPr>
        <w:t>cognisant</w:t>
      </w:r>
      <w:proofErr w:type="spellEnd"/>
      <w:r w:rsidRPr="009A59A7">
        <w:rPr>
          <w:rFonts w:ascii="Arial" w:hAnsi="Arial" w:cs="Arial"/>
          <w:szCs w:val="20"/>
          <w:lang w:val="en-US"/>
        </w:rPr>
        <w:t xml:space="preserve"> of the central role they play in maintaining the socio-economic well-being of society through sustained value-creation. They also </w:t>
      </w:r>
      <w:proofErr w:type="spellStart"/>
      <w:r w:rsidRPr="009A59A7">
        <w:rPr>
          <w:rFonts w:ascii="Arial" w:hAnsi="Arial" w:cs="Arial"/>
          <w:szCs w:val="20"/>
          <w:lang w:val="en-US"/>
        </w:rPr>
        <w:t>recognised</w:t>
      </w:r>
      <w:proofErr w:type="spellEnd"/>
      <w:r w:rsidRPr="009A59A7">
        <w:rPr>
          <w:rFonts w:ascii="Arial" w:hAnsi="Arial" w:cs="Arial"/>
          <w:szCs w:val="20"/>
          <w:lang w:val="en-US"/>
        </w:rPr>
        <w:t xml:space="preserve"> how a well-functioning society puts them in a better position to meet their key performance indicator targets. As a result, many boards decided to suspend or reduce their dividends and bonuses due to uncertainty regarding the scope and duration of the crisis.</w:t>
      </w:r>
    </w:p>
    <w:p w14:paraId="51C0A66F" w14:textId="77777777" w:rsidR="009A59A7" w:rsidRPr="009A59A7" w:rsidRDefault="009A59A7" w:rsidP="009A59A7">
      <w:pPr>
        <w:spacing w:line="360" w:lineRule="auto"/>
        <w:rPr>
          <w:rFonts w:ascii="Arial" w:hAnsi="Arial" w:cs="Arial"/>
          <w:szCs w:val="20"/>
          <w:lang w:val="en-US"/>
        </w:rPr>
      </w:pPr>
    </w:p>
    <w:p w14:paraId="66BDCCEF"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From an environmental perspective, working from home policies shed light on the environmental impact of commuting workforces. According to the International Energy Agency, a record drop in emissions is expected for 2020, with a projected 7% decline in energy-related CO2 emissions relative to 2019, as illustrated in the diagram below. Cities across the world have experienced lower smog levels, reduced water pollution and restored biodiversity highlighting the benefits of working remotely. As such, many companies, like Microsoft, have implemented these policies permanently. Research also shows that infectious disease transmission is precipitated by rising temperatures, loss of biodiversity and other elements of climate change. By acknowledging this interconnectedness, global corporations are now playing a pivotal role in mitigating climate change risks.</w:t>
      </w:r>
    </w:p>
    <w:p w14:paraId="1A6BDA26" w14:textId="77777777" w:rsidR="009A59A7" w:rsidRPr="009A59A7" w:rsidRDefault="009A59A7" w:rsidP="009A59A7">
      <w:pPr>
        <w:spacing w:line="360" w:lineRule="auto"/>
        <w:rPr>
          <w:rFonts w:ascii="Arial" w:hAnsi="Arial" w:cs="Arial"/>
          <w:noProof/>
          <w:szCs w:val="20"/>
          <w:lang w:val="en-US"/>
        </w:rPr>
      </w:pPr>
    </w:p>
    <w:p w14:paraId="369C97CE" w14:textId="34C9BCA4" w:rsidR="009A59A7" w:rsidRPr="009A59A7" w:rsidRDefault="009A59A7" w:rsidP="009A59A7">
      <w:pPr>
        <w:spacing w:line="360" w:lineRule="auto"/>
        <w:rPr>
          <w:rFonts w:ascii="Arial" w:hAnsi="Arial" w:cs="Arial"/>
          <w:szCs w:val="20"/>
          <w:lang w:val="en-US"/>
        </w:rPr>
      </w:pPr>
      <w:r w:rsidRPr="009A59A7">
        <w:rPr>
          <w:rFonts w:ascii="Arial" w:hAnsi="Arial" w:cs="Arial"/>
          <w:noProof/>
          <w:szCs w:val="20"/>
          <w:lang w:val="en-US"/>
        </w:rPr>
        <w:drawing>
          <wp:inline distT="0" distB="0" distL="0" distR="0" wp14:anchorId="7AFC77A2" wp14:editId="0D05DBB1">
            <wp:extent cx="6115050" cy="3409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409950"/>
                    </a:xfrm>
                    <a:prstGeom prst="rect">
                      <a:avLst/>
                    </a:prstGeom>
                    <a:noFill/>
                    <a:ln>
                      <a:noFill/>
                    </a:ln>
                  </pic:spPr>
                </pic:pic>
              </a:graphicData>
            </a:graphic>
          </wp:inline>
        </w:drawing>
      </w:r>
    </w:p>
    <w:p w14:paraId="307895ED" w14:textId="77777777" w:rsidR="009A59A7" w:rsidRPr="009A59A7" w:rsidRDefault="009A59A7" w:rsidP="009A59A7">
      <w:pPr>
        <w:spacing w:line="360" w:lineRule="auto"/>
        <w:rPr>
          <w:rFonts w:ascii="Arial" w:hAnsi="Arial" w:cs="Arial"/>
          <w:szCs w:val="20"/>
          <w:lang w:val="en-US"/>
        </w:rPr>
      </w:pPr>
    </w:p>
    <w:p w14:paraId="1D1C61A4"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Another equally crucial indirect consequence of the pandemic is the shift in focus to the social component of the traditional business model. Corporate culture measures such as employee health and safety and </w:t>
      </w:r>
      <w:proofErr w:type="spellStart"/>
      <w:r w:rsidRPr="009A59A7">
        <w:rPr>
          <w:rFonts w:ascii="Arial" w:hAnsi="Arial" w:cs="Arial"/>
          <w:szCs w:val="20"/>
          <w:lang w:val="en-US"/>
        </w:rPr>
        <w:t>labour</w:t>
      </w:r>
      <w:proofErr w:type="spellEnd"/>
      <w:r w:rsidRPr="009A59A7">
        <w:rPr>
          <w:rFonts w:ascii="Arial" w:hAnsi="Arial" w:cs="Arial"/>
          <w:szCs w:val="20"/>
          <w:lang w:val="en-US"/>
        </w:rPr>
        <w:t xml:space="preserve"> practices, including paid sick leave, have become priority areas and subject to intense public scrutiny. Furthermore, severe supply challenges have also highlighted the risks of </w:t>
      </w:r>
      <w:proofErr w:type="spellStart"/>
      <w:r w:rsidRPr="009A59A7">
        <w:rPr>
          <w:rFonts w:ascii="Arial" w:hAnsi="Arial" w:cs="Arial"/>
          <w:szCs w:val="20"/>
          <w:lang w:val="en-US"/>
        </w:rPr>
        <w:t>globalisation</w:t>
      </w:r>
      <w:proofErr w:type="spellEnd"/>
      <w:r w:rsidRPr="009A59A7">
        <w:rPr>
          <w:rFonts w:ascii="Arial" w:hAnsi="Arial" w:cs="Arial"/>
          <w:szCs w:val="20"/>
          <w:lang w:val="en-US"/>
        </w:rPr>
        <w:t xml:space="preserve">, and many companies have since amended their supply chain management processes to better diversify suppliers and </w:t>
      </w:r>
      <w:proofErr w:type="spellStart"/>
      <w:r w:rsidRPr="009A59A7">
        <w:rPr>
          <w:rFonts w:ascii="Arial" w:hAnsi="Arial" w:cs="Arial"/>
          <w:szCs w:val="20"/>
          <w:lang w:val="en-US"/>
        </w:rPr>
        <w:t>reshore</w:t>
      </w:r>
      <w:proofErr w:type="spellEnd"/>
      <w:r w:rsidRPr="009A59A7">
        <w:rPr>
          <w:rFonts w:ascii="Arial" w:hAnsi="Arial" w:cs="Arial"/>
          <w:szCs w:val="20"/>
          <w:lang w:val="en-US"/>
        </w:rPr>
        <w:t xml:space="preserve"> </w:t>
      </w:r>
      <w:r w:rsidRPr="009A59A7">
        <w:rPr>
          <w:rFonts w:ascii="Arial" w:hAnsi="Arial" w:cs="Arial"/>
          <w:szCs w:val="20"/>
          <w:lang w:val="en-US"/>
        </w:rPr>
        <w:lastRenderedPageBreak/>
        <w:t>production. These social developments will not only improve working conditions but foster job creation and enterprise development.</w:t>
      </w:r>
    </w:p>
    <w:p w14:paraId="64DAA16D" w14:textId="77777777" w:rsidR="009A59A7" w:rsidRPr="009A59A7" w:rsidRDefault="009A59A7" w:rsidP="009A59A7">
      <w:pPr>
        <w:spacing w:line="360" w:lineRule="auto"/>
        <w:rPr>
          <w:rFonts w:ascii="Arial" w:hAnsi="Arial" w:cs="Arial"/>
          <w:szCs w:val="20"/>
          <w:lang w:val="en-US"/>
        </w:rPr>
      </w:pPr>
    </w:p>
    <w:p w14:paraId="0128B703" w14:textId="31698674" w:rsidR="009A59A7" w:rsidRPr="009A59A7" w:rsidRDefault="009A59A7" w:rsidP="009A59A7">
      <w:pPr>
        <w:pStyle w:val="PrescientLevel3Heading"/>
        <w:spacing w:line="360" w:lineRule="auto"/>
        <w:rPr>
          <w:rFonts w:ascii="Arial" w:hAnsi="Arial" w:cs="Arial"/>
          <w:szCs w:val="20"/>
        </w:rPr>
      </w:pPr>
      <w:r w:rsidRPr="009A59A7">
        <w:rPr>
          <w:rFonts w:ascii="Arial" w:hAnsi="Arial" w:cs="Arial"/>
          <w:szCs w:val="20"/>
        </w:rPr>
        <w:t>Investor awareness on the rise</w:t>
      </w:r>
    </w:p>
    <w:p w14:paraId="12018F5C" w14:textId="77777777" w:rsidR="009A59A7" w:rsidRPr="009A59A7" w:rsidRDefault="009A59A7" w:rsidP="009A59A7">
      <w:pPr>
        <w:spacing w:line="360" w:lineRule="auto"/>
        <w:rPr>
          <w:rFonts w:ascii="Arial" w:hAnsi="Arial" w:cs="Arial"/>
          <w:szCs w:val="20"/>
          <w:lang w:val="en-US"/>
        </w:rPr>
      </w:pPr>
      <w:proofErr w:type="gramStart"/>
      <w:r w:rsidRPr="009A59A7">
        <w:rPr>
          <w:rFonts w:ascii="Arial" w:hAnsi="Arial" w:cs="Arial"/>
          <w:szCs w:val="20"/>
          <w:lang w:val="en-US"/>
        </w:rPr>
        <w:t>In light of</w:t>
      </w:r>
      <w:proofErr w:type="gramEnd"/>
      <w:r w:rsidRPr="009A59A7">
        <w:rPr>
          <w:rFonts w:ascii="Arial" w:hAnsi="Arial" w:cs="Arial"/>
          <w:szCs w:val="20"/>
          <w:lang w:val="en-US"/>
        </w:rPr>
        <w:t xml:space="preserve"> the pandemic and growing public awareness of the climate crisis, investors across the world are shifting from a morally agnostic investment approach to one that aligns with their ethical concerns. This is evidenced in budding investor appetite for sustainable products, which has resulted in record-breaking flows into ESG funds in 2020.</w:t>
      </w:r>
    </w:p>
    <w:p w14:paraId="60E588C6" w14:textId="77777777" w:rsidR="009A59A7" w:rsidRPr="009A59A7" w:rsidRDefault="009A59A7" w:rsidP="009A59A7">
      <w:pPr>
        <w:spacing w:line="360" w:lineRule="auto"/>
        <w:rPr>
          <w:rFonts w:ascii="Arial" w:hAnsi="Arial" w:cs="Arial"/>
          <w:szCs w:val="20"/>
          <w:lang w:val="en-US"/>
        </w:rPr>
      </w:pPr>
    </w:p>
    <w:p w14:paraId="60BCFCCA"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Furthermore, companies with strong ESG profiles have shown resilience in this time of crisis by staging a strong recovery post the March market lows. This has prompted investors to rethink the impact ESG considerations may have on their investment returns. As supporting evidence, the chart below illustrates how the MSCI World ESG Leaders Index has delivered returns in line with the MSCI World Index within a tight tracking error, other than its marginal outperformance in the wake of the March 2020 crash. This is a comforting return profile for the passive but ethically driven, investor. On the other hand, the </w:t>
      </w:r>
      <w:proofErr w:type="spellStart"/>
      <w:r w:rsidRPr="009A59A7">
        <w:rPr>
          <w:rFonts w:ascii="Arial" w:hAnsi="Arial" w:cs="Arial"/>
          <w:szCs w:val="20"/>
          <w:lang w:val="en-US"/>
        </w:rPr>
        <w:t>Xtrackers</w:t>
      </w:r>
      <w:proofErr w:type="spellEnd"/>
      <w:r w:rsidRPr="009A59A7">
        <w:rPr>
          <w:rFonts w:ascii="Arial" w:hAnsi="Arial" w:cs="Arial"/>
          <w:szCs w:val="20"/>
          <w:lang w:val="en-US"/>
        </w:rPr>
        <w:t xml:space="preserve"> S&amp;P 500 ESG ETF has outperformed the S&amp;P 500 Index in 2020, highlighting that ESG can provide a source for excess returns even in a time of crisis. </w:t>
      </w:r>
    </w:p>
    <w:p w14:paraId="4D3AC645" w14:textId="77777777" w:rsidR="009A59A7" w:rsidRPr="009A59A7" w:rsidRDefault="009A59A7" w:rsidP="009A59A7">
      <w:pPr>
        <w:spacing w:line="360" w:lineRule="auto"/>
        <w:rPr>
          <w:rFonts w:ascii="Arial" w:hAnsi="Arial" w:cs="Arial"/>
          <w:szCs w:val="20"/>
          <w:lang w:val="en-US"/>
        </w:rPr>
      </w:pPr>
    </w:p>
    <w:p w14:paraId="2CF9AC69" w14:textId="77777777" w:rsidR="009A59A7" w:rsidRDefault="009A59A7" w:rsidP="009A59A7">
      <w:pPr>
        <w:spacing w:line="360" w:lineRule="auto"/>
        <w:rPr>
          <w:rFonts w:ascii="Arial" w:hAnsi="Arial" w:cs="Arial"/>
          <w:szCs w:val="20"/>
          <w:lang w:val="en-US"/>
        </w:rPr>
      </w:pPr>
      <w:r w:rsidRPr="009A59A7">
        <w:rPr>
          <w:rFonts w:ascii="Arial" w:hAnsi="Arial" w:cs="Arial"/>
          <w:noProof/>
          <w:szCs w:val="20"/>
          <w:lang w:val="en-US"/>
        </w:rPr>
        <w:drawing>
          <wp:inline distT="0" distB="0" distL="0" distR="0" wp14:anchorId="42866A60" wp14:editId="5CEBDA18">
            <wp:extent cx="6115050" cy="3409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409950"/>
                    </a:xfrm>
                    <a:prstGeom prst="rect">
                      <a:avLst/>
                    </a:prstGeom>
                    <a:noFill/>
                    <a:ln>
                      <a:noFill/>
                    </a:ln>
                  </pic:spPr>
                </pic:pic>
              </a:graphicData>
            </a:graphic>
          </wp:inline>
        </w:drawing>
      </w:r>
    </w:p>
    <w:p w14:paraId="20AF34EA" w14:textId="101FBF46"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From an institutional investor perspective, these developments have further </w:t>
      </w:r>
      <w:proofErr w:type="spellStart"/>
      <w:r w:rsidRPr="009A59A7">
        <w:rPr>
          <w:rFonts w:ascii="Arial" w:hAnsi="Arial" w:cs="Arial"/>
          <w:szCs w:val="20"/>
          <w:lang w:val="en-US"/>
        </w:rPr>
        <w:t>emphasised</w:t>
      </w:r>
      <w:proofErr w:type="spellEnd"/>
      <w:r w:rsidRPr="009A59A7">
        <w:rPr>
          <w:rFonts w:ascii="Arial" w:hAnsi="Arial" w:cs="Arial"/>
          <w:szCs w:val="20"/>
          <w:lang w:val="en-US"/>
        </w:rPr>
        <w:t xml:space="preserve"> that investors are not in conflict of their fiduciary duty when they incorporate ESG considerations in the investment process. Sustainable practices, such as strong incident risk management, fair </w:t>
      </w:r>
      <w:proofErr w:type="spellStart"/>
      <w:r w:rsidRPr="009A59A7">
        <w:rPr>
          <w:rFonts w:ascii="Arial" w:hAnsi="Arial" w:cs="Arial"/>
          <w:szCs w:val="20"/>
          <w:lang w:val="en-US"/>
        </w:rPr>
        <w:t>labour</w:t>
      </w:r>
      <w:proofErr w:type="spellEnd"/>
      <w:r w:rsidRPr="009A59A7">
        <w:rPr>
          <w:rFonts w:ascii="Arial" w:hAnsi="Arial" w:cs="Arial"/>
          <w:szCs w:val="20"/>
          <w:lang w:val="en-US"/>
        </w:rPr>
        <w:t xml:space="preserve"> practices, stakeholder-conscious boards and clear </w:t>
      </w:r>
      <w:proofErr w:type="spellStart"/>
      <w:r w:rsidRPr="009A59A7">
        <w:rPr>
          <w:rFonts w:ascii="Arial" w:hAnsi="Arial" w:cs="Arial"/>
          <w:szCs w:val="20"/>
          <w:lang w:val="en-US"/>
        </w:rPr>
        <w:t>decarbonisation</w:t>
      </w:r>
      <w:proofErr w:type="spellEnd"/>
      <w:r w:rsidRPr="009A59A7">
        <w:rPr>
          <w:rFonts w:ascii="Arial" w:hAnsi="Arial" w:cs="Arial"/>
          <w:szCs w:val="20"/>
          <w:lang w:val="en-US"/>
        </w:rPr>
        <w:t xml:space="preserve"> pathways, have proven to be factors that drive long-term sustainable returns. </w:t>
      </w:r>
      <w:r w:rsidRPr="009A59A7">
        <w:rPr>
          <w:rFonts w:ascii="Arial" w:hAnsi="Arial" w:cs="Arial"/>
          <w:szCs w:val="20"/>
          <w:lang w:val="en-US"/>
        </w:rPr>
        <w:lastRenderedPageBreak/>
        <w:t>To this end, we should witness an acceleration in the incorporation of ESG considerations into traditional valuation and risk models.</w:t>
      </w:r>
    </w:p>
    <w:p w14:paraId="7C8DBB70" w14:textId="77777777" w:rsidR="009A59A7" w:rsidRPr="009A59A7" w:rsidRDefault="009A59A7" w:rsidP="009A59A7">
      <w:pPr>
        <w:spacing w:line="360" w:lineRule="auto"/>
        <w:rPr>
          <w:rFonts w:ascii="Arial" w:hAnsi="Arial" w:cs="Arial"/>
          <w:szCs w:val="20"/>
          <w:lang w:val="en-US"/>
        </w:rPr>
      </w:pPr>
    </w:p>
    <w:p w14:paraId="528C08A5" w14:textId="3857D6A6" w:rsidR="009A59A7" w:rsidRPr="009A59A7" w:rsidRDefault="009A59A7" w:rsidP="009A59A7">
      <w:pPr>
        <w:pStyle w:val="PrescientLevel3Heading"/>
        <w:spacing w:line="360" w:lineRule="auto"/>
        <w:rPr>
          <w:rFonts w:ascii="Arial" w:hAnsi="Arial" w:cs="Arial"/>
          <w:szCs w:val="20"/>
        </w:rPr>
      </w:pPr>
      <w:r w:rsidRPr="009A59A7">
        <w:rPr>
          <w:rFonts w:ascii="Arial" w:hAnsi="Arial" w:cs="Arial"/>
          <w:szCs w:val="20"/>
        </w:rPr>
        <w:t>Forging a path forward</w:t>
      </w:r>
    </w:p>
    <w:p w14:paraId="61348931" w14:textId="77777777" w:rsidR="009A59A7" w:rsidRPr="009A59A7" w:rsidRDefault="009A59A7" w:rsidP="009A59A7">
      <w:pPr>
        <w:spacing w:line="360" w:lineRule="auto"/>
        <w:rPr>
          <w:rFonts w:ascii="Arial" w:hAnsi="Arial" w:cs="Arial"/>
          <w:szCs w:val="20"/>
          <w:lang w:val="en-US"/>
        </w:rPr>
      </w:pPr>
      <w:r w:rsidRPr="009A59A7">
        <w:rPr>
          <w:rFonts w:ascii="Arial" w:hAnsi="Arial" w:cs="Arial"/>
          <w:szCs w:val="20"/>
          <w:lang w:val="en-US"/>
        </w:rPr>
        <w:t xml:space="preserve">The turbulence caused by the pandemic and its indirect consequences has </w:t>
      </w:r>
      <w:proofErr w:type="spellStart"/>
      <w:r w:rsidRPr="009A59A7">
        <w:rPr>
          <w:rFonts w:ascii="Arial" w:hAnsi="Arial" w:cs="Arial"/>
          <w:szCs w:val="20"/>
          <w:lang w:val="en-US"/>
        </w:rPr>
        <w:t>emphasised</w:t>
      </w:r>
      <w:proofErr w:type="spellEnd"/>
      <w:r w:rsidRPr="009A59A7">
        <w:rPr>
          <w:rFonts w:ascii="Arial" w:hAnsi="Arial" w:cs="Arial"/>
          <w:szCs w:val="20"/>
          <w:lang w:val="en-US"/>
        </w:rPr>
        <w:t xml:space="preserve"> the need for global social change, multi-stakeholder centric business models and international cooperation on public health and climate change considerations. This provides us with the </w:t>
      </w:r>
      <w:r w:rsidRPr="009A59A7">
        <w:rPr>
          <w:rFonts w:ascii="Arial" w:hAnsi="Arial" w:cs="Arial"/>
          <w:i/>
          <w:iCs/>
          <w:szCs w:val="20"/>
          <w:lang w:val="en-US"/>
        </w:rPr>
        <w:t>carte blanch</w:t>
      </w:r>
      <w:r w:rsidRPr="009A59A7">
        <w:rPr>
          <w:rFonts w:ascii="Arial" w:hAnsi="Arial" w:cs="Arial"/>
          <w:szCs w:val="20"/>
          <w:lang w:val="en-US"/>
        </w:rPr>
        <w:t>e to rebuild a sustainable future for all and a resilient global financial ecosystem. The question is, which side of history do you, as an investor, want to be on?</w:t>
      </w:r>
    </w:p>
    <w:p w14:paraId="3780022E" w14:textId="77777777" w:rsidR="009A59A7" w:rsidRPr="009A59A7" w:rsidRDefault="009A59A7" w:rsidP="009A59A7">
      <w:pPr>
        <w:spacing w:line="360" w:lineRule="auto"/>
        <w:rPr>
          <w:rFonts w:ascii="Arial" w:hAnsi="Arial" w:cs="Arial"/>
          <w:szCs w:val="20"/>
          <w:lang w:val="en-US"/>
        </w:rPr>
      </w:pPr>
    </w:p>
    <w:p w14:paraId="44E06F55" w14:textId="77777777" w:rsidR="009A59A7" w:rsidRPr="009A59A7" w:rsidRDefault="009A59A7" w:rsidP="009A59A7">
      <w:pPr>
        <w:numPr>
          <w:ilvl w:val="0"/>
          <w:numId w:val="32"/>
        </w:numPr>
        <w:spacing w:line="360" w:lineRule="auto"/>
        <w:ind w:left="360"/>
        <w:rPr>
          <w:rFonts w:ascii="Arial" w:hAnsi="Arial" w:cs="Arial"/>
          <w:b/>
          <w:bCs/>
          <w:szCs w:val="20"/>
        </w:rPr>
      </w:pPr>
      <w:r w:rsidRPr="009A59A7">
        <w:rPr>
          <w:rFonts w:ascii="Arial" w:hAnsi="Arial" w:cs="Arial"/>
          <w:b/>
          <w:bCs/>
          <w:szCs w:val="20"/>
        </w:rPr>
        <w:t>Prescient Investment Management (Pty) Ltd is an authorised financial services provider (FSP 612).</w:t>
      </w:r>
    </w:p>
    <w:p w14:paraId="711BFACD" w14:textId="77777777" w:rsidR="009A59A7" w:rsidRPr="009A59A7" w:rsidRDefault="009A59A7" w:rsidP="009A59A7">
      <w:pPr>
        <w:numPr>
          <w:ilvl w:val="0"/>
          <w:numId w:val="32"/>
        </w:numPr>
        <w:spacing w:line="360" w:lineRule="auto"/>
        <w:ind w:left="360"/>
        <w:rPr>
          <w:rFonts w:ascii="Arial" w:hAnsi="Arial" w:cs="Arial"/>
          <w:b/>
          <w:bCs/>
          <w:szCs w:val="20"/>
        </w:rPr>
      </w:pPr>
      <w:r w:rsidRPr="009A59A7">
        <w:rPr>
          <w:rFonts w:ascii="Arial" w:hAnsi="Arial" w:cs="Arial"/>
          <w:b/>
          <w:bCs/>
          <w:szCs w:val="20"/>
        </w:rPr>
        <w:t>The value of investments may go up as well as down and past performance is not necessarily a guide to future performance.</w:t>
      </w:r>
    </w:p>
    <w:p w14:paraId="59716C07" w14:textId="77777777" w:rsidR="009A59A7" w:rsidRPr="009A59A7" w:rsidRDefault="009A59A7" w:rsidP="009A59A7">
      <w:pPr>
        <w:numPr>
          <w:ilvl w:val="0"/>
          <w:numId w:val="32"/>
        </w:numPr>
        <w:spacing w:line="360" w:lineRule="auto"/>
        <w:ind w:left="360"/>
        <w:rPr>
          <w:rFonts w:ascii="Arial" w:hAnsi="Arial" w:cs="Arial"/>
          <w:b/>
          <w:bCs/>
          <w:szCs w:val="20"/>
        </w:rPr>
      </w:pPr>
      <w:r w:rsidRPr="009A59A7">
        <w:rPr>
          <w:rFonts w:ascii="Arial" w:hAnsi="Arial" w:cs="Arial"/>
          <w:b/>
          <w:bCs/>
          <w:color w:val="000000"/>
          <w:szCs w:val="20"/>
        </w:rPr>
        <w:t>This representative is acting under supervision.</w:t>
      </w:r>
    </w:p>
    <w:p w14:paraId="6F4A3590" w14:textId="77777777" w:rsidR="009A59A7" w:rsidRPr="009A59A7" w:rsidRDefault="009A59A7" w:rsidP="009A59A7">
      <w:pPr>
        <w:spacing w:line="360" w:lineRule="auto"/>
        <w:rPr>
          <w:rFonts w:ascii="Arial" w:hAnsi="Arial" w:cs="Arial"/>
          <w:szCs w:val="20"/>
          <w:lang w:val="en-US"/>
        </w:rPr>
      </w:pPr>
    </w:p>
    <w:p w14:paraId="7647274F" w14:textId="4BD323AF" w:rsidR="00E61E8C" w:rsidRPr="009A59A7" w:rsidRDefault="00E61E8C" w:rsidP="009A59A7">
      <w:pPr>
        <w:spacing w:line="360" w:lineRule="auto"/>
        <w:rPr>
          <w:rFonts w:ascii="Arial" w:hAnsi="Arial" w:cs="Arial"/>
          <w:b/>
          <w:bCs/>
          <w:color w:val="000000"/>
          <w:szCs w:val="20"/>
        </w:rPr>
      </w:pPr>
      <w:r w:rsidRPr="009A59A7">
        <w:rPr>
          <w:rFonts w:ascii="Arial" w:hAnsi="Arial" w:cs="Arial"/>
          <w:b/>
          <w:bCs/>
          <w:color w:val="000000"/>
          <w:szCs w:val="20"/>
        </w:rPr>
        <w:t>About Prescient:</w:t>
      </w:r>
    </w:p>
    <w:p w14:paraId="213C05DF" w14:textId="77777777" w:rsidR="00A27C02" w:rsidRPr="009A59A7" w:rsidRDefault="00A27C02" w:rsidP="009A59A7">
      <w:pPr>
        <w:spacing w:line="360" w:lineRule="auto"/>
        <w:ind w:left="142"/>
        <w:rPr>
          <w:rFonts w:ascii="Arial" w:hAnsi="Arial" w:cs="Arial"/>
          <w:b/>
          <w:bCs/>
          <w:color w:val="000000"/>
          <w:szCs w:val="20"/>
        </w:rPr>
      </w:pPr>
    </w:p>
    <w:p w14:paraId="08E4D3BA" w14:textId="7D5A49DE" w:rsidR="006858CB" w:rsidRPr="009A59A7" w:rsidRDefault="00E61E8C" w:rsidP="009A59A7">
      <w:pPr>
        <w:pStyle w:val="ListParagraph"/>
        <w:numPr>
          <w:ilvl w:val="0"/>
          <w:numId w:val="26"/>
        </w:numPr>
        <w:spacing w:after="160" w:line="360" w:lineRule="auto"/>
        <w:rPr>
          <w:rFonts w:ascii="Arial" w:hAnsi="Arial" w:cs="Arial"/>
          <w:color w:val="262626" w:themeColor="text1" w:themeTint="D9"/>
          <w:szCs w:val="20"/>
        </w:rPr>
      </w:pPr>
      <w:r w:rsidRPr="009A59A7">
        <w:rPr>
          <w:rFonts w:ascii="Arial" w:hAnsi="Arial" w:cs="Arial"/>
          <w:color w:val="262626" w:themeColor="text1" w:themeTint="D9"/>
          <w:szCs w:val="20"/>
        </w:rPr>
        <w:t xml:space="preserve">Prescient Holdings (Pty) Ltd is a diversified, global financial services group with a 21-year track record of providing solutions to our clients in Asset Management, Investment and Platform Administration, Retirement Solutions, Stockbroking and Wealth Management. As </w:t>
      </w:r>
      <w:proofErr w:type="gramStart"/>
      <w:r w:rsidRPr="009A59A7">
        <w:rPr>
          <w:rFonts w:ascii="Arial" w:hAnsi="Arial" w:cs="Arial"/>
          <w:color w:val="262626" w:themeColor="text1" w:themeTint="D9"/>
          <w:szCs w:val="20"/>
        </w:rPr>
        <w:t>at</w:t>
      </w:r>
      <w:proofErr w:type="gramEnd"/>
      <w:r w:rsidRPr="009A59A7">
        <w:rPr>
          <w:rFonts w:ascii="Arial" w:hAnsi="Arial" w:cs="Arial"/>
          <w:color w:val="262626" w:themeColor="text1" w:themeTint="D9"/>
          <w:szCs w:val="20"/>
        </w:rPr>
        <w:t xml:space="preserve"> 31 Dec</w:t>
      </w:r>
      <w:r w:rsidR="003E5A78" w:rsidRPr="009A59A7">
        <w:rPr>
          <w:rFonts w:ascii="Arial" w:hAnsi="Arial" w:cs="Arial"/>
          <w:color w:val="262626" w:themeColor="text1" w:themeTint="D9"/>
          <w:szCs w:val="20"/>
        </w:rPr>
        <w:t>ember</w:t>
      </w:r>
      <w:r w:rsidRPr="009A59A7">
        <w:rPr>
          <w:rFonts w:ascii="Arial" w:hAnsi="Arial" w:cs="Arial"/>
          <w:color w:val="262626" w:themeColor="text1" w:themeTint="D9"/>
          <w:szCs w:val="20"/>
        </w:rPr>
        <w:t xml:space="preserve"> 2019</w:t>
      </w:r>
      <w:r w:rsidR="003E5A78" w:rsidRPr="009A59A7">
        <w:rPr>
          <w:rFonts w:ascii="Arial" w:hAnsi="Arial" w:cs="Arial"/>
          <w:color w:val="262626" w:themeColor="text1" w:themeTint="D9"/>
          <w:szCs w:val="20"/>
        </w:rPr>
        <w:t>,</w:t>
      </w:r>
      <w:r w:rsidRPr="009A59A7">
        <w:rPr>
          <w:rFonts w:ascii="Arial" w:hAnsi="Arial" w:cs="Arial"/>
          <w:color w:val="262626" w:themeColor="text1" w:themeTint="D9"/>
          <w:szCs w:val="20"/>
        </w:rPr>
        <w:t xml:space="preserve"> the group had R98.4 billion client assets under management (AUM) and administered R478 billion client assets (AUA), split between asset admin (R328 billion) and unitholder admin (R150 billion). Prescient has established operating businesses in the following main jurisdictions: Prescient has successfully operated for 21 years in South Africa, 12 years in Ireland &amp; the UK and 6 years in China. </w:t>
      </w:r>
    </w:p>
    <w:p w14:paraId="12ABA896" w14:textId="28113A9F" w:rsidR="006858CB" w:rsidRPr="009A59A7" w:rsidRDefault="006858CB" w:rsidP="009A59A7">
      <w:pPr>
        <w:pStyle w:val="ListParagraph"/>
        <w:numPr>
          <w:ilvl w:val="0"/>
          <w:numId w:val="26"/>
        </w:numPr>
        <w:spacing w:line="360" w:lineRule="auto"/>
        <w:rPr>
          <w:rFonts w:ascii="Arial" w:hAnsi="Arial" w:cs="Arial"/>
          <w:color w:val="262626" w:themeColor="text1" w:themeTint="D9"/>
          <w:szCs w:val="20"/>
          <w:lang w:eastAsia="en-US"/>
        </w:rPr>
      </w:pPr>
      <w:r w:rsidRPr="009A59A7">
        <w:rPr>
          <w:rFonts w:ascii="Arial" w:hAnsi="Arial" w:cs="Arial"/>
          <w:color w:val="262626" w:themeColor="text1" w:themeTint="D9"/>
          <w:szCs w:val="20"/>
        </w:rPr>
        <w:t xml:space="preserve">Prescient Management Company (RF) Pty Ltd (the manager) is approved under the Collective Investment Schemes Control Act (No.45 of 2002). Prescient Investment Management </w:t>
      </w:r>
      <w:r w:rsidR="006C6C6C" w:rsidRPr="009A59A7">
        <w:rPr>
          <w:rFonts w:ascii="Arial" w:hAnsi="Arial" w:cs="Arial"/>
          <w:color w:val="262626" w:themeColor="text1" w:themeTint="D9"/>
          <w:szCs w:val="20"/>
        </w:rPr>
        <w:t xml:space="preserve">(Pty) Ltd </w:t>
      </w:r>
      <w:r w:rsidRPr="009A59A7">
        <w:rPr>
          <w:rFonts w:ascii="Arial" w:hAnsi="Arial" w:cs="Arial"/>
          <w:color w:val="262626" w:themeColor="text1" w:themeTint="D9"/>
          <w:szCs w:val="20"/>
        </w:rPr>
        <w:t>is an authorised Financial Service Provider (FSP 612) under the Financial Advisory and Intermediary Services Act (No.37 of 2002).</w:t>
      </w:r>
    </w:p>
    <w:p w14:paraId="08C27ECB" w14:textId="0BD0BC5E" w:rsidR="00F7406A" w:rsidRPr="009A59A7" w:rsidRDefault="00F7406A" w:rsidP="009A59A7">
      <w:pPr>
        <w:pStyle w:val="ListParagraph"/>
        <w:numPr>
          <w:ilvl w:val="0"/>
          <w:numId w:val="26"/>
        </w:numPr>
        <w:spacing w:line="360" w:lineRule="auto"/>
        <w:rPr>
          <w:rFonts w:ascii="Arial" w:hAnsi="Arial" w:cs="Arial"/>
          <w:color w:val="262626" w:themeColor="text1" w:themeTint="D9"/>
          <w:szCs w:val="20"/>
          <w:lang w:val="en-US"/>
        </w:rPr>
      </w:pPr>
      <w:r w:rsidRPr="009A59A7">
        <w:rPr>
          <w:rFonts w:ascii="Arial" w:hAnsi="Arial" w:cs="Arial"/>
          <w:color w:val="262626" w:themeColor="text1" w:themeTint="D9"/>
          <w:szCs w:val="20"/>
          <w:lang w:val="en-US"/>
        </w:rPr>
        <w:t xml:space="preserve">This document is for information purposes only and does not constitute or form part of any offer to issue or sell or any solicitation of any offer to subscribe for or purchase any </w:t>
      </w:r>
      <w:proofErr w:type="gramStart"/>
      <w:r w:rsidRPr="009A59A7">
        <w:rPr>
          <w:rFonts w:ascii="Arial" w:hAnsi="Arial" w:cs="Arial"/>
          <w:color w:val="262626" w:themeColor="text1" w:themeTint="D9"/>
          <w:szCs w:val="20"/>
          <w:lang w:val="en-US"/>
        </w:rPr>
        <w:t>particular investments</w:t>
      </w:r>
      <w:proofErr w:type="gramEnd"/>
      <w:r w:rsidRPr="009A59A7">
        <w:rPr>
          <w:rFonts w:ascii="Arial" w:hAnsi="Arial" w:cs="Arial"/>
          <w:color w:val="262626" w:themeColor="text1" w:themeTint="D9"/>
          <w:szCs w:val="20"/>
          <w:lang w:val="en-US"/>
        </w:rPr>
        <w:t>. Opinions expressed in this document may be changed without notice at any time after publication. We therefore disclaim any liability for any loss, liability, damage (whether direct or consequential) or expense of any nature whatsoever which may be suffered as a result of or which may be attributable directly or indirectly to the use of or reliance upon the information.</w:t>
      </w:r>
    </w:p>
    <w:p w14:paraId="35FA3F96" w14:textId="0C73B4C5" w:rsidR="006D1090" w:rsidRPr="00587CDA" w:rsidRDefault="00651FD4" w:rsidP="009A59A7">
      <w:pPr>
        <w:pStyle w:val="ListParagraph"/>
        <w:numPr>
          <w:ilvl w:val="0"/>
          <w:numId w:val="26"/>
        </w:numPr>
        <w:spacing w:after="160" w:line="360" w:lineRule="auto"/>
        <w:rPr>
          <w:rFonts w:ascii="Arial" w:hAnsi="Arial" w:cs="Arial"/>
          <w:color w:val="262626" w:themeColor="text1" w:themeTint="D9"/>
          <w:szCs w:val="20"/>
        </w:rPr>
      </w:pPr>
      <w:r w:rsidRPr="009A59A7">
        <w:rPr>
          <w:rFonts w:ascii="Arial" w:hAnsi="Arial" w:cs="Arial"/>
          <w:color w:val="262626" w:themeColor="text1" w:themeTint="D9"/>
          <w:szCs w:val="20"/>
        </w:rPr>
        <w:t>There are risks involved in buying or selling a financ</w:t>
      </w:r>
      <w:r w:rsidRPr="00587CDA">
        <w:rPr>
          <w:rFonts w:ascii="Arial" w:hAnsi="Arial" w:cs="Arial"/>
          <w:color w:val="262626" w:themeColor="text1" w:themeTint="D9"/>
          <w:szCs w:val="20"/>
        </w:rPr>
        <w:t>ial product. There are no guarantees provided.</w:t>
      </w:r>
      <w:bookmarkEnd w:id="0"/>
      <w:bookmarkEnd w:id="1"/>
    </w:p>
    <w:sectPr w:rsidR="006D1090" w:rsidRPr="00587CDA" w:rsidSect="000E78A9">
      <w:footerReference w:type="default" r:id="rId13"/>
      <w:headerReference w:type="first" r:id="rId14"/>
      <w:footerReference w:type="first" r:id="rId15"/>
      <w:pgSz w:w="11907" w:h="16840" w:code="9"/>
      <w:pgMar w:top="1843" w:right="1134" w:bottom="1560" w:left="1134" w:header="720" w:footer="119"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C915D" w14:textId="77777777" w:rsidR="00B04988" w:rsidRDefault="00B04988" w:rsidP="007E0ED1">
      <w:r>
        <w:separator/>
      </w:r>
    </w:p>
  </w:endnote>
  <w:endnote w:type="continuationSeparator" w:id="0">
    <w:p w14:paraId="4FD60C5E" w14:textId="77777777" w:rsidR="00B04988" w:rsidRDefault="00B04988" w:rsidP="007E0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69174" w14:textId="77777777" w:rsidR="00FC464A" w:rsidRPr="003463F6" w:rsidRDefault="00FC464A" w:rsidP="00D67F20">
    <w:pPr>
      <w:pStyle w:val="Footer"/>
      <w:rPr>
        <w:sz w:val="12"/>
        <w:lang w:val="en-US"/>
      </w:rPr>
    </w:pPr>
  </w:p>
  <w:p w14:paraId="03E6CEC2" w14:textId="77777777" w:rsidR="00EB74EF" w:rsidRDefault="00EA6098" w:rsidP="000B0BA9">
    <w:pPr>
      <w:pStyle w:val="Footer"/>
      <w:rPr>
        <w:rFonts w:ascii="Palatino Linotype" w:hAnsi="Palatino Linotype"/>
        <w:color w:val="00476B"/>
        <w:sz w:val="16"/>
        <w:szCs w:val="16"/>
      </w:rPr>
    </w:pPr>
    <w:r>
      <w:rPr>
        <w:rFonts w:ascii="Palatino Linotype" w:hAnsi="Palatino Linotype"/>
        <w:noProof/>
        <w:color w:val="00476B"/>
        <w:sz w:val="16"/>
        <w:szCs w:val="16"/>
      </w:rPr>
      <w:drawing>
        <wp:inline distT="0" distB="0" distL="0" distR="0" wp14:anchorId="1969FAA1" wp14:editId="11C0C4EA">
          <wp:extent cx="2771775" cy="142875"/>
          <wp:effectExtent l="0" t="0" r="9525" b="9525"/>
          <wp:docPr id="2" name="Picture 2" descr="Prescient Investme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ient Investment Manag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142875"/>
                  </a:xfrm>
                  <a:prstGeom prst="rect">
                    <a:avLst/>
                  </a:prstGeom>
                  <a:noFill/>
                  <a:ln>
                    <a:noFill/>
                  </a:ln>
                </pic:spPr>
              </pic:pic>
            </a:graphicData>
          </a:graphic>
        </wp:inline>
      </w:drawing>
    </w:r>
  </w:p>
  <w:p w14:paraId="4896A41F" w14:textId="77777777" w:rsidR="00EB74EF" w:rsidRPr="00EB74EF" w:rsidRDefault="00EB74EF" w:rsidP="000B0BA9">
    <w:pPr>
      <w:pStyle w:val="Footer"/>
      <w:rPr>
        <w:rFonts w:ascii="Palatino Linotype" w:hAnsi="Palatino Linotype"/>
        <w:color w:val="00476B"/>
        <w:sz w:val="16"/>
        <w:szCs w:val="16"/>
      </w:rPr>
    </w:pPr>
    <w:r>
      <w:rPr>
        <w:rFonts w:ascii="Arial" w:hAnsi="Arial" w:cs="Arial"/>
        <w:color w:val="000000" w:themeColor="text1"/>
        <w:sz w:val="14"/>
        <w:szCs w:val="12"/>
      </w:rPr>
      <w:t>Block B, Silverwood, Silverwood Lane, Steenberg Office Park, Tokai, 7945</w:t>
    </w:r>
  </w:p>
  <w:p w14:paraId="56230337" w14:textId="77777777" w:rsidR="00EA6098" w:rsidRPr="00ED2845" w:rsidRDefault="00EA6098" w:rsidP="000B0BA9">
    <w:pPr>
      <w:pStyle w:val="Footer"/>
      <w:rPr>
        <w:color w:val="auto"/>
        <w:sz w:val="14"/>
        <w:szCs w:val="14"/>
      </w:rPr>
    </w:pPr>
    <w:r w:rsidRPr="00ED2845">
      <w:rPr>
        <w:color w:val="auto"/>
        <w:sz w:val="14"/>
        <w:szCs w:val="14"/>
      </w:rPr>
      <w:t xml:space="preserve">P.O. Box 31142, Tokai 7966 </w:t>
    </w:r>
    <w:r w:rsidR="00E2644C">
      <w:rPr>
        <w:color w:val="auto"/>
        <w:sz w:val="14"/>
        <w:szCs w:val="14"/>
      </w:rPr>
      <w:t xml:space="preserve">   </w:t>
    </w:r>
    <w:r w:rsidRPr="00ED2845">
      <w:rPr>
        <w:color w:val="auto"/>
        <w:sz w:val="14"/>
        <w:szCs w:val="14"/>
      </w:rPr>
      <w:t xml:space="preserve">Tel: +27-21-700 3600    Website: </w:t>
    </w:r>
    <w:hyperlink r:id="rId2" w:history="1">
      <w:r w:rsidRPr="00ED2845">
        <w:rPr>
          <w:rStyle w:val="Hyperlink"/>
          <w:color w:val="auto"/>
          <w:sz w:val="14"/>
          <w:szCs w:val="14"/>
        </w:rPr>
        <w:t>www.prescient.co.za</w:t>
      </w:r>
    </w:hyperlink>
  </w:p>
  <w:p w14:paraId="27048020" w14:textId="77777777" w:rsidR="00EA6098" w:rsidRPr="00ED2845" w:rsidRDefault="00EA6098" w:rsidP="000B0BA9">
    <w:pPr>
      <w:pStyle w:val="Footer"/>
      <w:rPr>
        <w:color w:val="auto"/>
        <w:sz w:val="14"/>
        <w:szCs w:val="14"/>
      </w:rPr>
    </w:pPr>
    <w:r w:rsidRPr="00ED2845">
      <w:rPr>
        <w:color w:val="auto"/>
        <w:sz w:val="14"/>
        <w:szCs w:val="14"/>
      </w:rPr>
      <w:t>Reg No. 1998/023640/07   FSP No. 612</w:t>
    </w:r>
  </w:p>
  <w:p w14:paraId="72B402B2" w14:textId="77777777" w:rsidR="00FC464A" w:rsidRPr="00FC464A" w:rsidRDefault="00FC464A" w:rsidP="000B0BA9">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31E4A" w14:textId="77777777" w:rsidR="00553B79" w:rsidRDefault="002120E8" w:rsidP="000B0BA9">
    <w:pPr>
      <w:pStyle w:val="Footer"/>
      <w:rPr>
        <w:rFonts w:ascii="Palatino Linotype" w:hAnsi="Palatino Linotype"/>
        <w:color w:val="00476B"/>
        <w:sz w:val="16"/>
        <w:szCs w:val="16"/>
      </w:rPr>
    </w:pPr>
    <w:r>
      <w:rPr>
        <w:rFonts w:ascii="Palatino Linotype" w:hAnsi="Palatino Linotype"/>
        <w:noProof/>
        <w:color w:val="00476B"/>
        <w:sz w:val="16"/>
        <w:szCs w:val="16"/>
      </w:rPr>
      <w:drawing>
        <wp:inline distT="0" distB="0" distL="0" distR="0" wp14:anchorId="614BD52A" wp14:editId="353DA1BF">
          <wp:extent cx="2771775" cy="142875"/>
          <wp:effectExtent l="0" t="0" r="9525" b="9525"/>
          <wp:docPr id="3" name="Picture 3" descr="Prescient Investme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ient Investment Manag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142875"/>
                  </a:xfrm>
                  <a:prstGeom prst="rect">
                    <a:avLst/>
                  </a:prstGeom>
                  <a:noFill/>
                  <a:ln>
                    <a:noFill/>
                  </a:ln>
                </pic:spPr>
              </pic:pic>
            </a:graphicData>
          </a:graphic>
        </wp:inline>
      </w:drawing>
    </w:r>
  </w:p>
  <w:p w14:paraId="430DCDE1" w14:textId="77777777" w:rsidR="00EB74EF" w:rsidRPr="00553B79" w:rsidRDefault="00EB74EF" w:rsidP="000B0BA9">
    <w:pPr>
      <w:pStyle w:val="Footer"/>
      <w:rPr>
        <w:rFonts w:ascii="Palatino Linotype" w:hAnsi="Palatino Linotype"/>
        <w:color w:val="00476B"/>
        <w:sz w:val="16"/>
        <w:szCs w:val="16"/>
      </w:rPr>
    </w:pPr>
    <w:r>
      <w:rPr>
        <w:rFonts w:ascii="Arial" w:hAnsi="Arial" w:cs="Arial"/>
        <w:color w:val="000000" w:themeColor="text1"/>
        <w:sz w:val="14"/>
        <w:szCs w:val="12"/>
      </w:rPr>
      <w:t>Block B, Silverwood, Silverwood Lane, Steenberg Office Park, Tokai, 7945</w:t>
    </w:r>
  </w:p>
  <w:p w14:paraId="03A01825" w14:textId="77777777" w:rsidR="002120E8" w:rsidRPr="00ED2845" w:rsidRDefault="002120E8" w:rsidP="000B0BA9">
    <w:pPr>
      <w:pStyle w:val="Footer"/>
      <w:rPr>
        <w:color w:val="auto"/>
        <w:sz w:val="14"/>
        <w:szCs w:val="14"/>
      </w:rPr>
    </w:pPr>
    <w:r w:rsidRPr="00ED2845">
      <w:rPr>
        <w:color w:val="auto"/>
        <w:sz w:val="14"/>
        <w:szCs w:val="14"/>
      </w:rPr>
      <w:t xml:space="preserve">P.O. Box 31142, Tokai 7966 </w:t>
    </w:r>
    <w:r w:rsidR="00E2644C">
      <w:rPr>
        <w:color w:val="auto"/>
        <w:sz w:val="14"/>
        <w:szCs w:val="14"/>
      </w:rPr>
      <w:t xml:space="preserve">   </w:t>
    </w:r>
    <w:r w:rsidRPr="00ED2845">
      <w:rPr>
        <w:color w:val="auto"/>
        <w:sz w:val="14"/>
        <w:szCs w:val="14"/>
      </w:rPr>
      <w:t xml:space="preserve">Tel: +27-21-700 3600    Website: </w:t>
    </w:r>
    <w:hyperlink r:id="rId2" w:history="1">
      <w:r w:rsidRPr="00ED2845">
        <w:rPr>
          <w:rStyle w:val="Hyperlink"/>
          <w:color w:val="auto"/>
          <w:sz w:val="14"/>
          <w:szCs w:val="14"/>
        </w:rPr>
        <w:t>www.prescient.co.za</w:t>
      </w:r>
    </w:hyperlink>
  </w:p>
  <w:p w14:paraId="6D81C530" w14:textId="77777777" w:rsidR="002120E8" w:rsidRPr="00ED2845" w:rsidRDefault="002120E8" w:rsidP="000B0BA9">
    <w:pPr>
      <w:pStyle w:val="Footer"/>
      <w:rPr>
        <w:color w:val="auto"/>
        <w:sz w:val="14"/>
        <w:szCs w:val="14"/>
      </w:rPr>
    </w:pPr>
    <w:r w:rsidRPr="00ED2845">
      <w:rPr>
        <w:color w:val="auto"/>
        <w:sz w:val="14"/>
        <w:szCs w:val="14"/>
      </w:rPr>
      <w:t>Reg No. 1998/023640/07   FSP No. 612</w:t>
    </w:r>
  </w:p>
  <w:p w14:paraId="2676C351" w14:textId="77777777" w:rsidR="00460887" w:rsidRPr="00ED2845" w:rsidRDefault="00460887" w:rsidP="000B0B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8D333" w14:textId="77777777" w:rsidR="00B04988" w:rsidRDefault="00B04988" w:rsidP="007E0ED1">
      <w:r>
        <w:separator/>
      </w:r>
    </w:p>
  </w:footnote>
  <w:footnote w:type="continuationSeparator" w:id="0">
    <w:p w14:paraId="642D7C0D" w14:textId="77777777" w:rsidR="00B04988" w:rsidRDefault="00B04988" w:rsidP="007E0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7E530" w14:textId="2277279F" w:rsidR="009E105F" w:rsidRDefault="001A6001" w:rsidP="000B0BA9">
    <w:pPr>
      <w:pStyle w:val="Header"/>
    </w:pPr>
    <w:r>
      <w:rPr>
        <w:noProof/>
      </w:rPr>
      <w:drawing>
        <wp:inline distT="0" distB="0" distL="0" distR="0" wp14:anchorId="5037B5FC" wp14:editId="4B76EC24">
          <wp:extent cx="2057400" cy="554318"/>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on-transparent-background.gif"/>
                  <pic:cNvPicPr/>
                </pic:nvPicPr>
                <pic:blipFill>
                  <a:blip r:embed="rId1">
                    <a:extLst>
                      <a:ext uri="{28A0092B-C50C-407E-A947-70E740481C1C}">
                        <a14:useLocalDpi xmlns:a14="http://schemas.microsoft.com/office/drawing/2010/main" val="0"/>
                      </a:ext>
                    </a:extLst>
                  </a:blip>
                  <a:stretch>
                    <a:fillRect/>
                  </a:stretch>
                </pic:blipFill>
                <pic:spPr>
                  <a:xfrm>
                    <a:off x="0" y="0"/>
                    <a:ext cx="2118856" cy="5708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4E883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10E9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F4B5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F889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16CC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A6C1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F2F6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6816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985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CCD5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747C1"/>
    <w:multiLevelType w:val="hybridMultilevel"/>
    <w:tmpl w:val="CA769AC2"/>
    <w:lvl w:ilvl="0" w:tplc="49780024">
      <w:start w:val="1"/>
      <w:numFmt w:val="decimal"/>
      <w:lvlText w:val="%1."/>
      <w:lvlJc w:val="left"/>
      <w:pPr>
        <w:ind w:left="420" w:hanging="360"/>
      </w:pPr>
      <w:rPr>
        <w:rFonts w:ascii="Arial" w:hAnsi="Arial" w:cs="Arial" w:hint="default"/>
        <w:color w:val="000000"/>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1" w15:restartNumberingAfterBreak="0">
    <w:nsid w:val="0EC83F48"/>
    <w:multiLevelType w:val="multilevel"/>
    <w:tmpl w:val="44E800D4"/>
    <w:lvl w:ilvl="0">
      <w:start w:val="1"/>
      <w:numFmt w:val="decimal"/>
      <w:lvlText w:val="%1)"/>
      <w:lvlJc w:val="left"/>
      <w:pPr>
        <w:ind w:left="357" w:hanging="357"/>
      </w:pPr>
      <w:rPr>
        <w:rFonts w:asciiTheme="minorHAnsi" w:hAnsiTheme="minorHAnsi" w:hint="default"/>
        <w:color w:val="404040" w:themeColor="text1" w:themeTint="BF"/>
        <w:sz w:val="20"/>
      </w:rPr>
    </w:lvl>
    <w:lvl w:ilvl="1">
      <w:start w:val="1"/>
      <w:numFmt w:val="lowerLetter"/>
      <w:lvlText w:val="%2)"/>
      <w:lvlJc w:val="left"/>
      <w:pPr>
        <w:ind w:left="714" w:hanging="357"/>
      </w:pPr>
      <w:rPr>
        <w:rFonts w:ascii="Arial" w:hAnsi="Arial" w:hint="default"/>
        <w:sz w:val="20"/>
        <w:u w:color="404040" w:themeColor="text1" w:themeTint="BF"/>
      </w:rPr>
    </w:lvl>
    <w:lvl w:ilvl="2">
      <w:start w:val="1"/>
      <w:numFmt w:val="lowerRoman"/>
      <w:lvlText w:val="%3)"/>
      <w:lvlJc w:val="left"/>
      <w:pPr>
        <w:ind w:left="1071" w:hanging="357"/>
      </w:pPr>
      <w:rPr>
        <w:rFonts w:ascii="Arial" w:hAnsi="Arial" w:hint="default"/>
        <w:sz w:val="20"/>
        <w:u w:color="404040" w:themeColor="text1" w:themeTint="BF"/>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2" w15:restartNumberingAfterBreak="0">
    <w:nsid w:val="1CFF299A"/>
    <w:multiLevelType w:val="multilevel"/>
    <w:tmpl w:val="44E800D4"/>
    <w:styleLink w:val="PrescientNumberedList"/>
    <w:lvl w:ilvl="0">
      <w:start w:val="1"/>
      <w:numFmt w:val="decimal"/>
      <w:lvlText w:val="%1)"/>
      <w:lvlJc w:val="left"/>
      <w:pPr>
        <w:ind w:left="357" w:hanging="357"/>
      </w:pPr>
      <w:rPr>
        <w:rFonts w:asciiTheme="minorHAnsi" w:hAnsiTheme="minorHAnsi" w:hint="default"/>
        <w:color w:val="404040" w:themeColor="text1" w:themeTint="BF"/>
        <w:sz w:val="20"/>
      </w:rPr>
    </w:lvl>
    <w:lvl w:ilvl="1">
      <w:start w:val="1"/>
      <w:numFmt w:val="lowerLetter"/>
      <w:lvlText w:val="%2)"/>
      <w:lvlJc w:val="left"/>
      <w:pPr>
        <w:ind w:left="714" w:hanging="357"/>
      </w:pPr>
      <w:rPr>
        <w:rFonts w:ascii="Arial" w:hAnsi="Arial" w:hint="default"/>
        <w:sz w:val="20"/>
        <w:u w:color="404040" w:themeColor="text1" w:themeTint="BF"/>
      </w:rPr>
    </w:lvl>
    <w:lvl w:ilvl="2">
      <w:start w:val="1"/>
      <w:numFmt w:val="lowerRoman"/>
      <w:lvlText w:val="%3)"/>
      <w:lvlJc w:val="left"/>
      <w:pPr>
        <w:ind w:left="1071" w:hanging="357"/>
      </w:pPr>
      <w:rPr>
        <w:rFonts w:ascii="Arial" w:hAnsi="Arial" w:hint="default"/>
        <w:sz w:val="20"/>
        <w:u w:color="404040" w:themeColor="text1" w:themeTint="BF"/>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2047778B"/>
    <w:multiLevelType w:val="multilevel"/>
    <w:tmpl w:val="1C09001D"/>
    <w:numStyleLink w:val="Style1"/>
  </w:abstractNum>
  <w:abstractNum w:abstractNumId="14" w15:restartNumberingAfterBreak="0">
    <w:nsid w:val="208832AF"/>
    <w:multiLevelType w:val="multilevel"/>
    <w:tmpl w:val="44E800D4"/>
    <w:numStyleLink w:val="PrescientNumberedList"/>
  </w:abstractNum>
  <w:abstractNum w:abstractNumId="15" w15:restartNumberingAfterBreak="0">
    <w:nsid w:val="20DF50A1"/>
    <w:multiLevelType w:val="multilevel"/>
    <w:tmpl w:val="1C09001D"/>
    <w:numStyleLink w:val="Style1"/>
  </w:abstractNum>
  <w:abstractNum w:abstractNumId="16" w15:restartNumberingAfterBreak="0">
    <w:nsid w:val="213102C8"/>
    <w:multiLevelType w:val="hybridMultilevel"/>
    <w:tmpl w:val="E620037A"/>
    <w:lvl w:ilvl="0" w:tplc="2EC24F58">
      <w:start w:val="1"/>
      <w:numFmt w:val="decimal"/>
      <w:lvlText w:val="1.1%1"/>
      <w:lvlJc w:val="left"/>
      <w:pPr>
        <w:ind w:left="180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9A97B9F"/>
    <w:multiLevelType w:val="hybridMultilevel"/>
    <w:tmpl w:val="F7C28B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7057BE4"/>
    <w:multiLevelType w:val="hybridMultilevel"/>
    <w:tmpl w:val="4D80B640"/>
    <w:lvl w:ilvl="0" w:tplc="C3D4564E">
      <w:start w:val="1"/>
      <w:numFmt w:val="decimal"/>
      <w:lvlText w:val="%1."/>
      <w:lvlJc w:val="left"/>
      <w:pPr>
        <w:ind w:left="720" w:hanging="360"/>
      </w:pPr>
      <w:rPr>
        <w:rFonts w:ascii="Arial" w:hAnsi="Arial" w:hint="default"/>
        <w:color w:val="404040" w:themeColor="text1" w:themeTint="BF"/>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91068E5"/>
    <w:multiLevelType w:val="multilevel"/>
    <w:tmpl w:val="44E800D4"/>
    <w:lvl w:ilvl="0">
      <w:start w:val="1"/>
      <w:numFmt w:val="decimal"/>
      <w:lvlText w:val="%1)"/>
      <w:lvlJc w:val="left"/>
      <w:pPr>
        <w:ind w:left="357" w:hanging="357"/>
      </w:pPr>
      <w:rPr>
        <w:rFonts w:asciiTheme="minorHAnsi" w:hAnsiTheme="minorHAnsi" w:hint="default"/>
        <w:color w:val="404040" w:themeColor="text1" w:themeTint="BF"/>
        <w:sz w:val="20"/>
      </w:rPr>
    </w:lvl>
    <w:lvl w:ilvl="1">
      <w:start w:val="1"/>
      <w:numFmt w:val="lowerLetter"/>
      <w:lvlText w:val="%2)"/>
      <w:lvlJc w:val="left"/>
      <w:pPr>
        <w:ind w:left="714" w:hanging="357"/>
      </w:pPr>
      <w:rPr>
        <w:rFonts w:ascii="Arial" w:hAnsi="Arial" w:hint="default"/>
        <w:sz w:val="20"/>
        <w:u w:color="404040" w:themeColor="text1" w:themeTint="BF"/>
      </w:rPr>
    </w:lvl>
    <w:lvl w:ilvl="2">
      <w:start w:val="1"/>
      <w:numFmt w:val="lowerRoman"/>
      <w:lvlText w:val="%3)"/>
      <w:lvlJc w:val="left"/>
      <w:pPr>
        <w:ind w:left="1071" w:hanging="357"/>
      </w:pPr>
      <w:rPr>
        <w:rFonts w:ascii="Arial" w:hAnsi="Arial" w:hint="default"/>
        <w:sz w:val="20"/>
        <w:u w:color="404040" w:themeColor="text1" w:themeTint="BF"/>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44B51697"/>
    <w:multiLevelType w:val="hybridMultilevel"/>
    <w:tmpl w:val="BD609DB4"/>
    <w:lvl w:ilvl="0" w:tplc="6E621470">
      <w:start w:val="1"/>
      <w:numFmt w:val="bullet"/>
      <w:lvlText w:val=""/>
      <w:lvlJc w:val="left"/>
      <w:pPr>
        <w:tabs>
          <w:tab w:val="num" w:pos="720"/>
        </w:tabs>
        <w:ind w:left="720" w:hanging="360"/>
      </w:pPr>
      <w:rPr>
        <w:rFonts w:ascii="Wingdings" w:hAnsi="Wingdings" w:hint="default"/>
      </w:rPr>
    </w:lvl>
    <w:lvl w:ilvl="1" w:tplc="597C670E" w:tentative="1">
      <w:start w:val="1"/>
      <w:numFmt w:val="bullet"/>
      <w:lvlText w:val=""/>
      <w:lvlJc w:val="left"/>
      <w:pPr>
        <w:tabs>
          <w:tab w:val="num" w:pos="1440"/>
        </w:tabs>
        <w:ind w:left="1440" w:hanging="360"/>
      </w:pPr>
      <w:rPr>
        <w:rFonts w:ascii="Wingdings" w:hAnsi="Wingdings" w:hint="default"/>
      </w:rPr>
    </w:lvl>
    <w:lvl w:ilvl="2" w:tplc="EA3C8E00" w:tentative="1">
      <w:start w:val="1"/>
      <w:numFmt w:val="bullet"/>
      <w:lvlText w:val=""/>
      <w:lvlJc w:val="left"/>
      <w:pPr>
        <w:tabs>
          <w:tab w:val="num" w:pos="2160"/>
        </w:tabs>
        <w:ind w:left="2160" w:hanging="360"/>
      </w:pPr>
      <w:rPr>
        <w:rFonts w:ascii="Wingdings" w:hAnsi="Wingdings" w:hint="default"/>
      </w:rPr>
    </w:lvl>
    <w:lvl w:ilvl="3" w:tplc="2326F3BA" w:tentative="1">
      <w:start w:val="1"/>
      <w:numFmt w:val="bullet"/>
      <w:lvlText w:val=""/>
      <w:lvlJc w:val="left"/>
      <w:pPr>
        <w:tabs>
          <w:tab w:val="num" w:pos="2880"/>
        </w:tabs>
        <w:ind w:left="2880" w:hanging="360"/>
      </w:pPr>
      <w:rPr>
        <w:rFonts w:ascii="Wingdings" w:hAnsi="Wingdings" w:hint="default"/>
      </w:rPr>
    </w:lvl>
    <w:lvl w:ilvl="4" w:tplc="DC647D10" w:tentative="1">
      <w:start w:val="1"/>
      <w:numFmt w:val="bullet"/>
      <w:lvlText w:val=""/>
      <w:lvlJc w:val="left"/>
      <w:pPr>
        <w:tabs>
          <w:tab w:val="num" w:pos="3600"/>
        </w:tabs>
        <w:ind w:left="3600" w:hanging="360"/>
      </w:pPr>
      <w:rPr>
        <w:rFonts w:ascii="Wingdings" w:hAnsi="Wingdings" w:hint="default"/>
      </w:rPr>
    </w:lvl>
    <w:lvl w:ilvl="5" w:tplc="37C4C8E8" w:tentative="1">
      <w:start w:val="1"/>
      <w:numFmt w:val="bullet"/>
      <w:lvlText w:val=""/>
      <w:lvlJc w:val="left"/>
      <w:pPr>
        <w:tabs>
          <w:tab w:val="num" w:pos="4320"/>
        </w:tabs>
        <w:ind w:left="4320" w:hanging="360"/>
      </w:pPr>
      <w:rPr>
        <w:rFonts w:ascii="Wingdings" w:hAnsi="Wingdings" w:hint="default"/>
      </w:rPr>
    </w:lvl>
    <w:lvl w:ilvl="6" w:tplc="1C0E9B00" w:tentative="1">
      <w:start w:val="1"/>
      <w:numFmt w:val="bullet"/>
      <w:lvlText w:val=""/>
      <w:lvlJc w:val="left"/>
      <w:pPr>
        <w:tabs>
          <w:tab w:val="num" w:pos="5040"/>
        </w:tabs>
        <w:ind w:left="5040" w:hanging="360"/>
      </w:pPr>
      <w:rPr>
        <w:rFonts w:ascii="Wingdings" w:hAnsi="Wingdings" w:hint="default"/>
      </w:rPr>
    </w:lvl>
    <w:lvl w:ilvl="7" w:tplc="BE567B32" w:tentative="1">
      <w:start w:val="1"/>
      <w:numFmt w:val="bullet"/>
      <w:lvlText w:val=""/>
      <w:lvlJc w:val="left"/>
      <w:pPr>
        <w:tabs>
          <w:tab w:val="num" w:pos="5760"/>
        </w:tabs>
        <w:ind w:left="5760" w:hanging="360"/>
      </w:pPr>
      <w:rPr>
        <w:rFonts w:ascii="Wingdings" w:hAnsi="Wingdings" w:hint="default"/>
      </w:rPr>
    </w:lvl>
    <w:lvl w:ilvl="8" w:tplc="BBDC674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1F0AE2"/>
    <w:multiLevelType w:val="hybridMultilevel"/>
    <w:tmpl w:val="4EA20D06"/>
    <w:lvl w:ilvl="0" w:tplc="1CCAB55E">
      <w:start w:val="1"/>
      <w:numFmt w:val="bullet"/>
      <w:lvlText w:val=""/>
      <w:lvlJc w:val="left"/>
      <w:pPr>
        <w:tabs>
          <w:tab w:val="num" w:pos="720"/>
        </w:tabs>
        <w:ind w:left="720" w:hanging="360"/>
      </w:pPr>
      <w:rPr>
        <w:rFonts w:ascii="Wingdings" w:hAnsi="Wingdings" w:hint="default"/>
      </w:rPr>
    </w:lvl>
    <w:lvl w:ilvl="1" w:tplc="77E89E78" w:tentative="1">
      <w:start w:val="1"/>
      <w:numFmt w:val="bullet"/>
      <w:lvlText w:val=""/>
      <w:lvlJc w:val="left"/>
      <w:pPr>
        <w:tabs>
          <w:tab w:val="num" w:pos="1440"/>
        </w:tabs>
        <w:ind w:left="1440" w:hanging="360"/>
      </w:pPr>
      <w:rPr>
        <w:rFonts w:ascii="Wingdings" w:hAnsi="Wingdings" w:hint="default"/>
      </w:rPr>
    </w:lvl>
    <w:lvl w:ilvl="2" w:tplc="D7CEBA9A" w:tentative="1">
      <w:start w:val="1"/>
      <w:numFmt w:val="bullet"/>
      <w:lvlText w:val=""/>
      <w:lvlJc w:val="left"/>
      <w:pPr>
        <w:tabs>
          <w:tab w:val="num" w:pos="2160"/>
        </w:tabs>
        <w:ind w:left="2160" w:hanging="360"/>
      </w:pPr>
      <w:rPr>
        <w:rFonts w:ascii="Wingdings" w:hAnsi="Wingdings" w:hint="default"/>
      </w:rPr>
    </w:lvl>
    <w:lvl w:ilvl="3" w:tplc="56DCB1CA" w:tentative="1">
      <w:start w:val="1"/>
      <w:numFmt w:val="bullet"/>
      <w:lvlText w:val=""/>
      <w:lvlJc w:val="left"/>
      <w:pPr>
        <w:tabs>
          <w:tab w:val="num" w:pos="2880"/>
        </w:tabs>
        <w:ind w:left="2880" w:hanging="360"/>
      </w:pPr>
      <w:rPr>
        <w:rFonts w:ascii="Wingdings" w:hAnsi="Wingdings" w:hint="default"/>
      </w:rPr>
    </w:lvl>
    <w:lvl w:ilvl="4" w:tplc="46D6DCC2" w:tentative="1">
      <w:start w:val="1"/>
      <w:numFmt w:val="bullet"/>
      <w:lvlText w:val=""/>
      <w:lvlJc w:val="left"/>
      <w:pPr>
        <w:tabs>
          <w:tab w:val="num" w:pos="3600"/>
        </w:tabs>
        <w:ind w:left="3600" w:hanging="360"/>
      </w:pPr>
      <w:rPr>
        <w:rFonts w:ascii="Wingdings" w:hAnsi="Wingdings" w:hint="default"/>
      </w:rPr>
    </w:lvl>
    <w:lvl w:ilvl="5" w:tplc="91CCBEB6" w:tentative="1">
      <w:start w:val="1"/>
      <w:numFmt w:val="bullet"/>
      <w:lvlText w:val=""/>
      <w:lvlJc w:val="left"/>
      <w:pPr>
        <w:tabs>
          <w:tab w:val="num" w:pos="4320"/>
        </w:tabs>
        <w:ind w:left="4320" w:hanging="360"/>
      </w:pPr>
      <w:rPr>
        <w:rFonts w:ascii="Wingdings" w:hAnsi="Wingdings" w:hint="default"/>
      </w:rPr>
    </w:lvl>
    <w:lvl w:ilvl="6" w:tplc="D92C28C8" w:tentative="1">
      <w:start w:val="1"/>
      <w:numFmt w:val="bullet"/>
      <w:lvlText w:val=""/>
      <w:lvlJc w:val="left"/>
      <w:pPr>
        <w:tabs>
          <w:tab w:val="num" w:pos="5040"/>
        </w:tabs>
        <w:ind w:left="5040" w:hanging="360"/>
      </w:pPr>
      <w:rPr>
        <w:rFonts w:ascii="Wingdings" w:hAnsi="Wingdings" w:hint="default"/>
      </w:rPr>
    </w:lvl>
    <w:lvl w:ilvl="7" w:tplc="0F2A277E" w:tentative="1">
      <w:start w:val="1"/>
      <w:numFmt w:val="bullet"/>
      <w:lvlText w:val=""/>
      <w:lvlJc w:val="left"/>
      <w:pPr>
        <w:tabs>
          <w:tab w:val="num" w:pos="5760"/>
        </w:tabs>
        <w:ind w:left="5760" w:hanging="360"/>
      </w:pPr>
      <w:rPr>
        <w:rFonts w:ascii="Wingdings" w:hAnsi="Wingdings" w:hint="default"/>
      </w:rPr>
    </w:lvl>
    <w:lvl w:ilvl="8" w:tplc="70DE7C5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EF649F"/>
    <w:multiLevelType w:val="multilevel"/>
    <w:tmpl w:val="1C09001F"/>
    <w:lvl w:ilvl="0">
      <w:start w:val="1"/>
      <w:numFmt w:val="decimal"/>
      <w:lvlText w:val="%1."/>
      <w:lvlJc w:val="left"/>
      <w:pPr>
        <w:ind w:left="360" w:hanging="360"/>
      </w:pPr>
      <w:rPr>
        <w:rFonts w:hint="default"/>
        <w:color w:val="404040" w:themeColor="text1" w:themeTint="BF"/>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E14225D"/>
    <w:multiLevelType w:val="hybridMultilevel"/>
    <w:tmpl w:val="E576955E"/>
    <w:lvl w:ilvl="0" w:tplc="C3D4564E">
      <w:start w:val="1"/>
      <w:numFmt w:val="decimal"/>
      <w:lvlText w:val="%1."/>
      <w:lvlJc w:val="left"/>
      <w:pPr>
        <w:ind w:left="720" w:hanging="360"/>
      </w:pPr>
      <w:rPr>
        <w:rFonts w:ascii="Arial" w:hAnsi="Arial" w:hint="default"/>
        <w:color w:val="404040" w:themeColor="text1" w:themeTint="BF"/>
        <w:sz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18D59B2"/>
    <w:multiLevelType w:val="multilevel"/>
    <w:tmpl w:val="44E800D4"/>
    <w:lvl w:ilvl="0">
      <w:start w:val="1"/>
      <w:numFmt w:val="decimal"/>
      <w:lvlText w:val="%1)"/>
      <w:lvlJc w:val="left"/>
      <w:pPr>
        <w:ind w:left="357" w:hanging="357"/>
      </w:pPr>
      <w:rPr>
        <w:rFonts w:asciiTheme="minorHAnsi" w:hAnsiTheme="minorHAnsi" w:hint="default"/>
        <w:color w:val="404040" w:themeColor="text1" w:themeTint="BF"/>
        <w:sz w:val="20"/>
      </w:rPr>
    </w:lvl>
    <w:lvl w:ilvl="1">
      <w:start w:val="1"/>
      <w:numFmt w:val="lowerLetter"/>
      <w:lvlText w:val="%2)"/>
      <w:lvlJc w:val="left"/>
      <w:pPr>
        <w:ind w:left="714" w:hanging="357"/>
      </w:pPr>
      <w:rPr>
        <w:rFonts w:ascii="Arial" w:hAnsi="Arial" w:hint="default"/>
        <w:sz w:val="20"/>
        <w:u w:color="404040" w:themeColor="text1" w:themeTint="BF"/>
      </w:rPr>
    </w:lvl>
    <w:lvl w:ilvl="2">
      <w:start w:val="1"/>
      <w:numFmt w:val="lowerRoman"/>
      <w:lvlText w:val="%3)"/>
      <w:lvlJc w:val="left"/>
      <w:pPr>
        <w:ind w:left="1071" w:hanging="357"/>
      </w:pPr>
      <w:rPr>
        <w:rFonts w:ascii="Arial" w:hAnsi="Arial" w:hint="default"/>
        <w:sz w:val="20"/>
        <w:u w:color="404040" w:themeColor="text1" w:themeTint="BF"/>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5" w15:restartNumberingAfterBreak="0">
    <w:nsid w:val="5D000BC0"/>
    <w:multiLevelType w:val="hybridMultilevel"/>
    <w:tmpl w:val="788E7B98"/>
    <w:lvl w:ilvl="0" w:tplc="1C090001">
      <w:start w:val="1"/>
      <w:numFmt w:val="bullet"/>
      <w:lvlText w:val=""/>
      <w:lvlJc w:val="left"/>
      <w:pPr>
        <w:ind w:left="3600" w:hanging="360"/>
      </w:pPr>
      <w:rPr>
        <w:rFonts w:ascii="Symbol" w:hAnsi="Symbol" w:hint="default"/>
      </w:rPr>
    </w:lvl>
    <w:lvl w:ilvl="1" w:tplc="1C090003" w:tentative="1">
      <w:start w:val="1"/>
      <w:numFmt w:val="bullet"/>
      <w:lvlText w:val="o"/>
      <w:lvlJc w:val="left"/>
      <w:pPr>
        <w:ind w:left="4320" w:hanging="360"/>
      </w:pPr>
      <w:rPr>
        <w:rFonts w:ascii="Courier New" w:hAnsi="Courier New" w:cs="Courier New" w:hint="default"/>
      </w:rPr>
    </w:lvl>
    <w:lvl w:ilvl="2" w:tplc="1C090005" w:tentative="1">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26" w15:restartNumberingAfterBreak="0">
    <w:nsid w:val="5DF132E9"/>
    <w:multiLevelType w:val="hybridMultilevel"/>
    <w:tmpl w:val="DEC84F70"/>
    <w:lvl w:ilvl="0" w:tplc="FFCA8C26">
      <w:start w:val="1"/>
      <w:numFmt w:val="bullet"/>
      <w:lvlText w:val=""/>
      <w:lvlJc w:val="left"/>
      <w:pPr>
        <w:ind w:left="720" w:hanging="360"/>
      </w:pPr>
      <w:rPr>
        <w:rFonts w:ascii="Symbol" w:hAnsi="Symbol" w:hint="default"/>
      </w:rPr>
    </w:lvl>
    <w:lvl w:ilvl="1" w:tplc="2C6EDB62" w:tentative="1">
      <w:start w:val="1"/>
      <w:numFmt w:val="bullet"/>
      <w:lvlText w:val="o"/>
      <w:lvlJc w:val="left"/>
      <w:pPr>
        <w:ind w:left="1440" w:hanging="360"/>
      </w:pPr>
      <w:rPr>
        <w:rFonts w:ascii="Courier New" w:hAnsi="Courier New" w:cs="Courier New" w:hint="default"/>
      </w:rPr>
    </w:lvl>
    <w:lvl w:ilvl="2" w:tplc="E7ECD6D4" w:tentative="1">
      <w:start w:val="1"/>
      <w:numFmt w:val="bullet"/>
      <w:lvlText w:val=""/>
      <w:lvlJc w:val="left"/>
      <w:pPr>
        <w:ind w:left="2160" w:hanging="360"/>
      </w:pPr>
      <w:rPr>
        <w:rFonts w:ascii="Wingdings" w:hAnsi="Wingdings" w:hint="default"/>
      </w:rPr>
    </w:lvl>
    <w:lvl w:ilvl="3" w:tplc="24E252AC" w:tentative="1">
      <w:start w:val="1"/>
      <w:numFmt w:val="bullet"/>
      <w:lvlText w:val=""/>
      <w:lvlJc w:val="left"/>
      <w:pPr>
        <w:ind w:left="2880" w:hanging="360"/>
      </w:pPr>
      <w:rPr>
        <w:rFonts w:ascii="Symbol" w:hAnsi="Symbol" w:hint="default"/>
      </w:rPr>
    </w:lvl>
    <w:lvl w:ilvl="4" w:tplc="157A4BBC" w:tentative="1">
      <w:start w:val="1"/>
      <w:numFmt w:val="bullet"/>
      <w:lvlText w:val="o"/>
      <w:lvlJc w:val="left"/>
      <w:pPr>
        <w:ind w:left="3600" w:hanging="360"/>
      </w:pPr>
      <w:rPr>
        <w:rFonts w:ascii="Courier New" w:hAnsi="Courier New" w:cs="Courier New" w:hint="default"/>
      </w:rPr>
    </w:lvl>
    <w:lvl w:ilvl="5" w:tplc="BF56D042" w:tentative="1">
      <w:start w:val="1"/>
      <w:numFmt w:val="bullet"/>
      <w:lvlText w:val=""/>
      <w:lvlJc w:val="left"/>
      <w:pPr>
        <w:ind w:left="4320" w:hanging="360"/>
      </w:pPr>
      <w:rPr>
        <w:rFonts w:ascii="Wingdings" w:hAnsi="Wingdings" w:hint="default"/>
      </w:rPr>
    </w:lvl>
    <w:lvl w:ilvl="6" w:tplc="10943EB6" w:tentative="1">
      <w:start w:val="1"/>
      <w:numFmt w:val="bullet"/>
      <w:lvlText w:val=""/>
      <w:lvlJc w:val="left"/>
      <w:pPr>
        <w:ind w:left="5040" w:hanging="360"/>
      </w:pPr>
      <w:rPr>
        <w:rFonts w:ascii="Symbol" w:hAnsi="Symbol" w:hint="default"/>
      </w:rPr>
    </w:lvl>
    <w:lvl w:ilvl="7" w:tplc="36CC7946" w:tentative="1">
      <w:start w:val="1"/>
      <w:numFmt w:val="bullet"/>
      <w:lvlText w:val="o"/>
      <w:lvlJc w:val="left"/>
      <w:pPr>
        <w:ind w:left="5760" w:hanging="360"/>
      </w:pPr>
      <w:rPr>
        <w:rFonts w:ascii="Courier New" w:hAnsi="Courier New" w:cs="Courier New" w:hint="default"/>
      </w:rPr>
    </w:lvl>
    <w:lvl w:ilvl="8" w:tplc="10E8D100" w:tentative="1">
      <w:start w:val="1"/>
      <w:numFmt w:val="bullet"/>
      <w:lvlText w:val=""/>
      <w:lvlJc w:val="left"/>
      <w:pPr>
        <w:ind w:left="6480" w:hanging="360"/>
      </w:pPr>
      <w:rPr>
        <w:rFonts w:ascii="Wingdings" w:hAnsi="Wingdings" w:hint="default"/>
      </w:rPr>
    </w:lvl>
  </w:abstractNum>
  <w:abstractNum w:abstractNumId="27" w15:restartNumberingAfterBreak="0">
    <w:nsid w:val="5E6E7BEF"/>
    <w:multiLevelType w:val="hybridMultilevel"/>
    <w:tmpl w:val="80FA939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6650EFC"/>
    <w:multiLevelType w:val="hybridMultilevel"/>
    <w:tmpl w:val="5854229C"/>
    <w:lvl w:ilvl="0" w:tplc="C3D4564E">
      <w:start w:val="1"/>
      <w:numFmt w:val="decimal"/>
      <w:lvlText w:val="%1."/>
      <w:lvlJc w:val="left"/>
      <w:pPr>
        <w:ind w:left="1080" w:hanging="360"/>
      </w:pPr>
      <w:rPr>
        <w:rFonts w:ascii="Arial" w:hAnsi="Arial" w:hint="default"/>
        <w:color w:val="404040" w:themeColor="text1" w:themeTint="BF"/>
        <w:sz w:val="20"/>
      </w:rPr>
    </w:lvl>
    <w:lvl w:ilvl="1" w:tplc="2EC24F58">
      <w:start w:val="1"/>
      <w:numFmt w:val="decimal"/>
      <w:lvlText w:val="1.1%2"/>
      <w:lvlJc w:val="left"/>
      <w:pPr>
        <w:ind w:left="1800" w:hanging="360"/>
      </w:pPr>
      <w:rPr>
        <w:rFonts w:hint="default"/>
      </w:r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15:restartNumberingAfterBreak="0">
    <w:nsid w:val="74AC2AF8"/>
    <w:multiLevelType w:val="multilevel"/>
    <w:tmpl w:val="1C09001D"/>
    <w:styleLink w:val="Style1"/>
    <w:lvl w:ilvl="0">
      <w:start w:val="1"/>
      <w:numFmt w:val="bullet"/>
      <w:lvlText w:val="■"/>
      <w:lvlJc w:val="left"/>
      <w:pPr>
        <w:ind w:left="360" w:hanging="360"/>
      </w:pPr>
      <w:rPr>
        <w:rFonts w:ascii="Arial" w:hAnsi="Arial" w:hint="default"/>
        <w:color w:val="00476B" w:themeColor="accent1"/>
        <w:sz w:val="20"/>
      </w:rPr>
    </w:lvl>
    <w:lvl w:ilvl="1">
      <w:start w:val="1"/>
      <w:numFmt w:val="bullet"/>
      <w:lvlText w:val="−"/>
      <w:lvlJc w:val="left"/>
      <w:pPr>
        <w:ind w:left="720" w:hanging="360"/>
      </w:pPr>
      <w:rPr>
        <w:rFonts w:ascii="Arial" w:hAnsi="Arial" w:hint="default"/>
        <w:color w:val="00476B" w:themeColor="accent1"/>
      </w:rPr>
    </w:lvl>
    <w:lvl w:ilvl="2">
      <w:start w:val="1"/>
      <w:numFmt w:val="bullet"/>
      <w:lvlText w:val=""/>
      <w:lvlJc w:val="left"/>
      <w:pPr>
        <w:ind w:left="1080" w:hanging="360"/>
      </w:pPr>
      <w:rPr>
        <w:rFonts w:ascii="Symbol" w:hAnsi="Symbol" w:hint="default"/>
        <w:color w:val="00476B" w:themeColor="accent1"/>
      </w:rPr>
    </w:lvl>
    <w:lvl w:ilvl="3">
      <w:start w:val="1"/>
      <w:numFmt w:val="bullet"/>
      <w:lvlText w:val="»"/>
      <w:lvlJc w:val="left"/>
      <w:pPr>
        <w:ind w:left="1440" w:hanging="360"/>
      </w:pPr>
      <w:rPr>
        <w:rFonts w:ascii="Arial" w:hAnsi="Arial" w:hint="default"/>
        <w:color w:val="00476B" w:themeColor="accent1"/>
        <w:sz w:val="20"/>
      </w:rPr>
    </w:lvl>
    <w:lvl w:ilvl="4">
      <w:start w:val="1"/>
      <w:numFmt w:val="bullet"/>
      <w:lvlText w:val="−"/>
      <w:lvlJc w:val="left"/>
      <w:pPr>
        <w:ind w:left="1800" w:hanging="360"/>
      </w:pPr>
      <w:rPr>
        <w:rFonts w:ascii="Arial" w:hAnsi="Arial" w:hint="default"/>
        <w:color w:val="00476B" w:themeColor="accent1"/>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85F15BB"/>
    <w:multiLevelType w:val="hybridMultilevel"/>
    <w:tmpl w:val="DAA8055A"/>
    <w:lvl w:ilvl="0" w:tplc="761A55AA">
      <w:start w:val="1"/>
      <w:numFmt w:val="decimal"/>
      <w:lvlText w:val="%1."/>
      <w:lvlJc w:val="left"/>
      <w:pPr>
        <w:ind w:left="720" w:hanging="360"/>
      </w:pPr>
      <w:rPr>
        <w:rFonts w:ascii="Arial" w:hAnsi="Arial" w:hint="default"/>
        <w:color w:val="404040" w:themeColor="text1" w:themeTint="BF"/>
        <w:sz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1"/>
  </w:num>
  <w:num w:numId="14">
    <w:abstractNumId w:val="24"/>
  </w:num>
  <w:num w:numId="15">
    <w:abstractNumId w:val="19"/>
  </w:num>
  <w:num w:numId="16">
    <w:abstractNumId w:val="18"/>
  </w:num>
  <w:num w:numId="17">
    <w:abstractNumId w:val="23"/>
  </w:num>
  <w:num w:numId="18">
    <w:abstractNumId w:val="28"/>
  </w:num>
  <w:num w:numId="19">
    <w:abstractNumId w:val="16"/>
  </w:num>
  <w:num w:numId="20">
    <w:abstractNumId w:val="22"/>
  </w:num>
  <w:num w:numId="21">
    <w:abstractNumId w:val="30"/>
  </w:num>
  <w:num w:numId="22">
    <w:abstractNumId w:val="29"/>
  </w:num>
  <w:num w:numId="23">
    <w:abstractNumId w:val="13"/>
  </w:num>
  <w:num w:numId="24">
    <w:abstractNumId w:val="15"/>
  </w:num>
  <w:num w:numId="25">
    <w:abstractNumId w:val="10"/>
  </w:num>
  <w:num w:numId="26">
    <w:abstractNumId w:val="26"/>
  </w:num>
  <w:num w:numId="27">
    <w:abstractNumId w:val="25"/>
  </w:num>
  <w:num w:numId="28">
    <w:abstractNumId w:val="27"/>
  </w:num>
  <w:num w:numId="29">
    <w:abstractNumId w:val="21"/>
  </w:num>
  <w:num w:numId="30">
    <w:abstractNumId w:val="20"/>
  </w:num>
  <w:num w:numId="31">
    <w:abstractNumId w:val="17"/>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720"/>
  <w:drawingGridHorizontalSpacing w:val="120"/>
  <w:drawingGridVerticalSpacing w:val="163"/>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9BD"/>
    <w:rsid w:val="0001554A"/>
    <w:rsid w:val="0005028C"/>
    <w:rsid w:val="00072CA1"/>
    <w:rsid w:val="00077121"/>
    <w:rsid w:val="00081D2B"/>
    <w:rsid w:val="000A2EB4"/>
    <w:rsid w:val="000B0BA9"/>
    <w:rsid w:val="000D3D61"/>
    <w:rsid w:val="000E0875"/>
    <w:rsid w:val="000E78A9"/>
    <w:rsid w:val="001033F7"/>
    <w:rsid w:val="00110F59"/>
    <w:rsid w:val="00136B45"/>
    <w:rsid w:val="001531CD"/>
    <w:rsid w:val="00153266"/>
    <w:rsid w:val="001703BF"/>
    <w:rsid w:val="001749A7"/>
    <w:rsid w:val="001749E9"/>
    <w:rsid w:val="001934EC"/>
    <w:rsid w:val="001A068C"/>
    <w:rsid w:val="001A4799"/>
    <w:rsid w:val="001A6001"/>
    <w:rsid w:val="001A7F72"/>
    <w:rsid w:val="001C2DAC"/>
    <w:rsid w:val="001C56BE"/>
    <w:rsid w:val="001E34A3"/>
    <w:rsid w:val="001F11FE"/>
    <w:rsid w:val="00211091"/>
    <w:rsid w:val="002120E8"/>
    <w:rsid w:val="0025050B"/>
    <w:rsid w:val="002765CF"/>
    <w:rsid w:val="00294840"/>
    <w:rsid w:val="00295481"/>
    <w:rsid w:val="002B64FF"/>
    <w:rsid w:val="002C2287"/>
    <w:rsid w:val="002D50F8"/>
    <w:rsid w:val="002E0978"/>
    <w:rsid w:val="0031034D"/>
    <w:rsid w:val="00316D6B"/>
    <w:rsid w:val="00331054"/>
    <w:rsid w:val="00331A35"/>
    <w:rsid w:val="003322A5"/>
    <w:rsid w:val="00343258"/>
    <w:rsid w:val="003463F6"/>
    <w:rsid w:val="003509FF"/>
    <w:rsid w:val="003549B5"/>
    <w:rsid w:val="00356DE7"/>
    <w:rsid w:val="0035770B"/>
    <w:rsid w:val="00357E59"/>
    <w:rsid w:val="003716F4"/>
    <w:rsid w:val="00380C52"/>
    <w:rsid w:val="00381CD7"/>
    <w:rsid w:val="003849EC"/>
    <w:rsid w:val="00390E5F"/>
    <w:rsid w:val="003E5A78"/>
    <w:rsid w:val="003F0C35"/>
    <w:rsid w:val="004169BD"/>
    <w:rsid w:val="00442E68"/>
    <w:rsid w:val="0045209A"/>
    <w:rsid w:val="00460887"/>
    <w:rsid w:val="004656F5"/>
    <w:rsid w:val="004679A6"/>
    <w:rsid w:val="00477EA5"/>
    <w:rsid w:val="004A463E"/>
    <w:rsid w:val="004A5820"/>
    <w:rsid w:val="004B7634"/>
    <w:rsid w:val="004D7862"/>
    <w:rsid w:val="004E38F4"/>
    <w:rsid w:val="004F108F"/>
    <w:rsid w:val="004F1CE5"/>
    <w:rsid w:val="0052654E"/>
    <w:rsid w:val="005321F9"/>
    <w:rsid w:val="00534165"/>
    <w:rsid w:val="005459D6"/>
    <w:rsid w:val="00553B79"/>
    <w:rsid w:val="00562019"/>
    <w:rsid w:val="00564920"/>
    <w:rsid w:val="00584A70"/>
    <w:rsid w:val="00586053"/>
    <w:rsid w:val="00587CDA"/>
    <w:rsid w:val="005C634E"/>
    <w:rsid w:val="005F2045"/>
    <w:rsid w:val="005F2890"/>
    <w:rsid w:val="005F659B"/>
    <w:rsid w:val="00616AC1"/>
    <w:rsid w:val="0063657E"/>
    <w:rsid w:val="006421AD"/>
    <w:rsid w:val="00646A23"/>
    <w:rsid w:val="00650D1F"/>
    <w:rsid w:val="00651FD4"/>
    <w:rsid w:val="00657F29"/>
    <w:rsid w:val="00663E55"/>
    <w:rsid w:val="00680E34"/>
    <w:rsid w:val="006858CB"/>
    <w:rsid w:val="0069182B"/>
    <w:rsid w:val="006A4F5E"/>
    <w:rsid w:val="006B5B72"/>
    <w:rsid w:val="006C369C"/>
    <w:rsid w:val="006C4D43"/>
    <w:rsid w:val="006C6515"/>
    <w:rsid w:val="006C6C6C"/>
    <w:rsid w:val="006D1090"/>
    <w:rsid w:val="006D2128"/>
    <w:rsid w:val="006F0AC0"/>
    <w:rsid w:val="006F5B18"/>
    <w:rsid w:val="006F69F3"/>
    <w:rsid w:val="007050FA"/>
    <w:rsid w:val="00727C97"/>
    <w:rsid w:val="00765D3E"/>
    <w:rsid w:val="007661AC"/>
    <w:rsid w:val="00771FAB"/>
    <w:rsid w:val="00774CD3"/>
    <w:rsid w:val="00782C2F"/>
    <w:rsid w:val="00786CF6"/>
    <w:rsid w:val="00795C3D"/>
    <w:rsid w:val="007C26BA"/>
    <w:rsid w:val="007D4207"/>
    <w:rsid w:val="007E0ED1"/>
    <w:rsid w:val="007F2FFB"/>
    <w:rsid w:val="00802C42"/>
    <w:rsid w:val="00807097"/>
    <w:rsid w:val="00824F26"/>
    <w:rsid w:val="00850175"/>
    <w:rsid w:val="008649D4"/>
    <w:rsid w:val="008755EE"/>
    <w:rsid w:val="00875DD2"/>
    <w:rsid w:val="008A2C92"/>
    <w:rsid w:val="008B2D1E"/>
    <w:rsid w:val="008B5219"/>
    <w:rsid w:val="008B5C78"/>
    <w:rsid w:val="008B6797"/>
    <w:rsid w:val="008C66F6"/>
    <w:rsid w:val="008D1385"/>
    <w:rsid w:val="008D554A"/>
    <w:rsid w:val="008D5BE2"/>
    <w:rsid w:val="008E7E48"/>
    <w:rsid w:val="008F77B5"/>
    <w:rsid w:val="009144F9"/>
    <w:rsid w:val="00931238"/>
    <w:rsid w:val="00932FB3"/>
    <w:rsid w:val="00941C8C"/>
    <w:rsid w:val="0094494A"/>
    <w:rsid w:val="00954A66"/>
    <w:rsid w:val="00957C25"/>
    <w:rsid w:val="00960392"/>
    <w:rsid w:val="00980EB6"/>
    <w:rsid w:val="009831BC"/>
    <w:rsid w:val="00984AE8"/>
    <w:rsid w:val="009A3705"/>
    <w:rsid w:val="009A59A7"/>
    <w:rsid w:val="009B2548"/>
    <w:rsid w:val="009D41AC"/>
    <w:rsid w:val="009E105F"/>
    <w:rsid w:val="009E2B35"/>
    <w:rsid w:val="009E404D"/>
    <w:rsid w:val="00A248F8"/>
    <w:rsid w:val="00A27C02"/>
    <w:rsid w:val="00A47CC7"/>
    <w:rsid w:val="00A5644F"/>
    <w:rsid w:val="00A649A0"/>
    <w:rsid w:val="00A65A73"/>
    <w:rsid w:val="00A71D4D"/>
    <w:rsid w:val="00A73B73"/>
    <w:rsid w:val="00A74869"/>
    <w:rsid w:val="00A76577"/>
    <w:rsid w:val="00A85E07"/>
    <w:rsid w:val="00A93A20"/>
    <w:rsid w:val="00AA0F36"/>
    <w:rsid w:val="00AB4711"/>
    <w:rsid w:val="00AC24FD"/>
    <w:rsid w:val="00AD5436"/>
    <w:rsid w:val="00AD6B43"/>
    <w:rsid w:val="00AE6CD7"/>
    <w:rsid w:val="00AF5334"/>
    <w:rsid w:val="00AF53D6"/>
    <w:rsid w:val="00AF6F2E"/>
    <w:rsid w:val="00B04988"/>
    <w:rsid w:val="00B058B3"/>
    <w:rsid w:val="00B05AEF"/>
    <w:rsid w:val="00B11BD3"/>
    <w:rsid w:val="00B26A72"/>
    <w:rsid w:val="00B37496"/>
    <w:rsid w:val="00B42625"/>
    <w:rsid w:val="00B44366"/>
    <w:rsid w:val="00B444B9"/>
    <w:rsid w:val="00B648DC"/>
    <w:rsid w:val="00B84FB2"/>
    <w:rsid w:val="00B86143"/>
    <w:rsid w:val="00BB7C69"/>
    <w:rsid w:val="00BC07A3"/>
    <w:rsid w:val="00BC79FE"/>
    <w:rsid w:val="00BD0035"/>
    <w:rsid w:val="00BE4669"/>
    <w:rsid w:val="00C0536F"/>
    <w:rsid w:val="00C05A90"/>
    <w:rsid w:val="00C27F44"/>
    <w:rsid w:val="00C304BB"/>
    <w:rsid w:val="00C337A1"/>
    <w:rsid w:val="00C40C49"/>
    <w:rsid w:val="00C41E5B"/>
    <w:rsid w:val="00C42B4A"/>
    <w:rsid w:val="00C461E8"/>
    <w:rsid w:val="00C66168"/>
    <w:rsid w:val="00C84D02"/>
    <w:rsid w:val="00C86A68"/>
    <w:rsid w:val="00C92BA2"/>
    <w:rsid w:val="00CB1826"/>
    <w:rsid w:val="00CC1171"/>
    <w:rsid w:val="00CC3096"/>
    <w:rsid w:val="00CC576B"/>
    <w:rsid w:val="00CC69D8"/>
    <w:rsid w:val="00CE7415"/>
    <w:rsid w:val="00CF0B21"/>
    <w:rsid w:val="00D111E9"/>
    <w:rsid w:val="00D13D71"/>
    <w:rsid w:val="00D21AF8"/>
    <w:rsid w:val="00D21EC4"/>
    <w:rsid w:val="00D301DC"/>
    <w:rsid w:val="00D41508"/>
    <w:rsid w:val="00D4305D"/>
    <w:rsid w:val="00D62206"/>
    <w:rsid w:val="00D67F20"/>
    <w:rsid w:val="00D87904"/>
    <w:rsid w:val="00D879C9"/>
    <w:rsid w:val="00D9651B"/>
    <w:rsid w:val="00DA1E7D"/>
    <w:rsid w:val="00DC143D"/>
    <w:rsid w:val="00DC7D94"/>
    <w:rsid w:val="00DD4C2D"/>
    <w:rsid w:val="00DF191C"/>
    <w:rsid w:val="00E0415C"/>
    <w:rsid w:val="00E227D8"/>
    <w:rsid w:val="00E2644C"/>
    <w:rsid w:val="00E33469"/>
    <w:rsid w:val="00E42E3B"/>
    <w:rsid w:val="00E559D9"/>
    <w:rsid w:val="00E55EC5"/>
    <w:rsid w:val="00E61E8C"/>
    <w:rsid w:val="00E70220"/>
    <w:rsid w:val="00EA2AC6"/>
    <w:rsid w:val="00EA6098"/>
    <w:rsid w:val="00EB74EF"/>
    <w:rsid w:val="00EC7771"/>
    <w:rsid w:val="00ED15A8"/>
    <w:rsid w:val="00ED2450"/>
    <w:rsid w:val="00ED2845"/>
    <w:rsid w:val="00ED6BD2"/>
    <w:rsid w:val="00EE30E6"/>
    <w:rsid w:val="00EF3191"/>
    <w:rsid w:val="00F20096"/>
    <w:rsid w:val="00F22518"/>
    <w:rsid w:val="00F266FE"/>
    <w:rsid w:val="00F40B0F"/>
    <w:rsid w:val="00F47127"/>
    <w:rsid w:val="00F50043"/>
    <w:rsid w:val="00F54849"/>
    <w:rsid w:val="00F7406A"/>
    <w:rsid w:val="00F758D9"/>
    <w:rsid w:val="00FA3A91"/>
    <w:rsid w:val="00FC2833"/>
    <w:rsid w:val="00FC464A"/>
    <w:rsid w:val="00FE2114"/>
    <w:rsid w:val="00FE2BC4"/>
    <w:rsid w:val="00FE4619"/>
    <w:rsid w:val="00FE59B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C48ED29"/>
  <w15:docId w15:val="{2B299EF6-D95F-432B-AC9A-933CF9AA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color w:val="404040" w:themeColor="text1" w:themeTint="BF"/>
        <w:lang w:val="en-ZA" w:eastAsia="en-ZA" w:bidi="ar-SA"/>
      </w:rPr>
    </w:rPrDefault>
    <w:pPrDefault>
      <w:pPr>
        <w:spacing w:line="360" w:lineRule="auto"/>
        <w:jc w:val="both"/>
      </w:pPr>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rescient Normal"/>
    <w:qFormat/>
    <w:rsid w:val="004169BD"/>
    <w:pPr>
      <w:spacing w:line="276" w:lineRule="auto"/>
    </w:pPr>
    <w:rPr>
      <w:rFonts w:asciiTheme="minorHAnsi" w:eastAsiaTheme="minorEastAsia" w:hAnsiTheme="minorHAnsi" w:cstheme="minorBidi"/>
      <w:color w:val="000000" w:themeColor="text1"/>
      <w:szCs w:val="22"/>
      <w:lang w:eastAsia="en-US"/>
    </w:rPr>
  </w:style>
  <w:style w:type="paragraph" w:styleId="Heading1">
    <w:name w:val="heading 1"/>
    <w:basedOn w:val="Normal"/>
    <w:next w:val="Normal"/>
    <w:link w:val="Heading1Char"/>
    <w:rsid w:val="00F54849"/>
    <w:pPr>
      <w:keepNext/>
      <w:keepLines/>
      <w:spacing w:before="480"/>
      <w:outlineLvl w:val="0"/>
    </w:pPr>
    <w:rPr>
      <w:rFonts w:asciiTheme="majorHAnsi" w:eastAsiaTheme="majorEastAsia" w:hAnsiTheme="majorHAnsi" w:cstheme="majorBidi"/>
      <w:b/>
      <w:bCs/>
      <w:color w:val="003550" w:themeColor="accent1" w:themeShade="BF"/>
      <w:sz w:val="28"/>
      <w:szCs w:val="28"/>
      <w:lang w:eastAsia="en-ZA"/>
    </w:rPr>
  </w:style>
  <w:style w:type="paragraph" w:styleId="Heading2">
    <w:name w:val="heading 2"/>
    <w:basedOn w:val="Normal"/>
    <w:next w:val="Normal"/>
    <w:link w:val="Heading2Char"/>
    <w:semiHidden/>
    <w:unhideWhenUsed/>
    <w:qFormat/>
    <w:rsid w:val="00AF53D6"/>
    <w:pPr>
      <w:keepNext/>
      <w:keepLines/>
      <w:spacing w:before="200"/>
      <w:outlineLvl w:val="1"/>
    </w:pPr>
    <w:rPr>
      <w:rFonts w:asciiTheme="majorHAnsi" w:eastAsiaTheme="majorEastAsia" w:hAnsiTheme="majorHAnsi" w:cstheme="majorBidi"/>
      <w:b/>
      <w:bCs/>
      <w:color w:val="00476B" w:themeColor="accent1"/>
      <w:sz w:val="26"/>
      <w:szCs w:val="26"/>
      <w:lang w:eastAsia="en-ZA"/>
    </w:rPr>
  </w:style>
  <w:style w:type="paragraph" w:styleId="Heading3">
    <w:name w:val="heading 3"/>
    <w:basedOn w:val="Normal"/>
    <w:next w:val="Normal"/>
    <w:link w:val="Heading3Char"/>
    <w:semiHidden/>
    <w:unhideWhenUsed/>
    <w:qFormat/>
    <w:rsid w:val="00E33469"/>
    <w:pPr>
      <w:keepNext/>
      <w:keepLines/>
      <w:spacing w:before="200"/>
      <w:outlineLvl w:val="2"/>
    </w:pPr>
    <w:rPr>
      <w:rFonts w:asciiTheme="majorHAnsi" w:eastAsiaTheme="majorEastAsia" w:hAnsiTheme="majorHAnsi" w:cstheme="majorBidi"/>
      <w:b/>
      <w:bCs/>
      <w:color w:val="00476B" w:themeColor="accent1"/>
      <w:lang w:eastAsia="en-ZA"/>
    </w:rPr>
  </w:style>
  <w:style w:type="paragraph" w:styleId="Heading4">
    <w:name w:val="heading 4"/>
    <w:basedOn w:val="Normal"/>
    <w:next w:val="Normal"/>
    <w:link w:val="Heading4Char"/>
    <w:semiHidden/>
    <w:unhideWhenUsed/>
    <w:qFormat/>
    <w:rsid w:val="00B42625"/>
    <w:pPr>
      <w:keepNext/>
      <w:keepLines/>
      <w:spacing w:before="200"/>
      <w:outlineLvl w:val="3"/>
    </w:pPr>
    <w:rPr>
      <w:rFonts w:asciiTheme="majorHAnsi" w:eastAsiaTheme="majorEastAsia" w:hAnsiTheme="majorHAnsi" w:cstheme="majorBidi"/>
      <w:b/>
      <w:bCs/>
      <w:i/>
      <w:iCs/>
      <w:color w:val="00476B" w:themeColor="accent1"/>
      <w:lang w:eastAsia="en-ZA"/>
    </w:rPr>
  </w:style>
  <w:style w:type="paragraph" w:styleId="Heading5">
    <w:name w:val="heading 5"/>
    <w:basedOn w:val="Normal"/>
    <w:next w:val="Normal"/>
    <w:link w:val="Heading5Char"/>
    <w:semiHidden/>
    <w:unhideWhenUsed/>
    <w:qFormat/>
    <w:rsid w:val="00984AE8"/>
    <w:pPr>
      <w:keepNext/>
      <w:keepLines/>
      <w:spacing w:before="200"/>
      <w:outlineLvl w:val="4"/>
    </w:pPr>
    <w:rPr>
      <w:rFonts w:asciiTheme="majorHAnsi" w:eastAsiaTheme="majorEastAsia" w:hAnsiTheme="majorHAnsi" w:cstheme="majorBidi"/>
      <w:color w:val="002335" w:themeColor="accent1" w:themeShade="7F"/>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1091"/>
    <w:pPr>
      <w:tabs>
        <w:tab w:val="center" w:pos="4513"/>
        <w:tab w:val="right" w:pos="9026"/>
      </w:tabs>
    </w:pPr>
    <w:rPr>
      <w:color w:val="404040" w:themeColor="text1" w:themeTint="BF"/>
      <w:lang w:eastAsia="en-ZA"/>
    </w:rPr>
  </w:style>
  <w:style w:type="character" w:customStyle="1" w:styleId="HeaderChar">
    <w:name w:val="Header Char"/>
    <w:basedOn w:val="DefaultParagraphFont"/>
    <w:link w:val="Header"/>
    <w:rsid w:val="00211091"/>
    <w:rPr>
      <w:rFonts w:ascii="Times New Roman" w:hAnsi="Times New Roman" w:cs="Times New Roman"/>
      <w:sz w:val="24"/>
      <w:szCs w:val="24"/>
      <w:lang w:eastAsia="en-US"/>
    </w:rPr>
  </w:style>
  <w:style w:type="paragraph" w:styleId="Footer">
    <w:name w:val="footer"/>
    <w:basedOn w:val="Normal"/>
    <w:link w:val="FooterChar"/>
    <w:rsid w:val="00211091"/>
    <w:pPr>
      <w:tabs>
        <w:tab w:val="center" w:pos="4513"/>
        <w:tab w:val="right" w:pos="9026"/>
      </w:tabs>
    </w:pPr>
    <w:rPr>
      <w:color w:val="404040" w:themeColor="text1" w:themeTint="BF"/>
      <w:lang w:eastAsia="en-ZA"/>
    </w:rPr>
  </w:style>
  <w:style w:type="character" w:customStyle="1" w:styleId="FooterChar">
    <w:name w:val="Footer Char"/>
    <w:basedOn w:val="DefaultParagraphFont"/>
    <w:link w:val="Footer"/>
    <w:rsid w:val="00211091"/>
    <w:rPr>
      <w:rFonts w:ascii="Times New Roman" w:hAnsi="Times New Roman" w:cs="Times New Roman"/>
      <w:sz w:val="24"/>
      <w:szCs w:val="24"/>
      <w:lang w:eastAsia="en-US"/>
    </w:rPr>
  </w:style>
  <w:style w:type="character" w:styleId="Hyperlink">
    <w:name w:val="Hyperlink"/>
    <w:uiPriority w:val="99"/>
    <w:rsid w:val="00211091"/>
    <w:rPr>
      <w:color w:val="0000FF"/>
      <w:u w:val="single"/>
    </w:rPr>
  </w:style>
  <w:style w:type="paragraph" w:styleId="BalloonText">
    <w:name w:val="Balloon Text"/>
    <w:basedOn w:val="Normal"/>
    <w:link w:val="BalloonTextChar"/>
    <w:rsid w:val="00765D3E"/>
    <w:rPr>
      <w:rFonts w:ascii="Tahoma" w:hAnsi="Tahoma" w:cs="Tahoma"/>
      <w:color w:val="404040" w:themeColor="text1" w:themeTint="BF"/>
      <w:sz w:val="16"/>
      <w:szCs w:val="16"/>
      <w:lang w:eastAsia="en-ZA"/>
    </w:rPr>
  </w:style>
  <w:style w:type="character" w:customStyle="1" w:styleId="BalloonTextChar">
    <w:name w:val="Balloon Text Char"/>
    <w:basedOn w:val="DefaultParagraphFont"/>
    <w:link w:val="BalloonText"/>
    <w:rsid w:val="00765D3E"/>
    <w:rPr>
      <w:rFonts w:ascii="Tahoma" w:eastAsiaTheme="minorEastAsia" w:hAnsi="Tahoma" w:cs="Tahoma"/>
      <w:sz w:val="16"/>
      <w:szCs w:val="16"/>
    </w:rPr>
  </w:style>
  <w:style w:type="paragraph" w:styleId="CommentText">
    <w:name w:val="annotation text"/>
    <w:basedOn w:val="Normal"/>
    <w:link w:val="CommentTextChar"/>
    <w:rsid w:val="003322A5"/>
    <w:rPr>
      <w:color w:val="404040" w:themeColor="text1" w:themeTint="BF"/>
      <w:lang w:eastAsia="en-ZA"/>
    </w:rPr>
  </w:style>
  <w:style w:type="character" w:customStyle="1" w:styleId="CommentTextChar">
    <w:name w:val="Comment Text Char"/>
    <w:basedOn w:val="DefaultParagraphFont"/>
    <w:link w:val="CommentText"/>
    <w:rsid w:val="003322A5"/>
    <w:rPr>
      <w:rFonts w:asciiTheme="minorHAnsi" w:eastAsiaTheme="minorEastAsia" w:hAnsiTheme="minorHAnsi" w:cstheme="minorBidi"/>
    </w:rPr>
  </w:style>
  <w:style w:type="paragraph" w:styleId="Index5">
    <w:name w:val="index 5"/>
    <w:basedOn w:val="Normal"/>
    <w:next w:val="Normal"/>
    <w:autoRedefine/>
    <w:rsid w:val="003322A5"/>
    <w:rPr>
      <w:color w:val="404040" w:themeColor="text1" w:themeTint="BF"/>
      <w:lang w:eastAsia="en-ZA"/>
    </w:rPr>
  </w:style>
  <w:style w:type="paragraph" w:customStyle="1" w:styleId="PrescientTitlePageHeading">
    <w:name w:val="Prescient Title Page Heading"/>
    <w:basedOn w:val="Normal"/>
    <w:qFormat/>
    <w:rsid w:val="00FE59B8"/>
    <w:rPr>
      <w:rFonts w:ascii="Palatino Linotype" w:hAnsi="Palatino Linotype"/>
      <w:caps/>
      <w:color w:val="00476B" w:themeColor="accent1"/>
      <w:sz w:val="40"/>
      <w:lang w:eastAsia="en-ZA"/>
    </w:rPr>
  </w:style>
  <w:style w:type="paragraph" w:customStyle="1" w:styleId="PrescientLevel1Heading">
    <w:name w:val="Prescient Level 1 Heading"/>
    <w:basedOn w:val="Heading1"/>
    <w:qFormat/>
    <w:rsid w:val="00F54849"/>
    <w:pPr>
      <w:spacing w:before="0" w:after="200"/>
    </w:pPr>
    <w:rPr>
      <w:rFonts w:ascii="Palatino Linotype" w:hAnsi="Palatino Linotype"/>
      <w:b w:val="0"/>
      <w:caps/>
      <w:color w:val="00476B" w:themeColor="accent1"/>
    </w:rPr>
  </w:style>
  <w:style w:type="paragraph" w:customStyle="1" w:styleId="PrescientLevel2Heading">
    <w:name w:val="Prescient Level 2 Heading"/>
    <w:basedOn w:val="Heading2"/>
    <w:qFormat/>
    <w:rsid w:val="00AF53D6"/>
    <w:pPr>
      <w:spacing w:before="0" w:after="200"/>
    </w:pPr>
    <w:rPr>
      <w:rFonts w:ascii="Palatino Linotype" w:hAnsi="Palatino Linotype"/>
      <w:b w:val="0"/>
      <w:sz w:val="24"/>
    </w:rPr>
  </w:style>
  <w:style w:type="paragraph" w:customStyle="1" w:styleId="PrescientLevel3Heading">
    <w:name w:val="Prescient Level 3 Heading"/>
    <w:basedOn w:val="Heading3"/>
    <w:qFormat/>
    <w:rsid w:val="00E33469"/>
    <w:pPr>
      <w:spacing w:before="0" w:after="200"/>
    </w:pPr>
    <w:rPr>
      <w:lang w:val="en-US"/>
    </w:rPr>
  </w:style>
  <w:style w:type="paragraph" w:customStyle="1" w:styleId="PrescientLevel4Heading">
    <w:name w:val="Prescient Level 4 Heading"/>
    <w:basedOn w:val="Heading4"/>
    <w:qFormat/>
    <w:rsid w:val="00B42625"/>
    <w:pPr>
      <w:spacing w:before="0" w:after="200"/>
    </w:pPr>
    <w:rPr>
      <w:b w:val="0"/>
    </w:rPr>
  </w:style>
  <w:style w:type="paragraph" w:customStyle="1" w:styleId="PrescientLevel5Heading">
    <w:name w:val="Prescient Level 5 Heading"/>
    <w:basedOn w:val="Heading5"/>
    <w:qFormat/>
    <w:rsid w:val="00ED2845"/>
    <w:pPr>
      <w:spacing w:before="0" w:after="200"/>
    </w:pPr>
    <w:rPr>
      <w:b/>
      <w:color w:val="000000" w:themeColor="text1"/>
    </w:rPr>
  </w:style>
  <w:style w:type="numbering" w:customStyle="1" w:styleId="PrescientNumberedList">
    <w:name w:val="Prescient Numbered List"/>
    <w:basedOn w:val="NoList"/>
    <w:uiPriority w:val="99"/>
    <w:rsid w:val="008D5BE2"/>
    <w:pPr>
      <w:numPr>
        <w:numId w:val="11"/>
      </w:numPr>
    </w:pPr>
  </w:style>
  <w:style w:type="paragraph" w:styleId="ListParagraph">
    <w:name w:val="List Paragraph"/>
    <w:basedOn w:val="Normal"/>
    <w:uiPriority w:val="34"/>
    <w:qFormat/>
    <w:rsid w:val="00F20096"/>
    <w:pPr>
      <w:ind w:left="720"/>
      <w:contextualSpacing/>
    </w:pPr>
    <w:rPr>
      <w:color w:val="404040" w:themeColor="text1" w:themeTint="BF"/>
      <w:lang w:eastAsia="en-ZA"/>
    </w:rPr>
  </w:style>
  <w:style w:type="numbering" w:customStyle="1" w:styleId="Style1">
    <w:name w:val="Style1"/>
    <w:basedOn w:val="NoList"/>
    <w:uiPriority w:val="99"/>
    <w:rsid w:val="00F20096"/>
    <w:pPr>
      <w:numPr>
        <w:numId w:val="22"/>
      </w:numPr>
    </w:pPr>
  </w:style>
  <w:style w:type="table" w:customStyle="1" w:styleId="PrescientStyle1">
    <w:name w:val="Prescient Style 1"/>
    <w:basedOn w:val="TableNormal"/>
    <w:uiPriority w:val="99"/>
    <w:rsid w:val="004E38F4"/>
    <w:pPr>
      <w:spacing w:line="240" w:lineRule="auto"/>
      <w:jc w:val="left"/>
    </w:pPr>
    <w:tblPr>
      <w:tblStyleRowBandSize w:val="1"/>
      <w:tblStyleColBandSize w:val="1"/>
    </w:tblPr>
    <w:tcPr>
      <w:shd w:val="clear" w:color="auto" w:fill="auto"/>
    </w:tcPr>
    <w:tblStylePr w:type="firstRow">
      <w:rPr>
        <w:rFonts w:ascii="Arial" w:hAnsi="Arial"/>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476B" w:themeFill="accent1"/>
      </w:tcPr>
    </w:tblStylePr>
    <w:tblStylePr w:type="firstCol">
      <w:pPr>
        <w:jc w:val="left"/>
      </w:pPr>
      <w:rPr>
        <w:b/>
      </w:r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rPr>
        <w:color w:val="404040" w:themeColor="text1" w:themeTint="BF"/>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F2F2" w:themeFill="background1" w:themeFillShade="F2"/>
      </w:tcPr>
    </w:tblStylePr>
    <w:tblStylePr w:type="band2Horz">
      <w:pPr>
        <w:jc w:val="left"/>
      </w:pPr>
      <w:rPr>
        <w:color w:val="404040" w:themeColor="text1" w:themeTint="BF"/>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6CDE0" w:themeFill="accent5"/>
        <w:vAlign w:val="center"/>
      </w:tcPr>
    </w:tblStylePr>
  </w:style>
  <w:style w:type="table" w:styleId="TableGrid">
    <w:name w:val="Table Grid"/>
    <w:basedOn w:val="TableNormal"/>
    <w:rsid w:val="002E09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escientStyle2">
    <w:name w:val="Prescient Style 2"/>
    <w:basedOn w:val="TableNormal"/>
    <w:uiPriority w:val="99"/>
    <w:rsid w:val="004E38F4"/>
    <w:pPr>
      <w:spacing w:line="240" w:lineRule="auto"/>
      <w:jc w:val="left"/>
    </w:pPr>
    <w:tblPr>
      <w:tblStyleRowBandSize w:val="1"/>
      <w:tblStyleColBandSize w:val="1"/>
    </w:tblPr>
    <w:tblStylePr w:type="firstRow">
      <w:rPr>
        <w:b/>
        <w:color w:val="FFFFFF" w:themeColor="background1"/>
      </w:rPr>
      <w:tblPr/>
      <w:tcPr>
        <w:shd w:val="clear" w:color="auto" w:fill="00476B" w:themeFill="accent1"/>
      </w:tcPr>
    </w:tblStylePr>
    <w:tblStylePr w:type="firstCol">
      <w:pPr>
        <w:jc w:val="left"/>
      </w:pPr>
      <w:rPr>
        <w:b/>
      </w:r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rPr>
        <w:color w:val="404040" w:themeColor="text1" w:themeTint="BF"/>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F2F2" w:themeFill="background1" w:themeFillShade="F2"/>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F2F2" w:themeFill="background1" w:themeFillShade="F2"/>
      </w:tcPr>
    </w:tblStylePr>
  </w:style>
  <w:style w:type="table" w:customStyle="1" w:styleId="PrescientTableStyle3">
    <w:name w:val="Prescient Table Style 3"/>
    <w:basedOn w:val="TableNormal"/>
    <w:uiPriority w:val="99"/>
    <w:rsid w:val="00CC576B"/>
    <w:pPr>
      <w:spacing w:line="240" w:lineRule="auto"/>
      <w:jc w:val="left"/>
    </w:pPr>
    <w:rPr>
      <w:color w:val="00476B" w:themeColor="accent1"/>
    </w:r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pPr>
        <w:jc w:val="center"/>
      </w:pPr>
      <w:rPr>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paragraph" w:customStyle="1" w:styleId="PrescientSourceforCharts">
    <w:name w:val="Prescient Source for Charts"/>
    <w:basedOn w:val="PrescientLevel5Heading"/>
    <w:qFormat/>
    <w:rsid w:val="00A248F8"/>
    <w:pPr>
      <w:spacing w:after="0"/>
    </w:pPr>
    <w:rPr>
      <w:rFonts w:ascii="Palatino Linotype" w:hAnsi="Palatino Linotype"/>
      <w:color w:val="A50021"/>
      <w:sz w:val="18"/>
    </w:rPr>
  </w:style>
  <w:style w:type="character" w:customStyle="1" w:styleId="Heading1Char">
    <w:name w:val="Heading 1 Char"/>
    <w:basedOn w:val="DefaultParagraphFont"/>
    <w:link w:val="Heading1"/>
    <w:rsid w:val="00F54849"/>
    <w:rPr>
      <w:rFonts w:asciiTheme="majorHAnsi" w:eastAsiaTheme="majorEastAsia" w:hAnsiTheme="majorHAnsi" w:cstheme="majorBidi"/>
      <w:b/>
      <w:bCs/>
      <w:color w:val="003550" w:themeColor="accent1" w:themeShade="BF"/>
      <w:sz w:val="28"/>
      <w:szCs w:val="28"/>
    </w:rPr>
  </w:style>
  <w:style w:type="character" w:customStyle="1" w:styleId="Heading2Char">
    <w:name w:val="Heading 2 Char"/>
    <w:basedOn w:val="DefaultParagraphFont"/>
    <w:link w:val="Heading2"/>
    <w:semiHidden/>
    <w:rsid w:val="00AF53D6"/>
    <w:rPr>
      <w:rFonts w:asciiTheme="majorHAnsi" w:eastAsiaTheme="majorEastAsia" w:hAnsiTheme="majorHAnsi" w:cstheme="majorBidi"/>
      <w:b/>
      <w:bCs/>
      <w:color w:val="00476B" w:themeColor="accent1"/>
      <w:sz w:val="26"/>
      <w:szCs w:val="26"/>
    </w:rPr>
  </w:style>
  <w:style w:type="character" w:customStyle="1" w:styleId="Heading3Char">
    <w:name w:val="Heading 3 Char"/>
    <w:basedOn w:val="DefaultParagraphFont"/>
    <w:link w:val="Heading3"/>
    <w:semiHidden/>
    <w:rsid w:val="00E33469"/>
    <w:rPr>
      <w:rFonts w:asciiTheme="majorHAnsi" w:eastAsiaTheme="majorEastAsia" w:hAnsiTheme="majorHAnsi" w:cstheme="majorBidi"/>
      <w:b/>
      <w:bCs/>
      <w:color w:val="00476B" w:themeColor="accent1"/>
      <w:szCs w:val="22"/>
    </w:rPr>
  </w:style>
  <w:style w:type="character" w:customStyle="1" w:styleId="Heading4Char">
    <w:name w:val="Heading 4 Char"/>
    <w:basedOn w:val="DefaultParagraphFont"/>
    <w:link w:val="Heading4"/>
    <w:semiHidden/>
    <w:rsid w:val="00B42625"/>
    <w:rPr>
      <w:rFonts w:asciiTheme="majorHAnsi" w:eastAsiaTheme="majorEastAsia" w:hAnsiTheme="majorHAnsi" w:cstheme="majorBidi"/>
      <w:b/>
      <w:bCs/>
      <w:i/>
      <w:iCs/>
      <w:color w:val="00476B" w:themeColor="accent1"/>
      <w:szCs w:val="22"/>
    </w:rPr>
  </w:style>
  <w:style w:type="character" w:customStyle="1" w:styleId="Heading5Char">
    <w:name w:val="Heading 5 Char"/>
    <w:basedOn w:val="DefaultParagraphFont"/>
    <w:link w:val="Heading5"/>
    <w:semiHidden/>
    <w:rsid w:val="00984AE8"/>
    <w:rPr>
      <w:rFonts w:asciiTheme="majorHAnsi" w:eastAsiaTheme="majorEastAsia" w:hAnsiTheme="majorHAnsi" w:cstheme="majorBidi"/>
      <w:color w:val="002335" w:themeColor="accent1" w:themeShade="7F"/>
      <w:szCs w:val="22"/>
    </w:rPr>
  </w:style>
  <w:style w:type="character" w:styleId="Emphasis">
    <w:name w:val="Emphasis"/>
    <w:basedOn w:val="DefaultParagraphFont"/>
    <w:uiPriority w:val="20"/>
    <w:qFormat/>
    <w:rsid w:val="004169BD"/>
    <w:rPr>
      <w:i/>
      <w:iCs/>
    </w:rPr>
  </w:style>
  <w:style w:type="paragraph" w:styleId="BodyText">
    <w:name w:val="Body Text"/>
    <w:basedOn w:val="Normal"/>
    <w:link w:val="BodyTextChar"/>
    <w:uiPriority w:val="1"/>
    <w:qFormat/>
    <w:rsid w:val="006D1090"/>
    <w:pPr>
      <w:widowControl w:val="0"/>
      <w:autoSpaceDE w:val="0"/>
      <w:autoSpaceDN w:val="0"/>
      <w:spacing w:line="240" w:lineRule="auto"/>
      <w:jc w:val="left"/>
    </w:pPr>
    <w:rPr>
      <w:rFonts w:ascii="Arial" w:eastAsia="Arial" w:hAnsi="Arial" w:cs="Arial"/>
      <w:color w:val="auto"/>
      <w:sz w:val="24"/>
      <w:szCs w:val="24"/>
      <w:lang w:eastAsia="en-ZA" w:bidi="en-ZA"/>
    </w:rPr>
  </w:style>
  <w:style w:type="character" w:customStyle="1" w:styleId="BodyTextChar">
    <w:name w:val="Body Text Char"/>
    <w:basedOn w:val="DefaultParagraphFont"/>
    <w:link w:val="BodyText"/>
    <w:uiPriority w:val="1"/>
    <w:rsid w:val="006D1090"/>
    <w:rPr>
      <w:rFonts w:eastAsia="Arial"/>
      <w:color w:val="auto"/>
      <w:sz w:val="24"/>
      <w:szCs w:val="24"/>
      <w:lang w:bidi="en-ZA"/>
    </w:rPr>
  </w:style>
  <w:style w:type="character" w:styleId="CommentReference">
    <w:name w:val="annotation reference"/>
    <w:basedOn w:val="DefaultParagraphFont"/>
    <w:semiHidden/>
    <w:unhideWhenUsed/>
    <w:rsid w:val="00442E68"/>
    <w:rPr>
      <w:sz w:val="16"/>
      <w:szCs w:val="16"/>
    </w:rPr>
  </w:style>
  <w:style w:type="paragraph" w:styleId="CommentSubject">
    <w:name w:val="annotation subject"/>
    <w:basedOn w:val="CommentText"/>
    <w:next w:val="CommentText"/>
    <w:link w:val="CommentSubjectChar"/>
    <w:semiHidden/>
    <w:unhideWhenUsed/>
    <w:rsid w:val="00442E68"/>
    <w:pPr>
      <w:spacing w:line="240" w:lineRule="auto"/>
    </w:pPr>
    <w:rPr>
      <w:b/>
      <w:bCs/>
      <w:color w:val="000000" w:themeColor="text1"/>
      <w:szCs w:val="20"/>
      <w:lang w:eastAsia="en-US"/>
    </w:rPr>
  </w:style>
  <w:style w:type="character" w:customStyle="1" w:styleId="CommentSubjectChar">
    <w:name w:val="Comment Subject Char"/>
    <w:basedOn w:val="CommentTextChar"/>
    <w:link w:val="CommentSubject"/>
    <w:semiHidden/>
    <w:rsid w:val="00442E68"/>
    <w:rPr>
      <w:rFonts w:asciiTheme="minorHAnsi" w:eastAsiaTheme="minorEastAsia" w:hAnsiTheme="minorHAnsi" w:cstheme="minorBidi"/>
      <w:b/>
      <w:bCs/>
      <w:color w:val="000000" w:themeColor="text1"/>
      <w:lang w:eastAsia="en-US"/>
    </w:rPr>
  </w:style>
  <w:style w:type="paragraph" w:customStyle="1" w:styleId="xmsonormal">
    <w:name w:val="x_msonormal"/>
    <w:basedOn w:val="Normal"/>
    <w:rsid w:val="00C66168"/>
    <w:pPr>
      <w:spacing w:line="240" w:lineRule="auto"/>
      <w:jc w:val="left"/>
    </w:pPr>
    <w:rPr>
      <w:rFonts w:ascii="Calibri" w:eastAsiaTheme="minorHAnsi" w:hAnsi="Calibri" w:cs="Calibri"/>
      <w:color w:val="auto"/>
      <w:sz w:val="22"/>
      <w:lang w:eastAsia="en-ZA"/>
    </w:rPr>
  </w:style>
  <w:style w:type="character" w:styleId="UnresolvedMention">
    <w:name w:val="Unresolved Mention"/>
    <w:basedOn w:val="DefaultParagraphFont"/>
    <w:uiPriority w:val="99"/>
    <w:semiHidden/>
    <w:unhideWhenUsed/>
    <w:rsid w:val="00153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3792">
      <w:bodyDiv w:val="1"/>
      <w:marLeft w:val="0"/>
      <w:marRight w:val="0"/>
      <w:marTop w:val="0"/>
      <w:marBottom w:val="0"/>
      <w:divBdr>
        <w:top w:val="none" w:sz="0" w:space="0" w:color="auto"/>
        <w:left w:val="none" w:sz="0" w:space="0" w:color="auto"/>
        <w:bottom w:val="none" w:sz="0" w:space="0" w:color="auto"/>
        <w:right w:val="none" w:sz="0" w:space="0" w:color="auto"/>
      </w:divBdr>
    </w:div>
    <w:div w:id="1690526216">
      <w:bodyDiv w:val="1"/>
      <w:marLeft w:val="0"/>
      <w:marRight w:val="0"/>
      <w:marTop w:val="0"/>
      <w:marBottom w:val="0"/>
      <w:divBdr>
        <w:top w:val="none" w:sz="0" w:space="0" w:color="auto"/>
        <w:left w:val="none" w:sz="0" w:space="0" w:color="auto"/>
        <w:bottom w:val="none" w:sz="0" w:space="0" w:color="auto"/>
        <w:right w:val="none" w:sz="0" w:space="0" w:color="auto"/>
      </w:divBdr>
      <w:divsChild>
        <w:div w:id="1910337196">
          <w:marLeft w:val="0"/>
          <w:marRight w:val="0"/>
          <w:marTop w:val="0"/>
          <w:marBottom w:val="0"/>
          <w:divBdr>
            <w:top w:val="none" w:sz="0" w:space="0" w:color="auto"/>
            <w:left w:val="none" w:sz="0" w:space="0" w:color="auto"/>
            <w:bottom w:val="none" w:sz="0" w:space="0" w:color="auto"/>
            <w:right w:val="none" w:sz="0" w:space="0" w:color="auto"/>
          </w:divBdr>
        </w:div>
      </w:divsChild>
    </w:div>
    <w:div w:id="1768189872">
      <w:bodyDiv w:val="1"/>
      <w:marLeft w:val="0"/>
      <w:marRight w:val="0"/>
      <w:marTop w:val="0"/>
      <w:marBottom w:val="0"/>
      <w:divBdr>
        <w:top w:val="none" w:sz="0" w:space="0" w:color="auto"/>
        <w:left w:val="none" w:sz="0" w:space="0" w:color="auto"/>
        <w:bottom w:val="none" w:sz="0" w:space="0" w:color="auto"/>
        <w:right w:val="none" w:sz="0" w:space="0" w:color="auto"/>
      </w:divBdr>
    </w:div>
    <w:div w:id="183803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prescient.co.za" TargetMode="External"/><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hyperlink" Target="http://www.prescient.co.za"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New Prescient - Theme 2">
      <a:dk1>
        <a:srgbClr val="000000"/>
      </a:dk1>
      <a:lt1>
        <a:srgbClr val="FFFFFF"/>
      </a:lt1>
      <a:dk2>
        <a:srgbClr val="000000"/>
      </a:dk2>
      <a:lt2>
        <a:srgbClr val="808080"/>
      </a:lt2>
      <a:accent1>
        <a:srgbClr val="00476B"/>
      </a:accent1>
      <a:accent2>
        <a:srgbClr val="036B95"/>
      </a:accent2>
      <a:accent3>
        <a:srgbClr val="4086AD"/>
      </a:accent3>
      <a:accent4>
        <a:srgbClr val="7BA6C5"/>
      </a:accent4>
      <a:accent5>
        <a:srgbClr val="B6CDE0"/>
      </a:accent5>
      <a:accent6>
        <a:srgbClr val="D9D9D9"/>
      </a:accent6>
      <a:hlink>
        <a:srgbClr val="817E79"/>
      </a:hlink>
      <a:folHlink>
        <a:srgbClr val="404040"/>
      </a:folHlink>
    </a:clrScheme>
    <a:fontScheme name="Prescie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1940A-5BC2-4F6E-9151-E7BC3CA3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1576</Words>
  <Characters>8958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Prescient Investment Management</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Monique MJ. Martheze</dc:creator>
  <cp:lastModifiedBy>Marilyn Dulmaier</cp:lastModifiedBy>
  <cp:revision>2</cp:revision>
  <cp:lastPrinted>2018-08-20T13:33:00Z</cp:lastPrinted>
  <dcterms:created xsi:type="dcterms:W3CDTF">2020-11-19T12:41:00Z</dcterms:created>
  <dcterms:modified xsi:type="dcterms:W3CDTF">2020-11-19T12:41:00Z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a202c0-9ef8-4625-95e3-296b29fe8a59_Enabled">
    <vt:lpwstr>true</vt:lpwstr>
  </property>
  <property fmtid="{D5CDD505-2E9C-101B-9397-08002B2CF9AE}" pid="3" name="MSIP_Label_e7a202c0-9ef8-4625-95e3-296b29fe8a59_SetDate">
    <vt:lpwstr>2020-11-19T10:47:30Z</vt:lpwstr>
  </property>
  <property fmtid="{D5CDD505-2E9C-101B-9397-08002B2CF9AE}" pid="4" name="MSIP_Label_e7a202c0-9ef8-4625-95e3-296b29fe8a59_Method">
    <vt:lpwstr>Standard</vt:lpwstr>
  </property>
  <property fmtid="{D5CDD505-2E9C-101B-9397-08002B2CF9AE}" pid="5" name="MSIP_Label_e7a202c0-9ef8-4625-95e3-296b29fe8a59_Name">
    <vt:lpwstr>Public</vt:lpwstr>
  </property>
  <property fmtid="{D5CDD505-2E9C-101B-9397-08002B2CF9AE}" pid="6" name="MSIP_Label_e7a202c0-9ef8-4625-95e3-296b29fe8a59_SiteId">
    <vt:lpwstr>5e097b4a-acc6-4c11-8233-96ef54c26c08</vt:lpwstr>
  </property>
  <property fmtid="{D5CDD505-2E9C-101B-9397-08002B2CF9AE}" pid="7" name="MSIP_Label_e7a202c0-9ef8-4625-95e3-296b29fe8a59_ActionId">
    <vt:lpwstr>e250c4f1-991f-460c-8fae-cf4508bd1370</vt:lpwstr>
  </property>
  <property fmtid="{D5CDD505-2E9C-101B-9397-08002B2CF9AE}" pid="8" name="MSIP_Label_e7a202c0-9ef8-4625-95e3-296b29fe8a59_ContentBits">
    <vt:lpwstr>0</vt:lpwstr>
  </property>
</Properties>
</file>