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674B" w:rsidRPr="00A82211" w:rsidRDefault="00F908CB" w:rsidP="0012242B">
      <w:pPr>
        <w:spacing w:after="240"/>
        <w:rPr>
          <w:rFonts w:ascii="Arial" w:eastAsia="Times New Roman" w:hAnsi="Arial" w:cs="Arial"/>
          <w:color w:val="696969"/>
          <w:sz w:val="20"/>
          <w:szCs w:val="20"/>
          <w:lang w:eastAsia="en-ZA"/>
        </w:rPr>
      </w:pPr>
      <w:r w:rsidRPr="00AA3112">
        <w:rPr>
          <w:rFonts w:ascii="Arial" w:hAnsi="Arial" w:cs="Arial"/>
          <w:noProof/>
          <w:sz w:val="20"/>
          <w:szCs w:val="20"/>
          <w:lang w:val="en-ZA" w:eastAsia="en-ZA"/>
        </w:rPr>
        <mc:AlternateContent>
          <mc:Choice Requires="wps">
            <w:drawing>
              <wp:anchor distT="0" distB="0" distL="114300" distR="114300" simplePos="0" relativeHeight="251659264" behindDoc="0" locked="0" layoutInCell="1" allowOverlap="1" wp14:anchorId="2E43FDCF" wp14:editId="016CCBF0">
                <wp:simplePos x="0" y="0"/>
                <wp:positionH relativeFrom="column">
                  <wp:posOffset>-621030</wp:posOffset>
                </wp:positionH>
                <wp:positionV relativeFrom="paragraph">
                  <wp:posOffset>161290</wp:posOffset>
                </wp:positionV>
                <wp:extent cx="7400925" cy="601980"/>
                <wp:effectExtent l="0" t="0" r="0" b="7620"/>
                <wp:wrapSquare wrapText="bothSides"/>
                <wp:docPr id="3" name="Text Box 3"/>
                <wp:cNvGraphicFramePr/>
                <a:graphic xmlns:a="http://schemas.openxmlformats.org/drawingml/2006/main">
                  <a:graphicData uri="http://schemas.microsoft.com/office/word/2010/wordprocessingShape">
                    <wps:wsp>
                      <wps:cNvSpPr txBox="1"/>
                      <wps:spPr>
                        <a:xfrm>
                          <a:off x="0" y="0"/>
                          <a:ext cx="7400925" cy="60198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555DF7" w:rsidRPr="00555DF7" w:rsidRDefault="00A82211" w:rsidP="00555DF7">
                            <w:pPr>
                              <w:rPr>
                                <w:rFonts w:ascii="Arial" w:eastAsia="Times New Roman" w:hAnsi="Arial" w:cs="Arial"/>
                                <w:b/>
                                <w:bCs/>
                                <w:caps/>
                                <w:color w:val="FFFFFF" w:themeColor="background1"/>
                                <w:sz w:val="28"/>
                                <w:szCs w:val="28"/>
                                <w:lang w:val="en-ZA"/>
                              </w:rPr>
                            </w:pPr>
                            <w:r>
                              <w:rPr>
                                <w:rFonts w:ascii="Arial" w:eastAsia="Calibri" w:hAnsi="Arial" w:cs="Arial"/>
                                <w:b/>
                                <w:caps/>
                                <w:color w:val="FFFFFF" w:themeColor="background1"/>
                                <w:sz w:val="28"/>
                                <w:szCs w:val="28"/>
                              </w:rPr>
                              <w:tab/>
                            </w:r>
                            <w:r w:rsidR="00555DF7" w:rsidRPr="00555DF7">
                              <w:rPr>
                                <w:rFonts w:ascii="Arial" w:eastAsia="Times New Roman" w:hAnsi="Arial" w:cs="Arial"/>
                                <w:b/>
                                <w:bCs/>
                                <w:caps/>
                                <w:color w:val="FFFFFF" w:themeColor="background1"/>
                                <w:sz w:val="28"/>
                                <w:szCs w:val="28"/>
                                <w:lang w:val="en-ZA"/>
                              </w:rPr>
                              <w:t xml:space="preserve">Hedge funds: a broader toolkit to capture market </w:t>
                            </w:r>
                            <w:r w:rsidR="00555DF7">
                              <w:rPr>
                                <w:rFonts w:ascii="Arial" w:eastAsia="Times New Roman" w:hAnsi="Arial" w:cs="Arial"/>
                                <w:b/>
                                <w:bCs/>
                                <w:caps/>
                                <w:color w:val="FFFFFF" w:themeColor="background1"/>
                                <w:sz w:val="28"/>
                                <w:szCs w:val="28"/>
                                <w:lang w:val="en-ZA"/>
                              </w:rPr>
                              <w:t xml:space="preserve">  </w:t>
                            </w:r>
                            <w:r w:rsidR="00555DF7">
                              <w:rPr>
                                <w:rFonts w:ascii="Arial" w:eastAsia="Times New Roman" w:hAnsi="Arial" w:cs="Arial"/>
                                <w:b/>
                                <w:bCs/>
                                <w:caps/>
                                <w:color w:val="FFFFFF" w:themeColor="background1"/>
                                <w:sz w:val="28"/>
                                <w:szCs w:val="28"/>
                                <w:lang w:val="en-ZA"/>
                              </w:rPr>
                              <w:tab/>
                            </w:r>
                            <w:r w:rsidR="00555DF7" w:rsidRPr="00555DF7">
                              <w:rPr>
                                <w:rFonts w:ascii="Arial" w:eastAsia="Times New Roman" w:hAnsi="Arial" w:cs="Arial"/>
                                <w:b/>
                                <w:bCs/>
                                <w:caps/>
                                <w:color w:val="FFFFFF" w:themeColor="background1"/>
                                <w:sz w:val="28"/>
                                <w:szCs w:val="28"/>
                                <w:lang w:val="en-ZA"/>
                              </w:rPr>
                              <w:t>opportunities</w:t>
                            </w:r>
                          </w:p>
                          <w:p w:rsidR="008C3E9E" w:rsidRPr="00555DF7" w:rsidRDefault="008C3E9E" w:rsidP="008C3E9E">
                            <w:pPr>
                              <w:spacing w:after="160" w:line="256" w:lineRule="auto"/>
                              <w:rPr>
                                <w:rFonts w:ascii="Arial" w:eastAsia="Calibri" w:hAnsi="Arial" w:cs="Arial"/>
                                <w:b/>
                                <w:caps/>
                                <w:color w:val="FFFFFF" w:themeColor="background1"/>
                                <w:sz w:val="28"/>
                                <w:szCs w:val="28"/>
                              </w:rPr>
                            </w:pPr>
                          </w:p>
                          <w:p w:rsidR="00C0674B" w:rsidRPr="008C3E9E" w:rsidRDefault="00C0674B" w:rsidP="00243521">
                            <w:pPr>
                              <w:spacing w:after="100"/>
                              <w:rPr>
                                <w:rFonts w:ascii="Arial" w:hAnsi="Arial" w:cs="Arial"/>
                                <w:b/>
                                <w:caps/>
                                <w:color w:val="FFFFFF" w:themeColor="background1"/>
                                <w:sz w:val="28"/>
                                <w:szCs w:val="28"/>
                              </w:rPr>
                            </w:pPr>
                          </w:p>
                          <w:p w:rsidR="00F908CB" w:rsidRPr="008C3E9E" w:rsidRDefault="00F908CB">
                            <w:pPr>
                              <w:rPr>
                                <w:rFonts w:ascii="Arial" w:hAnsi="Arial" w:cs="Arial"/>
                                <w:color w:val="FFFFFF" w:themeColor="background1"/>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43FDCF" id="_x0000_t202" coordsize="21600,21600" o:spt="202" path="m,l,21600r21600,l21600,xe">
                <v:stroke joinstyle="miter"/>
                <v:path gradientshapeok="t" o:connecttype="rect"/>
              </v:shapetype>
              <v:shape id="Text Box 3" o:spid="_x0000_s1026" type="#_x0000_t202" style="position:absolute;margin-left:-48.9pt;margin-top:12.7pt;width:582.75pt;height:4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dbrrAIAAKMFAAAOAAAAZHJzL2Uyb0RvYy54bWysVE1v2zAMvQ/YfxB0T22nTtsYdQo3RYYB&#10;xVqsHXpWZKkxZouapMTOhv33UbKdZt0uHXaxKfKJIh8/Lq+6piY7YWwFKqfJSUyJUBzKSj3n9Mvj&#10;anJBiXVMlawGJXK6F5ZeLd6/u2x1JqawgboUhqATZbNW53TjnM6iyPKNaJg9AS0UGiWYhjk8mueo&#10;NKxF700dTeP4LGrBlNoAF9ai9qY30kXwL6Xg7k5KKxypc4qxufA14bv232hxybJnw/Sm4kMY7B+i&#10;aFil8NGDqxvmGNma6g9XTcUNWJDuhEMTgZQVFyEHzCaJX2XzsGFahFyQHKsPNNn/55Z/2t0bUpU5&#10;PaVEsQZL9Cg6R66hI6eenVbbDEEPGmGuQzVWedRbVPqkO2ka/8d0CNqR5/2BW++Mo/I8jeP5dEYJ&#10;R9tZnMwvAvnRy21trPsgoCFeyKnB2gVK2e7WOowEoSPEP6ZgVdV1qF+tflMgsNeI0AD9bZZhJCh6&#10;pI8pFOfHcnY+Lc5n88lZMUsmaRJfTIoink5uVkVcxOlqOU+vf/p00ed4P/KU9KkHye1r4b3W6rOQ&#10;SGVgwCtCE4tlbciOYfsxzoVygbwQIaI9SmIWb7k44EMeIb+3XO4ZGV8G5Q6Xm0qBCXy/Crv8OoYs&#10;ezyScZS3F1237oZWWUO5x04x0E+a1XxVYTlvmXX3zOBoYXPgunB3+JE1tDmFQaJkA+b73/Qejx2P&#10;VkpaHNWc2m9bZgQl9UeFszBP0tTPdjikWFE8mGPL+tiits0SsBwJLibNg+jxrh5FaaB5wq1S+FfR&#10;xBTHt3PqRnHp+gWCW4mLogggnGbN3K160Ny79tXxzfrYPTGjh4522EGfYBxqlr1q7B7rbyootg5k&#10;FbreE9yzOhCPmyD047C1/Ko5PgfUy25d/AIAAP//AwBQSwMEFAAGAAgAAAAhAL+bL8XfAAAACwEA&#10;AA8AAABkcnMvZG93bnJldi54bWxMj8FuwjAQRO+V+g/WVuoNbCIgkGaDqla9tioFpN5MvCQR8TqK&#10;DUn/vubU3na0o5k3+Wa0rbhS7xvHCLOpAkFcOtNwhbD7epusQPig2ejWMSH8kIdNcX+X68y4gT/p&#10;ug2ViCHsM41Qh9BlUvqyJqv91HXE8XdyvdUhyr6SptdDDLetTJRaSqsbjg217uilpvK8vViE/fvp&#10;+zBXH9WrXXSDG5Vku5aIjw/j8xOIQGP4M8MNP6JDEZmO7sLGixZhsk4jekBIFnMQN4NapimIY7wS&#10;lYAscvl/Q/ELAAD//wMAUEsBAi0AFAAGAAgAAAAhALaDOJL+AAAA4QEAABMAAAAAAAAAAAAAAAAA&#10;AAAAAFtDb250ZW50X1R5cGVzXS54bWxQSwECLQAUAAYACAAAACEAOP0h/9YAAACUAQAACwAAAAAA&#10;AAAAAAAAAAAvAQAAX3JlbHMvLnJlbHNQSwECLQAUAAYACAAAACEAK/HW66wCAACjBQAADgAAAAAA&#10;AAAAAAAAAAAuAgAAZHJzL2Uyb0RvYy54bWxQSwECLQAUAAYACAAAACEAv5svxd8AAAALAQAADwAA&#10;AAAAAAAAAAAAAAAGBQAAZHJzL2Rvd25yZXYueG1sUEsFBgAAAAAEAAQA8wAAABIGAAAAAA==&#10;" filled="f" stroked="f">
                <v:textbox>
                  <w:txbxContent>
                    <w:p w:rsidR="00555DF7" w:rsidRPr="00555DF7" w:rsidRDefault="00A82211" w:rsidP="00555DF7">
                      <w:pPr>
                        <w:rPr>
                          <w:rFonts w:ascii="Arial" w:eastAsia="Times New Roman" w:hAnsi="Arial" w:cs="Arial"/>
                          <w:b/>
                          <w:bCs/>
                          <w:caps/>
                          <w:color w:val="FFFFFF" w:themeColor="background1"/>
                          <w:sz w:val="28"/>
                          <w:szCs w:val="28"/>
                          <w:lang w:val="en-ZA"/>
                        </w:rPr>
                      </w:pPr>
                      <w:r>
                        <w:rPr>
                          <w:rFonts w:ascii="Arial" w:eastAsia="Calibri" w:hAnsi="Arial" w:cs="Arial"/>
                          <w:b/>
                          <w:caps/>
                          <w:color w:val="FFFFFF" w:themeColor="background1"/>
                          <w:sz w:val="28"/>
                          <w:szCs w:val="28"/>
                        </w:rPr>
                        <w:tab/>
                      </w:r>
                      <w:r w:rsidR="00555DF7" w:rsidRPr="00555DF7">
                        <w:rPr>
                          <w:rFonts w:ascii="Arial" w:eastAsia="Times New Roman" w:hAnsi="Arial" w:cs="Arial"/>
                          <w:b/>
                          <w:bCs/>
                          <w:caps/>
                          <w:color w:val="FFFFFF" w:themeColor="background1"/>
                          <w:sz w:val="28"/>
                          <w:szCs w:val="28"/>
                          <w:lang w:val="en-ZA"/>
                        </w:rPr>
                        <w:t xml:space="preserve">Hedge funds: a broader toolkit to capture market </w:t>
                      </w:r>
                      <w:r w:rsidR="00555DF7">
                        <w:rPr>
                          <w:rFonts w:ascii="Arial" w:eastAsia="Times New Roman" w:hAnsi="Arial" w:cs="Arial"/>
                          <w:b/>
                          <w:bCs/>
                          <w:caps/>
                          <w:color w:val="FFFFFF" w:themeColor="background1"/>
                          <w:sz w:val="28"/>
                          <w:szCs w:val="28"/>
                          <w:lang w:val="en-ZA"/>
                        </w:rPr>
                        <w:t xml:space="preserve">  </w:t>
                      </w:r>
                      <w:r w:rsidR="00555DF7">
                        <w:rPr>
                          <w:rFonts w:ascii="Arial" w:eastAsia="Times New Roman" w:hAnsi="Arial" w:cs="Arial"/>
                          <w:b/>
                          <w:bCs/>
                          <w:caps/>
                          <w:color w:val="FFFFFF" w:themeColor="background1"/>
                          <w:sz w:val="28"/>
                          <w:szCs w:val="28"/>
                          <w:lang w:val="en-ZA"/>
                        </w:rPr>
                        <w:tab/>
                      </w:r>
                      <w:r w:rsidR="00555DF7" w:rsidRPr="00555DF7">
                        <w:rPr>
                          <w:rFonts w:ascii="Arial" w:eastAsia="Times New Roman" w:hAnsi="Arial" w:cs="Arial"/>
                          <w:b/>
                          <w:bCs/>
                          <w:caps/>
                          <w:color w:val="FFFFFF" w:themeColor="background1"/>
                          <w:sz w:val="28"/>
                          <w:szCs w:val="28"/>
                          <w:lang w:val="en-ZA"/>
                        </w:rPr>
                        <w:t>opportunities</w:t>
                      </w:r>
                    </w:p>
                    <w:p w:rsidR="008C3E9E" w:rsidRPr="00555DF7" w:rsidRDefault="008C3E9E" w:rsidP="008C3E9E">
                      <w:pPr>
                        <w:spacing w:after="160" w:line="256" w:lineRule="auto"/>
                        <w:rPr>
                          <w:rFonts w:ascii="Arial" w:eastAsia="Calibri" w:hAnsi="Arial" w:cs="Arial"/>
                          <w:b/>
                          <w:caps/>
                          <w:color w:val="FFFFFF" w:themeColor="background1"/>
                          <w:sz w:val="28"/>
                          <w:szCs w:val="28"/>
                        </w:rPr>
                      </w:pPr>
                    </w:p>
                    <w:p w:rsidR="00C0674B" w:rsidRPr="008C3E9E" w:rsidRDefault="00C0674B" w:rsidP="00243521">
                      <w:pPr>
                        <w:spacing w:after="100"/>
                        <w:rPr>
                          <w:rFonts w:ascii="Arial" w:hAnsi="Arial" w:cs="Arial"/>
                          <w:b/>
                          <w:caps/>
                          <w:color w:val="FFFFFF" w:themeColor="background1"/>
                          <w:sz w:val="28"/>
                          <w:szCs w:val="28"/>
                        </w:rPr>
                      </w:pPr>
                    </w:p>
                    <w:p w:rsidR="00F908CB" w:rsidRPr="008C3E9E" w:rsidRDefault="00F908CB">
                      <w:pPr>
                        <w:rPr>
                          <w:rFonts w:ascii="Arial" w:hAnsi="Arial" w:cs="Arial"/>
                          <w:color w:val="FFFFFF" w:themeColor="background1"/>
                          <w:sz w:val="28"/>
                        </w:rPr>
                      </w:pPr>
                    </w:p>
                  </w:txbxContent>
                </v:textbox>
                <w10:wrap type="square"/>
              </v:shape>
            </w:pict>
          </mc:Fallback>
        </mc:AlternateContent>
      </w:r>
      <w:r w:rsidR="00C0674B" w:rsidRPr="00A82211">
        <w:rPr>
          <w:rFonts w:ascii="Arial" w:eastAsia="Times New Roman" w:hAnsi="Arial" w:cs="Arial"/>
          <w:color w:val="696969"/>
          <w:sz w:val="20"/>
          <w:szCs w:val="20"/>
          <w:lang w:eastAsia="en-ZA"/>
        </w:rPr>
        <w:t xml:space="preserve"> </w:t>
      </w:r>
    </w:p>
    <w:p w:rsidR="008C3E9E" w:rsidRPr="00B012CA" w:rsidRDefault="008C3E9E" w:rsidP="0012242B">
      <w:pPr>
        <w:spacing w:after="160" w:line="256" w:lineRule="auto"/>
        <w:rPr>
          <w:rFonts w:ascii="Arial" w:eastAsia="Calibri" w:hAnsi="Arial" w:cs="Arial"/>
          <w:b/>
        </w:rPr>
      </w:pPr>
    </w:p>
    <w:p w:rsidR="00555DF7" w:rsidRPr="00555DF7" w:rsidRDefault="00555DF7" w:rsidP="00555DF7">
      <w:pPr>
        <w:spacing w:after="160" w:line="259" w:lineRule="auto"/>
        <w:rPr>
          <w:rFonts w:ascii="Arial" w:eastAsia="Calibri" w:hAnsi="Arial" w:cs="Arial"/>
          <w:b/>
          <w:bCs/>
          <w:sz w:val="22"/>
          <w:szCs w:val="22"/>
        </w:rPr>
      </w:pPr>
      <w:bookmarkStart w:id="0" w:name="_Hlk54872642"/>
      <w:r w:rsidRPr="00555DF7">
        <w:rPr>
          <w:rFonts w:ascii="Arial" w:eastAsia="Calibri" w:hAnsi="Arial" w:cs="Arial"/>
          <w:b/>
          <w:bCs/>
          <w:sz w:val="22"/>
          <w:szCs w:val="22"/>
        </w:rPr>
        <w:t>Flexibility gives hedge funds greater opportunism</w:t>
      </w:r>
    </w:p>
    <w:p w:rsidR="00555DF7" w:rsidRPr="00555DF7" w:rsidRDefault="00555DF7" w:rsidP="00555DF7">
      <w:pPr>
        <w:spacing w:after="160" w:line="259" w:lineRule="auto"/>
        <w:rPr>
          <w:rFonts w:ascii="Arial" w:eastAsia="Calibri" w:hAnsi="Arial" w:cs="Arial"/>
          <w:sz w:val="22"/>
          <w:szCs w:val="22"/>
        </w:rPr>
      </w:pPr>
      <w:r w:rsidRPr="00555DF7">
        <w:rPr>
          <w:rFonts w:ascii="Arial" w:eastAsia="Calibri" w:hAnsi="Arial" w:cs="Arial"/>
          <w:sz w:val="22"/>
          <w:szCs w:val="22"/>
        </w:rPr>
        <w:t>Meeting investment objectives in the future requires greater opportunism given challenging global growth outlooks and elevated volatility we see from traditional investments.</w:t>
      </w:r>
    </w:p>
    <w:p w:rsidR="00555DF7" w:rsidRPr="00555DF7" w:rsidRDefault="00555DF7" w:rsidP="00555DF7">
      <w:pPr>
        <w:spacing w:after="160" w:line="259" w:lineRule="auto"/>
        <w:rPr>
          <w:rFonts w:ascii="Arial" w:eastAsia="Calibri" w:hAnsi="Arial" w:cs="Arial"/>
          <w:sz w:val="22"/>
          <w:szCs w:val="22"/>
        </w:rPr>
      </w:pPr>
      <w:r w:rsidRPr="00555DF7">
        <w:rPr>
          <w:rFonts w:ascii="Arial" w:eastAsia="Calibri" w:hAnsi="Arial" w:cs="Arial"/>
          <w:sz w:val="22"/>
          <w:szCs w:val="22"/>
        </w:rPr>
        <w:t>Preparation for uncertainty means being better positioned to protect during extreme conditions. The significant market changes witnessed, in a very short space of time, are a reminder of the benefits of asset allocation and prudent portfolio construction.</w:t>
      </w:r>
    </w:p>
    <w:p w:rsidR="00555DF7" w:rsidRPr="00555DF7" w:rsidRDefault="00555DF7" w:rsidP="00555DF7">
      <w:pPr>
        <w:spacing w:after="160" w:line="259" w:lineRule="auto"/>
        <w:rPr>
          <w:rFonts w:ascii="Arial" w:eastAsia="Calibri" w:hAnsi="Arial" w:cs="Arial"/>
          <w:sz w:val="22"/>
          <w:szCs w:val="22"/>
        </w:rPr>
      </w:pPr>
      <w:r w:rsidRPr="00555DF7">
        <w:rPr>
          <w:rFonts w:ascii="Arial" w:eastAsia="Calibri" w:hAnsi="Arial" w:cs="Arial"/>
          <w:sz w:val="22"/>
          <w:szCs w:val="22"/>
        </w:rPr>
        <w:t>Investors are increasingly exploring other strategies in previously unexploited areas of the market. Hedge funds have a role to play.</w:t>
      </w:r>
    </w:p>
    <w:p w:rsidR="00555DF7" w:rsidRPr="00555DF7" w:rsidRDefault="00555DF7" w:rsidP="00555DF7">
      <w:pPr>
        <w:spacing w:after="160" w:line="259" w:lineRule="auto"/>
        <w:rPr>
          <w:rFonts w:ascii="Arial" w:eastAsia="Calibri" w:hAnsi="Arial" w:cs="Arial"/>
          <w:b/>
          <w:bCs/>
          <w:sz w:val="22"/>
          <w:szCs w:val="22"/>
        </w:rPr>
      </w:pPr>
      <w:r w:rsidRPr="00555DF7">
        <w:rPr>
          <w:rFonts w:ascii="Arial" w:eastAsia="Calibri" w:hAnsi="Arial" w:cs="Arial"/>
          <w:b/>
          <w:bCs/>
          <w:sz w:val="22"/>
          <w:szCs w:val="22"/>
        </w:rPr>
        <w:t>What’s special about hedge funds?</w:t>
      </w:r>
    </w:p>
    <w:p w:rsidR="00555DF7" w:rsidRPr="00555DF7" w:rsidRDefault="00555DF7" w:rsidP="00555DF7">
      <w:pPr>
        <w:spacing w:after="160" w:line="259" w:lineRule="auto"/>
        <w:rPr>
          <w:rFonts w:ascii="Arial" w:eastAsia="Calibri" w:hAnsi="Arial" w:cs="Arial"/>
          <w:sz w:val="22"/>
          <w:szCs w:val="22"/>
        </w:rPr>
      </w:pPr>
      <w:r w:rsidRPr="00555DF7">
        <w:rPr>
          <w:rFonts w:ascii="Arial" w:eastAsia="Calibri" w:hAnsi="Arial" w:cs="Arial"/>
          <w:sz w:val="22"/>
          <w:szCs w:val="22"/>
        </w:rPr>
        <w:t>A hedge fund is an investment fund aimed at achieving an absolute performance return. Hedge funds typically have a low correlation to traditional investment types, such as equities, bonds and other money market instruments traded in public capital markets. This is made possible by the wide range of investment strategies hedge funds employ to enhance returns or reduce risk, such as those brought about by the Covid-19 pandemic.</w:t>
      </w:r>
    </w:p>
    <w:p w:rsidR="00555DF7" w:rsidRPr="00555DF7" w:rsidRDefault="00555DF7" w:rsidP="00555DF7">
      <w:pPr>
        <w:autoSpaceDE w:val="0"/>
        <w:autoSpaceDN w:val="0"/>
        <w:adjustRightInd w:val="0"/>
        <w:rPr>
          <w:rFonts w:ascii="Arial" w:eastAsia="Calibri" w:hAnsi="Arial" w:cs="Arial"/>
          <w:sz w:val="22"/>
          <w:szCs w:val="22"/>
        </w:rPr>
      </w:pPr>
      <w:r w:rsidRPr="00555DF7">
        <w:rPr>
          <w:rFonts w:ascii="Arial" w:eastAsia="Calibri" w:hAnsi="Arial" w:cs="Arial"/>
          <w:sz w:val="22"/>
          <w:szCs w:val="22"/>
        </w:rPr>
        <w:t>Hedge funds are classified in the category of alternative investments. This class of investment types includes private market investments (private equity and unlisted credit), hedge funds, commodities and managed futures.</w:t>
      </w:r>
    </w:p>
    <w:p w:rsidR="00555DF7" w:rsidRPr="00555DF7" w:rsidRDefault="00555DF7" w:rsidP="00555DF7">
      <w:pPr>
        <w:autoSpaceDE w:val="0"/>
        <w:autoSpaceDN w:val="0"/>
        <w:adjustRightInd w:val="0"/>
        <w:rPr>
          <w:rFonts w:ascii="Arial" w:eastAsia="Calibri" w:hAnsi="Arial" w:cs="Arial"/>
          <w:sz w:val="22"/>
          <w:szCs w:val="22"/>
        </w:rPr>
      </w:pPr>
    </w:p>
    <w:p w:rsidR="00555DF7" w:rsidRPr="00555DF7" w:rsidRDefault="00555DF7" w:rsidP="00555DF7">
      <w:pPr>
        <w:spacing w:after="160" w:line="259" w:lineRule="auto"/>
        <w:jc w:val="both"/>
        <w:rPr>
          <w:rFonts w:ascii="Arial" w:eastAsia="Calibri" w:hAnsi="Arial" w:cs="Arial"/>
          <w:color w:val="FFFFFF"/>
          <w:sz w:val="22"/>
          <w:szCs w:val="22"/>
        </w:rPr>
      </w:pPr>
      <w:r w:rsidRPr="00555DF7">
        <w:rPr>
          <w:rFonts w:ascii="Arial" w:eastAsia="Calibri" w:hAnsi="Arial" w:cs="Arial"/>
          <w:noProof/>
          <w:color w:val="FFFFFF"/>
          <w:sz w:val="22"/>
          <w:szCs w:val="22"/>
          <w:lang w:val="en-ZA" w:eastAsia="en-ZA"/>
        </w:rPr>
        <mc:AlternateContent>
          <mc:Choice Requires="wps">
            <w:drawing>
              <wp:anchor distT="91440" distB="91440" distL="114300" distR="114300" simplePos="0" relativeHeight="251661312" behindDoc="0" locked="0" layoutInCell="1" allowOverlap="1" wp14:anchorId="587C4D76" wp14:editId="33B48F0B">
                <wp:simplePos x="0" y="0"/>
                <wp:positionH relativeFrom="margin">
                  <wp:align>right</wp:align>
                </wp:positionH>
                <wp:positionV relativeFrom="paragraph">
                  <wp:posOffset>1038860</wp:posOffset>
                </wp:positionV>
                <wp:extent cx="5621655" cy="2886710"/>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1655" cy="2886710"/>
                        </a:xfrm>
                        <a:prstGeom prst="rect">
                          <a:avLst/>
                        </a:prstGeom>
                        <a:noFill/>
                        <a:ln w="9525">
                          <a:noFill/>
                          <a:miter lim="800000"/>
                          <a:headEnd/>
                          <a:tailEnd/>
                        </a:ln>
                      </wps:spPr>
                      <wps:txbx>
                        <w:txbxContent>
                          <w:p w:rsidR="00555DF7" w:rsidRPr="00086E40" w:rsidRDefault="00555DF7" w:rsidP="00555DF7">
                            <w:pPr>
                              <w:autoSpaceDE w:val="0"/>
                              <w:autoSpaceDN w:val="0"/>
                              <w:adjustRightInd w:val="0"/>
                              <w:jc w:val="both"/>
                              <w:rPr>
                                <w:rFonts w:ascii="Arial" w:hAnsi="Arial" w:cs="Arial"/>
                                <w:b/>
                                <w:bCs/>
                                <w:sz w:val="20"/>
                                <w:szCs w:val="20"/>
                              </w:rPr>
                            </w:pPr>
                            <w:r w:rsidRPr="00086E40">
                              <w:rPr>
                                <w:rFonts w:ascii="Arial" w:hAnsi="Arial" w:cs="Arial"/>
                                <w:b/>
                                <w:bCs/>
                                <w:sz w:val="20"/>
                                <w:szCs w:val="20"/>
                              </w:rPr>
                              <w:t>How hedge funds evolved</w:t>
                            </w:r>
                          </w:p>
                          <w:p w:rsidR="00555DF7" w:rsidRPr="00086E40" w:rsidRDefault="00555DF7" w:rsidP="00555DF7">
                            <w:pPr>
                              <w:rPr>
                                <w:rFonts w:ascii="Arial" w:hAnsi="Arial" w:cs="Arial"/>
                                <w:sz w:val="20"/>
                                <w:szCs w:val="20"/>
                              </w:rPr>
                            </w:pPr>
                            <w:r>
                              <w:rPr>
                                <w:rFonts w:ascii="Arial" w:hAnsi="Arial" w:cs="Arial"/>
                                <w:sz w:val="20"/>
                                <w:szCs w:val="20"/>
                              </w:rPr>
                              <w:t xml:space="preserve">An </w:t>
                            </w:r>
                            <w:r w:rsidRPr="00086E40">
                              <w:rPr>
                                <w:rFonts w:ascii="Arial" w:hAnsi="Arial" w:cs="Arial"/>
                                <w:sz w:val="20"/>
                                <w:szCs w:val="20"/>
                              </w:rPr>
                              <w:t>Australian</w:t>
                            </w:r>
                            <w:r>
                              <w:rPr>
                                <w:rFonts w:ascii="Arial" w:hAnsi="Arial" w:cs="Arial"/>
                                <w:sz w:val="20"/>
                                <w:szCs w:val="20"/>
                              </w:rPr>
                              <w:t>,</w:t>
                            </w:r>
                            <w:r w:rsidRPr="00086E40">
                              <w:rPr>
                                <w:rFonts w:ascii="Arial" w:hAnsi="Arial" w:cs="Arial"/>
                                <w:sz w:val="20"/>
                                <w:szCs w:val="20"/>
                              </w:rPr>
                              <w:t xml:space="preserve"> Alfred Winslow Jones</w:t>
                            </w:r>
                            <w:r>
                              <w:rPr>
                                <w:rFonts w:ascii="Arial" w:hAnsi="Arial" w:cs="Arial"/>
                                <w:sz w:val="20"/>
                                <w:szCs w:val="20"/>
                              </w:rPr>
                              <w:t>,</w:t>
                            </w:r>
                            <w:r w:rsidRPr="00086E40">
                              <w:rPr>
                                <w:rFonts w:ascii="Arial" w:hAnsi="Arial" w:cs="Arial"/>
                                <w:sz w:val="20"/>
                                <w:szCs w:val="20"/>
                              </w:rPr>
                              <w:t xml:space="preserve"> was credited in 1949 for creating the first hedge fund structure. </w:t>
                            </w:r>
                          </w:p>
                          <w:p w:rsidR="00555DF7" w:rsidRPr="00086E40" w:rsidRDefault="00555DF7" w:rsidP="00555DF7">
                            <w:pPr>
                              <w:pStyle w:val="ListParagraph"/>
                              <w:numPr>
                                <w:ilvl w:val="0"/>
                                <w:numId w:val="9"/>
                              </w:numPr>
                              <w:spacing w:after="160" w:line="259" w:lineRule="auto"/>
                              <w:rPr>
                                <w:rFonts w:ascii="Arial" w:hAnsi="Arial" w:cs="Arial"/>
                                <w:sz w:val="20"/>
                                <w:szCs w:val="20"/>
                              </w:rPr>
                            </w:pPr>
                            <w:r w:rsidRPr="006B7882">
                              <w:rPr>
                                <w:rFonts w:ascii="Arial" w:hAnsi="Arial" w:cs="Arial"/>
                                <w:b/>
                                <w:bCs/>
                                <w:sz w:val="20"/>
                                <w:szCs w:val="20"/>
                              </w:rPr>
                              <w:t>1998</w:t>
                            </w:r>
                            <w:r>
                              <w:rPr>
                                <w:rFonts w:ascii="Arial" w:hAnsi="Arial" w:cs="Arial"/>
                                <w:b/>
                                <w:bCs/>
                                <w:sz w:val="20"/>
                                <w:szCs w:val="20"/>
                              </w:rPr>
                              <w:t>:</w:t>
                            </w:r>
                            <w:r w:rsidRPr="00086E40">
                              <w:rPr>
                                <w:rFonts w:ascii="Arial" w:hAnsi="Arial" w:cs="Arial"/>
                                <w:sz w:val="20"/>
                                <w:szCs w:val="20"/>
                              </w:rPr>
                              <w:t xml:space="preserve"> First South African single manager hedge fund </w:t>
                            </w:r>
                            <w:r>
                              <w:rPr>
                                <w:rFonts w:ascii="Arial" w:hAnsi="Arial" w:cs="Arial"/>
                                <w:sz w:val="20"/>
                                <w:szCs w:val="20"/>
                              </w:rPr>
                              <w:t xml:space="preserve">is </w:t>
                            </w:r>
                            <w:r w:rsidRPr="00086E40">
                              <w:rPr>
                                <w:rFonts w:ascii="Arial" w:hAnsi="Arial" w:cs="Arial"/>
                                <w:sz w:val="20"/>
                                <w:szCs w:val="20"/>
                              </w:rPr>
                              <w:t>established.</w:t>
                            </w:r>
                          </w:p>
                          <w:p w:rsidR="00555DF7" w:rsidRPr="00086E40" w:rsidRDefault="00555DF7" w:rsidP="00555DF7">
                            <w:pPr>
                              <w:pStyle w:val="ListParagraph"/>
                              <w:numPr>
                                <w:ilvl w:val="0"/>
                                <w:numId w:val="9"/>
                              </w:numPr>
                              <w:spacing w:after="160" w:line="259" w:lineRule="auto"/>
                              <w:rPr>
                                <w:rFonts w:ascii="Arial" w:hAnsi="Arial" w:cs="Arial"/>
                                <w:sz w:val="20"/>
                                <w:szCs w:val="20"/>
                              </w:rPr>
                            </w:pPr>
                            <w:r w:rsidRPr="006B7882">
                              <w:rPr>
                                <w:rFonts w:ascii="Arial" w:hAnsi="Arial" w:cs="Arial"/>
                                <w:b/>
                                <w:bCs/>
                                <w:sz w:val="20"/>
                                <w:szCs w:val="20"/>
                              </w:rPr>
                              <w:t>2003</w:t>
                            </w:r>
                            <w:r>
                              <w:rPr>
                                <w:rFonts w:ascii="Arial" w:hAnsi="Arial" w:cs="Arial"/>
                                <w:b/>
                                <w:bCs/>
                                <w:sz w:val="20"/>
                                <w:szCs w:val="20"/>
                              </w:rPr>
                              <w:t>:</w:t>
                            </w:r>
                            <w:r w:rsidRPr="00086E40">
                              <w:rPr>
                                <w:rFonts w:ascii="Arial" w:hAnsi="Arial" w:cs="Arial"/>
                                <w:sz w:val="20"/>
                                <w:szCs w:val="20"/>
                              </w:rPr>
                              <w:t xml:space="preserve"> The first South African fund of hedge funds </w:t>
                            </w:r>
                            <w:r>
                              <w:rPr>
                                <w:rFonts w:ascii="Arial" w:hAnsi="Arial" w:cs="Arial"/>
                                <w:sz w:val="20"/>
                                <w:szCs w:val="20"/>
                              </w:rPr>
                              <w:t xml:space="preserve">is </w:t>
                            </w:r>
                            <w:r w:rsidRPr="00086E40">
                              <w:rPr>
                                <w:rFonts w:ascii="Arial" w:hAnsi="Arial" w:cs="Arial"/>
                                <w:sz w:val="20"/>
                                <w:szCs w:val="20"/>
                              </w:rPr>
                              <w:t>created.</w:t>
                            </w:r>
                          </w:p>
                          <w:p w:rsidR="00555DF7" w:rsidRPr="00086E40" w:rsidRDefault="00555DF7" w:rsidP="00555DF7">
                            <w:pPr>
                              <w:pStyle w:val="ListParagraph"/>
                              <w:numPr>
                                <w:ilvl w:val="0"/>
                                <w:numId w:val="9"/>
                              </w:numPr>
                              <w:spacing w:after="160" w:line="259" w:lineRule="auto"/>
                              <w:rPr>
                                <w:rFonts w:ascii="Arial" w:hAnsi="Arial" w:cs="Arial"/>
                                <w:sz w:val="20"/>
                                <w:szCs w:val="20"/>
                              </w:rPr>
                            </w:pPr>
                            <w:r w:rsidRPr="006B7882">
                              <w:rPr>
                                <w:rFonts w:ascii="Arial" w:hAnsi="Arial" w:cs="Arial"/>
                                <w:b/>
                                <w:bCs/>
                                <w:sz w:val="20"/>
                                <w:szCs w:val="20"/>
                              </w:rPr>
                              <w:t>2007</w:t>
                            </w:r>
                            <w:r>
                              <w:rPr>
                                <w:rFonts w:ascii="Arial" w:hAnsi="Arial" w:cs="Arial"/>
                                <w:b/>
                                <w:bCs/>
                                <w:sz w:val="20"/>
                                <w:szCs w:val="20"/>
                              </w:rPr>
                              <w:t>:</w:t>
                            </w:r>
                            <w:r w:rsidRPr="00086E40">
                              <w:rPr>
                                <w:rFonts w:ascii="Arial" w:hAnsi="Arial" w:cs="Arial"/>
                                <w:sz w:val="20"/>
                                <w:szCs w:val="20"/>
                              </w:rPr>
                              <w:t xml:space="preserve"> The Financial Services Board (FSB) starts regulating hedge fund managers, requiring that they hold a CAT II A licence.</w:t>
                            </w:r>
                          </w:p>
                          <w:p w:rsidR="00555DF7" w:rsidRPr="00086E40" w:rsidRDefault="00555DF7" w:rsidP="00555DF7">
                            <w:pPr>
                              <w:pStyle w:val="ListParagraph"/>
                              <w:numPr>
                                <w:ilvl w:val="0"/>
                                <w:numId w:val="9"/>
                              </w:numPr>
                              <w:spacing w:after="160" w:line="259" w:lineRule="auto"/>
                              <w:rPr>
                                <w:rFonts w:ascii="Arial" w:hAnsi="Arial" w:cs="Arial"/>
                                <w:sz w:val="20"/>
                                <w:szCs w:val="20"/>
                              </w:rPr>
                            </w:pPr>
                            <w:r w:rsidRPr="006B7882">
                              <w:rPr>
                                <w:rFonts w:ascii="Arial" w:hAnsi="Arial" w:cs="Arial"/>
                                <w:b/>
                                <w:bCs/>
                                <w:sz w:val="20"/>
                                <w:szCs w:val="20"/>
                              </w:rPr>
                              <w:t>2011</w:t>
                            </w:r>
                            <w:r>
                              <w:rPr>
                                <w:rFonts w:ascii="Arial" w:hAnsi="Arial" w:cs="Arial"/>
                                <w:b/>
                                <w:bCs/>
                                <w:sz w:val="20"/>
                                <w:szCs w:val="20"/>
                              </w:rPr>
                              <w:t>:</w:t>
                            </w:r>
                            <w:r w:rsidRPr="00086E40">
                              <w:rPr>
                                <w:rFonts w:ascii="Arial" w:hAnsi="Arial" w:cs="Arial"/>
                                <w:sz w:val="20"/>
                                <w:szCs w:val="20"/>
                              </w:rPr>
                              <w:t xml:space="preserve"> Regulation 28 for pension funds introduce</w:t>
                            </w:r>
                            <w:r>
                              <w:rPr>
                                <w:rFonts w:ascii="Arial" w:hAnsi="Arial" w:cs="Arial"/>
                                <w:sz w:val="20"/>
                                <w:szCs w:val="20"/>
                              </w:rPr>
                              <w:t>s</w:t>
                            </w:r>
                            <w:r w:rsidRPr="00086E40">
                              <w:rPr>
                                <w:rFonts w:ascii="Arial" w:hAnsi="Arial" w:cs="Arial"/>
                                <w:sz w:val="20"/>
                                <w:szCs w:val="20"/>
                              </w:rPr>
                              <w:t xml:space="preserve"> a 10% investment allocation limit to hedge funds. Previously the regulation did not explicitly refer to hedge funds.</w:t>
                            </w:r>
                          </w:p>
                          <w:p w:rsidR="00555DF7" w:rsidRPr="00086E40" w:rsidRDefault="00555DF7" w:rsidP="00555DF7">
                            <w:pPr>
                              <w:pStyle w:val="ListParagraph"/>
                              <w:numPr>
                                <w:ilvl w:val="0"/>
                                <w:numId w:val="9"/>
                              </w:numPr>
                              <w:spacing w:after="160" w:line="259" w:lineRule="auto"/>
                              <w:rPr>
                                <w:rFonts w:ascii="Arial" w:hAnsi="Arial" w:cs="Arial"/>
                                <w:sz w:val="20"/>
                                <w:szCs w:val="20"/>
                              </w:rPr>
                            </w:pPr>
                            <w:r w:rsidRPr="006B7882">
                              <w:rPr>
                                <w:rFonts w:ascii="Arial" w:hAnsi="Arial" w:cs="Arial"/>
                                <w:b/>
                                <w:bCs/>
                                <w:sz w:val="20"/>
                                <w:szCs w:val="20"/>
                              </w:rPr>
                              <w:t>2012</w:t>
                            </w:r>
                            <w:r>
                              <w:rPr>
                                <w:rFonts w:ascii="Arial" w:hAnsi="Arial" w:cs="Arial"/>
                                <w:b/>
                                <w:bCs/>
                                <w:sz w:val="20"/>
                                <w:szCs w:val="20"/>
                              </w:rPr>
                              <w:t>:</w:t>
                            </w:r>
                            <w:r w:rsidRPr="00086E40">
                              <w:rPr>
                                <w:rFonts w:ascii="Arial" w:hAnsi="Arial" w:cs="Arial"/>
                                <w:sz w:val="20"/>
                                <w:szCs w:val="20"/>
                              </w:rPr>
                              <w:t xml:space="preserve"> The FSB and National Treasury embark on a process to enhance and expand the scope of regulation and oversight over hedge funds. A proposed framework for regulating hedge funds in South Africa </w:t>
                            </w:r>
                            <w:r>
                              <w:rPr>
                                <w:rFonts w:ascii="Arial" w:hAnsi="Arial" w:cs="Arial"/>
                                <w:sz w:val="20"/>
                                <w:szCs w:val="20"/>
                              </w:rPr>
                              <w:t>is</w:t>
                            </w:r>
                            <w:r w:rsidRPr="00086E40">
                              <w:rPr>
                                <w:rFonts w:ascii="Arial" w:hAnsi="Arial" w:cs="Arial"/>
                                <w:sz w:val="20"/>
                                <w:szCs w:val="20"/>
                              </w:rPr>
                              <w:t xml:space="preserve"> released and after engagement with industry, draft regulation for public comment </w:t>
                            </w:r>
                            <w:r>
                              <w:rPr>
                                <w:rFonts w:ascii="Arial" w:hAnsi="Arial" w:cs="Arial"/>
                                <w:sz w:val="20"/>
                                <w:szCs w:val="20"/>
                              </w:rPr>
                              <w:t>is</w:t>
                            </w:r>
                            <w:r w:rsidRPr="00086E40">
                              <w:rPr>
                                <w:rFonts w:ascii="Arial" w:hAnsi="Arial" w:cs="Arial"/>
                                <w:sz w:val="20"/>
                                <w:szCs w:val="20"/>
                              </w:rPr>
                              <w:t xml:space="preserve"> released in April 2014.</w:t>
                            </w:r>
                          </w:p>
                          <w:p w:rsidR="00555DF7" w:rsidRPr="00086E40" w:rsidRDefault="00555DF7" w:rsidP="00555DF7">
                            <w:pPr>
                              <w:pStyle w:val="ListParagraph"/>
                              <w:numPr>
                                <w:ilvl w:val="0"/>
                                <w:numId w:val="9"/>
                              </w:numPr>
                              <w:spacing w:after="160" w:line="259" w:lineRule="auto"/>
                              <w:rPr>
                                <w:rFonts w:ascii="Arial" w:hAnsi="Arial" w:cs="Arial"/>
                                <w:sz w:val="20"/>
                                <w:szCs w:val="20"/>
                              </w:rPr>
                            </w:pPr>
                            <w:r w:rsidRPr="006B7882">
                              <w:rPr>
                                <w:rFonts w:ascii="Arial" w:hAnsi="Arial" w:cs="Arial"/>
                                <w:b/>
                                <w:bCs/>
                                <w:sz w:val="20"/>
                                <w:szCs w:val="20"/>
                              </w:rPr>
                              <w:t>2015</w:t>
                            </w:r>
                            <w:r>
                              <w:rPr>
                                <w:rFonts w:ascii="Arial" w:hAnsi="Arial" w:cs="Arial"/>
                                <w:b/>
                                <w:bCs/>
                                <w:sz w:val="20"/>
                                <w:szCs w:val="20"/>
                              </w:rPr>
                              <w:t>:</w:t>
                            </w:r>
                            <w:r w:rsidRPr="00086E40">
                              <w:rPr>
                                <w:rFonts w:ascii="Arial" w:hAnsi="Arial" w:cs="Arial"/>
                                <w:sz w:val="20"/>
                                <w:szCs w:val="20"/>
                              </w:rPr>
                              <w:t xml:space="preserve"> National Treasury and the FSB finalise</w:t>
                            </w:r>
                            <w:r>
                              <w:rPr>
                                <w:rFonts w:ascii="Arial" w:hAnsi="Arial" w:cs="Arial"/>
                                <w:sz w:val="20"/>
                                <w:szCs w:val="20"/>
                              </w:rPr>
                              <w:t xml:space="preserve"> </w:t>
                            </w:r>
                            <w:r w:rsidRPr="00086E40">
                              <w:rPr>
                                <w:rFonts w:ascii="Arial" w:hAnsi="Arial" w:cs="Arial"/>
                                <w:sz w:val="20"/>
                                <w:szCs w:val="20"/>
                              </w:rPr>
                              <w:t>the regulation of hedge funds and declare them as collective investment schemes (CIS) in terms of Section 63 of under the existing Collective Investment Schemes Control Act 45 of 2002 (CISCA).</w:t>
                            </w:r>
                          </w:p>
                          <w:p w:rsidR="00555DF7" w:rsidRPr="00555DF7" w:rsidRDefault="00555DF7" w:rsidP="00555DF7">
                            <w:pPr>
                              <w:pBdr>
                                <w:top w:val="single" w:sz="24" w:space="8" w:color="4472C4"/>
                                <w:bottom w:val="single" w:sz="24" w:space="8" w:color="4472C4"/>
                              </w:pBdr>
                              <w:rPr>
                                <w:i/>
                                <w:iCs/>
                                <w:color w:val="4472C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7C4D76" id="Text Box 2" o:spid="_x0000_s1027" type="#_x0000_t202" style="position:absolute;left:0;text-align:left;margin-left:391.45pt;margin-top:81.8pt;width:442.65pt;height:227.3pt;z-index:251661312;visibility:visible;mso-wrap-style:square;mso-width-percent:0;mso-height-percent:0;mso-wrap-distance-left:9pt;mso-wrap-distance-top:7.2pt;mso-wrap-distance-right:9pt;mso-wrap-distance-bottom:7.2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yvvDwIAAPwDAAAOAAAAZHJzL2Uyb0RvYy54bWysU9tuGyEQfa/Uf0C813up13ZWXkdp0lSV&#10;0ouU9AMwy3pRgaGAvet+fQbWcaz2rSoPCBjmMOfMYX09akUOwnkJpqHFLKdEGA6tNLuG/ni6f7ei&#10;xAdmWqbAiIYehafXm7dv1oOtRQk9qFY4giDG14NtaB+CrbPM815o5mdghcFgB06zgFu3y1rHBkTX&#10;KivzfJEN4FrrgAvv8fRuCtJNwu86wcO3rvMiENVQrC2k2aV5G+dss2b1zjHbS34qg/1DFZpJg4+e&#10;oe5YYGTv5F9QWnIHHrow46Az6DrJReKAbIr8DzaPPbMicUFxvD3L5P8fLP96+O6IbBv6Pl9SYpjG&#10;Jj2JMZAPMJIy6jNYX+O1R4sXw4jH2OfE1dsH4D89MXDbM7MTN87B0AvWYn1FzMwuUiccH0G2wxdo&#10;8Rm2D5CAxs7pKB7KQRAd+3Q89yaWwvGwWpTFoqoo4RgrV6vFskjdy1j9km6dD58EaBIXDXXY/ATP&#10;Dg8+xHJY/XIlvmbgXiqVDKAMGRp6VZVVSriIaBnQn0rqhq7yOCbHRJYfTZuSA5NqWuMDypxoR6YT&#10;5zBux6Rw0iRKsoX2iDo4mOyI3wcXPbjflAxoxYb6X3vmBCXqs0Etr4r5PHo3bebVssSNu4xsLyPM&#10;cIRqaKBkWt6G5PeJ8g1q3smkxmslp5LRYkmk03eIHr7cp1uvn3bzDAAA//8DAFBLAwQUAAYACAAA&#10;ACEApz3oHt0AAAAIAQAADwAAAGRycy9kb3ducmV2LnhtbEyPzU7DMBCE70i8g7VI3KjdlkYhxKkQ&#10;iCuI8iNx28bbJCJeR7HbhLdnOcFxdlYz35Tb2ffqRGPsAltYLgwo4jq4jhsLb6+PVzmomJAd9oHJ&#10;wjdF2FbnZyUWLkz8QqddapSEcCzQQpvSUGgd65Y8xkUYiMU7hNFjEjk22o04Sbjv9cqYTHvsWBpa&#10;HOi+pfprd/QW3p8Onx/X5rl58JthCrPR7G+0tZcX890tqERz+nuGX3xBh0qY9uHILqreggxJcs3W&#10;GSix83yzBrW3kC3zFeiq1P8HVD8AAAD//wMAUEsBAi0AFAAGAAgAAAAhALaDOJL+AAAA4QEAABMA&#10;AAAAAAAAAAAAAAAAAAAAAFtDb250ZW50X1R5cGVzXS54bWxQSwECLQAUAAYACAAAACEAOP0h/9YA&#10;AACUAQAACwAAAAAAAAAAAAAAAAAvAQAAX3JlbHMvLnJlbHNQSwECLQAUAAYACAAAACEA3msr7w8C&#10;AAD8AwAADgAAAAAAAAAAAAAAAAAuAgAAZHJzL2Uyb0RvYy54bWxQSwECLQAUAAYACAAAACEApz3o&#10;Ht0AAAAIAQAADwAAAAAAAAAAAAAAAABpBAAAZHJzL2Rvd25yZXYueG1sUEsFBgAAAAAEAAQA8wAA&#10;AHMFAAAAAA==&#10;" filled="f" stroked="f">
                <v:textbox>
                  <w:txbxContent>
                    <w:p w:rsidR="00555DF7" w:rsidRPr="00086E40" w:rsidRDefault="00555DF7" w:rsidP="00555DF7">
                      <w:pPr>
                        <w:autoSpaceDE w:val="0"/>
                        <w:autoSpaceDN w:val="0"/>
                        <w:adjustRightInd w:val="0"/>
                        <w:jc w:val="both"/>
                        <w:rPr>
                          <w:rFonts w:ascii="Arial" w:hAnsi="Arial" w:cs="Arial"/>
                          <w:b/>
                          <w:bCs/>
                          <w:sz w:val="20"/>
                          <w:szCs w:val="20"/>
                        </w:rPr>
                      </w:pPr>
                      <w:r w:rsidRPr="00086E40">
                        <w:rPr>
                          <w:rFonts w:ascii="Arial" w:hAnsi="Arial" w:cs="Arial"/>
                          <w:b/>
                          <w:bCs/>
                          <w:sz w:val="20"/>
                          <w:szCs w:val="20"/>
                        </w:rPr>
                        <w:t>How hedge funds evolved</w:t>
                      </w:r>
                    </w:p>
                    <w:p w:rsidR="00555DF7" w:rsidRPr="00086E40" w:rsidRDefault="00555DF7" w:rsidP="00555DF7">
                      <w:pPr>
                        <w:rPr>
                          <w:rFonts w:ascii="Arial" w:hAnsi="Arial" w:cs="Arial"/>
                          <w:sz w:val="20"/>
                          <w:szCs w:val="20"/>
                        </w:rPr>
                      </w:pPr>
                      <w:r>
                        <w:rPr>
                          <w:rFonts w:ascii="Arial" w:hAnsi="Arial" w:cs="Arial"/>
                          <w:sz w:val="20"/>
                          <w:szCs w:val="20"/>
                        </w:rPr>
                        <w:t xml:space="preserve">An </w:t>
                      </w:r>
                      <w:r w:rsidRPr="00086E40">
                        <w:rPr>
                          <w:rFonts w:ascii="Arial" w:hAnsi="Arial" w:cs="Arial"/>
                          <w:sz w:val="20"/>
                          <w:szCs w:val="20"/>
                        </w:rPr>
                        <w:t>Australian</w:t>
                      </w:r>
                      <w:r>
                        <w:rPr>
                          <w:rFonts w:ascii="Arial" w:hAnsi="Arial" w:cs="Arial"/>
                          <w:sz w:val="20"/>
                          <w:szCs w:val="20"/>
                        </w:rPr>
                        <w:t>,</w:t>
                      </w:r>
                      <w:r w:rsidRPr="00086E40">
                        <w:rPr>
                          <w:rFonts w:ascii="Arial" w:hAnsi="Arial" w:cs="Arial"/>
                          <w:sz w:val="20"/>
                          <w:szCs w:val="20"/>
                        </w:rPr>
                        <w:t xml:space="preserve"> Alfred Winslow Jones</w:t>
                      </w:r>
                      <w:r>
                        <w:rPr>
                          <w:rFonts w:ascii="Arial" w:hAnsi="Arial" w:cs="Arial"/>
                          <w:sz w:val="20"/>
                          <w:szCs w:val="20"/>
                        </w:rPr>
                        <w:t>,</w:t>
                      </w:r>
                      <w:r w:rsidRPr="00086E40">
                        <w:rPr>
                          <w:rFonts w:ascii="Arial" w:hAnsi="Arial" w:cs="Arial"/>
                          <w:sz w:val="20"/>
                          <w:szCs w:val="20"/>
                        </w:rPr>
                        <w:t xml:space="preserve"> was credited in 1949 for creating the first hedge fund structure. </w:t>
                      </w:r>
                    </w:p>
                    <w:p w:rsidR="00555DF7" w:rsidRPr="00086E40" w:rsidRDefault="00555DF7" w:rsidP="00555DF7">
                      <w:pPr>
                        <w:pStyle w:val="ListParagraph"/>
                        <w:numPr>
                          <w:ilvl w:val="0"/>
                          <w:numId w:val="9"/>
                        </w:numPr>
                        <w:spacing w:after="160" w:line="259" w:lineRule="auto"/>
                        <w:rPr>
                          <w:rFonts w:ascii="Arial" w:hAnsi="Arial" w:cs="Arial"/>
                          <w:sz w:val="20"/>
                          <w:szCs w:val="20"/>
                        </w:rPr>
                      </w:pPr>
                      <w:r w:rsidRPr="006B7882">
                        <w:rPr>
                          <w:rFonts w:ascii="Arial" w:hAnsi="Arial" w:cs="Arial"/>
                          <w:b/>
                          <w:bCs/>
                          <w:sz w:val="20"/>
                          <w:szCs w:val="20"/>
                        </w:rPr>
                        <w:t>1998</w:t>
                      </w:r>
                      <w:r>
                        <w:rPr>
                          <w:rFonts w:ascii="Arial" w:hAnsi="Arial" w:cs="Arial"/>
                          <w:b/>
                          <w:bCs/>
                          <w:sz w:val="20"/>
                          <w:szCs w:val="20"/>
                        </w:rPr>
                        <w:t>:</w:t>
                      </w:r>
                      <w:r w:rsidRPr="00086E40">
                        <w:rPr>
                          <w:rFonts w:ascii="Arial" w:hAnsi="Arial" w:cs="Arial"/>
                          <w:sz w:val="20"/>
                          <w:szCs w:val="20"/>
                        </w:rPr>
                        <w:t xml:space="preserve"> First South African single manager hedge fund </w:t>
                      </w:r>
                      <w:r>
                        <w:rPr>
                          <w:rFonts w:ascii="Arial" w:hAnsi="Arial" w:cs="Arial"/>
                          <w:sz w:val="20"/>
                          <w:szCs w:val="20"/>
                        </w:rPr>
                        <w:t xml:space="preserve">is </w:t>
                      </w:r>
                      <w:r w:rsidRPr="00086E40">
                        <w:rPr>
                          <w:rFonts w:ascii="Arial" w:hAnsi="Arial" w:cs="Arial"/>
                          <w:sz w:val="20"/>
                          <w:szCs w:val="20"/>
                        </w:rPr>
                        <w:t>established.</w:t>
                      </w:r>
                    </w:p>
                    <w:p w:rsidR="00555DF7" w:rsidRPr="00086E40" w:rsidRDefault="00555DF7" w:rsidP="00555DF7">
                      <w:pPr>
                        <w:pStyle w:val="ListParagraph"/>
                        <w:numPr>
                          <w:ilvl w:val="0"/>
                          <w:numId w:val="9"/>
                        </w:numPr>
                        <w:spacing w:after="160" w:line="259" w:lineRule="auto"/>
                        <w:rPr>
                          <w:rFonts w:ascii="Arial" w:hAnsi="Arial" w:cs="Arial"/>
                          <w:sz w:val="20"/>
                          <w:szCs w:val="20"/>
                        </w:rPr>
                      </w:pPr>
                      <w:r w:rsidRPr="006B7882">
                        <w:rPr>
                          <w:rFonts w:ascii="Arial" w:hAnsi="Arial" w:cs="Arial"/>
                          <w:b/>
                          <w:bCs/>
                          <w:sz w:val="20"/>
                          <w:szCs w:val="20"/>
                        </w:rPr>
                        <w:t>2003</w:t>
                      </w:r>
                      <w:r>
                        <w:rPr>
                          <w:rFonts w:ascii="Arial" w:hAnsi="Arial" w:cs="Arial"/>
                          <w:b/>
                          <w:bCs/>
                          <w:sz w:val="20"/>
                          <w:szCs w:val="20"/>
                        </w:rPr>
                        <w:t>:</w:t>
                      </w:r>
                      <w:r w:rsidRPr="00086E40">
                        <w:rPr>
                          <w:rFonts w:ascii="Arial" w:hAnsi="Arial" w:cs="Arial"/>
                          <w:sz w:val="20"/>
                          <w:szCs w:val="20"/>
                        </w:rPr>
                        <w:t xml:space="preserve"> The first South African fund of hedge funds </w:t>
                      </w:r>
                      <w:r>
                        <w:rPr>
                          <w:rFonts w:ascii="Arial" w:hAnsi="Arial" w:cs="Arial"/>
                          <w:sz w:val="20"/>
                          <w:szCs w:val="20"/>
                        </w:rPr>
                        <w:t xml:space="preserve">is </w:t>
                      </w:r>
                      <w:r w:rsidRPr="00086E40">
                        <w:rPr>
                          <w:rFonts w:ascii="Arial" w:hAnsi="Arial" w:cs="Arial"/>
                          <w:sz w:val="20"/>
                          <w:szCs w:val="20"/>
                        </w:rPr>
                        <w:t>created.</w:t>
                      </w:r>
                    </w:p>
                    <w:p w:rsidR="00555DF7" w:rsidRPr="00086E40" w:rsidRDefault="00555DF7" w:rsidP="00555DF7">
                      <w:pPr>
                        <w:pStyle w:val="ListParagraph"/>
                        <w:numPr>
                          <w:ilvl w:val="0"/>
                          <w:numId w:val="9"/>
                        </w:numPr>
                        <w:spacing w:after="160" w:line="259" w:lineRule="auto"/>
                        <w:rPr>
                          <w:rFonts w:ascii="Arial" w:hAnsi="Arial" w:cs="Arial"/>
                          <w:sz w:val="20"/>
                          <w:szCs w:val="20"/>
                        </w:rPr>
                      </w:pPr>
                      <w:r w:rsidRPr="006B7882">
                        <w:rPr>
                          <w:rFonts w:ascii="Arial" w:hAnsi="Arial" w:cs="Arial"/>
                          <w:b/>
                          <w:bCs/>
                          <w:sz w:val="20"/>
                          <w:szCs w:val="20"/>
                        </w:rPr>
                        <w:t>2007</w:t>
                      </w:r>
                      <w:r>
                        <w:rPr>
                          <w:rFonts w:ascii="Arial" w:hAnsi="Arial" w:cs="Arial"/>
                          <w:b/>
                          <w:bCs/>
                          <w:sz w:val="20"/>
                          <w:szCs w:val="20"/>
                        </w:rPr>
                        <w:t>:</w:t>
                      </w:r>
                      <w:r w:rsidRPr="00086E40">
                        <w:rPr>
                          <w:rFonts w:ascii="Arial" w:hAnsi="Arial" w:cs="Arial"/>
                          <w:sz w:val="20"/>
                          <w:szCs w:val="20"/>
                        </w:rPr>
                        <w:t xml:space="preserve"> The Financial Services Board (FSB) starts regulating hedge fund managers, requiring that they hold a CAT II A licence.</w:t>
                      </w:r>
                    </w:p>
                    <w:p w:rsidR="00555DF7" w:rsidRPr="00086E40" w:rsidRDefault="00555DF7" w:rsidP="00555DF7">
                      <w:pPr>
                        <w:pStyle w:val="ListParagraph"/>
                        <w:numPr>
                          <w:ilvl w:val="0"/>
                          <w:numId w:val="9"/>
                        </w:numPr>
                        <w:spacing w:after="160" w:line="259" w:lineRule="auto"/>
                        <w:rPr>
                          <w:rFonts w:ascii="Arial" w:hAnsi="Arial" w:cs="Arial"/>
                          <w:sz w:val="20"/>
                          <w:szCs w:val="20"/>
                        </w:rPr>
                      </w:pPr>
                      <w:r w:rsidRPr="006B7882">
                        <w:rPr>
                          <w:rFonts w:ascii="Arial" w:hAnsi="Arial" w:cs="Arial"/>
                          <w:b/>
                          <w:bCs/>
                          <w:sz w:val="20"/>
                          <w:szCs w:val="20"/>
                        </w:rPr>
                        <w:t>2011</w:t>
                      </w:r>
                      <w:r>
                        <w:rPr>
                          <w:rFonts w:ascii="Arial" w:hAnsi="Arial" w:cs="Arial"/>
                          <w:b/>
                          <w:bCs/>
                          <w:sz w:val="20"/>
                          <w:szCs w:val="20"/>
                        </w:rPr>
                        <w:t>:</w:t>
                      </w:r>
                      <w:r w:rsidRPr="00086E40">
                        <w:rPr>
                          <w:rFonts w:ascii="Arial" w:hAnsi="Arial" w:cs="Arial"/>
                          <w:sz w:val="20"/>
                          <w:szCs w:val="20"/>
                        </w:rPr>
                        <w:t xml:space="preserve"> Regulation 28 for pension funds introduce</w:t>
                      </w:r>
                      <w:r>
                        <w:rPr>
                          <w:rFonts w:ascii="Arial" w:hAnsi="Arial" w:cs="Arial"/>
                          <w:sz w:val="20"/>
                          <w:szCs w:val="20"/>
                        </w:rPr>
                        <w:t>s</w:t>
                      </w:r>
                      <w:r w:rsidRPr="00086E40">
                        <w:rPr>
                          <w:rFonts w:ascii="Arial" w:hAnsi="Arial" w:cs="Arial"/>
                          <w:sz w:val="20"/>
                          <w:szCs w:val="20"/>
                        </w:rPr>
                        <w:t xml:space="preserve"> a 10% investment allocation limit to hedge funds. Previously the regulation did not explicitly refer to hedge funds.</w:t>
                      </w:r>
                    </w:p>
                    <w:p w:rsidR="00555DF7" w:rsidRPr="00086E40" w:rsidRDefault="00555DF7" w:rsidP="00555DF7">
                      <w:pPr>
                        <w:pStyle w:val="ListParagraph"/>
                        <w:numPr>
                          <w:ilvl w:val="0"/>
                          <w:numId w:val="9"/>
                        </w:numPr>
                        <w:spacing w:after="160" w:line="259" w:lineRule="auto"/>
                        <w:rPr>
                          <w:rFonts w:ascii="Arial" w:hAnsi="Arial" w:cs="Arial"/>
                          <w:sz w:val="20"/>
                          <w:szCs w:val="20"/>
                        </w:rPr>
                      </w:pPr>
                      <w:r w:rsidRPr="006B7882">
                        <w:rPr>
                          <w:rFonts w:ascii="Arial" w:hAnsi="Arial" w:cs="Arial"/>
                          <w:b/>
                          <w:bCs/>
                          <w:sz w:val="20"/>
                          <w:szCs w:val="20"/>
                        </w:rPr>
                        <w:t>2012</w:t>
                      </w:r>
                      <w:r>
                        <w:rPr>
                          <w:rFonts w:ascii="Arial" w:hAnsi="Arial" w:cs="Arial"/>
                          <w:b/>
                          <w:bCs/>
                          <w:sz w:val="20"/>
                          <w:szCs w:val="20"/>
                        </w:rPr>
                        <w:t>:</w:t>
                      </w:r>
                      <w:r w:rsidRPr="00086E40">
                        <w:rPr>
                          <w:rFonts w:ascii="Arial" w:hAnsi="Arial" w:cs="Arial"/>
                          <w:sz w:val="20"/>
                          <w:szCs w:val="20"/>
                        </w:rPr>
                        <w:t xml:space="preserve"> The FSB and National Treasury embark on a process to enhance and expand the scope of regulation and oversight over hedge funds. A proposed framework for regulating hedge funds in South Africa </w:t>
                      </w:r>
                      <w:r>
                        <w:rPr>
                          <w:rFonts w:ascii="Arial" w:hAnsi="Arial" w:cs="Arial"/>
                          <w:sz w:val="20"/>
                          <w:szCs w:val="20"/>
                        </w:rPr>
                        <w:t>is</w:t>
                      </w:r>
                      <w:r w:rsidRPr="00086E40">
                        <w:rPr>
                          <w:rFonts w:ascii="Arial" w:hAnsi="Arial" w:cs="Arial"/>
                          <w:sz w:val="20"/>
                          <w:szCs w:val="20"/>
                        </w:rPr>
                        <w:t xml:space="preserve"> released and after engagement with industry, draft regulation for public comment </w:t>
                      </w:r>
                      <w:r>
                        <w:rPr>
                          <w:rFonts w:ascii="Arial" w:hAnsi="Arial" w:cs="Arial"/>
                          <w:sz w:val="20"/>
                          <w:szCs w:val="20"/>
                        </w:rPr>
                        <w:t>is</w:t>
                      </w:r>
                      <w:r w:rsidRPr="00086E40">
                        <w:rPr>
                          <w:rFonts w:ascii="Arial" w:hAnsi="Arial" w:cs="Arial"/>
                          <w:sz w:val="20"/>
                          <w:szCs w:val="20"/>
                        </w:rPr>
                        <w:t xml:space="preserve"> released in April 2014.</w:t>
                      </w:r>
                    </w:p>
                    <w:p w:rsidR="00555DF7" w:rsidRPr="00086E40" w:rsidRDefault="00555DF7" w:rsidP="00555DF7">
                      <w:pPr>
                        <w:pStyle w:val="ListParagraph"/>
                        <w:numPr>
                          <w:ilvl w:val="0"/>
                          <w:numId w:val="9"/>
                        </w:numPr>
                        <w:spacing w:after="160" w:line="259" w:lineRule="auto"/>
                        <w:rPr>
                          <w:rFonts w:ascii="Arial" w:hAnsi="Arial" w:cs="Arial"/>
                          <w:sz w:val="20"/>
                          <w:szCs w:val="20"/>
                        </w:rPr>
                      </w:pPr>
                      <w:r w:rsidRPr="006B7882">
                        <w:rPr>
                          <w:rFonts w:ascii="Arial" w:hAnsi="Arial" w:cs="Arial"/>
                          <w:b/>
                          <w:bCs/>
                          <w:sz w:val="20"/>
                          <w:szCs w:val="20"/>
                        </w:rPr>
                        <w:t>2015</w:t>
                      </w:r>
                      <w:r>
                        <w:rPr>
                          <w:rFonts w:ascii="Arial" w:hAnsi="Arial" w:cs="Arial"/>
                          <w:b/>
                          <w:bCs/>
                          <w:sz w:val="20"/>
                          <w:szCs w:val="20"/>
                        </w:rPr>
                        <w:t>:</w:t>
                      </w:r>
                      <w:r w:rsidRPr="00086E40">
                        <w:rPr>
                          <w:rFonts w:ascii="Arial" w:hAnsi="Arial" w:cs="Arial"/>
                          <w:sz w:val="20"/>
                          <w:szCs w:val="20"/>
                        </w:rPr>
                        <w:t xml:space="preserve"> National Treasury and the FSB finalise</w:t>
                      </w:r>
                      <w:r>
                        <w:rPr>
                          <w:rFonts w:ascii="Arial" w:hAnsi="Arial" w:cs="Arial"/>
                          <w:sz w:val="20"/>
                          <w:szCs w:val="20"/>
                        </w:rPr>
                        <w:t xml:space="preserve"> </w:t>
                      </w:r>
                      <w:r w:rsidRPr="00086E40">
                        <w:rPr>
                          <w:rFonts w:ascii="Arial" w:hAnsi="Arial" w:cs="Arial"/>
                          <w:sz w:val="20"/>
                          <w:szCs w:val="20"/>
                        </w:rPr>
                        <w:t>the regulation of hedge funds and declare them as collective investment schemes (CIS) in terms of Section 63 of under the existing Collective Investment Schemes Control Act 45 of 2002 (CISCA).</w:t>
                      </w:r>
                    </w:p>
                    <w:p w:rsidR="00555DF7" w:rsidRPr="00555DF7" w:rsidRDefault="00555DF7" w:rsidP="00555DF7">
                      <w:pPr>
                        <w:pBdr>
                          <w:top w:val="single" w:sz="24" w:space="8" w:color="4472C4"/>
                          <w:bottom w:val="single" w:sz="24" w:space="8" w:color="4472C4"/>
                        </w:pBdr>
                        <w:rPr>
                          <w:i/>
                          <w:iCs/>
                          <w:color w:val="4472C4"/>
                        </w:rPr>
                      </w:pPr>
                    </w:p>
                  </w:txbxContent>
                </v:textbox>
                <w10:wrap type="topAndBottom" anchorx="margin"/>
              </v:shape>
            </w:pict>
          </mc:Fallback>
        </mc:AlternateContent>
      </w:r>
      <w:r w:rsidRPr="00555DF7">
        <w:rPr>
          <w:rFonts w:ascii="Arial" w:eastAsia="Calibri" w:hAnsi="Arial" w:cs="Arial"/>
          <w:sz w:val="22"/>
          <w:szCs w:val="22"/>
        </w:rPr>
        <w:t xml:space="preserve">Gyongyi King, chief investment officer at Alexander Forbes, speaking at the Alternative Investments Conference 2020, notes that, contrary to popular belief, South African registered hedge funds are relatively conservative when compared to global counterparts and generally seek to provide a steady </w:t>
      </w:r>
      <w:r w:rsidRPr="00555DF7">
        <w:rPr>
          <w:rFonts w:ascii="Arial" w:eastAsia="Calibri" w:hAnsi="Arial" w:cs="Arial"/>
          <w:sz w:val="22"/>
          <w:szCs w:val="22"/>
        </w:rPr>
        <w:lastRenderedPageBreak/>
        <w:t>return profile for investors. “Hedge funds aim to achieve positive returns at a reduced level of risk by using derivatives, short selling and leverage. This flexibility gives hedge funds greater opportunism, enabling them to extract positive performance in both upward or downward trending financial markets.”</w:t>
      </w:r>
      <w:r w:rsidRPr="00555DF7">
        <w:rPr>
          <w:rFonts w:ascii="Arial" w:eastAsia="Calibri" w:hAnsi="Arial" w:cs="Arial"/>
          <w:color w:val="FFFFFF"/>
          <w:sz w:val="22"/>
          <w:szCs w:val="22"/>
        </w:rPr>
        <w:t xml:space="preserve"> Ass</w:t>
      </w:r>
    </w:p>
    <w:p w:rsidR="00555DF7" w:rsidRDefault="00555DF7" w:rsidP="00555DF7">
      <w:pPr>
        <w:spacing w:after="160" w:line="259" w:lineRule="auto"/>
        <w:ind w:left="720"/>
        <w:contextualSpacing/>
        <w:jc w:val="center"/>
        <w:rPr>
          <w:rFonts w:ascii="Arial" w:eastAsia="Calibri" w:hAnsi="Arial" w:cs="Arial"/>
          <w:color w:val="FFFFFF"/>
          <w:sz w:val="22"/>
          <w:szCs w:val="22"/>
        </w:rPr>
      </w:pPr>
      <w:r w:rsidRPr="00555DF7">
        <w:rPr>
          <w:rFonts w:ascii="Arial" w:eastAsia="Calibri" w:hAnsi="Arial" w:cs="Arial"/>
          <w:color w:val="FFFFFF"/>
          <w:sz w:val="22"/>
          <w:szCs w:val="22"/>
        </w:rPr>
        <w:t xml:space="preserve">et classes can focus on performance that is independent of traditional capital </w:t>
      </w:r>
      <w:r w:rsidRPr="00555DF7">
        <w:rPr>
          <w:rFonts w:ascii="Arial" w:eastAsia="Calibri" w:hAnsi="Arial" w:cs="Arial"/>
          <w:noProof/>
          <w:sz w:val="22"/>
          <w:szCs w:val="22"/>
          <w:lang w:val="en-ZA" w:eastAsia="en-ZA"/>
        </w:rPr>
        <w:drawing>
          <wp:inline distT="0" distB="0" distL="0" distR="0" wp14:anchorId="30E07768" wp14:editId="2E51A587">
            <wp:extent cx="3459480" cy="1905282"/>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470420" cy="1911307"/>
                    </a:xfrm>
                    <a:prstGeom prst="rect">
                      <a:avLst/>
                    </a:prstGeom>
                  </pic:spPr>
                </pic:pic>
              </a:graphicData>
            </a:graphic>
          </wp:inline>
        </w:drawing>
      </w:r>
    </w:p>
    <w:p w:rsidR="00555DF7" w:rsidRPr="00555DF7" w:rsidRDefault="00555DF7" w:rsidP="00555DF7">
      <w:pPr>
        <w:spacing w:after="160" w:line="259" w:lineRule="auto"/>
        <w:ind w:left="720"/>
        <w:contextualSpacing/>
        <w:jc w:val="center"/>
        <w:rPr>
          <w:rFonts w:ascii="Arial" w:eastAsia="Calibri" w:hAnsi="Arial" w:cs="Arial"/>
          <w:sz w:val="22"/>
          <w:szCs w:val="22"/>
        </w:rPr>
      </w:pPr>
    </w:p>
    <w:tbl>
      <w:tblPr>
        <w:tblStyle w:val="TableGrid1"/>
        <w:tblW w:w="0" w:type="auto"/>
        <w:tblLook w:val="04A0" w:firstRow="1" w:lastRow="0" w:firstColumn="1" w:lastColumn="0" w:noHBand="0" w:noVBand="1"/>
      </w:tblPr>
      <w:tblGrid>
        <w:gridCol w:w="3005"/>
        <w:gridCol w:w="3005"/>
        <w:gridCol w:w="3006"/>
      </w:tblGrid>
      <w:tr w:rsidR="00555DF7" w:rsidRPr="00555DF7" w:rsidTr="00AB1339">
        <w:tc>
          <w:tcPr>
            <w:tcW w:w="3005" w:type="dxa"/>
          </w:tcPr>
          <w:p w:rsidR="00555DF7" w:rsidRPr="00555DF7" w:rsidRDefault="00555DF7" w:rsidP="00555DF7">
            <w:pPr>
              <w:spacing w:after="160" w:line="259" w:lineRule="auto"/>
              <w:rPr>
                <w:rFonts w:ascii="Arial" w:hAnsi="Arial" w:cs="Arial"/>
                <w:b/>
                <w:bCs/>
              </w:rPr>
            </w:pPr>
            <w:r w:rsidRPr="00555DF7">
              <w:rPr>
                <w:rFonts w:ascii="Arial" w:hAnsi="Arial" w:cs="Arial"/>
                <w:b/>
                <w:bCs/>
              </w:rPr>
              <w:t>Type of hedge fund</w:t>
            </w:r>
          </w:p>
        </w:tc>
        <w:tc>
          <w:tcPr>
            <w:tcW w:w="3005" w:type="dxa"/>
          </w:tcPr>
          <w:p w:rsidR="00555DF7" w:rsidRPr="00555DF7" w:rsidRDefault="00555DF7" w:rsidP="00555DF7">
            <w:pPr>
              <w:spacing w:after="160" w:line="259" w:lineRule="auto"/>
              <w:rPr>
                <w:rFonts w:ascii="Arial" w:hAnsi="Arial" w:cs="Arial"/>
                <w:b/>
                <w:bCs/>
              </w:rPr>
            </w:pPr>
            <w:r w:rsidRPr="00555DF7">
              <w:rPr>
                <w:rFonts w:ascii="Arial" w:hAnsi="Arial" w:cs="Arial"/>
                <w:b/>
                <w:bCs/>
              </w:rPr>
              <w:t>RIHF for retail investors</w:t>
            </w:r>
          </w:p>
        </w:tc>
        <w:tc>
          <w:tcPr>
            <w:tcW w:w="3006" w:type="dxa"/>
          </w:tcPr>
          <w:p w:rsidR="00555DF7" w:rsidRPr="00555DF7" w:rsidRDefault="00555DF7" w:rsidP="00555DF7">
            <w:pPr>
              <w:spacing w:after="160" w:line="259" w:lineRule="auto"/>
              <w:rPr>
                <w:rFonts w:ascii="Arial" w:hAnsi="Arial" w:cs="Arial"/>
                <w:b/>
                <w:bCs/>
              </w:rPr>
            </w:pPr>
            <w:r w:rsidRPr="00555DF7">
              <w:rPr>
                <w:rFonts w:ascii="Arial" w:hAnsi="Arial" w:cs="Arial"/>
                <w:b/>
                <w:bCs/>
              </w:rPr>
              <w:t>QIHF for qualified investors</w:t>
            </w:r>
          </w:p>
        </w:tc>
      </w:tr>
      <w:tr w:rsidR="00555DF7" w:rsidRPr="00555DF7" w:rsidTr="00AB1339">
        <w:tc>
          <w:tcPr>
            <w:tcW w:w="3005" w:type="dxa"/>
          </w:tcPr>
          <w:p w:rsidR="00555DF7" w:rsidRPr="00555DF7" w:rsidRDefault="00555DF7" w:rsidP="00555DF7">
            <w:pPr>
              <w:spacing w:after="160" w:line="259" w:lineRule="auto"/>
              <w:rPr>
                <w:rFonts w:ascii="Arial" w:hAnsi="Arial" w:cs="Arial"/>
              </w:rPr>
            </w:pPr>
            <w:r w:rsidRPr="00555DF7">
              <w:rPr>
                <w:rFonts w:ascii="Arial" w:hAnsi="Arial" w:cs="Arial"/>
              </w:rPr>
              <w:t>Disclosure to clients</w:t>
            </w:r>
          </w:p>
        </w:tc>
        <w:tc>
          <w:tcPr>
            <w:tcW w:w="3005" w:type="dxa"/>
          </w:tcPr>
          <w:p w:rsidR="00555DF7" w:rsidRPr="00555DF7" w:rsidRDefault="00555DF7" w:rsidP="00555DF7">
            <w:pPr>
              <w:spacing w:after="160" w:line="259" w:lineRule="auto"/>
              <w:rPr>
                <w:rFonts w:ascii="Arial" w:hAnsi="Arial" w:cs="Arial"/>
              </w:rPr>
            </w:pPr>
            <w:r w:rsidRPr="00555DF7">
              <w:rPr>
                <w:rFonts w:ascii="Arial" w:hAnsi="Arial" w:cs="Arial"/>
              </w:rPr>
              <w:t>Monthly</w:t>
            </w:r>
          </w:p>
        </w:tc>
        <w:tc>
          <w:tcPr>
            <w:tcW w:w="3006" w:type="dxa"/>
          </w:tcPr>
          <w:p w:rsidR="00555DF7" w:rsidRPr="00555DF7" w:rsidRDefault="00555DF7" w:rsidP="00555DF7">
            <w:pPr>
              <w:spacing w:after="160" w:line="259" w:lineRule="auto"/>
              <w:rPr>
                <w:rFonts w:ascii="Arial" w:hAnsi="Arial" w:cs="Arial"/>
              </w:rPr>
            </w:pPr>
            <w:r w:rsidRPr="00555DF7">
              <w:rPr>
                <w:rFonts w:ascii="Arial" w:hAnsi="Arial" w:cs="Arial"/>
              </w:rPr>
              <w:t>Quarterly</w:t>
            </w:r>
          </w:p>
        </w:tc>
      </w:tr>
      <w:tr w:rsidR="00555DF7" w:rsidRPr="00555DF7" w:rsidTr="00AB1339">
        <w:tc>
          <w:tcPr>
            <w:tcW w:w="3005" w:type="dxa"/>
          </w:tcPr>
          <w:p w:rsidR="00555DF7" w:rsidRPr="00555DF7" w:rsidRDefault="00555DF7" w:rsidP="00555DF7">
            <w:pPr>
              <w:spacing w:after="160" w:line="259" w:lineRule="auto"/>
              <w:rPr>
                <w:rFonts w:ascii="Arial" w:hAnsi="Arial" w:cs="Arial"/>
              </w:rPr>
            </w:pPr>
            <w:r w:rsidRPr="00555DF7">
              <w:rPr>
                <w:rFonts w:ascii="Arial" w:hAnsi="Arial" w:cs="Arial"/>
              </w:rPr>
              <w:t>Maximum equity holdings</w:t>
            </w:r>
          </w:p>
        </w:tc>
        <w:tc>
          <w:tcPr>
            <w:tcW w:w="3005" w:type="dxa"/>
          </w:tcPr>
          <w:p w:rsidR="00555DF7" w:rsidRPr="00555DF7" w:rsidRDefault="00555DF7" w:rsidP="00555DF7">
            <w:pPr>
              <w:spacing w:after="160" w:line="259" w:lineRule="auto"/>
              <w:rPr>
                <w:rFonts w:ascii="Arial" w:hAnsi="Arial" w:cs="Arial"/>
              </w:rPr>
            </w:pPr>
            <w:r w:rsidRPr="00555DF7">
              <w:rPr>
                <w:rFonts w:ascii="Arial" w:hAnsi="Arial" w:cs="Arial"/>
              </w:rPr>
              <w:t>&lt; 10%</w:t>
            </w:r>
          </w:p>
        </w:tc>
        <w:tc>
          <w:tcPr>
            <w:tcW w:w="3006" w:type="dxa"/>
          </w:tcPr>
          <w:p w:rsidR="00555DF7" w:rsidRPr="00555DF7" w:rsidRDefault="00555DF7" w:rsidP="00555DF7">
            <w:pPr>
              <w:spacing w:after="160" w:line="259" w:lineRule="auto"/>
              <w:rPr>
                <w:rFonts w:ascii="Arial" w:hAnsi="Arial" w:cs="Arial"/>
              </w:rPr>
            </w:pPr>
            <w:r w:rsidRPr="00555DF7">
              <w:rPr>
                <w:rFonts w:ascii="Arial" w:hAnsi="Arial" w:cs="Arial"/>
              </w:rPr>
              <w:t>Not defined</w:t>
            </w:r>
          </w:p>
        </w:tc>
      </w:tr>
      <w:tr w:rsidR="00555DF7" w:rsidRPr="00555DF7" w:rsidTr="00AB1339">
        <w:tc>
          <w:tcPr>
            <w:tcW w:w="3005" w:type="dxa"/>
          </w:tcPr>
          <w:p w:rsidR="00555DF7" w:rsidRPr="00555DF7" w:rsidRDefault="00555DF7" w:rsidP="00555DF7">
            <w:pPr>
              <w:spacing w:after="160" w:line="259" w:lineRule="auto"/>
              <w:rPr>
                <w:rFonts w:ascii="Arial" w:hAnsi="Arial" w:cs="Arial"/>
              </w:rPr>
            </w:pPr>
            <w:r w:rsidRPr="00555DF7">
              <w:rPr>
                <w:rFonts w:ascii="Arial" w:hAnsi="Arial" w:cs="Arial"/>
              </w:rPr>
              <w:t>Investor liquidity</w:t>
            </w:r>
          </w:p>
        </w:tc>
        <w:tc>
          <w:tcPr>
            <w:tcW w:w="3005" w:type="dxa"/>
          </w:tcPr>
          <w:p w:rsidR="00555DF7" w:rsidRPr="00555DF7" w:rsidRDefault="00555DF7" w:rsidP="00555DF7">
            <w:pPr>
              <w:spacing w:after="160" w:line="259" w:lineRule="auto"/>
              <w:rPr>
                <w:rFonts w:ascii="Arial" w:hAnsi="Arial" w:cs="Arial"/>
              </w:rPr>
            </w:pPr>
            <w:r w:rsidRPr="00555DF7">
              <w:rPr>
                <w:rFonts w:ascii="Arial" w:hAnsi="Arial" w:cs="Arial"/>
              </w:rPr>
              <w:t>Calendar month</w:t>
            </w:r>
          </w:p>
        </w:tc>
        <w:tc>
          <w:tcPr>
            <w:tcW w:w="3006" w:type="dxa"/>
          </w:tcPr>
          <w:p w:rsidR="00555DF7" w:rsidRPr="00555DF7" w:rsidRDefault="00555DF7" w:rsidP="00555DF7">
            <w:pPr>
              <w:spacing w:after="160" w:line="259" w:lineRule="auto"/>
              <w:rPr>
                <w:rFonts w:ascii="Arial" w:hAnsi="Arial" w:cs="Arial"/>
              </w:rPr>
            </w:pPr>
            <w:r w:rsidRPr="00555DF7">
              <w:rPr>
                <w:rFonts w:ascii="Arial" w:hAnsi="Arial" w:cs="Arial"/>
              </w:rPr>
              <w:t>90 days</w:t>
            </w:r>
          </w:p>
        </w:tc>
      </w:tr>
      <w:tr w:rsidR="00555DF7" w:rsidRPr="00555DF7" w:rsidTr="00AB1339">
        <w:tc>
          <w:tcPr>
            <w:tcW w:w="3005" w:type="dxa"/>
          </w:tcPr>
          <w:p w:rsidR="00555DF7" w:rsidRPr="00555DF7" w:rsidRDefault="00555DF7" w:rsidP="00555DF7">
            <w:pPr>
              <w:spacing w:after="160" w:line="259" w:lineRule="auto"/>
              <w:rPr>
                <w:rFonts w:ascii="Arial" w:hAnsi="Arial" w:cs="Arial"/>
              </w:rPr>
            </w:pPr>
            <w:r w:rsidRPr="00555DF7">
              <w:rPr>
                <w:rFonts w:ascii="Arial" w:hAnsi="Arial" w:cs="Arial"/>
              </w:rPr>
              <w:t>Risk management</w:t>
            </w:r>
          </w:p>
        </w:tc>
        <w:tc>
          <w:tcPr>
            <w:tcW w:w="3005" w:type="dxa"/>
          </w:tcPr>
          <w:p w:rsidR="00555DF7" w:rsidRPr="00555DF7" w:rsidRDefault="00555DF7" w:rsidP="00555DF7">
            <w:pPr>
              <w:spacing w:after="160" w:line="259" w:lineRule="auto"/>
              <w:rPr>
                <w:rFonts w:ascii="Arial" w:hAnsi="Arial" w:cs="Arial"/>
              </w:rPr>
            </w:pPr>
            <w:r w:rsidRPr="00555DF7">
              <w:rPr>
                <w:rFonts w:ascii="Arial" w:hAnsi="Arial" w:cs="Arial"/>
              </w:rPr>
              <w:t>Daily</w:t>
            </w:r>
          </w:p>
        </w:tc>
        <w:tc>
          <w:tcPr>
            <w:tcW w:w="3006" w:type="dxa"/>
          </w:tcPr>
          <w:p w:rsidR="00555DF7" w:rsidRPr="00555DF7" w:rsidRDefault="00555DF7" w:rsidP="00555DF7">
            <w:pPr>
              <w:spacing w:after="160" w:line="259" w:lineRule="auto"/>
              <w:rPr>
                <w:rFonts w:ascii="Arial" w:hAnsi="Arial" w:cs="Arial"/>
              </w:rPr>
            </w:pPr>
            <w:r w:rsidRPr="00555DF7">
              <w:rPr>
                <w:rFonts w:ascii="Arial" w:hAnsi="Arial" w:cs="Arial"/>
              </w:rPr>
              <w:t>Daily</w:t>
            </w:r>
          </w:p>
        </w:tc>
      </w:tr>
      <w:tr w:rsidR="00555DF7" w:rsidRPr="00555DF7" w:rsidTr="00AB1339">
        <w:tc>
          <w:tcPr>
            <w:tcW w:w="3005" w:type="dxa"/>
          </w:tcPr>
          <w:p w:rsidR="00555DF7" w:rsidRPr="00555DF7" w:rsidRDefault="00555DF7" w:rsidP="00555DF7">
            <w:pPr>
              <w:spacing w:after="160" w:line="259" w:lineRule="auto"/>
              <w:rPr>
                <w:rFonts w:ascii="Arial" w:hAnsi="Arial" w:cs="Arial"/>
              </w:rPr>
            </w:pPr>
            <w:r w:rsidRPr="00555DF7">
              <w:rPr>
                <w:rFonts w:ascii="Arial" w:hAnsi="Arial" w:cs="Arial"/>
              </w:rPr>
              <w:t>Marketing</w:t>
            </w:r>
          </w:p>
        </w:tc>
        <w:tc>
          <w:tcPr>
            <w:tcW w:w="3005" w:type="dxa"/>
          </w:tcPr>
          <w:p w:rsidR="00555DF7" w:rsidRPr="00555DF7" w:rsidRDefault="00555DF7" w:rsidP="00555DF7">
            <w:pPr>
              <w:spacing w:after="160" w:line="259" w:lineRule="auto"/>
              <w:rPr>
                <w:rFonts w:ascii="Arial" w:hAnsi="Arial" w:cs="Arial"/>
              </w:rPr>
            </w:pPr>
            <w:r w:rsidRPr="00555DF7">
              <w:rPr>
                <w:rFonts w:ascii="Arial" w:hAnsi="Arial" w:cs="Arial"/>
              </w:rPr>
              <w:t>Able to solicit investments from all investments</w:t>
            </w:r>
          </w:p>
        </w:tc>
        <w:tc>
          <w:tcPr>
            <w:tcW w:w="3006" w:type="dxa"/>
          </w:tcPr>
          <w:p w:rsidR="00555DF7" w:rsidRPr="00555DF7" w:rsidRDefault="00555DF7" w:rsidP="00555DF7">
            <w:pPr>
              <w:spacing w:after="160" w:line="259" w:lineRule="auto"/>
              <w:rPr>
                <w:rFonts w:ascii="Arial" w:hAnsi="Arial" w:cs="Arial"/>
              </w:rPr>
            </w:pPr>
            <w:r w:rsidRPr="00555DF7">
              <w:rPr>
                <w:rFonts w:ascii="Arial" w:hAnsi="Arial" w:cs="Arial"/>
              </w:rPr>
              <w:t>Only accept investors from a restricted pool of qualified investors</w:t>
            </w:r>
          </w:p>
        </w:tc>
      </w:tr>
    </w:tbl>
    <w:p w:rsidR="00555DF7" w:rsidRPr="00555DF7" w:rsidRDefault="00555DF7" w:rsidP="00555DF7">
      <w:pPr>
        <w:spacing w:after="160" w:line="259" w:lineRule="auto"/>
        <w:rPr>
          <w:rFonts w:ascii="Arial" w:eastAsia="Calibri" w:hAnsi="Arial" w:cs="Arial"/>
          <w:sz w:val="22"/>
          <w:szCs w:val="22"/>
        </w:rPr>
      </w:pPr>
    </w:p>
    <w:p w:rsidR="00555DF7" w:rsidRPr="00555DF7" w:rsidRDefault="00555DF7" w:rsidP="00555DF7">
      <w:pPr>
        <w:spacing w:after="160" w:line="259" w:lineRule="auto"/>
        <w:rPr>
          <w:rFonts w:ascii="Arial" w:eastAsia="Calibri" w:hAnsi="Arial" w:cs="Arial"/>
          <w:sz w:val="22"/>
          <w:szCs w:val="22"/>
        </w:rPr>
      </w:pPr>
      <w:r w:rsidRPr="00555DF7">
        <w:rPr>
          <w:rFonts w:ascii="Arial" w:eastAsia="Calibri" w:hAnsi="Arial" w:cs="Arial"/>
          <w:sz w:val="22"/>
          <w:szCs w:val="22"/>
        </w:rPr>
        <w:t>“The highly regulated environment improves client protection and transparency, with the intent of improving client confidence in hedge funds.” King explains important requirements of hedge funds include strict advertising and marketing, contractual aspects around repurchases and possible fines for offences.</w:t>
      </w:r>
    </w:p>
    <w:p w:rsidR="00555DF7" w:rsidRPr="00555DF7" w:rsidRDefault="00555DF7" w:rsidP="00555DF7">
      <w:pPr>
        <w:spacing w:after="160" w:line="259" w:lineRule="auto"/>
        <w:rPr>
          <w:rFonts w:ascii="Arial" w:eastAsia="Calibri" w:hAnsi="Arial" w:cs="Arial"/>
          <w:sz w:val="22"/>
          <w:szCs w:val="22"/>
        </w:rPr>
      </w:pPr>
      <w:r w:rsidRPr="00555DF7">
        <w:rPr>
          <w:rFonts w:ascii="Arial" w:eastAsia="Calibri" w:hAnsi="Arial" w:cs="Arial"/>
          <w:sz w:val="22"/>
          <w:szCs w:val="22"/>
        </w:rPr>
        <w:t>Each hedge fund can vary according to the strategies employed and investment objectives, but hedge funds are united by fundamental goals:</w:t>
      </w:r>
    </w:p>
    <w:p w:rsidR="00555DF7" w:rsidRPr="00555DF7" w:rsidRDefault="00555DF7" w:rsidP="00555DF7">
      <w:pPr>
        <w:numPr>
          <w:ilvl w:val="0"/>
          <w:numId w:val="11"/>
        </w:numPr>
        <w:spacing w:after="160" w:line="259" w:lineRule="auto"/>
        <w:contextualSpacing/>
        <w:rPr>
          <w:rFonts w:ascii="Arial" w:eastAsia="Calibri" w:hAnsi="Arial" w:cs="Arial"/>
          <w:sz w:val="22"/>
          <w:szCs w:val="22"/>
        </w:rPr>
      </w:pPr>
      <w:r w:rsidRPr="00555DF7">
        <w:rPr>
          <w:rFonts w:ascii="Arial" w:eastAsia="Calibri" w:hAnsi="Arial" w:cs="Arial"/>
          <w:sz w:val="22"/>
          <w:szCs w:val="22"/>
        </w:rPr>
        <w:t>Portfolio diversification</w:t>
      </w:r>
    </w:p>
    <w:p w:rsidR="00555DF7" w:rsidRPr="00555DF7" w:rsidRDefault="00555DF7" w:rsidP="00555DF7">
      <w:pPr>
        <w:numPr>
          <w:ilvl w:val="0"/>
          <w:numId w:val="11"/>
        </w:numPr>
        <w:spacing w:after="160" w:line="259" w:lineRule="auto"/>
        <w:contextualSpacing/>
        <w:rPr>
          <w:rFonts w:ascii="Arial" w:eastAsia="Calibri" w:hAnsi="Arial" w:cs="Arial"/>
          <w:sz w:val="22"/>
          <w:szCs w:val="22"/>
        </w:rPr>
      </w:pPr>
      <w:r w:rsidRPr="00555DF7">
        <w:rPr>
          <w:rFonts w:ascii="Arial" w:eastAsia="Calibri" w:hAnsi="Arial" w:cs="Arial"/>
          <w:sz w:val="22"/>
          <w:szCs w:val="22"/>
        </w:rPr>
        <w:t>Risk management and</w:t>
      </w:r>
    </w:p>
    <w:p w:rsidR="00555DF7" w:rsidRPr="00555DF7" w:rsidRDefault="00555DF7" w:rsidP="00555DF7">
      <w:pPr>
        <w:numPr>
          <w:ilvl w:val="0"/>
          <w:numId w:val="11"/>
        </w:numPr>
        <w:spacing w:after="160" w:line="259" w:lineRule="auto"/>
        <w:contextualSpacing/>
        <w:rPr>
          <w:rFonts w:ascii="Arial" w:eastAsia="Calibri" w:hAnsi="Arial" w:cs="Arial"/>
          <w:sz w:val="22"/>
          <w:szCs w:val="22"/>
        </w:rPr>
      </w:pPr>
      <w:r w:rsidRPr="00555DF7">
        <w:rPr>
          <w:rFonts w:ascii="Arial" w:eastAsia="Calibri" w:hAnsi="Arial" w:cs="Arial"/>
          <w:sz w:val="22"/>
          <w:szCs w:val="22"/>
        </w:rPr>
        <w:t>Reliable returns over time</w:t>
      </w:r>
    </w:p>
    <w:p w:rsidR="00555DF7" w:rsidRPr="00555DF7" w:rsidRDefault="00555DF7" w:rsidP="00555DF7">
      <w:pPr>
        <w:spacing w:after="160" w:line="259" w:lineRule="auto"/>
        <w:rPr>
          <w:rFonts w:ascii="Arial" w:eastAsia="Calibri" w:hAnsi="Arial" w:cs="Arial"/>
          <w:sz w:val="22"/>
          <w:szCs w:val="22"/>
        </w:rPr>
      </w:pPr>
      <w:r w:rsidRPr="00555DF7">
        <w:rPr>
          <w:rFonts w:ascii="Arial" w:eastAsia="Calibri" w:hAnsi="Arial" w:cs="Arial"/>
          <w:sz w:val="22"/>
          <w:szCs w:val="22"/>
        </w:rPr>
        <w:t>There are several factors prohibiting flows to hedge funds. “In 2018, hedge fund assets under management declined by 25% (compared to the 9.1% in the 2017 survey). This marked the largest decline in the history of South African hedge funds and the second consecutive decline since the industry peaked in 2016.”</w:t>
      </w:r>
    </w:p>
    <w:p w:rsidR="00555DF7" w:rsidRPr="00555DF7" w:rsidRDefault="00555DF7" w:rsidP="00555DF7">
      <w:pPr>
        <w:spacing w:after="160" w:line="259" w:lineRule="auto"/>
        <w:rPr>
          <w:rFonts w:ascii="Arial" w:eastAsia="Calibri" w:hAnsi="Arial" w:cs="Arial"/>
          <w:sz w:val="22"/>
          <w:szCs w:val="22"/>
        </w:rPr>
      </w:pPr>
      <w:r w:rsidRPr="00555DF7">
        <w:rPr>
          <w:rFonts w:ascii="Arial" w:eastAsia="Calibri" w:hAnsi="Arial" w:cs="Arial"/>
          <w:sz w:val="22"/>
          <w:szCs w:val="22"/>
        </w:rPr>
        <w:t>“According to the survey findings, the main contributing factors that drove the decline include poor performance leading up to 201, consolidation of product offerings by managers and fund of funds outflows.”</w:t>
      </w:r>
    </w:p>
    <w:p w:rsidR="00555DF7" w:rsidRPr="00555DF7" w:rsidRDefault="00555DF7" w:rsidP="00555DF7">
      <w:pPr>
        <w:spacing w:after="160" w:line="259" w:lineRule="auto"/>
        <w:rPr>
          <w:rFonts w:ascii="Arial" w:eastAsia="Calibri" w:hAnsi="Arial" w:cs="Arial"/>
          <w:b/>
          <w:bCs/>
          <w:sz w:val="22"/>
          <w:szCs w:val="22"/>
        </w:rPr>
      </w:pPr>
      <w:r w:rsidRPr="00555DF7">
        <w:rPr>
          <w:rFonts w:ascii="Arial" w:eastAsia="Calibri" w:hAnsi="Arial" w:cs="Arial"/>
          <w:b/>
          <w:bCs/>
          <w:sz w:val="22"/>
          <w:szCs w:val="22"/>
        </w:rPr>
        <w:t>The value of hedge funds</w:t>
      </w:r>
    </w:p>
    <w:p w:rsidR="00555DF7" w:rsidRPr="00555DF7" w:rsidRDefault="00555DF7" w:rsidP="00555DF7">
      <w:pPr>
        <w:spacing w:after="160" w:line="259" w:lineRule="auto"/>
        <w:rPr>
          <w:rFonts w:ascii="Arial" w:eastAsia="Calibri" w:hAnsi="Arial" w:cs="Arial"/>
          <w:sz w:val="22"/>
          <w:szCs w:val="22"/>
        </w:rPr>
      </w:pPr>
      <w:r w:rsidRPr="00555DF7">
        <w:rPr>
          <w:rFonts w:ascii="Arial" w:eastAsia="Calibri" w:hAnsi="Arial" w:cs="Arial"/>
          <w:sz w:val="22"/>
          <w:szCs w:val="22"/>
        </w:rPr>
        <w:t>With this backdrop, it is becoming increasingly important for hedge fund providers to justify their value to investors. For some, this means evolving their business models or leveraging their unique capabilities more effectively. For others who have successfully delivered what is “on the tin”, it means creating more awareness by educating investors and familiarising them with the benefits hedge funds can offer.</w:t>
      </w:r>
    </w:p>
    <w:p w:rsidR="00555DF7" w:rsidRPr="00555DF7" w:rsidRDefault="00555DF7" w:rsidP="00555DF7">
      <w:pPr>
        <w:spacing w:after="160" w:line="259" w:lineRule="auto"/>
        <w:rPr>
          <w:rFonts w:ascii="Arial" w:eastAsia="Calibri" w:hAnsi="Arial" w:cs="Arial"/>
          <w:sz w:val="22"/>
          <w:szCs w:val="22"/>
        </w:rPr>
      </w:pPr>
      <w:r w:rsidRPr="00555DF7">
        <w:rPr>
          <w:rFonts w:ascii="Arial" w:eastAsia="Calibri" w:hAnsi="Arial" w:cs="Arial"/>
          <w:sz w:val="22"/>
          <w:szCs w:val="22"/>
        </w:rPr>
        <w:t xml:space="preserve">CISCA is the legislation that governs CIS (collective investment scheme) funds (unit trusts). It does not currently allow investments in hedge funds, even though they are now regulated by the </w:t>
      </w:r>
      <w:r w:rsidRPr="00555DF7">
        <w:rPr>
          <w:rFonts w:ascii="Arial" w:eastAsia="Calibri" w:hAnsi="Arial" w:cs="Arial"/>
          <w:bCs/>
          <w:i/>
          <w:iCs/>
          <w:sz w:val="22"/>
          <w:szCs w:val="22"/>
          <w:shd w:val="clear" w:color="auto" w:fill="FFFFFF"/>
        </w:rPr>
        <w:t>Financial Sector Conduct Authority</w:t>
      </w:r>
      <w:r w:rsidRPr="00555DF7">
        <w:rPr>
          <w:rFonts w:ascii="Arial" w:eastAsia="Calibri" w:hAnsi="Arial" w:cs="Arial"/>
          <w:sz w:val="22"/>
          <w:szCs w:val="22"/>
          <w:shd w:val="clear" w:color="auto" w:fill="FFFFFF"/>
        </w:rPr>
        <w:t> </w:t>
      </w:r>
      <w:r w:rsidRPr="00555DF7">
        <w:rPr>
          <w:rFonts w:ascii="Arial" w:eastAsia="Calibri" w:hAnsi="Arial" w:cs="Arial"/>
          <w:sz w:val="22"/>
          <w:szCs w:val="22"/>
        </w:rPr>
        <w:t>under CISCA.</w:t>
      </w:r>
    </w:p>
    <w:p w:rsidR="00555DF7" w:rsidRPr="00555DF7" w:rsidRDefault="00555DF7" w:rsidP="00555DF7">
      <w:pPr>
        <w:spacing w:after="160" w:line="259" w:lineRule="auto"/>
        <w:rPr>
          <w:rFonts w:ascii="Arial" w:eastAsia="Calibri" w:hAnsi="Arial" w:cs="Arial"/>
          <w:sz w:val="22"/>
          <w:szCs w:val="22"/>
        </w:rPr>
      </w:pPr>
      <w:r w:rsidRPr="00555DF7">
        <w:rPr>
          <w:rFonts w:ascii="Arial" w:eastAsia="Calibri" w:hAnsi="Arial" w:cs="Arial"/>
          <w:sz w:val="22"/>
          <w:szCs w:val="22"/>
        </w:rPr>
        <w:t>“This regulation could change in the future – and could open new investment opportunities and increase flows to hedge funds. However, nothing precludes retail investors from buying into qualifying investor funds directly,” concludes King.</w:t>
      </w:r>
    </w:p>
    <w:p w:rsidR="00555DF7" w:rsidRPr="00555DF7" w:rsidRDefault="00555DF7" w:rsidP="00555DF7">
      <w:pPr>
        <w:spacing w:after="160" w:line="259" w:lineRule="auto"/>
        <w:rPr>
          <w:rFonts w:ascii="Arial" w:eastAsia="Calibri" w:hAnsi="Arial" w:cs="Arial"/>
          <w:sz w:val="22"/>
          <w:szCs w:val="22"/>
        </w:rPr>
      </w:pPr>
      <w:r w:rsidRPr="00555DF7">
        <w:rPr>
          <w:rFonts w:ascii="Arial" w:eastAsia="Calibri" w:hAnsi="Arial" w:cs="Arial"/>
          <w:color w:val="F8941E"/>
          <w:sz w:val="22"/>
          <w:szCs w:val="22"/>
        </w:rPr>
        <w:t>Diversification is becoming increasingly important. Hedge funds, and the underlying strategies they employ, have a role to play in providing adequate protection during market weaknesses.</w:t>
      </w:r>
    </w:p>
    <w:p w:rsidR="00555DF7" w:rsidRPr="00555DF7" w:rsidRDefault="00555DF7" w:rsidP="00555DF7">
      <w:pPr>
        <w:spacing w:after="160" w:line="259" w:lineRule="auto"/>
        <w:rPr>
          <w:rFonts w:ascii="Arial" w:eastAsia="Calibri" w:hAnsi="Arial" w:cs="Arial"/>
          <w:sz w:val="22"/>
          <w:szCs w:val="22"/>
        </w:rPr>
      </w:pPr>
      <w:r w:rsidRPr="00555DF7">
        <w:rPr>
          <w:rFonts w:ascii="Arial" w:eastAsia="Calibri" w:hAnsi="Arial" w:cs="Arial"/>
          <w:sz w:val="22"/>
          <w:szCs w:val="22"/>
        </w:rPr>
        <w:t>King recommends that when investing in a hedge fund, it is important to seek a provider who can offer the following on behalf of investors:</w:t>
      </w:r>
    </w:p>
    <w:p w:rsidR="00555DF7" w:rsidRPr="00555DF7" w:rsidRDefault="00555DF7" w:rsidP="00555DF7">
      <w:pPr>
        <w:numPr>
          <w:ilvl w:val="0"/>
          <w:numId w:val="10"/>
        </w:numPr>
        <w:spacing w:after="160" w:line="259" w:lineRule="auto"/>
        <w:contextualSpacing/>
        <w:rPr>
          <w:rFonts w:ascii="Arial" w:eastAsia="Calibri" w:hAnsi="Arial" w:cs="Arial"/>
          <w:sz w:val="22"/>
          <w:szCs w:val="22"/>
        </w:rPr>
      </w:pPr>
      <w:r w:rsidRPr="00555DF7">
        <w:rPr>
          <w:rFonts w:ascii="Arial" w:eastAsia="Calibri" w:hAnsi="Arial" w:cs="Arial"/>
          <w:sz w:val="22"/>
          <w:szCs w:val="22"/>
        </w:rPr>
        <w:t>Scale – buying power to negotiate competitive and fair fee structures</w:t>
      </w:r>
    </w:p>
    <w:p w:rsidR="00555DF7" w:rsidRPr="00555DF7" w:rsidRDefault="00555DF7" w:rsidP="00555DF7">
      <w:pPr>
        <w:numPr>
          <w:ilvl w:val="0"/>
          <w:numId w:val="10"/>
        </w:numPr>
        <w:spacing w:after="160" w:line="259" w:lineRule="auto"/>
        <w:contextualSpacing/>
        <w:rPr>
          <w:rFonts w:ascii="Arial" w:eastAsia="Calibri" w:hAnsi="Arial" w:cs="Arial"/>
          <w:sz w:val="22"/>
          <w:szCs w:val="22"/>
        </w:rPr>
      </w:pPr>
      <w:r w:rsidRPr="00555DF7">
        <w:rPr>
          <w:rFonts w:ascii="Arial" w:eastAsia="Calibri" w:hAnsi="Arial" w:cs="Arial"/>
          <w:sz w:val="22"/>
          <w:szCs w:val="22"/>
        </w:rPr>
        <w:t>Research – wide opportunity sets and strategies make selection important</w:t>
      </w:r>
    </w:p>
    <w:p w:rsidR="00555DF7" w:rsidRPr="00555DF7" w:rsidRDefault="00555DF7" w:rsidP="00555DF7">
      <w:pPr>
        <w:numPr>
          <w:ilvl w:val="0"/>
          <w:numId w:val="10"/>
        </w:numPr>
        <w:spacing w:after="160" w:line="259" w:lineRule="auto"/>
        <w:contextualSpacing/>
        <w:rPr>
          <w:rFonts w:ascii="Arial" w:eastAsia="Calibri" w:hAnsi="Arial" w:cs="Arial"/>
          <w:sz w:val="22"/>
          <w:szCs w:val="22"/>
        </w:rPr>
      </w:pPr>
      <w:r w:rsidRPr="00555DF7">
        <w:rPr>
          <w:rFonts w:ascii="Arial" w:eastAsia="Calibri" w:hAnsi="Arial" w:cs="Arial"/>
          <w:sz w:val="22"/>
          <w:szCs w:val="22"/>
        </w:rPr>
        <w:t>Relationships – leverage service and information needs to improve transparency</w:t>
      </w:r>
    </w:p>
    <w:p w:rsidR="00555DF7" w:rsidRPr="00555DF7" w:rsidRDefault="00555DF7" w:rsidP="00555DF7">
      <w:pPr>
        <w:numPr>
          <w:ilvl w:val="0"/>
          <w:numId w:val="10"/>
        </w:numPr>
        <w:spacing w:after="160" w:line="259" w:lineRule="auto"/>
        <w:contextualSpacing/>
        <w:rPr>
          <w:rFonts w:ascii="Arial" w:eastAsia="Calibri" w:hAnsi="Arial" w:cs="Arial"/>
          <w:sz w:val="22"/>
          <w:szCs w:val="22"/>
        </w:rPr>
      </w:pPr>
      <w:r w:rsidRPr="00555DF7">
        <w:rPr>
          <w:rFonts w:ascii="Arial" w:eastAsia="Calibri" w:hAnsi="Arial" w:cs="Arial"/>
          <w:sz w:val="22"/>
          <w:szCs w:val="22"/>
        </w:rPr>
        <w:t>Governance – carefully managed and governed by the right people, systems and processes</w:t>
      </w:r>
    </w:p>
    <w:bookmarkEnd w:id="0"/>
    <w:p w:rsidR="00A82211" w:rsidRPr="00555DF7" w:rsidRDefault="00A82211" w:rsidP="00A82211">
      <w:pPr>
        <w:rPr>
          <w:rFonts w:ascii="Arial" w:hAnsi="Arial" w:cs="Arial"/>
          <w:b/>
          <w:sz w:val="22"/>
          <w:szCs w:val="22"/>
        </w:rPr>
      </w:pPr>
    </w:p>
    <w:p w:rsidR="00A82211" w:rsidRPr="00555DF7" w:rsidRDefault="00A82211" w:rsidP="00A82211">
      <w:pPr>
        <w:rPr>
          <w:rFonts w:ascii="Arial" w:hAnsi="Arial" w:cs="Arial"/>
          <w:b/>
          <w:sz w:val="22"/>
          <w:szCs w:val="22"/>
        </w:rPr>
      </w:pPr>
      <w:r w:rsidRPr="00555DF7">
        <w:rPr>
          <w:rFonts w:ascii="Arial" w:hAnsi="Arial" w:cs="Arial"/>
          <w:b/>
          <w:sz w:val="22"/>
          <w:szCs w:val="22"/>
        </w:rPr>
        <w:t>ENDS//</w:t>
      </w:r>
    </w:p>
    <w:p w:rsidR="00555DF7" w:rsidRDefault="00555DF7" w:rsidP="00A82211">
      <w:pPr>
        <w:spacing w:before="120"/>
        <w:rPr>
          <w:rFonts w:ascii="Arial" w:hAnsi="Arial" w:cs="Arial"/>
          <w:b/>
          <w:sz w:val="22"/>
          <w:szCs w:val="22"/>
        </w:rPr>
      </w:pPr>
    </w:p>
    <w:p w:rsidR="00A840D8" w:rsidRDefault="00555DF7" w:rsidP="00A82211">
      <w:pPr>
        <w:spacing w:before="120"/>
        <w:rPr>
          <w:rFonts w:ascii="Arial" w:hAnsi="Arial" w:cs="Arial"/>
          <w:sz w:val="22"/>
          <w:szCs w:val="22"/>
        </w:rPr>
      </w:pPr>
      <w:r>
        <w:rPr>
          <w:rFonts w:ascii="Arial" w:hAnsi="Arial" w:cs="Arial"/>
          <w:b/>
          <w:sz w:val="22"/>
          <w:szCs w:val="22"/>
        </w:rPr>
        <w:t xml:space="preserve">SPOKESPERSON: </w:t>
      </w:r>
      <w:r>
        <w:rPr>
          <w:rFonts w:ascii="Arial" w:hAnsi="Arial" w:cs="Arial"/>
          <w:sz w:val="22"/>
          <w:szCs w:val="22"/>
        </w:rPr>
        <w:t>Gyongyi King, Chief Investment Officer, Alexander Forbes Investments</w:t>
      </w:r>
    </w:p>
    <w:p w:rsidR="00555DF7" w:rsidRPr="00555DF7" w:rsidRDefault="00555DF7" w:rsidP="00A82211">
      <w:pPr>
        <w:spacing w:before="120"/>
        <w:rPr>
          <w:rFonts w:ascii="Arial" w:hAnsi="Arial" w:cs="Arial"/>
          <w:sz w:val="22"/>
          <w:szCs w:val="22"/>
        </w:rPr>
      </w:pPr>
    </w:p>
    <w:p w:rsidR="00A82211" w:rsidRPr="00A82211" w:rsidRDefault="00A82211" w:rsidP="00A82211">
      <w:pPr>
        <w:spacing w:before="120"/>
        <w:rPr>
          <w:rFonts w:ascii="Arial" w:hAnsi="Arial" w:cs="Arial"/>
          <w:b/>
          <w:sz w:val="22"/>
          <w:szCs w:val="22"/>
        </w:rPr>
      </w:pPr>
      <w:r w:rsidRPr="00A82211">
        <w:rPr>
          <w:rFonts w:ascii="Arial" w:hAnsi="Arial" w:cs="Arial"/>
          <w:b/>
          <w:sz w:val="22"/>
          <w:szCs w:val="22"/>
        </w:rPr>
        <w:t>CONTACT INFORMATION: ALEXANDER FORBES</w:t>
      </w:r>
    </w:p>
    <w:p w:rsidR="00A82211" w:rsidRPr="00A82211" w:rsidRDefault="00A82211" w:rsidP="00A82211">
      <w:pPr>
        <w:spacing w:before="120"/>
        <w:rPr>
          <w:rFonts w:ascii="Arial" w:hAnsi="Arial" w:cs="Arial"/>
          <w:sz w:val="22"/>
          <w:szCs w:val="22"/>
        </w:rPr>
      </w:pPr>
      <w:r>
        <w:rPr>
          <w:rFonts w:ascii="Arial" w:hAnsi="Arial" w:cs="Arial"/>
          <w:sz w:val="22"/>
          <w:szCs w:val="22"/>
        </w:rPr>
        <w:t>Consi Kalamaras</w:t>
      </w:r>
      <w:r w:rsidRPr="00A82211">
        <w:rPr>
          <w:rFonts w:ascii="Arial" w:hAnsi="Arial" w:cs="Arial"/>
          <w:sz w:val="22"/>
          <w:szCs w:val="22"/>
        </w:rPr>
        <w:t xml:space="preserve">, </w:t>
      </w:r>
      <w:r w:rsidR="004429D1">
        <w:rPr>
          <w:rFonts w:ascii="Arial" w:hAnsi="Arial" w:cs="Arial"/>
          <w:sz w:val="22"/>
          <w:szCs w:val="22"/>
        </w:rPr>
        <w:t xml:space="preserve">Head of </w:t>
      </w:r>
      <w:r>
        <w:rPr>
          <w:rFonts w:ascii="Arial" w:hAnsi="Arial" w:cs="Arial"/>
          <w:sz w:val="22"/>
          <w:szCs w:val="22"/>
        </w:rPr>
        <w:t xml:space="preserve">PR &amp; Media Relations: kalamarasc@aforbes.com; +27 11 505 6012 or </w:t>
      </w:r>
      <w:r w:rsidR="00A840D8">
        <w:rPr>
          <w:rFonts w:ascii="Arial" w:hAnsi="Arial" w:cs="Arial"/>
          <w:sz w:val="22"/>
          <w:szCs w:val="22"/>
        </w:rPr>
        <w:t xml:space="preserve">         </w:t>
      </w:r>
      <w:r>
        <w:rPr>
          <w:rFonts w:ascii="Arial" w:hAnsi="Arial" w:cs="Arial"/>
          <w:sz w:val="22"/>
          <w:szCs w:val="22"/>
        </w:rPr>
        <w:t>+27 (0) 82 808 4440</w:t>
      </w:r>
    </w:p>
    <w:p w:rsidR="00A82211" w:rsidRPr="00A82211" w:rsidRDefault="00A82211" w:rsidP="00A82211">
      <w:pPr>
        <w:spacing w:before="120"/>
        <w:rPr>
          <w:rFonts w:ascii="Arial" w:hAnsi="Arial" w:cs="Arial"/>
          <w:sz w:val="22"/>
          <w:szCs w:val="22"/>
        </w:rPr>
      </w:pPr>
      <w:r>
        <w:rPr>
          <w:rFonts w:ascii="Arial" w:hAnsi="Arial" w:cs="Arial"/>
          <w:sz w:val="22"/>
          <w:szCs w:val="22"/>
        </w:rPr>
        <w:t>Sheri Cohen, Corporate Image</w:t>
      </w:r>
      <w:r w:rsidRPr="00A82211">
        <w:rPr>
          <w:rFonts w:ascii="Arial" w:hAnsi="Arial" w:cs="Arial"/>
          <w:sz w:val="22"/>
          <w:szCs w:val="22"/>
        </w:rPr>
        <w:t xml:space="preserve">: </w:t>
      </w:r>
      <w:r>
        <w:rPr>
          <w:rFonts w:ascii="Arial" w:hAnsi="Arial" w:cs="Arial"/>
          <w:sz w:val="22"/>
          <w:szCs w:val="22"/>
        </w:rPr>
        <w:t>sheri</w:t>
      </w:r>
      <w:r w:rsidRPr="00A82211">
        <w:rPr>
          <w:rFonts w:ascii="Arial" w:hAnsi="Arial" w:cs="Arial"/>
          <w:sz w:val="22"/>
          <w:szCs w:val="22"/>
        </w:rPr>
        <w:t>@corporate</w:t>
      </w:r>
      <w:r w:rsidR="00A840D8">
        <w:rPr>
          <w:rFonts w:ascii="Arial" w:hAnsi="Arial" w:cs="Arial"/>
          <w:sz w:val="22"/>
          <w:szCs w:val="22"/>
        </w:rPr>
        <w:t>image.co.za; +27 (0) 71 683 1888</w:t>
      </w:r>
    </w:p>
    <w:p w:rsidR="00A82211" w:rsidRPr="00A82211" w:rsidRDefault="00A82211" w:rsidP="00A82211">
      <w:pPr>
        <w:spacing w:before="120"/>
        <w:rPr>
          <w:rFonts w:ascii="Arial" w:hAnsi="Arial" w:cs="Arial"/>
          <w:b/>
          <w:sz w:val="22"/>
          <w:szCs w:val="22"/>
        </w:rPr>
      </w:pPr>
    </w:p>
    <w:p w:rsidR="00214F8B" w:rsidRPr="00214F8B" w:rsidRDefault="00214F8B" w:rsidP="00214F8B">
      <w:pPr>
        <w:spacing w:before="120" w:after="200"/>
        <w:jc w:val="both"/>
        <w:rPr>
          <w:rFonts w:ascii="Arial" w:eastAsia="MS Mincho" w:hAnsi="Arial" w:cs="Arial"/>
          <w:b/>
          <w:sz w:val="22"/>
          <w:szCs w:val="22"/>
        </w:rPr>
      </w:pPr>
      <w:r w:rsidRPr="00214F8B">
        <w:rPr>
          <w:rFonts w:ascii="Arial" w:eastAsia="MS Mincho" w:hAnsi="Arial" w:cs="Arial"/>
          <w:b/>
          <w:sz w:val="22"/>
          <w:szCs w:val="22"/>
        </w:rPr>
        <w:t>INFORMATION ON ALEXANDER FORBES</w:t>
      </w:r>
    </w:p>
    <w:p w:rsidR="00214F8B" w:rsidRPr="00214F8B" w:rsidRDefault="00214F8B" w:rsidP="00214F8B">
      <w:pPr>
        <w:spacing w:before="120" w:after="200"/>
        <w:jc w:val="both"/>
        <w:rPr>
          <w:rFonts w:ascii="Arial" w:eastAsia="MS Mincho" w:hAnsi="Arial" w:cs="Arial"/>
          <w:sz w:val="22"/>
          <w:szCs w:val="22"/>
        </w:rPr>
      </w:pPr>
      <w:r w:rsidRPr="00214F8B">
        <w:rPr>
          <w:rFonts w:ascii="Arial" w:eastAsia="MS Mincho" w:hAnsi="Arial" w:cs="Arial"/>
          <w:sz w:val="22"/>
          <w:szCs w:val="22"/>
        </w:rPr>
        <w:t xml:space="preserve">Alexander Forbes is a specialised financial services group headquartered in South Africa focusing on employee benefits solutions for institutional clients, and financial wellbeing and retail financial solutions for individual clients, in particular employees of the Group’s institutional clients. Alexander Forbes is listed on the Johannesburg Stock Exchange (“JSE”), and its primary clients span both the private and public sector market segments, including employers, retirement, health, investment and other special purpose funds on the institutional side, and individual members and beneficiaries of these funds, as well as the wider individual market, on the retail side. The main services provided by the Group include retirement funds and asset consulting, actuarial, investment and administration services, employee risk benefits and healthcare consulting, individual financial advisory and multi-manager investment solutions. Alexander Forbes’ principal geographic focus is South Africa, where it has been operating since 1935, sub-Saharan Africa, the UK and other selected jurisdictions with employee benefits legislative frameworks similar to South Africa. </w:t>
      </w:r>
    </w:p>
    <w:p w:rsidR="00214F8B" w:rsidRPr="00214F8B" w:rsidRDefault="00BF56BE" w:rsidP="00214F8B">
      <w:pPr>
        <w:spacing w:before="240" w:after="200"/>
        <w:jc w:val="both"/>
        <w:rPr>
          <w:rFonts w:ascii="Arial" w:eastAsia="MS Mincho" w:hAnsi="Arial" w:cs="Arial"/>
          <w:color w:val="0000FF"/>
          <w:sz w:val="22"/>
          <w:szCs w:val="22"/>
          <w:u w:val="single"/>
        </w:rPr>
      </w:pPr>
      <w:hyperlink r:id="rId9" w:history="1">
        <w:r w:rsidR="00214F8B" w:rsidRPr="00214F8B">
          <w:rPr>
            <w:rFonts w:ascii="Arial" w:eastAsia="MS Mincho" w:hAnsi="Arial" w:cs="Arial"/>
            <w:color w:val="0000FF"/>
            <w:sz w:val="22"/>
            <w:szCs w:val="22"/>
            <w:u w:val="single"/>
          </w:rPr>
          <w:t>www.alexanderforbes.co.za</w:t>
        </w:r>
      </w:hyperlink>
    </w:p>
    <w:p w:rsidR="00A82211" w:rsidRPr="00A82211" w:rsidRDefault="00A82211" w:rsidP="00A82211">
      <w:pPr>
        <w:spacing w:after="160"/>
        <w:rPr>
          <w:rFonts w:ascii="Arial" w:eastAsia="Times New Roman" w:hAnsi="Arial" w:cs="Arial"/>
          <w:sz w:val="22"/>
          <w:szCs w:val="22"/>
          <w:shd w:val="clear" w:color="auto" w:fill="FFFFFF"/>
          <w:lang w:eastAsia="en-ZA"/>
        </w:rPr>
      </w:pPr>
    </w:p>
    <w:p w:rsidR="00A82211" w:rsidRPr="00A82211" w:rsidRDefault="00A82211" w:rsidP="00A82211">
      <w:pPr>
        <w:spacing w:after="160"/>
        <w:rPr>
          <w:rFonts w:ascii="Arial" w:eastAsia="Times New Roman" w:hAnsi="Arial" w:cs="Arial"/>
          <w:sz w:val="22"/>
          <w:szCs w:val="22"/>
          <w:shd w:val="clear" w:color="auto" w:fill="FFFFFF"/>
          <w:lang w:eastAsia="en-ZA"/>
        </w:rPr>
      </w:pPr>
    </w:p>
    <w:p w:rsidR="008C3E9E" w:rsidRPr="00A82211" w:rsidRDefault="008C3E9E" w:rsidP="00A82211">
      <w:pPr>
        <w:spacing w:after="160" w:line="360" w:lineRule="auto"/>
        <w:rPr>
          <w:rFonts w:ascii="Arial" w:hAnsi="Arial" w:cs="Arial"/>
          <w:sz w:val="22"/>
          <w:szCs w:val="22"/>
        </w:rPr>
      </w:pPr>
    </w:p>
    <w:sectPr w:rsidR="008C3E9E" w:rsidRPr="00A82211" w:rsidSect="00CC1E94">
      <w:headerReference w:type="first" r:id="rId10"/>
      <w:footerReference w:type="first" r:id="rId11"/>
      <w:pgSz w:w="11900" w:h="16840"/>
      <w:pgMar w:top="2206" w:right="1134" w:bottom="1134" w:left="1134" w:header="709" w:footer="1242"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56BE" w:rsidRDefault="00BF56BE" w:rsidP="00857D56">
      <w:r>
        <w:separator/>
      </w:r>
    </w:p>
  </w:endnote>
  <w:endnote w:type="continuationSeparator" w:id="0">
    <w:p w:rsidR="00BF56BE" w:rsidRDefault="00BF56BE" w:rsidP="00857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ABE" w:rsidRPr="009F0ABE" w:rsidRDefault="009F0ABE" w:rsidP="009F0ABE">
    <w:pPr>
      <w:pStyle w:val="Footer"/>
    </w:pPr>
    <w:r>
      <w:rPr>
        <w:noProof/>
        <w:lang w:val="en-ZA" w:eastAsia="en-ZA"/>
      </w:rPr>
      <w:drawing>
        <wp:anchor distT="0" distB="0" distL="114300" distR="114300" simplePos="0" relativeHeight="251660288" behindDoc="1" locked="0" layoutInCell="1" allowOverlap="1" wp14:anchorId="0C8CF592" wp14:editId="16B5AC98">
          <wp:simplePos x="0" y="0"/>
          <wp:positionH relativeFrom="column">
            <wp:posOffset>-914400</wp:posOffset>
          </wp:positionH>
          <wp:positionV relativeFrom="paragraph">
            <wp:posOffset>-42619</wp:posOffset>
          </wp:positionV>
          <wp:extent cx="7543800" cy="975434"/>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7544701" cy="975551"/>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56BE" w:rsidRDefault="00BF56BE" w:rsidP="00857D56">
      <w:r>
        <w:separator/>
      </w:r>
    </w:p>
  </w:footnote>
  <w:footnote w:type="continuationSeparator" w:id="0">
    <w:p w:rsidR="00BF56BE" w:rsidRDefault="00BF56BE" w:rsidP="00857D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0D41" w:rsidRDefault="00020D41">
    <w:pPr>
      <w:pStyle w:val="Header"/>
    </w:pPr>
    <w:r>
      <w:rPr>
        <w:noProof/>
        <w:lang w:val="en-ZA" w:eastAsia="en-ZA"/>
      </w:rPr>
      <w:drawing>
        <wp:anchor distT="0" distB="0" distL="114300" distR="114300" simplePos="0" relativeHeight="251659264" behindDoc="1" locked="0" layoutInCell="1" allowOverlap="1" wp14:anchorId="32B38081" wp14:editId="2B559048">
          <wp:simplePos x="0" y="0"/>
          <wp:positionH relativeFrom="margin">
            <wp:align>center</wp:align>
          </wp:positionH>
          <wp:positionV relativeFrom="paragraph">
            <wp:posOffset>-452755</wp:posOffset>
          </wp:positionV>
          <wp:extent cx="7559999" cy="2702839"/>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49-AF-Group-Media-PressRelease-EditableTemplate-2016-07.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999" cy="2702839"/>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3279F"/>
    <w:multiLevelType w:val="hybridMultilevel"/>
    <w:tmpl w:val="373EB42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110D654F"/>
    <w:multiLevelType w:val="hybridMultilevel"/>
    <w:tmpl w:val="B686EBC0"/>
    <w:lvl w:ilvl="0" w:tplc="1C090001">
      <w:start w:val="1"/>
      <w:numFmt w:val="bullet"/>
      <w:lvlText w:val=""/>
      <w:lvlJc w:val="left"/>
      <w:pPr>
        <w:ind w:left="765" w:hanging="360"/>
      </w:pPr>
      <w:rPr>
        <w:rFonts w:ascii="Symbol" w:hAnsi="Symbol" w:hint="default"/>
      </w:rPr>
    </w:lvl>
    <w:lvl w:ilvl="1" w:tplc="1C090003" w:tentative="1">
      <w:start w:val="1"/>
      <w:numFmt w:val="bullet"/>
      <w:lvlText w:val="o"/>
      <w:lvlJc w:val="left"/>
      <w:pPr>
        <w:ind w:left="1485" w:hanging="360"/>
      </w:pPr>
      <w:rPr>
        <w:rFonts w:ascii="Courier New" w:hAnsi="Courier New" w:cs="Courier New" w:hint="default"/>
      </w:rPr>
    </w:lvl>
    <w:lvl w:ilvl="2" w:tplc="1C090005" w:tentative="1">
      <w:start w:val="1"/>
      <w:numFmt w:val="bullet"/>
      <w:lvlText w:val=""/>
      <w:lvlJc w:val="left"/>
      <w:pPr>
        <w:ind w:left="2205" w:hanging="360"/>
      </w:pPr>
      <w:rPr>
        <w:rFonts w:ascii="Wingdings" w:hAnsi="Wingdings" w:hint="default"/>
      </w:rPr>
    </w:lvl>
    <w:lvl w:ilvl="3" w:tplc="1C090001" w:tentative="1">
      <w:start w:val="1"/>
      <w:numFmt w:val="bullet"/>
      <w:lvlText w:val=""/>
      <w:lvlJc w:val="left"/>
      <w:pPr>
        <w:ind w:left="2925" w:hanging="360"/>
      </w:pPr>
      <w:rPr>
        <w:rFonts w:ascii="Symbol" w:hAnsi="Symbol" w:hint="default"/>
      </w:rPr>
    </w:lvl>
    <w:lvl w:ilvl="4" w:tplc="1C090003" w:tentative="1">
      <w:start w:val="1"/>
      <w:numFmt w:val="bullet"/>
      <w:lvlText w:val="o"/>
      <w:lvlJc w:val="left"/>
      <w:pPr>
        <w:ind w:left="3645" w:hanging="360"/>
      </w:pPr>
      <w:rPr>
        <w:rFonts w:ascii="Courier New" w:hAnsi="Courier New" w:cs="Courier New" w:hint="default"/>
      </w:rPr>
    </w:lvl>
    <w:lvl w:ilvl="5" w:tplc="1C090005" w:tentative="1">
      <w:start w:val="1"/>
      <w:numFmt w:val="bullet"/>
      <w:lvlText w:val=""/>
      <w:lvlJc w:val="left"/>
      <w:pPr>
        <w:ind w:left="4365" w:hanging="360"/>
      </w:pPr>
      <w:rPr>
        <w:rFonts w:ascii="Wingdings" w:hAnsi="Wingdings" w:hint="default"/>
      </w:rPr>
    </w:lvl>
    <w:lvl w:ilvl="6" w:tplc="1C090001" w:tentative="1">
      <w:start w:val="1"/>
      <w:numFmt w:val="bullet"/>
      <w:lvlText w:val=""/>
      <w:lvlJc w:val="left"/>
      <w:pPr>
        <w:ind w:left="5085" w:hanging="360"/>
      </w:pPr>
      <w:rPr>
        <w:rFonts w:ascii="Symbol" w:hAnsi="Symbol" w:hint="default"/>
      </w:rPr>
    </w:lvl>
    <w:lvl w:ilvl="7" w:tplc="1C090003" w:tentative="1">
      <w:start w:val="1"/>
      <w:numFmt w:val="bullet"/>
      <w:lvlText w:val="o"/>
      <w:lvlJc w:val="left"/>
      <w:pPr>
        <w:ind w:left="5805" w:hanging="360"/>
      </w:pPr>
      <w:rPr>
        <w:rFonts w:ascii="Courier New" w:hAnsi="Courier New" w:cs="Courier New" w:hint="default"/>
      </w:rPr>
    </w:lvl>
    <w:lvl w:ilvl="8" w:tplc="1C090005" w:tentative="1">
      <w:start w:val="1"/>
      <w:numFmt w:val="bullet"/>
      <w:lvlText w:val=""/>
      <w:lvlJc w:val="left"/>
      <w:pPr>
        <w:ind w:left="6525" w:hanging="360"/>
      </w:pPr>
      <w:rPr>
        <w:rFonts w:ascii="Wingdings" w:hAnsi="Wingdings" w:hint="default"/>
      </w:rPr>
    </w:lvl>
  </w:abstractNum>
  <w:abstractNum w:abstractNumId="2" w15:restartNumberingAfterBreak="0">
    <w:nsid w:val="1CBB6D93"/>
    <w:multiLevelType w:val="hybridMultilevel"/>
    <w:tmpl w:val="CA024F6C"/>
    <w:lvl w:ilvl="0" w:tplc="1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2A4BD3"/>
    <w:multiLevelType w:val="hybridMultilevel"/>
    <w:tmpl w:val="4A32B47A"/>
    <w:lvl w:ilvl="0" w:tplc="1C090001">
      <w:start w:val="1"/>
      <w:numFmt w:val="bullet"/>
      <w:lvlText w:val=""/>
      <w:lvlJc w:val="left"/>
      <w:pPr>
        <w:ind w:left="778" w:hanging="360"/>
      </w:pPr>
      <w:rPr>
        <w:rFonts w:ascii="Symbol" w:hAnsi="Symbol" w:hint="default"/>
      </w:rPr>
    </w:lvl>
    <w:lvl w:ilvl="1" w:tplc="1C090003" w:tentative="1">
      <w:start w:val="1"/>
      <w:numFmt w:val="bullet"/>
      <w:lvlText w:val="o"/>
      <w:lvlJc w:val="left"/>
      <w:pPr>
        <w:ind w:left="1498" w:hanging="360"/>
      </w:pPr>
      <w:rPr>
        <w:rFonts w:ascii="Courier New" w:hAnsi="Courier New" w:cs="Courier New" w:hint="default"/>
      </w:rPr>
    </w:lvl>
    <w:lvl w:ilvl="2" w:tplc="1C090005" w:tentative="1">
      <w:start w:val="1"/>
      <w:numFmt w:val="bullet"/>
      <w:lvlText w:val=""/>
      <w:lvlJc w:val="left"/>
      <w:pPr>
        <w:ind w:left="2218" w:hanging="360"/>
      </w:pPr>
      <w:rPr>
        <w:rFonts w:ascii="Wingdings" w:hAnsi="Wingdings" w:hint="default"/>
      </w:rPr>
    </w:lvl>
    <w:lvl w:ilvl="3" w:tplc="1C090001" w:tentative="1">
      <w:start w:val="1"/>
      <w:numFmt w:val="bullet"/>
      <w:lvlText w:val=""/>
      <w:lvlJc w:val="left"/>
      <w:pPr>
        <w:ind w:left="2938" w:hanging="360"/>
      </w:pPr>
      <w:rPr>
        <w:rFonts w:ascii="Symbol" w:hAnsi="Symbol" w:hint="default"/>
      </w:rPr>
    </w:lvl>
    <w:lvl w:ilvl="4" w:tplc="1C090003" w:tentative="1">
      <w:start w:val="1"/>
      <w:numFmt w:val="bullet"/>
      <w:lvlText w:val="o"/>
      <w:lvlJc w:val="left"/>
      <w:pPr>
        <w:ind w:left="3658" w:hanging="360"/>
      </w:pPr>
      <w:rPr>
        <w:rFonts w:ascii="Courier New" w:hAnsi="Courier New" w:cs="Courier New" w:hint="default"/>
      </w:rPr>
    </w:lvl>
    <w:lvl w:ilvl="5" w:tplc="1C090005" w:tentative="1">
      <w:start w:val="1"/>
      <w:numFmt w:val="bullet"/>
      <w:lvlText w:val=""/>
      <w:lvlJc w:val="left"/>
      <w:pPr>
        <w:ind w:left="4378" w:hanging="360"/>
      </w:pPr>
      <w:rPr>
        <w:rFonts w:ascii="Wingdings" w:hAnsi="Wingdings" w:hint="default"/>
      </w:rPr>
    </w:lvl>
    <w:lvl w:ilvl="6" w:tplc="1C090001" w:tentative="1">
      <w:start w:val="1"/>
      <w:numFmt w:val="bullet"/>
      <w:lvlText w:val=""/>
      <w:lvlJc w:val="left"/>
      <w:pPr>
        <w:ind w:left="5098" w:hanging="360"/>
      </w:pPr>
      <w:rPr>
        <w:rFonts w:ascii="Symbol" w:hAnsi="Symbol" w:hint="default"/>
      </w:rPr>
    </w:lvl>
    <w:lvl w:ilvl="7" w:tplc="1C090003" w:tentative="1">
      <w:start w:val="1"/>
      <w:numFmt w:val="bullet"/>
      <w:lvlText w:val="o"/>
      <w:lvlJc w:val="left"/>
      <w:pPr>
        <w:ind w:left="5818" w:hanging="360"/>
      </w:pPr>
      <w:rPr>
        <w:rFonts w:ascii="Courier New" w:hAnsi="Courier New" w:cs="Courier New" w:hint="default"/>
      </w:rPr>
    </w:lvl>
    <w:lvl w:ilvl="8" w:tplc="1C090005" w:tentative="1">
      <w:start w:val="1"/>
      <w:numFmt w:val="bullet"/>
      <w:lvlText w:val=""/>
      <w:lvlJc w:val="left"/>
      <w:pPr>
        <w:ind w:left="6538" w:hanging="360"/>
      </w:pPr>
      <w:rPr>
        <w:rFonts w:ascii="Wingdings" w:hAnsi="Wingdings" w:hint="default"/>
      </w:rPr>
    </w:lvl>
  </w:abstractNum>
  <w:abstractNum w:abstractNumId="4" w15:restartNumberingAfterBreak="0">
    <w:nsid w:val="33D47814"/>
    <w:multiLevelType w:val="hybridMultilevel"/>
    <w:tmpl w:val="E228DA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E1A3D8E"/>
    <w:multiLevelType w:val="hybridMultilevel"/>
    <w:tmpl w:val="3F54D0D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5DC9414D"/>
    <w:multiLevelType w:val="hybridMultilevel"/>
    <w:tmpl w:val="AC3AB014"/>
    <w:lvl w:ilvl="0" w:tplc="08090003">
      <w:start w:val="1"/>
      <w:numFmt w:val="bullet"/>
      <w:lvlText w:val="o"/>
      <w:lvlJc w:val="left"/>
      <w:pPr>
        <w:ind w:left="1080" w:hanging="360"/>
      </w:pPr>
      <w:rPr>
        <w:rFonts w:ascii="Courier New" w:hAnsi="Courier New" w:cs="Courier New"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7" w15:restartNumberingAfterBreak="0">
    <w:nsid w:val="645E3CC1"/>
    <w:multiLevelType w:val="hybridMultilevel"/>
    <w:tmpl w:val="F612D3A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65542217"/>
    <w:multiLevelType w:val="hybridMultilevel"/>
    <w:tmpl w:val="46BC06C0"/>
    <w:lvl w:ilvl="0" w:tplc="7938C5FE">
      <w:numFmt w:val="bullet"/>
      <w:lvlText w:val="•"/>
      <w:lvlJc w:val="left"/>
      <w:pPr>
        <w:ind w:left="1080" w:hanging="720"/>
      </w:pPr>
      <w:rPr>
        <w:rFonts w:ascii="Calibri Light" w:eastAsiaTheme="minorHAnsi" w:hAnsi="Calibri Light" w:cstheme="majorHAns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75063395"/>
    <w:multiLevelType w:val="hybridMultilevel"/>
    <w:tmpl w:val="FEDCE30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758122CC"/>
    <w:multiLevelType w:val="hybridMultilevel"/>
    <w:tmpl w:val="CE6EFB5E"/>
    <w:lvl w:ilvl="0" w:tplc="0409000F">
      <w:start w:val="1"/>
      <w:numFmt w:val="decimal"/>
      <w:lvlText w:val="%1."/>
      <w:lvlJc w:val="left"/>
      <w:pPr>
        <w:ind w:left="720" w:hanging="360"/>
      </w:pPr>
      <w:rPr>
        <w:rFonts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0"/>
  </w:num>
  <w:num w:numId="4">
    <w:abstractNumId w:val="1"/>
  </w:num>
  <w:num w:numId="5">
    <w:abstractNumId w:val="8"/>
  </w:num>
  <w:num w:numId="6">
    <w:abstractNumId w:val="4"/>
  </w:num>
  <w:num w:numId="7">
    <w:abstractNumId w:val="6"/>
  </w:num>
  <w:num w:numId="8">
    <w:abstractNumId w:val="10"/>
  </w:num>
  <w:num w:numId="9">
    <w:abstractNumId w:val="5"/>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F65"/>
    <w:rsid w:val="00003F42"/>
    <w:rsid w:val="00020D41"/>
    <w:rsid w:val="0010456F"/>
    <w:rsid w:val="0012242B"/>
    <w:rsid w:val="00126DB5"/>
    <w:rsid w:val="00177CC2"/>
    <w:rsid w:val="001C7C18"/>
    <w:rsid w:val="001E7669"/>
    <w:rsid w:val="00211337"/>
    <w:rsid w:val="00214F8B"/>
    <w:rsid w:val="00243521"/>
    <w:rsid w:val="002C2120"/>
    <w:rsid w:val="002E2EDC"/>
    <w:rsid w:val="002F421E"/>
    <w:rsid w:val="002F7AE8"/>
    <w:rsid w:val="00313302"/>
    <w:rsid w:val="00421276"/>
    <w:rsid w:val="0043339A"/>
    <w:rsid w:val="004429D1"/>
    <w:rsid w:val="004B5681"/>
    <w:rsid w:val="004D2DED"/>
    <w:rsid w:val="00555DF7"/>
    <w:rsid w:val="00562EB5"/>
    <w:rsid w:val="00575BA0"/>
    <w:rsid w:val="005B25B1"/>
    <w:rsid w:val="005B448C"/>
    <w:rsid w:val="006B6C6A"/>
    <w:rsid w:val="007343A7"/>
    <w:rsid w:val="00742EF2"/>
    <w:rsid w:val="0076141C"/>
    <w:rsid w:val="007E412C"/>
    <w:rsid w:val="00857079"/>
    <w:rsid w:val="00857D56"/>
    <w:rsid w:val="00895D52"/>
    <w:rsid w:val="008B3F52"/>
    <w:rsid w:val="008C3E9E"/>
    <w:rsid w:val="008E661F"/>
    <w:rsid w:val="008F6384"/>
    <w:rsid w:val="00966A5E"/>
    <w:rsid w:val="00973D0D"/>
    <w:rsid w:val="009C1322"/>
    <w:rsid w:val="009F0ABE"/>
    <w:rsid w:val="009F3418"/>
    <w:rsid w:val="00A67F65"/>
    <w:rsid w:val="00A82211"/>
    <w:rsid w:val="00A840D8"/>
    <w:rsid w:val="00AA3112"/>
    <w:rsid w:val="00B012CA"/>
    <w:rsid w:val="00B07EC5"/>
    <w:rsid w:val="00B10380"/>
    <w:rsid w:val="00B61B18"/>
    <w:rsid w:val="00BF56BE"/>
    <w:rsid w:val="00C04058"/>
    <w:rsid w:val="00C0674B"/>
    <w:rsid w:val="00C07602"/>
    <w:rsid w:val="00CC1E94"/>
    <w:rsid w:val="00CD0E46"/>
    <w:rsid w:val="00D1045C"/>
    <w:rsid w:val="00DC4A99"/>
    <w:rsid w:val="00E265C1"/>
    <w:rsid w:val="00E66D12"/>
    <w:rsid w:val="00EE2FD9"/>
    <w:rsid w:val="00F86249"/>
    <w:rsid w:val="00F908CB"/>
    <w:rsid w:val="00F95B69"/>
    <w:rsid w:val="00FA3B2D"/>
    <w:rsid w:val="00FB547B"/>
    <w:rsid w:val="00FF4EE5"/>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2AB12CB"/>
  <w15:docId w15:val="{D342C0CD-226E-4D61-819A-AC888E12A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7F6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67F65"/>
    <w:rPr>
      <w:rFonts w:ascii="Lucida Grande" w:hAnsi="Lucida Grande" w:cs="Lucida Grande"/>
      <w:sz w:val="18"/>
      <w:szCs w:val="18"/>
    </w:rPr>
  </w:style>
  <w:style w:type="paragraph" w:styleId="Header">
    <w:name w:val="header"/>
    <w:basedOn w:val="Normal"/>
    <w:link w:val="HeaderChar"/>
    <w:uiPriority w:val="99"/>
    <w:unhideWhenUsed/>
    <w:rsid w:val="00857D56"/>
    <w:pPr>
      <w:tabs>
        <w:tab w:val="center" w:pos="4513"/>
        <w:tab w:val="right" w:pos="9026"/>
      </w:tabs>
    </w:pPr>
  </w:style>
  <w:style w:type="character" w:customStyle="1" w:styleId="HeaderChar">
    <w:name w:val="Header Char"/>
    <w:basedOn w:val="DefaultParagraphFont"/>
    <w:link w:val="Header"/>
    <w:uiPriority w:val="99"/>
    <w:rsid w:val="00857D56"/>
  </w:style>
  <w:style w:type="paragraph" w:styleId="Footer">
    <w:name w:val="footer"/>
    <w:basedOn w:val="Normal"/>
    <w:link w:val="FooterChar"/>
    <w:uiPriority w:val="99"/>
    <w:unhideWhenUsed/>
    <w:rsid w:val="00857D56"/>
    <w:pPr>
      <w:tabs>
        <w:tab w:val="center" w:pos="4513"/>
        <w:tab w:val="right" w:pos="9026"/>
      </w:tabs>
    </w:pPr>
  </w:style>
  <w:style w:type="character" w:customStyle="1" w:styleId="FooterChar">
    <w:name w:val="Footer Char"/>
    <w:basedOn w:val="DefaultParagraphFont"/>
    <w:link w:val="Footer"/>
    <w:uiPriority w:val="99"/>
    <w:rsid w:val="00857D56"/>
  </w:style>
  <w:style w:type="paragraph" w:styleId="ListParagraph">
    <w:name w:val="List Paragraph"/>
    <w:basedOn w:val="Normal"/>
    <w:uiPriority w:val="34"/>
    <w:qFormat/>
    <w:rsid w:val="00243521"/>
    <w:pPr>
      <w:spacing w:after="200" w:line="276" w:lineRule="auto"/>
      <w:ind w:left="720"/>
      <w:contextualSpacing/>
    </w:pPr>
    <w:rPr>
      <w:rFonts w:eastAsiaTheme="minorHAnsi"/>
      <w:sz w:val="22"/>
      <w:szCs w:val="22"/>
      <w:lang w:val="en-ZA"/>
    </w:rPr>
  </w:style>
  <w:style w:type="character" w:styleId="CommentReference">
    <w:name w:val="annotation reference"/>
    <w:basedOn w:val="DefaultParagraphFont"/>
    <w:uiPriority w:val="99"/>
    <w:semiHidden/>
    <w:unhideWhenUsed/>
    <w:rsid w:val="00313302"/>
    <w:rPr>
      <w:sz w:val="16"/>
      <w:szCs w:val="16"/>
    </w:rPr>
  </w:style>
  <w:style w:type="paragraph" w:styleId="CommentText">
    <w:name w:val="annotation text"/>
    <w:basedOn w:val="Normal"/>
    <w:link w:val="CommentTextChar"/>
    <w:uiPriority w:val="99"/>
    <w:semiHidden/>
    <w:unhideWhenUsed/>
    <w:rsid w:val="00313302"/>
    <w:pPr>
      <w:spacing w:after="160"/>
    </w:pPr>
    <w:rPr>
      <w:rFonts w:eastAsiaTheme="minorHAnsi"/>
      <w:sz w:val="20"/>
      <w:szCs w:val="20"/>
    </w:rPr>
  </w:style>
  <w:style w:type="character" w:customStyle="1" w:styleId="CommentTextChar">
    <w:name w:val="Comment Text Char"/>
    <w:basedOn w:val="DefaultParagraphFont"/>
    <w:link w:val="CommentText"/>
    <w:uiPriority w:val="99"/>
    <w:semiHidden/>
    <w:rsid w:val="00313302"/>
    <w:rPr>
      <w:rFonts w:eastAsiaTheme="minorHAnsi"/>
      <w:sz w:val="20"/>
      <w:szCs w:val="20"/>
      <w:lang w:val="en-GB"/>
    </w:rPr>
  </w:style>
  <w:style w:type="table" w:styleId="TableGrid">
    <w:name w:val="Table Grid"/>
    <w:basedOn w:val="TableNormal"/>
    <w:uiPriority w:val="59"/>
    <w:rsid w:val="008C3E9E"/>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012CA"/>
    <w:pPr>
      <w:spacing w:after="0"/>
    </w:pPr>
    <w:rPr>
      <w:rFonts w:eastAsiaTheme="minorEastAsia"/>
      <w:b/>
      <w:bCs/>
      <w:lang w:val="en-US"/>
    </w:rPr>
  </w:style>
  <w:style w:type="character" w:customStyle="1" w:styleId="CommentSubjectChar">
    <w:name w:val="Comment Subject Char"/>
    <w:basedOn w:val="CommentTextChar"/>
    <w:link w:val="CommentSubject"/>
    <w:uiPriority w:val="99"/>
    <w:semiHidden/>
    <w:rsid w:val="00B012CA"/>
    <w:rPr>
      <w:rFonts w:eastAsiaTheme="minorHAnsi"/>
      <w:b/>
      <w:bCs/>
      <w:sz w:val="20"/>
      <w:szCs w:val="20"/>
      <w:lang w:val="en-GB"/>
    </w:rPr>
  </w:style>
  <w:style w:type="paragraph" w:styleId="Revision">
    <w:name w:val="Revision"/>
    <w:hidden/>
    <w:uiPriority w:val="99"/>
    <w:semiHidden/>
    <w:rsid w:val="00B012CA"/>
  </w:style>
  <w:style w:type="character" w:styleId="Hyperlink">
    <w:name w:val="Hyperlink"/>
    <w:uiPriority w:val="99"/>
    <w:unhideWhenUsed/>
    <w:rsid w:val="00A82211"/>
    <w:rPr>
      <w:color w:val="0000FF"/>
      <w:u w:val="single"/>
    </w:rPr>
  </w:style>
  <w:style w:type="table" w:customStyle="1" w:styleId="TableGrid1">
    <w:name w:val="Table Grid1"/>
    <w:basedOn w:val="TableNormal"/>
    <w:next w:val="TableGrid"/>
    <w:uiPriority w:val="39"/>
    <w:rsid w:val="00555DF7"/>
    <w:rPr>
      <w:rFonts w:eastAsia="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9209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exanderforbes.co.z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843671-E138-47E1-AB46-48B3C94A5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979</Words>
  <Characters>5584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Alexander Forbes</Company>
  <LinksUpToDate>false</LinksUpToDate>
  <CharactersWithSpaces>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 3</dc:creator>
  <cp:keywords/>
  <dc:description/>
  <cp:lastModifiedBy>Consi Kalamaras</cp:lastModifiedBy>
  <cp:revision>2</cp:revision>
  <cp:lastPrinted>2019-03-06T09:11:00Z</cp:lastPrinted>
  <dcterms:created xsi:type="dcterms:W3CDTF">2020-10-30T06:50:00Z</dcterms:created>
  <dcterms:modified xsi:type="dcterms:W3CDTF">2020-10-30T06:50:00Z</dcterms:modified>
</cp:coreProperties>
</file>