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41762" w14:textId="77777777" w:rsidR="00382ADA" w:rsidRDefault="00AB5637">
      <w:r>
        <w:rPr>
          <w:rFonts w:ascii="Verdana" w:hAnsi="Verdana"/>
          <w:noProof/>
          <w:lang w:eastAsia="en-ZA"/>
        </w:rPr>
        <w:drawing>
          <wp:inline distT="0" distB="0" distL="0" distR="0" wp14:anchorId="540417E4" wp14:editId="540417E5">
            <wp:extent cx="3562350" cy="752475"/>
            <wp:effectExtent l="0" t="0" r="0" b="9525"/>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0" cy="752475"/>
                    </a:xfrm>
                    <a:prstGeom prst="rect">
                      <a:avLst/>
                    </a:prstGeom>
                    <a:noFill/>
                    <a:ln>
                      <a:noFill/>
                    </a:ln>
                  </pic:spPr>
                </pic:pic>
              </a:graphicData>
            </a:graphic>
          </wp:inline>
        </w:drawing>
      </w:r>
    </w:p>
    <w:p w14:paraId="54041764" w14:textId="0E86478D" w:rsidR="00AB5637" w:rsidRPr="00A06583" w:rsidRDefault="008C19C4" w:rsidP="001976A7">
      <w:pPr>
        <w:pStyle w:val="Heading1"/>
        <w:spacing w:before="0" w:after="0" w:line="320" w:lineRule="atLeast"/>
        <w:rPr>
          <w:rFonts w:ascii="Verdana" w:hAnsi="Verdana"/>
          <w:sz w:val="24"/>
          <w:szCs w:val="24"/>
        </w:rPr>
      </w:pPr>
      <w:r>
        <w:rPr>
          <w:rFonts w:ascii="Verdana" w:hAnsi="Verdana"/>
          <w:sz w:val="24"/>
          <w:szCs w:val="24"/>
        </w:rPr>
        <w:t xml:space="preserve">State of the </w:t>
      </w:r>
      <w:r w:rsidR="00FC15C7">
        <w:rPr>
          <w:rFonts w:ascii="Verdana" w:hAnsi="Verdana"/>
          <w:sz w:val="24"/>
          <w:szCs w:val="24"/>
        </w:rPr>
        <w:t>S</w:t>
      </w:r>
      <w:r w:rsidR="00834896">
        <w:rPr>
          <w:rFonts w:ascii="Verdana" w:hAnsi="Verdana"/>
          <w:sz w:val="24"/>
          <w:szCs w:val="24"/>
        </w:rPr>
        <w:t xml:space="preserve">outh </w:t>
      </w:r>
      <w:r w:rsidR="00FC15C7">
        <w:rPr>
          <w:rFonts w:ascii="Verdana" w:hAnsi="Verdana"/>
          <w:sz w:val="24"/>
          <w:szCs w:val="24"/>
        </w:rPr>
        <w:t>A</w:t>
      </w:r>
      <w:r w:rsidR="00834896">
        <w:rPr>
          <w:rFonts w:ascii="Verdana" w:hAnsi="Verdana"/>
          <w:sz w:val="24"/>
          <w:szCs w:val="24"/>
        </w:rPr>
        <w:t>frican</w:t>
      </w:r>
      <w:r w:rsidR="00FC15C7">
        <w:rPr>
          <w:rFonts w:ascii="Verdana" w:hAnsi="Verdana"/>
          <w:sz w:val="24"/>
          <w:szCs w:val="24"/>
        </w:rPr>
        <w:t xml:space="preserve"> </w:t>
      </w:r>
      <w:r w:rsidR="00D3426D">
        <w:rPr>
          <w:rFonts w:ascii="Verdana" w:hAnsi="Verdana"/>
          <w:sz w:val="24"/>
          <w:szCs w:val="24"/>
        </w:rPr>
        <w:t>E</w:t>
      </w:r>
      <w:r w:rsidR="00834896">
        <w:rPr>
          <w:rFonts w:ascii="Verdana" w:hAnsi="Verdana"/>
          <w:sz w:val="24"/>
          <w:szCs w:val="24"/>
        </w:rPr>
        <w:t xml:space="preserve">xchange </w:t>
      </w:r>
      <w:r w:rsidR="00D3426D">
        <w:rPr>
          <w:rFonts w:ascii="Verdana" w:hAnsi="Verdana"/>
          <w:sz w:val="24"/>
          <w:szCs w:val="24"/>
        </w:rPr>
        <w:t>T</w:t>
      </w:r>
      <w:r w:rsidR="00834896">
        <w:rPr>
          <w:rFonts w:ascii="Verdana" w:hAnsi="Verdana"/>
          <w:sz w:val="24"/>
          <w:szCs w:val="24"/>
        </w:rPr>
        <w:t xml:space="preserve">raded </w:t>
      </w:r>
      <w:r w:rsidR="00D3426D">
        <w:rPr>
          <w:rFonts w:ascii="Verdana" w:hAnsi="Verdana"/>
          <w:sz w:val="24"/>
          <w:szCs w:val="24"/>
        </w:rPr>
        <w:t>P</w:t>
      </w:r>
      <w:r w:rsidR="00834896">
        <w:rPr>
          <w:rFonts w:ascii="Verdana" w:hAnsi="Verdana"/>
          <w:sz w:val="24"/>
          <w:szCs w:val="24"/>
        </w:rPr>
        <w:t>roduct (ETP)</w:t>
      </w:r>
      <w:r>
        <w:rPr>
          <w:rFonts w:ascii="Verdana" w:hAnsi="Verdana"/>
          <w:sz w:val="24"/>
          <w:szCs w:val="24"/>
        </w:rPr>
        <w:t xml:space="preserve"> Industry </w:t>
      </w:r>
      <w:r w:rsidR="00FC15C7">
        <w:rPr>
          <w:rFonts w:ascii="Verdana" w:hAnsi="Verdana"/>
          <w:sz w:val="24"/>
          <w:szCs w:val="24"/>
        </w:rPr>
        <w:t xml:space="preserve">– </w:t>
      </w:r>
      <w:r w:rsidR="00DB291B">
        <w:rPr>
          <w:rFonts w:ascii="Verdana" w:hAnsi="Verdana"/>
          <w:sz w:val="24"/>
          <w:szCs w:val="24"/>
        </w:rPr>
        <w:t>a</w:t>
      </w:r>
      <w:r w:rsidR="00441724">
        <w:rPr>
          <w:rFonts w:ascii="Verdana" w:hAnsi="Verdana"/>
          <w:sz w:val="24"/>
          <w:szCs w:val="24"/>
        </w:rPr>
        <w:t xml:space="preserve">s </w:t>
      </w:r>
      <w:r w:rsidR="00B6448D">
        <w:rPr>
          <w:rFonts w:ascii="Verdana" w:hAnsi="Verdana"/>
          <w:sz w:val="24"/>
          <w:szCs w:val="24"/>
        </w:rPr>
        <w:t>a</w:t>
      </w:r>
      <w:r w:rsidR="00441724">
        <w:rPr>
          <w:rFonts w:ascii="Verdana" w:hAnsi="Verdana"/>
          <w:sz w:val="24"/>
          <w:szCs w:val="24"/>
        </w:rPr>
        <w:t xml:space="preserve">t </w:t>
      </w:r>
      <w:r w:rsidR="003C6031">
        <w:rPr>
          <w:rFonts w:ascii="Verdana" w:hAnsi="Verdana"/>
          <w:sz w:val="24"/>
          <w:szCs w:val="24"/>
        </w:rPr>
        <w:t>3</w:t>
      </w:r>
      <w:r w:rsidR="009D63BC">
        <w:rPr>
          <w:rFonts w:ascii="Verdana" w:hAnsi="Verdana"/>
          <w:sz w:val="24"/>
          <w:szCs w:val="24"/>
        </w:rPr>
        <w:t>1</w:t>
      </w:r>
      <w:r w:rsidR="00BD35C4" w:rsidRPr="00BD35C4">
        <w:rPr>
          <w:rFonts w:ascii="Verdana" w:hAnsi="Verdana"/>
          <w:sz w:val="24"/>
          <w:szCs w:val="24"/>
          <w:vertAlign w:val="superscript"/>
        </w:rPr>
        <w:t>st</w:t>
      </w:r>
      <w:r w:rsidR="00BD35C4">
        <w:rPr>
          <w:rFonts w:ascii="Verdana" w:hAnsi="Verdana"/>
          <w:sz w:val="24"/>
          <w:szCs w:val="24"/>
        </w:rPr>
        <w:t xml:space="preserve"> </w:t>
      </w:r>
      <w:r w:rsidR="00863949">
        <w:rPr>
          <w:rFonts w:ascii="Verdana" w:hAnsi="Verdana"/>
          <w:sz w:val="24"/>
          <w:szCs w:val="24"/>
        </w:rPr>
        <w:t>March</w:t>
      </w:r>
      <w:r w:rsidR="00870751">
        <w:rPr>
          <w:rFonts w:ascii="Verdana" w:hAnsi="Verdana"/>
          <w:sz w:val="24"/>
          <w:szCs w:val="24"/>
        </w:rPr>
        <w:t xml:space="preserve"> 20</w:t>
      </w:r>
      <w:r w:rsidR="00863949">
        <w:rPr>
          <w:rFonts w:ascii="Verdana" w:hAnsi="Verdana"/>
          <w:sz w:val="24"/>
          <w:szCs w:val="24"/>
        </w:rPr>
        <w:t>20</w:t>
      </w:r>
    </w:p>
    <w:p w14:paraId="54041766" w14:textId="77777777" w:rsidR="00AB5637" w:rsidRPr="00F7786F" w:rsidRDefault="00AB5637" w:rsidP="001976A7">
      <w:pPr>
        <w:pStyle w:val="Heading1"/>
        <w:spacing w:before="0" w:after="0" w:line="320" w:lineRule="atLeast"/>
        <w:rPr>
          <w:rFonts w:ascii="Verdana" w:hAnsi="Verdana"/>
          <w:b w:val="0"/>
          <w:sz w:val="22"/>
          <w:szCs w:val="22"/>
        </w:rPr>
      </w:pPr>
      <w:r w:rsidRPr="00F7786F">
        <w:rPr>
          <w:rFonts w:ascii="Verdana" w:hAnsi="Verdana"/>
          <w:sz w:val="22"/>
          <w:szCs w:val="22"/>
        </w:rPr>
        <w:t>Mike Brown, Managing Director, etfSA.co.za</w:t>
      </w:r>
    </w:p>
    <w:p w14:paraId="1B1021F2" w14:textId="77777777" w:rsidR="005D7F9E" w:rsidRDefault="005D7F9E" w:rsidP="001976A7">
      <w:pPr>
        <w:spacing w:after="0" w:line="320" w:lineRule="atLeast"/>
        <w:jc w:val="both"/>
        <w:rPr>
          <w:rFonts w:ascii="Verdana" w:hAnsi="Verdana"/>
          <w:sz w:val="21"/>
          <w:szCs w:val="21"/>
        </w:rPr>
      </w:pPr>
    </w:p>
    <w:p w14:paraId="02968165" w14:textId="03B3257E" w:rsidR="007D1C48" w:rsidRDefault="00511FB5" w:rsidP="00FC62D1">
      <w:pPr>
        <w:spacing w:after="0" w:line="300" w:lineRule="atLeast"/>
        <w:jc w:val="both"/>
        <w:rPr>
          <w:rFonts w:ascii="Verdana" w:hAnsi="Verdana"/>
          <w:b/>
          <w:color w:val="C00000"/>
          <w:sz w:val="24"/>
          <w:szCs w:val="24"/>
        </w:rPr>
      </w:pPr>
      <w:r w:rsidRPr="003A3D19">
        <w:rPr>
          <w:rFonts w:ascii="Verdana" w:hAnsi="Verdana"/>
          <w:b/>
          <w:color w:val="C00000"/>
          <w:sz w:val="24"/>
          <w:szCs w:val="24"/>
        </w:rPr>
        <w:t>Market Capitalisation</w:t>
      </w:r>
    </w:p>
    <w:p w14:paraId="55BE0BF4" w14:textId="09FCC472" w:rsidR="00D72BC0" w:rsidRDefault="004E7608" w:rsidP="00FC7345">
      <w:pPr>
        <w:spacing w:after="0" w:line="340" w:lineRule="atLeast"/>
        <w:jc w:val="both"/>
        <w:rPr>
          <w:rFonts w:ascii="Verdana" w:hAnsi="Verdana"/>
          <w:color w:val="000000" w:themeColor="text1"/>
          <w:sz w:val="21"/>
          <w:szCs w:val="21"/>
        </w:rPr>
      </w:pPr>
      <w:r>
        <w:rPr>
          <w:rFonts w:ascii="Verdana" w:hAnsi="Verdana"/>
          <w:color w:val="000000" w:themeColor="text1"/>
          <w:sz w:val="21"/>
          <w:szCs w:val="21"/>
        </w:rPr>
        <w:t>Having reached over R100 billion at the end of 2019, the total market capitalisation</w:t>
      </w:r>
      <w:r w:rsidR="004A53EA">
        <w:rPr>
          <w:rFonts w:ascii="Verdana" w:hAnsi="Verdana"/>
          <w:color w:val="000000" w:themeColor="text1"/>
          <w:sz w:val="21"/>
          <w:szCs w:val="21"/>
        </w:rPr>
        <w:t xml:space="preserve"> (size) of the Exchange Traded Funds (ETFS) and Exchange Traded Notes (ETNs)</w:t>
      </w:r>
      <w:r w:rsidR="007D0DE9">
        <w:rPr>
          <w:rFonts w:ascii="Verdana" w:hAnsi="Verdana"/>
          <w:color w:val="000000" w:themeColor="text1"/>
          <w:sz w:val="21"/>
          <w:szCs w:val="21"/>
        </w:rPr>
        <w:t>, listed on the JSE, fell to R91,7 billion as the end of March 2020, a decline of 9%</w:t>
      </w:r>
      <w:r w:rsidR="004C1102">
        <w:rPr>
          <w:rFonts w:ascii="Verdana" w:hAnsi="Verdana"/>
          <w:color w:val="000000" w:themeColor="text1"/>
          <w:sz w:val="21"/>
          <w:szCs w:val="21"/>
        </w:rPr>
        <w:t xml:space="preserve">.  </w:t>
      </w:r>
    </w:p>
    <w:p w14:paraId="07AF6E62" w14:textId="702A6942" w:rsidR="00D826DB" w:rsidRDefault="00D826DB" w:rsidP="00137500">
      <w:pPr>
        <w:spacing w:after="0" w:line="340" w:lineRule="atLeast"/>
        <w:jc w:val="both"/>
        <w:rPr>
          <w:rFonts w:ascii="Verdana" w:hAnsi="Verdana"/>
          <w:color w:val="000000" w:themeColor="text1"/>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7236"/>
      </w:tblGrid>
      <w:tr w:rsidR="00F411F7" w14:paraId="02D18F07" w14:textId="77777777" w:rsidTr="007549A4">
        <w:tc>
          <w:tcPr>
            <w:tcW w:w="2685" w:type="dxa"/>
            <w:vAlign w:val="center"/>
          </w:tcPr>
          <w:p w14:paraId="1EC26A6C" w14:textId="1B1AAE47" w:rsidR="00185009" w:rsidRPr="00FB21A9" w:rsidRDefault="00FA0979" w:rsidP="00FC7345">
            <w:pPr>
              <w:spacing w:line="340" w:lineRule="atLeast"/>
              <w:rPr>
                <w:rFonts w:ascii="Verdana" w:hAnsi="Verdana"/>
                <w:color w:val="000000" w:themeColor="text1"/>
                <w:sz w:val="21"/>
                <w:szCs w:val="21"/>
              </w:rPr>
            </w:pPr>
            <w:r>
              <w:rPr>
                <w:rFonts w:ascii="Verdana" w:hAnsi="Verdana"/>
                <w:color w:val="000000" w:themeColor="text1"/>
                <w:sz w:val="21"/>
                <w:szCs w:val="21"/>
              </w:rPr>
              <w:t xml:space="preserve">Two factors were responsible for the market cap fall, namely the sharp decline in financial markets in March due to the </w:t>
            </w:r>
            <w:r w:rsidR="00410B90">
              <w:rPr>
                <w:rFonts w:ascii="Verdana" w:hAnsi="Verdana"/>
                <w:color w:val="000000" w:themeColor="text1"/>
                <w:sz w:val="21"/>
                <w:szCs w:val="21"/>
              </w:rPr>
              <w:t xml:space="preserve">COVID-19 epidemic, plus a significant </w:t>
            </w:r>
            <w:r w:rsidR="004A7DA9">
              <w:rPr>
                <w:rFonts w:ascii="Verdana" w:hAnsi="Verdana"/>
                <w:color w:val="000000" w:themeColor="text1"/>
                <w:sz w:val="21"/>
                <w:szCs w:val="21"/>
              </w:rPr>
              <w:t xml:space="preserve">reduction in the number of shares in issue for platinum and palladium ETFs during the quarter. </w:t>
            </w:r>
          </w:p>
        </w:tc>
        <w:tc>
          <w:tcPr>
            <w:tcW w:w="7236" w:type="dxa"/>
            <w:vAlign w:val="center"/>
          </w:tcPr>
          <w:p w14:paraId="237962D7" w14:textId="020632A7" w:rsidR="00D826DB" w:rsidRDefault="007549A4" w:rsidP="00F411F7">
            <w:pPr>
              <w:spacing w:line="340" w:lineRule="atLeast"/>
              <w:jc w:val="right"/>
              <w:rPr>
                <w:rFonts w:ascii="Verdana" w:hAnsi="Verdana"/>
                <w:color w:val="000000" w:themeColor="text1"/>
                <w:sz w:val="21"/>
                <w:szCs w:val="21"/>
              </w:rPr>
            </w:pPr>
            <w:r>
              <w:rPr>
                <w:noProof/>
              </w:rPr>
              <w:drawing>
                <wp:inline distT="0" distB="0" distL="0" distR="0" wp14:anchorId="42D1E618" wp14:editId="0974EDC2">
                  <wp:extent cx="4451351" cy="2860676"/>
                  <wp:effectExtent l="0" t="0" r="6350" b="15875"/>
                  <wp:docPr id="2" name="Chart 2">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7CCC5C48" w14:textId="5F694416" w:rsidR="00AE720D" w:rsidRDefault="00AE720D" w:rsidP="00CD37BB">
      <w:pPr>
        <w:spacing w:after="0" w:line="320" w:lineRule="atLeast"/>
        <w:jc w:val="both"/>
        <w:rPr>
          <w:rFonts w:ascii="Verdana" w:hAnsi="Verdana"/>
          <w:color w:val="000000" w:themeColor="text1"/>
          <w:sz w:val="21"/>
          <w:szCs w:val="21"/>
        </w:rPr>
      </w:pPr>
    </w:p>
    <w:p w14:paraId="6465F40E" w14:textId="04B24F01" w:rsidR="004A7DA9" w:rsidRDefault="00F6273E" w:rsidP="00FC7345">
      <w:pPr>
        <w:spacing w:after="0" w:line="340" w:lineRule="atLeast"/>
        <w:jc w:val="both"/>
        <w:rPr>
          <w:rFonts w:ascii="Verdana" w:hAnsi="Verdana"/>
          <w:color w:val="000000" w:themeColor="text1"/>
          <w:sz w:val="21"/>
          <w:szCs w:val="21"/>
        </w:rPr>
      </w:pPr>
      <w:r>
        <w:rPr>
          <w:rFonts w:ascii="Verdana" w:hAnsi="Verdana"/>
          <w:color w:val="000000" w:themeColor="text1"/>
          <w:sz w:val="21"/>
          <w:szCs w:val="21"/>
        </w:rPr>
        <w:t>The decline in ETF/ETN prices in March 2020, was more significant for SA indices tracking equity and bond ETFs, than for the global ind</w:t>
      </w:r>
      <w:r w:rsidR="00B064A2">
        <w:rPr>
          <w:rFonts w:ascii="Verdana" w:hAnsi="Verdana"/>
          <w:color w:val="000000" w:themeColor="text1"/>
          <w:sz w:val="21"/>
          <w:szCs w:val="21"/>
        </w:rPr>
        <w:t>ex tracking ETFs listed on the JSE</w:t>
      </w:r>
      <w:r w:rsidR="00C96C19">
        <w:rPr>
          <w:rFonts w:ascii="Verdana" w:hAnsi="Verdana"/>
          <w:color w:val="000000" w:themeColor="text1"/>
          <w:sz w:val="21"/>
          <w:szCs w:val="21"/>
        </w:rPr>
        <w:t xml:space="preserve"> where rand depreciation dampened </w:t>
      </w:r>
      <w:r w:rsidR="00D02BBA">
        <w:rPr>
          <w:rFonts w:ascii="Verdana" w:hAnsi="Verdana"/>
          <w:color w:val="000000" w:themeColor="text1"/>
          <w:sz w:val="21"/>
          <w:szCs w:val="21"/>
        </w:rPr>
        <w:t xml:space="preserve">the fall in prices.  Precious metal prices, as in the case with the last market collapse in 2008, </w:t>
      </w:r>
      <w:r w:rsidR="000D5C7D">
        <w:rPr>
          <w:rFonts w:ascii="Verdana" w:hAnsi="Verdana"/>
          <w:color w:val="000000" w:themeColor="text1"/>
          <w:sz w:val="21"/>
          <w:szCs w:val="21"/>
        </w:rPr>
        <w:t xml:space="preserve">provided a good defensive hedge in the current market turmoil, but, as mentioned earlier, share redemptions in PGM metal ETFs helped contribute to </w:t>
      </w:r>
      <w:r w:rsidR="003D3AB6">
        <w:rPr>
          <w:rFonts w:ascii="Verdana" w:hAnsi="Verdana"/>
          <w:color w:val="000000" w:themeColor="text1"/>
          <w:sz w:val="21"/>
          <w:szCs w:val="21"/>
        </w:rPr>
        <w:t xml:space="preserve">the market capitalisation decline, by offsetting price increases.  </w:t>
      </w:r>
    </w:p>
    <w:p w14:paraId="397ED717" w14:textId="520E6EC3" w:rsidR="004A7DA9" w:rsidRDefault="004A7DA9" w:rsidP="00FC7345">
      <w:pPr>
        <w:spacing w:after="0" w:line="340" w:lineRule="atLeast"/>
        <w:jc w:val="both"/>
        <w:rPr>
          <w:rFonts w:ascii="Verdana" w:hAnsi="Verdana"/>
          <w:color w:val="000000" w:themeColor="text1"/>
          <w:sz w:val="21"/>
          <w:szCs w:val="21"/>
        </w:rPr>
      </w:pPr>
    </w:p>
    <w:p w14:paraId="0EBC0DC7" w14:textId="77777777" w:rsidR="004A7DA9" w:rsidRDefault="004A7DA9" w:rsidP="00FC7345">
      <w:pPr>
        <w:spacing w:after="0" w:line="340" w:lineRule="atLeast"/>
        <w:jc w:val="both"/>
        <w:rPr>
          <w:rFonts w:ascii="Verdana" w:hAnsi="Verdana"/>
          <w:color w:val="000000" w:themeColor="text1"/>
          <w:sz w:val="21"/>
          <w:szCs w:val="21"/>
        </w:rPr>
      </w:pPr>
    </w:p>
    <w:p w14:paraId="6B7A6171" w14:textId="31509AA9" w:rsidR="004B0713" w:rsidRPr="003A3D19" w:rsidRDefault="00B5062D" w:rsidP="00FC7345">
      <w:pPr>
        <w:spacing w:after="0" w:line="340" w:lineRule="atLeast"/>
        <w:jc w:val="both"/>
        <w:rPr>
          <w:rFonts w:ascii="Verdana" w:hAnsi="Verdana"/>
          <w:b/>
          <w:color w:val="C00000"/>
          <w:sz w:val="24"/>
          <w:szCs w:val="24"/>
        </w:rPr>
      </w:pPr>
      <w:r>
        <w:rPr>
          <w:rFonts w:ascii="Verdana" w:hAnsi="Verdana"/>
          <w:b/>
          <w:color w:val="C00000"/>
          <w:sz w:val="24"/>
          <w:szCs w:val="24"/>
        </w:rPr>
        <w:t>New Capital Raised</w:t>
      </w:r>
    </w:p>
    <w:p w14:paraId="34F6A7DA" w14:textId="623A2D9C" w:rsidR="003F76E0" w:rsidRDefault="003F76E0" w:rsidP="00FC7345">
      <w:pPr>
        <w:spacing w:after="0" w:line="340" w:lineRule="atLeast"/>
        <w:rPr>
          <w:rFonts w:ascii="Verdana" w:hAnsi="Verdana"/>
          <w:color w:val="000000"/>
          <w:sz w:val="21"/>
          <w:szCs w:val="21"/>
        </w:rPr>
      </w:pPr>
      <w:r>
        <w:rPr>
          <w:rFonts w:ascii="Verdana" w:hAnsi="Verdana"/>
          <w:color w:val="000000"/>
          <w:sz w:val="21"/>
          <w:szCs w:val="21"/>
        </w:rPr>
        <w:t xml:space="preserve">Total capital redeemed in the first quarter of 2020, amounted to R11 190,1 billion, the most significant decline in the </w:t>
      </w:r>
      <w:r w:rsidR="009A4055">
        <w:rPr>
          <w:rFonts w:ascii="Verdana" w:hAnsi="Verdana"/>
          <w:color w:val="000000"/>
          <w:sz w:val="21"/>
          <w:szCs w:val="21"/>
        </w:rPr>
        <w:t xml:space="preserve">size of the </w:t>
      </w:r>
      <w:r>
        <w:rPr>
          <w:rFonts w:ascii="Verdana" w:hAnsi="Verdana"/>
          <w:color w:val="000000"/>
          <w:sz w:val="21"/>
          <w:szCs w:val="21"/>
        </w:rPr>
        <w:t>ETP industry in South Africa for the past 20 years.</w:t>
      </w:r>
    </w:p>
    <w:p w14:paraId="04973774" w14:textId="77777777" w:rsidR="003F76E0" w:rsidRDefault="003F76E0" w:rsidP="00FC7345">
      <w:pPr>
        <w:spacing w:after="0" w:line="340" w:lineRule="atLeast"/>
        <w:rPr>
          <w:rFonts w:ascii="Verdana" w:hAnsi="Verdana"/>
          <w:color w:val="000000"/>
          <w:sz w:val="21"/>
          <w:szCs w:val="21"/>
        </w:rPr>
      </w:pPr>
    </w:p>
    <w:p w14:paraId="09EDFA33" w14:textId="64FF8C76" w:rsidR="003F76E0" w:rsidRDefault="003F76E0" w:rsidP="00FC7345">
      <w:pPr>
        <w:spacing w:after="0" w:line="340" w:lineRule="atLeast"/>
        <w:rPr>
          <w:rFonts w:ascii="Verdana" w:hAnsi="Verdana"/>
          <w:color w:val="000000"/>
          <w:sz w:val="21"/>
          <w:szCs w:val="21"/>
        </w:rPr>
      </w:pPr>
      <w:r>
        <w:rPr>
          <w:rFonts w:ascii="Verdana" w:hAnsi="Verdana"/>
          <w:color w:val="000000"/>
          <w:sz w:val="21"/>
          <w:szCs w:val="21"/>
        </w:rPr>
        <w:t>JSE listed</w:t>
      </w:r>
      <w:r w:rsidR="005B450E">
        <w:rPr>
          <w:rFonts w:ascii="Verdana" w:hAnsi="Verdana"/>
          <w:color w:val="000000"/>
          <w:sz w:val="21"/>
          <w:szCs w:val="21"/>
        </w:rPr>
        <w:t xml:space="preserve"> Exchange Traded Products are open-ended, so new creations or </w:t>
      </w:r>
      <w:r w:rsidR="004F1DF6">
        <w:rPr>
          <w:rFonts w:ascii="Verdana" w:hAnsi="Verdana"/>
          <w:color w:val="000000"/>
          <w:sz w:val="21"/>
          <w:szCs w:val="21"/>
        </w:rPr>
        <w:t xml:space="preserve">redemptions can take place at any time.  </w:t>
      </w:r>
      <w:r w:rsidR="008A4C09">
        <w:rPr>
          <w:rFonts w:ascii="Verdana" w:hAnsi="Verdana"/>
          <w:color w:val="000000"/>
          <w:sz w:val="21"/>
          <w:szCs w:val="21"/>
        </w:rPr>
        <w:t xml:space="preserve">In recent years, there has been a shift to </w:t>
      </w:r>
      <w:r w:rsidR="00C36612">
        <w:rPr>
          <w:rFonts w:ascii="Verdana" w:hAnsi="Verdana"/>
          <w:color w:val="000000"/>
          <w:sz w:val="21"/>
          <w:szCs w:val="21"/>
        </w:rPr>
        <w:t>c</w:t>
      </w:r>
      <w:r w:rsidR="00977364">
        <w:rPr>
          <w:rFonts w:ascii="Verdana" w:hAnsi="Verdana"/>
          <w:color w:val="000000"/>
          <w:sz w:val="21"/>
          <w:szCs w:val="21"/>
        </w:rPr>
        <w:t>onstant</w:t>
      </w:r>
      <w:r w:rsidR="00C36612">
        <w:rPr>
          <w:rFonts w:ascii="Verdana" w:hAnsi="Verdana"/>
          <w:color w:val="000000"/>
          <w:sz w:val="21"/>
          <w:szCs w:val="21"/>
        </w:rPr>
        <w:t xml:space="preserve"> creations or redemptions, </w:t>
      </w:r>
      <w:r w:rsidR="00977364">
        <w:rPr>
          <w:rFonts w:ascii="Verdana" w:hAnsi="Verdana"/>
          <w:color w:val="000000"/>
          <w:sz w:val="21"/>
          <w:szCs w:val="21"/>
        </w:rPr>
        <w:t>often</w:t>
      </w:r>
      <w:r w:rsidR="00C36612">
        <w:rPr>
          <w:rFonts w:ascii="Verdana" w:hAnsi="Verdana"/>
          <w:color w:val="000000"/>
          <w:sz w:val="21"/>
          <w:szCs w:val="21"/>
        </w:rPr>
        <w:t xml:space="preserve"> on a daily basis, </w:t>
      </w:r>
      <w:r w:rsidR="00121661">
        <w:rPr>
          <w:rFonts w:ascii="Verdana" w:hAnsi="Verdana"/>
          <w:color w:val="000000"/>
          <w:sz w:val="21"/>
          <w:szCs w:val="21"/>
        </w:rPr>
        <w:t xml:space="preserve">by certain ETP issuing companies.  </w:t>
      </w:r>
    </w:p>
    <w:p w14:paraId="1515E09F" w14:textId="532A3AEE" w:rsidR="00FC7345" w:rsidRDefault="00FC7345">
      <w:pPr>
        <w:rPr>
          <w:rFonts w:ascii="Verdana" w:hAnsi="Verdana"/>
          <w:color w:val="000000"/>
          <w:sz w:val="21"/>
          <w:szCs w:val="21"/>
        </w:rPr>
      </w:pPr>
      <w:r>
        <w:rPr>
          <w:rFonts w:ascii="Verdana" w:hAnsi="Verdana"/>
          <w:color w:val="000000"/>
          <w:sz w:val="21"/>
          <w:szCs w:val="21"/>
        </w:rPr>
        <w:br w:type="page"/>
      </w:r>
    </w:p>
    <w:p w14:paraId="3A16E822" w14:textId="6618F954" w:rsidR="00121661" w:rsidRDefault="00121661" w:rsidP="00BA7F27">
      <w:pPr>
        <w:spacing w:after="0" w:line="320" w:lineRule="atLeast"/>
        <w:rPr>
          <w:rFonts w:ascii="Verdana" w:hAnsi="Verdana"/>
          <w:color w:val="000000"/>
          <w:sz w:val="21"/>
          <w:szCs w:val="21"/>
        </w:rPr>
      </w:pPr>
      <w:r>
        <w:rPr>
          <w:rFonts w:ascii="Verdana" w:hAnsi="Verdana"/>
          <w:color w:val="000000"/>
          <w:sz w:val="21"/>
          <w:szCs w:val="21"/>
        </w:rPr>
        <w:lastRenderedPageBreak/>
        <w:t xml:space="preserve">In this way, the issuing companies ensure that over or under-supply of the ETPs </w:t>
      </w:r>
      <w:r w:rsidR="00FC7345">
        <w:rPr>
          <w:rFonts w:ascii="Verdana" w:hAnsi="Verdana"/>
          <w:color w:val="000000"/>
          <w:sz w:val="21"/>
          <w:szCs w:val="21"/>
        </w:rPr>
        <w:t>in</w:t>
      </w:r>
      <w:r>
        <w:rPr>
          <w:rFonts w:ascii="Verdana" w:hAnsi="Verdana"/>
          <w:color w:val="000000"/>
          <w:sz w:val="21"/>
          <w:szCs w:val="21"/>
        </w:rPr>
        <w:t xml:space="preserve"> the </w:t>
      </w:r>
      <w:r w:rsidR="00FC7345">
        <w:rPr>
          <w:rFonts w:ascii="Verdana" w:hAnsi="Verdana"/>
          <w:color w:val="000000"/>
          <w:sz w:val="21"/>
          <w:szCs w:val="21"/>
        </w:rPr>
        <w:t xml:space="preserve">secondary market does not </w:t>
      </w:r>
      <w:r w:rsidR="00DB1C85">
        <w:rPr>
          <w:rFonts w:ascii="Verdana" w:hAnsi="Verdana"/>
          <w:color w:val="000000"/>
          <w:sz w:val="21"/>
          <w:szCs w:val="21"/>
        </w:rPr>
        <w:t>l</w:t>
      </w:r>
      <w:r w:rsidR="005D54DF">
        <w:rPr>
          <w:rFonts w:ascii="Verdana" w:hAnsi="Verdana"/>
          <w:color w:val="000000"/>
          <w:sz w:val="21"/>
          <w:szCs w:val="21"/>
        </w:rPr>
        <w:t>ead</w:t>
      </w:r>
      <w:r w:rsidR="00DB1C85">
        <w:rPr>
          <w:rFonts w:ascii="Verdana" w:hAnsi="Verdana"/>
          <w:color w:val="000000"/>
          <w:sz w:val="21"/>
          <w:szCs w:val="21"/>
        </w:rPr>
        <w:t xml:space="preserve"> to the ETF or ETN trading away from its net asset </w:t>
      </w:r>
      <w:r w:rsidR="00964DB3">
        <w:rPr>
          <w:rFonts w:ascii="Verdana" w:hAnsi="Verdana"/>
          <w:color w:val="000000"/>
          <w:sz w:val="21"/>
          <w:szCs w:val="21"/>
        </w:rPr>
        <w:t>v</w:t>
      </w:r>
      <w:r w:rsidR="00DB1C85">
        <w:rPr>
          <w:rFonts w:ascii="Verdana" w:hAnsi="Verdana"/>
          <w:color w:val="000000"/>
          <w:sz w:val="21"/>
          <w:szCs w:val="21"/>
        </w:rPr>
        <w:t>alue (NAV) pr</w:t>
      </w:r>
      <w:r w:rsidR="003C34BA">
        <w:rPr>
          <w:rFonts w:ascii="Verdana" w:hAnsi="Verdana"/>
          <w:color w:val="000000"/>
          <w:sz w:val="21"/>
          <w:szCs w:val="21"/>
        </w:rPr>
        <w:t xml:space="preserve">ice.  But it also takes pressure off the market makers to add or reduce liquidity to the market in order to ensure that the </w:t>
      </w:r>
      <w:r w:rsidR="006806B9">
        <w:rPr>
          <w:rFonts w:ascii="Verdana" w:hAnsi="Verdana"/>
          <w:color w:val="000000"/>
          <w:sz w:val="21"/>
          <w:szCs w:val="21"/>
        </w:rPr>
        <w:t>ETF trades at its fair value.  The increasing volumes of ETFs traded on the JSE</w:t>
      </w:r>
      <w:r w:rsidR="00964DB3">
        <w:rPr>
          <w:rFonts w:ascii="Verdana" w:hAnsi="Verdana"/>
          <w:color w:val="000000"/>
          <w:sz w:val="21"/>
          <w:szCs w:val="21"/>
        </w:rPr>
        <w:t xml:space="preserve">, and more recently, higher volatility, has also put pressure on </w:t>
      </w:r>
      <w:r w:rsidR="00975CA7">
        <w:rPr>
          <w:rFonts w:ascii="Verdana" w:hAnsi="Verdana"/>
          <w:color w:val="000000"/>
          <w:sz w:val="21"/>
          <w:szCs w:val="21"/>
        </w:rPr>
        <w:t xml:space="preserve">the </w:t>
      </w:r>
      <w:r w:rsidR="00964DB3">
        <w:rPr>
          <w:rFonts w:ascii="Verdana" w:hAnsi="Verdana"/>
          <w:color w:val="000000"/>
          <w:sz w:val="21"/>
          <w:szCs w:val="21"/>
        </w:rPr>
        <w:t xml:space="preserve">market makers.  </w:t>
      </w:r>
      <w:r w:rsidR="00975CA7">
        <w:rPr>
          <w:rFonts w:ascii="Verdana" w:hAnsi="Verdana"/>
          <w:color w:val="000000"/>
          <w:sz w:val="21"/>
          <w:szCs w:val="21"/>
        </w:rPr>
        <w:t>The constant creation/redem</w:t>
      </w:r>
      <w:r w:rsidR="007A7A18">
        <w:rPr>
          <w:rFonts w:ascii="Verdana" w:hAnsi="Verdana"/>
          <w:color w:val="000000"/>
          <w:sz w:val="21"/>
          <w:szCs w:val="21"/>
        </w:rPr>
        <w:t>ption strategy has helped release th</w:t>
      </w:r>
      <w:r w:rsidR="0075574D">
        <w:rPr>
          <w:rFonts w:ascii="Verdana" w:hAnsi="Verdana"/>
          <w:color w:val="000000"/>
          <w:sz w:val="21"/>
          <w:szCs w:val="21"/>
        </w:rPr>
        <w:t>is</w:t>
      </w:r>
      <w:r w:rsidR="007A7A18">
        <w:rPr>
          <w:rFonts w:ascii="Verdana" w:hAnsi="Verdana"/>
          <w:color w:val="000000"/>
          <w:sz w:val="21"/>
          <w:szCs w:val="21"/>
        </w:rPr>
        <w:t xml:space="preserve"> pressure.</w:t>
      </w:r>
    </w:p>
    <w:p w14:paraId="09BD3BDF" w14:textId="71D630C6" w:rsidR="00CD37BB" w:rsidRDefault="00CD37BB" w:rsidP="00BA7F27">
      <w:pPr>
        <w:spacing w:after="0" w:line="320" w:lineRule="atLeast"/>
        <w:rPr>
          <w:rFonts w:ascii="Verdana" w:hAnsi="Verdana"/>
          <w:color w:val="000000"/>
          <w:sz w:val="21"/>
          <w:szCs w:val="21"/>
        </w:rPr>
      </w:pPr>
    </w:p>
    <w:p w14:paraId="35A558F8" w14:textId="77777777" w:rsidR="0042225F" w:rsidRPr="00340ED3" w:rsidRDefault="0042225F" w:rsidP="0042225F">
      <w:pPr>
        <w:spacing w:after="0" w:line="360" w:lineRule="atLeast"/>
        <w:rPr>
          <w:rFonts w:ascii="Verdana" w:hAnsi="Verdana"/>
          <w:b/>
          <w:color w:val="000000"/>
          <w:sz w:val="21"/>
          <w:szCs w:val="21"/>
        </w:rPr>
      </w:pPr>
      <w:r>
        <w:rPr>
          <w:rFonts w:ascii="Verdana" w:hAnsi="Verdana"/>
          <w:b/>
          <w:color w:val="000000"/>
          <w:sz w:val="21"/>
          <w:szCs w:val="21"/>
        </w:rPr>
        <w:t>Table A</w:t>
      </w:r>
    </w:p>
    <w:tbl>
      <w:tblPr>
        <w:tblW w:w="581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410"/>
      </w:tblGrid>
      <w:tr w:rsidR="0042225F" w:rsidRPr="00AB6CBE" w14:paraId="66B25586" w14:textId="77777777" w:rsidTr="00972CCD">
        <w:tc>
          <w:tcPr>
            <w:tcW w:w="5812" w:type="dxa"/>
            <w:gridSpan w:val="2"/>
            <w:shd w:val="clear" w:color="auto" w:fill="C00000"/>
            <w:vAlign w:val="center"/>
          </w:tcPr>
          <w:p w14:paraId="432F6E41" w14:textId="77777777" w:rsidR="005B6048" w:rsidRDefault="00CC34CF" w:rsidP="005B6048">
            <w:pPr>
              <w:spacing w:before="40" w:after="40" w:line="280" w:lineRule="atLeast"/>
              <w:jc w:val="center"/>
              <w:rPr>
                <w:rFonts w:ascii="Verdana" w:hAnsi="Verdana"/>
                <w:b/>
                <w:color w:val="FFFFFF"/>
                <w:sz w:val="18"/>
                <w:szCs w:val="18"/>
              </w:rPr>
            </w:pPr>
            <w:r>
              <w:rPr>
                <w:rFonts w:ascii="Verdana" w:hAnsi="Verdana"/>
                <w:b/>
                <w:color w:val="FFFFFF"/>
                <w:sz w:val="18"/>
                <w:szCs w:val="18"/>
              </w:rPr>
              <w:t>Creations/(Redemptions) in the First Quarter of 2020</w:t>
            </w:r>
          </w:p>
          <w:p w14:paraId="40DFD9C6" w14:textId="248E41D4" w:rsidR="0042225F" w:rsidRPr="003B4F95" w:rsidRDefault="00744360" w:rsidP="005B6048">
            <w:pPr>
              <w:spacing w:before="40" w:after="40" w:line="280" w:lineRule="atLeast"/>
              <w:jc w:val="center"/>
              <w:rPr>
                <w:rFonts w:ascii="Verdana" w:hAnsi="Verdana"/>
                <w:b/>
                <w:color w:val="FFFFFF"/>
                <w:sz w:val="18"/>
                <w:szCs w:val="18"/>
              </w:rPr>
            </w:pPr>
            <w:r>
              <w:rPr>
                <w:rFonts w:ascii="Verdana" w:hAnsi="Verdana"/>
                <w:b/>
                <w:color w:val="FFFFFF"/>
                <w:sz w:val="18"/>
                <w:szCs w:val="18"/>
              </w:rPr>
              <w:t>by Issuer</w:t>
            </w:r>
          </w:p>
        </w:tc>
      </w:tr>
      <w:tr w:rsidR="00744360" w:rsidRPr="00AB6CBE" w14:paraId="44633A99" w14:textId="77777777" w:rsidTr="00972CCD">
        <w:trPr>
          <w:trHeight w:val="360"/>
        </w:trPr>
        <w:tc>
          <w:tcPr>
            <w:tcW w:w="3402" w:type="dxa"/>
            <w:shd w:val="clear" w:color="auto" w:fill="4C4C4C"/>
          </w:tcPr>
          <w:p w14:paraId="40E23C79" w14:textId="523A5598" w:rsidR="00744360" w:rsidRPr="003B4F95" w:rsidRDefault="00972CCD" w:rsidP="005B6048">
            <w:pPr>
              <w:spacing w:before="40" w:after="40" w:line="280" w:lineRule="atLeast"/>
              <w:rPr>
                <w:rFonts w:ascii="Verdana" w:hAnsi="Verdana"/>
                <w:b/>
                <w:color w:val="FFFFFF"/>
                <w:sz w:val="18"/>
                <w:szCs w:val="18"/>
              </w:rPr>
            </w:pPr>
            <w:r>
              <w:rPr>
                <w:rFonts w:ascii="Verdana" w:hAnsi="Verdana"/>
                <w:b/>
                <w:color w:val="FFFFFF"/>
                <w:sz w:val="18"/>
                <w:szCs w:val="18"/>
              </w:rPr>
              <w:t xml:space="preserve">Issuing House </w:t>
            </w:r>
            <w:r w:rsidR="00257F69">
              <w:rPr>
                <w:rFonts w:ascii="Verdana" w:hAnsi="Verdana"/>
                <w:b/>
                <w:color w:val="FFFFFF"/>
                <w:sz w:val="18"/>
                <w:szCs w:val="18"/>
              </w:rPr>
              <w:t>–</w:t>
            </w:r>
            <w:r>
              <w:rPr>
                <w:rFonts w:ascii="Verdana" w:hAnsi="Verdana"/>
                <w:b/>
                <w:color w:val="FFFFFF"/>
                <w:sz w:val="18"/>
                <w:szCs w:val="18"/>
              </w:rPr>
              <w:t xml:space="preserve"> ETFs</w:t>
            </w:r>
          </w:p>
        </w:tc>
        <w:tc>
          <w:tcPr>
            <w:tcW w:w="2410" w:type="dxa"/>
            <w:shd w:val="clear" w:color="auto" w:fill="4C4C4C"/>
            <w:vAlign w:val="center"/>
          </w:tcPr>
          <w:p w14:paraId="6E441194" w14:textId="738EF654" w:rsidR="00744360" w:rsidRPr="003B4F95" w:rsidRDefault="00972CCD" w:rsidP="005B6048">
            <w:pPr>
              <w:spacing w:before="40" w:after="40" w:line="280" w:lineRule="atLeast"/>
              <w:jc w:val="right"/>
              <w:rPr>
                <w:rFonts w:ascii="Verdana" w:hAnsi="Verdana"/>
                <w:b/>
                <w:color w:val="FFFFFF"/>
                <w:sz w:val="18"/>
                <w:szCs w:val="18"/>
              </w:rPr>
            </w:pPr>
            <w:r>
              <w:rPr>
                <w:rFonts w:ascii="Verdana" w:hAnsi="Verdana"/>
                <w:b/>
                <w:color w:val="FFFFFF"/>
                <w:sz w:val="18"/>
                <w:szCs w:val="18"/>
              </w:rPr>
              <w:t>(Rm)</w:t>
            </w:r>
          </w:p>
        </w:tc>
      </w:tr>
      <w:tr w:rsidR="00744360" w:rsidRPr="00AB6CBE" w14:paraId="10504CE8" w14:textId="77777777" w:rsidTr="00972CCD">
        <w:tc>
          <w:tcPr>
            <w:tcW w:w="3402" w:type="dxa"/>
            <w:shd w:val="clear" w:color="auto" w:fill="auto"/>
          </w:tcPr>
          <w:p w14:paraId="023840B3" w14:textId="270AAA28" w:rsidR="00744360" w:rsidRPr="003B4F95" w:rsidRDefault="00972CCD" w:rsidP="005B6048">
            <w:pPr>
              <w:spacing w:before="40" w:after="40" w:line="280" w:lineRule="atLeast"/>
              <w:rPr>
                <w:rFonts w:ascii="Verdana" w:hAnsi="Verdana"/>
                <w:color w:val="000000"/>
                <w:sz w:val="18"/>
                <w:szCs w:val="18"/>
              </w:rPr>
            </w:pPr>
            <w:r>
              <w:rPr>
                <w:rFonts w:ascii="Verdana" w:hAnsi="Verdana"/>
                <w:color w:val="000000"/>
                <w:sz w:val="18"/>
                <w:szCs w:val="18"/>
              </w:rPr>
              <w:t>1nvest</w:t>
            </w:r>
          </w:p>
        </w:tc>
        <w:tc>
          <w:tcPr>
            <w:tcW w:w="2410" w:type="dxa"/>
            <w:vAlign w:val="center"/>
          </w:tcPr>
          <w:p w14:paraId="623B198E" w14:textId="22EB3E8C" w:rsidR="00744360" w:rsidRPr="003B4F95" w:rsidRDefault="00B17F8F" w:rsidP="005B6048">
            <w:pPr>
              <w:spacing w:before="40" w:after="40" w:line="280" w:lineRule="atLeast"/>
              <w:jc w:val="right"/>
              <w:rPr>
                <w:rFonts w:ascii="Verdana" w:hAnsi="Verdana"/>
                <w:color w:val="000000"/>
                <w:sz w:val="18"/>
                <w:szCs w:val="18"/>
              </w:rPr>
            </w:pPr>
            <w:r>
              <w:rPr>
                <w:rFonts w:ascii="Verdana" w:hAnsi="Verdana"/>
                <w:color w:val="000000"/>
                <w:sz w:val="18"/>
                <w:szCs w:val="18"/>
              </w:rPr>
              <w:t>(5 481,9)</w:t>
            </w:r>
          </w:p>
        </w:tc>
      </w:tr>
      <w:tr w:rsidR="00744360" w:rsidRPr="00AB6CBE" w14:paraId="5291853B" w14:textId="77777777" w:rsidTr="00972CCD">
        <w:tc>
          <w:tcPr>
            <w:tcW w:w="3402" w:type="dxa"/>
            <w:shd w:val="clear" w:color="auto" w:fill="auto"/>
          </w:tcPr>
          <w:p w14:paraId="53D4D8A7" w14:textId="4E1086CB" w:rsidR="00744360" w:rsidRPr="003B4F95" w:rsidRDefault="00972CCD" w:rsidP="005B6048">
            <w:pPr>
              <w:spacing w:before="40" w:after="40" w:line="280" w:lineRule="atLeast"/>
              <w:rPr>
                <w:rFonts w:ascii="Verdana" w:hAnsi="Verdana"/>
                <w:color w:val="000000"/>
                <w:sz w:val="18"/>
                <w:szCs w:val="18"/>
              </w:rPr>
            </w:pPr>
            <w:r>
              <w:rPr>
                <w:rFonts w:ascii="Verdana" w:hAnsi="Verdana"/>
                <w:color w:val="000000"/>
                <w:sz w:val="18"/>
                <w:szCs w:val="18"/>
              </w:rPr>
              <w:t>Absa Capital</w:t>
            </w:r>
          </w:p>
        </w:tc>
        <w:tc>
          <w:tcPr>
            <w:tcW w:w="2410" w:type="dxa"/>
            <w:vAlign w:val="center"/>
          </w:tcPr>
          <w:p w14:paraId="19CFC3A6" w14:textId="3FF92975" w:rsidR="00744360" w:rsidRPr="003B4F95" w:rsidRDefault="00B17F8F" w:rsidP="005B6048">
            <w:pPr>
              <w:spacing w:before="40" w:after="40" w:line="280" w:lineRule="atLeast"/>
              <w:jc w:val="right"/>
              <w:rPr>
                <w:rFonts w:ascii="Verdana" w:hAnsi="Verdana"/>
                <w:color w:val="000000"/>
                <w:sz w:val="18"/>
                <w:szCs w:val="18"/>
              </w:rPr>
            </w:pPr>
            <w:r>
              <w:rPr>
                <w:rFonts w:ascii="Verdana" w:hAnsi="Verdana"/>
                <w:color w:val="000000"/>
                <w:sz w:val="18"/>
                <w:szCs w:val="18"/>
              </w:rPr>
              <w:t>(1 549,6)</w:t>
            </w:r>
          </w:p>
        </w:tc>
      </w:tr>
      <w:tr w:rsidR="00972CCD" w:rsidRPr="00AB6CBE" w14:paraId="69C2292D" w14:textId="77777777" w:rsidTr="00972CCD">
        <w:tc>
          <w:tcPr>
            <w:tcW w:w="3402" w:type="dxa"/>
            <w:shd w:val="clear" w:color="auto" w:fill="auto"/>
          </w:tcPr>
          <w:p w14:paraId="64A9024E" w14:textId="308271A1" w:rsidR="00972CCD" w:rsidRDefault="00257F69" w:rsidP="005B6048">
            <w:pPr>
              <w:spacing w:before="40" w:after="40" w:line="280" w:lineRule="atLeast"/>
              <w:rPr>
                <w:rFonts w:ascii="Verdana" w:hAnsi="Verdana"/>
                <w:color w:val="000000"/>
                <w:sz w:val="18"/>
                <w:szCs w:val="18"/>
              </w:rPr>
            </w:pPr>
            <w:r>
              <w:rPr>
                <w:rFonts w:ascii="Verdana" w:hAnsi="Verdana"/>
                <w:color w:val="000000"/>
                <w:sz w:val="18"/>
                <w:szCs w:val="18"/>
              </w:rPr>
              <w:t>Ashburton</w:t>
            </w:r>
          </w:p>
        </w:tc>
        <w:tc>
          <w:tcPr>
            <w:tcW w:w="2410" w:type="dxa"/>
            <w:vAlign w:val="center"/>
          </w:tcPr>
          <w:p w14:paraId="42CA6644" w14:textId="1E27DB9B" w:rsidR="00972CCD" w:rsidRPr="003B4F95" w:rsidRDefault="00B17F8F" w:rsidP="005B6048">
            <w:pPr>
              <w:spacing w:before="40" w:after="40" w:line="280" w:lineRule="atLeast"/>
              <w:jc w:val="right"/>
              <w:rPr>
                <w:rFonts w:ascii="Verdana" w:hAnsi="Verdana"/>
                <w:color w:val="000000"/>
                <w:sz w:val="18"/>
                <w:szCs w:val="18"/>
              </w:rPr>
            </w:pPr>
            <w:r>
              <w:rPr>
                <w:rFonts w:ascii="Verdana" w:hAnsi="Verdana"/>
                <w:color w:val="000000"/>
                <w:sz w:val="18"/>
                <w:szCs w:val="18"/>
              </w:rPr>
              <w:t>(23,3)</w:t>
            </w:r>
          </w:p>
        </w:tc>
      </w:tr>
      <w:tr w:rsidR="00972CCD" w:rsidRPr="00AB6CBE" w14:paraId="123AC6EC" w14:textId="77777777" w:rsidTr="00972CCD">
        <w:tc>
          <w:tcPr>
            <w:tcW w:w="3402" w:type="dxa"/>
            <w:shd w:val="clear" w:color="auto" w:fill="auto"/>
          </w:tcPr>
          <w:p w14:paraId="24E2DB55" w14:textId="49B8BEC0" w:rsidR="00972CCD" w:rsidRDefault="00257F69" w:rsidP="005B6048">
            <w:pPr>
              <w:spacing w:before="40" w:after="40" w:line="280" w:lineRule="atLeast"/>
              <w:rPr>
                <w:rFonts w:ascii="Verdana" w:hAnsi="Verdana"/>
                <w:color w:val="000000"/>
                <w:sz w:val="18"/>
                <w:szCs w:val="18"/>
              </w:rPr>
            </w:pPr>
            <w:r>
              <w:rPr>
                <w:rFonts w:ascii="Verdana" w:hAnsi="Verdana"/>
                <w:color w:val="000000"/>
                <w:sz w:val="18"/>
                <w:szCs w:val="18"/>
              </w:rPr>
              <w:t>Cloud Atlas</w:t>
            </w:r>
          </w:p>
        </w:tc>
        <w:tc>
          <w:tcPr>
            <w:tcW w:w="2410" w:type="dxa"/>
            <w:vAlign w:val="center"/>
          </w:tcPr>
          <w:p w14:paraId="2E050919" w14:textId="0EFBD6BA" w:rsidR="00972CCD" w:rsidRPr="003B4F95" w:rsidRDefault="00B17F8F" w:rsidP="005B6048">
            <w:pPr>
              <w:spacing w:before="40" w:after="40" w:line="280" w:lineRule="atLeast"/>
              <w:jc w:val="right"/>
              <w:rPr>
                <w:rFonts w:ascii="Verdana" w:hAnsi="Verdana"/>
                <w:color w:val="000000"/>
                <w:sz w:val="18"/>
                <w:szCs w:val="18"/>
              </w:rPr>
            </w:pPr>
            <w:r>
              <w:rPr>
                <w:rFonts w:ascii="Verdana" w:hAnsi="Verdana"/>
                <w:color w:val="000000"/>
                <w:sz w:val="18"/>
                <w:szCs w:val="18"/>
              </w:rPr>
              <w:t>0,7</w:t>
            </w:r>
          </w:p>
        </w:tc>
      </w:tr>
      <w:tr w:rsidR="00972CCD" w:rsidRPr="00AB6CBE" w14:paraId="45274FFE" w14:textId="77777777" w:rsidTr="00972CCD">
        <w:tc>
          <w:tcPr>
            <w:tcW w:w="3402" w:type="dxa"/>
            <w:shd w:val="clear" w:color="auto" w:fill="auto"/>
          </w:tcPr>
          <w:p w14:paraId="33B3C31C" w14:textId="0384A9AB" w:rsidR="00972CCD" w:rsidRDefault="00257F69" w:rsidP="005B6048">
            <w:pPr>
              <w:spacing w:before="40" w:after="40" w:line="280" w:lineRule="atLeast"/>
              <w:rPr>
                <w:rFonts w:ascii="Verdana" w:hAnsi="Verdana"/>
                <w:color w:val="000000"/>
                <w:sz w:val="18"/>
                <w:szCs w:val="18"/>
              </w:rPr>
            </w:pPr>
            <w:r>
              <w:rPr>
                <w:rFonts w:ascii="Verdana" w:hAnsi="Verdana"/>
                <w:color w:val="000000"/>
                <w:sz w:val="18"/>
                <w:szCs w:val="18"/>
              </w:rPr>
              <w:t xml:space="preserve">CoreShares </w:t>
            </w:r>
          </w:p>
        </w:tc>
        <w:tc>
          <w:tcPr>
            <w:tcW w:w="2410" w:type="dxa"/>
            <w:vAlign w:val="center"/>
          </w:tcPr>
          <w:p w14:paraId="1250E9D5" w14:textId="73E83E7A" w:rsidR="00972CCD" w:rsidRPr="003B4F95" w:rsidRDefault="00B17F8F" w:rsidP="005B6048">
            <w:pPr>
              <w:spacing w:before="40" w:after="40" w:line="280" w:lineRule="atLeast"/>
              <w:jc w:val="right"/>
              <w:rPr>
                <w:rFonts w:ascii="Verdana" w:hAnsi="Verdana"/>
                <w:color w:val="000000"/>
                <w:sz w:val="18"/>
                <w:szCs w:val="18"/>
              </w:rPr>
            </w:pPr>
            <w:r>
              <w:rPr>
                <w:rFonts w:ascii="Verdana" w:hAnsi="Verdana"/>
                <w:color w:val="000000"/>
                <w:sz w:val="18"/>
                <w:szCs w:val="18"/>
              </w:rPr>
              <w:t>176,9</w:t>
            </w:r>
          </w:p>
        </w:tc>
      </w:tr>
      <w:tr w:rsidR="00972CCD" w:rsidRPr="00AB6CBE" w14:paraId="431AF198" w14:textId="77777777" w:rsidTr="00972CCD">
        <w:tc>
          <w:tcPr>
            <w:tcW w:w="3402" w:type="dxa"/>
            <w:shd w:val="clear" w:color="auto" w:fill="auto"/>
          </w:tcPr>
          <w:p w14:paraId="24C067BA" w14:textId="2D1F6C52" w:rsidR="00972CCD" w:rsidRDefault="00257F69" w:rsidP="005B6048">
            <w:pPr>
              <w:spacing w:before="40" w:after="40" w:line="280" w:lineRule="atLeast"/>
              <w:rPr>
                <w:rFonts w:ascii="Verdana" w:hAnsi="Verdana"/>
                <w:color w:val="000000"/>
                <w:sz w:val="18"/>
                <w:szCs w:val="18"/>
              </w:rPr>
            </w:pPr>
            <w:r>
              <w:rPr>
                <w:rFonts w:ascii="Verdana" w:hAnsi="Verdana"/>
                <w:color w:val="000000"/>
                <w:sz w:val="18"/>
                <w:szCs w:val="18"/>
              </w:rPr>
              <w:t>FirstRand</w:t>
            </w:r>
          </w:p>
        </w:tc>
        <w:tc>
          <w:tcPr>
            <w:tcW w:w="2410" w:type="dxa"/>
            <w:vAlign w:val="center"/>
          </w:tcPr>
          <w:p w14:paraId="04581B46" w14:textId="55E35373" w:rsidR="00972CCD" w:rsidRPr="003B4F95" w:rsidRDefault="00B17F8F" w:rsidP="005B6048">
            <w:pPr>
              <w:spacing w:before="40" w:after="40" w:line="280" w:lineRule="atLeast"/>
              <w:jc w:val="right"/>
              <w:rPr>
                <w:rFonts w:ascii="Verdana" w:hAnsi="Verdana"/>
                <w:color w:val="000000"/>
                <w:sz w:val="18"/>
                <w:szCs w:val="18"/>
              </w:rPr>
            </w:pPr>
            <w:r>
              <w:rPr>
                <w:rFonts w:ascii="Verdana" w:hAnsi="Verdana"/>
                <w:color w:val="000000"/>
                <w:sz w:val="18"/>
                <w:szCs w:val="18"/>
              </w:rPr>
              <w:t>5,1</w:t>
            </w:r>
          </w:p>
        </w:tc>
      </w:tr>
      <w:tr w:rsidR="00D9077C" w:rsidRPr="00AB6CBE" w14:paraId="437444F8" w14:textId="77777777" w:rsidTr="00972CCD">
        <w:tc>
          <w:tcPr>
            <w:tcW w:w="3402" w:type="dxa"/>
            <w:shd w:val="clear" w:color="auto" w:fill="auto"/>
          </w:tcPr>
          <w:p w14:paraId="14076C60" w14:textId="0F9E0566" w:rsidR="00D9077C" w:rsidRDefault="00D9077C" w:rsidP="005B6048">
            <w:pPr>
              <w:spacing w:before="40" w:after="40" w:line="280" w:lineRule="atLeast"/>
              <w:rPr>
                <w:rFonts w:ascii="Verdana" w:hAnsi="Verdana"/>
                <w:color w:val="000000"/>
                <w:sz w:val="18"/>
                <w:szCs w:val="18"/>
              </w:rPr>
            </w:pPr>
            <w:r>
              <w:rPr>
                <w:rFonts w:ascii="Verdana" w:hAnsi="Verdana"/>
                <w:color w:val="000000"/>
                <w:sz w:val="18"/>
                <w:szCs w:val="18"/>
              </w:rPr>
              <w:t>Satrix</w:t>
            </w:r>
          </w:p>
        </w:tc>
        <w:tc>
          <w:tcPr>
            <w:tcW w:w="2410" w:type="dxa"/>
            <w:vAlign w:val="center"/>
          </w:tcPr>
          <w:p w14:paraId="7BD55D96" w14:textId="5C0A0B9B" w:rsidR="00D9077C" w:rsidRDefault="00D9077C" w:rsidP="005B6048">
            <w:pPr>
              <w:spacing w:before="40" w:after="40" w:line="280" w:lineRule="atLeast"/>
              <w:jc w:val="right"/>
              <w:rPr>
                <w:rFonts w:ascii="Verdana" w:hAnsi="Verdana"/>
                <w:color w:val="000000"/>
                <w:sz w:val="18"/>
                <w:szCs w:val="18"/>
              </w:rPr>
            </w:pPr>
            <w:r>
              <w:rPr>
                <w:rFonts w:ascii="Verdana" w:hAnsi="Verdana"/>
                <w:color w:val="000000"/>
                <w:sz w:val="18"/>
                <w:szCs w:val="18"/>
              </w:rPr>
              <w:t>1</w:t>
            </w:r>
            <w:r w:rsidR="0007371D">
              <w:rPr>
                <w:rFonts w:ascii="Verdana" w:hAnsi="Verdana"/>
                <w:color w:val="000000"/>
                <w:sz w:val="18"/>
                <w:szCs w:val="18"/>
              </w:rPr>
              <w:t>19,6</w:t>
            </w:r>
          </w:p>
        </w:tc>
      </w:tr>
      <w:tr w:rsidR="00D9077C" w:rsidRPr="00AB6CBE" w14:paraId="357EAA13" w14:textId="77777777" w:rsidTr="00972CCD">
        <w:tc>
          <w:tcPr>
            <w:tcW w:w="3402" w:type="dxa"/>
            <w:shd w:val="clear" w:color="auto" w:fill="auto"/>
          </w:tcPr>
          <w:p w14:paraId="581CF186" w14:textId="4884A230" w:rsidR="00D9077C" w:rsidRDefault="00D9077C" w:rsidP="005B6048">
            <w:pPr>
              <w:spacing w:before="40" w:after="40" w:line="280" w:lineRule="atLeast"/>
              <w:rPr>
                <w:rFonts w:ascii="Verdana" w:hAnsi="Verdana"/>
                <w:color w:val="000000"/>
                <w:sz w:val="18"/>
                <w:szCs w:val="18"/>
              </w:rPr>
            </w:pPr>
            <w:r>
              <w:rPr>
                <w:rFonts w:ascii="Verdana" w:hAnsi="Verdana"/>
                <w:color w:val="000000"/>
                <w:sz w:val="18"/>
                <w:szCs w:val="18"/>
              </w:rPr>
              <w:t>Sygnia Itrix</w:t>
            </w:r>
          </w:p>
        </w:tc>
        <w:tc>
          <w:tcPr>
            <w:tcW w:w="2410" w:type="dxa"/>
            <w:vAlign w:val="center"/>
          </w:tcPr>
          <w:p w14:paraId="696A7E5D" w14:textId="17C85829" w:rsidR="00D9077C" w:rsidRDefault="00D9077C" w:rsidP="005B6048">
            <w:pPr>
              <w:spacing w:before="40" w:after="40" w:line="280" w:lineRule="atLeast"/>
              <w:jc w:val="right"/>
              <w:rPr>
                <w:rFonts w:ascii="Verdana" w:hAnsi="Verdana"/>
                <w:color w:val="000000"/>
                <w:sz w:val="18"/>
                <w:szCs w:val="18"/>
              </w:rPr>
            </w:pPr>
            <w:r>
              <w:rPr>
                <w:rFonts w:ascii="Verdana" w:hAnsi="Verdana"/>
                <w:color w:val="000000"/>
                <w:sz w:val="18"/>
                <w:szCs w:val="18"/>
              </w:rPr>
              <w:t>387,6</w:t>
            </w:r>
          </w:p>
        </w:tc>
      </w:tr>
      <w:tr w:rsidR="006D3B08" w:rsidRPr="003B4F95" w14:paraId="66EC1767" w14:textId="77777777" w:rsidTr="00AC2281">
        <w:trPr>
          <w:trHeight w:val="360"/>
        </w:trPr>
        <w:tc>
          <w:tcPr>
            <w:tcW w:w="3402" w:type="dxa"/>
            <w:shd w:val="clear" w:color="auto" w:fill="4C4C4C"/>
          </w:tcPr>
          <w:p w14:paraId="2F6D39A3" w14:textId="0A310E45" w:rsidR="006D3B08" w:rsidRPr="003B4F95" w:rsidRDefault="006D3B08" w:rsidP="00AC2281">
            <w:pPr>
              <w:spacing w:before="40" w:after="40" w:line="280" w:lineRule="atLeast"/>
              <w:rPr>
                <w:rFonts w:ascii="Verdana" w:hAnsi="Verdana"/>
                <w:b/>
                <w:color w:val="FFFFFF"/>
                <w:sz w:val="18"/>
                <w:szCs w:val="18"/>
              </w:rPr>
            </w:pPr>
            <w:r>
              <w:rPr>
                <w:rFonts w:ascii="Verdana" w:hAnsi="Verdana"/>
                <w:b/>
                <w:color w:val="FFFFFF"/>
                <w:sz w:val="18"/>
                <w:szCs w:val="18"/>
              </w:rPr>
              <w:t>Issuing House – ET</w:t>
            </w:r>
            <w:r w:rsidR="00D9077C">
              <w:rPr>
                <w:rFonts w:ascii="Verdana" w:hAnsi="Verdana"/>
                <w:b/>
                <w:color w:val="FFFFFF"/>
                <w:sz w:val="18"/>
                <w:szCs w:val="18"/>
              </w:rPr>
              <w:t>N</w:t>
            </w:r>
            <w:r>
              <w:rPr>
                <w:rFonts w:ascii="Verdana" w:hAnsi="Verdana"/>
                <w:b/>
                <w:color w:val="FFFFFF"/>
                <w:sz w:val="18"/>
                <w:szCs w:val="18"/>
              </w:rPr>
              <w:t>s</w:t>
            </w:r>
          </w:p>
        </w:tc>
        <w:tc>
          <w:tcPr>
            <w:tcW w:w="2410" w:type="dxa"/>
            <w:shd w:val="clear" w:color="auto" w:fill="4C4C4C"/>
            <w:vAlign w:val="center"/>
          </w:tcPr>
          <w:p w14:paraId="0C48FBAF" w14:textId="06791FB4" w:rsidR="006D3B08" w:rsidRPr="003B4F95" w:rsidRDefault="006D3B08" w:rsidP="00AC2281">
            <w:pPr>
              <w:spacing w:before="40" w:after="40" w:line="280" w:lineRule="atLeast"/>
              <w:jc w:val="right"/>
              <w:rPr>
                <w:rFonts w:ascii="Verdana" w:hAnsi="Verdana"/>
                <w:b/>
                <w:color w:val="FFFFFF"/>
                <w:sz w:val="18"/>
                <w:szCs w:val="18"/>
              </w:rPr>
            </w:pPr>
          </w:p>
        </w:tc>
      </w:tr>
      <w:tr w:rsidR="006D3B08" w:rsidRPr="003B4F95" w14:paraId="3CEF8348" w14:textId="77777777" w:rsidTr="00AC2281">
        <w:tc>
          <w:tcPr>
            <w:tcW w:w="3402" w:type="dxa"/>
            <w:shd w:val="clear" w:color="auto" w:fill="auto"/>
          </w:tcPr>
          <w:p w14:paraId="0A4AB86B" w14:textId="24EA1B06" w:rsidR="006D3B08" w:rsidRPr="003B4F95" w:rsidRDefault="00975BA8" w:rsidP="00AC2281">
            <w:pPr>
              <w:spacing w:before="40" w:after="40" w:line="280" w:lineRule="atLeast"/>
              <w:rPr>
                <w:rFonts w:ascii="Verdana" w:hAnsi="Verdana"/>
                <w:color w:val="000000"/>
                <w:sz w:val="18"/>
                <w:szCs w:val="18"/>
              </w:rPr>
            </w:pPr>
            <w:r>
              <w:rPr>
                <w:rFonts w:ascii="Verdana" w:hAnsi="Verdana"/>
                <w:color w:val="000000"/>
                <w:sz w:val="18"/>
                <w:szCs w:val="18"/>
              </w:rPr>
              <w:t>Absa Capital</w:t>
            </w:r>
          </w:p>
        </w:tc>
        <w:tc>
          <w:tcPr>
            <w:tcW w:w="2410" w:type="dxa"/>
            <w:vAlign w:val="center"/>
          </w:tcPr>
          <w:p w14:paraId="6F9186DB" w14:textId="4DDC7FC9" w:rsidR="006D3B08" w:rsidRPr="003B4F95" w:rsidRDefault="00975BA8" w:rsidP="00AC2281">
            <w:pPr>
              <w:spacing w:before="40" w:after="40" w:line="280" w:lineRule="atLeast"/>
              <w:jc w:val="right"/>
              <w:rPr>
                <w:rFonts w:ascii="Verdana" w:hAnsi="Verdana"/>
                <w:color w:val="000000"/>
                <w:sz w:val="18"/>
                <w:szCs w:val="18"/>
              </w:rPr>
            </w:pPr>
            <w:r>
              <w:rPr>
                <w:rFonts w:ascii="Verdana" w:hAnsi="Verdana"/>
                <w:color w:val="000000"/>
                <w:sz w:val="18"/>
                <w:szCs w:val="18"/>
              </w:rPr>
              <w:t>47,0</w:t>
            </w:r>
          </w:p>
        </w:tc>
      </w:tr>
      <w:tr w:rsidR="00975BA8" w:rsidRPr="003B4F95" w14:paraId="7CB9F1F2" w14:textId="77777777" w:rsidTr="00AC2281">
        <w:tc>
          <w:tcPr>
            <w:tcW w:w="3402" w:type="dxa"/>
            <w:shd w:val="clear" w:color="auto" w:fill="auto"/>
          </w:tcPr>
          <w:p w14:paraId="1A5E0167" w14:textId="1A4709DE" w:rsidR="00975BA8" w:rsidRPr="003B4F95" w:rsidRDefault="009D2502" w:rsidP="00AC2281">
            <w:pPr>
              <w:spacing w:before="40" w:after="40" w:line="280" w:lineRule="atLeast"/>
              <w:rPr>
                <w:rFonts w:ascii="Verdana" w:hAnsi="Verdana"/>
                <w:color w:val="000000"/>
                <w:sz w:val="18"/>
                <w:szCs w:val="18"/>
              </w:rPr>
            </w:pPr>
            <w:r>
              <w:rPr>
                <w:rFonts w:ascii="Verdana" w:hAnsi="Verdana"/>
                <w:color w:val="000000"/>
                <w:sz w:val="18"/>
                <w:szCs w:val="18"/>
              </w:rPr>
              <w:t>Deutsche Bank</w:t>
            </w:r>
          </w:p>
        </w:tc>
        <w:tc>
          <w:tcPr>
            <w:tcW w:w="2410" w:type="dxa"/>
            <w:vAlign w:val="center"/>
          </w:tcPr>
          <w:p w14:paraId="23688B6F" w14:textId="2081797D" w:rsidR="00975BA8" w:rsidRPr="003B4F95" w:rsidRDefault="009D2502" w:rsidP="00AC2281">
            <w:pPr>
              <w:spacing w:before="40" w:after="40" w:line="280" w:lineRule="atLeast"/>
              <w:jc w:val="right"/>
              <w:rPr>
                <w:rFonts w:ascii="Verdana" w:hAnsi="Verdana"/>
                <w:color w:val="000000"/>
                <w:sz w:val="18"/>
                <w:szCs w:val="18"/>
              </w:rPr>
            </w:pPr>
            <w:r>
              <w:rPr>
                <w:rFonts w:ascii="Verdana" w:hAnsi="Verdana"/>
                <w:color w:val="000000"/>
                <w:sz w:val="18"/>
                <w:szCs w:val="18"/>
              </w:rPr>
              <w:t>(5 672,2)</w:t>
            </w:r>
          </w:p>
        </w:tc>
      </w:tr>
      <w:tr w:rsidR="00975BA8" w:rsidRPr="003B4F95" w14:paraId="04B27DAD" w14:textId="77777777" w:rsidTr="00AC2281">
        <w:tc>
          <w:tcPr>
            <w:tcW w:w="3402" w:type="dxa"/>
            <w:shd w:val="clear" w:color="auto" w:fill="auto"/>
          </w:tcPr>
          <w:p w14:paraId="77FE4A59" w14:textId="34BAFC7A" w:rsidR="00975BA8" w:rsidRPr="003B4F95" w:rsidRDefault="009D2502" w:rsidP="00AC2281">
            <w:pPr>
              <w:spacing w:before="40" w:after="40" w:line="280" w:lineRule="atLeast"/>
              <w:rPr>
                <w:rFonts w:ascii="Verdana" w:hAnsi="Verdana"/>
                <w:color w:val="000000"/>
                <w:sz w:val="18"/>
                <w:szCs w:val="18"/>
              </w:rPr>
            </w:pPr>
            <w:r>
              <w:rPr>
                <w:rFonts w:ascii="Verdana" w:hAnsi="Verdana"/>
                <w:color w:val="000000"/>
                <w:sz w:val="18"/>
                <w:szCs w:val="18"/>
              </w:rPr>
              <w:t>Union Bank of Switzerland</w:t>
            </w:r>
          </w:p>
        </w:tc>
        <w:tc>
          <w:tcPr>
            <w:tcW w:w="2410" w:type="dxa"/>
            <w:vAlign w:val="center"/>
          </w:tcPr>
          <w:p w14:paraId="7177317D" w14:textId="4E2812D5" w:rsidR="00975BA8" w:rsidRPr="003B4F95" w:rsidRDefault="009D2502" w:rsidP="00AC2281">
            <w:pPr>
              <w:spacing w:before="40" w:after="40" w:line="280" w:lineRule="atLeast"/>
              <w:jc w:val="right"/>
              <w:rPr>
                <w:rFonts w:ascii="Verdana" w:hAnsi="Verdana"/>
                <w:color w:val="000000"/>
                <w:sz w:val="18"/>
                <w:szCs w:val="18"/>
              </w:rPr>
            </w:pPr>
            <w:r>
              <w:rPr>
                <w:rFonts w:ascii="Verdana" w:hAnsi="Verdana"/>
                <w:color w:val="000000"/>
                <w:sz w:val="18"/>
                <w:szCs w:val="18"/>
              </w:rPr>
              <w:t>800,00</w:t>
            </w:r>
          </w:p>
        </w:tc>
      </w:tr>
      <w:tr w:rsidR="006D3B08" w:rsidRPr="003B4F95" w14:paraId="0BF39FB9" w14:textId="77777777" w:rsidTr="00AC2281">
        <w:tc>
          <w:tcPr>
            <w:tcW w:w="3402" w:type="dxa"/>
            <w:shd w:val="clear" w:color="auto" w:fill="auto"/>
          </w:tcPr>
          <w:p w14:paraId="4B8C4795" w14:textId="1242C60A" w:rsidR="006D3B08" w:rsidRPr="00FF19E6" w:rsidRDefault="00FF19E6" w:rsidP="00AC2281">
            <w:pPr>
              <w:spacing w:before="40" w:after="40" w:line="280" w:lineRule="atLeast"/>
              <w:rPr>
                <w:rFonts w:ascii="Verdana" w:hAnsi="Verdana"/>
                <w:b/>
                <w:bCs/>
                <w:color w:val="000000"/>
                <w:sz w:val="18"/>
                <w:szCs w:val="18"/>
              </w:rPr>
            </w:pPr>
            <w:r>
              <w:rPr>
                <w:rFonts w:ascii="Verdana" w:hAnsi="Verdana"/>
                <w:b/>
                <w:bCs/>
                <w:color w:val="000000"/>
                <w:sz w:val="18"/>
                <w:szCs w:val="18"/>
              </w:rPr>
              <w:t>Total</w:t>
            </w:r>
          </w:p>
        </w:tc>
        <w:tc>
          <w:tcPr>
            <w:tcW w:w="2410" w:type="dxa"/>
            <w:vAlign w:val="center"/>
          </w:tcPr>
          <w:p w14:paraId="5FA30495" w14:textId="358EE5D2" w:rsidR="006D3B08" w:rsidRPr="00FF19E6" w:rsidRDefault="0007371D" w:rsidP="00AC2281">
            <w:pPr>
              <w:spacing w:before="40" w:after="40" w:line="280" w:lineRule="atLeast"/>
              <w:jc w:val="right"/>
              <w:rPr>
                <w:rFonts w:ascii="Verdana" w:hAnsi="Verdana"/>
                <w:b/>
                <w:bCs/>
                <w:color w:val="000000"/>
                <w:sz w:val="18"/>
                <w:szCs w:val="18"/>
              </w:rPr>
            </w:pPr>
            <w:r>
              <w:rPr>
                <w:rFonts w:ascii="Verdana" w:hAnsi="Verdana"/>
                <w:b/>
                <w:bCs/>
                <w:color w:val="000000"/>
                <w:sz w:val="18"/>
                <w:szCs w:val="18"/>
              </w:rPr>
              <w:t>(</w:t>
            </w:r>
            <w:r w:rsidR="00FF19E6" w:rsidRPr="00FF19E6">
              <w:rPr>
                <w:rFonts w:ascii="Verdana" w:hAnsi="Verdana"/>
                <w:b/>
                <w:bCs/>
                <w:color w:val="000000"/>
                <w:sz w:val="18"/>
                <w:szCs w:val="18"/>
              </w:rPr>
              <w:t>11 190,1</w:t>
            </w:r>
            <w:r>
              <w:rPr>
                <w:rFonts w:ascii="Verdana" w:hAnsi="Verdana"/>
                <w:b/>
                <w:bCs/>
                <w:color w:val="000000"/>
                <w:sz w:val="18"/>
                <w:szCs w:val="18"/>
              </w:rPr>
              <w:t>)</w:t>
            </w:r>
          </w:p>
        </w:tc>
      </w:tr>
    </w:tbl>
    <w:p w14:paraId="7A0032EC" w14:textId="74AE72CE" w:rsidR="00975BA8" w:rsidRDefault="00975BA8" w:rsidP="002A024C">
      <w:pPr>
        <w:spacing w:after="0" w:line="340" w:lineRule="atLeast"/>
        <w:rPr>
          <w:rFonts w:ascii="Verdana" w:hAnsi="Verdana"/>
          <w:color w:val="000000"/>
          <w:sz w:val="21"/>
          <w:szCs w:val="21"/>
        </w:rPr>
      </w:pPr>
    </w:p>
    <w:tbl>
      <w:tblPr>
        <w:tblW w:w="581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410"/>
      </w:tblGrid>
      <w:tr w:rsidR="00975BA8" w:rsidRPr="003B4F95" w14:paraId="446AEAD7" w14:textId="77777777" w:rsidTr="00AC2281">
        <w:tc>
          <w:tcPr>
            <w:tcW w:w="3402" w:type="dxa"/>
            <w:shd w:val="clear" w:color="auto" w:fill="auto"/>
          </w:tcPr>
          <w:p w14:paraId="2D2B8226" w14:textId="739397F4" w:rsidR="00975BA8" w:rsidRPr="00FF19E6" w:rsidRDefault="00FF19E6" w:rsidP="00AC2281">
            <w:pPr>
              <w:spacing w:before="40" w:after="40" w:line="280" w:lineRule="atLeast"/>
              <w:rPr>
                <w:rFonts w:ascii="Verdana" w:hAnsi="Verdana"/>
                <w:b/>
                <w:bCs/>
                <w:color w:val="000000"/>
                <w:sz w:val="18"/>
                <w:szCs w:val="18"/>
              </w:rPr>
            </w:pPr>
            <w:r>
              <w:rPr>
                <w:rFonts w:ascii="Verdana" w:hAnsi="Verdana"/>
                <w:b/>
                <w:bCs/>
                <w:color w:val="000000"/>
                <w:sz w:val="18"/>
                <w:szCs w:val="18"/>
              </w:rPr>
              <w:t>ETFs</w:t>
            </w:r>
          </w:p>
        </w:tc>
        <w:tc>
          <w:tcPr>
            <w:tcW w:w="2410" w:type="dxa"/>
            <w:vAlign w:val="center"/>
          </w:tcPr>
          <w:p w14:paraId="792CBD66" w14:textId="08708F54" w:rsidR="00975BA8" w:rsidRPr="00FF19E6" w:rsidRDefault="00D250C6" w:rsidP="00AC2281">
            <w:pPr>
              <w:spacing w:before="40" w:after="40" w:line="280" w:lineRule="atLeast"/>
              <w:jc w:val="right"/>
              <w:rPr>
                <w:rFonts w:ascii="Verdana" w:hAnsi="Verdana"/>
                <w:b/>
                <w:bCs/>
                <w:color w:val="000000"/>
                <w:sz w:val="18"/>
                <w:szCs w:val="18"/>
              </w:rPr>
            </w:pPr>
            <w:r>
              <w:rPr>
                <w:rFonts w:ascii="Verdana" w:hAnsi="Verdana"/>
                <w:b/>
                <w:bCs/>
                <w:color w:val="000000"/>
                <w:sz w:val="18"/>
                <w:szCs w:val="18"/>
              </w:rPr>
              <w:t>(6 364,9)</w:t>
            </w:r>
          </w:p>
        </w:tc>
      </w:tr>
      <w:tr w:rsidR="00975BA8" w:rsidRPr="003B4F95" w14:paraId="376A82D1" w14:textId="77777777" w:rsidTr="00AC2281">
        <w:tc>
          <w:tcPr>
            <w:tcW w:w="3402" w:type="dxa"/>
            <w:shd w:val="clear" w:color="auto" w:fill="auto"/>
          </w:tcPr>
          <w:p w14:paraId="54C00C73" w14:textId="76DA64EB" w:rsidR="00975BA8" w:rsidRPr="00FF19E6" w:rsidRDefault="00FF19E6" w:rsidP="00AC2281">
            <w:pPr>
              <w:spacing w:before="40" w:after="40" w:line="280" w:lineRule="atLeast"/>
              <w:rPr>
                <w:rFonts w:ascii="Verdana" w:hAnsi="Verdana"/>
                <w:b/>
                <w:bCs/>
                <w:color w:val="000000"/>
                <w:sz w:val="18"/>
                <w:szCs w:val="18"/>
              </w:rPr>
            </w:pPr>
            <w:r>
              <w:rPr>
                <w:rFonts w:ascii="Verdana" w:hAnsi="Verdana"/>
                <w:b/>
                <w:bCs/>
                <w:color w:val="000000"/>
                <w:sz w:val="18"/>
                <w:szCs w:val="18"/>
              </w:rPr>
              <w:t>ETNs</w:t>
            </w:r>
          </w:p>
        </w:tc>
        <w:tc>
          <w:tcPr>
            <w:tcW w:w="2410" w:type="dxa"/>
            <w:vAlign w:val="center"/>
          </w:tcPr>
          <w:p w14:paraId="66AA8984" w14:textId="2D337747" w:rsidR="00975BA8" w:rsidRPr="00FF19E6" w:rsidRDefault="00D250C6" w:rsidP="00AC2281">
            <w:pPr>
              <w:spacing w:before="40" w:after="40" w:line="280" w:lineRule="atLeast"/>
              <w:jc w:val="right"/>
              <w:rPr>
                <w:rFonts w:ascii="Verdana" w:hAnsi="Verdana"/>
                <w:b/>
                <w:bCs/>
                <w:color w:val="000000"/>
                <w:sz w:val="18"/>
                <w:szCs w:val="18"/>
              </w:rPr>
            </w:pPr>
            <w:r>
              <w:rPr>
                <w:rFonts w:ascii="Verdana" w:hAnsi="Verdana"/>
                <w:b/>
                <w:bCs/>
                <w:color w:val="000000"/>
                <w:sz w:val="18"/>
                <w:szCs w:val="18"/>
              </w:rPr>
              <w:t>(4 825,2)</w:t>
            </w:r>
          </w:p>
        </w:tc>
      </w:tr>
      <w:tr w:rsidR="00D250C6" w:rsidRPr="003B4F95" w14:paraId="7F769174" w14:textId="77777777" w:rsidTr="00D250C6">
        <w:tc>
          <w:tcPr>
            <w:tcW w:w="5812" w:type="dxa"/>
            <w:gridSpan w:val="2"/>
            <w:shd w:val="clear" w:color="auto" w:fill="auto"/>
            <w:vAlign w:val="center"/>
          </w:tcPr>
          <w:p w14:paraId="64F0A854" w14:textId="73189425" w:rsidR="00D250C6" w:rsidRPr="00D250C6" w:rsidRDefault="00D250C6" w:rsidP="00D250C6">
            <w:pPr>
              <w:spacing w:before="40" w:after="40" w:line="280" w:lineRule="atLeast"/>
              <w:rPr>
                <w:rFonts w:ascii="Verdana" w:hAnsi="Verdana"/>
                <w:i/>
                <w:iCs/>
                <w:color w:val="000000"/>
                <w:sz w:val="16"/>
                <w:szCs w:val="16"/>
              </w:rPr>
            </w:pPr>
            <w:r>
              <w:rPr>
                <w:rFonts w:ascii="Verdana" w:hAnsi="Verdana"/>
                <w:i/>
                <w:iCs/>
                <w:color w:val="000000"/>
                <w:sz w:val="16"/>
                <w:szCs w:val="16"/>
              </w:rPr>
              <w:t xml:space="preserve">Source: </w:t>
            </w:r>
            <w:r w:rsidR="00E35FA2">
              <w:rPr>
                <w:rFonts w:ascii="Verdana" w:hAnsi="Verdana"/>
                <w:i/>
                <w:iCs/>
                <w:color w:val="000000"/>
                <w:sz w:val="16"/>
                <w:szCs w:val="16"/>
              </w:rPr>
              <w:t>etfSA.co.za Quarterly Securities in Issue and Capital Raised/Redeemed Survey – March 2020.</w:t>
            </w:r>
          </w:p>
        </w:tc>
      </w:tr>
    </w:tbl>
    <w:p w14:paraId="2E564C8C" w14:textId="1E873DA9" w:rsidR="00D040F4" w:rsidRDefault="00D040F4" w:rsidP="002A024C">
      <w:pPr>
        <w:spacing w:after="0" w:line="340" w:lineRule="atLeast"/>
        <w:rPr>
          <w:rFonts w:ascii="Verdana" w:hAnsi="Verdana"/>
          <w:color w:val="000000"/>
          <w:sz w:val="21"/>
          <w:szCs w:val="21"/>
        </w:rPr>
      </w:pPr>
    </w:p>
    <w:p w14:paraId="558478C0" w14:textId="2A22E875" w:rsidR="00BE58F6" w:rsidRDefault="001E36F8" w:rsidP="00BA7F27">
      <w:pPr>
        <w:spacing w:after="0" w:line="320" w:lineRule="atLeast"/>
        <w:rPr>
          <w:rFonts w:ascii="Verdana" w:hAnsi="Verdana"/>
          <w:color w:val="000000"/>
          <w:sz w:val="21"/>
          <w:szCs w:val="21"/>
        </w:rPr>
      </w:pPr>
      <w:r>
        <w:rPr>
          <w:rFonts w:ascii="Verdana" w:hAnsi="Verdana"/>
          <w:b/>
          <w:bCs/>
          <w:color w:val="000000"/>
          <w:sz w:val="21"/>
          <w:szCs w:val="21"/>
        </w:rPr>
        <w:t>1nvest</w:t>
      </w:r>
      <w:r>
        <w:rPr>
          <w:rFonts w:ascii="Verdana" w:hAnsi="Verdana"/>
          <w:color w:val="000000"/>
          <w:sz w:val="21"/>
          <w:szCs w:val="21"/>
        </w:rPr>
        <w:t xml:space="preserve"> – which is the new brand for the </w:t>
      </w:r>
      <w:r w:rsidR="0018165B">
        <w:rPr>
          <w:rFonts w:ascii="Verdana" w:hAnsi="Verdana"/>
          <w:color w:val="000000"/>
          <w:sz w:val="21"/>
          <w:szCs w:val="21"/>
        </w:rPr>
        <w:t>merged Standard Bank and Standard Liberty ETF business, had to process significant reductions in the shares in issue</w:t>
      </w:r>
      <w:r w:rsidR="00251098">
        <w:rPr>
          <w:rFonts w:ascii="Verdana" w:hAnsi="Verdana"/>
          <w:color w:val="000000"/>
          <w:sz w:val="21"/>
          <w:szCs w:val="21"/>
        </w:rPr>
        <w:t>,</w:t>
      </w:r>
      <w:r w:rsidR="00B81DF4">
        <w:rPr>
          <w:rFonts w:ascii="Verdana" w:hAnsi="Verdana"/>
          <w:color w:val="000000"/>
          <w:sz w:val="21"/>
          <w:szCs w:val="21"/>
        </w:rPr>
        <w:t xml:space="preserve"> during the first quarter</w:t>
      </w:r>
      <w:r w:rsidR="00251098">
        <w:rPr>
          <w:rFonts w:ascii="Verdana" w:hAnsi="Verdana"/>
          <w:color w:val="000000"/>
          <w:sz w:val="21"/>
          <w:szCs w:val="21"/>
        </w:rPr>
        <w:t>,</w:t>
      </w:r>
      <w:r w:rsidR="0018165B">
        <w:rPr>
          <w:rFonts w:ascii="Verdana" w:hAnsi="Verdana"/>
          <w:color w:val="000000"/>
          <w:sz w:val="21"/>
          <w:szCs w:val="21"/>
        </w:rPr>
        <w:t xml:space="preserve"> for its Africa Palladium ETF (R</w:t>
      </w:r>
      <w:r w:rsidR="00CB421E">
        <w:rPr>
          <w:rFonts w:ascii="Verdana" w:hAnsi="Verdana"/>
          <w:color w:val="000000"/>
          <w:sz w:val="21"/>
          <w:szCs w:val="21"/>
        </w:rPr>
        <w:t>4 488,3 million).  There were also sizeable redemptions in the 1nvest Rhodium ETF (R631,4 million) and the Platinum ETF (R1</w:t>
      </w:r>
      <w:r w:rsidR="00BE58F6">
        <w:rPr>
          <w:rFonts w:ascii="Verdana" w:hAnsi="Verdana"/>
          <w:color w:val="000000"/>
          <w:sz w:val="21"/>
          <w:szCs w:val="21"/>
        </w:rPr>
        <w:t xml:space="preserve">64,5 million).  </w:t>
      </w:r>
    </w:p>
    <w:p w14:paraId="1FD854A4" w14:textId="77777777" w:rsidR="00BE58F6" w:rsidRDefault="00BE58F6" w:rsidP="00BA7F27">
      <w:pPr>
        <w:spacing w:after="0" w:line="320" w:lineRule="atLeast"/>
        <w:rPr>
          <w:rFonts w:ascii="Verdana" w:hAnsi="Verdana"/>
          <w:color w:val="000000"/>
          <w:sz w:val="21"/>
          <w:szCs w:val="21"/>
        </w:rPr>
      </w:pPr>
    </w:p>
    <w:p w14:paraId="4555442D" w14:textId="6BC55B9D" w:rsidR="001113EA" w:rsidRDefault="00BE58F6" w:rsidP="00BA7F27">
      <w:pPr>
        <w:spacing w:after="0" w:line="320" w:lineRule="atLeast"/>
        <w:rPr>
          <w:rFonts w:ascii="Verdana" w:hAnsi="Verdana"/>
          <w:color w:val="000000"/>
          <w:sz w:val="21"/>
          <w:szCs w:val="21"/>
        </w:rPr>
      </w:pPr>
      <w:r>
        <w:rPr>
          <w:rFonts w:ascii="Verdana" w:hAnsi="Verdana"/>
          <w:color w:val="000000"/>
          <w:sz w:val="21"/>
          <w:szCs w:val="21"/>
        </w:rPr>
        <w:t>These redemptions might have been d</w:t>
      </w:r>
      <w:r w:rsidR="008C75B2">
        <w:rPr>
          <w:rFonts w:ascii="Verdana" w:hAnsi="Verdana"/>
          <w:color w:val="000000"/>
          <w:sz w:val="21"/>
          <w:szCs w:val="21"/>
        </w:rPr>
        <w:t>u</w:t>
      </w:r>
      <w:r>
        <w:rPr>
          <w:rFonts w:ascii="Verdana" w:hAnsi="Verdana"/>
          <w:color w:val="000000"/>
          <w:sz w:val="21"/>
          <w:szCs w:val="21"/>
        </w:rPr>
        <w:t>e to profit</w:t>
      </w:r>
      <w:r w:rsidR="008C75B2">
        <w:rPr>
          <w:rFonts w:ascii="Verdana" w:hAnsi="Verdana"/>
          <w:color w:val="000000"/>
          <w:sz w:val="21"/>
          <w:szCs w:val="21"/>
        </w:rPr>
        <w:t>-taking by certain inst</w:t>
      </w:r>
      <w:r w:rsidR="005B62B4">
        <w:rPr>
          <w:rFonts w:ascii="Verdana" w:hAnsi="Verdana"/>
          <w:color w:val="000000"/>
          <w:sz w:val="21"/>
          <w:szCs w:val="21"/>
        </w:rPr>
        <w:t>it</w:t>
      </w:r>
      <w:r w:rsidR="008C75B2">
        <w:rPr>
          <w:rFonts w:ascii="Verdana" w:hAnsi="Verdana"/>
          <w:color w:val="000000"/>
          <w:sz w:val="21"/>
          <w:szCs w:val="21"/>
        </w:rPr>
        <w:t>utional holders of such PGM ETFs to offset losses elsewhere</w:t>
      </w:r>
      <w:r w:rsidR="00251098">
        <w:rPr>
          <w:rFonts w:ascii="Verdana" w:hAnsi="Verdana"/>
          <w:color w:val="000000"/>
          <w:sz w:val="21"/>
          <w:szCs w:val="21"/>
        </w:rPr>
        <w:t>.</w:t>
      </w:r>
      <w:r w:rsidR="008C75B2">
        <w:rPr>
          <w:rFonts w:ascii="Verdana" w:hAnsi="Verdana"/>
          <w:color w:val="000000"/>
          <w:sz w:val="21"/>
          <w:szCs w:val="21"/>
        </w:rPr>
        <w:t xml:space="preserve">  There </w:t>
      </w:r>
      <w:r w:rsidR="00251098">
        <w:rPr>
          <w:rFonts w:ascii="Verdana" w:hAnsi="Verdana"/>
          <w:color w:val="000000"/>
          <w:sz w:val="21"/>
          <w:szCs w:val="21"/>
        </w:rPr>
        <w:t>were</w:t>
      </w:r>
      <w:r w:rsidR="008C75B2">
        <w:rPr>
          <w:rFonts w:ascii="Verdana" w:hAnsi="Verdana"/>
          <w:color w:val="000000"/>
          <w:sz w:val="21"/>
          <w:szCs w:val="21"/>
        </w:rPr>
        <w:t xml:space="preserve"> also some </w:t>
      </w:r>
      <w:r w:rsidR="005B62B4">
        <w:rPr>
          <w:rFonts w:ascii="Verdana" w:hAnsi="Verdana"/>
          <w:color w:val="000000"/>
          <w:sz w:val="21"/>
          <w:szCs w:val="21"/>
        </w:rPr>
        <w:t xml:space="preserve">reports that </w:t>
      </w:r>
      <w:r w:rsidR="00A167E1">
        <w:rPr>
          <w:rFonts w:ascii="Verdana" w:hAnsi="Verdana"/>
          <w:color w:val="000000"/>
          <w:sz w:val="21"/>
          <w:szCs w:val="21"/>
        </w:rPr>
        <w:t xml:space="preserve">such </w:t>
      </w:r>
      <w:r w:rsidR="005B62B4">
        <w:rPr>
          <w:rFonts w:ascii="Verdana" w:hAnsi="Verdana"/>
          <w:color w:val="000000"/>
          <w:sz w:val="21"/>
          <w:szCs w:val="21"/>
        </w:rPr>
        <w:t xml:space="preserve">redemptions were the function </w:t>
      </w:r>
      <w:r w:rsidR="00EB416B">
        <w:rPr>
          <w:rFonts w:ascii="Verdana" w:hAnsi="Verdana"/>
          <w:color w:val="000000"/>
          <w:sz w:val="21"/>
          <w:szCs w:val="21"/>
        </w:rPr>
        <w:t>of certain investors mak</w:t>
      </w:r>
      <w:r w:rsidR="0049405F">
        <w:rPr>
          <w:rFonts w:ascii="Verdana" w:hAnsi="Verdana"/>
          <w:color w:val="000000"/>
          <w:sz w:val="21"/>
          <w:szCs w:val="21"/>
        </w:rPr>
        <w:t xml:space="preserve">ing delivery against positions held in derivative markets.  </w:t>
      </w:r>
    </w:p>
    <w:p w14:paraId="1462786F" w14:textId="20B30076" w:rsidR="0049405F" w:rsidRDefault="0049405F" w:rsidP="00BA7F27">
      <w:pPr>
        <w:spacing w:after="0" w:line="320" w:lineRule="atLeast"/>
        <w:rPr>
          <w:rFonts w:ascii="Verdana" w:hAnsi="Verdana"/>
          <w:color w:val="000000"/>
          <w:sz w:val="21"/>
          <w:szCs w:val="21"/>
        </w:rPr>
      </w:pPr>
    </w:p>
    <w:p w14:paraId="0E2562F2" w14:textId="6AB31152" w:rsidR="0049405F" w:rsidRDefault="0049405F" w:rsidP="00E06C77">
      <w:pPr>
        <w:spacing w:after="0" w:line="320" w:lineRule="atLeast"/>
        <w:rPr>
          <w:rFonts w:ascii="Verdana" w:hAnsi="Verdana"/>
          <w:color w:val="000000"/>
          <w:sz w:val="21"/>
          <w:szCs w:val="21"/>
        </w:rPr>
      </w:pPr>
      <w:r>
        <w:rPr>
          <w:rFonts w:ascii="Verdana" w:hAnsi="Verdana"/>
          <w:b/>
          <w:bCs/>
          <w:color w:val="000000"/>
          <w:sz w:val="21"/>
          <w:szCs w:val="21"/>
        </w:rPr>
        <w:t>Absa Capital</w:t>
      </w:r>
      <w:r>
        <w:rPr>
          <w:rFonts w:ascii="Verdana" w:hAnsi="Verdana"/>
          <w:color w:val="000000"/>
          <w:sz w:val="21"/>
          <w:szCs w:val="21"/>
        </w:rPr>
        <w:t xml:space="preserve"> – also redeemed a sign</w:t>
      </w:r>
      <w:r w:rsidR="00322BD7">
        <w:rPr>
          <w:rFonts w:ascii="Verdana" w:hAnsi="Verdana"/>
          <w:color w:val="000000"/>
          <w:sz w:val="21"/>
          <w:szCs w:val="21"/>
        </w:rPr>
        <w:t xml:space="preserve">ificant number of securities during the quarter for </w:t>
      </w:r>
      <w:r w:rsidR="00C74DB9">
        <w:rPr>
          <w:rFonts w:ascii="Verdana" w:hAnsi="Verdana"/>
          <w:color w:val="000000"/>
          <w:sz w:val="21"/>
          <w:szCs w:val="21"/>
        </w:rPr>
        <w:t xml:space="preserve">its </w:t>
      </w:r>
      <w:r w:rsidR="00322BD7">
        <w:rPr>
          <w:rFonts w:ascii="Verdana" w:hAnsi="Verdana"/>
          <w:color w:val="000000"/>
          <w:sz w:val="21"/>
          <w:szCs w:val="21"/>
        </w:rPr>
        <w:t>PGM metal tracking ETFs.  The NewGold</w:t>
      </w:r>
      <w:r w:rsidR="002647AB">
        <w:rPr>
          <w:rFonts w:ascii="Verdana" w:hAnsi="Verdana"/>
          <w:color w:val="000000"/>
          <w:sz w:val="21"/>
          <w:szCs w:val="21"/>
        </w:rPr>
        <w:t xml:space="preserve"> Platinum ETF (R2 200,4 million</w:t>
      </w:r>
      <w:r w:rsidR="00CD5761">
        <w:rPr>
          <w:rFonts w:ascii="Verdana" w:hAnsi="Verdana"/>
          <w:color w:val="000000"/>
          <w:sz w:val="21"/>
          <w:szCs w:val="21"/>
        </w:rPr>
        <w:t>)</w:t>
      </w:r>
      <w:r w:rsidR="002647AB">
        <w:rPr>
          <w:rFonts w:ascii="Verdana" w:hAnsi="Verdana"/>
          <w:color w:val="000000"/>
          <w:sz w:val="21"/>
          <w:szCs w:val="21"/>
        </w:rPr>
        <w:t xml:space="preserve"> and the NewGold Palladium ETF (R517</w:t>
      </w:r>
      <w:r w:rsidR="00A3197A">
        <w:rPr>
          <w:rFonts w:ascii="Verdana" w:hAnsi="Verdana"/>
          <w:color w:val="000000"/>
          <w:sz w:val="21"/>
          <w:szCs w:val="21"/>
        </w:rPr>
        <w:t>,5 mil</w:t>
      </w:r>
      <w:r w:rsidR="002E55EA">
        <w:rPr>
          <w:rFonts w:ascii="Verdana" w:hAnsi="Verdana"/>
          <w:color w:val="000000"/>
          <w:sz w:val="21"/>
          <w:szCs w:val="21"/>
        </w:rPr>
        <w:t>l</w:t>
      </w:r>
      <w:r w:rsidR="00A3197A">
        <w:rPr>
          <w:rFonts w:ascii="Verdana" w:hAnsi="Verdana"/>
          <w:color w:val="000000"/>
          <w:sz w:val="21"/>
          <w:szCs w:val="21"/>
        </w:rPr>
        <w:t xml:space="preserve">ion) redemptions were the two main products.  </w:t>
      </w:r>
    </w:p>
    <w:p w14:paraId="49244BCB" w14:textId="24278C84" w:rsidR="00BA7F27" w:rsidRDefault="00BA7F27">
      <w:pPr>
        <w:rPr>
          <w:rFonts w:ascii="Verdana" w:hAnsi="Verdana"/>
          <w:color w:val="000000"/>
          <w:sz w:val="21"/>
          <w:szCs w:val="21"/>
        </w:rPr>
      </w:pPr>
      <w:r>
        <w:rPr>
          <w:rFonts w:ascii="Verdana" w:hAnsi="Verdana"/>
          <w:color w:val="000000"/>
          <w:sz w:val="21"/>
          <w:szCs w:val="21"/>
        </w:rPr>
        <w:br w:type="page"/>
      </w:r>
    </w:p>
    <w:p w14:paraId="1C46758D" w14:textId="77777777" w:rsidR="00A3197A" w:rsidRDefault="00A3197A" w:rsidP="00E06C77">
      <w:pPr>
        <w:spacing w:after="0" w:line="320" w:lineRule="atLeast"/>
        <w:rPr>
          <w:rFonts w:ascii="Verdana" w:hAnsi="Verdana"/>
          <w:color w:val="000000"/>
          <w:sz w:val="21"/>
          <w:szCs w:val="21"/>
        </w:rPr>
      </w:pPr>
    </w:p>
    <w:p w14:paraId="12EBEC32" w14:textId="008DDEA5" w:rsidR="00A3197A" w:rsidRDefault="00A3197A" w:rsidP="00E06C77">
      <w:pPr>
        <w:spacing w:after="0" w:line="320" w:lineRule="atLeast"/>
        <w:rPr>
          <w:rFonts w:ascii="Verdana" w:hAnsi="Verdana"/>
          <w:color w:val="000000"/>
          <w:sz w:val="21"/>
          <w:szCs w:val="21"/>
        </w:rPr>
      </w:pPr>
      <w:r>
        <w:rPr>
          <w:rFonts w:ascii="Verdana" w:hAnsi="Verdana"/>
          <w:color w:val="000000"/>
          <w:sz w:val="21"/>
          <w:szCs w:val="21"/>
        </w:rPr>
        <w:t xml:space="preserve">All JSE listed ETFs have to be 100% physically </w:t>
      </w:r>
      <w:r w:rsidR="004D0295">
        <w:rPr>
          <w:rFonts w:ascii="Verdana" w:hAnsi="Verdana"/>
          <w:color w:val="000000"/>
          <w:sz w:val="21"/>
          <w:szCs w:val="21"/>
        </w:rPr>
        <w:t xml:space="preserve">backed by bullion.  The delivery of significant amounts of bullion </w:t>
      </w:r>
      <w:r w:rsidR="00AB1469">
        <w:rPr>
          <w:rFonts w:ascii="Verdana" w:hAnsi="Verdana"/>
          <w:color w:val="000000"/>
          <w:sz w:val="21"/>
          <w:szCs w:val="21"/>
        </w:rPr>
        <w:t>onto the markets from the redemption of South African listed PGM metal ETFs, did not dent the rise in prices on these pre</w:t>
      </w:r>
      <w:r w:rsidR="00CD5761">
        <w:rPr>
          <w:rFonts w:ascii="Verdana" w:hAnsi="Verdana"/>
          <w:color w:val="000000"/>
          <w:sz w:val="21"/>
          <w:szCs w:val="21"/>
        </w:rPr>
        <w:t>c</w:t>
      </w:r>
      <w:r w:rsidR="00AB1469">
        <w:rPr>
          <w:rFonts w:ascii="Verdana" w:hAnsi="Verdana"/>
          <w:color w:val="000000"/>
          <w:sz w:val="21"/>
          <w:szCs w:val="21"/>
        </w:rPr>
        <w:t>ious metals, which would indicate that at least</w:t>
      </w:r>
      <w:r w:rsidR="00EF6A3A">
        <w:rPr>
          <w:rFonts w:ascii="Verdana" w:hAnsi="Verdana"/>
          <w:color w:val="000000"/>
          <w:sz w:val="21"/>
          <w:szCs w:val="21"/>
        </w:rPr>
        <w:t xml:space="preserve"> some redemptions were used to cover short positions in other markets.  </w:t>
      </w:r>
    </w:p>
    <w:p w14:paraId="010F4A49" w14:textId="77777777" w:rsidR="00F44F89" w:rsidRDefault="00F44F89" w:rsidP="00E06C77">
      <w:pPr>
        <w:spacing w:after="0" w:line="320" w:lineRule="atLeast"/>
        <w:rPr>
          <w:rFonts w:ascii="Verdana" w:hAnsi="Verdana"/>
          <w:color w:val="000000"/>
          <w:sz w:val="21"/>
          <w:szCs w:val="21"/>
        </w:rPr>
      </w:pPr>
    </w:p>
    <w:p w14:paraId="19BB09BA" w14:textId="54BC7B14" w:rsidR="002F19B0" w:rsidRDefault="002F19B0" w:rsidP="00E06C77">
      <w:pPr>
        <w:spacing w:after="0" w:line="320" w:lineRule="atLeast"/>
        <w:rPr>
          <w:rFonts w:ascii="Verdana" w:hAnsi="Verdana"/>
          <w:color w:val="000000"/>
          <w:sz w:val="21"/>
          <w:szCs w:val="21"/>
        </w:rPr>
      </w:pPr>
      <w:r>
        <w:rPr>
          <w:rFonts w:ascii="Verdana" w:hAnsi="Verdana"/>
          <w:b/>
          <w:bCs/>
          <w:color w:val="000000"/>
          <w:sz w:val="21"/>
          <w:szCs w:val="21"/>
        </w:rPr>
        <w:t>Sygnia Itrix</w:t>
      </w:r>
      <w:r w:rsidR="00122449">
        <w:rPr>
          <w:rFonts w:ascii="Verdana" w:hAnsi="Verdana"/>
          <w:color w:val="000000"/>
          <w:sz w:val="21"/>
          <w:szCs w:val="21"/>
        </w:rPr>
        <w:t xml:space="preserve"> – of the issuing houses that</w:t>
      </w:r>
      <w:r w:rsidR="00A904A9">
        <w:rPr>
          <w:rFonts w:ascii="Verdana" w:hAnsi="Verdana"/>
          <w:color w:val="000000"/>
          <w:sz w:val="21"/>
          <w:szCs w:val="21"/>
        </w:rPr>
        <w:t xml:space="preserve"> focus on equity-listed ETFs, Sygnia Itrix fared best.  Only 2 of the 10 ETFs it has in issue, track Sout</w:t>
      </w:r>
      <w:r w:rsidR="00D65EA8">
        <w:rPr>
          <w:rFonts w:ascii="Verdana" w:hAnsi="Verdana"/>
          <w:color w:val="000000"/>
          <w:sz w:val="21"/>
          <w:szCs w:val="21"/>
        </w:rPr>
        <w:t xml:space="preserve">h African equity indices, so Sygnia Itrix benefitted from its focus on global index tracking ETFs.  </w:t>
      </w:r>
    </w:p>
    <w:p w14:paraId="472D89D8" w14:textId="390DF60A" w:rsidR="002678D7" w:rsidRDefault="002678D7" w:rsidP="00E06C77">
      <w:pPr>
        <w:spacing w:after="0" w:line="320" w:lineRule="atLeast"/>
        <w:rPr>
          <w:rFonts w:ascii="Verdana" w:hAnsi="Verdana"/>
          <w:color w:val="000000"/>
          <w:sz w:val="21"/>
          <w:szCs w:val="21"/>
        </w:rPr>
      </w:pPr>
    </w:p>
    <w:p w14:paraId="67A4BDEA" w14:textId="72FF4C8D" w:rsidR="002678D7" w:rsidRDefault="002678D7" w:rsidP="00E06C77">
      <w:pPr>
        <w:spacing w:after="0" w:line="320" w:lineRule="atLeast"/>
        <w:rPr>
          <w:rFonts w:ascii="Verdana" w:hAnsi="Verdana"/>
          <w:color w:val="000000"/>
          <w:sz w:val="21"/>
          <w:szCs w:val="21"/>
        </w:rPr>
      </w:pPr>
      <w:r>
        <w:rPr>
          <w:rFonts w:ascii="Verdana" w:hAnsi="Verdana"/>
          <w:b/>
          <w:bCs/>
          <w:color w:val="000000"/>
          <w:sz w:val="21"/>
          <w:szCs w:val="21"/>
        </w:rPr>
        <w:t>UBS</w:t>
      </w:r>
      <w:r>
        <w:rPr>
          <w:rFonts w:ascii="Verdana" w:hAnsi="Verdana"/>
          <w:color w:val="000000"/>
          <w:sz w:val="21"/>
          <w:szCs w:val="21"/>
        </w:rPr>
        <w:t xml:space="preserve"> – the Union Bank of Switzerland pr</w:t>
      </w:r>
      <w:r w:rsidR="004F47FC">
        <w:rPr>
          <w:rFonts w:ascii="Verdana" w:hAnsi="Verdana"/>
          <w:color w:val="000000"/>
          <w:sz w:val="21"/>
          <w:szCs w:val="21"/>
        </w:rPr>
        <w:t>o</w:t>
      </w:r>
      <w:r>
        <w:rPr>
          <w:rFonts w:ascii="Verdana" w:hAnsi="Verdana"/>
          <w:color w:val="000000"/>
          <w:sz w:val="21"/>
          <w:szCs w:val="21"/>
        </w:rPr>
        <w:t xml:space="preserve">vides the </w:t>
      </w:r>
      <w:r w:rsidR="004F47FC">
        <w:rPr>
          <w:rFonts w:ascii="Verdana" w:hAnsi="Verdana"/>
          <w:color w:val="000000"/>
          <w:sz w:val="21"/>
          <w:szCs w:val="21"/>
        </w:rPr>
        <w:t xml:space="preserve">balance sheet for supporting the credit risk of actively managed ETNs, which are not required to be 100% backed by physical assets.  It focuses on actively managed ETFs, where the portfolio can </w:t>
      </w:r>
      <w:r w:rsidR="00BD73DC">
        <w:rPr>
          <w:rFonts w:ascii="Verdana" w:hAnsi="Verdana"/>
          <w:color w:val="000000"/>
          <w:sz w:val="21"/>
          <w:szCs w:val="21"/>
        </w:rPr>
        <w:t>adjust</w:t>
      </w:r>
      <w:r w:rsidR="004F47FC">
        <w:rPr>
          <w:rFonts w:ascii="Verdana" w:hAnsi="Verdana"/>
          <w:color w:val="000000"/>
          <w:sz w:val="21"/>
          <w:szCs w:val="21"/>
        </w:rPr>
        <w:t xml:space="preserve"> under</w:t>
      </w:r>
      <w:r w:rsidR="0028371C">
        <w:rPr>
          <w:rFonts w:ascii="Verdana" w:hAnsi="Verdana"/>
          <w:color w:val="000000"/>
          <w:sz w:val="21"/>
          <w:szCs w:val="21"/>
        </w:rPr>
        <w:t xml:space="preserve"> certain parameters</w:t>
      </w:r>
      <w:r w:rsidR="00BD73DC">
        <w:rPr>
          <w:rFonts w:ascii="Verdana" w:hAnsi="Verdana"/>
          <w:color w:val="000000"/>
          <w:sz w:val="21"/>
          <w:szCs w:val="21"/>
        </w:rPr>
        <w:t>, not only index constituent changes</w:t>
      </w:r>
      <w:r w:rsidR="0028371C">
        <w:rPr>
          <w:rFonts w:ascii="Verdana" w:hAnsi="Verdana"/>
          <w:color w:val="000000"/>
          <w:sz w:val="21"/>
          <w:szCs w:val="21"/>
        </w:rPr>
        <w:t xml:space="preserve">.  </w:t>
      </w:r>
    </w:p>
    <w:p w14:paraId="7492BE41" w14:textId="3C99B3B5" w:rsidR="0028371C" w:rsidRDefault="0028371C" w:rsidP="00E06C77">
      <w:pPr>
        <w:spacing w:after="0" w:line="320" w:lineRule="atLeast"/>
        <w:rPr>
          <w:rFonts w:ascii="Verdana" w:hAnsi="Verdana"/>
          <w:color w:val="000000"/>
          <w:sz w:val="21"/>
          <w:szCs w:val="21"/>
        </w:rPr>
      </w:pPr>
    </w:p>
    <w:p w14:paraId="6F8FF666" w14:textId="27D5EAB9" w:rsidR="0028371C" w:rsidRDefault="0028371C" w:rsidP="00E06C77">
      <w:pPr>
        <w:spacing w:after="0" w:line="320" w:lineRule="atLeast"/>
        <w:rPr>
          <w:rFonts w:ascii="Verdana" w:hAnsi="Verdana"/>
          <w:color w:val="000000"/>
          <w:sz w:val="21"/>
          <w:szCs w:val="21"/>
        </w:rPr>
      </w:pPr>
      <w:r>
        <w:rPr>
          <w:rFonts w:ascii="Verdana" w:hAnsi="Verdana"/>
          <w:color w:val="000000"/>
          <w:sz w:val="21"/>
          <w:szCs w:val="21"/>
        </w:rPr>
        <w:t>Asset managers</w:t>
      </w:r>
      <w:r w:rsidR="00EC06B5">
        <w:rPr>
          <w:rFonts w:ascii="Verdana" w:hAnsi="Verdana"/>
          <w:color w:val="000000"/>
          <w:sz w:val="21"/>
          <w:szCs w:val="21"/>
        </w:rPr>
        <w:t>,</w:t>
      </w:r>
      <w:r>
        <w:rPr>
          <w:rFonts w:ascii="Verdana" w:hAnsi="Verdana"/>
          <w:color w:val="000000"/>
          <w:sz w:val="21"/>
          <w:szCs w:val="21"/>
        </w:rPr>
        <w:t xml:space="preserve"> using the UBS structure</w:t>
      </w:r>
      <w:r w:rsidR="00EC06B5">
        <w:rPr>
          <w:rFonts w:ascii="Verdana" w:hAnsi="Verdana"/>
          <w:color w:val="000000"/>
          <w:sz w:val="21"/>
          <w:szCs w:val="21"/>
        </w:rPr>
        <w:t>, include Absa, Momentum, Efficient Group and others.  During the first quarter</w:t>
      </w:r>
      <w:r w:rsidR="002E30E8">
        <w:rPr>
          <w:rFonts w:ascii="Verdana" w:hAnsi="Verdana"/>
          <w:color w:val="000000"/>
          <w:sz w:val="21"/>
          <w:szCs w:val="21"/>
        </w:rPr>
        <w:t xml:space="preserve"> of 2020, four </w:t>
      </w:r>
      <w:r w:rsidR="003455BD">
        <w:rPr>
          <w:rFonts w:ascii="Verdana" w:hAnsi="Verdana"/>
          <w:color w:val="000000"/>
          <w:sz w:val="21"/>
          <w:szCs w:val="21"/>
        </w:rPr>
        <w:t>additional</w:t>
      </w:r>
      <w:r w:rsidR="002E30E8">
        <w:rPr>
          <w:rFonts w:ascii="Verdana" w:hAnsi="Verdana"/>
          <w:color w:val="000000"/>
          <w:sz w:val="21"/>
          <w:szCs w:val="21"/>
        </w:rPr>
        <w:t xml:space="preserve"> ETNs were launched under this </w:t>
      </w:r>
      <w:r w:rsidR="0091603A">
        <w:rPr>
          <w:rFonts w:ascii="Verdana" w:hAnsi="Verdana"/>
          <w:color w:val="000000"/>
          <w:sz w:val="21"/>
          <w:szCs w:val="21"/>
        </w:rPr>
        <w:t xml:space="preserve">label accounting for new capital raised of R800 million.  </w:t>
      </w:r>
    </w:p>
    <w:p w14:paraId="645E38B1" w14:textId="0DB1CABA" w:rsidR="0091603A" w:rsidRDefault="0091603A" w:rsidP="00E06C77">
      <w:pPr>
        <w:spacing w:after="0" w:line="320" w:lineRule="atLeast"/>
        <w:rPr>
          <w:rFonts w:ascii="Verdana" w:hAnsi="Verdana"/>
          <w:color w:val="000000"/>
          <w:sz w:val="21"/>
          <w:szCs w:val="21"/>
        </w:rPr>
      </w:pPr>
    </w:p>
    <w:p w14:paraId="78BAEEAD" w14:textId="47C1576A" w:rsidR="0091603A" w:rsidRPr="0091603A" w:rsidRDefault="0091603A" w:rsidP="00E06C77">
      <w:pPr>
        <w:spacing w:after="0" w:line="320" w:lineRule="atLeast"/>
        <w:rPr>
          <w:rFonts w:ascii="Verdana" w:hAnsi="Verdana"/>
          <w:color w:val="000000"/>
          <w:sz w:val="21"/>
          <w:szCs w:val="21"/>
        </w:rPr>
      </w:pPr>
      <w:r>
        <w:rPr>
          <w:rFonts w:ascii="Verdana" w:hAnsi="Verdana"/>
          <w:b/>
          <w:bCs/>
          <w:color w:val="000000"/>
          <w:sz w:val="21"/>
          <w:szCs w:val="21"/>
        </w:rPr>
        <w:t>Deutsche Bank</w:t>
      </w:r>
      <w:r>
        <w:rPr>
          <w:rFonts w:ascii="Verdana" w:hAnsi="Verdana"/>
          <w:color w:val="000000"/>
          <w:sz w:val="21"/>
          <w:szCs w:val="21"/>
        </w:rPr>
        <w:t xml:space="preserve"> – in January 2020, Deutsche Bank announced the delis</w:t>
      </w:r>
      <w:r w:rsidR="00E973F2">
        <w:rPr>
          <w:rFonts w:ascii="Verdana" w:hAnsi="Verdana"/>
          <w:color w:val="000000"/>
          <w:sz w:val="21"/>
          <w:szCs w:val="21"/>
        </w:rPr>
        <w:t>t</w:t>
      </w:r>
      <w:r>
        <w:rPr>
          <w:rFonts w:ascii="Verdana" w:hAnsi="Verdana"/>
          <w:color w:val="000000"/>
          <w:sz w:val="21"/>
          <w:szCs w:val="21"/>
        </w:rPr>
        <w:t xml:space="preserve">ing of the three </w:t>
      </w:r>
      <w:r w:rsidR="00E973F2">
        <w:rPr>
          <w:rFonts w:ascii="Verdana" w:hAnsi="Verdana"/>
          <w:color w:val="000000"/>
          <w:sz w:val="21"/>
          <w:szCs w:val="21"/>
        </w:rPr>
        <w:t xml:space="preserve">popular ETNs it has </w:t>
      </w:r>
      <w:r w:rsidR="003455BD">
        <w:rPr>
          <w:rFonts w:ascii="Verdana" w:hAnsi="Verdana"/>
          <w:color w:val="000000"/>
          <w:sz w:val="21"/>
          <w:szCs w:val="21"/>
        </w:rPr>
        <w:t xml:space="preserve">had </w:t>
      </w:r>
      <w:r w:rsidR="00E973F2">
        <w:rPr>
          <w:rFonts w:ascii="Verdana" w:hAnsi="Verdana"/>
          <w:color w:val="000000"/>
          <w:sz w:val="21"/>
          <w:szCs w:val="21"/>
        </w:rPr>
        <w:t>in issue since 2003, covering Emerging Markets, China and Africa.  These three ETNs had a market capitalisation of R5,7 billion on the date of delisting (20 January 2020)</w:t>
      </w:r>
      <w:r w:rsidR="00F06EC5">
        <w:rPr>
          <w:rFonts w:ascii="Verdana" w:hAnsi="Verdana"/>
          <w:color w:val="000000"/>
          <w:sz w:val="21"/>
          <w:szCs w:val="21"/>
        </w:rPr>
        <w:t xml:space="preserve">, so a significant reduction of the size of the ETP industry occurred on that date. </w:t>
      </w:r>
    </w:p>
    <w:p w14:paraId="7F99E438" w14:textId="6A3AB093" w:rsidR="007A7050" w:rsidRDefault="007A7050" w:rsidP="00E71803">
      <w:pPr>
        <w:spacing w:after="0" w:line="320" w:lineRule="atLeast"/>
        <w:rPr>
          <w:rFonts w:ascii="Verdana" w:hAnsi="Verdana"/>
          <w:color w:val="000000"/>
          <w:sz w:val="21"/>
          <w:szCs w:val="21"/>
        </w:rPr>
      </w:pPr>
    </w:p>
    <w:p w14:paraId="077CC978" w14:textId="303C956C" w:rsidR="007A7050" w:rsidRPr="007A7050" w:rsidRDefault="007A7050" w:rsidP="00E71803">
      <w:pPr>
        <w:spacing w:after="0" w:line="320" w:lineRule="atLeast"/>
        <w:rPr>
          <w:rFonts w:ascii="Verdana" w:hAnsi="Verdana"/>
          <w:b/>
          <w:bCs/>
          <w:color w:val="C00000"/>
        </w:rPr>
      </w:pPr>
      <w:r w:rsidRPr="007A7050">
        <w:rPr>
          <w:rFonts w:ascii="Verdana" w:hAnsi="Verdana"/>
          <w:b/>
          <w:bCs/>
          <w:color w:val="C00000"/>
        </w:rPr>
        <w:t xml:space="preserve">Snapshot of the SA ETP Industry as at 31 </w:t>
      </w:r>
      <w:r w:rsidR="003C3187">
        <w:rPr>
          <w:rFonts w:ascii="Verdana" w:hAnsi="Verdana"/>
          <w:b/>
          <w:bCs/>
          <w:color w:val="C00000"/>
        </w:rPr>
        <w:t>March</w:t>
      </w:r>
      <w:r w:rsidRPr="007A7050">
        <w:rPr>
          <w:rFonts w:ascii="Verdana" w:hAnsi="Verdana"/>
          <w:b/>
          <w:bCs/>
          <w:color w:val="C00000"/>
        </w:rPr>
        <w:t xml:space="preserve"> 20</w:t>
      </w:r>
      <w:r w:rsidR="003C3187">
        <w:rPr>
          <w:rFonts w:ascii="Verdana" w:hAnsi="Verdana"/>
          <w:b/>
          <w:bCs/>
          <w:color w:val="C00000"/>
        </w:rPr>
        <w:t>20</w:t>
      </w:r>
    </w:p>
    <w:p w14:paraId="574B99A3" w14:textId="072AFC19" w:rsidR="00340ED3" w:rsidRPr="00340ED3" w:rsidRDefault="00340ED3" w:rsidP="00083E17">
      <w:pPr>
        <w:spacing w:after="0" w:line="360" w:lineRule="atLeast"/>
        <w:rPr>
          <w:rFonts w:ascii="Verdana" w:hAnsi="Verdana"/>
          <w:b/>
          <w:color w:val="000000"/>
          <w:sz w:val="21"/>
          <w:szCs w:val="21"/>
        </w:rPr>
      </w:pPr>
      <w:r>
        <w:rPr>
          <w:rFonts w:ascii="Verdana" w:hAnsi="Verdana"/>
          <w:b/>
          <w:color w:val="000000"/>
          <w:sz w:val="21"/>
          <w:szCs w:val="21"/>
        </w:rPr>
        <w:t xml:space="preserve">Table </w:t>
      </w:r>
      <w:r w:rsidR="003C3187">
        <w:rPr>
          <w:rFonts w:ascii="Verdana" w:hAnsi="Verdana"/>
          <w:b/>
          <w:color w:val="000000"/>
          <w:sz w:val="21"/>
          <w:szCs w:val="21"/>
        </w:rPr>
        <w:t>B</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1701"/>
        <w:gridCol w:w="993"/>
        <w:gridCol w:w="992"/>
        <w:gridCol w:w="1417"/>
        <w:gridCol w:w="1418"/>
        <w:gridCol w:w="1843"/>
      </w:tblGrid>
      <w:tr w:rsidR="00A029E7" w:rsidRPr="00AB6CBE" w14:paraId="6C58D851" w14:textId="77777777" w:rsidTr="00275FDA">
        <w:tc>
          <w:tcPr>
            <w:tcW w:w="9214" w:type="dxa"/>
            <w:gridSpan w:val="8"/>
            <w:shd w:val="clear" w:color="auto" w:fill="C00000"/>
            <w:vAlign w:val="center"/>
          </w:tcPr>
          <w:p w14:paraId="3570725C" w14:textId="77777777"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35DFF8CE" w14:textId="0B7ED290"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 xml:space="preserve">(as at </w:t>
            </w:r>
            <w:r w:rsidR="00FE2ED4">
              <w:rPr>
                <w:rFonts w:ascii="Verdana" w:hAnsi="Verdana"/>
                <w:b/>
                <w:color w:val="FFFFFF"/>
                <w:sz w:val="18"/>
                <w:szCs w:val="18"/>
              </w:rPr>
              <w:t>3</w:t>
            </w:r>
            <w:r w:rsidR="007A7050">
              <w:rPr>
                <w:rFonts w:ascii="Verdana" w:hAnsi="Verdana"/>
                <w:b/>
                <w:color w:val="FFFFFF"/>
                <w:sz w:val="18"/>
                <w:szCs w:val="18"/>
              </w:rPr>
              <w:t>1</w:t>
            </w:r>
            <w:r w:rsidR="00FE2ED4">
              <w:rPr>
                <w:rFonts w:ascii="Verdana" w:hAnsi="Verdana"/>
                <w:b/>
                <w:color w:val="FFFFFF"/>
                <w:sz w:val="18"/>
                <w:szCs w:val="18"/>
              </w:rPr>
              <w:t xml:space="preserve"> </w:t>
            </w:r>
            <w:r w:rsidR="0005437D">
              <w:rPr>
                <w:rFonts w:ascii="Verdana" w:hAnsi="Verdana"/>
                <w:b/>
                <w:color w:val="FFFFFF"/>
                <w:sz w:val="18"/>
                <w:szCs w:val="18"/>
              </w:rPr>
              <w:t>March</w:t>
            </w:r>
            <w:r w:rsidRPr="003B4F95">
              <w:rPr>
                <w:rFonts w:ascii="Verdana" w:hAnsi="Verdana"/>
                <w:b/>
                <w:color w:val="FFFFFF"/>
                <w:sz w:val="18"/>
                <w:szCs w:val="18"/>
              </w:rPr>
              <w:t xml:space="preserve"> 20</w:t>
            </w:r>
            <w:r w:rsidR="0005437D">
              <w:rPr>
                <w:rFonts w:ascii="Verdana" w:hAnsi="Verdana"/>
                <w:b/>
                <w:color w:val="FFFFFF"/>
                <w:sz w:val="18"/>
                <w:szCs w:val="18"/>
              </w:rPr>
              <w:t>20</w:t>
            </w:r>
            <w:r w:rsidRPr="003B4F95">
              <w:rPr>
                <w:rFonts w:ascii="Verdana" w:hAnsi="Verdana"/>
                <w:b/>
                <w:color w:val="FFFFFF"/>
                <w:sz w:val="18"/>
                <w:szCs w:val="18"/>
              </w:rPr>
              <w:t>)</w:t>
            </w:r>
          </w:p>
        </w:tc>
      </w:tr>
      <w:tr w:rsidR="00A029E7" w:rsidRPr="00AB6CBE" w14:paraId="16BE5CAE" w14:textId="77777777" w:rsidTr="00275FDA">
        <w:trPr>
          <w:trHeight w:val="311"/>
        </w:trPr>
        <w:tc>
          <w:tcPr>
            <w:tcW w:w="567" w:type="dxa"/>
            <w:vMerge w:val="restart"/>
            <w:shd w:val="clear" w:color="auto" w:fill="4C4C4C"/>
            <w:vAlign w:val="center"/>
          </w:tcPr>
          <w:p w14:paraId="276F8155" w14:textId="77777777" w:rsidR="00A029E7" w:rsidRPr="003B4F95" w:rsidRDefault="00A029E7" w:rsidP="00A029E7">
            <w:pPr>
              <w:spacing w:before="20" w:after="20" w:line="280" w:lineRule="atLeast"/>
              <w:rPr>
                <w:rFonts w:ascii="Verdana" w:hAnsi="Verdana"/>
                <w:b/>
                <w:color w:val="FFFFFF"/>
                <w:sz w:val="18"/>
                <w:szCs w:val="18"/>
              </w:rPr>
            </w:pPr>
          </w:p>
        </w:tc>
        <w:tc>
          <w:tcPr>
            <w:tcW w:w="1984" w:type="dxa"/>
            <w:gridSpan w:val="2"/>
            <w:vMerge w:val="restart"/>
            <w:shd w:val="clear" w:color="auto" w:fill="4C4C4C"/>
            <w:vAlign w:val="center"/>
          </w:tcPr>
          <w:p w14:paraId="7BC14E8D" w14:textId="49AE90E9" w:rsidR="00A029E7" w:rsidRPr="003B4F95" w:rsidRDefault="00A029E7" w:rsidP="00A029E7">
            <w:pPr>
              <w:spacing w:before="20" w:after="20" w:line="280" w:lineRule="atLeast"/>
              <w:rPr>
                <w:rFonts w:ascii="Verdana" w:hAnsi="Verdana"/>
                <w:b/>
                <w:color w:val="FFFFFF"/>
                <w:sz w:val="18"/>
                <w:szCs w:val="18"/>
              </w:rPr>
            </w:pPr>
            <w:r w:rsidRPr="003B4F95">
              <w:rPr>
                <w:rFonts w:ascii="Verdana" w:hAnsi="Verdana"/>
                <w:b/>
                <w:color w:val="FFFFFF"/>
                <w:sz w:val="18"/>
                <w:szCs w:val="18"/>
              </w:rPr>
              <w:t>Issuer</w:t>
            </w:r>
          </w:p>
        </w:tc>
        <w:tc>
          <w:tcPr>
            <w:tcW w:w="1985" w:type="dxa"/>
            <w:gridSpan w:val="2"/>
            <w:shd w:val="clear" w:color="auto" w:fill="4C4C4C"/>
            <w:vAlign w:val="center"/>
          </w:tcPr>
          <w:p w14:paraId="41EF6BA9" w14:textId="77777777" w:rsidR="00A029E7" w:rsidRPr="003B4F95" w:rsidRDefault="00A029E7" w:rsidP="00A029E7">
            <w:pPr>
              <w:spacing w:before="20" w:after="20" w:line="280" w:lineRule="atLeast"/>
              <w:jc w:val="center"/>
              <w:rPr>
                <w:rFonts w:ascii="Verdana" w:hAnsi="Verdana"/>
                <w:b/>
                <w:color w:val="FFFFFF"/>
                <w:sz w:val="18"/>
                <w:szCs w:val="18"/>
              </w:rPr>
            </w:pPr>
            <w:r>
              <w:rPr>
                <w:rFonts w:ascii="Verdana" w:hAnsi="Verdana"/>
                <w:b/>
                <w:color w:val="FFFFFF"/>
                <w:sz w:val="18"/>
                <w:szCs w:val="18"/>
              </w:rPr>
              <w:t>Number of Products</w:t>
            </w:r>
          </w:p>
        </w:tc>
        <w:tc>
          <w:tcPr>
            <w:tcW w:w="2835" w:type="dxa"/>
            <w:gridSpan w:val="2"/>
            <w:shd w:val="clear" w:color="auto" w:fill="4C4C4C"/>
            <w:vAlign w:val="center"/>
          </w:tcPr>
          <w:p w14:paraId="190216BA" w14:textId="77777777"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843" w:type="dxa"/>
            <w:vMerge w:val="restart"/>
            <w:shd w:val="clear" w:color="auto" w:fill="4C4C4C"/>
            <w:vAlign w:val="center"/>
          </w:tcPr>
          <w:p w14:paraId="002E995E" w14:textId="77777777" w:rsidR="00A029E7" w:rsidRPr="003B4F95" w:rsidRDefault="00A029E7" w:rsidP="00275FDA">
            <w:pPr>
              <w:spacing w:before="20" w:after="60" w:line="280" w:lineRule="atLeast"/>
              <w:jc w:val="right"/>
              <w:rPr>
                <w:rFonts w:ascii="Verdana" w:hAnsi="Verdana"/>
                <w:b/>
                <w:color w:val="FFFFFF"/>
                <w:sz w:val="18"/>
                <w:szCs w:val="18"/>
              </w:rPr>
            </w:pPr>
            <w:r>
              <w:rPr>
                <w:rFonts w:ascii="Verdana" w:hAnsi="Verdana"/>
                <w:b/>
                <w:color w:val="FFFFFF"/>
                <w:sz w:val="18"/>
                <w:szCs w:val="18"/>
              </w:rPr>
              <w:t>Total Market Capitalisation</w:t>
            </w:r>
            <w:r w:rsidRPr="003B4F95">
              <w:rPr>
                <w:rFonts w:ascii="Verdana" w:hAnsi="Verdana"/>
                <w:b/>
                <w:color w:val="FFFFFF"/>
                <w:sz w:val="18"/>
                <w:szCs w:val="18"/>
              </w:rPr>
              <w:t xml:space="preserve"> (Rm)</w:t>
            </w:r>
          </w:p>
        </w:tc>
      </w:tr>
      <w:tr w:rsidR="00A029E7" w:rsidRPr="00AB6CBE" w14:paraId="2AB06EA7" w14:textId="77777777" w:rsidTr="00275FDA">
        <w:trPr>
          <w:trHeight w:val="311"/>
        </w:trPr>
        <w:tc>
          <w:tcPr>
            <w:tcW w:w="567" w:type="dxa"/>
            <w:vMerge/>
            <w:shd w:val="clear" w:color="auto" w:fill="4C4C4C"/>
            <w:vAlign w:val="center"/>
          </w:tcPr>
          <w:p w14:paraId="1FF6352A" w14:textId="77777777" w:rsidR="00A029E7" w:rsidRPr="003B4F95" w:rsidRDefault="00A029E7" w:rsidP="00A029E7">
            <w:pPr>
              <w:spacing w:before="20" w:after="20" w:line="280" w:lineRule="atLeast"/>
              <w:rPr>
                <w:rFonts w:ascii="Verdana" w:hAnsi="Verdana"/>
                <w:b/>
                <w:color w:val="FFFFFF"/>
                <w:sz w:val="18"/>
                <w:szCs w:val="18"/>
              </w:rPr>
            </w:pPr>
          </w:p>
        </w:tc>
        <w:tc>
          <w:tcPr>
            <w:tcW w:w="1984" w:type="dxa"/>
            <w:gridSpan w:val="2"/>
            <w:vMerge/>
            <w:shd w:val="clear" w:color="auto" w:fill="4C4C4C"/>
          </w:tcPr>
          <w:p w14:paraId="436245B6" w14:textId="49FB5311" w:rsidR="00A029E7" w:rsidRPr="003B4F95" w:rsidRDefault="00A029E7" w:rsidP="00A029E7">
            <w:pPr>
              <w:spacing w:before="20" w:after="20" w:line="280" w:lineRule="atLeast"/>
              <w:rPr>
                <w:rFonts w:ascii="Verdana" w:hAnsi="Verdana"/>
                <w:b/>
                <w:color w:val="FFFFFF"/>
                <w:sz w:val="18"/>
                <w:szCs w:val="18"/>
              </w:rPr>
            </w:pPr>
          </w:p>
        </w:tc>
        <w:tc>
          <w:tcPr>
            <w:tcW w:w="993" w:type="dxa"/>
            <w:shd w:val="clear" w:color="auto" w:fill="4C4C4C"/>
            <w:vAlign w:val="center"/>
          </w:tcPr>
          <w:p w14:paraId="2C191EAD" w14:textId="77777777"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5ABA983B" w14:textId="77777777" w:rsidR="00A029E7" w:rsidRPr="003B4F95" w:rsidRDefault="00A029E7" w:rsidP="00A029E7">
            <w:pPr>
              <w:spacing w:before="20" w:after="20" w:line="28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1417" w:type="dxa"/>
            <w:shd w:val="clear" w:color="auto" w:fill="4C4C4C"/>
            <w:vAlign w:val="center"/>
          </w:tcPr>
          <w:p w14:paraId="436EF0EA" w14:textId="77777777" w:rsidR="00A029E7" w:rsidRPr="003B4F95" w:rsidRDefault="00A029E7" w:rsidP="00A029E7">
            <w:pPr>
              <w:spacing w:before="20" w:after="20" w:line="280" w:lineRule="atLeast"/>
              <w:jc w:val="right"/>
              <w:rPr>
                <w:rFonts w:ascii="Verdana" w:hAnsi="Verdana"/>
                <w:b/>
                <w:color w:val="FFFFFF"/>
                <w:sz w:val="18"/>
                <w:szCs w:val="18"/>
              </w:rPr>
            </w:pPr>
            <w:r w:rsidRPr="003B4F95">
              <w:rPr>
                <w:rFonts w:ascii="Verdana" w:hAnsi="Verdana"/>
                <w:b/>
                <w:color w:val="FFFFFF"/>
                <w:sz w:val="18"/>
                <w:szCs w:val="18"/>
              </w:rPr>
              <w:t>ETFs</w:t>
            </w:r>
          </w:p>
        </w:tc>
        <w:tc>
          <w:tcPr>
            <w:tcW w:w="1418" w:type="dxa"/>
            <w:shd w:val="clear" w:color="auto" w:fill="4C4C4C"/>
            <w:vAlign w:val="center"/>
          </w:tcPr>
          <w:p w14:paraId="121D26EA" w14:textId="77777777" w:rsidR="00A029E7" w:rsidRPr="003B4F95" w:rsidRDefault="00A029E7" w:rsidP="00A029E7">
            <w:pPr>
              <w:spacing w:before="20" w:after="20" w:line="280" w:lineRule="atLeast"/>
              <w:jc w:val="right"/>
              <w:rPr>
                <w:rFonts w:ascii="Verdana" w:hAnsi="Verdana"/>
                <w:b/>
                <w:color w:val="FFFFFF"/>
                <w:sz w:val="18"/>
                <w:szCs w:val="18"/>
              </w:rPr>
            </w:pPr>
            <w:r w:rsidRPr="003B4F95">
              <w:rPr>
                <w:rFonts w:ascii="Verdana" w:hAnsi="Verdana"/>
                <w:b/>
                <w:color w:val="FFFFFF"/>
                <w:sz w:val="18"/>
                <w:szCs w:val="18"/>
              </w:rPr>
              <w:t>ETNs</w:t>
            </w:r>
          </w:p>
        </w:tc>
        <w:tc>
          <w:tcPr>
            <w:tcW w:w="1843" w:type="dxa"/>
            <w:vMerge/>
            <w:shd w:val="clear" w:color="auto" w:fill="4C4C4C"/>
            <w:vAlign w:val="center"/>
          </w:tcPr>
          <w:p w14:paraId="036A93B0" w14:textId="77777777" w:rsidR="00A029E7" w:rsidRPr="003B4F95" w:rsidRDefault="00A029E7" w:rsidP="00275FDA">
            <w:pPr>
              <w:spacing w:before="60" w:after="60" w:line="300" w:lineRule="atLeast"/>
              <w:jc w:val="right"/>
              <w:rPr>
                <w:rFonts w:ascii="Verdana" w:hAnsi="Verdana"/>
                <w:b/>
                <w:color w:val="FFFFFF"/>
                <w:sz w:val="18"/>
                <w:szCs w:val="18"/>
              </w:rPr>
            </w:pPr>
          </w:p>
        </w:tc>
      </w:tr>
      <w:tr w:rsidR="00A029E7" w:rsidRPr="00AB6CBE" w14:paraId="223242D5" w14:textId="77777777" w:rsidTr="00275FDA">
        <w:tc>
          <w:tcPr>
            <w:tcW w:w="567" w:type="dxa"/>
            <w:shd w:val="clear" w:color="auto" w:fill="auto"/>
          </w:tcPr>
          <w:p w14:paraId="4D91BA7C" w14:textId="77777777" w:rsidR="00A029E7" w:rsidRPr="003B4F95" w:rsidRDefault="00A029E7" w:rsidP="00BA7F27">
            <w:pPr>
              <w:spacing w:before="40" w:after="40" w:line="260" w:lineRule="atLeast"/>
              <w:rPr>
                <w:rFonts w:ascii="Verdana" w:hAnsi="Verdana"/>
                <w:color w:val="000000"/>
                <w:sz w:val="18"/>
                <w:szCs w:val="18"/>
              </w:rPr>
            </w:pPr>
            <w:r w:rsidRPr="003B4F95">
              <w:rPr>
                <w:rFonts w:ascii="Verdana" w:hAnsi="Verdana"/>
                <w:color w:val="000000"/>
                <w:sz w:val="18"/>
                <w:szCs w:val="18"/>
              </w:rPr>
              <w:t>1.</w:t>
            </w:r>
          </w:p>
        </w:tc>
        <w:tc>
          <w:tcPr>
            <w:tcW w:w="1984" w:type="dxa"/>
            <w:gridSpan w:val="2"/>
            <w:shd w:val="clear" w:color="auto" w:fill="auto"/>
          </w:tcPr>
          <w:p w14:paraId="6AABFB44" w14:textId="77777777" w:rsidR="00A029E7" w:rsidRPr="003B4F95" w:rsidRDefault="00A029E7" w:rsidP="00BA7F27">
            <w:pPr>
              <w:spacing w:before="40" w:after="40" w:line="260" w:lineRule="atLeast"/>
              <w:rPr>
                <w:rFonts w:ascii="Verdana" w:hAnsi="Verdana"/>
                <w:color w:val="000000"/>
                <w:sz w:val="18"/>
                <w:szCs w:val="18"/>
              </w:rPr>
            </w:pPr>
            <w:r w:rsidRPr="003B4F95">
              <w:rPr>
                <w:rFonts w:ascii="Verdana" w:hAnsi="Verdana"/>
                <w:color w:val="000000"/>
                <w:sz w:val="18"/>
                <w:szCs w:val="18"/>
              </w:rPr>
              <w:t xml:space="preserve">Absa </w:t>
            </w:r>
            <w:r>
              <w:rPr>
                <w:rFonts w:ascii="Verdana" w:hAnsi="Verdana"/>
                <w:color w:val="000000"/>
                <w:sz w:val="18"/>
                <w:szCs w:val="18"/>
              </w:rPr>
              <w:t>Capital</w:t>
            </w:r>
          </w:p>
        </w:tc>
        <w:tc>
          <w:tcPr>
            <w:tcW w:w="993" w:type="dxa"/>
            <w:shd w:val="clear" w:color="auto" w:fill="auto"/>
            <w:vAlign w:val="center"/>
          </w:tcPr>
          <w:p w14:paraId="62D33FD6" w14:textId="17629130" w:rsidR="00A029E7" w:rsidRPr="003B4F95" w:rsidRDefault="00A029E7" w:rsidP="00BA7F27">
            <w:pPr>
              <w:spacing w:before="40" w:after="40" w:line="260" w:lineRule="atLeast"/>
              <w:jc w:val="center"/>
              <w:rPr>
                <w:rFonts w:ascii="Verdana" w:hAnsi="Verdana"/>
                <w:color w:val="000000"/>
                <w:sz w:val="18"/>
                <w:szCs w:val="18"/>
              </w:rPr>
            </w:pPr>
            <w:r>
              <w:rPr>
                <w:rFonts w:ascii="Verdana" w:hAnsi="Verdana"/>
                <w:color w:val="000000"/>
                <w:sz w:val="18"/>
                <w:szCs w:val="18"/>
              </w:rPr>
              <w:t>1</w:t>
            </w:r>
            <w:r w:rsidR="007A7050">
              <w:rPr>
                <w:rFonts w:ascii="Verdana" w:hAnsi="Verdana"/>
                <w:color w:val="000000"/>
                <w:sz w:val="18"/>
                <w:szCs w:val="18"/>
              </w:rPr>
              <w:t>7</w:t>
            </w:r>
          </w:p>
        </w:tc>
        <w:tc>
          <w:tcPr>
            <w:tcW w:w="992" w:type="dxa"/>
            <w:shd w:val="clear" w:color="auto" w:fill="auto"/>
            <w:vAlign w:val="center"/>
          </w:tcPr>
          <w:p w14:paraId="5D44D04E" w14:textId="77777777" w:rsidR="00A029E7" w:rsidRPr="003B4F95" w:rsidRDefault="00A029E7" w:rsidP="00BA7F27">
            <w:pPr>
              <w:spacing w:before="40" w:after="40" w:line="26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33F818D4" w14:textId="35BF06F6" w:rsidR="00A029E7" w:rsidRPr="003B4F95" w:rsidRDefault="007A7050" w:rsidP="00BA7F27">
            <w:pPr>
              <w:spacing w:before="40" w:after="40" w:line="260" w:lineRule="atLeast"/>
              <w:jc w:val="right"/>
              <w:rPr>
                <w:rFonts w:ascii="Verdana" w:hAnsi="Verdana"/>
                <w:color w:val="000000"/>
                <w:sz w:val="18"/>
                <w:szCs w:val="18"/>
              </w:rPr>
            </w:pPr>
            <w:r>
              <w:rPr>
                <w:rFonts w:ascii="Verdana" w:hAnsi="Verdana"/>
                <w:color w:val="000000"/>
                <w:sz w:val="18"/>
                <w:szCs w:val="18"/>
              </w:rPr>
              <w:t>3</w:t>
            </w:r>
            <w:r w:rsidR="000A3329">
              <w:rPr>
                <w:rFonts w:ascii="Verdana" w:hAnsi="Verdana"/>
                <w:color w:val="000000"/>
                <w:sz w:val="18"/>
                <w:szCs w:val="18"/>
              </w:rPr>
              <w:t>3</w:t>
            </w:r>
            <w:r w:rsidR="00754226">
              <w:rPr>
                <w:rFonts w:ascii="Verdana" w:hAnsi="Verdana"/>
                <w:color w:val="000000"/>
                <w:sz w:val="18"/>
                <w:szCs w:val="18"/>
              </w:rPr>
              <w:t> 186,4</w:t>
            </w:r>
          </w:p>
        </w:tc>
        <w:tc>
          <w:tcPr>
            <w:tcW w:w="1418" w:type="dxa"/>
            <w:vAlign w:val="center"/>
          </w:tcPr>
          <w:p w14:paraId="4FDD4459" w14:textId="410383C8" w:rsidR="00A029E7" w:rsidRPr="003B4F95" w:rsidRDefault="00754226" w:rsidP="00BA7F27">
            <w:pPr>
              <w:spacing w:before="40" w:after="40" w:line="260" w:lineRule="atLeast"/>
              <w:jc w:val="right"/>
              <w:rPr>
                <w:rFonts w:ascii="Verdana" w:hAnsi="Verdana"/>
                <w:color w:val="000000"/>
                <w:sz w:val="18"/>
                <w:szCs w:val="18"/>
              </w:rPr>
            </w:pPr>
            <w:r>
              <w:rPr>
                <w:rFonts w:ascii="Verdana" w:hAnsi="Verdana"/>
                <w:color w:val="000000"/>
                <w:sz w:val="18"/>
                <w:szCs w:val="18"/>
              </w:rPr>
              <w:t>720,3</w:t>
            </w:r>
          </w:p>
        </w:tc>
        <w:tc>
          <w:tcPr>
            <w:tcW w:w="1843" w:type="dxa"/>
            <w:vAlign w:val="center"/>
          </w:tcPr>
          <w:p w14:paraId="7693E12C" w14:textId="0CFA6A21" w:rsidR="00A029E7" w:rsidRPr="003B4F95" w:rsidRDefault="003768E4" w:rsidP="00BA7F27">
            <w:pPr>
              <w:spacing w:before="40" w:after="40" w:line="260" w:lineRule="atLeast"/>
              <w:jc w:val="right"/>
              <w:rPr>
                <w:rFonts w:ascii="Verdana" w:hAnsi="Verdana"/>
                <w:color w:val="000000"/>
                <w:sz w:val="18"/>
                <w:szCs w:val="18"/>
              </w:rPr>
            </w:pPr>
            <w:r>
              <w:rPr>
                <w:rFonts w:ascii="Verdana" w:hAnsi="Verdana"/>
                <w:color w:val="000000"/>
                <w:sz w:val="18"/>
                <w:szCs w:val="18"/>
              </w:rPr>
              <w:t>3</w:t>
            </w:r>
            <w:r w:rsidR="00754226">
              <w:rPr>
                <w:rFonts w:ascii="Verdana" w:hAnsi="Verdana"/>
                <w:color w:val="000000"/>
                <w:sz w:val="18"/>
                <w:szCs w:val="18"/>
              </w:rPr>
              <w:t>3</w:t>
            </w:r>
            <w:r w:rsidR="007A7050">
              <w:rPr>
                <w:rFonts w:ascii="Verdana" w:hAnsi="Verdana"/>
                <w:color w:val="000000"/>
                <w:sz w:val="18"/>
                <w:szCs w:val="18"/>
              </w:rPr>
              <w:t> </w:t>
            </w:r>
            <w:r w:rsidR="00754226">
              <w:rPr>
                <w:rFonts w:ascii="Verdana" w:hAnsi="Verdana"/>
                <w:color w:val="000000"/>
                <w:sz w:val="18"/>
                <w:szCs w:val="18"/>
              </w:rPr>
              <w:t>906</w:t>
            </w:r>
            <w:r w:rsidR="007A7050">
              <w:rPr>
                <w:rFonts w:ascii="Verdana" w:hAnsi="Verdana"/>
                <w:color w:val="000000"/>
                <w:sz w:val="18"/>
                <w:szCs w:val="18"/>
              </w:rPr>
              <w:t>,</w:t>
            </w:r>
            <w:r w:rsidR="00754226">
              <w:rPr>
                <w:rFonts w:ascii="Verdana" w:hAnsi="Verdana"/>
                <w:color w:val="000000"/>
                <w:sz w:val="18"/>
                <w:szCs w:val="18"/>
              </w:rPr>
              <w:t>7</w:t>
            </w:r>
          </w:p>
        </w:tc>
      </w:tr>
      <w:tr w:rsidR="00267704" w:rsidRPr="00AB6CBE" w14:paraId="1B33BD98" w14:textId="77777777" w:rsidTr="00275FDA">
        <w:tc>
          <w:tcPr>
            <w:tcW w:w="567" w:type="dxa"/>
            <w:shd w:val="clear" w:color="auto" w:fill="auto"/>
          </w:tcPr>
          <w:p w14:paraId="58A8D45C" w14:textId="3B12D3BD" w:rsidR="00267704" w:rsidRDefault="00267704" w:rsidP="00BA7F27">
            <w:pPr>
              <w:spacing w:before="40" w:after="40" w:line="260" w:lineRule="atLeast"/>
              <w:rPr>
                <w:rFonts w:ascii="Verdana" w:hAnsi="Verdana"/>
                <w:color w:val="000000"/>
                <w:sz w:val="18"/>
                <w:szCs w:val="18"/>
              </w:rPr>
            </w:pPr>
            <w:r>
              <w:rPr>
                <w:rFonts w:ascii="Verdana" w:hAnsi="Verdana"/>
                <w:color w:val="000000"/>
                <w:sz w:val="18"/>
                <w:szCs w:val="18"/>
              </w:rPr>
              <w:t>2.</w:t>
            </w:r>
          </w:p>
        </w:tc>
        <w:tc>
          <w:tcPr>
            <w:tcW w:w="1984" w:type="dxa"/>
            <w:gridSpan w:val="2"/>
            <w:shd w:val="clear" w:color="auto" w:fill="auto"/>
          </w:tcPr>
          <w:p w14:paraId="5FE7BE6A" w14:textId="612EE0FB" w:rsidR="00267704" w:rsidRPr="003B4F95" w:rsidRDefault="00267704" w:rsidP="00BA7F27">
            <w:pPr>
              <w:spacing w:before="40" w:after="40" w:line="260" w:lineRule="atLeast"/>
              <w:rPr>
                <w:rFonts w:ascii="Verdana" w:hAnsi="Verdana"/>
                <w:color w:val="000000"/>
                <w:sz w:val="18"/>
                <w:szCs w:val="18"/>
              </w:rPr>
            </w:pPr>
            <w:r>
              <w:rPr>
                <w:rFonts w:ascii="Verdana" w:hAnsi="Verdana"/>
                <w:color w:val="000000"/>
                <w:sz w:val="18"/>
                <w:szCs w:val="18"/>
              </w:rPr>
              <w:t>Sygnia/Itrix</w:t>
            </w:r>
          </w:p>
        </w:tc>
        <w:tc>
          <w:tcPr>
            <w:tcW w:w="993" w:type="dxa"/>
            <w:shd w:val="clear" w:color="auto" w:fill="auto"/>
            <w:vAlign w:val="center"/>
          </w:tcPr>
          <w:p w14:paraId="5880BF0C" w14:textId="5E79F644" w:rsidR="00267704" w:rsidRDefault="00267704" w:rsidP="00BA7F27">
            <w:pPr>
              <w:spacing w:before="40" w:after="40" w:line="260" w:lineRule="atLeast"/>
              <w:jc w:val="center"/>
              <w:rPr>
                <w:rFonts w:ascii="Verdana" w:hAnsi="Verdana"/>
                <w:color w:val="000000"/>
                <w:sz w:val="18"/>
                <w:szCs w:val="18"/>
              </w:rPr>
            </w:pPr>
            <w:r>
              <w:rPr>
                <w:rFonts w:ascii="Verdana" w:hAnsi="Verdana"/>
                <w:color w:val="000000"/>
                <w:sz w:val="18"/>
                <w:szCs w:val="18"/>
              </w:rPr>
              <w:t>10</w:t>
            </w:r>
          </w:p>
        </w:tc>
        <w:tc>
          <w:tcPr>
            <w:tcW w:w="992" w:type="dxa"/>
            <w:shd w:val="clear" w:color="auto" w:fill="auto"/>
            <w:vAlign w:val="center"/>
          </w:tcPr>
          <w:p w14:paraId="5E2E27B1" w14:textId="07E97CED" w:rsidR="00267704" w:rsidRDefault="00267704" w:rsidP="00BA7F27">
            <w:pPr>
              <w:spacing w:before="40" w:after="40" w:line="26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2BB5A691" w14:textId="236A4AFE" w:rsidR="00267704" w:rsidRDefault="00267704" w:rsidP="00BA7F27">
            <w:pPr>
              <w:spacing w:before="40" w:after="40" w:line="260" w:lineRule="atLeast"/>
              <w:jc w:val="right"/>
              <w:rPr>
                <w:rFonts w:ascii="Verdana" w:hAnsi="Verdana"/>
                <w:color w:val="000000"/>
                <w:sz w:val="18"/>
                <w:szCs w:val="18"/>
              </w:rPr>
            </w:pPr>
            <w:r>
              <w:rPr>
                <w:rFonts w:ascii="Verdana" w:hAnsi="Verdana"/>
                <w:color w:val="000000"/>
                <w:sz w:val="18"/>
                <w:szCs w:val="18"/>
              </w:rPr>
              <w:t>19 954,1</w:t>
            </w:r>
          </w:p>
        </w:tc>
        <w:tc>
          <w:tcPr>
            <w:tcW w:w="1418" w:type="dxa"/>
            <w:vAlign w:val="center"/>
          </w:tcPr>
          <w:p w14:paraId="72C3C66A" w14:textId="3FCBC345" w:rsidR="00267704" w:rsidRDefault="00267704" w:rsidP="00BA7F27">
            <w:pPr>
              <w:spacing w:before="40" w:after="40" w:line="26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B9FC41F" w14:textId="070F1579" w:rsidR="00267704" w:rsidRDefault="00267704" w:rsidP="00BA7F27">
            <w:pPr>
              <w:spacing w:before="40" w:after="40" w:line="260" w:lineRule="atLeast"/>
              <w:jc w:val="right"/>
              <w:rPr>
                <w:rFonts w:ascii="Verdana" w:hAnsi="Verdana"/>
                <w:color w:val="000000"/>
                <w:sz w:val="18"/>
                <w:szCs w:val="18"/>
              </w:rPr>
            </w:pPr>
            <w:r>
              <w:rPr>
                <w:rFonts w:ascii="Verdana" w:hAnsi="Verdana"/>
                <w:color w:val="000000"/>
                <w:sz w:val="18"/>
                <w:szCs w:val="18"/>
              </w:rPr>
              <w:t>19 954,1</w:t>
            </w:r>
          </w:p>
        </w:tc>
      </w:tr>
      <w:tr w:rsidR="00267704" w:rsidRPr="00AB6CBE" w14:paraId="1F3149AF" w14:textId="77777777" w:rsidTr="00275FDA">
        <w:tc>
          <w:tcPr>
            <w:tcW w:w="567" w:type="dxa"/>
            <w:shd w:val="clear" w:color="auto" w:fill="auto"/>
          </w:tcPr>
          <w:p w14:paraId="5394F4C7" w14:textId="4845DD07" w:rsidR="00267704" w:rsidRDefault="00267704" w:rsidP="00BA7F27">
            <w:pPr>
              <w:spacing w:before="40" w:after="40" w:line="260" w:lineRule="atLeast"/>
              <w:rPr>
                <w:rFonts w:ascii="Verdana" w:hAnsi="Verdana"/>
                <w:color w:val="000000"/>
                <w:sz w:val="18"/>
                <w:szCs w:val="18"/>
              </w:rPr>
            </w:pPr>
            <w:r>
              <w:rPr>
                <w:rFonts w:ascii="Verdana" w:hAnsi="Verdana"/>
                <w:color w:val="000000"/>
                <w:sz w:val="18"/>
                <w:szCs w:val="18"/>
              </w:rPr>
              <w:t>3.</w:t>
            </w:r>
          </w:p>
        </w:tc>
        <w:tc>
          <w:tcPr>
            <w:tcW w:w="1984" w:type="dxa"/>
            <w:gridSpan w:val="2"/>
            <w:shd w:val="clear" w:color="auto" w:fill="auto"/>
          </w:tcPr>
          <w:p w14:paraId="147F4F16" w14:textId="69C4315A" w:rsidR="00267704" w:rsidRDefault="00267704" w:rsidP="00BA7F27">
            <w:pPr>
              <w:spacing w:before="40" w:after="40" w:line="260" w:lineRule="atLeast"/>
              <w:rPr>
                <w:rFonts w:ascii="Verdana" w:hAnsi="Verdana"/>
                <w:color w:val="000000"/>
                <w:sz w:val="18"/>
                <w:szCs w:val="18"/>
              </w:rPr>
            </w:pPr>
            <w:r w:rsidRPr="003B4F95">
              <w:rPr>
                <w:rFonts w:ascii="Verdana" w:hAnsi="Verdana"/>
                <w:color w:val="000000"/>
                <w:sz w:val="18"/>
                <w:szCs w:val="18"/>
              </w:rPr>
              <w:t>Satrix Managers</w:t>
            </w:r>
          </w:p>
        </w:tc>
        <w:tc>
          <w:tcPr>
            <w:tcW w:w="993" w:type="dxa"/>
            <w:shd w:val="clear" w:color="auto" w:fill="auto"/>
            <w:vAlign w:val="center"/>
          </w:tcPr>
          <w:p w14:paraId="7309BBD5" w14:textId="26A63166" w:rsidR="00267704" w:rsidRDefault="00267704" w:rsidP="00BA7F27">
            <w:pPr>
              <w:spacing w:before="40" w:after="40" w:line="260" w:lineRule="atLeast"/>
              <w:jc w:val="center"/>
              <w:rPr>
                <w:rFonts w:ascii="Verdana" w:hAnsi="Verdana"/>
                <w:color w:val="000000"/>
                <w:sz w:val="18"/>
                <w:szCs w:val="18"/>
              </w:rPr>
            </w:pPr>
            <w:r>
              <w:rPr>
                <w:rFonts w:ascii="Verdana" w:hAnsi="Verdana"/>
                <w:color w:val="000000"/>
                <w:sz w:val="18"/>
                <w:szCs w:val="18"/>
              </w:rPr>
              <w:t>15</w:t>
            </w:r>
          </w:p>
        </w:tc>
        <w:tc>
          <w:tcPr>
            <w:tcW w:w="992" w:type="dxa"/>
            <w:shd w:val="clear" w:color="auto" w:fill="auto"/>
            <w:vAlign w:val="center"/>
          </w:tcPr>
          <w:p w14:paraId="5777C719" w14:textId="50C1D884" w:rsidR="00267704" w:rsidRDefault="00267704" w:rsidP="00BA7F27">
            <w:pPr>
              <w:spacing w:before="40" w:after="40" w:line="26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291DF981" w14:textId="017481F2" w:rsidR="00267704" w:rsidRDefault="00267704" w:rsidP="00BA7F27">
            <w:pPr>
              <w:spacing w:before="40" w:after="40" w:line="260" w:lineRule="atLeast"/>
              <w:jc w:val="right"/>
              <w:rPr>
                <w:rFonts w:ascii="Verdana" w:hAnsi="Verdana"/>
                <w:color w:val="000000"/>
                <w:sz w:val="18"/>
                <w:szCs w:val="18"/>
              </w:rPr>
            </w:pPr>
            <w:r>
              <w:rPr>
                <w:rFonts w:ascii="Verdana" w:hAnsi="Verdana"/>
                <w:color w:val="000000"/>
                <w:sz w:val="18"/>
                <w:szCs w:val="18"/>
              </w:rPr>
              <w:t>16 885,4</w:t>
            </w:r>
          </w:p>
        </w:tc>
        <w:tc>
          <w:tcPr>
            <w:tcW w:w="1418" w:type="dxa"/>
            <w:vAlign w:val="center"/>
          </w:tcPr>
          <w:p w14:paraId="7DF98128" w14:textId="502F7AA3" w:rsidR="00267704" w:rsidRDefault="00267704" w:rsidP="00BA7F27">
            <w:pPr>
              <w:spacing w:before="40" w:after="40" w:line="26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67DCDDAE" w14:textId="469B3E33" w:rsidR="00267704" w:rsidRDefault="00267704" w:rsidP="00BA7F27">
            <w:pPr>
              <w:spacing w:before="40" w:after="40" w:line="260" w:lineRule="atLeast"/>
              <w:jc w:val="right"/>
              <w:rPr>
                <w:rFonts w:ascii="Verdana" w:hAnsi="Verdana"/>
                <w:color w:val="000000"/>
                <w:sz w:val="18"/>
                <w:szCs w:val="18"/>
              </w:rPr>
            </w:pPr>
            <w:r>
              <w:rPr>
                <w:rFonts w:ascii="Verdana" w:hAnsi="Verdana"/>
                <w:color w:val="000000"/>
                <w:sz w:val="18"/>
                <w:szCs w:val="18"/>
              </w:rPr>
              <w:t>16 885,4</w:t>
            </w:r>
          </w:p>
        </w:tc>
      </w:tr>
      <w:tr w:rsidR="00267704" w:rsidRPr="000435BE" w14:paraId="2C8E5907" w14:textId="77777777" w:rsidTr="00275FDA">
        <w:tc>
          <w:tcPr>
            <w:tcW w:w="567" w:type="dxa"/>
            <w:shd w:val="clear" w:color="auto" w:fill="auto"/>
          </w:tcPr>
          <w:p w14:paraId="29BD30B3" w14:textId="77777777" w:rsidR="00267704" w:rsidRPr="003B4F95" w:rsidRDefault="00267704" w:rsidP="00BA7F27">
            <w:pPr>
              <w:spacing w:before="40" w:after="40" w:line="260" w:lineRule="atLeast"/>
              <w:rPr>
                <w:rFonts w:ascii="Verdana" w:hAnsi="Verdana"/>
                <w:color w:val="000000"/>
                <w:sz w:val="18"/>
                <w:szCs w:val="18"/>
              </w:rPr>
            </w:pPr>
            <w:r w:rsidRPr="003B4F95">
              <w:rPr>
                <w:rFonts w:ascii="Verdana" w:hAnsi="Verdana"/>
                <w:color w:val="000000"/>
                <w:sz w:val="18"/>
                <w:szCs w:val="18"/>
              </w:rPr>
              <w:t>4.</w:t>
            </w:r>
          </w:p>
        </w:tc>
        <w:tc>
          <w:tcPr>
            <w:tcW w:w="1984" w:type="dxa"/>
            <w:gridSpan w:val="2"/>
            <w:shd w:val="clear" w:color="auto" w:fill="auto"/>
          </w:tcPr>
          <w:p w14:paraId="5A020CE8" w14:textId="5592F310" w:rsidR="00267704" w:rsidRPr="003B4F95" w:rsidRDefault="00267704" w:rsidP="00BA7F27">
            <w:pPr>
              <w:spacing w:before="40" w:after="40" w:line="260" w:lineRule="atLeast"/>
              <w:rPr>
                <w:rFonts w:ascii="Verdana" w:hAnsi="Verdana"/>
                <w:color w:val="000000"/>
                <w:sz w:val="18"/>
                <w:szCs w:val="18"/>
              </w:rPr>
            </w:pPr>
            <w:r>
              <w:rPr>
                <w:rFonts w:ascii="Verdana" w:hAnsi="Verdana"/>
                <w:color w:val="000000"/>
                <w:sz w:val="18"/>
                <w:szCs w:val="18"/>
              </w:rPr>
              <w:t>1nvest</w:t>
            </w:r>
          </w:p>
        </w:tc>
        <w:tc>
          <w:tcPr>
            <w:tcW w:w="993" w:type="dxa"/>
            <w:shd w:val="clear" w:color="auto" w:fill="auto"/>
            <w:vAlign w:val="center"/>
          </w:tcPr>
          <w:p w14:paraId="1BB5FDDF" w14:textId="527ED264" w:rsidR="00267704" w:rsidRPr="003B4F95" w:rsidRDefault="00267704" w:rsidP="00BA7F27">
            <w:pPr>
              <w:spacing w:before="40" w:after="40" w:line="260" w:lineRule="atLeast"/>
              <w:jc w:val="center"/>
              <w:rPr>
                <w:rFonts w:ascii="Verdana" w:hAnsi="Verdana"/>
                <w:color w:val="000000"/>
                <w:sz w:val="18"/>
                <w:szCs w:val="18"/>
              </w:rPr>
            </w:pPr>
            <w:r>
              <w:rPr>
                <w:rFonts w:ascii="Verdana" w:hAnsi="Verdana"/>
                <w:color w:val="000000"/>
                <w:sz w:val="18"/>
                <w:szCs w:val="18"/>
              </w:rPr>
              <w:t>13</w:t>
            </w:r>
          </w:p>
        </w:tc>
        <w:tc>
          <w:tcPr>
            <w:tcW w:w="992" w:type="dxa"/>
            <w:shd w:val="clear" w:color="auto" w:fill="auto"/>
            <w:vAlign w:val="center"/>
          </w:tcPr>
          <w:p w14:paraId="2FD90278" w14:textId="5E9FA82D" w:rsidR="00267704" w:rsidRPr="003B4F95" w:rsidRDefault="00267704" w:rsidP="00BA7F27">
            <w:pPr>
              <w:spacing w:before="40" w:after="40" w:line="26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334080BF" w14:textId="4381C2DF" w:rsidR="00267704" w:rsidRPr="003B4F95" w:rsidRDefault="00ED17B2" w:rsidP="00BA7F27">
            <w:pPr>
              <w:spacing w:before="40" w:after="40" w:line="260" w:lineRule="atLeast"/>
              <w:jc w:val="right"/>
              <w:rPr>
                <w:rFonts w:ascii="Verdana" w:hAnsi="Verdana"/>
                <w:color w:val="000000"/>
                <w:sz w:val="18"/>
                <w:szCs w:val="18"/>
              </w:rPr>
            </w:pPr>
            <w:r>
              <w:rPr>
                <w:rFonts w:ascii="Verdana" w:hAnsi="Verdana"/>
                <w:color w:val="000000"/>
                <w:sz w:val="18"/>
                <w:szCs w:val="18"/>
              </w:rPr>
              <w:t>7</w:t>
            </w:r>
            <w:r w:rsidR="00267704">
              <w:rPr>
                <w:rFonts w:ascii="Verdana" w:hAnsi="Verdana"/>
                <w:color w:val="000000"/>
                <w:sz w:val="18"/>
                <w:szCs w:val="18"/>
              </w:rPr>
              <w:t> </w:t>
            </w:r>
            <w:r>
              <w:rPr>
                <w:rFonts w:ascii="Verdana" w:hAnsi="Verdana"/>
                <w:color w:val="000000"/>
                <w:sz w:val="18"/>
                <w:szCs w:val="18"/>
              </w:rPr>
              <w:t>188</w:t>
            </w:r>
            <w:r w:rsidR="00267704">
              <w:rPr>
                <w:rFonts w:ascii="Verdana" w:hAnsi="Verdana"/>
                <w:color w:val="000000"/>
                <w:sz w:val="18"/>
                <w:szCs w:val="18"/>
              </w:rPr>
              <w:t>,</w:t>
            </w:r>
            <w:r>
              <w:rPr>
                <w:rFonts w:ascii="Verdana" w:hAnsi="Verdana"/>
                <w:color w:val="000000"/>
                <w:sz w:val="18"/>
                <w:szCs w:val="18"/>
              </w:rPr>
              <w:t>4</w:t>
            </w:r>
          </w:p>
        </w:tc>
        <w:tc>
          <w:tcPr>
            <w:tcW w:w="1418" w:type="dxa"/>
            <w:vAlign w:val="center"/>
          </w:tcPr>
          <w:p w14:paraId="4C980058" w14:textId="5C706BE6" w:rsidR="00267704" w:rsidRPr="003B4F95" w:rsidRDefault="00267704" w:rsidP="00BA7F27">
            <w:pPr>
              <w:spacing w:before="40" w:after="40" w:line="26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7E520B74" w14:textId="63C29993" w:rsidR="00267704" w:rsidRPr="003B4F95" w:rsidRDefault="00ED17B2" w:rsidP="00BA7F27">
            <w:pPr>
              <w:spacing w:before="40" w:after="40" w:line="260" w:lineRule="atLeast"/>
              <w:jc w:val="right"/>
              <w:rPr>
                <w:rFonts w:ascii="Verdana" w:hAnsi="Verdana"/>
                <w:color w:val="000000"/>
                <w:sz w:val="18"/>
                <w:szCs w:val="18"/>
              </w:rPr>
            </w:pPr>
            <w:r>
              <w:rPr>
                <w:rFonts w:ascii="Verdana" w:hAnsi="Verdana"/>
                <w:color w:val="000000"/>
                <w:sz w:val="18"/>
                <w:szCs w:val="18"/>
              </w:rPr>
              <w:t>7</w:t>
            </w:r>
            <w:r w:rsidR="00267704">
              <w:rPr>
                <w:rFonts w:ascii="Verdana" w:hAnsi="Verdana"/>
                <w:color w:val="000000"/>
                <w:sz w:val="18"/>
                <w:szCs w:val="18"/>
              </w:rPr>
              <w:t> </w:t>
            </w:r>
            <w:r>
              <w:rPr>
                <w:rFonts w:ascii="Verdana" w:hAnsi="Verdana"/>
                <w:color w:val="000000"/>
                <w:sz w:val="18"/>
                <w:szCs w:val="18"/>
              </w:rPr>
              <w:t>188</w:t>
            </w:r>
            <w:r w:rsidR="00267704">
              <w:rPr>
                <w:rFonts w:ascii="Verdana" w:hAnsi="Verdana"/>
                <w:color w:val="000000"/>
                <w:sz w:val="18"/>
                <w:szCs w:val="18"/>
              </w:rPr>
              <w:t>,</w:t>
            </w:r>
            <w:r>
              <w:rPr>
                <w:rFonts w:ascii="Verdana" w:hAnsi="Verdana"/>
                <w:color w:val="000000"/>
                <w:sz w:val="18"/>
                <w:szCs w:val="18"/>
              </w:rPr>
              <w:t>4</w:t>
            </w:r>
          </w:p>
        </w:tc>
      </w:tr>
      <w:tr w:rsidR="00267704" w:rsidRPr="000435BE" w14:paraId="4B0E4E93" w14:textId="77777777" w:rsidTr="00275FDA">
        <w:tc>
          <w:tcPr>
            <w:tcW w:w="567" w:type="dxa"/>
            <w:shd w:val="clear" w:color="auto" w:fill="auto"/>
          </w:tcPr>
          <w:p w14:paraId="13B4253F" w14:textId="1EE03C52" w:rsidR="00267704" w:rsidRDefault="00A1052C" w:rsidP="00BA7F27">
            <w:pPr>
              <w:spacing w:before="40" w:after="40" w:line="260" w:lineRule="atLeast"/>
              <w:rPr>
                <w:rFonts w:ascii="Verdana" w:hAnsi="Verdana"/>
                <w:color w:val="000000"/>
                <w:sz w:val="18"/>
                <w:szCs w:val="18"/>
              </w:rPr>
            </w:pPr>
            <w:r>
              <w:rPr>
                <w:rFonts w:ascii="Verdana" w:hAnsi="Verdana"/>
                <w:color w:val="000000"/>
                <w:sz w:val="18"/>
                <w:szCs w:val="18"/>
              </w:rPr>
              <w:t>5</w:t>
            </w:r>
            <w:r w:rsidR="00267704" w:rsidRPr="003B4F95">
              <w:rPr>
                <w:rFonts w:ascii="Verdana" w:hAnsi="Verdana"/>
                <w:color w:val="000000"/>
                <w:sz w:val="18"/>
                <w:szCs w:val="18"/>
              </w:rPr>
              <w:t>.</w:t>
            </w:r>
          </w:p>
        </w:tc>
        <w:tc>
          <w:tcPr>
            <w:tcW w:w="1984" w:type="dxa"/>
            <w:gridSpan w:val="2"/>
            <w:shd w:val="clear" w:color="auto" w:fill="auto"/>
          </w:tcPr>
          <w:p w14:paraId="01058E53" w14:textId="77777777" w:rsidR="00267704" w:rsidRPr="003B4F95" w:rsidRDefault="00267704" w:rsidP="00BA7F27">
            <w:pPr>
              <w:spacing w:before="40" w:after="40" w:line="260" w:lineRule="atLeast"/>
              <w:rPr>
                <w:rFonts w:ascii="Verdana" w:hAnsi="Verdana"/>
                <w:color w:val="000000"/>
                <w:sz w:val="18"/>
                <w:szCs w:val="18"/>
              </w:rPr>
            </w:pPr>
            <w:r w:rsidRPr="003B4F95">
              <w:rPr>
                <w:rFonts w:ascii="Verdana" w:hAnsi="Verdana"/>
                <w:color w:val="000000"/>
                <w:sz w:val="18"/>
                <w:szCs w:val="18"/>
              </w:rPr>
              <w:t>CoreShares</w:t>
            </w:r>
          </w:p>
        </w:tc>
        <w:tc>
          <w:tcPr>
            <w:tcW w:w="993" w:type="dxa"/>
            <w:shd w:val="clear" w:color="auto" w:fill="auto"/>
            <w:vAlign w:val="center"/>
          </w:tcPr>
          <w:p w14:paraId="4D31AE9D" w14:textId="63F310EA" w:rsidR="00267704" w:rsidRPr="003B4F95" w:rsidRDefault="00267704" w:rsidP="00BA7F27">
            <w:pPr>
              <w:spacing w:before="40" w:after="40" w:line="260" w:lineRule="atLeast"/>
              <w:jc w:val="center"/>
              <w:rPr>
                <w:rFonts w:ascii="Verdana" w:hAnsi="Verdana"/>
                <w:color w:val="000000"/>
                <w:sz w:val="18"/>
                <w:szCs w:val="18"/>
              </w:rPr>
            </w:pPr>
            <w:r>
              <w:rPr>
                <w:rFonts w:ascii="Verdana" w:hAnsi="Verdana"/>
                <w:color w:val="000000"/>
                <w:sz w:val="18"/>
                <w:szCs w:val="18"/>
              </w:rPr>
              <w:t>8</w:t>
            </w:r>
          </w:p>
        </w:tc>
        <w:tc>
          <w:tcPr>
            <w:tcW w:w="992" w:type="dxa"/>
            <w:shd w:val="clear" w:color="auto" w:fill="auto"/>
            <w:vAlign w:val="center"/>
          </w:tcPr>
          <w:p w14:paraId="06049A2D" w14:textId="77777777" w:rsidR="00267704" w:rsidRPr="003B4F95" w:rsidRDefault="00267704" w:rsidP="00BA7F27">
            <w:pPr>
              <w:spacing w:before="40" w:after="40" w:line="26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99B66D1" w14:textId="369A3612" w:rsidR="00267704" w:rsidRPr="003B4F95" w:rsidRDefault="00A1052C" w:rsidP="00BA7F27">
            <w:pPr>
              <w:spacing w:before="40" w:after="40" w:line="260" w:lineRule="atLeast"/>
              <w:jc w:val="right"/>
              <w:rPr>
                <w:rFonts w:ascii="Verdana" w:hAnsi="Verdana"/>
                <w:color w:val="000000"/>
                <w:sz w:val="18"/>
                <w:szCs w:val="18"/>
              </w:rPr>
            </w:pPr>
            <w:r>
              <w:rPr>
                <w:rFonts w:ascii="Verdana" w:hAnsi="Verdana"/>
                <w:color w:val="000000"/>
                <w:sz w:val="18"/>
                <w:szCs w:val="18"/>
              </w:rPr>
              <w:t>3</w:t>
            </w:r>
            <w:r w:rsidR="00267704">
              <w:rPr>
                <w:rFonts w:ascii="Verdana" w:hAnsi="Verdana"/>
                <w:color w:val="000000"/>
                <w:sz w:val="18"/>
                <w:szCs w:val="18"/>
              </w:rPr>
              <w:t> </w:t>
            </w:r>
            <w:r>
              <w:rPr>
                <w:rFonts w:ascii="Verdana" w:hAnsi="Verdana"/>
                <w:color w:val="000000"/>
                <w:sz w:val="18"/>
                <w:szCs w:val="18"/>
              </w:rPr>
              <w:t>939</w:t>
            </w:r>
            <w:r w:rsidR="00267704">
              <w:rPr>
                <w:rFonts w:ascii="Verdana" w:hAnsi="Verdana"/>
                <w:color w:val="000000"/>
                <w:sz w:val="18"/>
                <w:szCs w:val="18"/>
              </w:rPr>
              <w:t>,</w:t>
            </w:r>
            <w:r w:rsidR="003455BD">
              <w:rPr>
                <w:rFonts w:ascii="Verdana" w:hAnsi="Verdana"/>
                <w:color w:val="000000"/>
                <w:sz w:val="18"/>
                <w:szCs w:val="18"/>
              </w:rPr>
              <w:t>1</w:t>
            </w:r>
          </w:p>
        </w:tc>
        <w:tc>
          <w:tcPr>
            <w:tcW w:w="1418" w:type="dxa"/>
            <w:vAlign w:val="center"/>
          </w:tcPr>
          <w:p w14:paraId="59C46226" w14:textId="7A336E20" w:rsidR="00267704" w:rsidRPr="003B4F95" w:rsidRDefault="00267704" w:rsidP="00BA7F27">
            <w:pPr>
              <w:spacing w:before="40" w:after="40" w:line="26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DF64051" w14:textId="42E5CC9D" w:rsidR="00267704" w:rsidRPr="003B4F95" w:rsidRDefault="00A1052C" w:rsidP="00BA7F27">
            <w:pPr>
              <w:spacing w:before="40" w:after="40" w:line="260" w:lineRule="atLeast"/>
              <w:jc w:val="right"/>
              <w:rPr>
                <w:rFonts w:ascii="Verdana" w:hAnsi="Verdana"/>
                <w:color w:val="000000"/>
                <w:sz w:val="18"/>
                <w:szCs w:val="18"/>
              </w:rPr>
            </w:pPr>
            <w:r>
              <w:rPr>
                <w:rFonts w:ascii="Verdana" w:hAnsi="Verdana"/>
                <w:color w:val="000000"/>
                <w:sz w:val="18"/>
                <w:szCs w:val="18"/>
              </w:rPr>
              <w:t>3</w:t>
            </w:r>
            <w:r w:rsidR="00267704">
              <w:rPr>
                <w:rFonts w:ascii="Verdana" w:hAnsi="Verdana"/>
                <w:color w:val="000000"/>
                <w:sz w:val="18"/>
                <w:szCs w:val="18"/>
              </w:rPr>
              <w:t> </w:t>
            </w:r>
            <w:r>
              <w:rPr>
                <w:rFonts w:ascii="Verdana" w:hAnsi="Verdana"/>
                <w:color w:val="000000"/>
                <w:sz w:val="18"/>
                <w:szCs w:val="18"/>
              </w:rPr>
              <w:t>939</w:t>
            </w:r>
            <w:r w:rsidR="00267704">
              <w:rPr>
                <w:rFonts w:ascii="Verdana" w:hAnsi="Verdana"/>
                <w:color w:val="000000"/>
                <w:sz w:val="18"/>
                <w:szCs w:val="18"/>
              </w:rPr>
              <w:t>,</w:t>
            </w:r>
            <w:r w:rsidR="003455BD">
              <w:rPr>
                <w:rFonts w:ascii="Verdana" w:hAnsi="Verdana"/>
                <w:color w:val="000000"/>
                <w:sz w:val="18"/>
                <w:szCs w:val="18"/>
              </w:rPr>
              <w:t>1</w:t>
            </w:r>
          </w:p>
        </w:tc>
      </w:tr>
      <w:tr w:rsidR="00267704" w:rsidRPr="000435BE" w14:paraId="5C2F6222" w14:textId="77777777" w:rsidTr="00275FDA">
        <w:tc>
          <w:tcPr>
            <w:tcW w:w="567" w:type="dxa"/>
            <w:shd w:val="clear" w:color="auto" w:fill="auto"/>
          </w:tcPr>
          <w:p w14:paraId="47C15A8F" w14:textId="15EF440F" w:rsidR="00267704" w:rsidRDefault="00A1052C" w:rsidP="00BA7F27">
            <w:pPr>
              <w:spacing w:before="40" w:after="40" w:line="260" w:lineRule="atLeast"/>
              <w:rPr>
                <w:rFonts w:ascii="Verdana" w:hAnsi="Verdana"/>
                <w:color w:val="000000"/>
                <w:sz w:val="18"/>
                <w:szCs w:val="18"/>
              </w:rPr>
            </w:pPr>
            <w:r>
              <w:rPr>
                <w:rFonts w:ascii="Verdana" w:hAnsi="Verdana"/>
                <w:color w:val="000000"/>
                <w:sz w:val="18"/>
                <w:szCs w:val="18"/>
              </w:rPr>
              <w:t>6</w:t>
            </w:r>
            <w:r w:rsidR="00267704">
              <w:rPr>
                <w:rFonts w:ascii="Verdana" w:hAnsi="Verdana"/>
                <w:color w:val="000000"/>
                <w:sz w:val="18"/>
                <w:szCs w:val="18"/>
              </w:rPr>
              <w:t>.</w:t>
            </w:r>
          </w:p>
        </w:tc>
        <w:tc>
          <w:tcPr>
            <w:tcW w:w="1984" w:type="dxa"/>
            <w:gridSpan w:val="2"/>
            <w:shd w:val="clear" w:color="auto" w:fill="auto"/>
          </w:tcPr>
          <w:p w14:paraId="5FBC040D" w14:textId="7EDBCA64" w:rsidR="00267704" w:rsidRPr="003B4F95" w:rsidRDefault="00267704" w:rsidP="00BA7F27">
            <w:pPr>
              <w:spacing w:before="40" w:after="40" w:line="260" w:lineRule="atLeast"/>
              <w:rPr>
                <w:rFonts w:ascii="Verdana" w:hAnsi="Verdana"/>
                <w:color w:val="000000"/>
                <w:sz w:val="18"/>
                <w:szCs w:val="18"/>
              </w:rPr>
            </w:pPr>
            <w:r w:rsidRPr="003B4F95">
              <w:rPr>
                <w:rFonts w:ascii="Verdana" w:hAnsi="Verdana"/>
                <w:color w:val="000000"/>
                <w:sz w:val="18"/>
                <w:szCs w:val="18"/>
              </w:rPr>
              <w:t>Ashburton</w:t>
            </w:r>
          </w:p>
        </w:tc>
        <w:tc>
          <w:tcPr>
            <w:tcW w:w="993" w:type="dxa"/>
            <w:shd w:val="clear" w:color="auto" w:fill="auto"/>
            <w:vAlign w:val="center"/>
          </w:tcPr>
          <w:p w14:paraId="4AF45A56" w14:textId="50F04966" w:rsidR="00267704" w:rsidRDefault="00267704" w:rsidP="00BA7F27">
            <w:pPr>
              <w:spacing w:before="40" w:after="40" w:line="260" w:lineRule="atLeast"/>
              <w:jc w:val="center"/>
              <w:rPr>
                <w:rFonts w:ascii="Verdana" w:hAnsi="Verdana"/>
                <w:color w:val="000000"/>
                <w:sz w:val="18"/>
                <w:szCs w:val="18"/>
              </w:rPr>
            </w:pPr>
            <w:r>
              <w:rPr>
                <w:rFonts w:ascii="Verdana" w:hAnsi="Verdana"/>
                <w:color w:val="000000"/>
                <w:sz w:val="18"/>
                <w:szCs w:val="18"/>
              </w:rPr>
              <w:t>5</w:t>
            </w:r>
          </w:p>
        </w:tc>
        <w:tc>
          <w:tcPr>
            <w:tcW w:w="992" w:type="dxa"/>
            <w:shd w:val="clear" w:color="auto" w:fill="auto"/>
            <w:vAlign w:val="center"/>
          </w:tcPr>
          <w:p w14:paraId="1B3A7980" w14:textId="2D3CBDA0" w:rsidR="00267704" w:rsidRDefault="00267704" w:rsidP="00BA7F27">
            <w:pPr>
              <w:spacing w:before="40" w:after="40" w:line="26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2D53D853" w14:textId="6E52D49A" w:rsidR="00267704" w:rsidRDefault="00805B57" w:rsidP="00BA7F27">
            <w:pPr>
              <w:spacing w:before="40" w:after="40" w:line="260" w:lineRule="atLeast"/>
              <w:jc w:val="right"/>
              <w:rPr>
                <w:rFonts w:ascii="Verdana" w:hAnsi="Verdana"/>
                <w:color w:val="000000"/>
                <w:sz w:val="18"/>
                <w:szCs w:val="18"/>
              </w:rPr>
            </w:pPr>
            <w:r>
              <w:rPr>
                <w:rFonts w:ascii="Verdana" w:hAnsi="Verdana"/>
                <w:color w:val="000000"/>
                <w:sz w:val="18"/>
                <w:szCs w:val="18"/>
              </w:rPr>
              <w:t>3</w:t>
            </w:r>
            <w:r w:rsidR="00267704">
              <w:rPr>
                <w:rFonts w:ascii="Verdana" w:hAnsi="Verdana"/>
                <w:color w:val="000000"/>
                <w:sz w:val="18"/>
                <w:szCs w:val="18"/>
              </w:rPr>
              <w:t> </w:t>
            </w:r>
            <w:r>
              <w:rPr>
                <w:rFonts w:ascii="Verdana" w:hAnsi="Verdana"/>
                <w:color w:val="000000"/>
                <w:sz w:val="18"/>
                <w:szCs w:val="18"/>
              </w:rPr>
              <w:t>193</w:t>
            </w:r>
            <w:r w:rsidR="00267704">
              <w:rPr>
                <w:rFonts w:ascii="Verdana" w:hAnsi="Verdana"/>
                <w:color w:val="000000"/>
                <w:sz w:val="18"/>
                <w:szCs w:val="18"/>
              </w:rPr>
              <w:t>,</w:t>
            </w:r>
            <w:r>
              <w:rPr>
                <w:rFonts w:ascii="Verdana" w:hAnsi="Verdana"/>
                <w:color w:val="000000"/>
                <w:sz w:val="18"/>
                <w:szCs w:val="18"/>
              </w:rPr>
              <w:t>8</w:t>
            </w:r>
          </w:p>
        </w:tc>
        <w:tc>
          <w:tcPr>
            <w:tcW w:w="1418" w:type="dxa"/>
            <w:vAlign w:val="center"/>
          </w:tcPr>
          <w:p w14:paraId="049EC42B" w14:textId="02BCBB5C" w:rsidR="00267704" w:rsidRDefault="00267704" w:rsidP="00BA7F27">
            <w:pPr>
              <w:spacing w:before="40" w:after="40" w:line="26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9D85B32" w14:textId="2A83A0D5" w:rsidR="00267704" w:rsidRDefault="00805B57" w:rsidP="00BA7F27">
            <w:pPr>
              <w:spacing w:before="40" w:after="40" w:line="260" w:lineRule="atLeast"/>
              <w:jc w:val="right"/>
              <w:rPr>
                <w:rFonts w:ascii="Verdana" w:hAnsi="Verdana"/>
                <w:color w:val="000000"/>
                <w:sz w:val="18"/>
                <w:szCs w:val="18"/>
              </w:rPr>
            </w:pPr>
            <w:r>
              <w:rPr>
                <w:rFonts w:ascii="Verdana" w:hAnsi="Verdana"/>
                <w:color w:val="000000"/>
                <w:sz w:val="18"/>
                <w:szCs w:val="18"/>
              </w:rPr>
              <w:t>3</w:t>
            </w:r>
            <w:r w:rsidR="00267704">
              <w:rPr>
                <w:rFonts w:ascii="Verdana" w:hAnsi="Verdana"/>
                <w:color w:val="000000"/>
                <w:sz w:val="18"/>
                <w:szCs w:val="18"/>
              </w:rPr>
              <w:t> </w:t>
            </w:r>
            <w:r>
              <w:rPr>
                <w:rFonts w:ascii="Verdana" w:hAnsi="Verdana"/>
                <w:color w:val="000000"/>
                <w:sz w:val="18"/>
                <w:szCs w:val="18"/>
              </w:rPr>
              <w:t>193</w:t>
            </w:r>
            <w:r w:rsidR="00267704">
              <w:rPr>
                <w:rFonts w:ascii="Verdana" w:hAnsi="Verdana"/>
                <w:color w:val="000000"/>
                <w:sz w:val="18"/>
                <w:szCs w:val="18"/>
              </w:rPr>
              <w:t>,</w:t>
            </w:r>
            <w:r>
              <w:rPr>
                <w:rFonts w:ascii="Verdana" w:hAnsi="Verdana"/>
                <w:color w:val="000000"/>
                <w:sz w:val="18"/>
                <w:szCs w:val="18"/>
              </w:rPr>
              <w:t>8</w:t>
            </w:r>
          </w:p>
        </w:tc>
      </w:tr>
      <w:tr w:rsidR="00BB61E9" w:rsidRPr="000435BE" w14:paraId="1EDE4DFF" w14:textId="77777777" w:rsidTr="00275FDA">
        <w:tc>
          <w:tcPr>
            <w:tcW w:w="567" w:type="dxa"/>
            <w:shd w:val="clear" w:color="auto" w:fill="auto"/>
          </w:tcPr>
          <w:p w14:paraId="45000A48" w14:textId="13BFD1D2" w:rsidR="00BB61E9" w:rsidRDefault="00BB61E9" w:rsidP="00BA7F27">
            <w:pPr>
              <w:spacing w:before="40" w:after="40" w:line="260" w:lineRule="atLeast"/>
              <w:rPr>
                <w:rFonts w:ascii="Verdana" w:hAnsi="Verdana"/>
                <w:color w:val="000000"/>
                <w:sz w:val="18"/>
                <w:szCs w:val="18"/>
              </w:rPr>
            </w:pPr>
            <w:r>
              <w:rPr>
                <w:rFonts w:ascii="Verdana" w:hAnsi="Verdana"/>
                <w:color w:val="000000"/>
                <w:sz w:val="18"/>
                <w:szCs w:val="18"/>
              </w:rPr>
              <w:t>7.</w:t>
            </w:r>
          </w:p>
        </w:tc>
        <w:tc>
          <w:tcPr>
            <w:tcW w:w="1984" w:type="dxa"/>
            <w:gridSpan w:val="2"/>
            <w:shd w:val="clear" w:color="auto" w:fill="auto"/>
          </w:tcPr>
          <w:p w14:paraId="2D9745EC" w14:textId="5ED3AF25" w:rsidR="00BB61E9" w:rsidRPr="003B4F95" w:rsidRDefault="00BB61E9" w:rsidP="00BA7F27">
            <w:pPr>
              <w:spacing w:before="40" w:after="40" w:line="260" w:lineRule="atLeast"/>
              <w:rPr>
                <w:rFonts w:ascii="Verdana" w:hAnsi="Verdana"/>
                <w:color w:val="000000"/>
                <w:sz w:val="18"/>
                <w:szCs w:val="18"/>
              </w:rPr>
            </w:pPr>
            <w:r>
              <w:rPr>
                <w:rFonts w:ascii="Verdana" w:hAnsi="Verdana"/>
                <w:color w:val="000000"/>
                <w:sz w:val="18"/>
                <w:szCs w:val="18"/>
              </w:rPr>
              <w:t>UBS</w:t>
            </w:r>
          </w:p>
        </w:tc>
        <w:tc>
          <w:tcPr>
            <w:tcW w:w="993" w:type="dxa"/>
            <w:shd w:val="clear" w:color="auto" w:fill="auto"/>
            <w:vAlign w:val="center"/>
          </w:tcPr>
          <w:p w14:paraId="1F623971" w14:textId="79F3089D" w:rsidR="00BB61E9" w:rsidRDefault="00BB61E9" w:rsidP="00BA7F27">
            <w:pPr>
              <w:spacing w:before="40" w:after="40" w:line="26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16425B33" w14:textId="7B9E57A2" w:rsidR="00BB61E9" w:rsidRDefault="00BB61E9" w:rsidP="00BA7F27">
            <w:pPr>
              <w:spacing w:before="40" w:after="40" w:line="260" w:lineRule="atLeast"/>
              <w:jc w:val="center"/>
              <w:rPr>
                <w:rFonts w:ascii="Verdana" w:hAnsi="Verdana"/>
                <w:color w:val="000000"/>
                <w:sz w:val="18"/>
                <w:szCs w:val="18"/>
              </w:rPr>
            </w:pPr>
            <w:r>
              <w:rPr>
                <w:rFonts w:ascii="Verdana" w:hAnsi="Verdana"/>
                <w:color w:val="000000"/>
                <w:sz w:val="18"/>
                <w:szCs w:val="18"/>
              </w:rPr>
              <w:t>13</w:t>
            </w:r>
          </w:p>
        </w:tc>
        <w:tc>
          <w:tcPr>
            <w:tcW w:w="1417" w:type="dxa"/>
            <w:vAlign w:val="center"/>
          </w:tcPr>
          <w:p w14:paraId="0AB18162" w14:textId="0494D193" w:rsidR="00BB61E9" w:rsidRDefault="00BB61E9" w:rsidP="00BA7F27">
            <w:pPr>
              <w:spacing w:before="40" w:after="40" w:line="26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56BD3583" w14:textId="5C38A148" w:rsidR="00BB61E9" w:rsidRDefault="00BB61E9" w:rsidP="00BA7F27">
            <w:pPr>
              <w:spacing w:before="40" w:after="40" w:line="260" w:lineRule="atLeast"/>
              <w:jc w:val="right"/>
              <w:rPr>
                <w:rFonts w:ascii="Verdana" w:hAnsi="Verdana"/>
                <w:color w:val="000000"/>
                <w:sz w:val="18"/>
                <w:szCs w:val="18"/>
              </w:rPr>
            </w:pPr>
            <w:r>
              <w:rPr>
                <w:rFonts w:ascii="Verdana" w:hAnsi="Verdana"/>
                <w:color w:val="000000"/>
                <w:sz w:val="18"/>
                <w:szCs w:val="18"/>
              </w:rPr>
              <w:t>2 255,5</w:t>
            </w:r>
          </w:p>
        </w:tc>
        <w:tc>
          <w:tcPr>
            <w:tcW w:w="1843" w:type="dxa"/>
            <w:vAlign w:val="center"/>
          </w:tcPr>
          <w:p w14:paraId="33BAC32C" w14:textId="03903FCB" w:rsidR="00BB61E9" w:rsidRDefault="00BB61E9" w:rsidP="00BA7F27">
            <w:pPr>
              <w:spacing w:before="40" w:after="40" w:line="260" w:lineRule="atLeast"/>
              <w:jc w:val="right"/>
              <w:rPr>
                <w:rFonts w:ascii="Verdana" w:hAnsi="Verdana"/>
                <w:color w:val="000000"/>
                <w:sz w:val="18"/>
                <w:szCs w:val="18"/>
              </w:rPr>
            </w:pPr>
            <w:r>
              <w:rPr>
                <w:rFonts w:ascii="Verdana" w:hAnsi="Verdana"/>
                <w:color w:val="000000"/>
                <w:sz w:val="18"/>
                <w:szCs w:val="18"/>
              </w:rPr>
              <w:t>2 255,5</w:t>
            </w:r>
          </w:p>
        </w:tc>
      </w:tr>
      <w:tr w:rsidR="00BB61E9" w:rsidRPr="000435BE" w14:paraId="4EE9F78B" w14:textId="77777777" w:rsidTr="00275FDA">
        <w:tc>
          <w:tcPr>
            <w:tcW w:w="567" w:type="dxa"/>
            <w:shd w:val="clear" w:color="auto" w:fill="auto"/>
          </w:tcPr>
          <w:p w14:paraId="605E81FD" w14:textId="160A0E2E" w:rsidR="00BB61E9" w:rsidRDefault="00BB61E9" w:rsidP="00BA7F27">
            <w:pPr>
              <w:spacing w:before="40" w:after="40" w:line="260" w:lineRule="atLeast"/>
              <w:rPr>
                <w:rFonts w:ascii="Verdana" w:hAnsi="Verdana"/>
                <w:color w:val="000000"/>
                <w:sz w:val="18"/>
                <w:szCs w:val="18"/>
              </w:rPr>
            </w:pPr>
            <w:r>
              <w:rPr>
                <w:rFonts w:ascii="Verdana" w:hAnsi="Verdana"/>
                <w:color w:val="000000"/>
                <w:sz w:val="18"/>
                <w:szCs w:val="18"/>
              </w:rPr>
              <w:t>8.</w:t>
            </w:r>
          </w:p>
        </w:tc>
        <w:tc>
          <w:tcPr>
            <w:tcW w:w="1984" w:type="dxa"/>
            <w:gridSpan w:val="2"/>
            <w:shd w:val="clear" w:color="auto" w:fill="auto"/>
          </w:tcPr>
          <w:p w14:paraId="24ADBE20" w14:textId="7388795E" w:rsidR="00BB61E9" w:rsidRPr="003B4F95" w:rsidRDefault="00BB61E9" w:rsidP="00BA7F27">
            <w:pPr>
              <w:spacing w:before="40" w:after="40" w:line="260" w:lineRule="atLeast"/>
              <w:rPr>
                <w:rFonts w:ascii="Verdana" w:hAnsi="Verdana"/>
                <w:color w:val="000000"/>
                <w:sz w:val="18"/>
                <w:szCs w:val="18"/>
              </w:rPr>
            </w:pPr>
            <w:r w:rsidRPr="003B4F95">
              <w:rPr>
                <w:rFonts w:ascii="Verdana" w:hAnsi="Verdana"/>
                <w:color w:val="000000"/>
                <w:sz w:val="18"/>
                <w:szCs w:val="18"/>
              </w:rPr>
              <w:t>Stan</w:t>
            </w:r>
            <w:r>
              <w:rPr>
                <w:rFonts w:ascii="Verdana" w:hAnsi="Verdana"/>
                <w:color w:val="000000"/>
                <w:sz w:val="18"/>
                <w:szCs w:val="18"/>
              </w:rPr>
              <w:t>dard Bank</w:t>
            </w:r>
          </w:p>
        </w:tc>
        <w:tc>
          <w:tcPr>
            <w:tcW w:w="993" w:type="dxa"/>
            <w:shd w:val="clear" w:color="auto" w:fill="auto"/>
            <w:vAlign w:val="center"/>
          </w:tcPr>
          <w:p w14:paraId="386384BA" w14:textId="0CE2ED08" w:rsidR="00BB61E9" w:rsidRDefault="00BB61E9" w:rsidP="00BA7F27">
            <w:pPr>
              <w:spacing w:before="40" w:after="40" w:line="26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5CE7A8C3" w14:textId="6F80F308" w:rsidR="00BB61E9" w:rsidRDefault="00BB61E9" w:rsidP="00BA7F27">
            <w:pPr>
              <w:spacing w:before="40" w:after="40" w:line="260" w:lineRule="atLeast"/>
              <w:jc w:val="center"/>
              <w:rPr>
                <w:rFonts w:ascii="Verdana" w:hAnsi="Verdana"/>
                <w:color w:val="000000"/>
                <w:sz w:val="18"/>
                <w:szCs w:val="18"/>
              </w:rPr>
            </w:pPr>
            <w:r>
              <w:rPr>
                <w:rFonts w:ascii="Verdana" w:hAnsi="Verdana"/>
                <w:color w:val="000000"/>
                <w:sz w:val="18"/>
                <w:szCs w:val="18"/>
              </w:rPr>
              <w:t>8</w:t>
            </w:r>
          </w:p>
        </w:tc>
        <w:tc>
          <w:tcPr>
            <w:tcW w:w="1417" w:type="dxa"/>
            <w:vAlign w:val="center"/>
          </w:tcPr>
          <w:p w14:paraId="3E422ED6" w14:textId="6C447561" w:rsidR="00BB61E9" w:rsidRDefault="00BB61E9" w:rsidP="00BA7F27">
            <w:pPr>
              <w:spacing w:before="40" w:after="40" w:line="26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0C0B9419" w14:textId="5CC2A80E" w:rsidR="00BB61E9" w:rsidRDefault="00BB61E9" w:rsidP="00BA7F27">
            <w:pPr>
              <w:spacing w:before="40" w:after="40" w:line="260" w:lineRule="atLeast"/>
              <w:jc w:val="right"/>
              <w:rPr>
                <w:rFonts w:ascii="Verdana" w:hAnsi="Verdana"/>
                <w:color w:val="000000"/>
                <w:sz w:val="18"/>
                <w:szCs w:val="18"/>
              </w:rPr>
            </w:pPr>
            <w:r>
              <w:rPr>
                <w:rFonts w:ascii="Verdana" w:hAnsi="Verdana"/>
                <w:color w:val="000000"/>
                <w:sz w:val="18"/>
                <w:szCs w:val="18"/>
              </w:rPr>
              <w:t>1 663,7</w:t>
            </w:r>
          </w:p>
        </w:tc>
        <w:tc>
          <w:tcPr>
            <w:tcW w:w="1843" w:type="dxa"/>
            <w:vAlign w:val="center"/>
          </w:tcPr>
          <w:p w14:paraId="333D3A15" w14:textId="2E796D3C" w:rsidR="00BB61E9" w:rsidRDefault="00BB61E9" w:rsidP="00BA7F27">
            <w:pPr>
              <w:spacing w:before="40" w:after="40" w:line="260" w:lineRule="atLeast"/>
              <w:jc w:val="right"/>
              <w:rPr>
                <w:rFonts w:ascii="Verdana" w:hAnsi="Verdana"/>
                <w:color w:val="000000"/>
                <w:sz w:val="18"/>
                <w:szCs w:val="18"/>
              </w:rPr>
            </w:pPr>
            <w:r>
              <w:rPr>
                <w:rFonts w:ascii="Verdana" w:hAnsi="Verdana"/>
                <w:color w:val="000000"/>
                <w:sz w:val="18"/>
                <w:szCs w:val="18"/>
              </w:rPr>
              <w:t>1 663,7</w:t>
            </w:r>
          </w:p>
        </w:tc>
      </w:tr>
      <w:tr w:rsidR="00BB61E9" w:rsidRPr="000435BE" w14:paraId="5C40944C" w14:textId="77777777" w:rsidTr="00275FDA">
        <w:tc>
          <w:tcPr>
            <w:tcW w:w="567" w:type="dxa"/>
            <w:shd w:val="clear" w:color="auto" w:fill="auto"/>
          </w:tcPr>
          <w:p w14:paraId="7939F685" w14:textId="77777777" w:rsidR="00BB61E9" w:rsidRDefault="00BB61E9" w:rsidP="00BA7F27">
            <w:pPr>
              <w:spacing w:before="40" w:after="40" w:line="260" w:lineRule="atLeast"/>
              <w:rPr>
                <w:rFonts w:ascii="Verdana" w:hAnsi="Verdana"/>
                <w:color w:val="000000"/>
                <w:sz w:val="18"/>
                <w:szCs w:val="18"/>
              </w:rPr>
            </w:pPr>
            <w:r>
              <w:rPr>
                <w:rFonts w:ascii="Verdana" w:hAnsi="Verdana"/>
                <w:color w:val="000000"/>
                <w:sz w:val="18"/>
                <w:szCs w:val="18"/>
              </w:rPr>
              <w:t>9.</w:t>
            </w:r>
          </w:p>
        </w:tc>
        <w:tc>
          <w:tcPr>
            <w:tcW w:w="1984" w:type="dxa"/>
            <w:gridSpan w:val="2"/>
            <w:shd w:val="clear" w:color="auto" w:fill="auto"/>
          </w:tcPr>
          <w:p w14:paraId="3FB336DD" w14:textId="77777777" w:rsidR="00BB61E9" w:rsidRPr="003B4F95" w:rsidRDefault="00BB61E9" w:rsidP="00BA7F27">
            <w:pPr>
              <w:spacing w:before="40" w:after="40" w:line="260" w:lineRule="atLeast"/>
              <w:rPr>
                <w:rFonts w:ascii="Verdana" w:hAnsi="Verdana"/>
                <w:color w:val="000000"/>
                <w:sz w:val="18"/>
                <w:szCs w:val="18"/>
              </w:rPr>
            </w:pPr>
            <w:r w:rsidRPr="003B4F95">
              <w:rPr>
                <w:rFonts w:ascii="Verdana" w:hAnsi="Verdana"/>
                <w:color w:val="000000"/>
                <w:sz w:val="18"/>
                <w:szCs w:val="18"/>
              </w:rPr>
              <w:t>Investec</w:t>
            </w:r>
          </w:p>
        </w:tc>
        <w:tc>
          <w:tcPr>
            <w:tcW w:w="993" w:type="dxa"/>
            <w:shd w:val="clear" w:color="auto" w:fill="auto"/>
            <w:vAlign w:val="center"/>
          </w:tcPr>
          <w:p w14:paraId="594CA183" w14:textId="77777777" w:rsidR="00BB61E9" w:rsidRDefault="00BB61E9" w:rsidP="00BA7F27">
            <w:pPr>
              <w:spacing w:before="40" w:after="40" w:line="26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6BDD07A3" w14:textId="77777777" w:rsidR="00BB61E9" w:rsidRPr="003B4F95" w:rsidRDefault="00BB61E9" w:rsidP="00BA7F27">
            <w:pPr>
              <w:spacing w:before="40" w:after="40" w:line="26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197AEB62" w14:textId="584C8637" w:rsidR="00BB61E9" w:rsidRPr="003B4F95" w:rsidRDefault="00BB61E9" w:rsidP="00BA7F27">
            <w:pPr>
              <w:spacing w:before="40" w:after="40" w:line="26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1BA4C920" w14:textId="309D8782" w:rsidR="00BB61E9" w:rsidRPr="003B4F95" w:rsidRDefault="00BB61E9" w:rsidP="00BA7F27">
            <w:pPr>
              <w:spacing w:before="40" w:after="40" w:line="260" w:lineRule="atLeast"/>
              <w:jc w:val="right"/>
              <w:rPr>
                <w:rFonts w:ascii="Verdana" w:hAnsi="Verdana"/>
                <w:color w:val="000000"/>
                <w:sz w:val="18"/>
                <w:szCs w:val="18"/>
              </w:rPr>
            </w:pPr>
            <w:r>
              <w:rPr>
                <w:rFonts w:ascii="Verdana" w:hAnsi="Verdana"/>
                <w:color w:val="000000"/>
                <w:sz w:val="18"/>
                <w:szCs w:val="18"/>
              </w:rPr>
              <w:t>1 525,7</w:t>
            </w:r>
          </w:p>
        </w:tc>
        <w:tc>
          <w:tcPr>
            <w:tcW w:w="1843" w:type="dxa"/>
            <w:vAlign w:val="center"/>
          </w:tcPr>
          <w:p w14:paraId="1BC47EC9" w14:textId="54070A75" w:rsidR="00BB61E9" w:rsidRDefault="00BB61E9" w:rsidP="00BA7F27">
            <w:pPr>
              <w:spacing w:before="40" w:after="40" w:line="260" w:lineRule="atLeast"/>
              <w:jc w:val="right"/>
              <w:rPr>
                <w:rFonts w:ascii="Verdana" w:hAnsi="Verdana"/>
                <w:color w:val="000000"/>
                <w:sz w:val="18"/>
                <w:szCs w:val="18"/>
              </w:rPr>
            </w:pPr>
            <w:r>
              <w:rPr>
                <w:rFonts w:ascii="Verdana" w:hAnsi="Verdana"/>
                <w:color w:val="000000"/>
                <w:sz w:val="18"/>
                <w:szCs w:val="18"/>
              </w:rPr>
              <w:t>1 525,7</w:t>
            </w:r>
          </w:p>
        </w:tc>
      </w:tr>
      <w:tr w:rsidR="00BB61E9" w:rsidRPr="000435BE" w14:paraId="042A8F9F" w14:textId="77777777" w:rsidTr="00275FDA">
        <w:tc>
          <w:tcPr>
            <w:tcW w:w="567" w:type="dxa"/>
            <w:shd w:val="clear" w:color="auto" w:fill="auto"/>
          </w:tcPr>
          <w:p w14:paraId="3486190D" w14:textId="3699BCF0" w:rsidR="00BB61E9" w:rsidRPr="003B4F95" w:rsidRDefault="00BB61E9" w:rsidP="00BA7F27">
            <w:pPr>
              <w:spacing w:before="40" w:after="40" w:line="260" w:lineRule="atLeast"/>
              <w:rPr>
                <w:rFonts w:ascii="Verdana" w:hAnsi="Verdana"/>
                <w:color w:val="000000"/>
                <w:sz w:val="18"/>
                <w:szCs w:val="18"/>
              </w:rPr>
            </w:pPr>
            <w:r>
              <w:rPr>
                <w:rFonts w:ascii="Verdana" w:hAnsi="Verdana"/>
                <w:color w:val="000000"/>
                <w:sz w:val="18"/>
                <w:szCs w:val="18"/>
              </w:rPr>
              <w:t>1</w:t>
            </w:r>
            <w:r w:rsidR="00325F2F">
              <w:rPr>
                <w:rFonts w:ascii="Verdana" w:hAnsi="Verdana"/>
                <w:color w:val="000000"/>
                <w:sz w:val="18"/>
                <w:szCs w:val="18"/>
              </w:rPr>
              <w:t>0</w:t>
            </w:r>
            <w:r w:rsidRPr="003B4F95">
              <w:rPr>
                <w:rFonts w:ascii="Verdana" w:hAnsi="Verdana"/>
                <w:color w:val="000000"/>
                <w:sz w:val="18"/>
                <w:szCs w:val="18"/>
              </w:rPr>
              <w:t>.</w:t>
            </w:r>
          </w:p>
        </w:tc>
        <w:tc>
          <w:tcPr>
            <w:tcW w:w="1984" w:type="dxa"/>
            <w:gridSpan w:val="2"/>
            <w:shd w:val="clear" w:color="auto" w:fill="auto"/>
          </w:tcPr>
          <w:p w14:paraId="177BE1B7" w14:textId="77777777" w:rsidR="00BB61E9" w:rsidRPr="003B4F95" w:rsidRDefault="00BB61E9" w:rsidP="00BA7F27">
            <w:pPr>
              <w:spacing w:before="40" w:after="40" w:line="260" w:lineRule="atLeast"/>
              <w:rPr>
                <w:rFonts w:ascii="Verdana" w:hAnsi="Verdana"/>
                <w:color w:val="000000"/>
                <w:sz w:val="18"/>
                <w:szCs w:val="18"/>
              </w:rPr>
            </w:pPr>
            <w:r w:rsidRPr="003B4F95">
              <w:rPr>
                <w:rFonts w:ascii="Verdana" w:hAnsi="Verdana"/>
                <w:color w:val="000000"/>
                <w:sz w:val="18"/>
                <w:szCs w:val="18"/>
              </w:rPr>
              <w:t>FirstRand</w:t>
            </w:r>
            <w:r>
              <w:rPr>
                <w:rFonts w:ascii="Verdana" w:hAnsi="Verdana"/>
                <w:color w:val="000000"/>
                <w:sz w:val="18"/>
                <w:szCs w:val="18"/>
              </w:rPr>
              <w:t xml:space="preserve"> (RMB)</w:t>
            </w:r>
          </w:p>
        </w:tc>
        <w:tc>
          <w:tcPr>
            <w:tcW w:w="993" w:type="dxa"/>
            <w:shd w:val="clear" w:color="auto" w:fill="auto"/>
            <w:vAlign w:val="center"/>
          </w:tcPr>
          <w:p w14:paraId="068EE2BB" w14:textId="77777777" w:rsidR="00BB61E9" w:rsidRPr="003B4F95" w:rsidRDefault="00BB61E9" w:rsidP="00BA7F27">
            <w:pPr>
              <w:spacing w:before="40" w:after="40" w:line="260" w:lineRule="atLeast"/>
              <w:jc w:val="center"/>
              <w:rPr>
                <w:rFonts w:ascii="Verdana" w:hAnsi="Verdana"/>
                <w:color w:val="000000"/>
                <w:sz w:val="18"/>
                <w:szCs w:val="18"/>
              </w:rPr>
            </w:pPr>
            <w:r>
              <w:rPr>
                <w:rFonts w:ascii="Verdana" w:hAnsi="Verdana"/>
                <w:color w:val="000000"/>
                <w:sz w:val="18"/>
                <w:szCs w:val="18"/>
              </w:rPr>
              <w:t>3</w:t>
            </w:r>
          </w:p>
        </w:tc>
        <w:tc>
          <w:tcPr>
            <w:tcW w:w="992" w:type="dxa"/>
            <w:shd w:val="clear" w:color="auto" w:fill="auto"/>
            <w:vAlign w:val="center"/>
          </w:tcPr>
          <w:p w14:paraId="329CCAB8" w14:textId="77777777" w:rsidR="00BB61E9" w:rsidRPr="003B4F95" w:rsidRDefault="00BB61E9" w:rsidP="00BA7F27">
            <w:pPr>
              <w:spacing w:before="40" w:after="40" w:line="26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419C3D1" w14:textId="2D5A867E" w:rsidR="00BB61E9" w:rsidRPr="003B4F95" w:rsidRDefault="00FA2E82" w:rsidP="00BA7F27">
            <w:pPr>
              <w:spacing w:before="40" w:after="40" w:line="260" w:lineRule="atLeast"/>
              <w:jc w:val="right"/>
              <w:rPr>
                <w:rFonts w:ascii="Verdana" w:hAnsi="Verdana"/>
                <w:color w:val="000000"/>
                <w:sz w:val="18"/>
                <w:szCs w:val="18"/>
              </w:rPr>
            </w:pPr>
            <w:r>
              <w:rPr>
                <w:rFonts w:ascii="Verdana" w:hAnsi="Verdana"/>
                <w:color w:val="000000"/>
                <w:sz w:val="18"/>
                <w:szCs w:val="18"/>
              </w:rPr>
              <w:t>1 179,9</w:t>
            </w:r>
          </w:p>
        </w:tc>
        <w:tc>
          <w:tcPr>
            <w:tcW w:w="1418" w:type="dxa"/>
            <w:vAlign w:val="center"/>
          </w:tcPr>
          <w:p w14:paraId="2B7A1400" w14:textId="37E14750" w:rsidR="00BB61E9" w:rsidRPr="003B4F95" w:rsidRDefault="00BB61E9" w:rsidP="00BA7F27">
            <w:pPr>
              <w:spacing w:before="40" w:after="40" w:line="26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055E0D22" w14:textId="68E1C4FD" w:rsidR="00BB61E9" w:rsidRPr="003B4F95" w:rsidRDefault="00FA2E82" w:rsidP="00BA7F27">
            <w:pPr>
              <w:spacing w:before="40" w:after="40" w:line="260" w:lineRule="atLeast"/>
              <w:jc w:val="right"/>
              <w:rPr>
                <w:rFonts w:ascii="Verdana" w:hAnsi="Verdana"/>
                <w:color w:val="000000"/>
                <w:sz w:val="18"/>
                <w:szCs w:val="18"/>
              </w:rPr>
            </w:pPr>
            <w:r>
              <w:rPr>
                <w:rFonts w:ascii="Verdana" w:hAnsi="Verdana"/>
                <w:color w:val="000000"/>
                <w:sz w:val="18"/>
                <w:szCs w:val="18"/>
              </w:rPr>
              <w:t>1 179,9</w:t>
            </w:r>
          </w:p>
        </w:tc>
      </w:tr>
      <w:tr w:rsidR="00BB61E9" w:rsidRPr="000435BE" w14:paraId="36A64B2A" w14:textId="77777777" w:rsidTr="00275FDA">
        <w:tc>
          <w:tcPr>
            <w:tcW w:w="567" w:type="dxa"/>
            <w:shd w:val="clear" w:color="auto" w:fill="auto"/>
          </w:tcPr>
          <w:p w14:paraId="2492D4CF" w14:textId="5E58DB51" w:rsidR="00BB61E9" w:rsidRPr="003B4F95" w:rsidRDefault="00BB61E9" w:rsidP="00BA7F27">
            <w:pPr>
              <w:spacing w:before="40" w:after="40" w:line="260" w:lineRule="atLeast"/>
              <w:rPr>
                <w:rFonts w:ascii="Verdana" w:hAnsi="Verdana"/>
                <w:color w:val="000000"/>
                <w:sz w:val="18"/>
                <w:szCs w:val="18"/>
              </w:rPr>
            </w:pPr>
            <w:r>
              <w:rPr>
                <w:rFonts w:ascii="Verdana" w:hAnsi="Verdana"/>
                <w:color w:val="000000"/>
                <w:sz w:val="18"/>
                <w:szCs w:val="18"/>
              </w:rPr>
              <w:t>1</w:t>
            </w:r>
            <w:r w:rsidR="00325F2F">
              <w:rPr>
                <w:rFonts w:ascii="Verdana" w:hAnsi="Verdana"/>
                <w:color w:val="000000"/>
                <w:sz w:val="18"/>
                <w:szCs w:val="18"/>
              </w:rPr>
              <w:t>1</w:t>
            </w:r>
            <w:r w:rsidRPr="003B4F95">
              <w:rPr>
                <w:rFonts w:ascii="Verdana" w:hAnsi="Verdana"/>
                <w:color w:val="000000"/>
                <w:sz w:val="18"/>
                <w:szCs w:val="18"/>
              </w:rPr>
              <w:t>.</w:t>
            </w:r>
          </w:p>
        </w:tc>
        <w:tc>
          <w:tcPr>
            <w:tcW w:w="1984" w:type="dxa"/>
            <w:gridSpan w:val="2"/>
            <w:shd w:val="clear" w:color="auto" w:fill="auto"/>
          </w:tcPr>
          <w:p w14:paraId="2FFABF99" w14:textId="77777777" w:rsidR="00BB61E9" w:rsidRPr="003B4F95" w:rsidRDefault="00BB61E9" w:rsidP="00BA7F27">
            <w:pPr>
              <w:spacing w:before="40" w:after="40" w:line="260" w:lineRule="atLeast"/>
              <w:rPr>
                <w:rFonts w:ascii="Verdana" w:hAnsi="Verdana"/>
                <w:color w:val="000000"/>
                <w:sz w:val="18"/>
                <w:szCs w:val="18"/>
              </w:rPr>
            </w:pPr>
            <w:r w:rsidRPr="003B4F95">
              <w:rPr>
                <w:rFonts w:ascii="Verdana" w:hAnsi="Verdana"/>
                <w:color w:val="000000"/>
                <w:sz w:val="18"/>
                <w:szCs w:val="18"/>
              </w:rPr>
              <w:t>Cloud Atlas</w:t>
            </w:r>
          </w:p>
        </w:tc>
        <w:tc>
          <w:tcPr>
            <w:tcW w:w="993" w:type="dxa"/>
            <w:shd w:val="clear" w:color="auto" w:fill="auto"/>
            <w:vAlign w:val="center"/>
          </w:tcPr>
          <w:p w14:paraId="4195257A" w14:textId="77777777" w:rsidR="00BB61E9" w:rsidRPr="003B4F95" w:rsidRDefault="00BB61E9" w:rsidP="00BA7F27">
            <w:pPr>
              <w:spacing w:before="40" w:after="40" w:line="260" w:lineRule="atLeast"/>
              <w:jc w:val="center"/>
              <w:rPr>
                <w:rFonts w:ascii="Verdana" w:hAnsi="Verdana"/>
                <w:color w:val="000000"/>
                <w:sz w:val="18"/>
                <w:szCs w:val="18"/>
              </w:rPr>
            </w:pPr>
            <w:r>
              <w:rPr>
                <w:rFonts w:ascii="Verdana" w:hAnsi="Verdana"/>
                <w:color w:val="000000"/>
                <w:sz w:val="18"/>
                <w:szCs w:val="18"/>
              </w:rPr>
              <w:t>2</w:t>
            </w:r>
          </w:p>
        </w:tc>
        <w:tc>
          <w:tcPr>
            <w:tcW w:w="992" w:type="dxa"/>
            <w:shd w:val="clear" w:color="auto" w:fill="auto"/>
            <w:vAlign w:val="center"/>
          </w:tcPr>
          <w:p w14:paraId="11CB8B72" w14:textId="77777777" w:rsidR="00BB61E9" w:rsidRPr="003B4F95" w:rsidRDefault="00BB61E9" w:rsidP="00BA7F27">
            <w:pPr>
              <w:spacing w:before="40" w:after="40" w:line="26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8B14AE3" w14:textId="3BC71764" w:rsidR="00BB61E9" w:rsidRPr="003B4F95" w:rsidRDefault="00BB61E9" w:rsidP="00BA7F27">
            <w:pPr>
              <w:spacing w:before="40" w:after="40" w:line="260" w:lineRule="atLeast"/>
              <w:jc w:val="right"/>
              <w:rPr>
                <w:rFonts w:ascii="Verdana" w:hAnsi="Verdana"/>
                <w:color w:val="000000"/>
                <w:sz w:val="18"/>
                <w:szCs w:val="18"/>
              </w:rPr>
            </w:pPr>
            <w:r>
              <w:rPr>
                <w:rFonts w:ascii="Verdana" w:hAnsi="Verdana"/>
                <w:color w:val="000000"/>
                <w:sz w:val="18"/>
                <w:szCs w:val="18"/>
              </w:rPr>
              <w:t>23,</w:t>
            </w:r>
            <w:r w:rsidR="00325F2F">
              <w:rPr>
                <w:rFonts w:ascii="Verdana" w:hAnsi="Verdana"/>
                <w:color w:val="000000"/>
                <w:sz w:val="18"/>
                <w:szCs w:val="18"/>
              </w:rPr>
              <w:t>0</w:t>
            </w:r>
          </w:p>
        </w:tc>
        <w:tc>
          <w:tcPr>
            <w:tcW w:w="1418" w:type="dxa"/>
            <w:vAlign w:val="center"/>
          </w:tcPr>
          <w:p w14:paraId="5492C253" w14:textId="34640309" w:rsidR="00BB61E9" w:rsidRPr="003B4F95" w:rsidRDefault="00BB61E9" w:rsidP="00BA7F27">
            <w:pPr>
              <w:spacing w:before="40" w:after="40" w:line="26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1D35DE85" w14:textId="2B5403E1" w:rsidR="00BB61E9" w:rsidRPr="003B4F95" w:rsidRDefault="00BB61E9" w:rsidP="00BA7F27">
            <w:pPr>
              <w:spacing w:before="40" w:after="40" w:line="260" w:lineRule="atLeast"/>
              <w:jc w:val="right"/>
              <w:rPr>
                <w:rFonts w:ascii="Verdana" w:hAnsi="Verdana"/>
                <w:color w:val="000000"/>
                <w:sz w:val="18"/>
                <w:szCs w:val="18"/>
              </w:rPr>
            </w:pPr>
            <w:r>
              <w:rPr>
                <w:rFonts w:ascii="Verdana" w:hAnsi="Verdana"/>
                <w:color w:val="000000"/>
                <w:sz w:val="18"/>
                <w:szCs w:val="18"/>
              </w:rPr>
              <w:t>23,</w:t>
            </w:r>
            <w:r w:rsidR="00325F2F">
              <w:rPr>
                <w:rFonts w:ascii="Verdana" w:hAnsi="Verdana"/>
                <w:color w:val="000000"/>
                <w:sz w:val="18"/>
                <w:szCs w:val="18"/>
              </w:rPr>
              <w:t>0</w:t>
            </w:r>
          </w:p>
        </w:tc>
      </w:tr>
      <w:tr w:rsidR="00BB61E9" w:rsidRPr="000435BE" w14:paraId="43496BCD" w14:textId="77777777" w:rsidTr="00275FDA">
        <w:tc>
          <w:tcPr>
            <w:tcW w:w="2551" w:type="dxa"/>
            <w:gridSpan w:val="3"/>
            <w:shd w:val="clear" w:color="auto" w:fill="auto"/>
          </w:tcPr>
          <w:p w14:paraId="249E629A" w14:textId="77777777" w:rsidR="00BB61E9" w:rsidRPr="003B4F95" w:rsidRDefault="00BB61E9" w:rsidP="00BA7F27">
            <w:pPr>
              <w:spacing w:before="40" w:after="40" w:line="260" w:lineRule="atLeast"/>
              <w:rPr>
                <w:rFonts w:ascii="Verdana" w:hAnsi="Verdana"/>
                <w:b/>
                <w:color w:val="000000"/>
                <w:sz w:val="18"/>
                <w:szCs w:val="18"/>
              </w:rPr>
            </w:pPr>
            <w:r w:rsidRPr="003B4F95">
              <w:rPr>
                <w:rFonts w:ascii="Verdana" w:hAnsi="Verdana"/>
                <w:b/>
                <w:color w:val="000000"/>
                <w:sz w:val="18"/>
                <w:szCs w:val="18"/>
              </w:rPr>
              <w:t>Totals</w:t>
            </w:r>
          </w:p>
        </w:tc>
        <w:tc>
          <w:tcPr>
            <w:tcW w:w="993" w:type="dxa"/>
            <w:shd w:val="clear" w:color="auto" w:fill="auto"/>
            <w:vAlign w:val="center"/>
          </w:tcPr>
          <w:p w14:paraId="6B396757" w14:textId="2AE3DCE8" w:rsidR="00BB61E9" w:rsidRPr="003B4F95" w:rsidRDefault="00BB61E9" w:rsidP="00BA7F27">
            <w:pPr>
              <w:spacing w:before="40" w:after="40" w:line="260" w:lineRule="atLeast"/>
              <w:jc w:val="center"/>
              <w:rPr>
                <w:rFonts w:ascii="Verdana" w:hAnsi="Verdana"/>
                <w:b/>
                <w:color w:val="000000"/>
                <w:sz w:val="18"/>
                <w:szCs w:val="18"/>
              </w:rPr>
            </w:pPr>
            <w:r>
              <w:rPr>
                <w:rFonts w:ascii="Verdana" w:hAnsi="Verdana"/>
                <w:b/>
                <w:color w:val="000000"/>
                <w:sz w:val="18"/>
                <w:szCs w:val="18"/>
              </w:rPr>
              <w:t>7</w:t>
            </w:r>
            <w:r w:rsidR="00325F2F">
              <w:rPr>
                <w:rFonts w:ascii="Verdana" w:hAnsi="Verdana"/>
                <w:b/>
                <w:color w:val="000000"/>
                <w:sz w:val="18"/>
                <w:szCs w:val="18"/>
              </w:rPr>
              <w:t>3</w:t>
            </w:r>
          </w:p>
        </w:tc>
        <w:tc>
          <w:tcPr>
            <w:tcW w:w="992" w:type="dxa"/>
            <w:shd w:val="clear" w:color="auto" w:fill="auto"/>
            <w:vAlign w:val="center"/>
          </w:tcPr>
          <w:p w14:paraId="143E53B1" w14:textId="161D24D6" w:rsidR="00BB61E9" w:rsidRPr="003B4F95" w:rsidRDefault="00BB61E9" w:rsidP="00BA7F27">
            <w:pPr>
              <w:spacing w:before="40" w:after="40" w:line="260" w:lineRule="atLeast"/>
              <w:jc w:val="center"/>
              <w:rPr>
                <w:rFonts w:ascii="Verdana" w:hAnsi="Verdana"/>
                <w:b/>
                <w:color w:val="000000"/>
                <w:sz w:val="18"/>
                <w:szCs w:val="18"/>
              </w:rPr>
            </w:pPr>
            <w:r>
              <w:rPr>
                <w:rFonts w:ascii="Verdana" w:hAnsi="Verdana"/>
                <w:b/>
                <w:color w:val="000000"/>
                <w:sz w:val="18"/>
                <w:szCs w:val="18"/>
              </w:rPr>
              <w:t>2</w:t>
            </w:r>
            <w:r w:rsidR="00325F2F">
              <w:rPr>
                <w:rFonts w:ascii="Verdana" w:hAnsi="Verdana"/>
                <w:b/>
                <w:color w:val="000000"/>
                <w:sz w:val="18"/>
                <w:szCs w:val="18"/>
              </w:rPr>
              <w:t>6</w:t>
            </w:r>
          </w:p>
        </w:tc>
        <w:tc>
          <w:tcPr>
            <w:tcW w:w="1417" w:type="dxa"/>
            <w:vAlign w:val="center"/>
          </w:tcPr>
          <w:p w14:paraId="361D741C" w14:textId="789AC859" w:rsidR="00BB61E9" w:rsidRPr="003B4F95" w:rsidRDefault="00BB61E9" w:rsidP="00BA7F27">
            <w:pPr>
              <w:spacing w:before="40" w:after="40" w:line="260" w:lineRule="atLeast"/>
              <w:jc w:val="right"/>
              <w:rPr>
                <w:rFonts w:ascii="Verdana" w:hAnsi="Verdana"/>
                <w:b/>
                <w:color w:val="000000"/>
                <w:sz w:val="18"/>
                <w:szCs w:val="18"/>
              </w:rPr>
            </w:pPr>
            <w:r>
              <w:rPr>
                <w:rFonts w:ascii="Verdana" w:hAnsi="Verdana"/>
                <w:b/>
                <w:color w:val="000000"/>
                <w:sz w:val="18"/>
                <w:szCs w:val="18"/>
              </w:rPr>
              <w:t>8</w:t>
            </w:r>
            <w:r w:rsidR="00E913B6">
              <w:rPr>
                <w:rFonts w:ascii="Verdana" w:hAnsi="Verdana"/>
                <w:b/>
                <w:color w:val="000000"/>
                <w:sz w:val="18"/>
                <w:szCs w:val="18"/>
              </w:rPr>
              <w:t>5</w:t>
            </w:r>
            <w:r>
              <w:rPr>
                <w:rFonts w:ascii="Verdana" w:hAnsi="Verdana"/>
                <w:b/>
                <w:color w:val="000000"/>
                <w:sz w:val="18"/>
                <w:szCs w:val="18"/>
              </w:rPr>
              <w:t> </w:t>
            </w:r>
            <w:r w:rsidR="00E913B6">
              <w:rPr>
                <w:rFonts w:ascii="Verdana" w:hAnsi="Verdana"/>
                <w:b/>
                <w:color w:val="000000"/>
                <w:sz w:val="18"/>
                <w:szCs w:val="18"/>
              </w:rPr>
              <w:t>550</w:t>
            </w:r>
            <w:r>
              <w:rPr>
                <w:rFonts w:ascii="Verdana" w:hAnsi="Verdana"/>
                <w:b/>
                <w:color w:val="000000"/>
                <w:sz w:val="18"/>
                <w:szCs w:val="18"/>
              </w:rPr>
              <w:t>,</w:t>
            </w:r>
            <w:r w:rsidR="00E913B6">
              <w:rPr>
                <w:rFonts w:ascii="Verdana" w:hAnsi="Verdana"/>
                <w:b/>
                <w:color w:val="000000"/>
                <w:sz w:val="18"/>
                <w:szCs w:val="18"/>
              </w:rPr>
              <w:t>1</w:t>
            </w:r>
          </w:p>
        </w:tc>
        <w:tc>
          <w:tcPr>
            <w:tcW w:w="1418" w:type="dxa"/>
            <w:vAlign w:val="center"/>
          </w:tcPr>
          <w:p w14:paraId="22FC229A" w14:textId="39F8BA02" w:rsidR="00BB61E9" w:rsidRPr="003B4F95" w:rsidRDefault="00E913B6" w:rsidP="00BA7F27">
            <w:pPr>
              <w:spacing w:before="40" w:after="40" w:line="260" w:lineRule="atLeast"/>
              <w:jc w:val="right"/>
              <w:rPr>
                <w:rFonts w:ascii="Verdana" w:hAnsi="Verdana"/>
                <w:b/>
                <w:color w:val="000000"/>
                <w:sz w:val="18"/>
                <w:szCs w:val="18"/>
              </w:rPr>
            </w:pPr>
            <w:r>
              <w:rPr>
                <w:rFonts w:ascii="Verdana" w:hAnsi="Verdana"/>
                <w:b/>
                <w:color w:val="000000"/>
                <w:sz w:val="18"/>
                <w:szCs w:val="18"/>
              </w:rPr>
              <w:t>6</w:t>
            </w:r>
            <w:r w:rsidR="00BB61E9">
              <w:rPr>
                <w:rFonts w:ascii="Verdana" w:hAnsi="Verdana"/>
                <w:b/>
                <w:color w:val="000000"/>
                <w:sz w:val="18"/>
                <w:szCs w:val="18"/>
              </w:rPr>
              <w:t> </w:t>
            </w:r>
            <w:r>
              <w:rPr>
                <w:rFonts w:ascii="Verdana" w:hAnsi="Verdana"/>
                <w:b/>
                <w:color w:val="000000"/>
                <w:sz w:val="18"/>
                <w:szCs w:val="18"/>
              </w:rPr>
              <w:t>165</w:t>
            </w:r>
            <w:r w:rsidR="00BB61E9">
              <w:rPr>
                <w:rFonts w:ascii="Verdana" w:hAnsi="Verdana"/>
                <w:b/>
                <w:color w:val="000000"/>
                <w:sz w:val="18"/>
                <w:szCs w:val="18"/>
              </w:rPr>
              <w:t>,</w:t>
            </w:r>
            <w:r>
              <w:rPr>
                <w:rFonts w:ascii="Verdana" w:hAnsi="Verdana"/>
                <w:b/>
                <w:color w:val="000000"/>
                <w:sz w:val="18"/>
                <w:szCs w:val="18"/>
              </w:rPr>
              <w:t>2</w:t>
            </w:r>
          </w:p>
        </w:tc>
        <w:tc>
          <w:tcPr>
            <w:tcW w:w="1843" w:type="dxa"/>
            <w:vAlign w:val="center"/>
          </w:tcPr>
          <w:p w14:paraId="3DC82BE9" w14:textId="7B9DC96D" w:rsidR="00BB61E9" w:rsidRPr="003B4F95" w:rsidRDefault="00161566" w:rsidP="00BA7F27">
            <w:pPr>
              <w:spacing w:before="40" w:after="40" w:line="260" w:lineRule="atLeast"/>
              <w:jc w:val="right"/>
              <w:rPr>
                <w:rFonts w:ascii="Verdana" w:hAnsi="Verdana"/>
                <w:b/>
                <w:color w:val="000000"/>
                <w:sz w:val="18"/>
                <w:szCs w:val="18"/>
              </w:rPr>
            </w:pPr>
            <w:r>
              <w:rPr>
                <w:rFonts w:ascii="Verdana" w:hAnsi="Verdana"/>
                <w:b/>
                <w:color w:val="000000"/>
                <w:sz w:val="18"/>
                <w:szCs w:val="18"/>
              </w:rPr>
              <w:t>91</w:t>
            </w:r>
            <w:r w:rsidR="00BB61E9">
              <w:rPr>
                <w:rFonts w:ascii="Verdana" w:hAnsi="Verdana"/>
                <w:b/>
                <w:color w:val="000000"/>
                <w:sz w:val="18"/>
                <w:szCs w:val="18"/>
              </w:rPr>
              <w:t> </w:t>
            </w:r>
            <w:r>
              <w:rPr>
                <w:rFonts w:ascii="Verdana" w:hAnsi="Verdana"/>
                <w:b/>
                <w:color w:val="000000"/>
                <w:sz w:val="18"/>
                <w:szCs w:val="18"/>
              </w:rPr>
              <w:t>715</w:t>
            </w:r>
            <w:r w:rsidR="00BB61E9">
              <w:rPr>
                <w:rFonts w:ascii="Verdana" w:hAnsi="Verdana"/>
                <w:b/>
                <w:color w:val="000000"/>
                <w:sz w:val="18"/>
                <w:szCs w:val="18"/>
              </w:rPr>
              <w:t>,</w:t>
            </w:r>
            <w:r>
              <w:rPr>
                <w:rFonts w:ascii="Verdana" w:hAnsi="Verdana"/>
                <w:b/>
                <w:color w:val="000000"/>
                <w:sz w:val="18"/>
                <w:szCs w:val="18"/>
              </w:rPr>
              <w:t>3</w:t>
            </w:r>
          </w:p>
        </w:tc>
      </w:tr>
      <w:tr w:rsidR="00BB61E9" w:rsidRPr="00AB6CBE" w14:paraId="399FD388" w14:textId="77777777" w:rsidTr="00275FDA">
        <w:trPr>
          <w:trHeight w:val="217"/>
        </w:trPr>
        <w:tc>
          <w:tcPr>
            <w:tcW w:w="850" w:type="dxa"/>
            <w:gridSpan w:val="2"/>
            <w:tcBorders>
              <w:right w:val="nil"/>
            </w:tcBorders>
            <w:shd w:val="clear" w:color="auto" w:fill="auto"/>
            <w:vAlign w:val="center"/>
          </w:tcPr>
          <w:p w14:paraId="72B96F5C" w14:textId="77777777" w:rsidR="00BB61E9" w:rsidRPr="000435BE" w:rsidRDefault="00BB61E9" w:rsidP="00BB61E9">
            <w:pPr>
              <w:spacing w:after="40" w:line="280" w:lineRule="atLeast"/>
              <w:rPr>
                <w:rFonts w:ascii="Verdana" w:hAnsi="Verdana"/>
                <w:i/>
                <w:color w:val="000000"/>
                <w:sz w:val="14"/>
                <w:szCs w:val="14"/>
              </w:rPr>
            </w:pPr>
            <w:r w:rsidRPr="000435BE">
              <w:rPr>
                <w:rFonts w:ascii="Verdana" w:hAnsi="Verdana"/>
                <w:i/>
                <w:color w:val="000000"/>
                <w:sz w:val="14"/>
                <w:szCs w:val="14"/>
              </w:rPr>
              <w:t>Source:</w:t>
            </w:r>
          </w:p>
        </w:tc>
        <w:tc>
          <w:tcPr>
            <w:tcW w:w="8364" w:type="dxa"/>
            <w:gridSpan w:val="6"/>
            <w:tcBorders>
              <w:left w:val="nil"/>
            </w:tcBorders>
            <w:shd w:val="clear" w:color="auto" w:fill="auto"/>
            <w:vAlign w:val="center"/>
          </w:tcPr>
          <w:p w14:paraId="4EF21F19" w14:textId="66CD79F2" w:rsidR="00BB61E9" w:rsidRPr="000435BE" w:rsidRDefault="00BB61E9" w:rsidP="00BB61E9">
            <w:pPr>
              <w:spacing w:after="40" w:line="280" w:lineRule="atLeast"/>
              <w:rPr>
                <w:rFonts w:ascii="Verdana" w:hAnsi="Verdana"/>
                <w:i/>
                <w:color w:val="000000"/>
                <w:sz w:val="14"/>
                <w:szCs w:val="14"/>
              </w:rPr>
            </w:pPr>
            <w:r w:rsidRPr="000435BE">
              <w:rPr>
                <w:rFonts w:ascii="Verdana" w:hAnsi="Verdana"/>
                <w:i/>
                <w:color w:val="000000"/>
                <w:sz w:val="14"/>
                <w:szCs w:val="14"/>
              </w:rPr>
              <w:t>etfSA.co.za / JSE / Profile Data (</w:t>
            </w:r>
            <w:r>
              <w:rPr>
                <w:rFonts w:ascii="Verdana" w:hAnsi="Verdana"/>
                <w:i/>
                <w:color w:val="000000"/>
                <w:sz w:val="14"/>
                <w:szCs w:val="14"/>
              </w:rPr>
              <w:t>31</w:t>
            </w:r>
            <w:r w:rsidRPr="000435BE">
              <w:rPr>
                <w:rFonts w:ascii="Verdana" w:hAnsi="Verdana"/>
                <w:i/>
                <w:color w:val="000000"/>
                <w:sz w:val="14"/>
                <w:szCs w:val="14"/>
              </w:rPr>
              <w:t>/</w:t>
            </w:r>
            <w:r w:rsidR="00161566">
              <w:rPr>
                <w:rFonts w:ascii="Verdana" w:hAnsi="Verdana"/>
                <w:i/>
                <w:color w:val="000000"/>
                <w:sz w:val="14"/>
                <w:szCs w:val="14"/>
              </w:rPr>
              <w:t>3</w:t>
            </w:r>
            <w:r w:rsidRPr="000435BE">
              <w:rPr>
                <w:rFonts w:ascii="Verdana" w:hAnsi="Verdana"/>
                <w:i/>
                <w:color w:val="000000"/>
                <w:sz w:val="14"/>
                <w:szCs w:val="14"/>
              </w:rPr>
              <w:t>/20</w:t>
            </w:r>
            <w:r w:rsidR="00161566">
              <w:rPr>
                <w:rFonts w:ascii="Verdana" w:hAnsi="Verdana"/>
                <w:i/>
                <w:color w:val="000000"/>
                <w:sz w:val="14"/>
                <w:szCs w:val="14"/>
              </w:rPr>
              <w:t>20</w:t>
            </w:r>
            <w:r w:rsidRPr="000435BE">
              <w:rPr>
                <w:rFonts w:ascii="Verdana" w:hAnsi="Verdana"/>
                <w:i/>
                <w:color w:val="000000"/>
                <w:sz w:val="14"/>
                <w:szCs w:val="14"/>
              </w:rPr>
              <w:t xml:space="preserve">). </w:t>
            </w:r>
          </w:p>
        </w:tc>
      </w:tr>
    </w:tbl>
    <w:p w14:paraId="7E56F603" w14:textId="77777777" w:rsidR="00BA7F27" w:rsidRDefault="00BA7F27">
      <w:pPr>
        <w:rPr>
          <w:rFonts w:ascii="Verdana" w:hAnsi="Verdana"/>
          <w:color w:val="000000"/>
          <w:sz w:val="21"/>
          <w:szCs w:val="21"/>
        </w:rPr>
      </w:pPr>
      <w:r>
        <w:rPr>
          <w:rFonts w:ascii="Verdana" w:hAnsi="Verdana"/>
          <w:color w:val="000000"/>
          <w:sz w:val="21"/>
          <w:szCs w:val="21"/>
        </w:rPr>
        <w:br w:type="page"/>
      </w:r>
    </w:p>
    <w:p w14:paraId="1554FB98" w14:textId="77777777" w:rsidR="005F5553" w:rsidRDefault="005F5553" w:rsidP="005F5553">
      <w:pPr>
        <w:spacing w:after="0" w:line="320" w:lineRule="atLeast"/>
        <w:rPr>
          <w:rFonts w:ascii="Verdana" w:hAnsi="Verdana"/>
          <w:color w:val="000000"/>
          <w:sz w:val="21"/>
          <w:szCs w:val="21"/>
        </w:rPr>
      </w:pPr>
    </w:p>
    <w:p w14:paraId="1F6AB336" w14:textId="1DFD8F92" w:rsidR="005F7544" w:rsidRDefault="00330C63" w:rsidP="00F40D88">
      <w:pPr>
        <w:spacing w:after="0" w:line="360" w:lineRule="atLeast"/>
        <w:rPr>
          <w:rFonts w:ascii="Verdana" w:hAnsi="Verdana"/>
          <w:color w:val="000000"/>
          <w:sz w:val="21"/>
          <w:szCs w:val="21"/>
        </w:rPr>
      </w:pPr>
      <w:r>
        <w:rPr>
          <w:rFonts w:ascii="Verdana" w:hAnsi="Verdana"/>
          <w:color w:val="000000"/>
          <w:sz w:val="21"/>
          <w:szCs w:val="21"/>
        </w:rPr>
        <w:t>One</w:t>
      </w:r>
      <w:r w:rsidR="005F7544">
        <w:rPr>
          <w:rFonts w:ascii="Verdana" w:hAnsi="Verdana"/>
          <w:color w:val="000000"/>
          <w:sz w:val="21"/>
          <w:szCs w:val="21"/>
        </w:rPr>
        <w:t xml:space="preserve"> significant </w:t>
      </w:r>
      <w:r>
        <w:rPr>
          <w:rFonts w:ascii="Verdana" w:hAnsi="Verdana"/>
          <w:color w:val="000000"/>
          <w:sz w:val="21"/>
          <w:szCs w:val="21"/>
        </w:rPr>
        <w:t xml:space="preserve">change in the ETP industry in the first 3 months of 2020, was </w:t>
      </w:r>
      <w:r>
        <w:rPr>
          <w:rFonts w:ascii="Verdana" w:hAnsi="Verdana"/>
          <w:b/>
          <w:bCs/>
          <w:color w:val="000000"/>
          <w:sz w:val="21"/>
          <w:szCs w:val="21"/>
        </w:rPr>
        <w:t>Sygnia Itrix</w:t>
      </w:r>
      <w:r>
        <w:rPr>
          <w:rFonts w:ascii="Verdana" w:hAnsi="Verdana"/>
          <w:color w:val="000000"/>
          <w:sz w:val="21"/>
          <w:szCs w:val="21"/>
        </w:rPr>
        <w:t xml:space="preserve"> regaining its position as the second largest ETP issuing house in South </w:t>
      </w:r>
      <w:r w:rsidR="0006568F">
        <w:rPr>
          <w:rFonts w:ascii="Verdana" w:hAnsi="Verdana"/>
          <w:color w:val="000000"/>
          <w:sz w:val="21"/>
          <w:szCs w:val="21"/>
        </w:rPr>
        <w:t xml:space="preserve">Africa, from </w:t>
      </w:r>
      <w:r w:rsidR="0006568F">
        <w:rPr>
          <w:rFonts w:ascii="Verdana" w:hAnsi="Verdana"/>
          <w:b/>
          <w:bCs/>
          <w:color w:val="000000"/>
          <w:sz w:val="21"/>
          <w:szCs w:val="21"/>
        </w:rPr>
        <w:t>Satrix Managers</w:t>
      </w:r>
      <w:r w:rsidR="0006568F">
        <w:rPr>
          <w:rFonts w:ascii="Verdana" w:hAnsi="Verdana"/>
          <w:color w:val="000000"/>
          <w:sz w:val="21"/>
          <w:szCs w:val="21"/>
        </w:rPr>
        <w:t xml:space="preserve">.  Satrix had snatched second spot from Sygnia in late-2019. </w:t>
      </w:r>
    </w:p>
    <w:p w14:paraId="2379A4AA" w14:textId="0CAED252" w:rsidR="0006568F" w:rsidRDefault="0006568F" w:rsidP="00F40D88">
      <w:pPr>
        <w:spacing w:after="0" w:line="360" w:lineRule="atLeast"/>
        <w:rPr>
          <w:rFonts w:ascii="Verdana" w:hAnsi="Verdana"/>
          <w:color w:val="000000"/>
          <w:sz w:val="21"/>
          <w:szCs w:val="21"/>
        </w:rPr>
      </w:pPr>
    </w:p>
    <w:p w14:paraId="29C74EFC" w14:textId="5F6CB678" w:rsidR="0006568F" w:rsidRDefault="0006568F" w:rsidP="00F40D88">
      <w:pPr>
        <w:spacing w:after="0" w:line="360" w:lineRule="atLeast"/>
        <w:rPr>
          <w:rFonts w:ascii="Verdana" w:hAnsi="Verdana"/>
          <w:color w:val="000000"/>
          <w:sz w:val="21"/>
          <w:szCs w:val="21"/>
        </w:rPr>
      </w:pPr>
      <w:r>
        <w:rPr>
          <w:rFonts w:ascii="Verdana" w:hAnsi="Verdana"/>
          <w:color w:val="000000"/>
          <w:sz w:val="21"/>
          <w:szCs w:val="21"/>
        </w:rPr>
        <w:t xml:space="preserve">However, </w:t>
      </w:r>
      <w:r>
        <w:rPr>
          <w:rFonts w:ascii="Verdana" w:hAnsi="Verdana"/>
          <w:b/>
          <w:bCs/>
          <w:color w:val="000000"/>
          <w:sz w:val="21"/>
          <w:szCs w:val="21"/>
        </w:rPr>
        <w:t>Sygnia Itrix</w:t>
      </w:r>
      <w:r w:rsidR="005138C3">
        <w:rPr>
          <w:rFonts w:ascii="Verdana" w:hAnsi="Verdana"/>
          <w:b/>
          <w:bCs/>
          <w:color w:val="000000"/>
          <w:sz w:val="21"/>
          <w:szCs w:val="21"/>
        </w:rPr>
        <w:t>’s</w:t>
      </w:r>
      <w:r w:rsidR="005138C3">
        <w:rPr>
          <w:rFonts w:ascii="Verdana" w:hAnsi="Verdana"/>
          <w:color w:val="000000"/>
          <w:sz w:val="21"/>
          <w:szCs w:val="21"/>
        </w:rPr>
        <w:t xml:space="preserve"> positioning as a predominantly foreign ETF issuer on the JSE, enabled it to comfortably pass Satrix in the la</w:t>
      </w:r>
      <w:r w:rsidR="00D958E2">
        <w:rPr>
          <w:rFonts w:ascii="Verdana" w:hAnsi="Verdana"/>
          <w:color w:val="000000"/>
          <w:sz w:val="21"/>
          <w:szCs w:val="21"/>
        </w:rPr>
        <w:t xml:space="preserve">st three months, with a total </w:t>
      </w:r>
      <w:r w:rsidR="0000238B">
        <w:rPr>
          <w:rFonts w:ascii="Verdana" w:hAnsi="Verdana"/>
          <w:color w:val="000000"/>
          <w:sz w:val="21"/>
          <w:szCs w:val="21"/>
        </w:rPr>
        <w:t>market capitalisation of R19,9 billion versus R16,9 billion for Satrix.  Subst</w:t>
      </w:r>
      <w:r w:rsidR="007026CA">
        <w:rPr>
          <w:rFonts w:ascii="Verdana" w:hAnsi="Verdana"/>
          <w:color w:val="000000"/>
          <w:sz w:val="21"/>
          <w:szCs w:val="21"/>
        </w:rPr>
        <w:t>a</w:t>
      </w:r>
      <w:r w:rsidR="0000238B">
        <w:rPr>
          <w:rFonts w:ascii="Verdana" w:hAnsi="Verdana"/>
          <w:color w:val="000000"/>
          <w:sz w:val="21"/>
          <w:szCs w:val="21"/>
        </w:rPr>
        <w:t>nt</w:t>
      </w:r>
      <w:r w:rsidR="007026CA">
        <w:rPr>
          <w:rFonts w:ascii="Verdana" w:hAnsi="Verdana"/>
          <w:color w:val="000000"/>
          <w:sz w:val="21"/>
          <w:szCs w:val="21"/>
        </w:rPr>
        <w:t>i</w:t>
      </w:r>
      <w:r w:rsidR="0000238B">
        <w:rPr>
          <w:rFonts w:ascii="Verdana" w:hAnsi="Verdana"/>
          <w:color w:val="000000"/>
          <w:sz w:val="21"/>
          <w:szCs w:val="21"/>
        </w:rPr>
        <w:t>al redemption</w:t>
      </w:r>
      <w:r w:rsidR="007026CA">
        <w:rPr>
          <w:rFonts w:ascii="Verdana" w:hAnsi="Verdana"/>
          <w:color w:val="000000"/>
          <w:sz w:val="21"/>
          <w:szCs w:val="21"/>
        </w:rPr>
        <w:t>s</w:t>
      </w:r>
      <w:r w:rsidR="0000238B">
        <w:rPr>
          <w:rFonts w:ascii="Verdana" w:hAnsi="Verdana"/>
          <w:color w:val="000000"/>
          <w:sz w:val="21"/>
          <w:szCs w:val="21"/>
        </w:rPr>
        <w:t xml:space="preserve"> of South African index tracking equity ETFs</w:t>
      </w:r>
      <w:r w:rsidR="007026CA">
        <w:rPr>
          <w:rFonts w:ascii="Verdana" w:hAnsi="Verdana"/>
          <w:color w:val="000000"/>
          <w:sz w:val="21"/>
          <w:szCs w:val="21"/>
        </w:rPr>
        <w:t xml:space="preserve"> issued by Satrix, plus the </w:t>
      </w:r>
      <w:r w:rsidR="00443433">
        <w:rPr>
          <w:rFonts w:ascii="Verdana" w:hAnsi="Verdana"/>
          <w:color w:val="000000"/>
          <w:sz w:val="21"/>
          <w:szCs w:val="21"/>
        </w:rPr>
        <w:t>greater proportionate fall in SA equity prices in comparison with foreign markets</w:t>
      </w:r>
      <w:r w:rsidR="002F16E9">
        <w:rPr>
          <w:rFonts w:ascii="Verdana" w:hAnsi="Verdana"/>
          <w:color w:val="000000"/>
          <w:sz w:val="21"/>
          <w:szCs w:val="21"/>
        </w:rPr>
        <w:t>,</w:t>
      </w:r>
      <w:r w:rsidR="00443433">
        <w:rPr>
          <w:rFonts w:ascii="Verdana" w:hAnsi="Verdana"/>
          <w:color w:val="000000"/>
          <w:sz w:val="21"/>
          <w:szCs w:val="21"/>
        </w:rPr>
        <w:t xml:space="preserve"> which were </w:t>
      </w:r>
      <w:r w:rsidR="002F16E9">
        <w:rPr>
          <w:rFonts w:ascii="Verdana" w:hAnsi="Verdana"/>
          <w:color w:val="000000"/>
          <w:sz w:val="21"/>
          <w:szCs w:val="21"/>
        </w:rPr>
        <w:t xml:space="preserve">also </w:t>
      </w:r>
      <w:r w:rsidR="00443433">
        <w:rPr>
          <w:rFonts w:ascii="Verdana" w:hAnsi="Verdana"/>
          <w:color w:val="000000"/>
          <w:sz w:val="21"/>
          <w:szCs w:val="21"/>
        </w:rPr>
        <w:t>boosted by the rand’s de</w:t>
      </w:r>
      <w:r w:rsidR="006427A5">
        <w:rPr>
          <w:rFonts w:ascii="Verdana" w:hAnsi="Verdana"/>
          <w:color w:val="000000"/>
          <w:sz w:val="21"/>
          <w:szCs w:val="21"/>
        </w:rPr>
        <w:t xml:space="preserve">preciation, contributed to a bad quarter for Satrix. </w:t>
      </w:r>
    </w:p>
    <w:p w14:paraId="386C76BB" w14:textId="3413A9D8" w:rsidR="006427A5" w:rsidRDefault="006427A5" w:rsidP="00F40D88">
      <w:pPr>
        <w:spacing w:after="0" w:line="360" w:lineRule="atLeast"/>
        <w:rPr>
          <w:rFonts w:ascii="Verdana" w:hAnsi="Verdana"/>
          <w:color w:val="000000"/>
          <w:sz w:val="21"/>
          <w:szCs w:val="21"/>
        </w:rPr>
      </w:pPr>
    </w:p>
    <w:p w14:paraId="71678900" w14:textId="086820BD" w:rsidR="006427A5" w:rsidRPr="006427A5" w:rsidRDefault="006427A5" w:rsidP="00F40D88">
      <w:pPr>
        <w:spacing w:after="0" w:line="360" w:lineRule="atLeast"/>
        <w:rPr>
          <w:rFonts w:ascii="Verdana" w:hAnsi="Verdana"/>
          <w:color w:val="000000"/>
          <w:sz w:val="21"/>
          <w:szCs w:val="21"/>
        </w:rPr>
      </w:pPr>
      <w:r>
        <w:rPr>
          <w:rFonts w:ascii="Verdana" w:hAnsi="Verdana"/>
          <w:b/>
          <w:bCs/>
          <w:color w:val="000000"/>
          <w:sz w:val="21"/>
          <w:szCs w:val="21"/>
        </w:rPr>
        <w:t>UBS</w:t>
      </w:r>
      <w:r>
        <w:rPr>
          <w:rFonts w:ascii="Verdana" w:hAnsi="Verdana"/>
          <w:color w:val="000000"/>
          <w:sz w:val="21"/>
          <w:szCs w:val="21"/>
        </w:rPr>
        <w:t xml:space="preserve"> now </w:t>
      </w:r>
      <w:r w:rsidR="004568F5">
        <w:rPr>
          <w:rFonts w:ascii="Verdana" w:hAnsi="Verdana"/>
          <w:color w:val="000000"/>
          <w:sz w:val="21"/>
          <w:szCs w:val="21"/>
        </w:rPr>
        <w:t>holds</w:t>
      </w:r>
      <w:r w:rsidR="00702765">
        <w:rPr>
          <w:rFonts w:ascii="Verdana" w:hAnsi="Verdana"/>
          <w:color w:val="000000"/>
          <w:sz w:val="21"/>
          <w:szCs w:val="21"/>
        </w:rPr>
        <w:t xml:space="preserve"> seventh position amongst the 11 issuing houses of ETFs/ETNs in South Africa, as it continues to move steadily into contention as a major player </w:t>
      </w:r>
      <w:r w:rsidR="00D019A9">
        <w:rPr>
          <w:rFonts w:ascii="Verdana" w:hAnsi="Verdana"/>
          <w:color w:val="000000"/>
          <w:sz w:val="21"/>
          <w:szCs w:val="21"/>
        </w:rPr>
        <w:t>in the local market.  It now has 13 actively managed ETNs in issue which cover global as well as South African equity portfolios.  A new asset class</w:t>
      </w:r>
      <w:r w:rsidR="001004CA">
        <w:rPr>
          <w:rFonts w:ascii="Verdana" w:hAnsi="Verdana"/>
          <w:color w:val="000000"/>
          <w:sz w:val="21"/>
          <w:szCs w:val="21"/>
        </w:rPr>
        <w:t xml:space="preserve"> covered in this stable is global property, with </w:t>
      </w:r>
      <w:r w:rsidR="002F16E9">
        <w:rPr>
          <w:rFonts w:ascii="Verdana" w:hAnsi="Verdana"/>
          <w:color w:val="000000"/>
          <w:sz w:val="21"/>
          <w:szCs w:val="21"/>
        </w:rPr>
        <w:t>an</w:t>
      </w:r>
      <w:r w:rsidR="001004CA">
        <w:rPr>
          <w:rFonts w:ascii="Verdana" w:hAnsi="Verdana"/>
          <w:color w:val="000000"/>
          <w:sz w:val="21"/>
          <w:szCs w:val="21"/>
        </w:rPr>
        <w:t xml:space="preserve"> ETN managed by </w:t>
      </w:r>
      <w:r w:rsidR="00E132EA">
        <w:rPr>
          <w:rFonts w:ascii="Verdana" w:hAnsi="Verdana"/>
          <w:color w:val="000000"/>
          <w:sz w:val="21"/>
          <w:szCs w:val="21"/>
        </w:rPr>
        <w:t xml:space="preserve">Reitway Global, issued in the first quarter of 2020. </w:t>
      </w:r>
    </w:p>
    <w:p w14:paraId="059F608B" w14:textId="77777777" w:rsidR="005F7544" w:rsidRDefault="005F7544" w:rsidP="005F5553">
      <w:pPr>
        <w:spacing w:after="0" w:line="320" w:lineRule="atLeast"/>
        <w:rPr>
          <w:rFonts w:ascii="Verdana" w:hAnsi="Verdana"/>
          <w:color w:val="000000"/>
          <w:sz w:val="21"/>
          <w:szCs w:val="21"/>
        </w:rPr>
      </w:pPr>
    </w:p>
    <w:p w14:paraId="7ABE4F61" w14:textId="2C856C97" w:rsidR="00DB4A11" w:rsidRDefault="00DB4A11" w:rsidP="00DB4A11">
      <w:pPr>
        <w:spacing w:after="0" w:line="320" w:lineRule="atLeast"/>
        <w:jc w:val="both"/>
        <w:rPr>
          <w:rFonts w:ascii="Verdana" w:hAnsi="Verdana"/>
          <w:sz w:val="21"/>
          <w:szCs w:val="21"/>
        </w:rPr>
      </w:pPr>
    </w:p>
    <w:p w14:paraId="15A3985A" w14:textId="4AAD9EAB" w:rsidR="00336154" w:rsidRDefault="00336154" w:rsidP="00DB4A11">
      <w:pPr>
        <w:spacing w:after="0" w:line="320" w:lineRule="atLeast"/>
        <w:jc w:val="both"/>
        <w:rPr>
          <w:rFonts w:ascii="Verdana" w:hAnsi="Verdana"/>
          <w:sz w:val="21"/>
          <w:szCs w:val="21"/>
        </w:rPr>
      </w:pPr>
    </w:p>
    <w:p w14:paraId="01ACE19D" w14:textId="4528B21C" w:rsidR="00336154" w:rsidRDefault="00336154" w:rsidP="00DB4A11">
      <w:pPr>
        <w:spacing w:after="0" w:line="320" w:lineRule="atLeast"/>
        <w:jc w:val="both"/>
        <w:rPr>
          <w:rFonts w:ascii="Verdana" w:hAnsi="Verdana"/>
          <w:sz w:val="21"/>
          <w:szCs w:val="21"/>
        </w:rPr>
      </w:pPr>
    </w:p>
    <w:p w14:paraId="4545B45D" w14:textId="1E25259C" w:rsidR="00BA7F27" w:rsidRDefault="00BA7F27" w:rsidP="00DB4A11">
      <w:pPr>
        <w:spacing w:after="0" w:line="320" w:lineRule="atLeast"/>
        <w:jc w:val="both"/>
        <w:rPr>
          <w:rFonts w:ascii="Verdana" w:hAnsi="Verdana"/>
          <w:sz w:val="21"/>
          <w:szCs w:val="21"/>
        </w:rPr>
      </w:pPr>
    </w:p>
    <w:p w14:paraId="122092A3" w14:textId="77777777" w:rsidR="00BA7F27" w:rsidRDefault="00BA7F27" w:rsidP="00DB4A11">
      <w:pPr>
        <w:spacing w:after="0" w:line="320" w:lineRule="atLeast"/>
        <w:jc w:val="both"/>
        <w:rPr>
          <w:rFonts w:ascii="Verdana" w:hAnsi="Verdana"/>
          <w:sz w:val="21"/>
          <w:szCs w:val="21"/>
        </w:rPr>
      </w:pPr>
    </w:p>
    <w:p w14:paraId="28801C9F" w14:textId="45370993" w:rsidR="00336154" w:rsidRDefault="00336154" w:rsidP="00DB4A11">
      <w:pPr>
        <w:spacing w:after="0" w:line="320" w:lineRule="atLeast"/>
        <w:jc w:val="both"/>
        <w:rPr>
          <w:rFonts w:ascii="Verdana" w:hAnsi="Verdana"/>
          <w:sz w:val="21"/>
          <w:szCs w:val="21"/>
        </w:rPr>
      </w:pPr>
    </w:p>
    <w:p w14:paraId="6B773620" w14:textId="57644EC7" w:rsidR="00BA7F27" w:rsidRDefault="00BA7F27" w:rsidP="00DB4A11">
      <w:pPr>
        <w:spacing w:after="0" w:line="320" w:lineRule="atLeast"/>
        <w:jc w:val="both"/>
        <w:rPr>
          <w:rFonts w:ascii="Verdana" w:hAnsi="Verdana"/>
          <w:sz w:val="21"/>
          <w:szCs w:val="21"/>
        </w:rPr>
      </w:pPr>
    </w:p>
    <w:p w14:paraId="3E2F0A86" w14:textId="2DB3958A" w:rsidR="00BA7F27" w:rsidRDefault="00BA7F27" w:rsidP="00DB4A11">
      <w:pPr>
        <w:spacing w:after="0" w:line="320" w:lineRule="atLeast"/>
        <w:jc w:val="both"/>
        <w:rPr>
          <w:rFonts w:ascii="Verdana" w:hAnsi="Verdana"/>
          <w:sz w:val="21"/>
          <w:szCs w:val="21"/>
        </w:rPr>
      </w:pPr>
    </w:p>
    <w:p w14:paraId="5D7CA752" w14:textId="77777777" w:rsidR="00BA7F27" w:rsidRDefault="00BA7F27" w:rsidP="00DB4A11">
      <w:pPr>
        <w:spacing w:after="0" w:line="320" w:lineRule="atLeast"/>
        <w:jc w:val="both"/>
        <w:rPr>
          <w:rFonts w:ascii="Verdana" w:hAnsi="Verdana"/>
          <w:sz w:val="21"/>
          <w:szCs w:val="21"/>
        </w:rPr>
      </w:pPr>
    </w:p>
    <w:p w14:paraId="2B981AF3" w14:textId="054EB020" w:rsidR="00336154" w:rsidRDefault="00336154" w:rsidP="00DB4A11">
      <w:pPr>
        <w:spacing w:after="0" w:line="320" w:lineRule="atLeast"/>
        <w:jc w:val="both"/>
        <w:rPr>
          <w:rFonts w:ascii="Verdana" w:hAnsi="Verdana"/>
          <w:sz w:val="21"/>
          <w:szCs w:val="21"/>
        </w:rPr>
      </w:pPr>
    </w:p>
    <w:p w14:paraId="36C778EB" w14:textId="1D76992E" w:rsidR="00336154" w:rsidRDefault="00336154" w:rsidP="00DB4A11">
      <w:pPr>
        <w:spacing w:after="0" w:line="320" w:lineRule="atLeast"/>
        <w:jc w:val="both"/>
        <w:rPr>
          <w:rFonts w:ascii="Verdana" w:hAnsi="Verdana"/>
          <w:sz w:val="21"/>
          <w:szCs w:val="21"/>
        </w:rPr>
      </w:pPr>
    </w:p>
    <w:p w14:paraId="69DF29F6" w14:textId="3159C1AC" w:rsidR="00336154" w:rsidRDefault="00336154" w:rsidP="00DB4A11">
      <w:pPr>
        <w:spacing w:after="0" w:line="320" w:lineRule="atLeast"/>
        <w:jc w:val="both"/>
        <w:rPr>
          <w:rFonts w:ascii="Verdana" w:hAnsi="Verdana"/>
          <w:sz w:val="21"/>
          <w:szCs w:val="21"/>
        </w:rPr>
      </w:pPr>
    </w:p>
    <w:p w14:paraId="5B67AE43" w14:textId="77777777" w:rsidR="00336154" w:rsidRDefault="00336154" w:rsidP="00DB4A11">
      <w:pPr>
        <w:spacing w:after="0" w:line="320" w:lineRule="atLeast"/>
        <w:jc w:val="both"/>
        <w:rPr>
          <w:rFonts w:ascii="Verdana" w:hAnsi="Verdana"/>
          <w:sz w:val="21"/>
          <w:szCs w:val="21"/>
        </w:rPr>
      </w:pPr>
    </w:p>
    <w:p w14:paraId="5A5916A0" w14:textId="26C5DEDB" w:rsidR="00DB4A11" w:rsidRDefault="00DB4A11" w:rsidP="00DB4A11">
      <w:pPr>
        <w:spacing w:after="0" w:line="320" w:lineRule="atLeast"/>
        <w:jc w:val="both"/>
        <w:rPr>
          <w:rFonts w:ascii="Verdana" w:hAnsi="Verdana"/>
          <w:sz w:val="21"/>
          <w:szCs w:val="21"/>
        </w:rPr>
      </w:pPr>
    </w:p>
    <w:p w14:paraId="10032C29" w14:textId="77777777" w:rsidR="00DB4A11" w:rsidRDefault="00DB4A11" w:rsidP="00DB4A11">
      <w:pPr>
        <w:spacing w:after="0" w:line="320" w:lineRule="atLeast"/>
        <w:jc w:val="both"/>
        <w:rPr>
          <w:rFonts w:ascii="Verdana" w:hAnsi="Verdana"/>
          <w:sz w:val="21"/>
          <w:szCs w:val="21"/>
        </w:rPr>
      </w:pPr>
    </w:p>
    <w:p w14:paraId="348057A5" w14:textId="77777777" w:rsidR="00C6212D" w:rsidRPr="0000086A" w:rsidRDefault="00C6212D" w:rsidP="0000086A">
      <w:pPr>
        <w:pBdr>
          <w:top w:val="single" w:sz="4" w:space="1" w:color="auto"/>
        </w:pBdr>
        <w:spacing w:after="0" w:line="240" w:lineRule="auto"/>
        <w:rPr>
          <w:sz w:val="15"/>
          <w:szCs w:val="15"/>
          <w:lang w:eastAsia="en-ZA"/>
        </w:rPr>
      </w:pPr>
      <w:r w:rsidRPr="0000086A">
        <w:rPr>
          <w:rFonts w:ascii="Arial" w:hAnsi="Arial"/>
          <w:b/>
          <w:i/>
          <w:color w:val="0F0D35"/>
          <w:sz w:val="15"/>
          <w:szCs w:val="15"/>
        </w:rPr>
        <w:t xml:space="preserve">Disclaimer: </w:t>
      </w:r>
      <w:r w:rsidRPr="0000086A">
        <w:rPr>
          <w:rFonts w:ascii="Arial" w:hAnsi="Arial"/>
          <w:color w:val="000000"/>
          <w:sz w:val="15"/>
          <w:szCs w:val="15"/>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00086A" w:rsidSect="00A572A0">
      <w:footerReference w:type="default" r:id="rId9"/>
      <w:pgSz w:w="11906" w:h="16838" w:code="9"/>
      <w:pgMar w:top="851" w:right="851"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76B43" w14:textId="77777777" w:rsidR="002F19B0" w:rsidRDefault="002F19B0" w:rsidP="001860C2">
      <w:pPr>
        <w:spacing w:after="0" w:line="240" w:lineRule="auto"/>
      </w:pPr>
      <w:r>
        <w:separator/>
      </w:r>
    </w:p>
  </w:endnote>
  <w:endnote w:type="continuationSeparator" w:id="0">
    <w:p w14:paraId="02F2D7FE" w14:textId="77777777" w:rsidR="002F19B0" w:rsidRDefault="002F19B0"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63265" w14:textId="77777777" w:rsidR="002F19B0" w:rsidRDefault="002F19B0" w:rsidP="001860C2">
      <w:pPr>
        <w:spacing w:after="0" w:line="240" w:lineRule="auto"/>
      </w:pPr>
      <w:r>
        <w:separator/>
      </w:r>
    </w:p>
  </w:footnote>
  <w:footnote w:type="continuationSeparator" w:id="0">
    <w:p w14:paraId="444FB782" w14:textId="77777777" w:rsidR="002F19B0" w:rsidRDefault="002F19B0"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num w:numId="1">
    <w:abstractNumId w:val="11"/>
  </w:num>
  <w:num w:numId="2">
    <w:abstractNumId w:val="0"/>
  </w:num>
  <w:num w:numId="3">
    <w:abstractNumId w:val="7"/>
  </w:num>
  <w:num w:numId="4">
    <w:abstractNumId w:val="4"/>
  </w:num>
  <w:num w:numId="5">
    <w:abstractNumId w:val="1"/>
  </w:num>
  <w:num w:numId="6">
    <w:abstractNumId w:val="12"/>
  </w:num>
  <w:num w:numId="7">
    <w:abstractNumId w:val="3"/>
  </w:num>
  <w:num w:numId="8">
    <w:abstractNumId w:val="5"/>
  </w:num>
  <w:num w:numId="9">
    <w:abstractNumId w:val="2"/>
  </w:num>
  <w:num w:numId="10">
    <w:abstractNumId w:val="6"/>
  </w:num>
  <w:num w:numId="11">
    <w:abstractNumId w:val="8"/>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0238B"/>
    <w:rsid w:val="000144B3"/>
    <w:rsid w:val="00014D0C"/>
    <w:rsid w:val="00034E06"/>
    <w:rsid w:val="00042250"/>
    <w:rsid w:val="000435BE"/>
    <w:rsid w:val="0005247E"/>
    <w:rsid w:val="0005437D"/>
    <w:rsid w:val="00063719"/>
    <w:rsid w:val="00064D86"/>
    <w:rsid w:val="0006568F"/>
    <w:rsid w:val="00065FC4"/>
    <w:rsid w:val="00072FB5"/>
    <w:rsid w:val="000736A9"/>
    <w:rsid w:val="0007371D"/>
    <w:rsid w:val="00083E17"/>
    <w:rsid w:val="00086ECE"/>
    <w:rsid w:val="000A3329"/>
    <w:rsid w:val="000B189D"/>
    <w:rsid w:val="000C1ACB"/>
    <w:rsid w:val="000C2A04"/>
    <w:rsid w:val="000C74EB"/>
    <w:rsid w:val="000D0FF5"/>
    <w:rsid w:val="000D5C7D"/>
    <w:rsid w:val="000F1A9D"/>
    <w:rsid w:val="000F2E19"/>
    <w:rsid w:val="000F4D11"/>
    <w:rsid w:val="000F676D"/>
    <w:rsid w:val="001004CA"/>
    <w:rsid w:val="001011BA"/>
    <w:rsid w:val="00110027"/>
    <w:rsid w:val="001113DA"/>
    <w:rsid w:val="001113EA"/>
    <w:rsid w:val="00112914"/>
    <w:rsid w:val="001149F4"/>
    <w:rsid w:val="001161FE"/>
    <w:rsid w:val="001169ED"/>
    <w:rsid w:val="00121661"/>
    <w:rsid w:val="00122449"/>
    <w:rsid w:val="001255EF"/>
    <w:rsid w:val="0013147F"/>
    <w:rsid w:val="00137500"/>
    <w:rsid w:val="00161566"/>
    <w:rsid w:val="0016524A"/>
    <w:rsid w:val="001723F2"/>
    <w:rsid w:val="00175BD4"/>
    <w:rsid w:val="0018165B"/>
    <w:rsid w:val="00185009"/>
    <w:rsid w:val="001860C2"/>
    <w:rsid w:val="0019419C"/>
    <w:rsid w:val="001951A8"/>
    <w:rsid w:val="001976A7"/>
    <w:rsid w:val="001A440E"/>
    <w:rsid w:val="001A6952"/>
    <w:rsid w:val="001B0CAA"/>
    <w:rsid w:val="001C426E"/>
    <w:rsid w:val="001C48EF"/>
    <w:rsid w:val="001D3AD8"/>
    <w:rsid w:val="001E36F8"/>
    <w:rsid w:val="001F12A9"/>
    <w:rsid w:val="001F6BD9"/>
    <w:rsid w:val="00211E65"/>
    <w:rsid w:val="00214624"/>
    <w:rsid w:val="00215EC5"/>
    <w:rsid w:val="00231639"/>
    <w:rsid w:val="00240106"/>
    <w:rsid w:val="0024764F"/>
    <w:rsid w:val="00251098"/>
    <w:rsid w:val="002536F5"/>
    <w:rsid w:val="00257F69"/>
    <w:rsid w:val="00260037"/>
    <w:rsid w:val="002647AB"/>
    <w:rsid w:val="00267704"/>
    <w:rsid w:val="002678D7"/>
    <w:rsid w:val="00267A62"/>
    <w:rsid w:val="00270178"/>
    <w:rsid w:val="0027130E"/>
    <w:rsid w:val="00271472"/>
    <w:rsid w:val="00275FDA"/>
    <w:rsid w:val="002821C1"/>
    <w:rsid w:val="00283442"/>
    <w:rsid w:val="0028371C"/>
    <w:rsid w:val="0028580C"/>
    <w:rsid w:val="00287580"/>
    <w:rsid w:val="002A024C"/>
    <w:rsid w:val="002A439C"/>
    <w:rsid w:val="002A4EC3"/>
    <w:rsid w:val="002A6914"/>
    <w:rsid w:val="002D4D18"/>
    <w:rsid w:val="002E30E8"/>
    <w:rsid w:val="002E4F01"/>
    <w:rsid w:val="002E55EA"/>
    <w:rsid w:val="002E6A24"/>
    <w:rsid w:val="002F16E9"/>
    <w:rsid w:val="002F19B0"/>
    <w:rsid w:val="00302AA8"/>
    <w:rsid w:val="00321934"/>
    <w:rsid w:val="00322BD7"/>
    <w:rsid w:val="003230DF"/>
    <w:rsid w:val="00325F2F"/>
    <w:rsid w:val="00330C63"/>
    <w:rsid w:val="00336154"/>
    <w:rsid w:val="00337675"/>
    <w:rsid w:val="00340ED3"/>
    <w:rsid w:val="00345103"/>
    <w:rsid w:val="003455BD"/>
    <w:rsid w:val="00356055"/>
    <w:rsid w:val="00371A95"/>
    <w:rsid w:val="00374625"/>
    <w:rsid w:val="003768E4"/>
    <w:rsid w:val="00380C83"/>
    <w:rsid w:val="00382ADA"/>
    <w:rsid w:val="003835A0"/>
    <w:rsid w:val="00383630"/>
    <w:rsid w:val="003935AB"/>
    <w:rsid w:val="00394359"/>
    <w:rsid w:val="003A0D8D"/>
    <w:rsid w:val="003A29FB"/>
    <w:rsid w:val="003A3D19"/>
    <w:rsid w:val="003A6075"/>
    <w:rsid w:val="003B10C9"/>
    <w:rsid w:val="003B4F95"/>
    <w:rsid w:val="003C278D"/>
    <w:rsid w:val="003C3187"/>
    <w:rsid w:val="003C34BA"/>
    <w:rsid w:val="003C36D7"/>
    <w:rsid w:val="003C4CE2"/>
    <w:rsid w:val="003C6031"/>
    <w:rsid w:val="003C700A"/>
    <w:rsid w:val="003D13C9"/>
    <w:rsid w:val="003D3AB6"/>
    <w:rsid w:val="003D5B90"/>
    <w:rsid w:val="003E41CF"/>
    <w:rsid w:val="003F5A00"/>
    <w:rsid w:val="003F6A02"/>
    <w:rsid w:val="003F76E0"/>
    <w:rsid w:val="003F7712"/>
    <w:rsid w:val="004038EE"/>
    <w:rsid w:val="0040423E"/>
    <w:rsid w:val="00407678"/>
    <w:rsid w:val="00410B90"/>
    <w:rsid w:val="00417CC4"/>
    <w:rsid w:val="0042225F"/>
    <w:rsid w:val="00433C1B"/>
    <w:rsid w:val="00434DA5"/>
    <w:rsid w:val="00435E56"/>
    <w:rsid w:val="00441724"/>
    <w:rsid w:val="00443433"/>
    <w:rsid w:val="00451766"/>
    <w:rsid w:val="004568F5"/>
    <w:rsid w:val="00486A17"/>
    <w:rsid w:val="0049405F"/>
    <w:rsid w:val="004A1759"/>
    <w:rsid w:val="004A53EA"/>
    <w:rsid w:val="004A7DA9"/>
    <w:rsid w:val="004B0713"/>
    <w:rsid w:val="004C1102"/>
    <w:rsid w:val="004C60DA"/>
    <w:rsid w:val="004D0295"/>
    <w:rsid w:val="004D1524"/>
    <w:rsid w:val="004D6498"/>
    <w:rsid w:val="004E2922"/>
    <w:rsid w:val="004E7608"/>
    <w:rsid w:val="004F0766"/>
    <w:rsid w:val="004F1DF6"/>
    <w:rsid w:val="004F47FC"/>
    <w:rsid w:val="0050685E"/>
    <w:rsid w:val="00511FB5"/>
    <w:rsid w:val="005135D4"/>
    <w:rsid w:val="005138C3"/>
    <w:rsid w:val="005248F6"/>
    <w:rsid w:val="00527C9E"/>
    <w:rsid w:val="005355B2"/>
    <w:rsid w:val="00557D80"/>
    <w:rsid w:val="00561C75"/>
    <w:rsid w:val="005628FE"/>
    <w:rsid w:val="00574800"/>
    <w:rsid w:val="00587E90"/>
    <w:rsid w:val="005923A8"/>
    <w:rsid w:val="005A16E0"/>
    <w:rsid w:val="005A21ED"/>
    <w:rsid w:val="005A77A2"/>
    <w:rsid w:val="005B0C73"/>
    <w:rsid w:val="005B450E"/>
    <w:rsid w:val="005B6048"/>
    <w:rsid w:val="005B62B4"/>
    <w:rsid w:val="005C4D11"/>
    <w:rsid w:val="005C6EDE"/>
    <w:rsid w:val="005D54DF"/>
    <w:rsid w:val="005D7F9E"/>
    <w:rsid w:val="005E6456"/>
    <w:rsid w:val="005F02F6"/>
    <w:rsid w:val="005F2A62"/>
    <w:rsid w:val="005F3B27"/>
    <w:rsid w:val="005F5553"/>
    <w:rsid w:val="005F72F5"/>
    <w:rsid w:val="005F7544"/>
    <w:rsid w:val="006052EB"/>
    <w:rsid w:val="00605876"/>
    <w:rsid w:val="00606273"/>
    <w:rsid w:val="00607890"/>
    <w:rsid w:val="00610270"/>
    <w:rsid w:val="00611D35"/>
    <w:rsid w:val="006124A0"/>
    <w:rsid w:val="0062560E"/>
    <w:rsid w:val="00634A9D"/>
    <w:rsid w:val="006427A5"/>
    <w:rsid w:val="00650F13"/>
    <w:rsid w:val="00653EAC"/>
    <w:rsid w:val="006557AA"/>
    <w:rsid w:val="00665208"/>
    <w:rsid w:val="00665C94"/>
    <w:rsid w:val="00667B94"/>
    <w:rsid w:val="00670E82"/>
    <w:rsid w:val="006806B9"/>
    <w:rsid w:val="00690162"/>
    <w:rsid w:val="006924BC"/>
    <w:rsid w:val="006A0C56"/>
    <w:rsid w:val="006A24D6"/>
    <w:rsid w:val="006A6635"/>
    <w:rsid w:val="006B620E"/>
    <w:rsid w:val="006C3432"/>
    <w:rsid w:val="006D32E9"/>
    <w:rsid w:val="006D3930"/>
    <w:rsid w:val="006D3B08"/>
    <w:rsid w:val="006E70F6"/>
    <w:rsid w:val="007017CF"/>
    <w:rsid w:val="007026CA"/>
    <w:rsid w:val="00702765"/>
    <w:rsid w:val="007028A0"/>
    <w:rsid w:val="00705212"/>
    <w:rsid w:val="007153E8"/>
    <w:rsid w:val="00715DF1"/>
    <w:rsid w:val="00727AC5"/>
    <w:rsid w:val="00737776"/>
    <w:rsid w:val="0074101D"/>
    <w:rsid w:val="00744360"/>
    <w:rsid w:val="0075135D"/>
    <w:rsid w:val="00752C5D"/>
    <w:rsid w:val="00754226"/>
    <w:rsid w:val="007549A4"/>
    <w:rsid w:val="0075574D"/>
    <w:rsid w:val="0075656E"/>
    <w:rsid w:val="007617B4"/>
    <w:rsid w:val="00761DC1"/>
    <w:rsid w:val="007640DF"/>
    <w:rsid w:val="00767654"/>
    <w:rsid w:val="00774D53"/>
    <w:rsid w:val="0078694D"/>
    <w:rsid w:val="00792524"/>
    <w:rsid w:val="007967FF"/>
    <w:rsid w:val="007A7050"/>
    <w:rsid w:val="007A7A18"/>
    <w:rsid w:val="007B1D8E"/>
    <w:rsid w:val="007B3F08"/>
    <w:rsid w:val="007C2AC1"/>
    <w:rsid w:val="007C4EB1"/>
    <w:rsid w:val="007D0DE9"/>
    <w:rsid w:val="007D1C48"/>
    <w:rsid w:val="007D3765"/>
    <w:rsid w:val="007E5C23"/>
    <w:rsid w:val="007F2E9B"/>
    <w:rsid w:val="007F4718"/>
    <w:rsid w:val="007F5E1E"/>
    <w:rsid w:val="0080262B"/>
    <w:rsid w:val="0080317E"/>
    <w:rsid w:val="008033A1"/>
    <w:rsid w:val="00805B57"/>
    <w:rsid w:val="00810312"/>
    <w:rsid w:val="0082551A"/>
    <w:rsid w:val="00831695"/>
    <w:rsid w:val="00834896"/>
    <w:rsid w:val="00863949"/>
    <w:rsid w:val="008678CF"/>
    <w:rsid w:val="00870751"/>
    <w:rsid w:val="008723C3"/>
    <w:rsid w:val="00873A85"/>
    <w:rsid w:val="00874BC3"/>
    <w:rsid w:val="008767CE"/>
    <w:rsid w:val="008927A0"/>
    <w:rsid w:val="0089761A"/>
    <w:rsid w:val="008A4C09"/>
    <w:rsid w:val="008A7891"/>
    <w:rsid w:val="008B14A6"/>
    <w:rsid w:val="008B1AB4"/>
    <w:rsid w:val="008B4F73"/>
    <w:rsid w:val="008C19C4"/>
    <w:rsid w:val="008C2BE8"/>
    <w:rsid w:val="008C4FF1"/>
    <w:rsid w:val="008C75B2"/>
    <w:rsid w:val="008D5DE6"/>
    <w:rsid w:val="008E2FDF"/>
    <w:rsid w:val="008F5B96"/>
    <w:rsid w:val="00900106"/>
    <w:rsid w:val="00900795"/>
    <w:rsid w:val="00902C9D"/>
    <w:rsid w:val="00912273"/>
    <w:rsid w:val="0091603A"/>
    <w:rsid w:val="0092766E"/>
    <w:rsid w:val="00932B35"/>
    <w:rsid w:val="00933922"/>
    <w:rsid w:val="00935C75"/>
    <w:rsid w:val="00964DB3"/>
    <w:rsid w:val="00967F07"/>
    <w:rsid w:val="00972CCD"/>
    <w:rsid w:val="009732C5"/>
    <w:rsid w:val="00975BA8"/>
    <w:rsid w:val="00975CA7"/>
    <w:rsid w:val="00976701"/>
    <w:rsid w:val="00976971"/>
    <w:rsid w:val="00977364"/>
    <w:rsid w:val="00980BD8"/>
    <w:rsid w:val="00990E6C"/>
    <w:rsid w:val="009A0517"/>
    <w:rsid w:val="009A4055"/>
    <w:rsid w:val="009C3FDD"/>
    <w:rsid w:val="009D06A1"/>
    <w:rsid w:val="009D1D25"/>
    <w:rsid w:val="009D2502"/>
    <w:rsid w:val="009D539F"/>
    <w:rsid w:val="009D63BC"/>
    <w:rsid w:val="009E06CC"/>
    <w:rsid w:val="009E19AA"/>
    <w:rsid w:val="009E4AA6"/>
    <w:rsid w:val="009F598B"/>
    <w:rsid w:val="009F66FE"/>
    <w:rsid w:val="009F7261"/>
    <w:rsid w:val="00A00FDB"/>
    <w:rsid w:val="00A018BA"/>
    <w:rsid w:val="00A01E0B"/>
    <w:rsid w:val="00A029E7"/>
    <w:rsid w:val="00A051FB"/>
    <w:rsid w:val="00A06583"/>
    <w:rsid w:val="00A1052C"/>
    <w:rsid w:val="00A167E1"/>
    <w:rsid w:val="00A24DE7"/>
    <w:rsid w:val="00A30C9E"/>
    <w:rsid w:val="00A3197A"/>
    <w:rsid w:val="00A32F36"/>
    <w:rsid w:val="00A34964"/>
    <w:rsid w:val="00A572A0"/>
    <w:rsid w:val="00A6703F"/>
    <w:rsid w:val="00A836BC"/>
    <w:rsid w:val="00A85AC4"/>
    <w:rsid w:val="00A904A9"/>
    <w:rsid w:val="00A933CB"/>
    <w:rsid w:val="00A94957"/>
    <w:rsid w:val="00A95B1E"/>
    <w:rsid w:val="00A96CC9"/>
    <w:rsid w:val="00A97831"/>
    <w:rsid w:val="00AA2591"/>
    <w:rsid w:val="00AA3690"/>
    <w:rsid w:val="00AB1469"/>
    <w:rsid w:val="00AB5637"/>
    <w:rsid w:val="00AB659F"/>
    <w:rsid w:val="00AB779B"/>
    <w:rsid w:val="00AC2C23"/>
    <w:rsid w:val="00AC54A6"/>
    <w:rsid w:val="00AC5A30"/>
    <w:rsid w:val="00AC5FC2"/>
    <w:rsid w:val="00AC615B"/>
    <w:rsid w:val="00AD0CE4"/>
    <w:rsid w:val="00AE12F4"/>
    <w:rsid w:val="00AE2E69"/>
    <w:rsid w:val="00AE3A0B"/>
    <w:rsid w:val="00AE6B7A"/>
    <w:rsid w:val="00AE720D"/>
    <w:rsid w:val="00AF734A"/>
    <w:rsid w:val="00AF7BAB"/>
    <w:rsid w:val="00B010F5"/>
    <w:rsid w:val="00B04A5D"/>
    <w:rsid w:val="00B0556F"/>
    <w:rsid w:val="00B064A2"/>
    <w:rsid w:val="00B06DBF"/>
    <w:rsid w:val="00B11DFE"/>
    <w:rsid w:val="00B15601"/>
    <w:rsid w:val="00B17F8F"/>
    <w:rsid w:val="00B228FA"/>
    <w:rsid w:val="00B238F4"/>
    <w:rsid w:val="00B352AB"/>
    <w:rsid w:val="00B43C70"/>
    <w:rsid w:val="00B5062D"/>
    <w:rsid w:val="00B53321"/>
    <w:rsid w:val="00B539B4"/>
    <w:rsid w:val="00B544F8"/>
    <w:rsid w:val="00B6448D"/>
    <w:rsid w:val="00B65933"/>
    <w:rsid w:val="00B7090D"/>
    <w:rsid w:val="00B7153C"/>
    <w:rsid w:val="00B76B5D"/>
    <w:rsid w:val="00B80A20"/>
    <w:rsid w:val="00B80B89"/>
    <w:rsid w:val="00B81DF4"/>
    <w:rsid w:val="00B822A3"/>
    <w:rsid w:val="00B82C05"/>
    <w:rsid w:val="00B84B3B"/>
    <w:rsid w:val="00BA3DC2"/>
    <w:rsid w:val="00BA7F27"/>
    <w:rsid w:val="00BB3618"/>
    <w:rsid w:val="00BB61E9"/>
    <w:rsid w:val="00BC4EB7"/>
    <w:rsid w:val="00BC6FBB"/>
    <w:rsid w:val="00BD2909"/>
    <w:rsid w:val="00BD35C4"/>
    <w:rsid w:val="00BD4AED"/>
    <w:rsid w:val="00BD73DC"/>
    <w:rsid w:val="00BE106B"/>
    <w:rsid w:val="00BE1AB8"/>
    <w:rsid w:val="00BE387A"/>
    <w:rsid w:val="00BE58F6"/>
    <w:rsid w:val="00BF214D"/>
    <w:rsid w:val="00C11C7B"/>
    <w:rsid w:val="00C16778"/>
    <w:rsid w:val="00C2040D"/>
    <w:rsid w:val="00C262C9"/>
    <w:rsid w:val="00C361AA"/>
    <w:rsid w:val="00C36612"/>
    <w:rsid w:val="00C36D78"/>
    <w:rsid w:val="00C43586"/>
    <w:rsid w:val="00C6212D"/>
    <w:rsid w:val="00C648B8"/>
    <w:rsid w:val="00C67C90"/>
    <w:rsid w:val="00C70110"/>
    <w:rsid w:val="00C74DB9"/>
    <w:rsid w:val="00C848CE"/>
    <w:rsid w:val="00C9155D"/>
    <w:rsid w:val="00C96C19"/>
    <w:rsid w:val="00C9721C"/>
    <w:rsid w:val="00C97248"/>
    <w:rsid w:val="00CA0977"/>
    <w:rsid w:val="00CA5F6B"/>
    <w:rsid w:val="00CB421E"/>
    <w:rsid w:val="00CC34CF"/>
    <w:rsid w:val="00CD0246"/>
    <w:rsid w:val="00CD37BB"/>
    <w:rsid w:val="00CD5761"/>
    <w:rsid w:val="00CE0B76"/>
    <w:rsid w:val="00CE2B2F"/>
    <w:rsid w:val="00CE3BAE"/>
    <w:rsid w:val="00CF7569"/>
    <w:rsid w:val="00CF781A"/>
    <w:rsid w:val="00D019A9"/>
    <w:rsid w:val="00D02BBA"/>
    <w:rsid w:val="00D040F4"/>
    <w:rsid w:val="00D11DEF"/>
    <w:rsid w:val="00D121D5"/>
    <w:rsid w:val="00D17A57"/>
    <w:rsid w:val="00D20525"/>
    <w:rsid w:val="00D22956"/>
    <w:rsid w:val="00D250C6"/>
    <w:rsid w:val="00D2618D"/>
    <w:rsid w:val="00D271F3"/>
    <w:rsid w:val="00D307D7"/>
    <w:rsid w:val="00D3426D"/>
    <w:rsid w:val="00D36A69"/>
    <w:rsid w:val="00D43D4C"/>
    <w:rsid w:val="00D5059A"/>
    <w:rsid w:val="00D5118F"/>
    <w:rsid w:val="00D515DF"/>
    <w:rsid w:val="00D52692"/>
    <w:rsid w:val="00D529C5"/>
    <w:rsid w:val="00D52C3B"/>
    <w:rsid w:val="00D53225"/>
    <w:rsid w:val="00D65796"/>
    <w:rsid w:val="00D65EA8"/>
    <w:rsid w:val="00D72BC0"/>
    <w:rsid w:val="00D75B21"/>
    <w:rsid w:val="00D826DB"/>
    <w:rsid w:val="00D9077C"/>
    <w:rsid w:val="00D92FEA"/>
    <w:rsid w:val="00D958E2"/>
    <w:rsid w:val="00DB1C85"/>
    <w:rsid w:val="00DB291B"/>
    <w:rsid w:val="00DB4A11"/>
    <w:rsid w:val="00DB6E1D"/>
    <w:rsid w:val="00DB6EB9"/>
    <w:rsid w:val="00DB71F9"/>
    <w:rsid w:val="00DC1373"/>
    <w:rsid w:val="00DD461D"/>
    <w:rsid w:val="00DE5C90"/>
    <w:rsid w:val="00DF7E2F"/>
    <w:rsid w:val="00E06C77"/>
    <w:rsid w:val="00E07C73"/>
    <w:rsid w:val="00E132EA"/>
    <w:rsid w:val="00E21946"/>
    <w:rsid w:val="00E23E04"/>
    <w:rsid w:val="00E24F85"/>
    <w:rsid w:val="00E30126"/>
    <w:rsid w:val="00E3031D"/>
    <w:rsid w:val="00E34CCA"/>
    <w:rsid w:val="00E35FA2"/>
    <w:rsid w:val="00E54244"/>
    <w:rsid w:val="00E61D18"/>
    <w:rsid w:val="00E63CE0"/>
    <w:rsid w:val="00E67F46"/>
    <w:rsid w:val="00E71803"/>
    <w:rsid w:val="00E72DBE"/>
    <w:rsid w:val="00E742FD"/>
    <w:rsid w:val="00E761AB"/>
    <w:rsid w:val="00E7626C"/>
    <w:rsid w:val="00E913B6"/>
    <w:rsid w:val="00E93A18"/>
    <w:rsid w:val="00E973F2"/>
    <w:rsid w:val="00EA0580"/>
    <w:rsid w:val="00EB416B"/>
    <w:rsid w:val="00EC0455"/>
    <w:rsid w:val="00EC06B5"/>
    <w:rsid w:val="00ED17B2"/>
    <w:rsid w:val="00ED1C62"/>
    <w:rsid w:val="00EE0926"/>
    <w:rsid w:val="00EE7BDC"/>
    <w:rsid w:val="00EF38EC"/>
    <w:rsid w:val="00EF6A3A"/>
    <w:rsid w:val="00F00380"/>
    <w:rsid w:val="00F019F8"/>
    <w:rsid w:val="00F06EC5"/>
    <w:rsid w:val="00F14ACA"/>
    <w:rsid w:val="00F246CA"/>
    <w:rsid w:val="00F32170"/>
    <w:rsid w:val="00F3655E"/>
    <w:rsid w:val="00F40D88"/>
    <w:rsid w:val="00F411F7"/>
    <w:rsid w:val="00F41953"/>
    <w:rsid w:val="00F44D41"/>
    <w:rsid w:val="00F44F89"/>
    <w:rsid w:val="00F52F55"/>
    <w:rsid w:val="00F565F3"/>
    <w:rsid w:val="00F56643"/>
    <w:rsid w:val="00F6273E"/>
    <w:rsid w:val="00F70495"/>
    <w:rsid w:val="00F7786F"/>
    <w:rsid w:val="00F822BF"/>
    <w:rsid w:val="00F83240"/>
    <w:rsid w:val="00F9104A"/>
    <w:rsid w:val="00F91371"/>
    <w:rsid w:val="00F94FB2"/>
    <w:rsid w:val="00FA0979"/>
    <w:rsid w:val="00FA0A82"/>
    <w:rsid w:val="00FA2E82"/>
    <w:rsid w:val="00FB21A9"/>
    <w:rsid w:val="00FB4766"/>
    <w:rsid w:val="00FC15C7"/>
    <w:rsid w:val="00FC62D1"/>
    <w:rsid w:val="00FC7345"/>
    <w:rsid w:val="00FD20B5"/>
    <w:rsid w:val="00FD49C7"/>
    <w:rsid w:val="00FD7DBB"/>
    <w:rsid w:val="00FE0A9D"/>
    <w:rsid w:val="00FE2ED4"/>
    <w:rsid w:val="00FE4355"/>
    <w:rsid w:val="00FE4A84"/>
    <w:rsid w:val="00FE5ACF"/>
    <w:rsid w:val="00FE6BE9"/>
    <w:rsid w:val="00FE752C"/>
    <w:rsid w:val="00FE771E"/>
    <w:rsid w:val="00FF004F"/>
    <w:rsid w:val="00FF19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SHERRYL\ETFSA\Website\WEB%20-%20News\2019\market%20cap%202008%20to%20Mar2020.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18670218184550896"/>
          <c:w val="0.86395859396080166"/>
          <c:h val="0.61430549177111082"/>
        </c:manualLayout>
      </c:layout>
      <c:bar3DChart>
        <c:barDir val="col"/>
        <c:grouping val="clustered"/>
        <c:varyColors val="0"/>
        <c:ser>
          <c:idx val="0"/>
          <c:order val="0"/>
          <c:tx>
            <c:strRef>
              <c:f>'[market cap 2008 to Mar2020.xlsx]Sheet1'!$B$1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EF-4C8F-AF25-7EE635345A58}"/>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EF-4C8F-AF25-7EE635345A58}"/>
                </c:ext>
              </c:extLst>
            </c:dLbl>
            <c:dLbl>
              <c:idx val="8"/>
              <c:layout>
                <c:manualLayout>
                  <c:x val="9.1380045096816403E-17"/>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EF-4C8F-AF25-7EE635345A58}"/>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EF-4C8F-AF25-7EE635345A5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'[market cap 2008 to Mar2020.xlsx]Sheet1'!$A$2:$A$14</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formatCode="mmm\-yy">
                  <c:v>43891</c:v>
                </c:pt>
              </c:numCache>
            </c:numRef>
          </c:cat>
          <c:val>
            <c:numRef>
              <c:f>'[market cap 2008 to Mar2020.xlsx]Sheet1'!$B$2:$B$14</c:f>
              <c:numCache>
                <c:formatCode>General</c:formatCode>
                <c:ptCount val="13"/>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pt idx="12">
                  <c:v>91715</c:v>
                </c:pt>
              </c:numCache>
            </c:numRef>
          </c:val>
          <c:extLst>
            <c:ext xmlns:c16="http://schemas.microsoft.com/office/drawing/2014/chart" uri="{C3380CC4-5D6E-409C-BE32-E72D297353CC}">
              <c16:uniqueId val="{00000004-99EF-4C8F-AF25-7EE635345A58}"/>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0.19406</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1047763" y="27635"/>
          <a:ext cx="2771748" cy="5533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a:t>
          </a:r>
        </a:p>
      </cdr:txBody>
    </cdr:sp>
  </cdr:relSizeAnchor>
  <cdr:relSizeAnchor xmlns:cdr="http://schemas.openxmlformats.org/drawingml/2006/chartDrawing">
    <cdr:from>
      <cdr:x>0.00125</cdr:x>
      <cdr:y>0.10074</cdr:y>
    </cdr:from>
    <cdr:to>
      <cdr:x>0.18069</cdr:x>
      <cdr:y>0.19618</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6350" y="301626"/>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0.49221</cdr:x>
      <cdr:y>0.90668</cdr:y>
    </cdr:from>
    <cdr:to>
      <cdr:x>0.67165</cdr:x>
      <cdr:y>0.99152</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508219" y="2714616"/>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0.02243</cdr:x>
      <cdr:y>0.91516</cdr:y>
    </cdr:from>
    <cdr:to>
      <cdr:x>0.20187</cdr:x>
      <cdr:y>1</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114300" y="2740012"/>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129</cp:revision>
  <cp:lastPrinted>2020-01-28T13:55:00Z</cp:lastPrinted>
  <dcterms:created xsi:type="dcterms:W3CDTF">2020-04-24T12:41:00Z</dcterms:created>
  <dcterms:modified xsi:type="dcterms:W3CDTF">2020-04-28T09:38:00Z</dcterms:modified>
</cp:coreProperties>
</file>