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95222" w14:textId="5BB54CBC" w:rsidR="00E44856" w:rsidRPr="00E44856" w:rsidRDefault="00E44856" w:rsidP="00E44856">
      <w:pPr>
        <w:keepNext/>
        <w:keepLines/>
        <w:spacing w:line="600" w:lineRule="atLeast"/>
        <w:outlineLvl w:val="0"/>
        <w:rPr>
          <w:rFonts w:ascii="Georgia" w:eastAsiaTheme="majorEastAsia" w:hAnsi="Georgia" w:cstheme="majorBidi"/>
          <w:b/>
          <w:bCs/>
          <w:color w:val="000000" w:themeColor="text1"/>
          <w:sz w:val="28"/>
          <w:szCs w:val="28"/>
          <w:lang w:val="en-GB"/>
        </w:rPr>
      </w:pPr>
      <w:bookmarkStart w:id="0" w:name="_Hlk29897453"/>
      <w:r w:rsidRPr="00E44856">
        <w:rPr>
          <w:rFonts w:ascii="Georgia" w:eastAsiaTheme="majorEastAsia" w:hAnsi="Georgia" w:cstheme="majorBidi"/>
          <w:b/>
          <w:bCs/>
          <w:color w:val="000000" w:themeColor="text1"/>
          <w:sz w:val="28"/>
          <w:szCs w:val="28"/>
          <w:lang w:val="en-GB"/>
        </w:rPr>
        <w:t>PwC focus on pre-MPC –</w:t>
      </w:r>
      <w:r>
        <w:rPr>
          <w:rFonts w:ascii="Georgia" w:eastAsiaTheme="majorEastAsia" w:hAnsi="Georgia" w:cstheme="majorBidi"/>
          <w:b/>
          <w:bCs/>
          <w:color w:val="000000" w:themeColor="text1"/>
          <w:sz w:val="28"/>
          <w:szCs w:val="28"/>
          <w:lang w:val="en-GB"/>
        </w:rPr>
        <w:t>14 January 2020</w:t>
      </w:r>
    </w:p>
    <w:p w14:paraId="57F6DE45" w14:textId="6CF54E77" w:rsidR="00E44856" w:rsidRDefault="00E44856">
      <w:pPr>
        <w:rPr>
          <w:rFonts w:asciiTheme="majorHAnsi" w:hAnsiTheme="majorHAnsi"/>
          <w:b/>
          <w:i/>
          <w:color w:val="DC6900" w:themeColor="accent1"/>
          <w:sz w:val="32"/>
          <w:szCs w:val="20"/>
        </w:rPr>
      </w:pPr>
      <w:r w:rsidRPr="007A7B59">
        <w:rPr>
          <w:rFonts w:cs="Arial"/>
          <w:b/>
          <w:noProof/>
          <w:color w:val="990000"/>
        </w:rPr>
        <w:drawing>
          <wp:inline distT="0" distB="0" distL="0" distR="0" wp14:anchorId="19D0237E" wp14:editId="60EE60C7">
            <wp:extent cx="2238375" cy="186309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8375" cy="1863090"/>
                    </a:xfrm>
                    <a:prstGeom prst="rect">
                      <a:avLst/>
                    </a:prstGeom>
                    <a:noFill/>
                  </pic:spPr>
                </pic:pic>
              </a:graphicData>
            </a:graphic>
          </wp:inline>
        </w:drawing>
      </w:r>
    </w:p>
    <w:p w14:paraId="5B397423" w14:textId="77777777" w:rsidR="00E44856" w:rsidRDefault="00E44856">
      <w:pPr>
        <w:rPr>
          <w:rFonts w:asciiTheme="majorHAnsi" w:hAnsiTheme="majorHAnsi"/>
          <w:b/>
          <w:i/>
          <w:color w:val="DC6900" w:themeColor="accent1"/>
          <w:sz w:val="32"/>
          <w:szCs w:val="20"/>
        </w:rPr>
      </w:pPr>
    </w:p>
    <w:p w14:paraId="13FCA499" w14:textId="34B9E957" w:rsidR="002D4A1A" w:rsidRPr="00A87961" w:rsidRDefault="002D4A1A">
      <w:pPr>
        <w:rPr>
          <w:rFonts w:asciiTheme="majorHAnsi" w:hAnsiTheme="majorHAnsi"/>
          <w:b/>
          <w:i/>
          <w:color w:val="DC6900" w:themeColor="accent1"/>
          <w:sz w:val="32"/>
          <w:szCs w:val="20"/>
        </w:rPr>
      </w:pPr>
      <w:r w:rsidRPr="00A87961">
        <w:rPr>
          <w:rFonts w:asciiTheme="majorHAnsi" w:hAnsiTheme="majorHAnsi"/>
          <w:b/>
          <w:i/>
          <w:color w:val="DC6900" w:themeColor="accent1"/>
          <w:sz w:val="32"/>
          <w:szCs w:val="20"/>
        </w:rPr>
        <w:t xml:space="preserve">MPC preview: Rate cut justified … but </w:t>
      </w:r>
      <w:r w:rsidR="00B80B91">
        <w:rPr>
          <w:rFonts w:asciiTheme="majorHAnsi" w:hAnsiTheme="majorHAnsi"/>
          <w:b/>
          <w:i/>
          <w:color w:val="DC6900" w:themeColor="accent1"/>
          <w:sz w:val="32"/>
          <w:szCs w:val="20"/>
        </w:rPr>
        <w:t>taking no action</w:t>
      </w:r>
      <w:r w:rsidRPr="00A87961">
        <w:rPr>
          <w:rFonts w:asciiTheme="majorHAnsi" w:hAnsiTheme="majorHAnsi"/>
          <w:b/>
          <w:i/>
          <w:color w:val="DC6900" w:themeColor="accent1"/>
          <w:sz w:val="32"/>
          <w:szCs w:val="20"/>
        </w:rPr>
        <w:t xml:space="preserve"> would be prudent</w:t>
      </w:r>
    </w:p>
    <w:p w14:paraId="2853D981" w14:textId="3403A17D" w:rsidR="00567401" w:rsidRDefault="00567401">
      <w:pPr>
        <w:rPr>
          <w:rFonts w:asciiTheme="majorHAnsi" w:hAnsiTheme="majorHAnsi"/>
          <w:b/>
          <w:sz w:val="20"/>
          <w:szCs w:val="20"/>
        </w:rPr>
      </w:pPr>
    </w:p>
    <w:p w14:paraId="1023A643" w14:textId="78672719" w:rsidR="00A87961" w:rsidRDefault="00A87961">
      <w:pPr>
        <w:rPr>
          <w:rFonts w:asciiTheme="majorHAnsi" w:hAnsiTheme="majorHAnsi"/>
          <w:b/>
          <w:sz w:val="20"/>
          <w:szCs w:val="20"/>
        </w:rPr>
      </w:pPr>
      <w:r>
        <w:rPr>
          <w:rFonts w:asciiTheme="majorHAnsi" w:hAnsiTheme="majorHAnsi"/>
          <w:b/>
          <w:sz w:val="20"/>
          <w:szCs w:val="20"/>
        </w:rPr>
        <w:t>Inflation coming in below expectations</w:t>
      </w:r>
    </w:p>
    <w:p w14:paraId="5E433E46" w14:textId="130B6D0B" w:rsidR="006751FD" w:rsidRPr="006751FD" w:rsidRDefault="002D4A1A">
      <w:pPr>
        <w:rPr>
          <w:rFonts w:asciiTheme="majorHAnsi" w:hAnsiTheme="majorHAnsi"/>
          <w:sz w:val="20"/>
          <w:szCs w:val="20"/>
        </w:rPr>
      </w:pPr>
      <w:r w:rsidRPr="006751FD">
        <w:rPr>
          <w:rFonts w:asciiTheme="majorHAnsi" w:hAnsiTheme="majorHAnsi"/>
          <w:sz w:val="20"/>
          <w:szCs w:val="20"/>
        </w:rPr>
        <w:t xml:space="preserve">The South African Reserve Bank (SARB) Monetary Policy Committee (MPC) </w:t>
      </w:r>
      <w:r w:rsidR="006751FD" w:rsidRPr="006751FD">
        <w:rPr>
          <w:rFonts w:asciiTheme="majorHAnsi" w:hAnsiTheme="majorHAnsi"/>
          <w:sz w:val="20"/>
          <w:szCs w:val="20"/>
        </w:rPr>
        <w:t xml:space="preserve">is </w:t>
      </w:r>
      <w:r w:rsidRPr="006751FD">
        <w:rPr>
          <w:rFonts w:asciiTheme="majorHAnsi" w:hAnsiTheme="majorHAnsi"/>
          <w:sz w:val="20"/>
          <w:szCs w:val="20"/>
        </w:rPr>
        <w:t xml:space="preserve">currently engaged in </w:t>
      </w:r>
      <w:r w:rsidR="006751FD" w:rsidRPr="006751FD">
        <w:rPr>
          <w:rFonts w:asciiTheme="majorHAnsi" w:hAnsiTheme="majorHAnsi"/>
          <w:sz w:val="20"/>
          <w:szCs w:val="20"/>
        </w:rPr>
        <w:t xml:space="preserve">its </w:t>
      </w:r>
      <w:r w:rsidRPr="006751FD">
        <w:rPr>
          <w:rFonts w:asciiTheme="majorHAnsi" w:hAnsiTheme="majorHAnsi"/>
          <w:sz w:val="20"/>
          <w:szCs w:val="20"/>
        </w:rPr>
        <w:t xml:space="preserve">first semi-monthly meeting of 2020. </w:t>
      </w:r>
      <w:r w:rsidR="006751FD" w:rsidRPr="006751FD">
        <w:rPr>
          <w:rFonts w:asciiTheme="majorHAnsi" w:hAnsiTheme="majorHAnsi"/>
          <w:sz w:val="20"/>
          <w:szCs w:val="20"/>
        </w:rPr>
        <w:t xml:space="preserve">At its previous meeting (in November 2019), </w:t>
      </w:r>
      <w:r w:rsidR="000F4D55">
        <w:rPr>
          <w:rFonts w:asciiTheme="majorHAnsi" w:hAnsiTheme="majorHAnsi"/>
          <w:sz w:val="20"/>
          <w:szCs w:val="20"/>
        </w:rPr>
        <w:t xml:space="preserve">the </w:t>
      </w:r>
      <w:hyperlink r:id="rId5" w:history="1">
        <w:r w:rsidR="000F4D55" w:rsidRPr="000F4D55">
          <w:rPr>
            <w:rStyle w:val="Hyperlink"/>
            <w:rFonts w:asciiTheme="majorHAnsi" w:hAnsiTheme="majorHAnsi"/>
            <w:sz w:val="20"/>
            <w:szCs w:val="20"/>
          </w:rPr>
          <w:t>MPC</w:t>
        </w:r>
      </w:hyperlink>
      <w:r w:rsidR="000F4D55">
        <w:rPr>
          <w:rFonts w:asciiTheme="majorHAnsi" w:hAnsiTheme="majorHAnsi"/>
          <w:sz w:val="20"/>
          <w:szCs w:val="20"/>
        </w:rPr>
        <w:t xml:space="preserve"> </w:t>
      </w:r>
      <w:r w:rsidR="006751FD" w:rsidRPr="006751FD">
        <w:rPr>
          <w:rFonts w:asciiTheme="majorHAnsi" w:hAnsiTheme="majorHAnsi"/>
          <w:sz w:val="20"/>
          <w:szCs w:val="20"/>
        </w:rPr>
        <w:t xml:space="preserve">opened the door for an interest rate cut this year. The implied path of interest rates - as generated by the central bank’s Quarterly Projection Model - indicated scope for one 25 basis points cut in the repo rate towards the third quarter of 2020. The past two months have seen several developments and data releases that support an interest rate cut sooner rather than later. </w:t>
      </w:r>
    </w:p>
    <w:p w14:paraId="54B8E237" w14:textId="2CBE7990" w:rsidR="006751FD" w:rsidRDefault="006751FD">
      <w:pPr>
        <w:rPr>
          <w:rFonts w:asciiTheme="majorHAnsi" w:hAnsiTheme="majorHAnsi"/>
          <w:sz w:val="20"/>
          <w:szCs w:val="20"/>
        </w:rPr>
      </w:pPr>
      <w:r w:rsidRPr="006751FD">
        <w:rPr>
          <w:rFonts w:asciiTheme="majorHAnsi" w:hAnsiTheme="majorHAnsi"/>
          <w:sz w:val="20"/>
          <w:szCs w:val="20"/>
        </w:rPr>
        <w:t xml:space="preserve">The </w:t>
      </w:r>
      <w:r w:rsidR="00727CF3" w:rsidRPr="000F4D55">
        <w:rPr>
          <w:rFonts w:asciiTheme="majorHAnsi" w:hAnsiTheme="majorHAnsi"/>
          <w:sz w:val="20"/>
          <w:szCs w:val="20"/>
        </w:rPr>
        <w:t>MPC</w:t>
      </w:r>
      <w:r w:rsidR="00727CF3" w:rsidRPr="006751FD">
        <w:rPr>
          <w:rFonts w:asciiTheme="majorHAnsi" w:hAnsiTheme="majorHAnsi"/>
          <w:sz w:val="20"/>
          <w:szCs w:val="20"/>
        </w:rPr>
        <w:t xml:space="preserve"> said in November it expects inflation to average 4.1% in 2019Q4. This </w:t>
      </w:r>
      <w:r w:rsidRPr="006751FD">
        <w:rPr>
          <w:rFonts w:asciiTheme="majorHAnsi" w:hAnsiTheme="majorHAnsi"/>
          <w:sz w:val="20"/>
          <w:szCs w:val="20"/>
        </w:rPr>
        <w:t xml:space="preserve">mean </w:t>
      </w:r>
      <w:r w:rsidR="00727CF3" w:rsidRPr="006751FD">
        <w:rPr>
          <w:rFonts w:asciiTheme="majorHAnsi" w:hAnsiTheme="majorHAnsi"/>
          <w:sz w:val="20"/>
          <w:szCs w:val="20"/>
        </w:rPr>
        <w:t xml:space="preserve">is </w:t>
      </w:r>
      <w:r w:rsidR="002E5FF4" w:rsidRPr="006751FD">
        <w:rPr>
          <w:rFonts w:asciiTheme="majorHAnsi" w:hAnsiTheme="majorHAnsi"/>
          <w:sz w:val="20"/>
          <w:szCs w:val="20"/>
        </w:rPr>
        <w:t xml:space="preserve">now </w:t>
      </w:r>
      <w:r w:rsidR="00727CF3" w:rsidRPr="006751FD">
        <w:rPr>
          <w:rFonts w:asciiTheme="majorHAnsi" w:hAnsiTheme="majorHAnsi"/>
          <w:sz w:val="20"/>
          <w:szCs w:val="20"/>
        </w:rPr>
        <w:t xml:space="preserve">more likely to </w:t>
      </w:r>
      <w:r w:rsidRPr="006751FD">
        <w:rPr>
          <w:rFonts w:asciiTheme="majorHAnsi" w:hAnsiTheme="majorHAnsi"/>
          <w:sz w:val="20"/>
          <w:szCs w:val="20"/>
        </w:rPr>
        <w:t xml:space="preserve">come in </w:t>
      </w:r>
      <w:r w:rsidR="002E5FF4" w:rsidRPr="006751FD">
        <w:rPr>
          <w:rFonts w:asciiTheme="majorHAnsi" w:hAnsiTheme="majorHAnsi"/>
          <w:sz w:val="20"/>
          <w:szCs w:val="20"/>
        </w:rPr>
        <w:t xml:space="preserve">around </w:t>
      </w:r>
      <w:r w:rsidR="00727CF3" w:rsidRPr="006751FD">
        <w:rPr>
          <w:rFonts w:asciiTheme="majorHAnsi" w:hAnsiTheme="majorHAnsi"/>
          <w:sz w:val="20"/>
          <w:szCs w:val="20"/>
        </w:rPr>
        <w:t>3.8%</w:t>
      </w:r>
      <w:r w:rsidRPr="006751FD">
        <w:rPr>
          <w:rFonts w:asciiTheme="majorHAnsi" w:hAnsiTheme="majorHAnsi"/>
          <w:sz w:val="20"/>
          <w:szCs w:val="20"/>
        </w:rPr>
        <w:t xml:space="preserve"> after Statistics South Africa (Stats SA) measured inflation of 3.7% y-o-y and 3.6% y-o-y in October and November 2019, respectively. There will certainly be some base effects on inflation readings during 2020H1 due to the strong disinflationary trend seen early last year. Nonetheless, a</w:t>
      </w:r>
      <w:r w:rsidR="003F3C72">
        <w:rPr>
          <w:rFonts w:asciiTheme="majorHAnsi" w:hAnsiTheme="majorHAnsi"/>
          <w:sz w:val="20"/>
          <w:szCs w:val="20"/>
        </w:rPr>
        <w:t xml:space="preserve">n ongoing </w:t>
      </w:r>
      <w:r w:rsidRPr="006751FD">
        <w:rPr>
          <w:rFonts w:asciiTheme="majorHAnsi" w:hAnsiTheme="majorHAnsi"/>
          <w:sz w:val="20"/>
          <w:szCs w:val="20"/>
        </w:rPr>
        <w:t xml:space="preserve">trend of below-expectation inflation numbers suggests that the SARB’s </w:t>
      </w:r>
      <w:r w:rsidR="002E5FF4" w:rsidRPr="006751FD">
        <w:rPr>
          <w:rFonts w:asciiTheme="majorHAnsi" w:hAnsiTheme="majorHAnsi"/>
          <w:sz w:val="20"/>
          <w:szCs w:val="20"/>
        </w:rPr>
        <w:t xml:space="preserve">above-5% </w:t>
      </w:r>
      <w:r w:rsidRPr="006751FD">
        <w:rPr>
          <w:rFonts w:asciiTheme="majorHAnsi" w:hAnsiTheme="majorHAnsi"/>
          <w:sz w:val="20"/>
          <w:szCs w:val="20"/>
        </w:rPr>
        <w:t xml:space="preserve">inflation </w:t>
      </w:r>
      <w:r w:rsidR="002E5FF4" w:rsidRPr="006751FD">
        <w:rPr>
          <w:rFonts w:asciiTheme="majorHAnsi" w:hAnsiTheme="majorHAnsi"/>
          <w:sz w:val="20"/>
          <w:szCs w:val="20"/>
        </w:rPr>
        <w:t xml:space="preserve">forecasts for each of the four quarters in 2020 </w:t>
      </w:r>
      <w:r w:rsidR="003F3C72">
        <w:rPr>
          <w:rFonts w:asciiTheme="majorHAnsi" w:hAnsiTheme="majorHAnsi"/>
          <w:sz w:val="20"/>
          <w:szCs w:val="20"/>
        </w:rPr>
        <w:t xml:space="preserve">could be too </w:t>
      </w:r>
      <w:r w:rsidR="002E5FF4" w:rsidRPr="006751FD">
        <w:rPr>
          <w:rFonts w:asciiTheme="majorHAnsi" w:hAnsiTheme="majorHAnsi"/>
          <w:sz w:val="20"/>
          <w:szCs w:val="20"/>
        </w:rPr>
        <w:t>lofty.</w:t>
      </w:r>
      <w:r w:rsidRPr="006751FD">
        <w:rPr>
          <w:rFonts w:asciiTheme="majorHAnsi" w:hAnsiTheme="majorHAnsi"/>
          <w:sz w:val="20"/>
          <w:szCs w:val="20"/>
        </w:rPr>
        <w:t xml:space="preserve"> Lower inflation forecasts widen the door for a rate cut. </w:t>
      </w:r>
    </w:p>
    <w:p w14:paraId="68E15929" w14:textId="77777777" w:rsidR="00A87961" w:rsidRDefault="00A87961">
      <w:pPr>
        <w:rPr>
          <w:rFonts w:asciiTheme="majorHAnsi" w:hAnsiTheme="majorHAnsi"/>
          <w:b/>
          <w:sz w:val="20"/>
          <w:szCs w:val="20"/>
        </w:rPr>
      </w:pPr>
      <w:r>
        <w:rPr>
          <w:rFonts w:asciiTheme="majorHAnsi" w:hAnsiTheme="majorHAnsi"/>
          <w:b/>
          <w:sz w:val="20"/>
          <w:szCs w:val="20"/>
        </w:rPr>
        <w:t>Opening the door for a rate cut</w:t>
      </w:r>
    </w:p>
    <w:p w14:paraId="53CB2934" w14:textId="448B59AF" w:rsidR="006751FD" w:rsidRDefault="006751FD">
      <w:pPr>
        <w:rPr>
          <w:rFonts w:asciiTheme="majorHAnsi" w:hAnsiTheme="majorHAnsi"/>
          <w:sz w:val="20"/>
          <w:szCs w:val="20"/>
        </w:rPr>
      </w:pPr>
      <w:r w:rsidRPr="006751FD">
        <w:rPr>
          <w:rFonts w:asciiTheme="majorHAnsi" w:hAnsiTheme="majorHAnsi"/>
          <w:sz w:val="20"/>
          <w:szCs w:val="20"/>
        </w:rPr>
        <w:t>There is already some appetite within the MPC for lowering interest rat</w:t>
      </w:r>
      <w:r>
        <w:rPr>
          <w:rFonts w:asciiTheme="majorHAnsi" w:hAnsiTheme="majorHAnsi"/>
          <w:sz w:val="20"/>
          <w:szCs w:val="20"/>
        </w:rPr>
        <w:t>e</w:t>
      </w:r>
      <w:r w:rsidRPr="006751FD">
        <w:rPr>
          <w:rFonts w:asciiTheme="majorHAnsi" w:hAnsiTheme="majorHAnsi"/>
          <w:sz w:val="20"/>
          <w:szCs w:val="20"/>
        </w:rPr>
        <w:t>s. The vote at their November meeting was split between two policymakers f</w:t>
      </w:r>
      <w:r>
        <w:rPr>
          <w:rFonts w:asciiTheme="majorHAnsi" w:hAnsiTheme="majorHAnsi"/>
          <w:sz w:val="20"/>
          <w:szCs w:val="20"/>
        </w:rPr>
        <w:t xml:space="preserve">avouring a </w:t>
      </w:r>
      <w:r w:rsidR="003F3C72">
        <w:rPr>
          <w:rFonts w:asciiTheme="majorHAnsi" w:hAnsiTheme="majorHAnsi"/>
          <w:sz w:val="20"/>
          <w:szCs w:val="20"/>
        </w:rPr>
        <w:t xml:space="preserve">rate </w:t>
      </w:r>
      <w:r>
        <w:rPr>
          <w:rFonts w:asciiTheme="majorHAnsi" w:hAnsiTheme="majorHAnsi"/>
          <w:sz w:val="20"/>
          <w:szCs w:val="20"/>
        </w:rPr>
        <w:t xml:space="preserve">cut </w:t>
      </w:r>
      <w:r w:rsidRPr="006751FD">
        <w:rPr>
          <w:rFonts w:asciiTheme="majorHAnsi" w:hAnsiTheme="majorHAnsi"/>
          <w:sz w:val="20"/>
          <w:szCs w:val="20"/>
        </w:rPr>
        <w:t>and three preferring no act</w:t>
      </w:r>
      <w:r>
        <w:rPr>
          <w:rFonts w:asciiTheme="majorHAnsi" w:hAnsiTheme="majorHAnsi"/>
          <w:sz w:val="20"/>
          <w:szCs w:val="20"/>
        </w:rPr>
        <w:t>ion. (</w:t>
      </w:r>
      <w:r w:rsidR="00FE1A23" w:rsidRPr="006751FD">
        <w:rPr>
          <w:rFonts w:asciiTheme="majorHAnsi" w:hAnsiTheme="majorHAnsi"/>
          <w:sz w:val="20"/>
          <w:szCs w:val="20"/>
        </w:rPr>
        <w:t xml:space="preserve">If there were </w:t>
      </w:r>
      <w:r>
        <w:rPr>
          <w:rFonts w:asciiTheme="majorHAnsi" w:hAnsiTheme="majorHAnsi"/>
          <w:sz w:val="20"/>
          <w:szCs w:val="20"/>
        </w:rPr>
        <w:t xml:space="preserve">six MPC members - </w:t>
      </w:r>
      <w:r w:rsidR="00FE1A23" w:rsidRPr="006751FD">
        <w:rPr>
          <w:rFonts w:asciiTheme="majorHAnsi" w:hAnsiTheme="majorHAnsi"/>
          <w:sz w:val="20"/>
          <w:szCs w:val="20"/>
        </w:rPr>
        <w:t xml:space="preserve">like during 2015-2017 and </w:t>
      </w:r>
      <w:r w:rsidR="004106D1" w:rsidRPr="006751FD">
        <w:rPr>
          <w:rFonts w:asciiTheme="majorHAnsi" w:hAnsiTheme="majorHAnsi"/>
          <w:sz w:val="20"/>
          <w:szCs w:val="20"/>
        </w:rPr>
        <w:t xml:space="preserve">again in </w:t>
      </w:r>
      <w:r w:rsidR="00FE1A23" w:rsidRPr="006751FD">
        <w:rPr>
          <w:rFonts w:asciiTheme="majorHAnsi" w:hAnsiTheme="majorHAnsi"/>
          <w:sz w:val="20"/>
          <w:szCs w:val="20"/>
        </w:rPr>
        <w:t>2019Q1</w:t>
      </w:r>
      <w:r>
        <w:rPr>
          <w:rFonts w:asciiTheme="majorHAnsi" w:hAnsiTheme="majorHAnsi"/>
          <w:sz w:val="20"/>
          <w:szCs w:val="20"/>
        </w:rPr>
        <w:t xml:space="preserve"> - </w:t>
      </w:r>
      <w:r w:rsidR="00FE1A23" w:rsidRPr="006751FD">
        <w:rPr>
          <w:rFonts w:asciiTheme="majorHAnsi" w:hAnsiTheme="majorHAnsi"/>
          <w:sz w:val="20"/>
          <w:szCs w:val="20"/>
        </w:rPr>
        <w:t xml:space="preserve">a tie-break decision by the governor could </w:t>
      </w:r>
      <w:r w:rsidR="00B03841">
        <w:rPr>
          <w:rFonts w:asciiTheme="majorHAnsi" w:hAnsiTheme="majorHAnsi"/>
          <w:sz w:val="20"/>
          <w:szCs w:val="20"/>
        </w:rPr>
        <w:t xml:space="preserve">possibly </w:t>
      </w:r>
      <w:r w:rsidR="00FE1A23" w:rsidRPr="006751FD">
        <w:rPr>
          <w:rFonts w:asciiTheme="majorHAnsi" w:hAnsiTheme="majorHAnsi"/>
          <w:sz w:val="20"/>
          <w:szCs w:val="20"/>
        </w:rPr>
        <w:t>have resulted in a cut.</w:t>
      </w:r>
      <w:r>
        <w:rPr>
          <w:rFonts w:asciiTheme="majorHAnsi" w:hAnsiTheme="majorHAnsi"/>
          <w:sz w:val="20"/>
          <w:szCs w:val="20"/>
        </w:rPr>
        <w:t xml:space="preserve">) </w:t>
      </w:r>
      <w:r w:rsidR="00612670" w:rsidRPr="006751FD">
        <w:rPr>
          <w:rFonts w:asciiTheme="majorHAnsi" w:hAnsiTheme="majorHAnsi"/>
          <w:sz w:val="20"/>
          <w:szCs w:val="20"/>
        </w:rPr>
        <w:t xml:space="preserve">A </w:t>
      </w:r>
      <w:r>
        <w:rPr>
          <w:rFonts w:asciiTheme="majorHAnsi" w:hAnsiTheme="majorHAnsi"/>
          <w:sz w:val="20"/>
          <w:szCs w:val="20"/>
        </w:rPr>
        <w:t xml:space="preserve">two-three </w:t>
      </w:r>
      <w:r w:rsidR="00612670" w:rsidRPr="006751FD">
        <w:rPr>
          <w:rFonts w:asciiTheme="majorHAnsi" w:hAnsiTheme="majorHAnsi"/>
          <w:sz w:val="20"/>
          <w:szCs w:val="20"/>
        </w:rPr>
        <w:t xml:space="preserve">split </w:t>
      </w:r>
      <w:r w:rsidR="00B042DB" w:rsidRPr="006751FD">
        <w:rPr>
          <w:rFonts w:asciiTheme="majorHAnsi" w:hAnsiTheme="majorHAnsi"/>
          <w:sz w:val="20"/>
          <w:szCs w:val="20"/>
        </w:rPr>
        <w:t xml:space="preserve">can easily be a prelude to a cut at the next meeting: a similar split </w:t>
      </w:r>
      <w:r w:rsidR="00612670" w:rsidRPr="006751FD">
        <w:rPr>
          <w:rFonts w:asciiTheme="majorHAnsi" w:hAnsiTheme="majorHAnsi"/>
          <w:sz w:val="20"/>
          <w:szCs w:val="20"/>
        </w:rPr>
        <w:t xml:space="preserve">in May 2019 was followed by a </w:t>
      </w:r>
      <w:r>
        <w:rPr>
          <w:rFonts w:asciiTheme="majorHAnsi" w:hAnsiTheme="majorHAnsi"/>
          <w:sz w:val="20"/>
          <w:szCs w:val="20"/>
        </w:rPr>
        <w:t xml:space="preserve">repo rate </w:t>
      </w:r>
      <w:r w:rsidR="00612670" w:rsidRPr="006751FD">
        <w:rPr>
          <w:rFonts w:asciiTheme="majorHAnsi" w:hAnsiTheme="majorHAnsi"/>
          <w:sz w:val="20"/>
          <w:szCs w:val="20"/>
        </w:rPr>
        <w:t xml:space="preserve">cut </w:t>
      </w:r>
      <w:r w:rsidR="00B042DB" w:rsidRPr="006751FD">
        <w:rPr>
          <w:rFonts w:asciiTheme="majorHAnsi" w:hAnsiTheme="majorHAnsi"/>
          <w:sz w:val="20"/>
          <w:szCs w:val="20"/>
        </w:rPr>
        <w:t xml:space="preserve">(by unanimous decision) </w:t>
      </w:r>
      <w:r w:rsidR="00612670" w:rsidRPr="006751FD">
        <w:rPr>
          <w:rFonts w:asciiTheme="majorHAnsi" w:hAnsiTheme="majorHAnsi"/>
          <w:sz w:val="20"/>
          <w:szCs w:val="20"/>
        </w:rPr>
        <w:t xml:space="preserve">at the next </w:t>
      </w:r>
      <w:r w:rsidR="00B042DB" w:rsidRPr="006751FD">
        <w:rPr>
          <w:rFonts w:asciiTheme="majorHAnsi" w:hAnsiTheme="majorHAnsi"/>
          <w:sz w:val="20"/>
          <w:szCs w:val="20"/>
        </w:rPr>
        <w:t xml:space="preserve">MPC </w:t>
      </w:r>
      <w:r w:rsidR="00612670" w:rsidRPr="006751FD">
        <w:rPr>
          <w:rFonts w:asciiTheme="majorHAnsi" w:hAnsiTheme="majorHAnsi"/>
          <w:sz w:val="20"/>
          <w:szCs w:val="20"/>
        </w:rPr>
        <w:t>meeting</w:t>
      </w:r>
      <w:r>
        <w:rPr>
          <w:rFonts w:asciiTheme="majorHAnsi" w:hAnsiTheme="majorHAnsi"/>
          <w:sz w:val="20"/>
          <w:szCs w:val="20"/>
        </w:rPr>
        <w:t xml:space="preserve"> in July of that year.</w:t>
      </w:r>
    </w:p>
    <w:p w14:paraId="30FC5DC6" w14:textId="5CA64E8B" w:rsidR="00844C49" w:rsidRDefault="00844C49">
      <w:pPr>
        <w:rPr>
          <w:rFonts w:asciiTheme="majorHAnsi" w:hAnsiTheme="majorHAnsi"/>
          <w:sz w:val="20"/>
          <w:szCs w:val="20"/>
        </w:rPr>
      </w:pPr>
    </w:p>
    <w:p w14:paraId="73200DA0" w14:textId="2FB798E1" w:rsidR="00844C49" w:rsidRDefault="00844C49">
      <w:pPr>
        <w:rPr>
          <w:rFonts w:asciiTheme="majorHAnsi" w:hAnsiTheme="majorHAnsi"/>
          <w:sz w:val="20"/>
          <w:szCs w:val="20"/>
        </w:rPr>
      </w:pPr>
    </w:p>
    <w:p w14:paraId="3170BCFE" w14:textId="4D0F1A2A" w:rsidR="00844C49" w:rsidRDefault="00844C49">
      <w:pPr>
        <w:rPr>
          <w:rFonts w:asciiTheme="majorHAnsi" w:hAnsiTheme="majorHAnsi"/>
          <w:sz w:val="20"/>
          <w:szCs w:val="20"/>
        </w:rPr>
      </w:pPr>
    </w:p>
    <w:p w14:paraId="576B9872" w14:textId="14EBBE55" w:rsidR="00844C49" w:rsidRDefault="00844C49">
      <w:pPr>
        <w:rPr>
          <w:rFonts w:asciiTheme="majorHAnsi" w:hAnsiTheme="majorHAnsi"/>
          <w:sz w:val="20"/>
          <w:szCs w:val="20"/>
        </w:rPr>
      </w:pPr>
    </w:p>
    <w:p w14:paraId="32F1917B" w14:textId="7866E3E9" w:rsidR="00844C49" w:rsidRDefault="00844C49">
      <w:pPr>
        <w:rPr>
          <w:rFonts w:asciiTheme="majorHAnsi" w:hAnsiTheme="majorHAnsi"/>
          <w:sz w:val="20"/>
          <w:szCs w:val="20"/>
        </w:rPr>
      </w:pPr>
    </w:p>
    <w:p w14:paraId="1E4265BF" w14:textId="77777777" w:rsidR="00844C49" w:rsidRDefault="00844C49">
      <w:pPr>
        <w:rPr>
          <w:rFonts w:asciiTheme="majorHAnsi" w:hAnsiTheme="majorHAnsi"/>
          <w:sz w:val="20"/>
          <w:szCs w:val="20"/>
        </w:rPr>
      </w:pPr>
    </w:p>
    <w:p w14:paraId="61761688" w14:textId="0A4B5ABE" w:rsidR="00844C49" w:rsidRDefault="00844C49">
      <w:pPr>
        <w:rPr>
          <w:rFonts w:asciiTheme="majorHAnsi" w:hAnsiTheme="majorHAnsi"/>
          <w:sz w:val="20"/>
          <w:szCs w:val="20"/>
        </w:rPr>
      </w:pPr>
    </w:p>
    <w:p w14:paraId="07E4DDC1" w14:textId="721BE776" w:rsidR="00844C49" w:rsidRDefault="00844C49">
      <w:pPr>
        <w:rPr>
          <w:rFonts w:asciiTheme="majorHAnsi" w:hAnsiTheme="majorHAnsi"/>
          <w:sz w:val="20"/>
          <w:szCs w:val="20"/>
        </w:rPr>
      </w:pPr>
    </w:p>
    <w:p w14:paraId="338B9C78" w14:textId="0DFE7227" w:rsidR="00844C49" w:rsidRDefault="00844C49">
      <w:pPr>
        <w:rPr>
          <w:rFonts w:asciiTheme="majorHAnsi" w:hAnsiTheme="majorHAnsi"/>
          <w:sz w:val="20"/>
          <w:szCs w:val="20"/>
        </w:rPr>
      </w:pPr>
    </w:p>
    <w:p w14:paraId="756DEB60" w14:textId="77777777" w:rsidR="00844C49" w:rsidRDefault="00844C49">
      <w:pPr>
        <w:rPr>
          <w:rFonts w:asciiTheme="majorHAnsi" w:hAnsiTheme="majorHAnsi"/>
          <w:sz w:val="20"/>
          <w:szCs w:val="20"/>
        </w:rPr>
      </w:pPr>
    </w:p>
    <w:p w14:paraId="33F885D6" w14:textId="77777777" w:rsidR="00612670" w:rsidRPr="006751FD" w:rsidRDefault="006751FD">
      <w:pPr>
        <w:rPr>
          <w:rFonts w:asciiTheme="majorHAnsi" w:hAnsiTheme="majorHAnsi"/>
          <w:sz w:val="20"/>
          <w:szCs w:val="20"/>
        </w:rPr>
      </w:pPr>
      <w:r>
        <w:rPr>
          <w:rFonts w:asciiTheme="majorHAnsi" w:hAnsiTheme="majorHAnsi"/>
          <w:sz w:val="20"/>
          <w:szCs w:val="20"/>
        </w:rPr>
        <w:t>Figure x: MPC vote split percentage under SARB Governor Lesetja Kganyago</w:t>
      </w:r>
      <w:r w:rsidR="002162C4">
        <w:rPr>
          <w:rFonts w:asciiTheme="majorHAnsi" w:hAnsiTheme="majorHAnsi"/>
          <w:sz w:val="20"/>
          <w:szCs w:val="20"/>
        </w:rPr>
        <w:t>*</w:t>
      </w:r>
      <w:r w:rsidR="00612670" w:rsidRPr="006751FD">
        <w:rPr>
          <w:rFonts w:asciiTheme="majorHAnsi" w:hAnsiTheme="majorHAnsi"/>
          <w:sz w:val="20"/>
          <w:szCs w:val="20"/>
        </w:rPr>
        <w:t xml:space="preserve"> </w:t>
      </w:r>
    </w:p>
    <w:p w14:paraId="60332354" w14:textId="77777777" w:rsidR="00612670" w:rsidRDefault="002162C4">
      <w:pPr>
        <w:rPr>
          <w:rFonts w:asciiTheme="majorHAnsi" w:hAnsiTheme="majorHAnsi"/>
          <w:sz w:val="20"/>
          <w:szCs w:val="20"/>
        </w:rPr>
      </w:pPr>
      <w:r>
        <w:rPr>
          <w:noProof/>
        </w:rPr>
        <w:drawing>
          <wp:inline distT="0" distB="0" distL="0" distR="0" wp14:anchorId="550867E1" wp14:editId="3E8607F8">
            <wp:extent cx="5936043" cy="2695575"/>
            <wp:effectExtent l="0" t="0" r="7620" b="9525"/>
            <wp:docPr id="1" name="Chart 1">
              <a:extLst xmlns:a="http://schemas.openxmlformats.org/drawingml/2006/main">
                <a:ext uri="{FF2B5EF4-FFF2-40B4-BE49-F238E27FC236}">
                  <a16:creationId xmlns:a16="http://schemas.microsoft.com/office/drawing/2014/main" id="{97FC5A8E-DC22-4782-8889-729EA0E356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4DF3D63" w14:textId="77777777" w:rsidR="00612670" w:rsidRDefault="006751FD">
      <w:pPr>
        <w:rPr>
          <w:rFonts w:asciiTheme="majorHAnsi" w:hAnsiTheme="majorHAnsi"/>
          <w:sz w:val="20"/>
          <w:szCs w:val="20"/>
        </w:rPr>
      </w:pPr>
      <w:r>
        <w:rPr>
          <w:rFonts w:asciiTheme="majorHAnsi" w:hAnsiTheme="majorHAnsi"/>
          <w:sz w:val="20"/>
          <w:szCs w:val="20"/>
        </w:rPr>
        <w:t>Source: PwC calculations based on SARB data</w:t>
      </w:r>
    </w:p>
    <w:p w14:paraId="2342B9B6" w14:textId="49CFA4A5" w:rsidR="00E3046C" w:rsidRDefault="00E3046C" w:rsidP="000F4D55">
      <w:pPr>
        <w:rPr>
          <w:rFonts w:asciiTheme="majorHAnsi" w:hAnsiTheme="majorHAnsi"/>
          <w:i/>
          <w:sz w:val="18"/>
          <w:szCs w:val="18"/>
        </w:rPr>
      </w:pPr>
      <w:r w:rsidRPr="002F485B">
        <w:rPr>
          <w:rFonts w:asciiTheme="majorHAnsi" w:hAnsiTheme="majorHAnsi"/>
          <w:i/>
          <w:sz w:val="18"/>
          <w:szCs w:val="18"/>
        </w:rPr>
        <w:t>*</w:t>
      </w:r>
      <w:r w:rsidR="002F485B">
        <w:rPr>
          <w:rFonts w:asciiTheme="majorHAnsi" w:hAnsiTheme="majorHAnsi"/>
          <w:i/>
          <w:sz w:val="18"/>
          <w:szCs w:val="18"/>
        </w:rPr>
        <w:t>MPC v</w:t>
      </w:r>
      <w:r w:rsidRPr="002F485B">
        <w:rPr>
          <w:rFonts w:asciiTheme="majorHAnsi" w:hAnsiTheme="majorHAnsi"/>
          <w:i/>
          <w:sz w:val="18"/>
          <w:szCs w:val="18"/>
        </w:rPr>
        <w:t xml:space="preserve">otes are split between cut, hold and hike, with percentage distribution listed on the </w:t>
      </w:r>
      <w:r w:rsidR="002F485B" w:rsidRPr="002F485B">
        <w:rPr>
          <w:rFonts w:asciiTheme="majorHAnsi" w:hAnsiTheme="majorHAnsi"/>
          <w:i/>
          <w:sz w:val="18"/>
          <w:szCs w:val="18"/>
        </w:rPr>
        <w:t>left-hand</w:t>
      </w:r>
      <w:r w:rsidRPr="002F485B">
        <w:rPr>
          <w:rFonts w:asciiTheme="majorHAnsi" w:hAnsiTheme="majorHAnsi"/>
          <w:i/>
          <w:sz w:val="18"/>
          <w:szCs w:val="18"/>
        </w:rPr>
        <w:t xml:space="preserve"> y-axis. The actual repo rate </w:t>
      </w:r>
      <w:r w:rsidR="002F485B" w:rsidRPr="002F485B">
        <w:rPr>
          <w:rFonts w:asciiTheme="majorHAnsi" w:hAnsiTheme="majorHAnsi"/>
          <w:i/>
          <w:sz w:val="18"/>
          <w:szCs w:val="18"/>
        </w:rPr>
        <w:t>is listed on the right-hand y-axis.</w:t>
      </w:r>
    </w:p>
    <w:p w14:paraId="3665DC79" w14:textId="77777777" w:rsidR="00A87961" w:rsidRPr="00A87961" w:rsidRDefault="00A87961" w:rsidP="000F4D55">
      <w:pPr>
        <w:rPr>
          <w:rFonts w:asciiTheme="majorHAnsi" w:hAnsiTheme="majorHAnsi"/>
          <w:b/>
          <w:sz w:val="20"/>
          <w:szCs w:val="20"/>
        </w:rPr>
      </w:pPr>
      <w:r w:rsidRPr="00A87961">
        <w:rPr>
          <w:rFonts w:asciiTheme="majorHAnsi" w:hAnsiTheme="majorHAnsi"/>
          <w:b/>
          <w:sz w:val="20"/>
          <w:szCs w:val="20"/>
        </w:rPr>
        <w:t>Stronger rand supporting low retail inflation</w:t>
      </w:r>
    </w:p>
    <w:p w14:paraId="51DB3E2D" w14:textId="2A532A2B" w:rsidR="000F4D55" w:rsidRDefault="006751FD" w:rsidP="000F4D55">
      <w:pPr>
        <w:rPr>
          <w:rFonts w:asciiTheme="majorHAnsi" w:hAnsiTheme="majorHAnsi"/>
          <w:sz w:val="20"/>
          <w:szCs w:val="20"/>
        </w:rPr>
      </w:pPr>
      <w:r>
        <w:rPr>
          <w:rFonts w:asciiTheme="majorHAnsi" w:hAnsiTheme="majorHAnsi"/>
          <w:sz w:val="20"/>
          <w:szCs w:val="20"/>
        </w:rPr>
        <w:t>Policymakers will find comfort in a recently stronger rand. The South African currency reached a five-month high late in December, breaking below the R15</w:t>
      </w:r>
      <w:r w:rsidR="000F4D55">
        <w:rPr>
          <w:rFonts w:asciiTheme="majorHAnsi" w:hAnsiTheme="majorHAnsi"/>
          <w:sz w:val="20"/>
          <w:szCs w:val="20"/>
        </w:rPr>
        <w:t>.00</w:t>
      </w:r>
      <w:r>
        <w:rPr>
          <w:rFonts w:asciiTheme="majorHAnsi" w:hAnsiTheme="majorHAnsi"/>
          <w:sz w:val="20"/>
          <w:szCs w:val="20"/>
        </w:rPr>
        <w:t>/$ level</w:t>
      </w:r>
      <w:r w:rsidR="000F4D55">
        <w:rPr>
          <w:rFonts w:asciiTheme="majorHAnsi" w:hAnsiTheme="majorHAnsi"/>
          <w:sz w:val="20"/>
          <w:szCs w:val="20"/>
        </w:rPr>
        <w:t xml:space="preserve">. (Admittedly, the rand always trades strong in the last two weeks of December as imports slow.) </w:t>
      </w:r>
      <w:r>
        <w:rPr>
          <w:rFonts w:asciiTheme="majorHAnsi" w:hAnsiTheme="majorHAnsi"/>
          <w:sz w:val="20"/>
          <w:szCs w:val="20"/>
        </w:rPr>
        <w:t>The current reading around R</w:t>
      </w:r>
      <w:r w:rsidR="00B03841">
        <w:rPr>
          <w:rFonts w:asciiTheme="majorHAnsi" w:hAnsiTheme="majorHAnsi"/>
          <w:sz w:val="20"/>
          <w:szCs w:val="20"/>
        </w:rPr>
        <w:t>14.</w:t>
      </w:r>
      <w:r w:rsidR="00FF5825">
        <w:rPr>
          <w:rFonts w:asciiTheme="majorHAnsi" w:hAnsiTheme="majorHAnsi"/>
          <w:sz w:val="20"/>
          <w:szCs w:val="20"/>
        </w:rPr>
        <w:t>50</w:t>
      </w:r>
      <w:r>
        <w:rPr>
          <w:rFonts w:asciiTheme="majorHAnsi" w:hAnsiTheme="majorHAnsi"/>
          <w:sz w:val="20"/>
          <w:szCs w:val="20"/>
        </w:rPr>
        <w:t xml:space="preserve">/$ is better than the </w:t>
      </w:r>
      <w:r w:rsidR="00727CF3" w:rsidRPr="006751FD">
        <w:rPr>
          <w:rFonts w:asciiTheme="majorHAnsi" w:hAnsiTheme="majorHAnsi"/>
          <w:sz w:val="20"/>
          <w:szCs w:val="20"/>
        </w:rPr>
        <w:t xml:space="preserve">R14.94/$ </w:t>
      </w:r>
      <w:r>
        <w:rPr>
          <w:rFonts w:asciiTheme="majorHAnsi" w:hAnsiTheme="majorHAnsi"/>
          <w:sz w:val="20"/>
          <w:szCs w:val="20"/>
        </w:rPr>
        <w:t xml:space="preserve">that the SARB used for its inflation forecasts in November 2019. </w:t>
      </w:r>
      <w:r w:rsidR="000F4D55">
        <w:rPr>
          <w:rFonts w:asciiTheme="majorHAnsi" w:hAnsiTheme="majorHAnsi"/>
          <w:sz w:val="20"/>
          <w:szCs w:val="20"/>
        </w:rPr>
        <w:t xml:space="preserve">Resilience in the rand has been an important contributor to low inflation: </w:t>
      </w:r>
      <w:hyperlink r:id="rId7" w:history="1">
        <w:r w:rsidR="000F4D55" w:rsidRPr="000F4D55">
          <w:rPr>
            <w:rStyle w:val="Hyperlink"/>
            <w:rFonts w:asciiTheme="majorHAnsi" w:hAnsiTheme="majorHAnsi"/>
            <w:sz w:val="20"/>
            <w:szCs w:val="20"/>
          </w:rPr>
          <w:t>Stats SA</w:t>
        </w:r>
      </w:hyperlink>
      <w:r w:rsidR="000F4D55">
        <w:rPr>
          <w:rFonts w:asciiTheme="majorHAnsi" w:hAnsiTheme="majorHAnsi"/>
          <w:sz w:val="20"/>
          <w:szCs w:val="20"/>
        </w:rPr>
        <w:t xml:space="preserve"> measured a </w:t>
      </w:r>
      <w:r w:rsidR="00727CF3" w:rsidRPr="006751FD">
        <w:rPr>
          <w:rFonts w:asciiTheme="majorHAnsi" w:hAnsiTheme="majorHAnsi"/>
          <w:sz w:val="20"/>
          <w:szCs w:val="20"/>
        </w:rPr>
        <w:t xml:space="preserve">13.2% y-o-y </w:t>
      </w:r>
      <w:r w:rsidR="000F4D55">
        <w:rPr>
          <w:rFonts w:asciiTheme="majorHAnsi" w:hAnsiTheme="majorHAnsi"/>
          <w:sz w:val="20"/>
          <w:szCs w:val="20"/>
        </w:rPr>
        <w:t xml:space="preserve">decline in the cost of imported goods during </w:t>
      </w:r>
      <w:r w:rsidR="00727CF3" w:rsidRPr="006751FD">
        <w:rPr>
          <w:rFonts w:asciiTheme="majorHAnsi" w:hAnsiTheme="majorHAnsi"/>
          <w:sz w:val="20"/>
          <w:szCs w:val="20"/>
        </w:rPr>
        <w:t>October</w:t>
      </w:r>
      <w:r w:rsidR="000F4D55">
        <w:rPr>
          <w:rFonts w:asciiTheme="majorHAnsi" w:hAnsiTheme="majorHAnsi"/>
          <w:sz w:val="20"/>
          <w:szCs w:val="20"/>
        </w:rPr>
        <w:t xml:space="preserve"> 2019 (latest available data). </w:t>
      </w:r>
    </w:p>
    <w:p w14:paraId="62ED33FD" w14:textId="334AEAD3" w:rsidR="00727CF3" w:rsidRDefault="000F4D55">
      <w:pPr>
        <w:rPr>
          <w:rFonts w:asciiTheme="majorHAnsi" w:hAnsiTheme="majorHAnsi"/>
          <w:sz w:val="20"/>
          <w:szCs w:val="20"/>
        </w:rPr>
      </w:pPr>
      <w:r>
        <w:rPr>
          <w:rFonts w:asciiTheme="majorHAnsi" w:hAnsiTheme="majorHAnsi"/>
          <w:sz w:val="20"/>
          <w:szCs w:val="20"/>
        </w:rPr>
        <w:t xml:space="preserve">This </w:t>
      </w:r>
      <w:r w:rsidR="003F3C72">
        <w:rPr>
          <w:rFonts w:asciiTheme="majorHAnsi" w:hAnsiTheme="majorHAnsi"/>
          <w:sz w:val="20"/>
          <w:szCs w:val="20"/>
        </w:rPr>
        <w:t xml:space="preserve">imported deflation </w:t>
      </w:r>
      <w:r>
        <w:rPr>
          <w:rFonts w:asciiTheme="majorHAnsi" w:hAnsiTheme="majorHAnsi"/>
          <w:sz w:val="20"/>
          <w:szCs w:val="20"/>
        </w:rPr>
        <w:t xml:space="preserve">contributed to retail inflation declining to just 2.9% y-o-y in October (latest available data), according to </w:t>
      </w:r>
      <w:hyperlink r:id="rId8" w:history="1">
        <w:r w:rsidRPr="000F4D55">
          <w:rPr>
            <w:rStyle w:val="Hyperlink"/>
            <w:rFonts w:asciiTheme="majorHAnsi" w:hAnsiTheme="majorHAnsi"/>
            <w:sz w:val="20"/>
            <w:szCs w:val="20"/>
          </w:rPr>
          <w:t>Stats SA</w:t>
        </w:r>
      </w:hyperlink>
      <w:r>
        <w:rPr>
          <w:rFonts w:asciiTheme="majorHAnsi" w:hAnsiTheme="majorHAnsi"/>
          <w:sz w:val="20"/>
          <w:szCs w:val="20"/>
        </w:rPr>
        <w:t xml:space="preserve">. Another reason behind low retail inflation is the inability of retailers to pass on price increases to consumers. </w:t>
      </w:r>
      <w:r w:rsidRPr="000F4D55">
        <w:rPr>
          <w:rFonts w:asciiTheme="majorHAnsi" w:hAnsiTheme="majorHAnsi"/>
          <w:sz w:val="20"/>
          <w:szCs w:val="20"/>
        </w:rPr>
        <w:t xml:space="preserve">In their </w:t>
      </w:r>
      <w:r w:rsidR="003F3C72">
        <w:rPr>
          <w:rFonts w:asciiTheme="majorHAnsi" w:hAnsiTheme="majorHAnsi"/>
          <w:sz w:val="20"/>
          <w:szCs w:val="20"/>
        </w:rPr>
        <w:t xml:space="preserve">latest </w:t>
      </w:r>
      <w:r w:rsidRPr="000F4D55">
        <w:rPr>
          <w:rFonts w:asciiTheme="majorHAnsi" w:hAnsiTheme="majorHAnsi"/>
          <w:sz w:val="20"/>
          <w:szCs w:val="20"/>
        </w:rPr>
        <w:t>annual reports, retailers have cited low economic growth, consumers grappling with household debt</w:t>
      </w:r>
      <w:r>
        <w:rPr>
          <w:rFonts w:asciiTheme="majorHAnsi" w:hAnsiTheme="majorHAnsi"/>
          <w:sz w:val="20"/>
          <w:szCs w:val="20"/>
        </w:rPr>
        <w:t>,</w:t>
      </w:r>
      <w:r w:rsidRPr="000F4D55">
        <w:rPr>
          <w:rFonts w:asciiTheme="majorHAnsi" w:hAnsiTheme="majorHAnsi"/>
          <w:sz w:val="20"/>
          <w:szCs w:val="20"/>
        </w:rPr>
        <w:t xml:space="preserve"> escalating livings costs</w:t>
      </w:r>
      <w:r>
        <w:rPr>
          <w:rFonts w:asciiTheme="majorHAnsi" w:hAnsiTheme="majorHAnsi"/>
          <w:sz w:val="20"/>
          <w:szCs w:val="20"/>
        </w:rPr>
        <w:t xml:space="preserve"> and </w:t>
      </w:r>
      <w:r w:rsidRPr="000F4D55">
        <w:rPr>
          <w:rFonts w:asciiTheme="majorHAnsi" w:hAnsiTheme="majorHAnsi"/>
          <w:sz w:val="20"/>
          <w:szCs w:val="20"/>
        </w:rPr>
        <w:t>high levels of unemployment</w:t>
      </w:r>
      <w:r>
        <w:rPr>
          <w:rFonts w:asciiTheme="majorHAnsi" w:hAnsiTheme="majorHAnsi"/>
          <w:sz w:val="20"/>
          <w:szCs w:val="20"/>
        </w:rPr>
        <w:t xml:space="preserve"> as the reasons behind this. Unsurprisingly, </w:t>
      </w:r>
      <w:r w:rsidRPr="000F4D55">
        <w:rPr>
          <w:rFonts w:asciiTheme="majorHAnsi" w:hAnsiTheme="majorHAnsi"/>
          <w:sz w:val="20"/>
          <w:szCs w:val="20"/>
        </w:rPr>
        <w:t xml:space="preserve">according to the </w:t>
      </w:r>
      <w:hyperlink r:id="rId9" w:history="1">
        <w:r w:rsidRPr="000F4D55">
          <w:rPr>
            <w:rStyle w:val="Hyperlink"/>
            <w:rFonts w:asciiTheme="majorHAnsi" w:hAnsiTheme="majorHAnsi"/>
            <w:sz w:val="20"/>
            <w:szCs w:val="20"/>
          </w:rPr>
          <w:t>Bureau for Economic Research (BER)</w:t>
        </w:r>
      </w:hyperlink>
      <w:r>
        <w:rPr>
          <w:rFonts w:asciiTheme="majorHAnsi" w:hAnsiTheme="majorHAnsi"/>
          <w:sz w:val="20"/>
          <w:szCs w:val="20"/>
        </w:rPr>
        <w:t xml:space="preserve">, </w:t>
      </w:r>
      <w:r w:rsidRPr="000F4D55">
        <w:rPr>
          <w:rFonts w:asciiTheme="majorHAnsi" w:hAnsiTheme="majorHAnsi"/>
          <w:sz w:val="20"/>
          <w:szCs w:val="20"/>
        </w:rPr>
        <w:t>retail sector confidence declined to a 20-year low in 2019Q3</w:t>
      </w:r>
      <w:r>
        <w:rPr>
          <w:rFonts w:asciiTheme="majorHAnsi" w:hAnsiTheme="majorHAnsi"/>
          <w:sz w:val="20"/>
          <w:szCs w:val="20"/>
        </w:rPr>
        <w:t xml:space="preserve">. </w:t>
      </w:r>
    </w:p>
    <w:p w14:paraId="3BF6449D" w14:textId="15242231" w:rsidR="00A87961" w:rsidRDefault="00B80B91" w:rsidP="00A87961">
      <w:pPr>
        <w:rPr>
          <w:rFonts w:asciiTheme="majorHAnsi" w:hAnsiTheme="majorHAnsi"/>
          <w:sz w:val="20"/>
          <w:szCs w:val="20"/>
        </w:rPr>
      </w:pPr>
      <w:r>
        <w:rPr>
          <w:rFonts w:asciiTheme="majorHAnsi" w:hAnsiTheme="majorHAnsi"/>
          <w:sz w:val="20"/>
          <w:szCs w:val="20"/>
        </w:rPr>
        <w:t xml:space="preserve">It is highly unlikely that </w:t>
      </w:r>
      <w:r w:rsidR="00A87961">
        <w:rPr>
          <w:rFonts w:asciiTheme="majorHAnsi" w:hAnsiTheme="majorHAnsi"/>
          <w:sz w:val="20"/>
          <w:szCs w:val="20"/>
        </w:rPr>
        <w:t xml:space="preserve">the SARB </w:t>
      </w:r>
      <w:r>
        <w:rPr>
          <w:rFonts w:asciiTheme="majorHAnsi" w:hAnsiTheme="majorHAnsi"/>
          <w:sz w:val="20"/>
          <w:szCs w:val="20"/>
        </w:rPr>
        <w:t xml:space="preserve">would </w:t>
      </w:r>
      <w:r w:rsidR="00A87961">
        <w:rPr>
          <w:rFonts w:asciiTheme="majorHAnsi" w:hAnsiTheme="majorHAnsi"/>
          <w:sz w:val="20"/>
          <w:szCs w:val="20"/>
        </w:rPr>
        <w:t xml:space="preserve">risk stirring higher inflation if </w:t>
      </w:r>
      <w:r>
        <w:rPr>
          <w:rFonts w:asciiTheme="majorHAnsi" w:hAnsiTheme="majorHAnsi"/>
          <w:sz w:val="20"/>
          <w:szCs w:val="20"/>
        </w:rPr>
        <w:t>with a</w:t>
      </w:r>
      <w:r w:rsidR="00A87961">
        <w:rPr>
          <w:rFonts w:asciiTheme="majorHAnsi" w:hAnsiTheme="majorHAnsi"/>
          <w:sz w:val="20"/>
          <w:szCs w:val="20"/>
        </w:rPr>
        <w:t xml:space="preserve"> cut </w:t>
      </w:r>
      <w:r>
        <w:rPr>
          <w:rFonts w:asciiTheme="majorHAnsi" w:hAnsiTheme="majorHAnsi"/>
          <w:sz w:val="20"/>
          <w:szCs w:val="20"/>
        </w:rPr>
        <w:t xml:space="preserve">to </w:t>
      </w:r>
      <w:r w:rsidR="00A87961">
        <w:rPr>
          <w:rFonts w:asciiTheme="majorHAnsi" w:hAnsiTheme="majorHAnsi"/>
          <w:sz w:val="20"/>
          <w:szCs w:val="20"/>
        </w:rPr>
        <w:t>the repo rate in 2020</w:t>
      </w:r>
      <w:r>
        <w:rPr>
          <w:rFonts w:asciiTheme="majorHAnsi" w:hAnsiTheme="majorHAnsi"/>
          <w:sz w:val="20"/>
          <w:szCs w:val="20"/>
        </w:rPr>
        <w:t>.</w:t>
      </w:r>
      <w:r w:rsidR="00A87961">
        <w:rPr>
          <w:rFonts w:asciiTheme="majorHAnsi" w:hAnsiTheme="majorHAnsi"/>
          <w:sz w:val="20"/>
          <w:szCs w:val="20"/>
        </w:rPr>
        <w:t xml:space="preserve"> Calculations by analysts at </w:t>
      </w:r>
      <w:hyperlink r:id="rId10" w:history="1">
        <w:r w:rsidR="00A87961" w:rsidRPr="00365B96">
          <w:rPr>
            <w:rStyle w:val="Hyperlink"/>
            <w:rFonts w:asciiTheme="majorHAnsi" w:hAnsiTheme="majorHAnsi"/>
            <w:sz w:val="20"/>
            <w:szCs w:val="20"/>
          </w:rPr>
          <w:t>Economists.co.za</w:t>
        </w:r>
      </w:hyperlink>
      <w:r w:rsidR="00A87961">
        <w:rPr>
          <w:rFonts w:asciiTheme="majorHAnsi" w:hAnsiTheme="majorHAnsi"/>
          <w:sz w:val="20"/>
          <w:szCs w:val="20"/>
        </w:rPr>
        <w:t xml:space="preserve"> indicate that d</w:t>
      </w:r>
      <w:r w:rsidR="00A87961" w:rsidRPr="006751FD">
        <w:rPr>
          <w:rFonts w:asciiTheme="majorHAnsi" w:hAnsiTheme="majorHAnsi"/>
          <w:sz w:val="20"/>
          <w:szCs w:val="20"/>
        </w:rPr>
        <w:t xml:space="preserve">emand-side inflation – </w:t>
      </w:r>
      <w:r w:rsidR="00A87961">
        <w:rPr>
          <w:rFonts w:asciiTheme="majorHAnsi" w:hAnsiTheme="majorHAnsi"/>
          <w:sz w:val="20"/>
          <w:szCs w:val="20"/>
        </w:rPr>
        <w:t xml:space="preserve">i.e. </w:t>
      </w:r>
      <w:r w:rsidR="00A87961" w:rsidRPr="006751FD">
        <w:rPr>
          <w:rFonts w:asciiTheme="majorHAnsi" w:hAnsiTheme="majorHAnsi"/>
          <w:sz w:val="20"/>
          <w:szCs w:val="20"/>
        </w:rPr>
        <w:t xml:space="preserve">price </w:t>
      </w:r>
      <w:r w:rsidR="00A87961" w:rsidRPr="006751FD">
        <w:rPr>
          <w:rFonts w:asciiTheme="majorHAnsi" w:hAnsiTheme="majorHAnsi"/>
          <w:sz w:val="20"/>
          <w:szCs w:val="20"/>
        </w:rPr>
        <w:lastRenderedPageBreak/>
        <w:t xml:space="preserve">changes on goods </w:t>
      </w:r>
      <w:r w:rsidR="00A87961">
        <w:rPr>
          <w:rFonts w:asciiTheme="majorHAnsi" w:hAnsiTheme="majorHAnsi"/>
          <w:sz w:val="20"/>
          <w:szCs w:val="20"/>
        </w:rPr>
        <w:t xml:space="preserve">and services </w:t>
      </w:r>
      <w:r w:rsidR="00A87961" w:rsidRPr="006751FD">
        <w:rPr>
          <w:rFonts w:asciiTheme="majorHAnsi" w:hAnsiTheme="majorHAnsi"/>
          <w:sz w:val="20"/>
          <w:szCs w:val="20"/>
        </w:rPr>
        <w:t xml:space="preserve">that consumers can make choices on – </w:t>
      </w:r>
      <w:r w:rsidR="00A87961">
        <w:rPr>
          <w:rFonts w:asciiTheme="majorHAnsi" w:hAnsiTheme="majorHAnsi"/>
          <w:sz w:val="20"/>
          <w:szCs w:val="20"/>
        </w:rPr>
        <w:t xml:space="preserve">was below zero. The cost of these ‘choice goods’ (accounting for three-quarters of the inflation basket) declined by 0.7% y-o-y near the end of 2019. In other words, where consumers have a choice between suppliers and can influence pricing by shifting their demand, there has been </w:t>
      </w:r>
      <w:r w:rsidR="007A07D8">
        <w:rPr>
          <w:rFonts w:asciiTheme="majorHAnsi" w:hAnsiTheme="majorHAnsi"/>
          <w:sz w:val="20"/>
          <w:szCs w:val="20"/>
        </w:rPr>
        <w:t xml:space="preserve">slight </w:t>
      </w:r>
      <w:r w:rsidR="00A87961">
        <w:rPr>
          <w:rFonts w:asciiTheme="majorHAnsi" w:hAnsiTheme="majorHAnsi"/>
          <w:sz w:val="20"/>
          <w:szCs w:val="20"/>
        </w:rPr>
        <w:t xml:space="preserve">price deflation. In contrast, ‘necessity goods’ – including healthcare and medical insurance, fuel, home security and school fees – increased by </w:t>
      </w:r>
      <w:r w:rsidR="007A07D8">
        <w:rPr>
          <w:rFonts w:asciiTheme="majorHAnsi" w:hAnsiTheme="majorHAnsi"/>
          <w:sz w:val="20"/>
          <w:szCs w:val="20"/>
        </w:rPr>
        <w:t xml:space="preserve">a significant </w:t>
      </w:r>
      <w:r w:rsidR="00A87961">
        <w:rPr>
          <w:rFonts w:asciiTheme="majorHAnsi" w:hAnsiTheme="majorHAnsi"/>
          <w:sz w:val="20"/>
          <w:szCs w:val="20"/>
        </w:rPr>
        <w:t xml:space="preserve">8.4% y-o-y. </w:t>
      </w:r>
    </w:p>
    <w:p w14:paraId="67A1A12D" w14:textId="77777777" w:rsidR="00A87961" w:rsidRDefault="00A87961" w:rsidP="006B0947">
      <w:pPr>
        <w:rPr>
          <w:rFonts w:asciiTheme="majorHAnsi" w:hAnsiTheme="majorHAnsi"/>
          <w:b/>
          <w:sz w:val="20"/>
          <w:szCs w:val="20"/>
        </w:rPr>
      </w:pPr>
      <w:r>
        <w:rPr>
          <w:rFonts w:asciiTheme="majorHAnsi" w:hAnsiTheme="majorHAnsi"/>
          <w:b/>
          <w:sz w:val="20"/>
          <w:szCs w:val="20"/>
        </w:rPr>
        <w:t>Weak economic growth persists</w:t>
      </w:r>
    </w:p>
    <w:p w14:paraId="40F0637A" w14:textId="71E57515" w:rsidR="002F485B" w:rsidRDefault="00FF5825" w:rsidP="006B0947">
      <w:pPr>
        <w:rPr>
          <w:rFonts w:asciiTheme="majorHAnsi" w:hAnsiTheme="majorHAnsi"/>
          <w:sz w:val="20"/>
          <w:szCs w:val="20"/>
        </w:rPr>
      </w:pPr>
      <w:r>
        <w:rPr>
          <w:rFonts w:asciiTheme="majorHAnsi" w:hAnsiTheme="majorHAnsi"/>
          <w:sz w:val="20"/>
          <w:szCs w:val="20"/>
        </w:rPr>
        <w:t xml:space="preserve">Local media recently reported on the World Bank cutting its growth outlook for South Africa to just 0.9% for 2020. </w:t>
      </w:r>
      <w:r w:rsidR="002F485B">
        <w:rPr>
          <w:rFonts w:asciiTheme="majorHAnsi" w:hAnsiTheme="majorHAnsi"/>
          <w:sz w:val="20"/>
          <w:szCs w:val="20"/>
        </w:rPr>
        <w:t xml:space="preserve">Available forecasts collated by Focus Economics point to a median projection for </w:t>
      </w:r>
      <w:r w:rsidR="002E5FF4" w:rsidRPr="006751FD">
        <w:rPr>
          <w:rFonts w:asciiTheme="majorHAnsi" w:hAnsiTheme="majorHAnsi"/>
          <w:sz w:val="20"/>
          <w:szCs w:val="20"/>
        </w:rPr>
        <w:t>real GDP growth</w:t>
      </w:r>
      <w:r w:rsidR="002F485B">
        <w:rPr>
          <w:rFonts w:asciiTheme="majorHAnsi" w:hAnsiTheme="majorHAnsi"/>
          <w:sz w:val="20"/>
          <w:szCs w:val="20"/>
        </w:rPr>
        <w:t xml:space="preserve"> to reach </w:t>
      </w:r>
      <w:r w:rsidR="00050983" w:rsidRPr="006751FD">
        <w:rPr>
          <w:rFonts w:asciiTheme="majorHAnsi" w:hAnsiTheme="majorHAnsi"/>
          <w:sz w:val="20"/>
          <w:szCs w:val="20"/>
        </w:rPr>
        <w:t xml:space="preserve">just over </w:t>
      </w:r>
      <w:r w:rsidR="002E5FF4" w:rsidRPr="006751FD">
        <w:rPr>
          <w:rFonts w:asciiTheme="majorHAnsi" w:hAnsiTheme="majorHAnsi"/>
          <w:sz w:val="20"/>
          <w:szCs w:val="20"/>
        </w:rPr>
        <w:t>1% in 2020</w:t>
      </w:r>
      <w:r w:rsidR="002D4A1A" w:rsidRPr="006751FD">
        <w:rPr>
          <w:rFonts w:asciiTheme="majorHAnsi" w:hAnsiTheme="majorHAnsi"/>
          <w:sz w:val="20"/>
          <w:szCs w:val="20"/>
        </w:rPr>
        <w:t xml:space="preserve"> – highly dependent on the frequency of loadshedding, of course</w:t>
      </w:r>
      <w:r w:rsidR="002F485B">
        <w:rPr>
          <w:rFonts w:asciiTheme="majorHAnsi" w:hAnsiTheme="majorHAnsi"/>
          <w:sz w:val="20"/>
          <w:szCs w:val="20"/>
        </w:rPr>
        <w:t xml:space="preserve"> – from around 0.5% last year. Manufacturing production is expected to rise by 0.7% after a decline of 0.4% in 2019. An improvement in economic growth this year is </w:t>
      </w:r>
      <w:r w:rsidR="003F3C72">
        <w:rPr>
          <w:rFonts w:asciiTheme="majorHAnsi" w:hAnsiTheme="majorHAnsi"/>
          <w:sz w:val="20"/>
          <w:szCs w:val="20"/>
        </w:rPr>
        <w:t xml:space="preserve">also </w:t>
      </w:r>
      <w:r w:rsidR="002F485B">
        <w:rPr>
          <w:rFonts w:asciiTheme="majorHAnsi" w:hAnsiTheme="majorHAnsi"/>
          <w:sz w:val="20"/>
          <w:szCs w:val="20"/>
        </w:rPr>
        <w:t xml:space="preserve">predicated on an expectation that fixed investment spending will increase in 2020 following a pullback in investment during 2018-2019. </w:t>
      </w:r>
    </w:p>
    <w:p w14:paraId="61250EBE" w14:textId="158D96B7" w:rsidR="006B0947" w:rsidRPr="006751FD" w:rsidRDefault="006B1D50" w:rsidP="006B0947">
      <w:pPr>
        <w:rPr>
          <w:rFonts w:asciiTheme="majorHAnsi" w:hAnsiTheme="majorHAnsi"/>
          <w:sz w:val="20"/>
          <w:szCs w:val="20"/>
        </w:rPr>
      </w:pPr>
      <w:r w:rsidRPr="006751FD">
        <w:rPr>
          <w:rFonts w:asciiTheme="majorHAnsi" w:hAnsiTheme="majorHAnsi"/>
          <w:sz w:val="20"/>
          <w:szCs w:val="20"/>
        </w:rPr>
        <w:t xml:space="preserve">Economic growth </w:t>
      </w:r>
      <w:r w:rsidR="002F485B">
        <w:rPr>
          <w:rFonts w:asciiTheme="majorHAnsi" w:hAnsiTheme="majorHAnsi"/>
          <w:sz w:val="20"/>
          <w:szCs w:val="20"/>
        </w:rPr>
        <w:t xml:space="preserve">around </w:t>
      </w:r>
      <w:r w:rsidRPr="006751FD">
        <w:rPr>
          <w:rFonts w:asciiTheme="majorHAnsi" w:hAnsiTheme="majorHAnsi"/>
          <w:sz w:val="20"/>
          <w:szCs w:val="20"/>
        </w:rPr>
        <w:t xml:space="preserve">1% </w:t>
      </w:r>
      <w:r w:rsidR="002E5FF4" w:rsidRPr="006751FD">
        <w:rPr>
          <w:rFonts w:asciiTheme="majorHAnsi" w:hAnsiTheme="majorHAnsi"/>
          <w:sz w:val="20"/>
          <w:szCs w:val="20"/>
        </w:rPr>
        <w:t xml:space="preserve">will certainly not be </w:t>
      </w:r>
      <w:r w:rsidR="002D4A1A" w:rsidRPr="006751FD">
        <w:rPr>
          <w:rFonts w:asciiTheme="majorHAnsi" w:hAnsiTheme="majorHAnsi"/>
          <w:sz w:val="20"/>
          <w:szCs w:val="20"/>
        </w:rPr>
        <w:t xml:space="preserve">too </w:t>
      </w:r>
      <w:r w:rsidR="002E5FF4" w:rsidRPr="006751FD">
        <w:rPr>
          <w:rFonts w:asciiTheme="majorHAnsi" w:hAnsiTheme="majorHAnsi"/>
          <w:sz w:val="20"/>
          <w:szCs w:val="20"/>
        </w:rPr>
        <w:t xml:space="preserve">bad </w:t>
      </w:r>
      <w:r w:rsidR="002D4A1A" w:rsidRPr="006751FD">
        <w:rPr>
          <w:rFonts w:asciiTheme="majorHAnsi" w:hAnsiTheme="majorHAnsi"/>
          <w:sz w:val="20"/>
          <w:szCs w:val="20"/>
        </w:rPr>
        <w:t xml:space="preserve">a </w:t>
      </w:r>
      <w:r w:rsidR="002E5FF4" w:rsidRPr="006751FD">
        <w:rPr>
          <w:rFonts w:asciiTheme="majorHAnsi" w:hAnsiTheme="majorHAnsi"/>
          <w:sz w:val="20"/>
          <w:szCs w:val="20"/>
        </w:rPr>
        <w:t>performance given the country</w:t>
      </w:r>
      <w:r w:rsidR="00050983" w:rsidRPr="006751FD">
        <w:rPr>
          <w:rFonts w:asciiTheme="majorHAnsi" w:hAnsiTheme="majorHAnsi"/>
          <w:sz w:val="20"/>
          <w:szCs w:val="20"/>
        </w:rPr>
        <w:t>’</w:t>
      </w:r>
      <w:r w:rsidR="002E5FF4" w:rsidRPr="006751FD">
        <w:rPr>
          <w:rFonts w:asciiTheme="majorHAnsi" w:hAnsiTheme="majorHAnsi"/>
          <w:sz w:val="20"/>
          <w:szCs w:val="20"/>
        </w:rPr>
        <w:t xml:space="preserve">s recent economic </w:t>
      </w:r>
      <w:r w:rsidR="00050983" w:rsidRPr="006751FD">
        <w:rPr>
          <w:rFonts w:asciiTheme="majorHAnsi" w:hAnsiTheme="majorHAnsi"/>
          <w:sz w:val="20"/>
          <w:szCs w:val="20"/>
        </w:rPr>
        <w:t>trend</w:t>
      </w:r>
      <w:r w:rsidR="002E5FF4" w:rsidRPr="006751FD">
        <w:rPr>
          <w:rFonts w:asciiTheme="majorHAnsi" w:hAnsiTheme="majorHAnsi"/>
          <w:sz w:val="20"/>
          <w:szCs w:val="20"/>
        </w:rPr>
        <w:t xml:space="preserve">. However, it is unlikely that economic </w:t>
      </w:r>
      <w:r w:rsidR="003F3C72">
        <w:rPr>
          <w:rFonts w:asciiTheme="majorHAnsi" w:hAnsiTheme="majorHAnsi"/>
          <w:sz w:val="20"/>
          <w:szCs w:val="20"/>
        </w:rPr>
        <w:t xml:space="preserve">expansion </w:t>
      </w:r>
      <w:r w:rsidR="002E5FF4" w:rsidRPr="006751FD">
        <w:rPr>
          <w:rFonts w:asciiTheme="majorHAnsi" w:hAnsiTheme="majorHAnsi"/>
          <w:sz w:val="20"/>
          <w:szCs w:val="20"/>
        </w:rPr>
        <w:t xml:space="preserve">will reach </w:t>
      </w:r>
      <w:r w:rsidR="00050983" w:rsidRPr="006751FD">
        <w:rPr>
          <w:rFonts w:asciiTheme="majorHAnsi" w:hAnsiTheme="majorHAnsi"/>
          <w:sz w:val="20"/>
          <w:szCs w:val="20"/>
        </w:rPr>
        <w:t xml:space="preserve">the projected population growth rate of 1.3%. This will result in a sixth straight year of declining </w:t>
      </w:r>
      <w:r w:rsidR="00D74131" w:rsidRPr="006751FD">
        <w:rPr>
          <w:rFonts w:asciiTheme="majorHAnsi" w:hAnsiTheme="majorHAnsi"/>
          <w:sz w:val="20"/>
          <w:szCs w:val="20"/>
        </w:rPr>
        <w:t xml:space="preserve">real </w:t>
      </w:r>
      <w:r w:rsidR="00050983" w:rsidRPr="006751FD">
        <w:rPr>
          <w:rFonts w:asciiTheme="majorHAnsi" w:hAnsiTheme="majorHAnsi"/>
          <w:sz w:val="20"/>
          <w:szCs w:val="20"/>
        </w:rPr>
        <w:t xml:space="preserve">GDP per capita. </w:t>
      </w:r>
      <w:r w:rsidR="006B0947" w:rsidRPr="006751FD">
        <w:rPr>
          <w:rFonts w:asciiTheme="majorHAnsi" w:hAnsiTheme="majorHAnsi"/>
          <w:sz w:val="20"/>
          <w:szCs w:val="20"/>
        </w:rPr>
        <w:t xml:space="preserve">Only </w:t>
      </w:r>
      <w:r w:rsidR="00D118FA" w:rsidRPr="006751FD">
        <w:rPr>
          <w:rFonts w:asciiTheme="majorHAnsi" w:hAnsiTheme="majorHAnsi"/>
          <w:sz w:val="20"/>
          <w:szCs w:val="20"/>
        </w:rPr>
        <w:t xml:space="preserve">a half-dozen </w:t>
      </w:r>
      <w:r w:rsidR="006B0947" w:rsidRPr="006751FD">
        <w:rPr>
          <w:rFonts w:asciiTheme="majorHAnsi" w:hAnsiTheme="majorHAnsi"/>
          <w:sz w:val="20"/>
          <w:szCs w:val="20"/>
        </w:rPr>
        <w:t>other countries are</w:t>
      </w:r>
      <w:r w:rsidR="00686D6A" w:rsidRPr="006751FD">
        <w:rPr>
          <w:rFonts w:asciiTheme="majorHAnsi" w:hAnsiTheme="majorHAnsi"/>
          <w:sz w:val="20"/>
          <w:szCs w:val="20"/>
        </w:rPr>
        <w:t xml:space="preserve"> </w:t>
      </w:r>
      <w:r w:rsidR="00F70160" w:rsidRPr="006751FD">
        <w:rPr>
          <w:rFonts w:asciiTheme="majorHAnsi" w:hAnsiTheme="majorHAnsi"/>
          <w:sz w:val="20"/>
          <w:szCs w:val="20"/>
        </w:rPr>
        <w:t xml:space="preserve">expected </w:t>
      </w:r>
      <w:r w:rsidR="005F7E63" w:rsidRPr="006751FD">
        <w:rPr>
          <w:rFonts w:asciiTheme="majorHAnsi" w:hAnsiTheme="majorHAnsi"/>
          <w:sz w:val="20"/>
          <w:szCs w:val="20"/>
        </w:rPr>
        <w:t xml:space="preserve">to see </w:t>
      </w:r>
      <w:r w:rsidR="002D4A1A" w:rsidRPr="006751FD">
        <w:rPr>
          <w:rFonts w:asciiTheme="majorHAnsi" w:hAnsiTheme="majorHAnsi"/>
          <w:sz w:val="20"/>
          <w:szCs w:val="20"/>
        </w:rPr>
        <w:t xml:space="preserve">a six-year stretch in negative </w:t>
      </w:r>
      <w:r w:rsidR="00D118FA" w:rsidRPr="006751FD">
        <w:rPr>
          <w:rFonts w:asciiTheme="majorHAnsi" w:hAnsiTheme="majorHAnsi"/>
          <w:sz w:val="20"/>
          <w:szCs w:val="20"/>
        </w:rPr>
        <w:t>real GDP per capita</w:t>
      </w:r>
      <w:r w:rsidR="002D4A1A" w:rsidRPr="006751FD">
        <w:rPr>
          <w:rFonts w:asciiTheme="majorHAnsi" w:hAnsiTheme="majorHAnsi"/>
          <w:sz w:val="20"/>
          <w:szCs w:val="20"/>
        </w:rPr>
        <w:t xml:space="preserve"> changes </w:t>
      </w:r>
      <w:r w:rsidR="005F7E63" w:rsidRPr="006751FD">
        <w:rPr>
          <w:rFonts w:asciiTheme="majorHAnsi" w:hAnsiTheme="majorHAnsi"/>
          <w:sz w:val="20"/>
          <w:szCs w:val="20"/>
        </w:rPr>
        <w:t>during 2015-2020</w:t>
      </w:r>
      <w:r w:rsidR="006B0947" w:rsidRPr="006751FD">
        <w:rPr>
          <w:rFonts w:asciiTheme="majorHAnsi" w:hAnsiTheme="majorHAnsi"/>
          <w:sz w:val="20"/>
          <w:szCs w:val="20"/>
        </w:rPr>
        <w:t>: Venezuela, Equatorial Guinea, Angola, Burundi, Liberia and Nigeria.</w:t>
      </w:r>
    </w:p>
    <w:p w14:paraId="67E8DAA3" w14:textId="67101143" w:rsidR="00A87961" w:rsidRDefault="00A87961">
      <w:pPr>
        <w:rPr>
          <w:rFonts w:asciiTheme="majorHAnsi" w:hAnsiTheme="majorHAnsi"/>
          <w:b/>
          <w:sz w:val="20"/>
          <w:szCs w:val="20"/>
        </w:rPr>
      </w:pPr>
      <w:r>
        <w:rPr>
          <w:rFonts w:asciiTheme="majorHAnsi" w:hAnsiTheme="majorHAnsi"/>
          <w:b/>
          <w:sz w:val="20"/>
          <w:szCs w:val="20"/>
        </w:rPr>
        <w:t xml:space="preserve">Would wait-and-see be more prudent? </w:t>
      </w:r>
    </w:p>
    <w:p w14:paraId="31E41444" w14:textId="02774A9B" w:rsidR="002D4A1A" w:rsidRPr="006751FD" w:rsidRDefault="00A87961">
      <w:pPr>
        <w:rPr>
          <w:rFonts w:asciiTheme="majorHAnsi" w:hAnsiTheme="majorHAnsi"/>
          <w:sz w:val="20"/>
          <w:szCs w:val="20"/>
        </w:rPr>
      </w:pPr>
      <w:r>
        <w:rPr>
          <w:rFonts w:asciiTheme="majorHAnsi" w:hAnsiTheme="majorHAnsi"/>
          <w:sz w:val="20"/>
          <w:szCs w:val="20"/>
        </w:rPr>
        <w:t xml:space="preserve">While the above </w:t>
      </w:r>
      <w:r w:rsidR="0044289B">
        <w:rPr>
          <w:rFonts w:asciiTheme="majorHAnsi" w:hAnsiTheme="majorHAnsi"/>
          <w:sz w:val="20"/>
          <w:szCs w:val="20"/>
        </w:rPr>
        <w:t xml:space="preserve">helps </w:t>
      </w:r>
      <w:r w:rsidR="00B80B91">
        <w:rPr>
          <w:rFonts w:asciiTheme="majorHAnsi" w:hAnsiTheme="majorHAnsi"/>
          <w:sz w:val="20"/>
          <w:szCs w:val="20"/>
        </w:rPr>
        <w:t xml:space="preserve">to </w:t>
      </w:r>
      <w:r w:rsidR="0044289B">
        <w:rPr>
          <w:rFonts w:asciiTheme="majorHAnsi" w:hAnsiTheme="majorHAnsi"/>
          <w:sz w:val="20"/>
          <w:szCs w:val="20"/>
        </w:rPr>
        <w:t xml:space="preserve">justify a rate cut this month, </w:t>
      </w:r>
      <w:r w:rsidR="002D4A1A" w:rsidRPr="006751FD">
        <w:rPr>
          <w:rFonts w:asciiTheme="majorHAnsi" w:hAnsiTheme="majorHAnsi"/>
          <w:sz w:val="20"/>
          <w:szCs w:val="20"/>
        </w:rPr>
        <w:t xml:space="preserve">the MPC might take a </w:t>
      </w:r>
      <w:r w:rsidR="003F3C72">
        <w:rPr>
          <w:rFonts w:asciiTheme="majorHAnsi" w:hAnsiTheme="majorHAnsi"/>
          <w:sz w:val="20"/>
          <w:szCs w:val="20"/>
        </w:rPr>
        <w:t xml:space="preserve">more </w:t>
      </w:r>
      <w:r w:rsidR="002D4A1A" w:rsidRPr="006751FD">
        <w:rPr>
          <w:rFonts w:asciiTheme="majorHAnsi" w:hAnsiTheme="majorHAnsi"/>
          <w:sz w:val="20"/>
          <w:szCs w:val="20"/>
        </w:rPr>
        <w:t>prudent view and hold o</w:t>
      </w:r>
      <w:r w:rsidR="00B80B91">
        <w:rPr>
          <w:rFonts w:asciiTheme="majorHAnsi" w:hAnsiTheme="majorHAnsi"/>
          <w:sz w:val="20"/>
          <w:szCs w:val="20"/>
        </w:rPr>
        <w:t>f</w:t>
      </w:r>
      <w:r w:rsidR="003D0C0E">
        <w:rPr>
          <w:rFonts w:asciiTheme="majorHAnsi" w:hAnsiTheme="majorHAnsi"/>
          <w:sz w:val="20"/>
          <w:szCs w:val="20"/>
        </w:rPr>
        <w:t>f</w:t>
      </w:r>
      <w:r w:rsidR="002D4A1A" w:rsidRPr="006751FD">
        <w:rPr>
          <w:rFonts w:asciiTheme="majorHAnsi" w:hAnsiTheme="majorHAnsi"/>
          <w:sz w:val="20"/>
          <w:szCs w:val="20"/>
        </w:rPr>
        <w:t xml:space="preserve"> any action until its next meeting </w:t>
      </w:r>
      <w:r w:rsidR="00B80B91">
        <w:rPr>
          <w:rFonts w:asciiTheme="majorHAnsi" w:hAnsiTheme="majorHAnsi"/>
          <w:sz w:val="20"/>
          <w:szCs w:val="20"/>
        </w:rPr>
        <w:t>i</w:t>
      </w:r>
      <w:r w:rsidR="002D4A1A" w:rsidRPr="006751FD">
        <w:rPr>
          <w:rFonts w:asciiTheme="majorHAnsi" w:hAnsiTheme="majorHAnsi"/>
          <w:sz w:val="20"/>
          <w:szCs w:val="20"/>
        </w:rPr>
        <w:t>n March</w:t>
      </w:r>
      <w:r w:rsidR="003D0C0E">
        <w:rPr>
          <w:rFonts w:asciiTheme="majorHAnsi" w:hAnsiTheme="majorHAnsi"/>
          <w:sz w:val="20"/>
          <w:szCs w:val="20"/>
        </w:rPr>
        <w:t xml:space="preserve"> – or even May</w:t>
      </w:r>
      <w:r w:rsidR="002D4A1A" w:rsidRPr="006751FD">
        <w:rPr>
          <w:rFonts w:asciiTheme="majorHAnsi" w:hAnsiTheme="majorHAnsi"/>
          <w:sz w:val="20"/>
          <w:szCs w:val="20"/>
        </w:rPr>
        <w:t>. The coming two months have a very full data calendar for the SARB to consider. These include the 2020 budget speech (</w:t>
      </w:r>
      <w:r w:rsidR="00FF5825">
        <w:rPr>
          <w:rFonts w:asciiTheme="majorHAnsi" w:hAnsiTheme="majorHAnsi"/>
          <w:sz w:val="20"/>
          <w:szCs w:val="20"/>
        </w:rPr>
        <w:t xml:space="preserve">third week of </w:t>
      </w:r>
      <w:r w:rsidR="002D4A1A" w:rsidRPr="006751FD">
        <w:rPr>
          <w:rFonts w:asciiTheme="majorHAnsi" w:hAnsiTheme="majorHAnsi"/>
          <w:sz w:val="20"/>
          <w:szCs w:val="20"/>
        </w:rPr>
        <w:t xml:space="preserve">February), GDP data for 2019Q4 (first week of March), </w:t>
      </w:r>
      <w:r w:rsidR="003D0C0E" w:rsidRPr="006751FD">
        <w:rPr>
          <w:rFonts w:asciiTheme="majorHAnsi" w:hAnsiTheme="majorHAnsi"/>
          <w:sz w:val="20"/>
          <w:szCs w:val="20"/>
        </w:rPr>
        <w:t>a decision by the National Energy Regulator of South Africa (Nersa) on Eskom’s tariff increases this year (by mid-March)</w:t>
      </w:r>
      <w:r w:rsidR="003D0C0E">
        <w:rPr>
          <w:rFonts w:asciiTheme="majorHAnsi" w:hAnsiTheme="majorHAnsi"/>
          <w:sz w:val="20"/>
          <w:szCs w:val="20"/>
        </w:rPr>
        <w:t xml:space="preserve">, and </w:t>
      </w:r>
      <w:r w:rsidR="002D4A1A" w:rsidRPr="006751FD">
        <w:rPr>
          <w:rFonts w:asciiTheme="majorHAnsi" w:hAnsiTheme="majorHAnsi"/>
          <w:sz w:val="20"/>
          <w:szCs w:val="20"/>
        </w:rPr>
        <w:t>Moody’s Investors Service’s next review (</w:t>
      </w:r>
      <w:r w:rsidR="00A720F2">
        <w:rPr>
          <w:rFonts w:asciiTheme="majorHAnsi" w:hAnsiTheme="majorHAnsi"/>
          <w:sz w:val="20"/>
          <w:szCs w:val="20"/>
        </w:rPr>
        <w:t>March 27</w:t>
      </w:r>
      <w:r w:rsidR="002D4A1A" w:rsidRPr="006751FD">
        <w:rPr>
          <w:rFonts w:asciiTheme="majorHAnsi" w:hAnsiTheme="majorHAnsi"/>
          <w:sz w:val="20"/>
          <w:szCs w:val="20"/>
        </w:rPr>
        <w:t xml:space="preserve">). </w:t>
      </w:r>
    </w:p>
    <w:p w14:paraId="15EA3538" w14:textId="31D9EAEE" w:rsidR="002D4A1A" w:rsidRDefault="002D4A1A">
      <w:pPr>
        <w:rPr>
          <w:rFonts w:asciiTheme="majorHAnsi" w:hAnsiTheme="majorHAnsi"/>
          <w:sz w:val="20"/>
          <w:szCs w:val="20"/>
        </w:rPr>
      </w:pPr>
      <w:r w:rsidRPr="006751FD">
        <w:rPr>
          <w:rFonts w:asciiTheme="majorHAnsi" w:hAnsiTheme="majorHAnsi"/>
          <w:sz w:val="20"/>
          <w:szCs w:val="20"/>
        </w:rPr>
        <w:t xml:space="preserve">These events will have a direct impact on the SARB’s projections for inflation, economic growth and fiscal dynamics. The MPC cannot afford to get its assumptions wrong on these factors and would </w:t>
      </w:r>
      <w:r w:rsidR="00A720F2">
        <w:rPr>
          <w:rFonts w:asciiTheme="majorHAnsi" w:hAnsiTheme="majorHAnsi"/>
          <w:sz w:val="20"/>
          <w:szCs w:val="20"/>
        </w:rPr>
        <w:t xml:space="preserve">certainly </w:t>
      </w:r>
      <w:r w:rsidRPr="006751FD">
        <w:rPr>
          <w:rFonts w:asciiTheme="majorHAnsi" w:hAnsiTheme="majorHAnsi"/>
          <w:sz w:val="20"/>
          <w:szCs w:val="20"/>
        </w:rPr>
        <w:t>b</w:t>
      </w:r>
      <w:r w:rsidR="00A720F2">
        <w:rPr>
          <w:rFonts w:asciiTheme="majorHAnsi" w:hAnsiTheme="majorHAnsi"/>
          <w:sz w:val="20"/>
          <w:szCs w:val="20"/>
        </w:rPr>
        <w:t>e</w:t>
      </w:r>
      <w:r w:rsidRPr="006751FD">
        <w:rPr>
          <w:rFonts w:asciiTheme="majorHAnsi" w:hAnsiTheme="majorHAnsi"/>
          <w:sz w:val="20"/>
          <w:szCs w:val="20"/>
        </w:rPr>
        <w:t xml:space="preserve"> justified in holding off any monetary policy action until more is known on these factors. </w:t>
      </w:r>
      <w:r w:rsidR="001802AA">
        <w:rPr>
          <w:rFonts w:asciiTheme="majorHAnsi" w:hAnsiTheme="majorHAnsi"/>
          <w:sz w:val="20"/>
          <w:szCs w:val="20"/>
        </w:rPr>
        <w:t xml:space="preserve">Policymakers can also not afford to ignore the country’s economic crisis – low growth and rising unemployment. The SARB has repeatedly said that it does not see monetary policy action as a solution to growth challenges. But in a low-inflation environment, interest rate cuts will certainly do no harm. </w:t>
      </w:r>
      <w:bookmarkEnd w:id="0"/>
    </w:p>
    <w:p w14:paraId="1016876D" w14:textId="4B5627B4" w:rsidR="000D21D8" w:rsidRDefault="000D21D8">
      <w:pPr>
        <w:rPr>
          <w:rFonts w:asciiTheme="majorHAnsi" w:hAnsiTheme="majorHAnsi"/>
          <w:sz w:val="20"/>
          <w:szCs w:val="20"/>
        </w:rPr>
      </w:pPr>
    </w:p>
    <w:p w14:paraId="433E0CB1" w14:textId="611B8A4D" w:rsidR="000D21D8" w:rsidRDefault="000D21D8">
      <w:pPr>
        <w:rPr>
          <w:rFonts w:asciiTheme="majorHAnsi" w:hAnsiTheme="majorHAnsi"/>
          <w:sz w:val="20"/>
          <w:szCs w:val="20"/>
        </w:rPr>
      </w:pPr>
      <w:r>
        <w:rPr>
          <w:rFonts w:asciiTheme="majorHAnsi" w:hAnsiTheme="majorHAnsi"/>
          <w:sz w:val="20"/>
          <w:szCs w:val="20"/>
        </w:rPr>
        <w:t xml:space="preserve">Article by </w:t>
      </w:r>
      <w:proofErr w:type="spellStart"/>
      <w:r>
        <w:rPr>
          <w:rFonts w:asciiTheme="majorHAnsi" w:hAnsiTheme="majorHAnsi"/>
          <w:sz w:val="20"/>
          <w:szCs w:val="20"/>
        </w:rPr>
        <w:t>Lullu</w:t>
      </w:r>
      <w:proofErr w:type="spellEnd"/>
      <w:r>
        <w:rPr>
          <w:rFonts w:asciiTheme="majorHAnsi" w:hAnsiTheme="majorHAnsi"/>
          <w:sz w:val="20"/>
          <w:szCs w:val="20"/>
        </w:rPr>
        <w:t xml:space="preserve"> </w:t>
      </w:r>
      <w:proofErr w:type="spellStart"/>
      <w:r>
        <w:rPr>
          <w:rFonts w:asciiTheme="majorHAnsi" w:hAnsiTheme="majorHAnsi"/>
          <w:sz w:val="20"/>
          <w:szCs w:val="20"/>
        </w:rPr>
        <w:t>Krugel</w:t>
      </w:r>
      <w:proofErr w:type="spellEnd"/>
      <w:r>
        <w:rPr>
          <w:rFonts w:asciiTheme="majorHAnsi" w:hAnsiTheme="majorHAnsi"/>
          <w:sz w:val="20"/>
          <w:szCs w:val="20"/>
        </w:rPr>
        <w:t>, Chief Economist PwC Strategy&amp; and Dr Christie Viljoen, PwC Strategy&amp; Economist</w:t>
      </w:r>
    </w:p>
    <w:p w14:paraId="53D9AC6C" w14:textId="77777777" w:rsidR="00E44856" w:rsidRPr="00C774E6" w:rsidRDefault="00E44856" w:rsidP="00E44856">
      <w:pPr>
        <w:pBdr>
          <w:bottom w:val="single" w:sz="12" w:space="1" w:color="auto"/>
        </w:pBdr>
        <w:rPr>
          <w:rFonts w:cstheme="minorHAnsi"/>
          <w:b/>
          <w:i/>
          <w:sz w:val="24"/>
          <w:szCs w:val="24"/>
        </w:rPr>
      </w:pPr>
      <w:bookmarkStart w:id="1" w:name="_GoBack"/>
      <w:bookmarkEnd w:id="1"/>
    </w:p>
    <w:p w14:paraId="60B88FB6" w14:textId="77777777" w:rsidR="00E44856" w:rsidRPr="00D75AE4" w:rsidRDefault="00E44856" w:rsidP="00E44856">
      <w:pPr>
        <w:shd w:val="clear" w:color="auto" w:fill="FFFFFF"/>
        <w:spacing w:after="0" w:line="240" w:lineRule="auto"/>
        <w:rPr>
          <w:rFonts w:ascii="Georgia" w:eastAsia="Times New Roman" w:hAnsi="Georgia" w:cs="Arial"/>
          <w:i/>
          <w:iCs/>
          <w:color w:val="222222"/>
          <w:sz w:val="20"/>
          <w:szCs w:val="20"/>
        </w:rPr>
      </w:pPr>
      <w:r w:rsidRPr="00D75AE4">
        <w:rPr>
          <w:rFonts w:ascii="Georgia" w:eastAsia="Times New Roman" w:hAnsi="Georgia" w:cs="Arial"/>
          <w:i/>
          <w:iCs/>
          <w:color w:val="222222"/>
          <w:sz w:val="20"/>
          <w:szCs w:val="20"/>
        </w:rPr>
        <w:t xml:space="preserve">At PwC, our purpose is to build trust in society and solve important problems. We’re a network of firms in 158 countries with over 250,000 people who are committed to delivering quality in assurance, advisory and tax services. Find out more and tell us what matters to you by visiting us at </w:t>
      </w:r>
      <w:hyperlink r:id="rId11" w:tgtFrame="_blank" w:history="1">
        <w:r w:rsidRPr="00D75AE4">
          <w:rPr>
            <w:rFonts w:ascii="Georgia" w:eastAsia="Times New Roman" w:hAnsi="Georgia" w:cs="Arial"/>
            <w:i/>
            <w:iCs/>
            <w:color w:val="1155CC"/>
            <w:sz w:val="20"/>
            <w:szCs w:val="20"/>
            <w:u w:val="single"/>
          </w:rPr>
          <w:t>www.pwc.com</w:t>
        </w:r>
      </w:hyperlink>
      <w:r w:rsidRPr="00D75AE4">
        <w:rPr>
          <w:rFonts w:ascii="Georgia" w:eastAsia="Times New Roman" w:hAnsi="Georgia" w:cs="Arial"/>
          <w:i/>
          <w:iCs/>
          <w:color w:val="222222"/>
          <w:sz w:val="20"/>
          <w:szCs w:val="20"/>
        </w:rPr>
        <w:t>.</w:t>
      </w:r>
    </w:p>
    <w:p w14:paraId="236E2936" w14:textId="77777777" w:rsidR="00E44856" w:rsidRPr="00D75AE4" w:rsidRDefault="00E44856" w:rsidP="00E44856">
      <w:pPr>
        <w:pStyle w:val="NormalWeb"/>
        <w:shd w:val="clear" w:color="auto" w:fill="FFFFFF"/>
        <w:rPr>
          <w:rFonts w:ascii="Georgia" w:hAnsi="Georgia" w:cs="Arial"/>
          <w:i/>
          <w:color w:val="000000" w:themeColor="text1"/>
          <w:sz w:val="20"/>
          <w:szCs w:val="20"/>
          <w:lang w:val="en"/>
        </w:rPr>
      </w:pPr>
      <w:r w:rsidRPr="00D75AE4">
        <w:rPr>
          <w:rFonts w:ascii="Georgia" w:hAnsi="Georgia" w:cs="Arial"/>
          <w:i/>
          <w:color w:val="000000" w:themeColor="text1"/>
          <w:sz w:val="20"/>
          <w:szCs w:val="20"/>
          <w:lang w:val="en"/>
        </w:rPr>
        <w:t xml:space="preserve">PwC has a presence in 34 Africa countries with an office footprint covering 66 offices. With a single Africa leadership team and more than 400 partners and 9000 professionals across Africa, we serve some of the continent’s largest businesses across all industries. </w:t>
      </w:r>
    </w:p>
    <w:p w14:paraId="542FCC44" w14:textId="77777777" w:rsidR="00E44856" w:rsidRPr="00D75AE4" w:rsidRDefault="00E44856" w:rsidP="00E44856">
      <w:pPr>
        <w:spacing w:after="0" w:line="240" w:lineRule="auto"/>
        <w:rPr>
          <w:rFonts w:ascii="Georgia" w:eastAsia="Times New Roman" w:hAnsi="Georgia" w:cs="Arial"/>
          <w:sz w:val="20"/>
          <w:szCs w:val="20"/>
        </w:rPr>
      </w:pPr>
      <w:r w:rsidRPr="00D75AE4">
        <w:rPr>
          <w:rFonts w:ascii="Georgia" w:eastAsia="Times New Roman" w:hAnsi="Georgia" w:cs="Arial"/>
          <w:i/>
          <w:iCs/>
          <w:color w:val="222222"/>
          <w:sz w:val="20"/>
          <w:szCs w:val="20"/>
        </w:rPr>
        <w:t xml:space="preserve">PwC refers to the PwC network and/or one or more of its member firms, each of which is a separate legal entity. Please see </w:t>
      </w:r>
      <w:hyperlink r:id="rId12" w:tgtFrame="_blank" w:history="1">
        <w:r w:rsidRPr="00D75AE4">
          <w:rPr>
            <w:rFonts w:ascii="Georgia" w:eastAsia="Times New Roman" w:hAnsi="Georgia" w:cs="Arial"/>
            <w:i/>
            <w:iCs/>
            <w:color w:val="1155CC"/>
            <w:sz w:val="20"/>
            <w:szCs w:val="20"/>
            <w:u w:val="single"/>
          </w:rPr>
          <w:t>www.pwc.com/structure</w:t>
        </w:r>
      </w:hyperlink>
      <w:r w:rsidRPr="00D75AE4">
        <w:rPr>
          <w:rFonts w:ascii="Georgia" w:eastAsia="Times New Roman" w:hAnsi="Georgia" w:cs="Arial"/>
          <w:i/>
          <w:iCs/>
          <w:color w:val="222222"/>
          <w:sz w:val="20"/>
          <w:szCs w:val="20"/>
        </w:rPr>
        <w:t xml:space="preserve"> for further details.</w:t>
      </w:r>
    </w:p>
    <w:p w14:paraId="48BC29C4" w14:textId="77777777" w:rsidR="00E44856" w:rsidRPr="00D75AE4" w:rsidRDefault="00E44856" w:rsidP="00E44856">
      <w:pPr>
        <w:spacing w:after="0" w:line="240" w:lineRule="auto"/>
        <w:rPr>
          <w:rFonts w:ascii="Georgia" w:eastAsia="Times New Roman" w:hAnsi="Georgia" w:cs="Arial"/>
          <w:sz w:val="20"/>
          <w:szCs w:val="20"/>
        </w:rPr>
      </w:pPr>
      <w:r w:rsidRPr="00D75AE4">
        <w:rPr>
          <w:rFonts w:ascii="Georgia" w:eastAsia="Times New Roman" w:hAnsi="Georgia" w:cs="Arial"/>
          <w:color w:val="222222"/>
          <w:sz w:val="20"/>
          <w:szCs w:val="20"/>
        </w:rPr>
        <w:lastRenderedPageBreak/>
        <w:br/>
      </w:r>
    </w:p>
    <w:p w14:paraId="759B0E9B" w14:textId="77777777" w:rsidR="00E44856" w:rsidRPr="00D75AE4" w:rsidRDefault="00E44856" w:rsidP="00E44856">
      <w:pPr>
        <w:shd w:val="clear" w:color="auto" w:fill="FFFFFF"/>
        <w:spacing w:after="0" w:line="240" w:lineRule="auto"/>
        <w:rPr>
          <w:rFonts w:ascii="Georgia" w:eastAsia="Times New Roman" w:hAnsi="Georgia" w:cs="Arial"/>
          <w:i/>
          <w:iCs/>
          <w:color w:val="222222"/>
          <w:sz w:val="20"/>
          <w:szCs w:val="20"/>
        </w:rPr>
      </w:pPr>
      <w:r w:rsidRPr="00D75AE4">
        <w:rPr>
          <w:rFonts w:ascii="Georgia" w:eastAsia="Times New Roman" w:hAnsi="Georgia" w:cs="Arial"/>
          <w:i/>
          <w:iCs/>
          <w:color w:val="222222"/>
          <w:sz w:val="20"/>
          <w:szCs w:val="20"/>
        </w:rPr>
        <w:t>© 2018 PwC. All rights reserved</w:t>
      </w:r>
    </w:p>
    <w:p w14:paraId="588C384F" w14:textId="77777777" w:rsidR="00E44856" w:rsidRPr="00D75AE4" w:rsidRDefault="00E44856" w:rsidP="00E44856">
      <w:pPr>
        <w:shd w:val="clear" w:color="auto" w:fill="FFFFFF"/>
        <w:spacing w:after="0" w:line="240" w:lineRule="auto"/>
        <w:rPr>
          <w:rFonts w:ascii="Georgia" w:eastAsia="Times New Roman" w:hAnsi="Georgia" w:cs="Arial"/>
          <w:color w:val="222222"/>
          <w:sz w:val="20"/>
          <w:szCs w:val="20"/>
        </w:rPr>
      </w:pPr>
    </w:p>
    <w:p w14:paraId="16590D09" w14:textId="77777777" w:rsidR="00E44856" w:rsidRPr="00D75AE4" w:rsidRDefault="00E44856" w:rsidP="00E44856">
      <w:pPr>
        <w:rPr>
          <w:rFonts w:ascii="Georgia" w:hAnsi="Georgia" w:cs="Arial"/>
          <w:b/>
        </w:rPr>
      </w:pPr>
      <w:r w:rsidRPr="00D75AE4">
        <w:rPr>
          <w:rFonts w:ascii="Georgia" w:hAnsi="Georgia" w:cs="Arial"/>
          <w:b/>
        </w:rPr>
        <w:t>Media contacts</w:t>
      </w:r>
    </w:p>
    <w:p w14:paraId="7155E00B" w14:textId="77777777" w:rsidR="00E44856" w:rsidRPr="00D75AE4" w:rsidRDefault="00E44856" w:rsidP="00E44856">
      <w:pPr>
        <w:spacing w:line="240" w:lineRule="auto"/>
        <w:rPr>
          <w:rFonts w:ascii="Georgia" w:hAnsi="Georgia" w:cs="Arial"/>
          <w:sz w:val="20"/>
          <w:szCs w:val="20"/>
        </w:rPr>
      </w:pPr>
      <w:proofErr w:type="spellStart"/>
      <w:r w:rsidRPr="00D75AE4">
        <w:rPr>
          <w:rFonts w:ascii="Georgia" w:hAnsi="Georgia" w:cs="Arial"/>
          <w:sz w:val="20"/>
          <w:szCs w:val="20"/>
        </w:rPr>
        <w:t>Bontle</w:t>
      </w:r>
      <w:proofErr w:type="spellEnd"/>
      <w:r w:rsidRPr="00D75AE4">
        <w:rPr>
          <w:rFonts w:ascii="Georgia" w:hAnsi="Georgia" w:cs="Arial"/>
          <w:sz w:val="20"/>
          <w:szCs w:val="20"/>
        </w:rPr>
        <w:t xml:space="preserve"> Mnisi: Account Executive, Change the Conversation, South Africa</w:t>
      </w:r>
    </w:p>
    <w:p w14:paraId="0680F4AB" w14:textId="77777777" w:rsidR="00E44856" w:rsidRPr="00D75AE4" w:rsidRDefault="00E44856" w:rsidP="00E44856">
      <w:pPr>
        <w:spacing w:line="240" w:lineRule="auto"/>
        <w:rPr>
          <w:rFonts w:ascii="Georgia" w:hAnsi="Georgia" w:cs="Arial"/>
          <w:sz w:val="20"/>
          <w:szCs w:val="20"/>
        </w:rPr>
      </w:pPr>
      <w:r w:rsidRPr="00D75AE4">
        <w:rPr>
          <w:rFonts w:ascii="Georgia" w:hAnsi="Georgia" w:cs="Arial"/>
          <w:sz w:val="20"/>
          <w:szCs w:val="20"/>
        </w:rPr>
        <w:t>Office: + 27 87 898 6318 or mobile: 076 2283796</w:t>
      </w:r>
    </w:p>
    <w:p w14:paraId="1C37028A" w14:textId="77777777" w:rsidR="00E44856" w:rsidRPr="00D75AE4" w:rsidRDefault="00E44856" w:rsidP="00E44856">
      <w:pPr>
        <w:spacing w:line="240" w:lineRule="auto"/>
        <w:rPr>
          <w:rFonts w:ascii="Georgia" w:hAnsi="Georgia" w:cs="Arial"/>
          <w:sz w:val="20"/>
          <w:szCs w:val="20"/>
        </w:rPr>
      </w:pPr>
      <w:r w:rsidRPr="00D75AE4">
        <w:rPr>
          <w:rFonts w:ascii="Georgia" w:hAnsi="Georgia" w:cs="Arial"/>
          <w:sz w:val="20"/>
          <w:szCs w:val="20"/>
        </w:rPr>
        <w:t>Email: bontle@changetc.co.za</w:t>
      </w:r>
    </w:p>
    <w:p w14:paraId="05692760" w14:textId="77777777" w:rsidR="00E44856" w:rsidRPr="00D75AE4" w:rsidRDefault="00E44856" w:rsidP="00E44856">
      <w:pPr>
        <w:spacing w:line="240" w:lineRule="auto"/>
        <w:rPr>
          <w:rFonts w:ascii="Georgia" w:hAnsi="Georgia" w:cs="Arial"/>
          <w:sz w:val="20"/>
          <w:szCs w:val="20"/>
        </w:rPr>
      </w:pPr>
      <w:r w:rsidRPr="00D75AE4">
        <w:rPr>
          <w:rFonts w:ascii="Georgia" w:hAnsi="Georgia" w:cs="Arial"/>
          <w:sz w:val="20"/>
          <w:szCs w:val="20"/>
        </w:rPr>
        <w:t>OR</w:t>
      </w:r>
    </w:p>
    <w:p w14:paraId="2E184D0A" w14:textId="77777777" w:rsidR="00E44856" w:rsidRPr="00D75AE4" w:rsidRDefault="00E44856" w:rsidP="00E44856">
      <w:pPr>
        <w:spacing w:line="240" w:lineRule="auto"/>
        <w:rPr>
          <w:rFonts w:ascii="Georgia" w:hAnsi="Georgia" w:cs="Arial"/>
          <w:color w:val="000000" w:themeColor="text1"/>
          <w:sz w:val="20"/>
          <w:szCs w:val="20"/>
        </w:rPr>
      </w:pPr>
      <w:proofErr w:type="spellStart"/>
      <w:r w:rsidRPr="00D75AE4">
        <w:rPr>
          <w:rFonts w:ascii="Georgia" w:hAnsi="Georgia" w:cs="Arial"/>
          <w:color w:val="000000" w:themeColor="text1"/>
          <w:sz w:val="20"/>
          <w:szCs w:val="20"/>
        </w:rPr>
        <w:t>Sanchia</w:t>
      </w:r>
      <w:proofErr w:type="spellEnd"/>
      <w:r w:rsidRPr="00D75AE4">
        <w:rPr>
          <w:rFonts w:ascii="Georgia" w:hAnsi="Georgia" w:cs="Arial"/>
          <w:color w:val="000000" w:themeColor="text1"/>
          <w:sz w:val="20"/>
          <w:szCs w:val="20"/>
        </w:rPr>
        <w:t xml:space="preserve"> Temkin: Media Relations, PwC Africa</w:t>
      </w:r>
    </w:p>
    <w:p w14:paraId="75505730" w14:textId="77777777" w:rsidR="00E44856" w:rsidRPr="00D75AE4" w:rsidRDefault="00E44856" w:rsidP="00E44856">
      <w:pPr>
        <w:spacing w:line="240" w:lineRule="auto"/>
        <w:rPr>
          <w:rFonts w:ascii="Georgia" w:hAnsi="Georgia" w:cs="Arial"/>
          <w:color w:val="000000" w:themeColor="text1"/>
          <w:sz w:val="20"/>
          <w:szCs w:val="20"/>
        </w:rPr>
      </w:pPr>
      <w:r w:rsidRPr="00D75AE4">
        <w:rPr>
          <w:rFonts w:ascii="Georgia" w:hAnsi="Georgia" w:cs="Arial"/>
          <w:color w:val="000000" w:themeColor="text1"/>
          <w:sz w:val="20"/>
          <w:szCs w:val="20"/>
        </w:rPr>
        <w:t xml:space="preserve">Office: + 27 11 797 4470 </w:t>
      </w:r>
    </w:p>
    <w:p w14:paraId="262DD57C" w14:textId="77777777" w:rsidR="00E44856" w:rsidRPr="00D75AE4" w:rsidRDefault="00E44856" w:rsidP="00E44856">
      <w:pPr>
        <w:spacing w:line="240" w:lineRule="auto"/>
        <w:rPr>
          <w:rFonts w:ascii="Georgia" w:hAnsi="Georgia" w:cs="Arial"/>
          <w:color w:val="000000" w:themeColor="text1"/>
          <w:sz w:val="20"/>
          <w:szCs w:val="20"/>
        </w:rPr>
      </w:pPr>
      <w:r w:rsidRPr="00D75AE4">
        <w:rPr>
          <w:rFonts w:ascii="Georgia" w:hAnsi="Georgia" w:cs="Arial"/>
          <w:color w:val="000000" w:themeColor="text1"/>
          <w:sz w:val="20"/>
          <w:szCs w:val="20"/>
        </w:rPr>
        <w:t>Email: sanchia.temkin@pwc.com</w:t>
      </w:r>
    </w:p>
    <w:p w14:paraId="4763B210" w14:textId="77777777" w:rsidR="00E44856" w:rsidRDefault="00E44856" w:rsidP="00E44856">
      <w:pPr>
        <w:rPr>
          <w:rFonts w:ascii="Georgia" w:hAnsi="Georgia"/>
          <w:sz w:val="20"/>
          <w:szCs w:val="20"/>
        </w:rPr>
      </w:pPr>
    </w:p>
    <w:p w14:paraId="56B2FC9B" w14:textId="77777777" w:rsidR="00E44856" w:rsidRDefault="00E44856" w:rsidP="00E44856">
      <w:pPr>
        <w:rPr>
          <w:rFonts w:ascii="Georgia" w:hAnsi="Georgia"/>
          <w:sz w:val="20"/>
          <w:szCs w:val="20"/>
        </w:rPr>
      </w:pPr>
    </w:p>
    <w:p w14:paraId="2B91BC9F" w14:textId="77777777" w:rsidR="00E44856" w:rsidRPr="00280B8C" w:rsidRDefault="00E44856" w:rsidP="00E44856">
      <w:pPr>
        <w:rPr>
          <w:rFonts w:ascii="Georgia" w:hAnsi="Georgia"/>
          <w:sz w:val="20"/>
          <w:szCs w:val="20"/>
        </w:rPr>
      </w:pPr>
    </w:p>
    <w:p w14:paraId="0BE463EA" w14:textId="77777777" w:rsidR="00E44856" w:rsidRPr="006751FD" w:rsidRDefault="00E44856">
      <w:pPr>
        <w:rPr>
          <w:rFonts w:asciiTheme="majorHAnsi" w:hAnsiTheme="majorHAnsi"/>
          <w:sz w:val="20"/>
          <w:szCs w:val="20"/>
        </w:rPr>
      </w:pPr>
    </w:p>
    <w:sectPr w:rsidR="00E44856" w:rsidRPr="00675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F3"/>
    <w:rsid w:val="00002F9E"/>
    <w:rsid w:val="00050983"/>
    <w:rsid w:val="000D21D8"/>
    <w:rsid w:val="000F4D55"/>
    <w:rsid w:val="001802AA"/>
    <w:rsid w:val="001B6885"/>
    <w:rsid w:val="002162C4"/>
    <w:rsid w:val="002A153A"/>
    <w:rsid w:val="002D4A1A"/>
    <w:rsid w:val="002E5FF4"/>
    <w:rsid w:val="002F485B"/>
    <w:rsid w:val="00365B96"/>
    <w:rsid w:val="00384101"/>
    <w:rsid w:val="003D0C0E"/>
    <w:rsid w:val="003F3C72"/>
    <w:rsid w:val="004106D1"/>
    <w:rsid w:val="0044289B"/>
    <w:rsid w:val="00567401"/>
    <w:rsid w:val="00594747"/>
    <w:rsid w:val="005F7E63"/>
    <w:rsid w:val="00612670"/>
    <w:rsid w:val="00620900"/>
    <w:rsid w:val="006751FD"/>
    <w:rsid w:val="00686D6A"/>
    <w:rsid w:val="006B0947"/>
    <w:rsid w:val="006B1D50"/>
    <w:rsid w:val="00727CF3"/>
    <w:rsid w:val="007A07D8"/>
    <w:rsid w:val="007A5916"/>
    <w:rsid w:val="00815BE4"/>
    <w:rsid w:val="00844C49"/>
    <w:rsid w:val="0085279B"/>
    <w:rsid w:val="009B7643"/>
    <w:rsid w:val="00A720F2"/>
    <w:rsid w:val="00A87961"/>
    <w:rsid w:val="00AC3F00"/>
    <w:rsid w:val="00B03841"/>
    <w:rsid w:val="00B042DB"/>
    <w:rsid w:val="00B80B91"/>
    <w:rsid w:val="00C40059"/>
    <w:rsid w:val="00CB48AA"/>
    <w:rsid w:val="00CD72E0"/>
    <w:rsid w:val="00D118FA"/>
    <w:rsid w:val="00D74131"/>
    <w:rsid w:val="00DA679B"/>
    <w:rsid w:val="00E174C8"/>
    <w:rsid w:val="00E3046C"/>
    <w:rsid w:val="00E44856"/>
    <w:rsid w:val="00E7349A"/>
    <w:rsid w:val="00F01C9F"/>
    <w:rsid w:val="00F70160"/>
    <w:rsid w:val="00FE1A23"/>
    <w:rsid w:val="00FF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F538"/>
  <w15:chartTrackingRefBased/>
  <w15:docId w15:val="{C8078E51-C3E0-4214-BE2C-F86EC19C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CF3"/>
    <w:rPr>
      <w:color w:val="0000FF"/>
      <w:u w:val="single"/>
    </w:rPr>
  </w:style>
  <w:style w:type="character" w:styleId="UnresolvedMention">
    <w:name w:val="Unresolved Mention"/>
    <w:basedOn w:val="DefaultParagraphFont"/>
    <w:uiPriority w:val="99"/>
    <w:semiHidden/>
    <w:unhideWhenUsed/>
    <w:rsid w:val="000F4D55"/>
    <w:rPr>
      <w:color w:val="605E5C"/>
      <w:shd w:val="clear" w:color="auto" w:fill="E1DFDD"/>
    </w:rPr>
  </w:style>
  <w:style w:type="paragraph" w:styleId="BalloonText">
    <w:name w:val="Balloon Text"/>
    <w:basedOn w:val="Normal"/>
    <w:link w:val="BalloonTextChar"/>
    <w:uiPriority w:val="99"/>
    <w:semiHidden/>
    <w:unhideWhenUsed/>
    <w:rsid w:val="003D0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C0E"/>
    <w:rPr>
      <w:rFonts w:ascii="Segoe UI" w:hAnsi="Segoe UI" w:cs="Segoe UI"/>
      <w:sz w:val="18"/>
      <w:szCs w:val="18"/>
      <w:lang w:val="en-ZA"/>
    </w:rPr>
  </w:style>
  <w:style w:type="character" w:styleId="CommentReference">
    <w:name w:val="annotation reference"/>
    <w:basedOn w:val="DefaultParagraphFont"/>
    <w:uiPriority w:val="99"/>
    <w:semiHidden/>
    <w:unhideWhenUsed/>
    <w:rsid w:val="00B03841"/>
    <w:rPr>
      <w:sz w:val="16"/>
      <w:szCs w:val="16"/>
    </w:rPr>
  </w:style>
  <w:style w:type="paragraph" w:styleId="CommentText">
    <w:name w:val="annotation text"/>
    <w:basedOn w:val="Normal"/>
    <w:link w:val="CommentTextChar"/>
    <w:uiPriority w:val="99"/>
    <w:semiHidden/>
    <w:unhideWhenUsed/>
    <w:rsid w:val="00B03841"/>
    <w:pPr>
      <w:spacing w:line="240" w:lineRule="auto"/>
    </w:pPr>
    <w:rPr>
      <w:sz w:val="20"/>
      <w:szCs w:val="20"/>
    </w:rPr>
  </w:style>
  <w:style w:type="character" w:customStyle="1" w:styleId="CommentTextChar">
    <w:name w:val="Comment Text Char"/>
    <w:basedOn w:val="DefaultParagraphFont"/>
    <w:link w:val="CommentText"/>
    <w:uiPriority w:val="99"/>
    <w:semiHidden/>
    <w:rsid w:val="00B03841"/>
    <w:rPr>
      <w:sz w:val="20"/>
      <w:szCs w:val="20"/>
      <w:lang w:val="en-ZA"/>
    </w:rPr>
  </w:style>
  <w:style w:type="paragraph" w:styleId="CommentSubject">
    <w:name w:val="annotation subject"/>
    <w:basedOn w:val="CommentText"/>
    <w:next w:val="CommentText"/>
    <w:link w:val="CommentSubjectChar"/>
    <w:uiPriority w:val="99"/>
    <w:semiHidden/>
    <w:unhideWhenUsed/>
    <w:rsid w:val="00B03841"/>
    <w:rPr>
      <w:b/>
      <w:bCs/>
    </w:rPr>
  </w:style>
  <w:style w:type="character" w:customStyle="1" w:styleId="CommentSubjectChar">
    <w:name w:val="Comment Subject Char"/>
    <w:basedOn w:val="CommentTextChar"/>
    <w:link w:val="CommentSubject"/>
    <w:uiPriority w:val="99"/>
    <w:semiHidden/>
    <w:rsid w:val="00B03841"/>
    <w:rPr>
      <w:b/>
      <w:bCs/>
      <w:sz w:val="20"/>
      <w:szCs w:val="20"/>
      <w:lang w:val="en-ZA"/>
    </w:rPr>
  </w:style>
  <w:style w:type="paragraph" w:styleId="NormalWeb">
    <w:name w:val="Normal (Web)"/>
    <w:basedOn w:val="Normal"/>
    <w:uiPriority w:val="99"/>
    <w:semiHidden/>
    <w:unhideWhenUsed/>
    <w:rsid w:val="00E44856"/>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ssa.gov.za/publications/P62421/P62421October2019.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atssa.gov.za/publications/P01427/P01427October2019.pdf" TargetMode="External"/><Relationship Id="rId12" Type="http://schemas.openxmlformats.org/officeDocument/2006/relationships/hyperlink" Target="http://www.pwc.com/struct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www.pwc.com/" TargetMode="External"/><Relationship Id="rId5" Type="http://schemas.openxmlformats.org/officeDocument/2006/relationships/hyperlink" Target="https://www.resbank.co.za/Lists/News%20and%20Publications/Attachments/9594/November%202019%20MPC%20statement%20FINAL.pdf" TargetMode="External"/><Relationship Id="rId10" Type="http://schemas.openxmlformats.org/officeDocument/2006/relationships/hyperlink" Target="https://zaconfidential.com/mentions/zaconfidential/" TargetMode="External"/><Relationship Id="rId4" Type="http://schemas.openxmlformats.org/officeDocument/2006/relationships/image" Target="media/image1.png"/><Relationship Id="rId9" Type="http://schemas.openxmlformats.org/officeDocument/2006/relationships/hyperlink" Target="https://www.ber.ac.za/BER%20Documents/BER-press-release/?doctypeid=1068"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viljoen003\Desktop\Blogs%20media%20comments\MPC%20vot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v>Cut</c:v>
          </c:tx>
          <c:spPr>
            <a:solidFill>
              <a:schemeClr val="bg1">
                <a:lumMod val="50000"/>
              </a:schemeClr>
            </a:solidFill>
            <a:ln>
              <a:noFill/>
            </a:ln>
            <a:effectLst/>
          </c:spPr>
          <c:invertIfNegative val="0"/>
          <c:cat>
            <c:numRef>
              <c:f>Votes!$A$3:$A$33</c:f>
              <c:numCache>
                <c:formatCode>mmm\-yy</c:formatCode>
                <c:ptCount val="31"/>
                <c:pt idx="0">
                  <c:v>41944</c:v>
                </c:pt>
                <c:pt idx="1">
                  <c:v>42005</c:v>
                </c:pt>
                <c:pt idx="2">
                  <c:v>42064</c:v>
                </c:pt>
                <c:pt idx="3">
                  <c:v>42125</c:v>
                </c:pt>
                <c:pt idx="4">
                  <c:v>42186</c:v>
                </c:pt>
                <c:pt idx="5">
                  <c:v>42248</c:v>
                </c:pt>
                <c:pt idx="6">
                  <c:v>42309</c:v>
                </c:pt>
                <c:pt idx="7">
                  <c:v>42370</c:v>
                </c:pt>
                <c:pt idx="8">
                  <c:v>42430</c:v>
                </c:pt>
                <c:pt idx="9">
                  <c:v>42491</c:v>
                </c:pt>
                <c:pt idx="10">
                  <c:v>42552</c:v>
                </c:pt>
                <c:pt idx="11">
                  <c:v>42614</c:v>
                </c:pt>
                <c:pt idx="12">
                  <c:v>42675</c:v>
                </c:pt>
                <c:pt idx="13">
                  <c:v>42736</c:v>
                </c:pt>
                <c:pt idx="14">
                  <c:v>42795</c:v>
                </c:pt>
                <c:pt idx="15">
                  <c:v>42856</c:v>
                </c:pt>
                <c:pt idx="16">
                  <c:v>42917</c:v>
                </c:pt>
                <c:pt idx="17">
                  <c:v>42979</c:v>
                </c:pt>
                <c:pt idx="18">
                  <c:v>43040</c:v>
                </c:pt>
                <c:pt idx="19">
                  <c:v>43101</c:v>
                </c:pt>
                <c:pt idx="20">
                  <c:v>43160</c:v>
                </c:pt>
                <c:pt idx="21">
                  <c:v>43221</c:v>
                </c:pt>
                <c:pt idx="22">
                  <c:v>43282</c:v>
                </c:pt>
                <c:pt idx="23">
                  <c:v>43344</c:v>
                </c:pt>
                <c:pt idx="24">
                  <c:v>43405</c:v>
                </c:pt>
                <c:pt idx="25">
                  <c:v>43466</c:v>
                </c:pt>
                <c:pt idx="26">
                  <c:v>43525</c:v>
                </c:pt>
                <c:pt idx="27">
                  <c:v>43586</c:v>
                </c:pt>
                <c:pt idx="28">
                  <c:v>43647</c:v>
                </c:pt>
                <c:pt idx="29">
                  <c:v>43709</c:v>
                </c:pt>
                <c:pt idx="30">
                  <c:v>43770</c:v>
                </c:pt>
              </c:numCache>
            </c:numRef>
          </c:cat>
          <c:val>
            <c:numRef>
              <c:f>Votes!$B$3:$B$33</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1</c:v>
                </c:pt>
                <c:pt idx="16">
                  <c:v>4</c:v>
                </c:pt>
                <c:pt idx="17">
                  <c:v>3</c:v>
                </c:pt>
                <c:pt idx="18">
                  <c:v>0</c:v>
                </c:pt>
                <c:pt idx="19">
                  <c:v>1</c:v>
                </c:pt>
                <c:pt idx="20">
                  <c:v>4</c:v>
                </c:pt>
                <c:pt idx="21">
                  <c:v>0</c:v>
                </c:pt>
                <c:pt idx="22">
                  <c:v>0</c:v>
                </c:pt>
                <c:pt idx="23">
                  <c:v>0</c:v>
                </c:pt>
                <c:pt idx="24">
                  <c:v>0</c:v>
                </c:pt>
                <c:pt idx="25">
                  <c:v>0</c:v>
                </c:pt>
                <c:pt idx="26">
                  <c:v>0</c:v>
                </c:pt>
                <c:pt idx="27">
                  <c:v>2</c:v>
                </c:pt>
                <c:pt idx="28">
                  <c:v>5</c:v>
                </c:pt>
                <c:pt idx="29">
                  <c:v>0</c:v>
                </c:pt>
                <c:pt idx="30">
                  <c:v>2</c:v>
                </c:pt>
              </c:numCache>
            </c:numRef>
          </c:val>
          <c:extLst>
            <c:ext xmlns:c16="http://schemas.microsoft.com/office/drawing/2014/chart" uri="{C3380CC4-5D6E-409C-BE32-E72D297353CC}">
              <c16:uniqueId val="{00000000-108E-42F2-B1E9-282D481F8AE2}"/>
            </c:ext>
          </c:extLst>
        </c:ser>
        <c:ser>
          <c:idx val="1"/>
          <c:order val="1"/>
          <c:tx>
            <c:v>Hold</c:v>
          </c:tx>
          <c:spPr>
            <a:solidFill>
              <a:schemeClr val="accent2">
                <a:lumMod val="60000"/>
                <a:lumOff val="40000"/>
              </a:schemeClr>
            </a:solidFill>
            <a:ln>
              <a:noFill/>
            </a:ln>
            <a:effectLst/>
          </c:spPr>
          <c:invertIfNegative val="0"/>
          <c:cat>
            <c:numRef>
              <c:f>Votes!$A$3:$A$33</c:f>
              <c:numCache>
                <c:formatCode>mmm\-yy</c:formatCode>
                <c:ptCount val="31"/>
                <c:pt idx="0">
                  <c:v>41944</c:v>
                </c:pt>
                <c:pt idx="1">
                  <c:v>42005</c:v>
                </c:pt>
                <c:pt idx="2">
                  <c:v>42064</c:v>
                </c:pt>
                <c:pt idx="3">
                  <c:v>42125</c:v>
                </c:pt>
                <c:pt idx="4">
                  <c:v>42186</c:v>
                </c:pt>
                <c:pt idx="5">
                  <c:v>42248</c:v>
                </c:pt>
                <c:pt idx="6">
                  <c:v>42309</c:v>
                </c:pt>
                <c:pt idx="7">
                  <c:v>42370</c:v>
                </c:pt>
                <c:pt idx="8">
                  <c:v>42430</c:v>
                </c:pt>
                <c:pt idx="9">
                  <c:v>42491</c:v>
                </c:pt>
                <c:pt idx="10">
                  <c:v>42552</c:v>
                </c:pt>
                <c:pt idx="11">
                  <c:v>42614</c:v>
                </c:pt>
                <c:pt idx="12">
                  <c:v>42675</c:v>
                </c:pt>
                <c:pt idx="13">
                  <c:v>42736</c:v>
                </c:pt>
                <c:pt idx="14">
                  <c:v>42795</c:v>
                </c:pt>
                <c:pt idx="15">
                  <c:v>42856</c:v>
                </c:pt>
                <c:pt idx="16">
                  <c:v>42917</c:v>
                </c:pt>
                <c:pt idx="17">
                  <c:v>42979</c:v>
                </c:pt>
                <c:pt idx="18">
                  <c:v>43040</c:v>
                </c:pt>
                <c:pt idx="19">
                  <c:v>43101</c:v>
                </c:pt>
                <c:pt idx="20">
                  <c:v>43160</c:v>
                </c:pt>
                <c:pt idx="21">
                  <c:v>43221</c:v>
                </c:pt>
                <c:pt idx="22">
                  <c:v>43282</c:v>
                </c:pt>
                <c:pt idx="23">
                  <c:v>43344</c:v>
                </c:pt>
                <c:pt idx="24">
                  <c:v>43405</c:v>
                </c:pt>
                <c:pt idx="25">
                  <c:v>43466</c:v>
                </c:pt>
                <c:pt idx="26">
                  <c:v>43525</c:v>
                </c:pt>
                <c:pt idx="27">
                  <c:v>43586</c:v>
                </c:pt>
                <c:pt idx="28">
                  <c:v>43647</c:v>
                </c:pt>
                <c:pt idx="29">
                  <c:v>43709</c:v>
                </c:pt>
                <c:pt idx="30">
                  <c:v>43770</c:v>
                </c:pt>
              </c:numCache>
            </c:numRef>
          </c:cat>
          <c:val>
            <c:numRef>
              <c:f>Votes!$C$3:$C$33</c:f>
              <c:numCache>
                <c:formatCode>General</c:formatCode>
                <c:ptCount val="31"/>
                <c:pt idx="0">
                  <c:v>6</c:v>
                </c:pt>
                <c:pt idx="1">
                  <c:v>6</c:v>
                </c:pt>
                <c:pt idx="2">
                  <c:v>6</c:v>
                </c:pt>
                <c:pt idx="3">
                  <c:v>4</c:v>
                </c:pt>
                <c:pt idx="4">
                  <c:v>2</c:v>
                </c:pt>
                <c:pt idx="5">
                  <c:v>6</c:v>
                </c:pt>
                <c:pt idx="6">
                  <c:v>2</c:v>
                </c:pt>
                <c:pt idx="7">
                  <c:v>1</c:v>
                </c:pt>
                <c:pt idx="8">
                  <c:v>3</c:v>
                </c:pt>
                <c:pt idx="9">
                  <c:v>5</c:v>
                </c:pt>
                <c:pt idx="10">
                  <c:v>6</c:v>
                </c:pt>
                <c:pt idx="11">
                  <c:v>6</c:v>
                </c:pt>
                <c:pt idx="12">
                  <c:v>6</c:v>
                </c:pt>
                <c:pt idx="13">
                  <c:v>6</c:v>
                </c:pt>
                <c:pt idx="14">
                  <c:v>5</c:v>
                </c:pt>
                <c:pt idx="15">
                  <c:v>5</c:v>
                </c:pt>
                <c:pt idx="16">
                  <c:v>2</c:v>
                </c:pt>
                <c:pt idx="17">
                  <c:v>3</c:v>
                </c:pt>
                <c:pt idx="18">
                  <c:v>6</c:v>
                </c:pt>
                <c:pt idx="19">
                  <c:v>5</c:v>
                </c:pt>
                <c:pt idx="20">
                  <c:v>3</c:v>
                </c:pt>
                <c:pt idx="21">
                  <c:v>7</c:v>
                </c:pt>
                <c:pt idx="22">
                  <c:v>7</c:v>
                </c:pt>
                <c:pt idx="23">
                  <c:v>4</c:v>
                </c:pt>
                <c:pt idx="24">
                  <c:v>3</c:v>
                </c:pt>
                <c:pt idx="25">
                  <c:v>6</c:v>
                </c:pt>
                <c:pt idx="26">
                  <c:v>6</c:v>
                </c:pt>
                <c:pt idx="27">
                  <c:v>3</c:v>
                </c:pt>
                <c:pt idx="28">
                  <c:v>0</c:v>
                </c:pt>
                <c:pt idx="29">
                  <c:v>5</c:v>
                </c:pt>
                <c:pt idx="30">
                  <c:v>3</c:v>
                </c:pt>
              </c:numCache>
            </c:numRef>
          </c:val>
          <c:extLst>
            <c:ext xmlns:c16="http://schemas.microsoft.com/office/drawing/2014/chart" uri="{C3380CC4-5D6E-409C-BE32-E72D297353CC}">
              <c16:uniqueId val="{00000001-108E-42F2-B1E9-282D481F8AE2}"/>
            </c:ext>
          </c:extLst>
        </c:ser>
        <c:ser>
          <c:idx val="2"/>
          <c:order val="2"/>
          <c:tx>
            <c:v>Hike</c:v>
          </c:tx>
          <c:spPr>
            <a:solidFill>
              <a:schemeClr val="accent6"/>
            </a:solidFill>
            <a:ln>
              <a:noFill/>
            </a:ln>
            <a:effectLst/>
          </c:spPr>
          <c:invertIfNegative val="0"/>
          <c:cat>
            <c:numRef>
              <c:f>Votes!$A$3:$A$33</c:f>
              <c:numCache>
                <c:formatCode>mmm\-yy</c:formatCode>
                <c:ptCount val="31"/>
                <c:pt idx="0">
                  <c:v>41944</c:v>
                </c:pt>
                <c:pt idx="1">
                  <c:v>42005</c:v>
                </c:pt>
                <c:pt idx="2">
                  <c:v>42064</c:v>
                </c:pt>
                <c:pt idx="3">
                  <c:v>42125</c:v>
                </c:pt>
                <c:pt idx="4">
                  <c:v>42186</c:v>
                </c:pt>
                <c:pt idx="5">
                  <c:v>42248</c:v>
                </c:pt>
                <c:pt idx="6">
                  <c:v>42309</c:v>
                </c:pt>
                <c:pt idx="7">
                  <c:v>42370</c:v>
                </c:pt>
                <c:pt idx="8">
                  <c:v>42430</c:v>
                </c:pt>
                <c:pt idx="9">
                  <c:v>42491</c:v>
                </c:pt>
                <c:pt idx="10">
                  <c:v>42552</c:v>
                </c:pt>
                <c:pt idx="11">
                  <c:v>42614</c:v>
                </c:pt>
                <c:pt idx="12">
                  <c:v>42675</c:v>
                </c:pt>
                <c:pt idx="13">
                  <c:v>42736</c:v>
                </c:pt>
                <c:pt idx="14">
                  <c:v>42795</c:v>
                </c:pt>
                <c:pt idx="15">
                  <c:v>42856</c:v>
                </c:pt>
                <c:pt idx="16">
                  <c:v>42917</c:v>
                </c:pt>
                <c:pt idx="17">
                  <c:v>42979</c:v>
                </c:pt>
                <c:pt idx="18">
                  <c:v>43040</c:v>
                </c:pt>
                <c:pt idx="19">
                  <c:v>43101</c:v>
                </c:pt>
                <c:pt idx="20">
                  <c:v>43160</c:v>
                </c:pt>
                <c:pt idx="21">
                  <c:v>43221</c:v>
                </c:pt>
                <c:pt idx="22">
                  <c:v>43282</c:v>
                </c:pt>
                <c:pt idx="23">
                  <c:v>43344</c:v>
                </c:pt>
                <c:pt idx="24">
                  <c:v>43405</c:v>
                </c:pt>
                <c:pt idx="25">
                  <c:v>43466</c:v>
                </c:pt>
                <c:pt idx="26">
                  <c:v>43525</c:v>
                </c:pt>
                <c:pt idx="27">
                  <c:v>43586</c:v>
                </c:pt>
                <c:pt idx="28">
                  <c:v>43647</c:v>
                </c:pt>
                <c:pt idx="29">
                  <c:v>43709</c:v>
                </c:pt>
                <c:pt idx="30">
                  <c:v>43770</c:v>
                </c:pt>
              </c:numCache>
            </c:numRef>
          </c:cat>
          <c:val>
            <c:numRef>
              <c:f>Votes!$D$3:$D$33</c:f>
              <c:numCache>
                <c:formatCode>General</c:formatCode>
                <c:ptCount val="31"/>
                <c:pt idx="0">
                  <c:v>0</c:v>
                </c:pt>
                <c:pt idx="1">
                  <c:v>0</c:v>
                </c:pt>
                <c:pt idx="2">
                  <c:v>0</c:v>
                </c:pt>
                <c:pt idx="3">
                  <c:v>2</c:v>
                </c:pt>
                <c:pt idx="4">
                  <c:v>4</c:v>
                </c:pt>
                <c:pt idx="5">
                  <c:v>0</c:v>
                </c:pt>
                <c:pt idx="6">
                  <c:v>4</c:v>
                </c:pt>
                <c:pt idx="7">
                  <c:v>5</c:v>
                </c:pt>
                <c:pt idx="8">
                  <c:v>3</c:v>
                </c:pt>
                <c:pt idx="9">
                  <c:v>1</c:v>
                </c:pt>
                <c:pt idx="10">
                  <c:v>0</c:v>
                </c:pt>
                <c:pt idx="11">
                  <c:v>0</c:v>
                </c:pt>
                <c:pt idx="12">
                  <c:v>0</c:v>
                </c:pt>
                <c:pt idx="13">
                  <c:v>0</c:v>
                </c:pt>
                <c:pt idx="14">
                  <c:v>0</c:v>
                </c:pt>
                <c:pt idx="15">
                  <c:v>0</c:v>
                </c:pt>
                <c:pt idx="16">
                  <c:v>0</c:v>
                </c:pt>
                <c:pt idx="17">
                  <c:v>0</c:v>
                </c:pt>
                <c:pt idx="18">
                  <c:v>0</c:v>
                </c:pt>
                <c:pt idx="19">
                  <c:v>0</c:v>
                </c:pt>
                <c:pt idx="20">
                  <c:v>0</c:v>
                </c:pt>
                <c:pt idx="21">
                  <c:v>0</c:v>
                </c:pt>
                <c:pt idx="22">
                  <c:v>0</c:v>
                </c:pt>
                <c:pt idx="23">
                  <c:v>3</c:v>
                </c:pt>
                <c:pt idx="24">
                  <c:v>3</c:v>
                </c:pt>
                <c:pt idx="25">
                  <c:v>0</c:v>
                </c:pt>
                <c:pt idx="26">
                  <c:v>0</c:v>
                </c:pt>
                <c:pt idx="27">
                  <c:v>0</c:v>
                </c:pt>
                <c:pt idx="28">
                  <c:v>0</c:v>
                </c:pt>
                <c:pt idx="29">
                  <c:v>0</c:v>
                </c:pt>
                <c:pt idx="30">
                  <c:v>0</c:v>
                </c:pt>
              </c:numCache>
            </c:numRef>
          </c:val>
          <c:extLst>
            <c:ext xmlns:c16="http://schemas.microsoft.com/office/drawing/2014/chart" uri="{C3380CC4-5D6E-409C-BE32-E72D297353CC}">
              <c16:uniqueId val="{00000002-108E-42F2-B1E9-282D481F8AE2}"/>
            </c:ext>
          </c:extLst>
        </c:ser>
        <c:dLbls>
          <c:showLegendKey val="0"/>
          <c:showVal val="0"/>
          <c:showCatName val="0"/>
          <c:showSerName val="0"/>
          <c:showPercent val="0"/>
          <c:showBubbleSize val="0"/>
        </c:dLbls>
        <c:gapWidth val="0"/>
        <c:overlap val="100"/>
        <c:axId val="821288879"/>
        <c:axId val="965461951"/>
      </c:barChart>
      <c:lineChart>
        <c:grouping val="standard"/>
        <c:varyColors val="0"/>
        <c:ser>
          <c:idx val="3"/>
          <c:order val="3"/>
          <c:tx>
            <c:v>Repo rate</c:v>
          </c:tx>
          <c:spPr>
            <a:ln w="22225" cap="rnd">
              <a:solidFill>
                <a:schemeClr val="tx1"/>
              </a:solidFill>
              <a:prstDash val="sysDash"/>
              <a:round/>
            </a:ln>
            <a:effectLst/>
          </c:spPr>
          <c:marker>
            <c:symbol val="none"/>
          </c:marker>
          <c:val>
            <c:numRef>
              <c:f>Votes!$P$3:$P$33</c:f>
              <c:numCache>
                <c:formatCode>General</c:formatCode>
                <c:ptCount val="31"/>
                <c:pt idx="0">
                  <c:v>5.75</c:v>
                </c:pt>
                <c:pt idx="1">
                  <c:v>5.75</c:v>
                </c:pt>
                <c:pt idx="2">
                  <c:v>5.75</c:v>
                </c:pt>
                <c:pt idx="3">
                  <c:v>5.75</c:v>
                </c:pt>
                <c:pt idx="4">
                  <c:v>6</c:v>
                </c:pt>
                <c:pt idx="5">
                  <c:v>6</c:v>
                </c:pt>
                <c:pt idx="6">
                  <c:v>6.25</c:v>
                </c:pt>
                <c:pt idx="7">
                  <c:v>6.75</c:v>
                </c:pt>
                <c:pt idx="8">
                  <c:v>7</c:v>
                </c:pt>
                <c:pt idx="9">
                  <c:v>7</c:v>
                </c:pt>
                <c:pt idx="10">
                  <c:v>7</c:v>
                </c:pt>
                <c:pt idx="11">
                  <c:v>7</c:v>
                </c:pt>
                <c:pt idx="12">
                  <c:v>7</c:v>
                </c:pt>
                <c:pt idx="13">
                  <c:v>7</c:v>
                </c:pt>
                <c:pt idx="14">
                  <c:v>7</c:v>
                </c:pt>
                <c:pt idx="15">
                  <c:v>7</c:v>
                </c:pt>
                <c:pt idx="16">
                  <c:v>6.75</c:v>
                </c:pt>
                <c:pt idx="17">
                  <c:v>6.75</c:v>
                </c:pt>
                <c:pt idx="18">
                  <c:v>6.75</c:v>
                </c:pt>
                <c:pt idx="19">
                  <c:v>6.75</c:v>
                </c:pt>
                <c:pt idx="20">
                  <c:v>6.5</c:v>
                </c:pt>
                <c:pt idx="21">
                  <c:v>6.5</c:v>
                </c:pt>
                <c:pt idx="22">
                  <c:v>6.5</c:v>
                </c:pt>
                <c:pt idx="23">
                  <c:v>6.5</c:v>
                </c:pt>
                <c:pt idx="24">
                  <c:v>6.75</c:v>
                </c:pt>
                <c:pt idx="25">
                  <c:v>6.75</c:v>
                </c:pt>
                <c:pt idx="26">
                  <c:v>6.75</c:v>
                </c:pt>
                <c:pt idx="27">
                  <c:v>6.75</c:v>
                </c:pt>
                <c:pt idx="28">
                  <c:v>6.5</c:v>
                </c:pt>
                <c:pt idx="29">
                  <c:v>6.5</c:v>
                </c:pt>
                <c:pt idx="30">
                  <c:v>6.5</c:v>
                </c:pt>
              </c:numCache>
            </c:numRef>
          </c:val>
          <c:smooth val="0"/>
          <c:extLst>
            <c:ext xmlns:c16="http://schemas.microsoft.com/office/drawing/2014/chart" uri="{C3380CC4-5D6E-409C-BE32-E72D297353CC}">
              <c16:uniqueId val="{00000003-108E-42F2-B1E9-282D481F8AE2}"/>
            </c:ext>
          </c:extLst>
        </c:ser>
        <c:dLbls>
          <c:showLegendKey val="0"/>
          <c:showVal val="0"/>
          <c:showCatName val="0"/>
          <c:showSerName val="0"/>
          <c:showPercent val="0"/>
          <c:showBubbleSize val="0"/>
        </c:dLbls>
        <c:marker val="1"/>
        <c:smooth val="0"/>
        <c:axId val="965532783"/>
        <c:axId val="1017145887"/>
      </c:lineChart>
      <c:dateAx>
        <c:axId val="821288879"/>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5461951"/>
        <c:crosses val="autoZero"/>
        <c:auto val="1"/>
        <c:lblOffset val="100"/>
        <c:baseTimeUnit val="months"/>
        <c:majorUnit val="2"/>
        <c:majorTimeUnit val="months"/>
      </c:dateAx>
      <c:valAx>
        <c:axId val="965461951"/>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288879"/>
        <c:crosses val="autoZero"/>
        <c:crossBetween val="between"/>
      </c:valAx>
      <c:valAx>
        <c:axId val="1017145887"/>
        <c:scaling>
          <c:orientation val="minMax"/>
          <c:max val="1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5532783"/>
        <c:crosses val="max"/>
        <c:crossBetween val="between"/>
        <c:dispUnits>
          <c:builtInUnit val="hundreds"/>
        </c:dispUnits>
      </c:valAx>
      <c:catAx>
        <c:axId val="965532783"/>
        <c:scaling>
          <c:orientation val="minMax"/>
        </c:scaling>
        <c:delete val="1"/>
        <c:axPos val="b"/>
        <c:majorTickMark val="out"/>
        <c:minorTickMark val="none"/>
        <c:tickLblPos val="nextTo"/>
        <c:crossAx val="101714588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Viljoen</dc:creator>
  <cp:keywords/>
  <dc:description/>
  <cp:lastModifiedBy>Alison Sharp</cp:lastModifiedBy>
  <cp:revision>2</cp:revision>
  <dcterms:created xsi:type="dcterms:W3CDTF">2020-01-14T13:06:00Z</dcterms:created>
  <dcterms:modified xsi:type="dcterms:W3CDTF">2020-01-14T13:06:00Z</dcterms:modified>
</cp:coreProperties>
</file>