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D0638" w14:textId="372FC04B" w:rsidR="005129EA" w:rsidRDefault="005129EA" w:rsidP="000C31D0">
      <w:pPr>
        <w:pStyle w:val="Heading1"/>
        <w:spacing w:after="0"/>
        <w:rPr>
          <w:sz w:val="32"/>
          <w:szCs w:val="32"/>
        </w:rPr>
      </w:pPr>
      <w:r w:rsidRPr="005129EA">
        <w:rPr>
          <w:sz w:val="32"/>
          <w:szCs w:val="32"/>
        </w:rPr>
        <w:t>PwC focus on Purchasing Managers Index</w:t>
      </w:r>
      <w:r>
        <w:rPr>
          <w:sz w:val="32"/>
          <w:szCs w:val="32"/>
        </w:rPr>
        <w:t xml:space="preserve"> – 7 May 2020</w:t>
      </w:r>
    </w:p>
    <w:p w14:paraId="4C406198" w14:textId="77777777" w:rsidR="005129EA" w:rsidRDefault="005129EA" w:rsidP="000C31D0">
      <w:pPr>
        <w:pStyle w:val="Heading1"/>
        <w:spacing w:after="0"/>
        <w:rPr>
          <w:sz w:val="32"/>
          <w:szCs w:val="32"/>
        </w:rPr>
      </w:pPr>
    </w:p>
    <w:p w14:paraId="2E29F444" w14:textId="1A8CA81A" w:rsidR="005129EA" w:rsidRPr="005129EA" w:rsidRDefault="005129EA" w:rsidP="000C31D0">
      <w:pPr>
        <w:pStyle w:val="Heading1"/>
        <w:spacing w:after="0"/>
        <w:rPr>
          <w:sz w:val="32"/>
          <w:szCs w:val="32"/>
        </w:rPr>
      </w:pPr>
      <w:r w:rsidRPr="007A7B59">
        <w:rPr>
          <w:b w:val="0"/>
          <w:noProof/>
          <w:color w:val="990000"/>
        </w:rPr>
        <w:drawing>
          <wp:inline distT="0" distB="0" distL="0" distR="0" wp14:anchorId="2119A74B" wp14:editId="7033A469">
            <wp:extent cx="2238375" cy="1863090"/>
            <wp:effectExtent l="0" t="0" r="952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38375" cy="1863090"/>
                    </a:xfrm>
                    <a:prstGeom prst="rect">
                      <a:avLst/>
                    </a:prstGeom>
                    <a:noFill/>
                  </pic:spPr>
                </pic:pic>
              </a:graphicData>
            </a:graphic>
          </wp:inline>
        </w:drawing>
      </w:r>
    </w:p>
    <w:p w14:paraId="15B9F28B" w14:textId="77777777" w:rsidR="005129EA" w:rsidRDefault="005129EA" w:rsidP="000C31D0">
      <w:pPr>
        <w:pStyle w:val="Heading1"/>
        <w:spacing w:after="0"/>
        <w:rPr>
          <w:sz w:val="44"/>
        </w:rPr>
      </w:pPr>
    </w:p>
    <w:p w14:paraId="569119A0" w14:textId="0E679652" w:rsidR="000C31D0" w:rsidRDefault="000C31D0" w:rsidP="000C31D0">
      <w:pPr>
        <w:pStyle w:val="Heading1"/>
        <w:spacing w:after="0"/>
        <w:rPr>
          <w:sz w:val="44"/>
        </w:rPr>
      </w:pPr>
      <w:r>
        <w:rPr>
          <w:sz w:val="44"/>
        </w:rPr>
        <w:t>African private s</w:t>
      </w:r>
      <w:r w:rsidR="005129EA">
        <w:rPr>
          <w:sz w:val="44"/>
        </w:rPr>
        <w:t>e</w:t>
      </w:r>
      <w:r>
        <w:rPr>
          <w:sz w:val="44"/>
        </w:rPr>
        <w:t xml:space="preserve">ctor resists depth of global slump in April </w:t>
      </w:r>
    </w:p>
    <w:p w14:paraId="36FE8395" w14:textId="77777777" w:rsidR="001D27D0" w:rsidRDefault="001D27D0" w:rsidP="000C31D0">
      <w:pPr>
        <w:pStyle w:val="Heading1"/>
        <w:spacing w:after="0"/>
        <w:rPr>
          <w:sz w:val="44"/>
        </w:rPr>
      </w:pPr>
      <w:bookmarkStart w:id="0" w:name="_GoBack"/>
      <w:bookmarkEnd w:id="0"/>
    </w:p>
    <w:p w14:paraId="1790F09C" w14:textId="77777777" w:rsidR="000C31D0" w:rsidRPr="000C31D0" w:rsidRDefault="000C31D0" w:rsidP="000C31D0">
      <w:pPr>
        <w:pStyle w:val="Heading1"/>
        <w:spacing w:after="0" w:line="240" w:lineRule="auto"/>
        <w:rPr>
          <w:b w:val="0"/>
          <w:bCs w:val="0"/>
          <w:color w:val="auto"/>
          <w:sz w:val="28"/>
          <w:szCs w:val="26"/>
          <w:lang w:val="en-US"/>
        </w:rPr>
      </w:pPr>
      <w:r w:rsidRPr="000C31D0">
        <w:rPr>
          <w:b w:val="0"/>
          <w:bCs w:val="0"/>
          <w:color w:val="auto"/>
          <w:sz w:val="28"/>
          <w:szCs w:val="26"/>
          <w:lang w:val="en-US"/>
        </w:rPr>
        <w:t>PMIs show decline in business activity but not as bad as the global average</w:t>
      </w:r>
    </w:p>
    <w:p w14:paraId="2E6B5036" w14:textId="77777777" w:rsidR="000C31D0" w:rsidRDefault="000C31D0" w:rsidP="000C31D0">
      <w:pPr>
        <w:rPr>
          <w:rFonts w:ascii="Georgia" w:hAnsi="Georgia"/>
          <w:sz w:val="20"/>
          <w:szCs w:val="20"/>
        </w:rPr>
      </w:pPr>
    </w:p>
    <w:p w14:paraId="65F102A7" w14:textId="77777777" w:rsidR="000C31D0" w:rsidRDefault="000C31D0" w:rsidP="000C31D0">
      <w:pPr>
        <w:rPr>
          <w:rFonts w:ascii="Georgia" w:hAnsi="Georgia"/>
          <w:sz w:val="20"/>
          <w:szCs w:val="20"/>
        </w:rPr>
      </w:pPr>
      <w:r>
        <w:rPr>
          <w:rFonts w:ascii="Georgia" w:hAnsi="Georgia"/>
          <w:sz w:val="20"/>
          <w:szCs w:val="20"/>
        </w:rPr>
        <w:t xml:space="preserve">At present, economies are changing at a fast pace. Economists are working hard to understand economies in lockdown and how this influences the outlook for e.g. production, employment and taxes. This endeavour requires up-to-date economic data that gives a view of economic activity as close to the present as possible. Data based on surveys can be very insightful in this regard. These kinds of publications include Purchasing Managers Index (PMI) reports: these are based on the results of </w:t>
      </w:r>
      <w:r w:rsidRPr="004340FB">
        <w:rPr>
          <w:rFonts w:ascii="Georgia" w:hAnsi="Georgia"/>
          <w:sz w:val="20"/>
          <w:szCs w:val="20"/>
        </w:rPr>
        <w:t>questionnaires sent</w:t>
      </w:r>
      <w:r>
        <w:rPr>
          <w:rFonts w:ascii="Georgia" w:hAnsi="Georgia"/>
          <w:sz w:val="20"/>
          <w:szCs w:val="20"/>
        </w:rPr>
        <w:t xml:space="preserve"> </w:t>
      </w:r>
      <w:r w:rsidRPr="004340FB">
        <w:rPr>
          <w:rFonts w:ascii="Georgia" w:hAnsi="Georgia"/>
          <w:sz w:val="20"/>
          <w:szCs w:val="20"/>
        </w:rPr>
        <w:t xml:space="preserve">to purchasing managers </w:t>
      </w:r>
      <w:r>
        <w:rPr>
          <w:rFonts w:ascii="Georgia" w:hAnsi="Georgia"/>
          <w:sz w:val="20"/>
          <w:szCs w:val="20"/>
        </w:rPr>
        <w:t xml:space="preserve">at </w:t>
      </w:r>
      <w:r w:rsidRPr="004340FB">
        <w:rPr>
          <w:rFonts w:ascii="Georgia" w:hAnsi="Georgia"/>
          <w:sz w:val="20"/>
          <w:szCs w:val="20"/>
        </w:rPr>
        <w:t>private sector companies</w:t>
      </w:r>
      <w:r>
        <w:rPr>
          <w:rFonts w:ascii="Georgia" w:hAnsi="Georgia"/>
          <w:sz w:val="20"/>
          <w:szCs w:val="20"/>
        </w:rPr>
        <w:t xml:space="preserve">. </w:t>
      </w:r>
    </w:p>
    <w:p w14:paraId="69FFB51B" w14:textId="77777777" w:rsidR="000C31D0" w:rsidRDefault="000C31D0" w:rsidP="000C31D0">
      <w:pPr>
        <w:rPr>
          <w:rFonts w:ascii="Georgia" w:hAnsi="Georgia"/>
          <w:sz w:val="20"/>
          <w:szCs w:val="20"/>
        </w:rPr>
      </w:pPr>
      <w:r>
        <w:rPr>
          <w:rFonts w:ascii="Georgia" w:hAnsi="Georgia"/>
          <w:sz w:val="20"/>
          <w:szCs w:val="20"/>
        </w:rPr>
        <w:t>PMIs are some of the earliest data releases for a given month and are usually released within the first week of a new month. (For example, most PMIs for April were published in the first seven days of May.) These surveys provide crucial information on private sector economic activity – including business operations, production prices, supply chain performance, and employment trends, amongst others. In general, PMI r</w:t>
      </w:r>
      <w:r w:rsidRPr="005D091A">
        <w:rPr>
          <w:rFonts w:ascii="Georgia" w:hAnsi="Georgia"/>
          <w:sz w:val="20"/>
          <w:szCs w:val="20"/>
        </w:rPr>
        <w:t>eadings above</w:t>
      </w:r>
      <w:r>
        <w:rPr>
          <w:rFonts w:ascii="Georgia" w:hAnsi="Georgia"/>
          <w:sz w:val="20"/>
          <w:szCs w:val="20"/>
        </w:rPr>
        <w:t xml:space="preserve"> </w:t>
      </w:r>
      <w:r w:rsidRPr="005D091A">
        <w:rPr>
          <w:rFonts w:ascii="Georgia" w:hAnsi="Georgia"/>
          <w:sz w:val="20"/>
          <w:szCs w:val="20"/>
        </w:rPr>
        <w:t>50.0 signal an improvement in business conditions on</w:t>
      </w:r>
      <w:r>
        <w:rPr>
          <w:rFonts w:ascii="Georgia" w:hAnsi="Georgia"/>
          <w:sz w:val="20"/>
          <w:szCs w:val="20"/>
        </w:rPr>
        <w:t xml:space="preserve"> </w:t>
      </w:r>
      <w:r w:rsidRPr="005D091A">
        <w:rPr>
          <w:rFonts w:ascii="Georgia" w:hAnsi="Georgia"/>
          <w:sz w:val="20"/>
          <w:szCs w:val="20"/>
        </w:rPr>
        <w:t>the previous month, while readings below 50.0 show a</w:t>
      </w:r>
      <w:r>
        <w:rPr>
          <w:rFonts w:ascii="Georgia" w:hAnsi="Georgia"/>
          <w:sz w:val="20"/>
          <w:szCs w:val="20"/>
        </w:rPr>
        <w:t xml:space="preserve"> </w:t>
      </w:r>
      <w:r w:rsidRPr="005D091A">
        <w:rPr>
          <w:rFonts w:ascii="Georgia" w:hAnsi="Georgia"/>
          <w:sz w:val="20"/>
          <w:szCs w:val="20"/>
        </w:rPr>
        <w:t>deterioration.</w:t>
      </w:r>
    </w:p>
    <w:p w14:paraId="11D3B0FE" w14:textId="77777777" w:rsidR="000C31D0" w:rsidRDefault="000C31D0" w:rsidP="000C31D0">
      <w:pPr>
        <w:rPr>
          <w:rFonts w:ascii="Georgia" w:hAnsi="Georgia"/>
          <w:sz w:val="20"/>
          <w:szCs w:val="20"/>
        </w:rPr>
      </w:pPr>
      <w:r>
        <w:rPr>
          <w:rFonts w:ascii="Georgia" w:hAnsi="Georgia"/>
          <w:sz w:val="20"/>
          <w:szCs w:val="20"/>
        </w:rPr>
        <w:t>G</w:t>
      </w:r>
      <w:r w:rsidRPr="004340FB">
        <w:rPr>
          <w:rFonts w:ascii="Georgia" w:hAnsi="Georgia"/>
          <w:sz w:val="20"/>
          <w:szCs w:val="20"/>
        </w:rPr>
        <w:t>lobal information provider</w:t>
      </w:r>
      <w:r>
        <w:rPr>
          <w:rFonts w:ascii="Georgia" w:hAnsi="Georgia"/>
          <w:sz w:val="20"/>
          <w:szCs w:val="20"/>
        </w:rPr>
        <w:t xml:space="preserve"> </w:t>
      </w:r>
      <w:hyperlink r:id="rId5" w:history="1">
        <w:r w:rsidRPr="004340FB">
          <w:rPr>
            <w:rStyle w:val="Hyperlink"/>
            <w:rFonts w:ascii="Georgia" w:hAnsi="Georgia"/>
            <w:sz w:val="20"/>
            <w:szCs w:val="20"/>
          </w:rPr>
          <w:t>IHS Markit</w:t>
        </w:r>
      </w:hyperlink>
      <w:r>
        <w:rPr>
          <w:rFonts w:ascii="Georgia" w:hAnsi="Georgia"/>
          <w:sz w:val="20"/>
          <w:szCs w:val="20"/>
        </w:rPr>
        <w:t xml:space="preserve"> publishes comparable PMIs for 45 economies, including eight African countries: </w:t>
      </w:r>
      <w:r w:rsidRPr="004340FB">
        <w:rPr>
          <w:rFonts w:ascii="Georgia" w:hAnsi="Georgia"/>
          <w:sz w:val="20"/>
          <w:szCs w:val="20"/>
        </w:rPr>
        <w:t>Egypt</w:t>
      </w:r>
      <w:r>
        <w:rPr>
          <w:rFonts w:ascii="Georgia" w:hAnsi="Georgia"/>
          <w:sz w:val="20"/>
          <w:szCs w:val="20"/>
        </w:rPr>
        <w:t xml:space="preserve">, </w:t>
      </w:r>
      <w:r w:rsidRPr="004340FB">
        <w:rPr>
          <w:rFonts w:ascii="Georgia" w:hAnsi="Georgia"/>
          <w:sz w:val="20"/>
          <w:szCs w:val="20"/>
        </w:rPr>
        <w:t>Ghana</w:t>
      </w:r>
      <w:r>
        <w:rPr>
          <w:rFonts w:ascii="Georgia" w:hAnsi="Georgia"/>
          <w:sz w:val="20"/>
          <w:szCs w:val="20"/>
        </w:rPr>
        <w:t xml:space="preserve">, </w:t>
      </w:r>
      <w:r w:rsidRPr="004340FB">
        <w:rPr>
          <w:rFonts w:ascii="Georgia" w:hAnsi="Georgia"/>
          <w:sz w:val="20"/>
          <w:szCs w:val="20"/>
        </w:rPr>
        <w:t>Kenya</w:t>
      </w:r>
      <w:r>
        <w:rPr>
          <w:rFonts w:ascii="Georgia" w:hAnsi="Georgia"/>
          <w:sz w:val="20"/>
          <w:szCs w:val="20"/>
        </w:rPr>
        <w:t xml:space="preserve">, </w:t>
      </w:r>
      <w:r w:rsidRPr="004340FB">
        <w:rPr>
          <w:rFonts w:ascii="Georgia" w:hAnsi="Georgia"/>
          <w:sz w:val="20"/>
          <w:szCs w:val="20"/>
        </w:rPr>
        <w:t>Mozambique</w:t>
      </w:r>
      <w:r>
        <w:rPr>
          <w:rFonts w:ascii="Georgia" w:hAnsi="Georgia"/>
          <w:sz w:val="20"/>
          <w:szCs w:val="20"/>
        </w:rPr>
        <w:t xml:space="preserve">, </w:t>
      </w:r>
      <w:r w:rsidRPr="004340FB">
        <w:rPr>
          <w:rFonts w:ascii="Georgia" w:hAnsi="Georgia"/>
          <w:sz w:val="20"/>
          <w:szCs w:val="20"/>
        </w:rPr>
        <w:t>Nigeria</w:t>
      </w:r>
      <w:r>
        <w:rPr>
          <w:rFonts w:ascii="Georgia" w:hAnsi="Georgia"/>
          <w:sz w:val="20"/>
          <w:szCs w:val="20"/>
        </w:rPr>
        <w:t xml:space="preserve">, </w:t>
      </w:r>
      <w:r w:rsidRPr="004340FB">
        <w:rPr>
          <w:rFonts w:ascii="Georgia" w:hAnsi="Georgia"/>
          <w:sz w:val="20"/>
          <w:szCs w:val="20"/>
        </w:rPr>
        <w:t>South Africa</w:t>
      </w:r>
      <w:r>
        <w:rPr>
          <w:rFonts w:ascii="Georgia" w:hAnsi="Georgia"/>
          <w:sz w:val="20"/>
          <w:szCs w:val="20"/>
        </w:rPr>
        <w:t xml:space="preserve">, </w:t>
      </w:r>
      <w:r w:rsidRPr="004340FB">
        <w:rPr>
          <w:rFonts w:ascii="Georgia" w:hAnsi="Georgia"/>
          <w:sz w:val="20"/>
          <w:szCs w:val="20"/>
        </w:rPr>
        <w:t>Uganda</w:t>
      </w:r>
      <w:r>
        <w:rPr>
          <w:rFonts w:ascii="Georgia" w:hAnsi="Georgia"/>
          <w:sz w:val="20"/>
          <w:szCs w:val="20"/>
        </w:rPr>
        <w:t xml:space="preserve"> and </w:t>
      </w:r>
      <w:r w:rsidRPr="004340FB">
        <w:rPr>
          <w:rFonts w:ascii="Georgia" w:hAnsi="Georgia"/>
          <w:sz w:val="20"/>
          <w:szCs w:val="20"/>
        </w:rPr>
        <w:t>Zambia</w:t>
      </w:r>
      <w:r>
        <w:rPr>
          <w:rFonts w:ascii="Georgia" w:hAnsi="Georgia"/>
          <w:sz w:val="20"/>
          <w:szCs w:val="20"/>
        </w:rPr>
        <w:t xml:space="preserve">. </w:t>
      </w:r>
      <w:r w:rsidRPr="00E5070C">
        <w:rPr>
          <w:rFonts w:ascii="Georgia" w:hAnsi="Georgia"/>
          <w:sz w:val="20"/>
          <w:szCs w:val="20"/>
        </w:rPr>
        <w:t xml:space="preserve">This group of </w:t>
      </w:r>
      <w:r>
        <w:rPr>
          <w:rFonts w:ascii="Georgia" w:hAnsi="Georgia"/>
          <w:sz w:val="20"/>
          <w:szCs w:val="20"/>
        </w:rPr>
        <w:t xml:space="preserve">African </w:t>
      </w:r>
      <w:r w:rsidRPr="00E5070C">
        <w:rPr>
          <w:rFonts w:ascii="Georgia" w:hAnsi="Georgia"/>
          <w:sz w:val="20"/>
          <w:szCs w:val="20"/>
        </w:rPr>
        <w:t xml:space="preserve">countries include the largest economies on the continent – Nigeria, South Africa and Egypt </w:t>
      </w:r>
      <w:r>
        <w:rPr>
          <w:rFonts w:ascii="Georgia" w:hAnsi="Georgia"/>
          <w:sz w:val="20"/>
          <w:szCs w:val="20"/>
        </w:rPr>
        <w:t xml:space="preserve">being the top three </w:t>
      </w:r>
      <w:r w:rsidRPr="00E5070C">
        <w:rPr>
          <w:rFonts w:ascii="Georgia" w:hAnsi="Georgia"/>
          <w:sz w:val="20"/>
          <w:szCs w:val="20"/>
        </w:rPr>
        <w:t>– and account fo</w:t>
      </w:r>
      <w:r>
        <w:rPr>
          <w:rFonts w:ascii="Georgia" w:hAnsi="Georgia"/>
          <w:sz w:val="20"/>
          <w:szCs w:val="20"/>
        </w:rPr>
        <w:t xml:space="preserve">r 55% of the continent’s GDP. The group of eight also account for 50% of Africa’s exports and 45% of imports by value. In other words, the grouping is representative of a large section of Africa’s private sector activity. </w:t>
      </w:r>
    </w:p>
    <w:p w14:paraId="0139AE22" w14:textId="77777777" w:rsidR="000C31D0" w:rsidRDefault="000C31D0" w:rsidP="000C31D0">
      <w:pPr>
        <w:rPr>
          <w:rFonts w:ascii="Georgia" w:hAnsi="Georgia"/>
          <w:sz w:val="20"/>
          <w:szCs w:val="20"/>
        </w:rPr>
      </w:pPr>
      <w:r>
        <w:rPr>
          <w:rFonts w:ascii="Georgia" w:hAnsi="Georgia"/>
          <w:sz w:val="20"/>
          <w:szCs w:val="20"/>
        </w:rPr>
        <w:t xml:space="preserve">Based on a simple average of the eight countries, African PMIs have been above the global reading since June 2019. In February 2020, when the global impact of what the </w:t>
      </w:r>
      <w:hyperlink r:id="rId6" w:history="1">
        <w:r w:rsidRPr="005D091A">
          <w:rPr>
            <w:rStyle w:val="Hyperlink"/>
            <w:rFonts w:ascii="Georgia" w:hAnsi="Georgia"/>
            <w:sz w:val="20"/>
            <w:szCs w:val="20"/>
          </w:rPr>
          <w:t xml:space="preserve">International Monetary Fund </w:t>
        </w:r>
        <w:r>
          <w:rPr>
            <w:rStyle w:val="Hyperlink"/>
            <w:rFonts w:ascii="Georgia" w:hAnsi="Georgia"/>
            <w:sz w:val="20"/>
            <w:szCs w:val="20"/>
          </w:rPr>
          <w:t>(</w:t>
        </w:r>
        <w:r w:rsidRPr="005D091A">
          <w:rPr>
            <w:rStyle w:val="Hyperlink"/>
            <w:rFonts w:ascii="Georgia" w:hAnsi="Georgia"/>
            <w:sz w:val="20"/>
            <w:szCs w:val="20"/>
          </w:rPr>
          <w:t>IMF)</w:t>
        </w:r>
      </w:hyperlink>
      <w:r>
        <w:rPr>
          <w:rFonts w:ascii="Georgia" w:hAnsi="Georgia"/>
          <w:sz w:val="20"/>
          <w:szCs w:val="20"/>
        </w:rPr>
        <w:t xml:space="preserve"> has called the ‘Great Lockdown’ was intensifying, all eight African PMIs were above the global </w:t>
      </w:r>
      <w:r>
        <w:rPr>
          <w:rFonts w:ascii="Georgia" w:hAnsi="Georgia"/>
          <w:sz w:val="20"/>
          <w:szCs w:val="20"/>
        </w:rPr>
        <w:lastRenderedPageBreak/>
        <w:t xml:space="preserve">reading. In March this year, seven out of the eight African PMIs were above the global average, with Kenya the exception. The East African country’s private sector experienced a large drop in </w:t>
      </w:r>
      <w:r w:rsidRPr="005D091A">
        <w:rPr>
          <w:rFonts w:ascii="Georgia" w:hAnsi="Georgia"/>
          <w:sz w:val="20"/>
          <w:szCs w:val="20"/>
        </w:rPr>
        <w:t>consumer demand and client</w:t>
      </w:r>
      <w:r>
        <w:rPr>
          <w:rFonts w:ascii="Georgia" w:hAnsi="Georgia"/>
          <w:sz w:val="20"/>
          <w:szCs w:val="20"/>
        </w:rPr>
        <w:t xml:space="preserve"> </w:t>
      </w:r>
      <w:r w:rsidRPr="005D091A">
        <w:rPr>
          <w:rFonts w:ascii="Georgia" w:hAnsi="Georgia"/>
          <w:sz w:val="20"/>
          <w:szCs w:val="20"/>
        </w:rPr>
        <w:t>orders</w:t>
      </w:r>
      <w:r>
        <w:rPr>
          <w:rFonts w:ascii="Georgia" w:hAnsi="Georgia"/>
          <w:sz w:val="20"/>
          <w:szCs w:val="20"/>
        </w:rPr>
        <w:t xml:space="preserve"> due to the slowing domestic, regional and global economy. Unsurprisingly, Kenyan b</w:t>
      </w:r>
      <w:r w:rsidRPr="005D091A">
        <w:rPr>
          <w:rFonts w:ascii="Georgia" w:hAnsi="Georgia"/>
          <w:sz w:val="20"/>
          <w:szCs w:val="20"/>
        </w:rPr>
        <w:t>usinesses reduced activity and</w:t>
      </w:r>
      <w:r>
        <w:rPr>
          <w:rFonts w:ascii="Georgia" w:hAnsi="Georgia"/>
          <w:sz w:val="20"/>
          <w:szCs w:val="20"/>
        </w:rPr>
        <w:t xml:space="preserve"> </w:t>
      </w:r>
      <w:r w:rsidRPr="005D091A">
        <w:rPr>
          <w:rFonts w:ascii="Georgia" w:hAnsi="Georgia"/>
          <w:sz w:val="20"/>
          <w:szCs w:val="20"/>
        </w:rPr>
        <w:t>employment</w:t>
      </w:r>
      <w:r>
        <w:rPr>
          <w:rFonts w:ascii="Georgia" w:hAnsi="Georgia"/>
          <w:sz w:val="20"/>
          <w:szCs w:val="20"/>
        </w:rPr>
        <w:t>.</w:t>
      </w:r>
    </w:p>
    <w:p w14:paraId="1CDA0820" w14:textId="77777777" w:rsidR="000C31D0" w:rsidRPr="00F24E0C" w:rsidRDefault="000C31D0" w:rsidP="000C31D0">
      <w:pPr>
        <w:rPr>
          <w:rFonts w:ascii="Georgia" w:hAnsi="Georgia"/>
          <w:i/>
          <w:iCs/>
          <w:sz w:val="20"/>
          <w:szCs w:val="20"/>
        </w:rPr>
      </w:pPr>
      <w:r w:rsidRPr="00F24E0C">
        <w:rPr>
          <w:rFonts w:ascii="Georgia" w:hAnsi="Georgia"/>
          <w:i/>
          <w:iCs/>
          <w:sz w:val="20"/>
          <w:szCs w:val="20"/>
        </w:rPr>
        <w:t xml:space="preserve">Figure 1: PMIs have been trending </w:t>
      </w:r>
      <w:r>
        <w:rPr>
          <w:rFonts w:ascii="Georgia" w:hAnsi="Georgia"/>
          <w:i/>
          <w:iCs/>
          <w:sz w:val="20"/>
          <w:szCs w:val="20"/>
        </w:rPr>
        <w:t xml:space="preserve">sharply </w:t>
      </w:r>
      <w:r w:rsidRPr="00F24E0C">
        <w:rPr>
          <w:rFonts w:ascii="Georgia" w:hAnsi="Georgia"/>
          <w:i/>
          <w:iCs/>
          <w:sz w:val="20"/>
          <w:szCs w:val="20"/>
        </w:rPr>
        <w:t>lower since February 2020</w:t>
      </w:r>
    </w:p>
    <w:p w14:paraId="737668D3" w14:textId="77777777" w:rsidR="000C31D0" w:rsidRDefault="000C31D0" w:rsidP="000C31D0">
      <w:pPr>
        <w:rPr>
          <w:rFonts w:ascii="Georgia" w:hAnsi="Georgia"/>
          <w:sz w:val="20"/>
          <w:szCs w:val="20"/>
        </w:rPr>
      </w:pPr>
      <w:r>
        <w:rPr>
          <w:noProof/>
        </w:rPr>
        <w:drawing>
          <wp:inline distT="0" distB="0" distL="0" distR="0" wp14:anchorId="42493949" wp14:editId="0E2775B2">
            <wp:extent cx="5759450" cy="2340000"/>
            <wp:effectExtent l="0" t="0" r="12700" b="3175"/>
            <wp:docPr id="1" name="Chart 1">
              <a:extLst xmlns:a="http://schemas.openxmlformats.org/drawingml/2006/main">
                <a:ext uri="{FF2B5EF4-FFF2-40B4-BE49-F238E27FC236}">
                  <a16:creationId xmlns:a16="http://schemas.microsoft.com/office/drawing/2014/main" id="{359D747B-93D9-4D49-AB16-B6F5818FFA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0A04AA5" w14:textId="77777777" w:rsidR="000C31D0" w:rsidRPr="00F24E0C" w:rsidRDefault="000C31D0" w:rsidP="000C31D0">
      <w:pPr>
        <w:rPr>
          <w:rFonts w:ascii="Georgia" w:hAnsi="Georgia"/>
          <w:i/>
          <w:iCs/>
          <w:sz w:val="20"/>
          <w:szCs w:val="20"/>
        </w:rPr>
      </w:pPr>
      <w:r w:rsidRPr="00F24E0C">
        <w:rPr>
          <w:rFonts w:ascii="Georgia" w:hAnsi="Georgia"/>
          <w:i/>
          <w:iCs/>
          <w:sz w:val="20"/>
          <w:szCs w:val="20"/>
        </w:rPr>
        <w:t>Sources: IHS Markit, Trading Economics</w:t>
      </w:r>
    </w:p>
    <w:p w14:paraId="405C7209" w14:textId="77777777" w:rsidR="000C31D0" w:rsidRDefault="000C31D0" w:rsidP="000C31D0">
      <w:pPr>
        <w:rPr>
          <w:rFonts w:ascii="Georgia" w:hAnsi="Georgia"/>
          <w:sz w:val="20"/>
          <w:szCs w:val="20"/>
        </w:rPr>
      </w:pPr>
      <w:r>
        <w:rPr>
          <w:rFonts w:ascii="Georgia" w:hAnsi="Georgia"/>
          <w:sz w:val="20"/>
          <w:szCs w:val="20"/>
        </w:rPr>
        <w:t xml:space="preserve">In April, seven out of eight African PMIs again resisted falling to the depths of the global average. This time, Uganda was the exception, with Kenya retuning above the global index. Ugandan companies reported a lack of new orders and decline in output volumes. This, in turn, resulted in scaling back of purchasing activity and employment. </w:t>
      </w:r>
      <w:r w:rsidRPr="003A2F2B">
        <w:rPr>
          <w:rFonts w:ascii="Georgia" w:hAnsi="Georgia"/>
          <w:sz w:val="20"/>
          <w:szCs w:val="20"/>
        </w:rPr>
        <w:t xml:space="preserve">Restrictions on </w:t>
      </w:r>
      <w:r>
        <w:rPr>
          <w:rFonts w:ascii="Georgia" w:hAnsi="Georgia"/>
          <w:sz w:val="20"/>
          <w:szCs w:val="20"/>
        </w:rPr>
        <w:t xml:space="preserve">domestic and international </w:t>
      </w:r>
      <w:r w:rsidRPr="003A2F2B">
        <w:rPr>
          <w:rFonts w:ascii="Georgia" w:hAnsi="Georgia"/>
          <w:sz w:val="20"/>
          <w:szCs w:val="20"/>
        </w:rPr>
        <w:t xml:space="preserve">travel </w:t>
      </w:r>
      <w:r>
        <w:rPr>
          <w:rFonts w:ascii="Georgia" w:hAnsi="Georgia"/>
          <w:sz w:val="20"/>
          <w:szCs w:val="20"/>
        </w:rPr>
        <w:t xml:space="preserve">during the country’s lockdown resulted in </w:t>
      </w:r>
      <w:r w:rsidRPr="003A2F2B">
        <w:rPr>
          <w:rFonts w:ascii="Georgia" w:hAnsi="Georgia"/>
          <w:sz w:val="20"/>
          <w:szCs w:val="20"/>
        </w:rPr>
        <w:t>lengthening delivery</w:t>
      </w:r>
      <w:r>
        <w:rPr>
          <w:rFonts w:ascii="Georgia" w:hAnsi="Georgia"/>
          <w:sz w:val="20"/>
          <w:szCs w:val="20"/>
        </w:rPr>
        <w:t xml:space="preserve"> </w:t>
      </w:r>
      <w:r w:rsidRPr="003A2F2B">
        <w:rPr>
          <w:rFonts w:ascii="Georgia" w:hAnsi="Georgia"/>
          <w:sz w:val="20"/>
          <w:szCs w:val="20"/>
        </w:rPr>
        <w:t>times</w:t>
      </w:r>
      <w:r>
        <w:rPr>
          <w:rFonts w:ascii="Georgia" w:hAnsi="Georgia"/>
          <w:sz w:val="20"/>
          <w:szCs w:val="20"/>
        </w:rPr>
        <w:t xml:space="preserve"> on input orders. Subdued external demand - i.e. for exports – was also listed as a constrain on business.</w:t>
      </w:r>
    </w:p>
    <w:p w14:paraId="358F91CC" w14:textId="77777777" w:rsidR="000C31D0" w:rsidRDefault="000C31D0" w:rsidP="000C31D0">
      <w:pPr>
        <w:rPr>
          <w:rFonts w:ascii="Georgia" w:hAnsi="Georgia"/>
          <w:sz w:val="20"/>
          <w:szCs w:val="20"/>
        </w:rPr>
      </w:pPr>
      <w:r>
        <w:rPr>
          <w:rFonts w:ascii="Georgia" w:hAnsi="Georgia"/>
          <w:sz w:val="20"/>
          <w:szCs w:val="20"/>
        </w:rPr>
        <w:t xml:space="preserve">The factors listed here in the Kenya and Uganda reviews were prevalent in many other African countries as well, with weak domestic and international demand weighing on production and new orders. On a positive note from a consumer perspective, and providing some support to headline PMI readings, many African countries experienced a decline in input costs during April. Lower commodity prices, less competition of inputs, and reducing employment numbers or working hours had a favourable impact on the cost of production. This, in turn, can be passed on to consumers who are suddenly facing uncertain income and economic prospects as countries move from total to eased lockdown status. </w:t>
      </w:r>
    </w:p>
    <w:p w14:paraId="5FD9005F" w14:textId="77777777" w:rsidR="000C31D0" w:rsidRDefault="000C31D0" w:rsidP="000C31D0">
      <w:pPr>
        <w:rPr>
          <w:rFonts w:ascii="Georgia" w:hAnsi="Georgia"/>
          <w:sz w:val="20"/>
          <w:szCs w:val="20"/>
        </w:rPr>
      </w:pPr>
      <w:r>
        <w:rPr>
          <w:rFonts w:ascii="Georgia" w:hAnsi="Georgia"/>
          <w:sz w:val="20"/>
          <w:szCs w:val="20"/>
        </w:rPr>
        <w:t xml:space="preserve">Why are many African PMIs doing better compared to the global average? Firstly, one of the key reasons is that Africa is a lot less integrated into the global economy and supply chain system compared to other continents. Research by the </w:t>
      </w:r>
      <w:hyperlink r:id="rId8" w:history="1">
        <w:r w:rsidRPr="00C36653">
          <w:rPr>
            <w:rStyle w:val="Hyperlink"/>
            <w:rFonts w:ascii="Georgia" w:hAnsi="Georgia"/>
            <w:sz w:val="20"/>
            <w:szCs w:val="20"/>
          </w:rPr>
          <w:t>IMF</w:t>
        </w:r>
      </w:hyperlink>
      <w:r>
        <w:rPr>
          <w:rFonts w:ascii="Georgia" w:hAnsi="Georgia"/>
          <w:sz w:val="20"/>
          <w:szCs w:val="20"/>
        </w:rPr>
        <w:t xml:space="preserve"> found that Africa’s trade openness </w:t>
      </w:r>
      <w:r w:rsidRPr="00837B08">
        <w:rPr>
          <w:rFonts w:ascii="Georgia" w:hAnsi="Georgia"/>
          <w:sz w:val="20"/>
          <w:szCs w:val="20"/>
        </w:rPr>
        <w:t>has increased</w:t>
      </w:r>
      <w:r>
        <w:rPr>
          <w:rFonts w:ascii="Georgia" w:hAnsi="Georgia"/>
          <w:sz w:val="20"/>
          <w:szCs w:val="20"/>
        </w:rPr>
        <w:t xml:space="preserve"> significantly since the early 1990s and this </w:t>
      </w:r>
      <w:r w:rsidRPr="00837B08">
        <w:rPr>
          <w:rFonts w:ascii="Georgia" w:hAnsi="Georgia"/>
          <w:sz w:val="20"/>
          <w:szCs w:val="20"/>
        </w:rPr>
        <w:t xml:space="preserve">has been a powerful engine for </w:t>
      </w:r>
      <w:r>
        <w:rPr>
          <w:rFonts w:ascii="Georgia" w:hAnsi="Georgia"/>
          <w:sz w:val="20"/>
          <w:szCs w:val="20"/>
        </w:rPr>
        <w:t xml:space="preserve">economic </w:t>
      </w:r>
      <w:r w:rsidRPr="00837B08">
        <w:rPr>
          <w:rFonts w:ascii="Georgia" w:hAnsi="Georgia"/>
          <w:sz w:val="20"/>
          <w:szCs w:val="20"/>
        </w:rPr>
        <w:t>growth</w:t>
      </w:r>
      <w:r>
        <w:rPr>
          <w:rFonts w:ascii="Georgia" w:hAnsi="Georgia"/>
          <w:sz w:val="20"/>
          <w:szCs w:val="20"/>
        </w:rPr>
        <w:t xml:space="preserve">. However, </w:t>
      </w:r>
      <w:r w:rsidRPr="00C36653">
        <w:rPr>
          <w:rFonts w:ascii="Georgia" w:hAnsi="Georgia"/>
          <w:sz w:val="20"/>
          <w:szCs w:val="20"/>
        </w:rPr>
        <w:t>the region still has ways to go to better integrate in</w:t>
      </w:r>
      <w:r>
        <w:rPr>
          <w:rFonts w:ascii="Georgia" w:hAnsi="Georgia"/>
          <w:sz w:val="20"/>
          <w:szCs w:val="20"/>
        </w:rPr>
        <w:t>to</w:t>
      </w:r>
      <w:r w:rsidRPr="00C36653">
        <w:rPr>
          <w:rFonts w:ascii="Georgia" w:hAnsi="Georgia"/>
          <w:sz w:val="20"/>
          <w:szCs w:val="20"/>
        </w:rPr>
        <w:t xml:space="preserve"> global value chains (GVCs)</w:t>
      </w:r>
      <w:r>
        <w:rPr>
          <w:rFonts w:ascii="Georgia" w:hAnsi="Georgia"/>
          <w:sz w:val="20"/>
          <w:szCs w:val="20"/>
        </w:rPr>
        <w:t xml:space="preserve">: the depth of African countries’ global integration </w:t>
      </w:r>
      <w:r w:rsidRPr="00C36653">
        <w:rPr>
          <w:rFonts w:ascii="Georgia" w:hAnsi="Georgia"/>
          <w:sz w:val="20"/>
          <w:szCs w:val="20"/>
        </w:rPr>
        <w:t>has barely increased since the mid-1990s</w:t>
      </w:r>
      <w:r>
        <w:rPr>
          <w:rFonts w:ascii="Georgia" w:hAnsi="Georgia"/>
          <w:sz w:val="20"/>
          <w:szCs w:val="20"/>
        </w:rPr>
        <w:t>.</w:t>
      </w:r>
    </w:p>
    <w:p w14:paraId="22F01E5F" w14:textId="77777777" w:rsidR="000C31D0" w:rsidRPr="00837B08" w:rsidRDefault="000C31D0" w:rsidP="000C31D0">
      <w:pPr>
        <w:rPr>
          <w:rFonts w:ascii="Georgia" w:hAnsi="Georgia"/>
          <w:sz w:val="20"/>
          <w:szCs w:val="20"/>
        </w:rPr>
      </w:pPr>
      <w:r>
        <w:rPr>
          <w:rFonts w:ascii="Georgia" w:hAnsi="Georgia"/>
          <w:sz w:val="20"/>
          <w:szCs w:val="20"/>
        </w:rPr>
        <w:t>Secondly, d</w:t>
      </w:r>
      <w:r w:rsidRPr="00837B08">
        <w:rPr>
          <w:rFonts w:ascii="Georgia" w:hAnsi="Georgia"/>
          <w:sz w:val="20"/>
          <w:szCs w:val="20"/>
        </w:rPr>
        <w:t>isruptions caused by containment and mitigation measures are, in some cases, a month or two behind those of some developed economies. This is not for a lack of response from governments. Rather, first infections in African countries appeared much later compare</w:t>
      </w:r>
      <w:r>
        <w:rPr>
          <w:rFonts w:ascii="Georgia" w:hAnsi="Georgia"/>
          <w:sz w:val="20"/>
          <w:szCs w:val="20"/>
        </w:rPr>
        <w:t>d</w:t>
      </w:r>
      <w:r w:rsidRPr="00837B08">
        <w:rPr>
          <w:rFonts w:ascii="Georgia" w:hAnsi="Georgia"/>
          <w:sz w:val="20"/>
          <w:szCs w:val="20"/>
        </w:rPr>
        <w:t xml:space="preserve"> to many other regions, while the level of confirmed infections are still quite low by global trends. Responses by African governments have been timely for the most part if later in the global timeline than in some other regions. </w:t>
      </w:r>
      <w:r>
        <w:rPr>
          <w:rFonts w:ascii="Georgia" w:hAnsi="Georgia"/>
          <w:sz w:val="20"/>
          <w:szCs w:val="20"/>
        </w:rPr>
        <w:t>As a result, many African countries had by mid-April seen only a small adverse impact on workplace activity.</w:t>
      </w:r>
    </w:p>
    <w:p w14:paraId="70C9DE87" w14:textId="77777777" w:rsidR="000C31D0" w:rsidRPr="00F24E0C" w:rsidRDefault="000C31D0" w:rsidP="000C31D0">
      <w:pPr>
        <w:rPr>
          <w:rFonts w:ascii="Georgia" w:hAnsi="Georgia"/>
          <w:i/>
          <w:iCs/>
          <w:sz w:val="20"/>
          <w:szCs w:val="20"/>
        </w:rPr>
      </w:pPr>
      <w:r w:rsidRPr="00F24E0C">
        <w:rPr>
          <w:rFonts w:ascii="Georgia" w:hAnsi="Georgia"/>
          <w:i/>
          <w:iCs/>
          <w:sz w:val="20"/>
          <w:szCs w:val="20"/>
        </w:rPr>
        <w:t>Figure 2: Workplace activity trending below January-February levels (</w:t>
      </w:r>
      <w:r>
        <w:rPr>
          <w:rFonts w:ascii="Georgia" w:hAnsi="Georgia"/>
          <w:i/>
          <w:iCs/>
          <w:sz w:val="20"/>
          <w:szCs w:val="20"/>
        </w:rPr>
        <w:t xml:space="preserve">% change in </w:t>
      </w:r>
      <w:r w:rsidRPr="00F24E0C">
        <w:rPr>
          <w:rFonts w:ascii="Georgia" w:hAnsi="Georgia"/>
          <w:i/>
          <w:iCs/>
          <w:sz w:val="20"/>
          <w:szCs w:val="20"/>
        </w:rPr>
        <w:t>seven-day moving average</w:t>
      </w:r>
      <w:r>
        <w:rPr>
          <w:rFonts w:ascii="Georgia" w:hAnsi="Georgia"/>
          <w:i/>
          <w:iCs/>
          <w:sz w:val="20"/>
          <w:szCs w:val="20"/>
        </w:rPr>
        <w:t xml:space="preserve"> compared to the reference period</w:t>
      </w:r>
      <w:r w:rsidRPr="00F24E0C">
        <w:rPr>
          <w:rFonts w:ascii="Georgia" w:hAnsi="Georgia"/>
          <w:i/>
          <w:iCs/>
          <w:sz w:val="20"/>
          <w:szCs w:val="20"/>
        </w:rPr>
        <w:t>)</w:t>
      </w:r>
    </w:p>
    <w:p w14:paraId="0B6ACDD8" w14:textId="77777777" w:rsidR="000C31D0" w:rsidRDefault="000C31D0" w:rsidP="000C31D0">
      <w:pPr>
        <w:rPr>
          <w:rFonts w:ascii="Georgia" w:hAnsi="Georgia"/>
          <w:sz w:val="20"/>
          <w:szCs w:val="20"/>
        </w:rPr>
      </w:pPr>
      <w:r>
        <w:rPr>
          <w:noProof/>
        </w:rPr>
        <w:lastRenderedPageBreak/>
        <w:drawing>
          <wp:inline distT="0" distB="0" distL="0" distR="0" wp14:anchorId="1ADAEEC8" wp14:editId="5C071C36">
            <wp:extent cx="5760000" cy="2160000"/>
            <wp:effectExtent l="0" t="0" r="12700" b="12065"/>
            <wp:docPr id="3" name="Chart 3">
              <a:extLst xmlns:a="http://schemas.openxmlformats.org/drawingml/2006/main">
                <a:ext uri="{FF2B5EF4-FFF2-40B4-BE49-F238E27FC236}">
                  <a16:creationId xmlns:a16="http://schemas.microsoft.com/office/drawing/2014/main" id="{08F240C2-76EC-4F52-B1E3-6891B638F8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B67810E" w14:textId="77777777" w:rsidR="000C31D0" w:rsidRPr="00F24E0C" w:rsidRDefault="000C31D0" w:rsidP="000C31D0">
      <w:pPr>
        <w:rPr>
          <w:rFonts w:ascii="Georgia" w:hAnsi="Georgia"/>
          <w:i/>
          <w:iCs/>
          <w:sz w:val="20"/>
          <w:szCs w:val="20"/>
        </w:rPr>
      </w:pPr>
      <w:r w:rsidRPr="00F24E0C">
        <w:rPr>
          <w:rFonts w:ascii="Georgia" w:hAnsi="Georgia"/>
          <w:i/>
          <w:iCs/>
          <w:sz w:val="20"/>
          <w:szCs w:val="20"/>
        </w:rPr>
        <w:t xml:space="preserve">Source: </w:t>
      </w:r>
      <w:r>
        <w:rPr>
          <w:rFonts w:ascii="Georgia" w:hAnsi="Georgia"/>
          <w:i/>
          <w:iCs/>
          <w:sz w:val="20"/>
          <w:szCs w:val="20"/>
        </w:rPr>
        <w:t xml:space="preserve">PwC calculations based on </w:t>
      </w:r>
      <w:r w:rsidRPr="00F24E0C">
        <w:rPr>
          <w:rFonts w:ascii="Georgia" w:hAnsi="Georgia"/>
          <w:i/>
          <w:iCs/>
          <w:sz w:val="20"/>
          <w:szCs w:val="20"/>
        </w:rPr>
        <w:t>Google</w:t>
      </w:r>
      <w:r>
        <w:rPr>
          <w:rFonts w:ascii="Georgia" w:hAnsi="Georgia"/>
          <w:i/>
          <w:iCs/>
          <w:sz w:val="20"/>
          <w:szCs w:val="20"/>
        </w:rPr>
        <w:t xml:space="preserve"> data</w:t>
      </w:r>
    </w:p>
    <w:p w14:paraId="6CCEC8A8" w14:textId="77777777" w:rsidR="000C31D0" w:rsidRDefault="000C31D0" w:rsidP="000C31D0">
      <w:pPr>
        <w:rPr>
          <w:rFonts w:ascii="Georgia" w:hAnsi="Georgia"/>
          <w:sz w:val="20"/>
          <w:szCs w:val="20"/>
        </w:rPr>
      </w:pPr>
      <w:r>
        <w:rPr>
          <w:rFonts w:ascii="Georgia" w:hAnsi="Georgia"/>
          <w:sz w:val="20"/>
          <w:szCs w:val="20"/>
        </w:rPr>
        <w:t xml:space="preserve">Despite African PMIs resisting the depths of the global average, workplace activity in the continent’s largest economies have declined significantly. Internet giant Google has released data reflecting the change in </w:t>
      </w:r>
      <w:r w:rsidRPr="00F24E0C">
        <w:rPr>
          <w:rFonts w:ascii="Georgia" w:hAnsi="Georgia"/>
          <w:sz w:val="20"/>
          <w:szCs w:val="20"/>
        </w:rPr>
        <w:t xml:space="preserve">visits and length of stay </w:t>
      </w:r>
      <w:r>
        <w:rPr>
          <w:rFonts w:ascii="Georgia" w:hAnsi="Georgia"/>
          <w:sz w:val="20"/>
          <w:szCs w:val="20"/>
        </w:rPr>
        <w:t xml:space="preserve">at places of work </w:t>
      </w:r>
      <w:r w:rsidRPr="00F24E0C">
        <w:rPr>
          <w:rFonts w:ascii="Georgia" w:hAnsi="Georgia"/>
          <w:sz w:val="20"/>
          <w:szCs w:val="20"/>
        </w:rPr>
        <w:t xml:space="preserve">from users who have opted-in to location history tracking on their Google accounts. </w:t>
      </w:r>
      <w:r>
        <w:rPr>
          <w:rFonts w:ascii="Georgia" w:hAnsi="Georgia"/>
          <w:sz w:val="20"/>
          <w:szCs w:val="20"/>
        </w:rPr>
        <w:t xml:space="preserve">This data – which tracks activity </w:t>
      </w:r>
      <w:proofErr w:type="gramStart"/>
      <w:r>
        <w:rPr>
          <w:rFonts w:ascii="Georgia" w:hAnsi="Georgia"/>
          <w:sz w:val="20"/>
          <w:szCs w:val="20"/>
        </w:rPr>
        <w:t>on a daily basis</w:t>
      </w:r>
      <w:proofErr w:type="gramEnd"/>
      <w:r>
        <w:rPr>
          <w:rFonts w:ascii="Georgia" w:hAnsi="Georgia"/>
          <w:sz w:val="20"/>
          <w:szCs w:val="20"/>
        </w:rPr>
        <w:t xml:space="preserve"> compared to a reference period of January 3 - February 6 – show a notable decline in workplace activity during late March and April in particular. On average, workplace activity in the eight African economies included in the above graph was 36.7% lower compared to the reference period. </w:t>
      </w:r>
    </w:p>
    <w:p w14:paraId="53F4B550" w14:textId="77777777" w:rsidR="000C31D0" w:rsidRDefault="000C31D0" w:rsidP="000C31D0">
      <w:pPr>
        <w:rPr>
          <w:rFonts w:ascii="Georgia" w:hAnsi="Georgia"/>
          <w:sz w:val="20"/>
          <w:szCs w:val="20"/>
        </w:rPr>
      </w:pPr>
      <w:r>
        <w:rPr>
          <w:rFonts w:ascii="Georgia" w:hAnsi="Georgia"/>
          <w:sz w:val="20"/>
          <w:szCs w:val="20"/>
        </w:rPr>
        <w:t xml:space="preserve">How quickly can African business count on a recovery in their economies? The </w:t>
      </w:r>
      <w:hyperlink r:id="rId10" w:history="1">
        <w:r w:rsidRPr="00FA3090">
          <w:rPr>
            <w:rStyle w:val="Hyperlink"/>
            <w:rFonts w:ascii="Georgia" w:hAnsi="Georgia"/>
            <w:sz w:val="20"/>
            <w:szCs w:val="20"/>
          </w:rPr>
          <w:t>IMF</w:t>
        </w:r>
      </w:hyperlink>
      <w:r>
        <w:rPr>
          <w:rFonts w:ascii="Georgia" w:hAnsi="Georgia"/>
          <w:sz w:val="20"/>
          <w:szCs w:val="20"/>
        </w:rPr>
        <w:t xml:space="preserve"> said in mid-April its baseline expectation is for </w:t>
      </w:r>
      <w:r w:rsidRPr="00FA3090">
        <w:rPr>
          <w:rFonts w:ascii="Georgia" w:hAnsi="Georgia"/>
          <w:sz w:val="20"/>
          <w:szCs w:val="20"/>
        </w:rPr>
        <w:t>disruptions</w:t>
      </w:r>
      <w:r>
        <w:rPr>
          <w:rFonts w:ascii="Georgia" w:hAnsi="Georgia"/>
          <w:sz w:val="20"/>
          <w:szCs w:val="20"/>
        </w:rPr>
        <w:t xml:space="preserve"> to African economic activity </w:t>
      </w:r>
      <w:r w:rsidRPr="00FA3090">
        <w:rPr>
          <w:rFonts w:ascii="Georgia" w:hAnsi="Georgia"/>
          <w:sz w:val="20"/>
          <w:szCs w:val="20"/>
        </w:rPr>
        <w:t>caused by containment and mitigation measures</w:t>
      </w:r>
      <w:r>
        <w:rPr>
          <w:rFonts w:ascii="Georgia" w:hAnsi="Georgia"/>
          <w:sz w:val="20"/>
          <w:szCs w:val="20"/>
        </w:rPr>
        <w:t xml:space="preserve"> be concentrated in 2020Q2, and that the regional economy will start recovering in the second half of 2020. This leaves much of the coming 12 months as a period of recovery from the current situation. It also implies that a V-shaped recovery is expected in many African economies as opposed to a longer-lasting downturn in economic activity representing a U-shape. Of course, such a scenario projection is based on many assumptions that could still </w:t>
      </w:r>
      <w:proofErr w:type="gramStart"/>
      <w:r>
        <w:rPr>
          <w:rFonts w:ascii="Georgia" w:hAnsi="Georgia"/>
          <w:sz w:val="20"/>
          <w:szCs w:val="20"/>
        </w:rPr>
        <w:t>change..</w:t>
      </w:r>
      <w:proofErr w:type="gramEnd"/>
      <w:r>
        <w:rPr>
          <w:rFonts w:ascii="Georgia" w:hAnsi="Georgia"/>
          <w:sz w:val="20"/>
          <w:szCs w:val="20"/>
        </w:rPr>
        <w:t xml:space="preserve"> </w:t>
      </w:r>
    </w:p>
    <w:p w14:paraId="6DDCA7A2" w14:textId="7A6801FA" w:rsidR="000C31D0" w:rsidRDefault="000C31D0" w:rsidP="000C31D0">
      <w:pPr>
        <w:rPr>
          <w:rFonts w:ascii="Georgia" w:hAnsi="Georgia"/>
          <w:sz w:val="20"/>
          <w:szCs w:val="20"/>
        </w:rPr>
      </w:pPr>
      <w:r>
        <w:rPr>
          <w:rFonts w:ascii="Georgia" w:hAnsi="Georgia"/>
          <w:sz w:val="20"/>
          <w:szCs w:val="20"/>
        </w:rPr>
        <w:t xml:space="preserve">There were some positive trends in April regarding the outlook for business. While this does not suggest positive business confidence, and in most cases only an improvement on the deep pessimism recorded in March, there is some hope that economies will reopen soon, and companies will see growth in business. </w:t>
      </w:r>
      <w:proofErr w:type="gramStart"/>
      <w:r>
        <w:rPr>
          <w:rFonts w:ascii="Georgia" w:hAnsi="Georgia"/>
          <w:sz w:val="20"/>
          <w:szCs w:val="20"/>
        </w:rPr>
        <w:t>The majority of</w:t>
      </w:r>
      <w:proofErr w:type="gramEnd"/>
      <w:r>
        <w:rPr>
          <w:rFonts w:ascii="Georgia" w:hAnsi="Georgia"/>
          <w:sz w:val="20"/>
          <w:szCs w:val="20"/>
        </w:rPr>
        <w:t xml:space="preserve"> African PMI reports indicate that businesses expect their operating environment to look better over the next year. Coming from a position that is already better than the global average, this sends positive signals for African economies towards 2021. </w:t>
      </w:r>
    </w:p>
    <w:p w14:paraId="0320C27E" w14:textId="1AD21A31" w:rsidR="002D37FC" w:rsidRDefault="002D37FC" w:rsidP="000C31D0">
      <w:pPr>
        <w:rPr>
          <w:rFonts w:ascii="Georgia" w:hAnsi="Georgia"/>
          <w:sz w:val="20"/>
          <w:szCs w:val="20"/>
        </w:rPr>
      </w:pPr>
    </w:p>
    <w:p w14:paraId="0943890C" w14:textId="406DE20B" w:rsidR="002D37FC" w:rsidRPr="002D37FC" w:rsidRDefault="002D37FC" w:rsidP="000C31D0">
      <w:pPr>
        <w:rPr>
          <w:rFonts w:ascii="Georgia" w:hAnsi="Georgia"/>
          <w:b/>
          <w:bCs/>
          <w:sz w:val="24"/>
          <w:szCs w:val="24"/>
        </w:rPr>
      </w:pPr>
      <w:r w:rsidRPr="002D37FC">
        <w:rPr>
          <w:rFonts w:ascii="Georgia" w:hAnsi="Georgia"/>
          <w:b/>
          <w:bCs/>
          <w:sz w:val="24"/>
          <w:szCs w:val="24"/>
        </w:rPr>
        <w:t xml:space="preserve">Article by </w:t>
      </w:r>
      <w:proofErr w:type="spellStart"/>
      <w:r w:rsidRPr="002D37FC">
        <w:rPr>
          <w:rFonts w:ascii="Georgia" w:hAnsi="Georgia"/>
          <w:b/>
          <w:bCs/>
          <w:sz w:val="24"/>
          <w:szCs w:val="24"/>
        </w:rPr>
        <w:t>Lullu</w:t>
      </w:r>
      <w:proofErr w:type="spellEnd"/>
      <w:r w:rsidRPr="002D37FC">
        <w:rPr>
          <w:rFonts w:ascii="Georgia" w:hAnsi="Georgia"/>
          <w:b/>
          <w:bCs/>
          <w:sz w:val="24"/>
          <w:szCs w:val="24"/>
        </w:rPr>
        <w:t xml:space="preserve"> </w:t>
      </w:r>
      <w:proofErr w:type="spellStart"/>
      <w:r w:rsidRPr="002D37FC">
        <w:rPr>
          <w:rFonts w:ascii="Georgia" w:hAnsi="Georgia"/>
          <w:b/>
          <w:bCs/>
          <w:sz w:val="24"/>
          <w:szCs w:val="24"/>
        </w:rPr>
        <w:t>Krugel</w:t>
      </w:r>
      <w:proofErr w:type="spellEnd"/>
      <w:r w:rsidRPr="002D37FC">
        <w:rPr>
          <w:rFonts w:ascii="Georgia" w:hAnsi="Georgia"/>
          <w:b/>
          <w:bCs/>
          <w:sz w:val="24"/>
          <w:szCs w:val="24"/>
        </w:rPr>
        <w:t>, Chief Economist for PwC Strategy&amp; Africa and Dr Christie Viljoen, PwC Strategy&amp; Economist</w:t>
      </w:r>
    </w:p>
    <w:p w14:paraId="4517EF6E" w14:textId="77777777" w:rsidR="000C31D0" w:rsidRDefault="000C31D0" w:rsidP="000C31D0">
      <w:pPr>
        <w:pBdr>
          <w:bottom w:val="single" w:sz="12" w:space="1" w:color="auto"/>
        </w:pBdr>
        <w:rPr>
          <w:rFonts w:ascii="Georgia" w:hAnsi="Georgia"/>
          <w:sz w:val="20"/>
          <w:szCs w:val="20"/>
        </w:rPr>
      </w:pPr>
    </w:p>
    <w:p w14:paraId="5C9C2E74" w14:textId="77777777" w:rsidR="002D37FC" w:rsidRPr="002D37FC" w:rsidRDefault="002D37FC" w:rsidP="002D37FC">
      <w:pPr>
        <w:shd w:val="clear" w:color="auto" w:fill="FFFFFF"/>
        <w:spacing w:line="240" w:lineRule="auto"/>
        <w:rPr>
          <w:rFonts w:ascii="Georgia" w:eastAsia="Times New Roman" w:hAnsi="Georgia" w:cstheme="minorHAnsi"/>
          <w:i/>
          <w:iCs/>
          <w:color w:val="222222"/>
        </w:rPr>
      </w:pPr>
      <w:r w:rsidRPr="002D37FC">
        <w:rPr>
          <w:rFonts w:ascii="Georgia" w:eastAsia="Times New Roman" w:hAnsi="Georgia" w:cstheme="minorHAnsi"/>
          <w:i/>
          <w:iCs/>
          <w:color w:val="222222"/>
        </w:rPr>
        <w:t xml:space="preserve">At PwC, our purpose is to build trust in society and solve important problems. We’re a network of firms in 158 countries with over 250,000 people who are committed to delivering quality in assurance, advisory and tax services. Find out more and tell us what matters to you by visiting us at </w:t>
      </w:r>
      <w:hyperlink r:id="rId11" w:tgtFrame="_blank" w:history="1">
        <w:r w:rsidRPr="002D37FC">
          <w:rPr>
            <w:rFonts w:ascii="Georgia" w:eastAsia="Times New Roman" w:hAnsi="Georgia" w:cstheme="minorHAnsi"/>
            <w:i/>
            <w:iCs/>
            <w:color w:val="1155CC"/>
            <w:u w:val="single"/>
          </w:rPr>
          <w:t>www.pwc.com</w:t>
        </w:r>
      </w:hyperlink>
      <w:r w:rsidRPr="002D37FC">
        <w:rPr>
          <w:rFonts w:ascii="Georgia" w:eastAsia="Times New Roman" w:hAnsi="Georgia" w:cstheme="minorHAnsi"/>
          <w:i/>
          <w:iCs/>
          <w:color w:val="222222"/>
        </w:rPr>
        <w:t>.</w:t>
      </w:r>
    </w:p>
    <w:p w14:paraId="6EAF0442" w14:textId="77777777" w:rsidR="002D37FC" w:rsidRPr="002D37FC" w:rsidRDefault="002D37FC" w:rsidP="002D37FC">
      <w:pPr>
        <w:pStyle w:val="NormalWeb"/>
        <w:shd w:val="clear" w:color="auto" w:fill="FFFFFF"/>
        <w:rPr>
          <w:rFonts w:ascii="Georgia" w:hAnsi="Georgia" w:cstheme="minorHAnsi"/>
          <w:i/>
          <w:color w:val="000000" w:themeColor="text1"/>
          <w:sz w:val="22"/>
          <w:szCs w:val="22"/>
          <w:lang w:val="en"/>
        </w:rPr>
      </w:pPr>
      <w:r w:rsidRPr="002D37FC">
        <w:rPr>
          <w:rFonts w:ascii="Georgia" w:hAnsi="Georgia" w:cstheme="minorHAnsi"/>
          <w:i/>
          <w:color w:val="000000" w:themeColor="text1"/>
          <w:sz w:val="22"/>
          <w:szCs w:val="22"/>
          <w:lang w:val="en"/>
        </w:rPr>
        <w:t xml:space="preserve">PwC has a presence in 34 Africa countries with an office footprint covering 66 offices. With a single Africa leadership team and more than 400 partners and 9000 professionals across Africa, we serve some of the continent’s largest businesses across all industries. </w:t>
      </w:r>
    </w:p>
    <w:p w14:paraId="4B435C4D" w14:textId="77777777" w:rsidR="002D37FC" w:rsidRPr="002D37FC" w:rsidRDefault="002D37FC" w:rsidP="002D37FC">
      <w:pPr>
        <w:spacing w:line="240" w:lineRule="auto"/>
        <w:rPr>
          <w:rFonts w:ascii="Georgia" w:eastAsia="Times New Roman" w:hAnsi="Georgia" w:cstheme="minorHAnsi"/>
        </w:rPr>
      </w:pPr>
      <w:r w:rsidRPr="002D37FC">
        <w:rPr>
          <w:rFonts w:ascii="Georgia" w:eastAsia="Times New Roman" w:hAnsi="Georgia" w:cstheme="minorHAnsi"/>
          <w:i/>
          <w:iCs/>
          <w:color w:val="222222"/>
        </w:rPr>
        <w:t xml:space="preserve">PwC refers to the PwC network and/or one or more of its member firms, each of which is a separate legal entity. Please see </w:t>
      </w:r>
      <w:hyperlink r:id="rId12" w:tgtFrame="_blank" w:history="1">
        <w:r w:rsidRPr="002D37FC">
          <w:rPr>
            <w:rFonts w:ascii="Georgia" w:eastAsia="Times New Roman" w:hAnsi="Georgia" w:cstheme="minorHAnsi"/>
            <w:i/>
            <w:iCs/>
            <w:color w:val="1155CC"/>
            <w:u w:val="single"/>
          </w:rPr>
          <w:t>www.pwc.com/structure</w:t>
        </w:r>
      </w:hyperlink>
      <w:r w:rsidRPr="002D37FC">
        <w:rPr>
          <w:rFonts w:ascii="Georgia" w:eastAsia="Times New Roman" w:hAnsi="Georgia" w:cstheme="minorHAnsi"/>
          <w:i/>
          <w:iCs/>
          <w:color w:val="222222"/>
        </w:rPr>
        <w:t xml:space="preserve"> for further details.</w:t>
      </w:r>
    </w:p>
    <w:p w14:paraId="7238C76B" w14:textId="77777777" w:rsidR="002D37FC" w:rsidRPr="002D37FC" w:rsidRDefault="002D37FC" w:rsidP="002D37FC">
      <w:pPr>
        <w:spacing w:line="240" w:lineRule="auto"/>
        <w:rPr>
          <w:rFonts w:ascii="Georgia" w:eastAsia="Times New Roman" w:hAnsi="Georgia" w:cstheme="minorHAnsi"/>
        </w:rPr>
      </w:pPr>
      <w:r w:rsidRPr="002D37FC">
        <w:rPr>
          <w:rFonts w:ascii="Georgia" w:eastAsia="Times New Roman" w:hAnsi="Georgia" w:cstheme="minorHAnsi"/>
          <w:color w:val="222222"/>
        </w:rPr>
        <w:lastRenderedPageBreak/>
        <w:br/>
      </w:r>
    </w:p>
    <w:p w14:paraId="07473EB9" w14:textId="1EF3A44A" w:rsidR="002D37FC" w:rsidRPr="002D37FC" w:rsidRDefault="002D37FC" w:rsidP="002D37FC">
      <w:pPr>
        <w:shd w:val="clear" w:color="auto" w:fill="FFFFFF"/>
        <w:spacing w:line="240" w:lineRule="auto"/>
        <w:rPr>
          <w:rFonts w:ascii="Georgia" w:eastAsia="Times New Roman" w:hAnsi="Georgia" w:cstheme="minorHAnsi"/>
          <w:i/>
          <w:iCs/>
          <w:color w:val="222222"/>
        </w:rPr>
      </w:pPr>
      <w:r w:rsidRPr="002D37FC">
        <w:rPr>
          <w:rFonts w:ascii="Georgia" w:eastAsia="Times New Roman" w:hAnsi="Georgia" w:cstheme="minorHAnsi"/>
          <w:i/>
          <w:iCs/>
          <w:color w:val="222222"/>
        </w:rPr>
        <w:t>© 20</w:t>
      </w:r>
      <w:r w:rsidRPr="002D37FC">
        <w:rPr>
          <w:rFonts w:ascii="Georgia" w:eastAsia="Times New Roman" w:hAnsi="Georgia" w:cstheme="minorHAnsi"/>
          <w:i/>
          <w:iCs/>
          <w:color w:val="222222"/>
        </w:rPr>
        <w:t>20</w:t>
      </w:r>
      <w:r w:rsidRPr="002D37FC">
        <w:rPr>
          <w:rFonts w:ascii="Georgia" w:eastAsia="Times New Roman" w:hAnsi="Georgia" w:cstheme="minorHAnsi"/>
          <w:i/>
          <w:iCs/>
          <w:color w:val="222222"/>
        </w:rPr>
        <w:t xml:space="preserve"> PwC. All rights reserved</w:t>
      </w:r>
    </w:p>
    <w:p w14:paraId="533DF395" w14:textId="77777777" w:rsidR="002D37FC" w:rsidRPr="002D37FC" w:rsidRDefault="002D37FC" w:rsidP="002D37FC">
      <w:pPr>
        <w:shd w:val="clear" w:color="auto" w:fill="FFFFFF"/>
        <w:spacing w:line="240" w:lineRule="auto"/>
        <w:rPr>
          <w:rFonts w:ascii="Georgia" w:eastAsia="Times New Roman" w:hAnsi="Georgia" w:cstheme="minorHAnsi"/>
          <w:color w:val="222222"/>
        </w:rPr>
      </w:pPr>
    </w:p>
    <w:p w14:paraId="0AB673B3" w14:textId="77777777" w:rsidR="002D37FC" w:rsidRPr="002D37FC" w:rsidRDefault="002D37FC" w:rsidP="002D37FC">
      <w:pPr>
        <w:rPr>
          <w:rFonts w:ascii="Georgia" w:hAnsi="Georgia" w:cstheme="minorHAnsi"/>
          <w:b/>
        </w:rPr>
      </w:pPr>
      <w:r w:rsidRPr="002D37FC">
        <w:rPr>
          <w:rFonts w:ascii="Georgia" w:hAnsi="Georgia" w:cstheme="minorHAnsi"/>
          <w:b/>
        </w:rPr>
        <w:t>Media contacts</w:t>
      </w:r>
    </w:p>
    <w:p w14:paraId="148141F8" w14:textId="77777777" w:rsidR="002D37FC" w:rsidRPr="002D37FC" w:rsidRDefault="002D37FC" w:rsidP="002D37FC">
      <w:pPr>
        <w:spacing w:line="240" w:lineRule="auto"/>
        <w:rPr>
          <w:rFonts w:ascii="Georgia" w:hAnsi="Georgia" w:cstheme="minorHAnsi"/>
        </w:rPr>
      </w:pPr>
      <w:proofErr w:type="spellStart"/>
      <w:r w:rsidRPr="002D37FC">
        <w:rPr>
          <w:rFonts w:ascii="Georgia" w:hAnsi="Georgia" w:cstheme="minorHAnsi"/>
        </w:rPr>
        <w:t>Bontle</w:t>
      </w:r>
      <w:proofErr w:type="spellEnd"/>
      <w:r w:rsidRPr="002D37FC">
        <w:rPr>
          <w:rFonts w:ascii="Georgia" w:hAnsi="Georgia" w:cstheme="minorHAnsi"/>
        </w:rPr>
        <w:t xml:space="preserve"> Mnisi: Account Executive, Change the Conversation, South Africa</w:t>
      </w:r>
    </w:p>
    <w:p w14:paraId="3DCC7374" w14:textId="226EA093" w:rsidR="002D37FC" w:rsidRPr="002D37FC" w:rsidRDefault="002D37FC" w:rsidP="002D37FC">
      <w:pPr>
        <w:spacing w:line="240" w:lineRule="auto"/>
        <w:rPr>
          <w:rFonts w:ascii="Georgia" w:hAnsi="Georgia" w:cstheme="minorHAnsi"/>
        </w:rPr>
      </w:pPr>
      <w:r w:rsidRPr="002D37FC">
        <w:rPr>
          <w:rFonts w:ascii="Georgia" w:hAnsi="Georgia" w:cstheme="minorHAnsi"/>
        </w:rPr>
        <w:t>M</w:t>
      </w:r>
      <w:r w:rsidRPr="002D37FC">
        <w:rPr>
          <w:rFonts w:ascii="Georgia" w:hAnsi="Georgia" w:cstheme="minorHAnsi"/>
        </w:rPr>
        <w:t xml:space="preserve">obile: </w:t>
      </w:r>
      <w:r w:rsidRPr="002D37FC">
        <w:rPr>
          <w:rFonts w:ascii="Georgia" w:hAnsi="Georgia" w:cstheme="minorHAnsi"/>
        </w:rPr>
        <w:t>+ 27 (</w:t>
      </w:r>
      <w:r w:rsidRPr="002D37FC">
        <w:rPr>
          <w:rFonts w:ascii="Georgia" w:hAnsi="Georgia" w:cstheme="minorHAnsi"/>
        </w:rPr>
        <w:t>0</w:t>
      </w:r>
      <w:r w:rsidRPr="002D37FC">
        <w:rPr>
          <w:rFonts w:ascii="Georgia" w:hAnsi="Georgia" w:cstheme="minorHAnsi"/>
        </w:rPr>
        <w:t>)</w:t>
      </w:r>
      <w:r w:rsidRPr="002D37FC">
        <w:rPr>
          <w:rFonts w:ascii="Georgia" w:hAnsi="Georgia" w:cstheme="minorHAnsi"/>
        </w:rPr>
        <w:t>76 2283796</w:t>
      </w:r>
    </w:p>
    <w:p w14:paraId="5BDA4446" w14:textId="0B6479FD" w:rsidR="002D37FC" w:rsidRPr="002D37FC" w:rsidRDefault="002D37FC" w:rsidP="002D37FC">
      <w:pPr>
        <w:spacing w:line="240" w:lineRule="auto"/>
        <w:rPr>
          <w:rFonts w:ascii="Georgia" w:hAnsi="Georgia" w:cstheme="minorHAnsi"/>
        </w:rPr>
      </w:pPr>
      <w:r w:rsidRPr="002D37FC">
        <w:rPr>
          <w:rFonts w:ascii="Georgia" w:hAnsi="Georgia" w:cstheme="minorHAnsi"/>
        </w:rPr>
        <w:t>Email:</w:t>
      </w:r>
      <w:r w:rsidRPr="002D37FC">
        <w:rPr>
          <w:rFonts w:ascii="Georgia" w:hAnsi="Georgia" w:cstheme="minorHAnsi"/>
        </w:rPr>
        <w:t xml:space="preserve"> </w:t>
      </w:r>
      <w:hyperlink r:id="rId13" w:history="1">
        <w:r w:rsidRPr="002D37FC">
          <w:rPr>
            <w:rStyle w:val="Hyperlink"/>
            <w:rFonts w:ascii="Georgia" w:hAnsi="Georgia" w:cstheme="minorHAnsi"/>
          </w:rPr>
          <w:t>bontle@changetc.co.za</w:t>
        </w:r>
      </w:hyperlink>
    </w:p>
    <w:p w14:paraId="523C97D1" w14:textId="6F9F74EC" w:rsidR="002D37FC" w:rsidRPr="002D37FC" w:rsidRDefault="002D37FC" w:rsidP="002D37FC">
      <w:pPr>
        <w:spacing w:line="240" w:lineRule="auto"/>
        <w:rPr>
          <w:rFonts w:ascii="Georgia" w:hAnsi="Georgia" w:cstheme="minorHAnsi"/>
        </w:rPr>
      </w:pPr>
      <w:r w:rsidRPr="002D37FC">
        <w:rPr>
          <w:rFonts w:ascii="Georgia" w:hAnsi="Georgia" w:cstheme="minorHAnsi"/>
        </w:rPr>
        <w:t>Or</w:t>
      </w:r>
    </w:p>
    <w:p w14:paraId="53557114" w14:textId="5DC39585" w:rsidR="002D37FC" w:rsidRPr="002D37FC" w:rsidRDefault="002D37FC" w:rsidP="002D37FC">
      <w:pPr>
        <w:spacing w:line="240" w:lineRule="auto"/>
        <w:rPr>
          <w:rFonts w:ascii="Georgia" w:hAnsi="Georgia" w:cstheme="minorHAnsi"/>
        </w:rPr>
      </w:pPr>
      <w:r w:rsidRPr="002D37FC">
        <w:rPr>
          <w:rFonts w:ascii="Georgia" w:hAnsi="Georgia" w:cstheme="minorHAnsi"/>
        </w:rPr>
        <w:t>Sandy Greaves Campbell, MD of Change the Conversation, South Africa</w:t>
      </w:r>
    </w:p>
    <w:p w14:paraId="334BEE54" w14:textId="612A8A00" w:rsidR="002D37FC" w:rsidRPr="002D37FC" w:rsidRDefault="002D37FC" w:rsidP="002D37FC">
      <w:pPr>
        <w:spacing w:line="240" w:lineRule="auto"/>
        <w:rPr>
          <w:rFonts w:ascii="Georgia" w:hAnsi="Georgia" w:cstheme="minorHAnsi"/>
        </w:rPr>
      </w:pPr>
      <w:r w:rsidRPr="002D37FC">
        <w:rPr>
          <w:rFonts w:ascii="Georgia" w:hAnsi="Georgia" w:cstheme="minorHAnsi"/>
        </w:rPr>
        <w:t>Mobile: +27 (0)83 408 3373</w:t>
      </w:r>
    </w:p>
    <w:p w14:paraId="724552C5" w14:textId="4089C322" w:rsidR="002D37FC" w:rsidRPr="002D37FC" w:rsidRDefault="002D37FC" w:rsidP="002D37FC">
      <w:pPr>
        <w:spacing w:line="240" w:lineRule="auto"/>
        <w:rPr>
          <w:rFonts w:ascii="Georgia" w:hAnsi="Georgia" w:cstheme="minorHAnsi"/>
        </w:rPr>
      </w:pPr>
      <w:r w:rsidRPr="002D37FC">
        <w:rPr>
          <w:rFonts w:ascii="Georgia" w:hAnsi="Georgia" w:cstheme="minorHAnsi"/>
        </w:rPr>
        <w:t xml:space="preserve">Email: </w:t>
      </w:r>
      <w:hyperlink r:id="rId14" w:history="1">
        <w:r w:rsidRPr="002D37FC">
          <w:rPr>
            <w:rStyle w:val="Hyperlink"/>
            <w:rFonts w:ascii="Georgia" w:hAnsi="Georgia" w:cstheme="minorHAnsi"/>
          </w:rPr>
          <w:t>sandy@changetc.co.za</w:t>
        </w:r>
      </w:hyperlink>
    </w:p>
    <w:p w14:paraId="7B77A9A2" w14:textId="4A6D4770" w:rsidR="002D37FC" w:rsidRPr="002D37FC" w:rsidRDefault="002D37FC" w:rsidP="002D37FC">
      <w:pPr>
        <w:spacing w:line="240" w:lineRule="auto"/>
        <w:rPr>
          <w:rFonts w:ascii="Georgia" w:hAnsi="Georgia" w:cstheme="minorHAnsi"/>
        </w:rPr>
      </w:pPr>
      <w:r w:rsidRPr="002D37FC">
        <w:rPr>
          <w:rFonts w:ascii="Georgia" w:hAnsi="Georgia" w:cstheme="minorHAnsi"/>
        </w:rPr>
        <w:t>Or</w:t>
      </w:r>
    </w:p>
    <w:p w14:paraId="2F2531D7" w14:textId="651E7343" w:rsidR="002D37FC" w:rsidRPr="002D37FC" w:rsidRDefault="002D37FC" w:rsidP="002D37FC">
      <w:pPr>
        <w:spacing w:line="240" w:lineRule="auto"/>
        <w:rPr>
          <w:rFonts w:ascii="Georgia" w:hAnsi="Georgia" w:cstheme="minorHAnsi"/>
        </w:rPr>
      </w:pPr>
      <w:r w:rsidRPr="002D37FC">
        <w:rPr>
          <w:rFonts w:ascii="Georgia" w:hAnsi="Georgia" w:cstheme="minorHAnsi"/>
        </w:rPr>
        <w:t>Sanchi</w:t>
      </w:r>
      <w:r w:rsidRPr="002D37FC">
        <w:rPr>
          <w:rFonts w:ascii="Georgia" w:hAnsi="Georgia" w:cstheme="minorHAnsi"/>
          <w:color w:val="000000" w:themeColor="text1"/>
        </w:rPr>
        <w:t>a Temkin: Media Relations, PwC Africa</w:t>
      </w:r>
    </w:p>
    <w:p w14:paraId="40F5D20F" w14:textId="4673C74D" w:rsidR="002D37FC" w:rsidRPr="002D37FC" w:rsidRDefault="002D37FC" w:rsidP="002D37FC">
      <w:pPr>
        <w:spacing w:line="240" w:lineRule="auto"/>
        <w:rPr>
          <w:rFonts w:ascii="Georgia" w:hAnsi="Georgia" w:cstheme="minorHAnsi"/>
          <w:color w:val="000000" w:themeColor="text1"/>
        </w:rPr>
      </w:pPr>
      <w:r w:rsidRPr="002D37FC">
        <w:rPr>
          <w:rFonts w:ascii="Georgia" w:hAnsi="Georgia" w:cstheme="minorHAnsi"/>
          <w:color w:val="000000" w:themeColor="text1"/>
        </w:rPr>
        <w:t>Mobile: +27 (0)82 550 5146</w:t>
      </w:r>
    </w:p>
    <w:p w14:paraId="318851D5" w14:textId="5911708A" w:rsidR="002D37FC" w:rsidRPr="002D37FC" w:rsidRDefault="002D37FC" w:rsidP="002D37FC">
      <w:pPr>
        <w:spacing w:line="240" w:lineRule="auto"/>
        <w:rPr>
          <w:rFonts w:ascii="Georgia" w:hAnsi="Georgia" w:cstheme="minorHAnsi"/>
          <w:color w:val="000000" w:themeColor="text1"/>
        </w:rPr>
      </w:pPr>
      <w:r w:rsidRPr="002D37FC">
        <w:rPr>
          <w:rFonts w:ascii="Georgia" w:hAnsi="Georgia" w:cstheme="minorHAnsi"/>
          <w:color w:val="000000" w:themeColor="text1"/>
        </w:rPr>
        <w:t xml:space="preserve">Email: </w:t>
      </w:r>
      <w:hyperlink r:id="rId15" w:history="1">
        <w:r w:rsidRPr="002D37FC">
          <w:rPr>
            <w:rStyle w:val="Hyperlink"/>
            <w:rFonts w:ascii="Georgia" w:hAnsi="Georgia" w:cstheme="minorHAnsi"/>
          </w:rPr>
          <w:t>sanchia.temkin@pwc.com</w:t>
        </w:r>
      </w:hyperlink>
    </w:p>
    <w:p w14:paraId="0D174BC2" w14:textId="77777777" w:rsidR="002D37FC" w:rsidRDefault="002D37FC" w:rsidP="002D37FC">
      <w:pPr>
        <w:spacing w:line="240" w:lineRule="auto"/>
        <w:rPr>
          <w:rFonts w:cstheme="minorHAnsi"/>
          <w:color w:val="000000" w:themeColor="text1"/>
        </w:rPr>
      </w:pPr>
    </w:p>
    <w:p w14:paraId="08CC4B0A" w14:textId="74ED56B4" w:rsidR="002D37FC" w:rsidRDefault="002D37FC" w:rsidP="002D37FC">
      <w:pPr>
        <w:spacing w:line="240" w:lineRule="auto"/>
        <w:rPr>
          <w:rFonts w:ascii="Georgia" w:hAnsi="Georgia" w:cstheme="minorHAnsi"/>
          <w:b/>
          <w:bCs/>
          <w:color w:val="000000" w:themeColor="text1"/>
        </w:rPr>
      </w:pPr>
      <w:r w:rsidRPr="002D37FC">
        <w:rPr>
          <w:rFonts w:ascii="Georgia" w:hAnsi="Georgia" w:cstheme="minorHAnsi"/>
          <w:b/>
          <w:bCs/>
          <w:color w:val="000000" w:themeColor="text1"/>
        </w:rPr>
        <w:t>PwC Strategy&amp; contacts</w:t>
      </w:r>
    </w:p>
    <w:p w14:paraId="50241F17" w14:textId="77777777" w:rsidR="002D37FC" w:rsidRPr="002D37FC" w:rsidRDefault="002D37FC" w:rsidP="002D37FC">
      <w:pPr>
        <w:spacing w:line="240" w:lineRule="auto"/>
        <w:rPr>
          <w:rFonts w:ascii="Georgia" w:hAnsi="Georgia" w:cstheme="minorHAnsi"/>
          <w:b/>
          <w:bCs/>
          <w:color w:val="000000" w:themeColor="text1"/>
        </w:rPr>
      </w:pPr>
    </w:p>
    <w:p w14:paraId="496F0890" w14:textId="77777777" w:rsidR="002D37FC" w:rsidRPr="001B4C36" w:rsidRDefault="002D37FC" w:rsidP="002D37FC">
      <w:pPr>
        <w:rPr>
          <w:rFonts w:ascii="Georgia" w:hAnsi="Georgia"/>
          <w:sz w:val="20"/>
          <w:szCs w:val="20"/>
        </w:rPr>
      </w:pPr>
      <w:proofErr w:type="spellStart"/>
      <w:r w:rsidRPr="001B4C36">
        <w:rPr>
          <w:rFonts w:ascii="Georgia" w:hAnsi="Georgia"/>
          <w:sz w:val="20"/>
          <w:szCs w:val="20"/>
        </w:rPr>
        <w:t>Lullu</w:t>
      </w:r>
      <w:proofErr w:type="spellEnd"/>
      <w:r w:rsidRPr="001B4C36">
        <w:rPr>
          <w:rFonts w:ascii="Georgia" w:hAnsi="Georgia"/>
          <w:sz w:val="20"/>
          <w:szCs w:val="20"/>
        </w:rPr>
        <w:t xml:space="preserve"> </w:t>
      </w:r>
      <w:proofErr w:type="spellStart"/>
      <w:r w:rsidRPr="001B4C36">
        <w:rPr>
          <w:rFonts w:ascii="Georgia" w:hAnsi="Georgia"/>
          <w:sz w:val="20"/>
          <w:szCs w:val="20"/>
        </w:rPr>
        <w:t>Krugel</w:t>
      </w:r>
      <w:proofErr w:type="spellEnd"/>
    </w:p>
    <w:p w14:paraId="2B48CFFD" w14:textId="221D775C" w:rsidR="002D37FC" w:rsidRPr="001B4C36" w:rsidRDefault="002D37FC" w:rsidP="002D37FC">
      <w:pPr>
        <w:rPr>
          <w:rFonts w:ascii="Georgia" w:hAnsi="Georgia"/>
          <w:sz w:val="20"/>
          <w:szCs w:val="20"/>
        </w:rPr>
      </w:pPr>
      <w:r w:rsidRPr="001B4C36">
        <w:rPr>
          <w:rFonts w:ascii="Georgia" w:hAnsi="Georgia"/>
          <w:sz w:val="20"/>
          <w:szCs w:val="20"/>
        </w:rPr>
        <w:t>Chief Economist</w:t>
      </w:r>
      <w:r>
        <w:rPr>
          <w:rFonts w:ascii="Georgia" w:hAnsi="Georgia"/>
          <w:sz w:val="20"/>
          <w:szCs w:val="20"/>
        </w:rPr>
        <w:t>, PwC Strategy&amp; Africa</w:t>
      </w:r>
    </w:p>
    <w:p w14:paraId="235FED63" w14:textId="77777777" w:rsidR="002D37FC" w:rsidRPr="001B4C36" w:rsidRDefault="002D37FC" w:rsidP="002D37FC">
      <w:pPr>
        <w:rPr>
          <w:rFonts w:ascii="Georgia" w:hAnsi="Georgia"/>
          <w:sz w:val="20"/>
          <w:szCs w:val="20"/>
        </w:rPr>
      </w:pPr>
      <w:r w:rsidRPr="001B4C36">
        <w:rPr>
          <w:rFonts w:ascii="Georgia" w:hAnsi="Georgia"/>
          <w:sz w:val="20"/>
          <w:szCs w:val="20"/>
        </w:rPr>
        <w:t>Mobile: +27 82 708 2330</w:t>
      </w:r>
    </w:p>
    <w:p w14:paraId="3222A597" w14:textId="27BAF315" w:rsidR="002D37FC" w:rsidRDefault="002D37FC" w:rsidP="002D37FC">
      <w:pPr>
        <w:rPr>
          <w:rFonts w:ascii="Georgia" w:hAnsi="Georgia"/>
          <w:sz w:val="20"/>
          <w:szCs w:val="20"/>
        </w:rPr>
      </w:pPr>
      <w:r w:rsidRPr="001B4C36">
        <w:rPr>
          <w:rFonts w:ascii="Georgia" w:hAnsi="Georgia"/>
          <w:sz w:val="20"/>
          <w:szCs w:val="20"/>
        </w:rPr>
        <w:t xml:space="preserve">Email: </w:t>
      </w:r>
      <w:hyperlink r:id="rId16" w:history="1">
        <w:r w:rsidRPr="00673C0F">
          <w:rPr>
            <w:rStyle w:val="Hyperlink"/>
            <w:rFonts w:ascii="Georgia" w:hAnsi="Georgia"/>
            <w:sz w:val="20"/>
            <w:szCs w:val="20"/>
          </w:rPr>
          <w:t>lullu.krugel@pwc.com</w:t>
        </w:r>
      </w:hyperlink>
    </w:p>
    <w:p w14:paraId="3997B1A9" w14:textId="4E71FAE5" w:rsidR="002D37FC" w:rsidRPr="001B4C36" w:rsidRDefault="002D37FC" w:rsidP="002D37FC">
      <w:pPr>
        <w:rPr>
          <w:rFonts w:ascii="Georgia" w:hAnsi="Georgia"/>
          <w:sz w:val="20"/>
          <w:szCs w:val="20"/>
        </w:rPr>
      </w:pPr>
      <w:r>
        <w:rPr>
          <w:rFonts w:ascii="Georgia" w:hAnsi="Georgia"/>
          <w:sz w:val="20"/>
          <w:szCs w:val="20"/>
        </w:rPr>
        <w:t>Or</w:t>
      </w:r>
    </w:p>
    <w:p w14:paraId="43CFE401" w14:textId="2780BC22" w:rsidR="002D37FC" w:rsidRDefault="002D37FC" w:rsidP="002D37FC">
      <w:pPr>
        <w:rPr>
          <w:rFonts w:ascii="Georgia" w:hAnsi="Georgia"/>
          <w:sz w:val="20"/>
          <w:szCs w:val="20"/>
        </w:rPr>
      </w:pPr>
      <w:r>
        <w:rPr>
          <w:rFonts w:ascii="Georgia" w:hAnsi="Georgia"/>
          <w:sz w:val="20"/>
          <w:szCs w:val="20"/>
        </w:rPr>
        <w:t xml:space="preserve">Dr </w:t>
      </w:r>
      <w:r w:rsidRPr="001B4C36">
        <w:rPr>
          <w:rFonts w:ascii="Georgia" w:hAnsi="Georgia"/>
          <w:sz w:val="20"/>
          <w:szCs w:val="20"/>
        </w:rPr>
        <w:t>Christie Viljoen</w:t>
      </w:r>
    </w:p>
    <w:p w14:paraId="10BE1DFA" w14:textId="755AE1E2" w:rsidR="002D37FC" w:rsidRPr="001B4C36" w:rsidRDefault="002D37FC" w:rsidP="002D37FC">
      <w:pPr>
        <w:rPr>
          <w:rFonts w:ascii="Georgia" w:hAnsi="Georgia"/>
          <w:sz w:val="20"/>
          <w:szCs w:val="20"/>
        </w:rPr>
      </w:pPr>
      <w:r>
        <w:rPr>
          <w:rFonts w:ascii="Georgia" w:hAnsi="Georgia"/>
          <w:sz w:val="20"/>
          <w:szCs w:val="20"/>
        </w:rPr>
        <w:t>Economist, PwC Strategy&amp; Africa</w:t>
      </w:r>
    </w:p>
    <w:p w14:paraId="1F92B795" w14:textId="77777777" w:rsidR="002D37FC" w:rsidRPr="001B4C36" w:rsidRDefault="002D37FC" w:rsidP="002D37FC">
      <w:pPr>
        <w:rPr>
          <w:rFonts w:ascii="Georgia" w:hAnsi="Georgia"/>
          <w:sz w:val="20"/>
          <w:szCs w:val="20"/>
        </w:rPr>
      </w:pPr>
      <w:r w:rsidRPr="001B4C36">
        <w:rPr>
          <w:rFonts w:ascii="Georgia" w:hAnsi="Georgia"/>
          <w:sz w:val="20"/>
          <w:szCs w:val="20"/>
        </w:rPr>
        <w:t>Mobile: +27 82 472 8621</w:t>
      </w:r>
    </w:p>
    <w:p w14:paraId="5A998BF8" w14:textId="77777777" w:rsidR="002D37FC" w:rsidRPr="001B4C36" w:rsidRDefault="002D37FC" w:rsidP="002D37FC">
      <w:pPr>
        <w:rPr>
          <w:rFonts w:ascii="Georgia" w:hAnsi="Georgia"/>
          <w:sz w:val="20"/>
          <w:szCs w:val="20"/>
        </w:rPr>
      </w:pPr>
      <w:r w:rsidRPr="001B4C36">
        <w:rPr>
          <w:rFonts w:ascii="Georgia" w:hAnsi="Georgia"/>
          <w:sz w:val="20"/>
          <w:szCs w:val="20"/>
        </w:rPr>
        <w:t>Email: christie.viljoen@pwc.com</w:t>
      </w:r>
    </w:p>
    <w:p w14:paraId="036EB6FF" w14:textId="77777777" w:rsidR="002D37FC" w:rsidRPr="002D37FC" w:rsidRDefault="002D37FC" w:rsidP="002D37FC">
      <w:pPr>
        <w:spacing w:line="240" w:lineRule="auto"/>
        <w:rPr>
          <w:rFonts w:cstheme="minorHAnsi"/>
          <w:b/>
          <w:bCs/>
          <w:color w:val="000000" w:themeColor="text1"/>
        </w:rPr>
      </w:pPr>
    </w:p>
    <w:p w14:paraId="55B81DB0" w14:textId="77777777" w:rsidR="002D37FC" w:rsidRPr="00D4243E" w:rsidRDefault="002D37FC" w:rsidP="002D37FC"/>
    <w:p w14:paraId="1357C374" w14:textId="77777777" w:rsidR="002D37FC" w:rsidRDefault="002D37FC" w:rsidP="002D37FC">
      <w:pPr>
        <w:rPr>
          <w:rFonts w:ascii="Georgia" w:hAnsi="Georgia"/>
          <w:sz w:val="20"/>
          <w:szCs w:val="20"/>
        </w:rPr>
      </w:pPr>
    </w:p>
    <w:p w14:paraId="28F1FCCD" w14:textId="77777777" w:rsidR="002D37FC" w:rsidRPr="00FC2275" w:rsidRDefault="002D37FC" w:rsidP="002D37FC">
      <w:pPr>
        <w:rPr>
          <w:rFonts w:asciiTheme="majorHAnsi" w:hAnsiTheme="majorHAnsi"/>
          <w:color w:val="000000" w:themeColor="text1"/>
          <w:sz w:val="20"/>
          <w:szCs w:val="20"/>
        </w:rPr>
      </w:pPr>
    </w:p>
    <w:p w14:paraId="667C1F22" w14:textId="77777777" w:rsidR="002D37FC" w:rsidRPr="00FC2275" w:rsidRDefault="002D37FC" w:rsidP="002D37FC">
      <w:pPr>
        <w:rPr>
          <w:color w:val="000000" w:themeColor="text1"/>
        </w:rPr>
      </w:pPr>
    </w:p>
    <w:p w14:paraId="04BA2F51" w14:textId="77777777" w:rsidR="002D37FC" w:rsidRDefault="002D37FC"/>
    <w:sectPr w:rsidR="002D37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1D0"/>
    <w:rsid w:val="000C31D0"/>
    <w:rsid w:val="001D27D0"/>
    <w:rsid w:val="002D37FC"/>
    <w:rsid w:val="005129EA"/>
    <w:rsid w:val="009433EC"/>
    <w:rsid w:val="00F507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CA345"/>
  <w15:chartTrackingRefBased/>
  <w15:docId w15:val="{6A509D86-F4D8-479B-AB54-5D4A9758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C31D0"/>
  </w:style>
  <w:style w:type="paragraph" w:styleId="Heading1">
    <w:name w:val="heading 1"/>
    <w:link w:val="Heading1Char"/>
    <w:uiPriority w:val="9"/>
    <w:qFormat/>
    <w:rsid w:val="000C31D0"/>
    <w:pPr>
      <w:keepNext/>
      <w:keepLines/>
      <w:spacing w:after="480" w:line="600" w:lineRule="atLeast"/>
      <w:outlineLvl w:val="0"/>
    </w:pPr>
    <w:rPr>
      <w:rFonts w:ascii="Georgia" w:eastAsiaTheme="majorEastAsia" w:hAnsi="Georgia" w:cstheme="majorBidi"/>
      <w:b/>
      <w:bCs/>
      <w:i/>
      <w:color w:val="000000" w:themeColor="text1"/>
      <w:sz w:val="56"/>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1D0"/>
    <w:rPr>
      <w:rFonts w:ascii="Georgia" w:eastAsiaTheme="majorEastAsia" w:hAnsi="Georgia" w:cstheme="majorBidi"/>
      <w:b/>
      <w:bCs/>
      <w:i/>
      <w:color w:val="000000" w:themeColor="text1"/>
      <w:sz w:val="56"/>
      <w:szCs w:val="28"/>
      <w:lang w:val="en-GB"/>
    </w:rPr>
  </w:style>
  <w:style w:type="character" w:styleId="Hyperlink">
    <w:name w:val="Hyperlink"/>
    <w:basedOn w:val="DefaultParagraphFont"/>
    <w:uiPriority w:val="99"/>
    <w:unhideWhenUsed/>
    <w:rsid w:val="000C31D0"/>
    <w:rPr>
      <w:color w:val="0563C1" w:themeColor="hyperlink"/>
      <w:u w:val="single"/>
    </w:rPr>
  </w:style>
  <w:style w:type="paragraph" w:styleId="BalloonText">
    <w:name w:val="Balloon Text"/>
    <w:basedOn w:val="Normal"/>
    <w:link w:val="BalloonTextChar"/>
    <w:uiPriority w:val="99"/>
    <w:semiHidden/>
    <w:unhideWhenUsed/>
    <w:rsid w:val="000C31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1D0"/>
    <w:rPr>
      <w:rFonts w:ascii="Segoe UI" w:hAnsi="Segoe UI" w:cs="Segoe UI"/>
      <w:sz w:val="18"/>
      <w:szCs w:val="18"/>
    </w:rPr>
  </w:style>
  <w:style w:type="paragraph" w:styleId="NormalWeb">
    <w:name w:val="Normal (Web)"/>
    <w:basedOn w:val="Normal"/>
    <w:uiPriority w:val="99"/>
    <w:semiHidden/>
    <w:unhideWhenUsed/>
    <w:rsid w:val="002D37F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2D3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mf.org/external/pubs/ft/dp/2016/afr1602.pdf" TargetMode="External"/><Relationship Id="rId13" Type="http://schemas.openxmlformats.org/officeDocument/2006/relationships/hyperlink" Target="mailto:bontle@changetc.co.z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hyperlink" Target="http://www.pwc.com/structur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lullu.krugel@pwc.com" TargetMode="External"/><Relationship Id="rId1" Type="http://schemas.openxmlformats.org/officeDocument/2006/relationships/styles" Target="styles.xml"/><Relationship Id="rId6" Type="http://schemas.openxmlformats.org/officeDocument/2006/relationships/hyperlink" Target="https://blogs.imf.org/2020/04/14/the-great-lockdown-worst-economic-downturn-since-the-great-depression/" TargetMode="External"/><Relationship Id="rId11" Type="http://schemas.openxmlformats.org/officeDocument/2006/relationships/hyperlink" Target="http://www.pwc.com/" TargetMode="External"/><Relationship Id="rId5" Type="http://schemas.openxmlformats.org/officeDocument/2006/relationships/hyperlink" Target="https://www.markiteconomics.com/Public/Release/PressReleases" TargetMode="External"/><Relationship Id="rId15" Type="http://schemas.openxmlformats.org/officeDocument/2006/relationships/hyperlink" Target="mailto:sanchia.temkin@pwc.com" TargetMode="External"/><Relationship Id="rId10" Type="http://schemas.openxmlformats.org/officeDocument/2006/relationships/hyperlink" Target="https://www.imf.org/en/Publications/REO/SSA/Issues/2020/04/01/sreo0420" TargetMode="External"/><Relationship Id="rId4" Type="http://schemas.openxmlformats.org/officeDocument/2006/relationships/image" Target="media/image1.png"/><Relationship Id="rId9" Type="http://schemas.openxmlformats.org/officeDocument/2006/relationships/chart" Target="charts/chart2.xml"/><Relationship Id="rId14" Type="http://schemas.openxmlformats.org/officeDocument/2006/relationships/hyperlink" Target="mailto:sandy@changetc.co.z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cviljoen003\Desktop\Junk\Africa%20PM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viljoen003\Desktop\Junk\Africa%20PMI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8"/>
          <c:order val="8"/>
          <c:tx>
            <c:strRef>
              <c:f>PMI!$A$10</c:f>
              <c:strCache>
                <c:ptCount val="1"/>
                <c:pt idx="0">
                  <c:v>Global</c:v>
                </c:pt>
              </c:strCache>
            </c:strRef>
          </c:tx>
          <c:spPr>
            <a:solidFill>
              <a:schemeClr val="bg1">
                <a:lumMod val="95000"/>
              </a:schemeClr>
            </a:solidFill>
            <a:ln>
              <a:solidFill>
                <a:schemeClr val="bg1">
                  <a:lumMod val="50000"/>
                </a:schemeClr>
              </a:solidFill>
              <a:prstDash val="sysDash"/>
            </a:ln>
            <a:effectLst/>
          </c:spPr>
          <c:invertIfNegative val="0"/>
          <c:cat>
            <c:numRef>
              <c:f>PMI!$D$1:$P$1</c:f>
              <c:numCache>
                <c:formatCode>mmm\-yy</c:formatCode>
                <c:ptCount val="13"/>
                <c:pt idx="0">
                  <c:v>43556</c:v>
                </c:pt>
                <c:pt idx="1">
                  <c:v>43586</c:v>
                </c:pt>
                <c:pt idx="2">
                  <c:v>43617</c:v>
                </c:pt>
                <c:pt idx="3">
                  <c:v>43647</c:v>
                </c:pt>
                <c:pt idx="4">
                  <c:v>43678</c:v>
                </c:pt>
                <c:pt idx="5">
                  <c:v>43709</c:v>
                </c:pt>
                <c:pt idx="6">
                  <c:v>43739</c:v>
                </c:pt>
                <c:pt idx="7">
                  <c:v>43770</c:v>
                </c:pt>
                <c:pt idx="8">
                  <c:v>43800</c:v>
                </c:pt>
                <c:pt idx="9">
                  <c:v>43831</c:v>
                </c:pt>
                <c:pt idx="10">
                  <c:v>43862</c:v>
                </c:pt>
                <c:pt idx="11">
                  <c:v>43891</c:v>
                </c:pt>
                <c:pt idx="12">
                  <c:v>43922</c:v>
                </c:pt>
              </c:numCache>
            </c:numRef>
          </c:cat>
          <c:val>
            <c:numRef>
              <c:f>PMI!$D$10:$P$10</c:f>
              <c:numCache>
                <c:formatCode>0.0</c:formatCode>
                <c:ptCount val="13"/>
                <c:pt idx="0">
                  <c:v>52.1</c:v>
                </c:pt>
                <c:pt idx="1">
                  <c:v>51.2</c:v>
                </c:pt>
                <c:pt idx="2">
                  <c:v>51.2</c:v>
                </c:pt>
                <c:pt idx="3">
                  <c:v>51.6</c:v>
                </c:pt>
                <c:pt idx="4">
                  <c:v>51.3</c:v>
                </c:pt>
                <c:pt idx="5">
                  <c:v>51.2</c:v>
                </c:pt>
                <c:pt idx="6">
                  <c:v>50.8</c:v>
                </c:pt>
                <c:pt idx="7">
                  <c:v>51.4</c:v>
                </c:pt>
                <c:pt idx="8">
                  <c:v>51.7</c:v>
                </c:pt>
                <c:pt idx="9">
                  <c:v>52.2</c:v>
                </c:pt>
                <c:pt idx="10" formatCode="General">
                  <c:v>46.1</c:v>
                </c:pt>
                <c:pt idx="11" formatCode="General">
                  <c:v>39.4</c:v>
                </c:pt>
                <c:pt idx="12" formatCode="General">
                  <c:v>26.5</c:v>
                </c:pt>
              </c:numCache>
            </c:numRef>
          </c:val>
          <c:extLst>
            <c:ext xmlns:c16="http://schemas.microsoft.com/office/drawing/2014/chart" uri="{C3380CC4-5D6E-409C-BE32-E72D297353CC}">
              <c16:uniqueId val="{00000000-3C36-4176-822C-E205CAFF1E63}"/>
            </c:ext>
          </c:extLst>
        </c:ser>
        <c:dLbls>
          <c:showLegendKey val="0"/>
          <c:showVal val="0"/>
          <c:showCatName val="0"/>
          <c:showSerName val="0"/>
          <c:showPercent val="0"/>
          <c:showBubbleSize val="0"/>
        </c:dLbls>
        <c:gapWidth val="150"/>
        <c:axId val="938005727"/>
        <c:axId val="1061031103"/>
      </c:barChart>
      <c:lineChart>
        <c:grouping val="standard"/>
        <c:varyColors val="0"/>
        <c:ser>
          <c:idx val="0"/>
          <c:order val="0"/>
          <c:tx>
            <c:strRef>
              <c:f>PMI!$A$2</c:f>
              <c:strCache>
                <c:ptCount val="1"/>
                <c:pt idx="0">
                  <c:v>Egypt</c:v>
                </c:pt>
              </c:strCache>
            </c:strRef>
          </c:tx>
          <c:spPr>
            <a:ln w="28575" cap="rnd">
              <a:solidFill>
                <a:schemeClr val="accent1"/>
              </a:solidFill>
              <a:round/>
            </a:ln>
            <a:effectLst/>
          </c:spPr>
          <c:marker>
            <c:symbol val="none"/>
          </c:marker>
          <c:cat>
            <c:numRef>
              <c:f>PMI!$D$1:$P$1</c:f>
              <c:numCache>
                <c:formatCode>mmm\-yy</c:formatCode>
                <c:ptCount val="13"/>
                <c:pt idx="0">
                  <c:v>43556</c:v>
                </c:pt>
                <c:pt idx="1">
                  <c:v>43586</c:v>
                </c:pt>
                <c:pt idx="2">
                  <c:v>43617</c:v>
                </c:pt>
                <c:pt idx="3">
                  <c:v>43647</c:v>
                </c:pt>
                <c:pt idx="4">
                  <c:v>43678</c:v>
                </c:pt>
                <c:pt idx="5">
                  <c:v>43709</c:v>
                </c:pt>
                <c:pt idx="6">
                  <c:v>43739</c:v>
                </c:pt>
                <c:pt idx="7">
                  <c:v>43770</c:v>
                </c:pt>
                <c:pt idx="8">
                  <c:v>43800</c:v>
                </c:pt>
                <c:pt idx="9">
                  <c:v>43831</c:v>
                </c:pt>
                <c:pt idx="10">
                  <c:v>43862</c:v>
                </c:pt>
                <c:pt idx="11">
                  <c:v>43891</c:v>
                </c:pt>
                <c:pt idx="12">
                  <c:v>43922</c:v>
                </c:pt>
              </c:numCache>
            </c:numRef>
          </c:cat>
          <c:val>
            <c:numRef>
              <c:f>PMI!$D$2:$P$2</c:f>
              <c:numCache>
                <c:formatCode>0.0</c:formatCode>
                <c:ptCount val="13"/>
                <c:pt idx="0">
                  <c:v>50.8</c:v>
                </c:pt>
                <c:pt idx="1">
                  <c:v>48.2</c:v>
                </c:pt>
                <c:pt idx="2">
                  <c:v>49.2</c:v>
                </c:pt>
                <c:pt idx="3">
                  <c:v>50.3</c:v>
                </c:pt>
                <c:pt idx="4">
                  <c:v>49.4</c:v>
                </c:pt>
                <c:pt idx="5">
                  <c:v>49.5</c:v>
                </c:pt>
                <c:pt idx="6">
                  <c:v>49.2</c:v>
                </c:pt>
                <c:pt idx="7">
                  <c:v>47.9</c:v>
                </c:pt>
                <c:pt idx="8">
                  <c:v>48.2</c:v>
                </c:pt>
                <c:pt idx="9">
                  <c:v>46</c:v>
                </c:pt>
                <c:pt idx="10">
                  <c:v>47.1</c:v>
                </c:pt>
                <c:pt idx="11">
                  <c:v>44.2</c:v>
                </c:pt>
                <c:pt idx="12">
                  <c:v>29.7</c:v>
                </c:pt>
              </c:numCache>
            </c:numRef>
          </c:val>
          <c:smooth val="0"/>
          <c:extLst>
            <c:ext xmlns:c16="http://schemas.microsoft.com/office/drawing/2014/chart" uri="{C3380CC4-5D6E-409C-BE32-E72D297353CC}">
              <c16:uniqueId val="{00000001-3C36-4176-822C-E205CAFF1E63}"/>
            </c:ext>
          </c:extLst>
        </c:ser>
        <c:ser>
          <c:idx val="1"/>
          <c:order val="1"/>
          <c:tx>
            <c:strRef>
              <c:f>PMI!$A$3</c:f>
              <c:strCache>
                <c:ptCount val="1"/>
                <c:pt idx="0">
                  <c:v>Ghana</c:v>
                </c:pt>
              </c:strCache>
            </c:strRef>
          </c:tx>
          <c:spPr>
            <a:ln w="28575" cap="rnd">
              <a:solidFill>
                <a:schemeClr val="accent2"/>
              </a:solidFill>
              <a:round/>
            </a:ln>
            <a:effectLst/>
          </c:spPr>
          <c:marker>
            <c:symbol val="none"/>
          </c:marker>
          <c:cat>
            <c:numRef>
              <c:f>PMI!$D$1:$P$1</c:f>
              <c:numCache>
                <c:formatCode>mmm\-yy</c:formatCode>
                <c:ptCount val="13"/>
                <c:pt idx="0">
                  <c:v>43556</c:v>
                </c:pt>
                <c:pt idx="1">
                  <c:v>43586</c:v>
                </c:pt>
                <c:pt idx="2">
                  <c:v>43617</c:v>
                </c:pt>
                <c:pt idx="3">
                  <c:v>43647</c:v>
                </c:pt>
                <c:pt idx="4">
                  <c:v>43678</c:v>
                </c:pt>
                <c:pt idx="5">
                  <c:v>43709</c:v>
                </c:pt>
                <c:pt idx="6">
                  <c:v>43739</c:v>
                </c:pt>
                <c:pt idx="7">
                  <c:v>43770</c:v>
                </c:pt>
                <c:pt idx="8">
                  <c:v>43800</c:v>
                </c:pt>
                <c:pt idx="9">
                  <c:v>43831</c:v>
                </c:pt>
                <c:pt idx="10">
                  <c:v>43862</c:v>
                </c:pt>
                <c:pt idx="11">
                  <c:v>43891</c:v>
                </c:pt>
                <c:pt idx="12">
                  <c:v>43922</c:v>
                </c:pt>
              </c:numCache>
            </c:numRef>
          </c:cat>
          <c:val>
            <c:numRef>
              <c:f>PMI!$D$3:$P$3</c:f>
              <c:numCache>
                <c:formatCode>0.0</c:formatCode>
                <c:ptCount val="13"/>
                <c:pt idx="0">
                  <c:v>51.2</c:v>
                </c:pt>
                <c:pt idx="1">
                  <c:v>50.6</c:v>
                </c:pt>
                <c:pt idx="2">
                  <c:v>50.5</c:v>
                </c:pt>
                <c:pt idx="3">
                  <c:v>51.2</c:v>
                </c:pt>
                <c:pt idx="4">
                  <c:v>50.7</c:v>
                </c:pt>
                <c:pt idx="5">
                  <c:v>51.4</c:v>
                </c:pt>
                <c:pt idx="6">
                  <c:v>50.1</c:v>
                </c:pt>
                <c:pt idx="7">
                  <c:v>52.4</c:v>
                </c:pt>
                <c:pt idx="8">
                  <c:v>52.7</c:v>
                </c:pt>
                <c:pt idx="9">
                  <c:v>50.7</c:v>
                </c:pt>
                <c:pt idx="10">
                  <c:v>52.6</c:v>
                </c:pt>
                <c:pt idx="11">
                  <c:v>41.4</c:v>
                </c:pt>
                <c:pt idx="12" formatCode="General">
                  <c:v>31.7</c:v>
                </c:pt>
              </c:numCache>
            </c:numRef>
          </c:val>
          <c:smooth val="0"/>
          <c:extLst>
            <c:ext xmlns:c16="http://schemas.microsoft.com/office/drawing/2014/chart" uri="{C3380CC4-5D6E-409C-BE32-E72D297353CC}">
              <c16:uniqueId val="{00000002-3C36-4176-822C-E205CAFF1E63}"/>
            </c:ext>
          </c:extLst>
        </c:ser>
        <c:ser>
          <c:idx val="2"/>
          <c:order val="2"/>
          <c:tx>
            <c:strRef>
              <c:f>PMI!$A$4</c:f>
              <c:strCache>
                <c:ptCount val="1"/>
                <c:pt idx="0">
                  <c:v>Kenya</c:v>
                </c:pt>
              </c:strCache>
            </c:strRef>
          </c:tx>
          <c:spPr>
            <a:ln w="28575" cap="rnd">
              <a:solidFill>
                <a:schemeClr val="accent3"/>
              </a:solidFill>
              <a:round/>
            </a:ln>
            <a:effectLst/>
          </c:spPr>
          <c:marker>
            <c:symbol val="none"/>
          </c:marker>
          <c:cat>
            <c:numRef>
              <c:f>PMI!$D$1:$P$1</c:f>
              <c:numCache>
                <c:formatCode>mmm\-yy</c:formatCode>
                <c:ptCount val="13"/>
                <c:pt idx="0">
                  <c:v>43556</c:v>
                </c:pt>
                <c:pt idx="1">
                  <c:v>43586</c:v>
                </c:pt>
                <c:pt idx="2">
                  <c:v>43617</c:v>
                </c:pt>
                <c:pt idx="3">
                  <c:v>43647</c:v>
                </c:pt>
                <c:pt idx="4">
                  <c:v>43678</c:v>
                </c:pt>
                <c:pt idx="5">
                  <c:v>43709</c:v>
                </c:pt>
                <c:pt idx="6">
                  <c:v>43739</c:v>
                </c:pt>
                <c:pt idx="7">
                  <c:v>43770</c:v>
                </c:pt>
                <c:pt idx="8">
                  <c:v>43800</c:v>
                </c:pt>
                <c:pt idx="9">
                  <c:v>43831</c:v>
                </c:pt>
                <c:pt idx="10">
                  <c:v>43862</c:v>
                </c:pt>
                <c:pt idx="11">
                  <c:v>43891</c:v>
                </c:pt>
                <c:pt idx="12">
                  <c:v>43922</c:v>
                </c:pt>
              </c:numCache>
            </c:numRef>
          </c:cat>
          <c:val>
            <c:numRef>
              <c:f>PMI!$D$4:$P$4</c:f>
              <c:numCache>
                <c:formatCode>0.0</c:formatCode>
                <c:ptCount val="13"/>
                <c:pt idx="0">
                  <c:v>49.3</c:v>
                </c:pt>
                <c:pt idx="1">
                  <c:v>51.3</c:v>
                </c:pt>
                <c:pt idx="2">
                  <c:v>54.3</c:v>
                </c:pt>
                <c:pt idx="3">
                  <c:v>54.1</c:v>
                </c:pt>
                <c:pt idx="4">
                  <c:v>52.9</c:v>
                </c:pt>
                <c:pt idx="5">
                  <c:v>54.1</c:v>
                </c:pt>
                <c:pt idx="6">
                  <c:v>53.2</c:v>
                </c:pt>
                <c:pt idx="7">
                  <c:v>53.2</c:v>
                </c:pt>
                <c:pt idx="8">
                  <c:v>53.3</c:v>
                </c:pt>
                <c:pt idx="9">
                  <c:v>49.7</c:v>
                </c:pt>
                <c:pt idx="10">
                  <c:v>49</c:v>
                </c:pt>
                <c:pt idx="11">
                  <c:v>37.5</c:v>
                </c:pt>
                <c:pt idx="12" formatCode="General">
                  <c:v>34.799999999999997</c:v>
                </c:pt>
              </c:numCache>
            </c:numRef>
          </c:val>
          <c:smooth val="0"/>
          <c:extLst>
            <c:ext xmlns:c16="http://schemas.microsoft.com/office/drawing/2014/chart" uri="{C3380CC4-5D6E-409C-BE32-E72D297353CC}">
              <c16:uniqueId val="{00000003-3C36-4176-822C-E205CAFF1E63}"/>
            </c:ext>
          </c:extLst>
        </c:ser>
        <c:ser>
          <c:idx val="3"/>
          <c:order val="3"/>
          <c:tx>
            <c:strRef>
              <c:f>PMI!$A$5</c:f>
              <c:strCache>
                <c:ptCount val="1"/>
                <c:pt idx="0">
                  <c:v>Mozambique</c:v>
                </c:pt>
              </c:strCache>
            </c:strRef>
          </c:tx>
          <c:spPr>
            <a:ln w="28575" cap="rnd">
              <a:solidFill>
                <a:schemeClr val="accent4"/>
              </a:solidFill>
              <a:round/>
            </a:ln>
            <a:effectLst/>
          </c:spPr>
          <c:marker>
            <c:symbol val="none"/>
          </c:marker>
          <c:cat>
            <c:numRef>
              <c:f>PMI!$D$1:$P$1</c:f>
              <c:numCache>
                <c:formatCode>mmm\-yy</c:formatCode>
                <c:ptCount val="13"/>
                <c:pt idx="0">
                  <c:v>43556</c:v>
                </c:pt>
                <c:pt idx="1">
                  <c:v>43586</c:v>
                </c:pt>
                <c:pt idx="2">
                  <c:v>43617</c:v>
                </c:pt>
                <c:pt idx="3">
                  <c:v>43647</c:v>
                </c:pt>
                <c:pt idx="4">
                  <c:v>43678</c:v>
                </c:pt>
                <c:pt idx="5">
                  <c:v>43709</c:v>
                </c:pt>
                <c:pt idx="6">
                  <c:v>43739</c:v>
                </c:pt>
                <c:pt idx="7">
                  <c:v>43770</c:v>
                </c:pt>
                <c:pt idx="8">
                  <c:v>43800</c:v>
                </c:pt>
                <c:pt idx="9">
                  <c:v>43831</c:v>
                </c:pt>
                <c:pt idx="10">
                  <c:v>43862</c:v>
                </c:pt>
                <c:pt idx="11">
                  <c:v>43891</c:v>
                </c:pt>
                <c:pt idx="12">
                  <c:v>43922</c:v>
                </c:pt>
              </c:numCache>
            </c:numRef>
          </c:cat>
          <c:val>
            <c:numRef>
              <c:f>PMI!$D$5:$P$5</c:f>
              <c:numCache>
                <c:formatCode>0.0</c:formatCode>
                <c:ptCount val="13"/>
                <c:pt idx="0">
                  <c:v>49.9</c:v>
                </c:pt>
                <c:pt idx="1">
                  <c:v>52.3</c:v>
                </c:pt>
                <c:pt idx="2">
                  <c:v>52</c:v>
                </c:pt>
                <c:pt idx="3">
                  <c:v>52.8</c:v>
                </c:pt>
                <c:pt idx="4">
                  <c:v>51.8</c:v>
                </c:pt>
                <c:pt idx="5">
                  <c:v>51.1</c:v>
                </c:pt>
                <c:pt idx="6">
                  <c:v>50.3</c:v>
                </c:pt>
                <c:pt idx="7">
                  <c:v>50.7</c:v>
                </c:pt>
                <c:pt idx="8">
                  <c:v>50.8</c:v>
                </c:pt>
                <c:pt idx="9">
                  <c:v>50.4</c:v>
                </c:pt>
                <c:pt idx="10">
                  <c:v>51.6</c:v>
                </c:pt>
                <c:pt idx="11">
                  <c:v>49.9</c:v>
                </c:pt>
                <c:pt idx="12">
                  <c:v>37.1</c:v>
                </c:pt>
              </c:numCache>
            </c:numRef>
          </c:val>
          <c:smooth val="0"/>
          <c:extLst>
            <c:ext xmlns:c16="http://schemas.microsoft.com/office/drawing/2014/chart" uri="{C3380CC4-5D6E-409C-BE32-E72D297353CC}">
              <c16:uniqueId val="{00000004-3C36-4176-822C-E205CAFF1E63}"/>
            </c:ext>
          </c:extLst>
        </c:ser>
        <c:ser>
          <c:idx val="4"/>
          <c:order val="4"/>
          <c:tx>
            <c:strRef>
              <c:f>PMI!$A$6</c:f>
              <c:strCache>
                <c:ptCount val="1"/>
                <c:pt idx="0">
                  <c:v>Nigeria</c:v>
                </c:pt>
              </c:strCache>
            </c:strRef>
          </c:tx>
          <c:spPr>
            <a:ln w="28575" cap="rnd">
              <a:solidFill>
                <a:schemeClr val="accent5"/>
              </a:solidFill>
              <a:round/>
            </a:ln>
            <a:effectLst/>
          </c:spPr>
          <c:marker>
            <c:symbol val="none"/>
          </c:marker>
          <c:cat>
            <c:numRef>
              <c:f>PMI!$D$1:$P$1</c:f>
              <c:numCache>
                <c:formatCode>mmm\-yy</c:formatCode>
                <c:ptCount val="13"/>
                <c:pt idx="0">
                  <c:v>43556</c:v>
                </c:pt>
                <c:pt idx="1">
                  <c:v>43586</c:v>
                </c:pt>
                <c:pt idx="2">
                  <c:v>43617</c:v>
                </c:pt>
                <c:pt idx="3">
                  <c:v>43647</c:v>
                </c:pt>
                <c:pt idx="4">
                  <c:v>43678</c:v>
                </c:pt>
                <c:pt idx="5">
                  <c:v>43709</c:v>
                </c:pt>
                <c:pt idx="6">
                  <c:v>43739</c:v>
                </c:pt>
                <c:pt idx="7">
                  <c:v>43770</c:v>
                </c:pt>
                <c:pt idx="8">
                  <c:v>43800</c:v>
                </c:pt>
                <c:pt idx="9">
                  <c:v>43831</c:v>
                </c:pt>
                <c:pt idx="10">
                  <c:v>43862</c:v>
                </c:pt>
                <c:pt idx="11">
                  <c:v>43891</c:v>
                </c:pt>
                <c:pt idx="12">
                  <c:v>43922</c:v>
                </c:pt>
              </c:numCache>
            </c:numRef>
          </c:cat>
          <c:val>
            <c:numRef>
              <c:f>PMI!$D$6:$P$6</c:f>
              <c:numCache>
                <c:formatCode>0.0</c:formatCode>
                <c:ptCount val="13"/>
                <c:pt idx="0">
                  <c:v>55.5</c:v>
                </c:pt>
                <c:pt idx="1">
                  <c:v>52.9</c:v>
                </c:pt>
                <c:pt idx="2">
                  <c:v>54.8</c:v>
                </c:pt>
                <c:pt idx="3">
                  <c:v>54.6</c:v>
                </c:pt>
                <c:pt idx="4">
                  <c:v>56.4</c:v>
                </c:pt>
                <c:pt idx="5">
                  <c:v>57.1</c:v>
                </c:pt>
                <c:pt idx="6">
                  <c:v>56.9</c:v>
                </c:pt>
                <c:pt idx="7">
                  <c:v>57.7</c:v>
                </c:pt>
                <c:pt idx="8">
                  <c:v>56.8</c:v>
                </c:pt>
                <c:pt idx="9">
                  <c:v>55.9</c:v>
                </c:pt>
                <c:pt idx="10">
                  <c:v>55</c:v>
                </c:pt>
                <c:pt idx="11">
                  <c:v>53.8</c:v>
                </c:pt>
                <c:pt idx="12">
                  <c:v>37.1</c:v>
                </c:pt>
              </c:numCache>
            </c:numRef>
          </c:val>
          <c:smooth val="0"/>
          <c:extLst>
            <c:ext xmlns:c16="http://schemas.microsoft.com/office/drawing/2014/chart" uri="{C3380CC4-5D6E-409C-BE32-E72D297353CC}">
              <c16:uniqueId val="{00000005-3C36-4176-822C-E205CAFF1E63}"/>
            </c:ext>
          </c:extLst>
        </c:ser>
        <c:ser>
          <c:idx val="5"/>
          <c:order val="5"/>
          <c:tx>
            <c:strRef>
              <c:f>PMI!$A$7</c:f>
              <c:strCache>
                <c:ptCount val="1"/>
                <c:pt idx="0">
                  <c:v>South Africa</c:v>
                </c:pt>
              </c:strCache>
            </c:strRef>
          </c:tx>
          <c:spPr>
            <a:ln w="28575" cap="rnd">
              <a:solidFill>
                <a:schemeClr val="accent6"/>
              </a:solidFill>
              <a:round/>
            </a:ln>
            <a:effectLst/>
          </c:spPr>
          <c:marker>
            <c:symbol val="none"/>
          </c:marker>
          <c:cat>
            <c:numRef>
              <c:f>PMI!$D$1:$P$1</c:f>
              <c:numCache>
                <c:formatCode>mmm\-yy</c:formatCode>
                <c:ptCount val="13"/>
                <c:pt idx="0">
                  <c:v>43556</c:v>
                </c:pt>
                <c:pt idx="1">
                  <c:v>43586</c:v>
                </c:pt>
                <c:pt idx="2">
                  <c:v>43617</c:v>
                </c:pt>
                <c:pt idx="3">
                  <c:v>43647</c:v>
                </c:pt>
                <c:pt idx="4">
                  <c:v>43678</c:v>
                </c:pt>
                <c:pt idx="5">
                  <c:v>43709</c:v>
                </c:pt>
                <c:pt idx="6">
                  <c:v>43739</c:v>
                </c:pt>
                <c:pt idx="7">
                  <c:v>43770</c:v>
                </c:pt>
                <c:pt idx="8">
                  <c:v>43800</c:v>
                </c:pt>
                <c:pt idx="9">
                  <c:v>43831</c:v>
                </c:pt>
                <c:pt idx="10">
                  <c:v>43862</c:v>
                </c:pt>
                <c:pt idx="11">
                  <c:v>43891</c:v>
                </c:pt>
                <c:pt idx="12">
                  <c:v>43922</c:v>
                </c:pt>
              </c:numCache>
            </c:numRef>
          </c:cat>
          <c:val>
            <c:numRef>
              <c:f>PMI!$D$7:$P$7</c:f>
              <c:numCache>
                <c:formatCode>0.0</c:formatCode>
                <c:ptCount val="13"/>
                <c:pt idx="0">
                  <c:v>50.3</c:v>
                </c:pt>
                <c:pt idx="1">
                  <c:v>49.3</c:v>
                </c:pt>
                <c:pt idx="2">
                  <c:v>49.7</c:v>
                </c:pt>
                <c:pt idx="3">
                  <c:v>48.4</c:v>
                </c:pt>
                <c:pt idx="4">
                  <c:v>49.7</c:v>
                </c:pt>
                <c:pt idx="5">
                  <c:v>49.2</c:v>
                </c:pt>
                <c:pt idx="6">
                  <c:v>49.4</c:v>
                </c:pt>
                <c:pt idx="7">
                  <c:v>48.6</c:v>
                </c:pt>
                <c:pt idx="8">
                  <c:v>47.6</c:v>
                </c:pt>
                <c:pt idx="9">
                  <c:v>48.3</c:v>
                </c:pt>
                <c:pt idx="10">
                  <c:v>48.4</c:v>
                </c:pt>
                <c:pt idx="11">
                  <c:v>44.5</c:v>
                </c:pt>
                <c:pt idx="12">
                  <c:v>35.1</c:v>
                </c:pt>
              </c:numCache>
            </c:numRef>
          </c:val>
          <c:smooth val="0"/>
          <c:extLst>
            <c:ext xmlns:c16="http://schemas.microsoft.com/office/drawing/2014/chart" uri="{C3380CC4-5D6E-409C-BE32-E72D297353CC}">
              <c16:uniqueId val="{00000006-3C36-4176-822C-E205CAFF1E63}"/>
            </c:ext>
          </c:extLst>
        </c:ser>
        <c:ser>
          <c:idx val="6"/>
          <c:order val="6"/>
          <c:tx>
            <c:strRef>
              <c:f>PMI!$A$8</c:f>
              <c:strCache>
                <c:ptCount val="1"/>
                <c:pt idx="0">
                  <c:v>Uganda</c:v>
                </c:pt>
              </c:strCache>
            </c:strRef>
          </c:tx>
          <c:spPr>
            <a:ln w="28575" cap="rnd">
              <a:solidFill>
                <a:schemeClr val="accent1">
                  <a:lumMod val="60000"/>
                </a:schemeClr>
              </a:solidFill>
              <a:round/>
            </a:ln>
            <a:effectLst/>
          </c:spPr>
          <c:marker>
            <c:symbol val="none"/>
          </c:marker>
          <c:cat>
            <c:numRef>
              <c:f>PMI!$D$1:$P$1</c:f>
              <c:numCache>
                <c:formatCode>mmm\-yy</c:formatCode>
                <c:ptCount val="13"/>
                <c:pt idx="0">
                  <c:v>43556</c:v>
                </c:pt>
                <c:pt idx="1">
                  <c:v>43586</c:v>
                </c:pt>
                <c:pt idx="2">
                  <c:v>43617</c:v>
                </c:pt>
                <c:pt idx="3">
                  <c:v>43647</c:v>
                </c:pt>
                <c:pt idx="4">
                  <c:v>43678</c:v>
                </c:pt>
                <c:pt idx="5">
                  <c:v>43709</c:v>
                </c:pt>
                <c:pt idx="6">
                  <c:v>43739</c:v>
                </c:pt>
                <c:pt idx="7">
                  <c:v>43770</c:v>
                </c:pt>
                <c:pt idx="8">
                  <c:v>43800</c:v>
                </c:pt>
                <c:pt idx="9">
                  <c:v>43831</c:v>
                </c:pt>
                <c:pt idx="10">
                  <c:v>43862</c:v>
                </c:pt>
                <c:pt idx="11">
                  <c:v>43891</c:v>
                </c:pt>
                <c:pt idx="12">
                  <c:v>43922</c:v>
                </c:pt>
              </c:numCache>
            </c:numRef>
          </c:cat>
          <c:val>
            <c:numRef>
              <c:f>PMI!$D$8:$P$8</c:f>
              <c:numCache>
                <c:formatCode>0.0</c:formatCode>
                <c:ptCount val="13"/>
                <c:pt idx="0">
                  <c:v>54.7</c:v>
                </c:pt>
                <c:pt idx="1">
                  <c:v>57.3</c:v>
                </c:pt>
                <c:pt idx="2">
                  <c:v>57.8</c:v>
                </c:pt>
                <c:pt idx="3">
                  <c:v>58.2</c:v>
                </c:pt>
                <c:pt idx="4">
                  <c:v>57.5</c:v>
                </c:pt>
                <c:pt idx="5">
                  <c:v>55.7</c:v>
                </c:pt>
                <c:pt idx="6">
                  <c:v>56.3</c:v>
                </c:pt>
                <c:pt idx="7">
                  <c:v>58.6</c:v>
                </c:pt>
                <c:pt idx="8">
                  <c:v>57.7</c:v>
                </c:pt>
                <c:pt idx="9">
                  <c:v>58.8</c:v>
                </c:pt>
                <c:pt idx="10">
                  <c:v>56.2</c:v>
                </c:pt>
                <c:pt idx="11">
                  <c:v>45.3</c:v>
                </c:pt>
                <c:pt idx="12">
                  <c:v>21.6</c:v>
                </c:pt>
              </c:numCache>
            </c:numRef>
          </c:val>
          <c:smooth val="0"/>
          <c:extLst>
            <c:ext xmlns:c16="http://schemas.microsoft.com/office/drawing/2014/chart" uri="{C3380CC4-5D6E-409C-BE32-E72D297353CC}">
              <c16:uniqueId val="{00000007-3C36-4176-822C-E205CAFF1E63}"/>
            </c:ext>
          </c:extLst>
        </c:ser>
        <c:ser>
          <c:idx val="7"/>
          <c:order val="7"/>
          <c:tx>
            <c:strRef>
              <c:f>PMI!$A$9</c:f>
              <c:strCache>
                <c:ptCount val="1"/>
                <c:pt idx="0">
                  <c:v>Zambia</c:v>
                </c:pt>
              </c:strCache>
            </c:strRef>
          </c:tx>
          <c:spPr>
            <a:ln w="28575" cap="rnd">
              <a:solidFill>
                <a:schemeClr val="accent2">
                  <a:lumMod val="60000"/>
                </a:schemeClr>
              </a:solidFill>
              <a:round/>
            </a:ln>
            <a:effectLst/>
          </c:spPr>
          <c:marker>
            <c:symbol val="none"/>
          </c:marker>
          <c:cat>
            <c:numRef>
              <c:f>PMI!$D$1:$P$1</c:f>
              <c:numCache>
                <c:formatCode>mmm\-yy</c:formatCode>
                <c:ptCount val="13"/>
                <c:pt idx="0">
                  <c:v>43556</c:v>
                </c:pt>
                <c:pt idx="1">
                  <c:v>43586</c:v>
                </c:pt>
                <c:pt idx="2">
                  <c:v>43617</c:v>
                </c:pt>
                <c:pt idx="3">
                  <c:v>43647</c:v>
                </c:pt>
                <c:pt idx="4">
                  <c:v>43678</c:v>
                </c:pt>
                <c:pt idx="5">
                  <c:v>43709</c:v>
                </c:pt>
                <c:pt idx="6">
                  <c:v>43739</c:v>
                </c:pt>
                <c:pt idx="7">
                  <c:v>43770</c:v>
                </c:pt>
                <c:pt idx="8">
                  <c:v>43800</c:v>
                </c:pt>
                <c:pt idx="9">
                  <c:v>43831</c:v>
                </c:pt>
                <c:pt idx="10">
                  <c:v>43862</c:v>
                </c:pt>
                <c:pt idx="11">
                  <c:v>43891</c:v>
                </c:pt>
                <c:pt idx="12">
                  <c:v>43922</c:v>
                </c:pt>
              </c:numCache>
            </c:numRef>
          </c:cat>
          <c:val>
            <c:numRef>
              <c:f>PMI!$D$9:$P$9</c:f>
              <c:numCache>
                <c:formatCode>0.0</c:formatCode>
                <c:ptCount val="13"/>
                <c:pt idx="0">
                  <c:v>45.2</c:v>
                </c:pt>
                <c:pt idx="1">
                  <c:v>43.9</c:v>
                </c:pt>
                <c:pt idx="2">
                  <c:v>46.6</c:v>
                </c:pt>
                <c:pt idx="3">
                  <c:v>44.4</c:v>
                </c:pt>
                <c:pt idx="4">
                  <c:v>46</c:v>
                </c:pt>
                <c:pt idx="5">
                  <c:v>48.8</c:v>
                </c:pt>
                <c:pt idx="6">
                  <c:v>48.3</c:v>
                </c:pt>
                <c:pt idx="7">
                  <c:v>48.7</c:v>
                </c:pt>
                <c:pt idx="8">
                  <c:v>46.9</c:v>
                </c:pt>
                <c:pt idx="9">
                  <c:v>47.5</c:v>
                </c:pt>
                <c:pt idx="10">
                  <c:v>48.5</c:v>
                </c:pt>
                <c:pt idx="11">
                  <c:v>44.7</c:v>
                </c:pt>
                <c:pt idx="12" formatCode="General">
                  <c:v>37.299999999999997</c:v>
                </c:pt>
              </c:numCache>
            </c:numRef>
          </c:val>
          <c:smooth val="0"/>
          <c:extLst>
            <c:ext xmlns:c16="http://schemas.microsoft.com/office/drawing/2014/chart" uri="{C3380CC4-5D6E-409C-BE32-E72D297353CC}">
              <c16:uniqueId val="{00000008-3C36-4176-822C-E205CAFF1E63}"/>
            </c:ext>
          </c:extLst>
        </c:ser>
        <c:dLbls>
          <c:showLegendKey val="0"/>
          <c:showVal val="0"/>
          <c:showCatName val="0"/>
          <c:showSerName val="0"/>
          <c:showPercent val="0"/>
          <c:showBubbleSize val="0"/>
        </c:dLbls>
        <c:marker val="1"/>
        <c:smooth val="0"/>
        <c:axId val="938005727"/>
        <c:axId val="1061031103"/>
      </c:lineChart>
      <c:dateAx>
        <c:axId val="938005727"/>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1061031103"/>
        <c:crosses val="autoZero"/>
        <c:auto val="1"/>
        <c:lblOffset val="100"/>
        <c:baseTimeUnit val="months"/>
      </c:dateAx>
      <c:valAx>
        <c:axId val="1061031103"/>
        <c:scaling>
          <c:orientation val="minMax"/>
          <c:max val="60"/>
          <c:min val="15"/>
        </c:scaling>
        <c:delete val="0"/>
        <c:axPos val="l"/>
        <c:majorGridlines>
          <c:spPr>
            <a:ln w="9525" cap="flat" cmpd="sng" algn="ctr">
              <a:no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938005727"/>
        <c:crosses val="autoZero"/>
        <c:crossBetween val="between"/>
        <c:majorUnit val="5"/>
      </c:valAx>
      <c:spPr>
        <a:noFill/>
        <a:ln>
          <a:noFill/>
        </a:ln>
        <a:effectLst/>
      </c:spPr>
    </c:plotArea>
    <c:legend>
      <c:legendPos val="r"/>
      <c:layout>
        <c:manualLayout>
          <c:xMode val="edge"/>
          <c:yMode val="edge"/>
          <c:x val="0.80108400753030173"/>
          <c:y val="4.4875546423597236E-2"/>
          <c:w val="0.18806126134299686"/>
          <c:h val="0.92075678806348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Georgia" panose="02040502050405020303"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983843943432099E-2"/>
          <c:y val="4.116436342252279E-2"/>
          <c:w val="0.9067603677434477"/>
          <c:h val="0.6798088565891921"/>
        </c:manualLayout>
      </c:layout>
      <c:lineChart>
        <c:grouping val="standard"/>
        <c:varyColors val="0"/>
        <c:ser>
          <c:idx val="0"/>
          <c:order val="0"/>
          <c:tx>
            <c:strRef>
              <c:f>Google!$A$13</c:f>
              <c:strCache>
                <c:ptCount val="1"/>
                <c:pt idx="0">
                  <c:v>Egypt</c:v>
                </c:pt>
              </c:strCache>
            </c:strRef>
          </c:tx>
          <c:spPr>
            <a:ln w="28575" cap="rnd">
              <a:solidFill>
                <a:schemeClr val="accent1"/>
              </a:solidFill>
              <a:round/>
            </a:ln>
            <a:effectLst/>
          </c:spPr>
          <c:marker>
            <c:symbol val="none"/>
          </c:marker>
          <c:cat>
            <c:numRef>
              <c:f>Google!$F$3:$BY$3</c:f>
              <c:numCache>
                <c:formatCode>m/d/yyyy</c:formatCode>
                <c:ptCount val="72"/>
                <c:pt idx="0">
                  <c:v>43880</c:v>
                </c:pt>
                <c:pt idx="1">
                  <c:v>43881</c:v>
                </c:pt>
                <c:pt idx="2">
                  <c:v>43882</c:v>
                </c:pt>
                <c:pt idx="3">
                  <c:v>43883</c:v>
                </c:pt>
                <c:pt idx="4">
                  <c:v>43884</c:v>
                </c:pt>
                <c:pt idx="5">
                  <c:v>43885</c:v>
                </c:pt>
                <c:pt idx="6">
                  <c:v>43886</c:v>
                </c:pt>
                <c:pt idx="7">
                  <c:v>43887</c:v>
                </c:pt>
                <c:pt idx="8">
                  <c:v>43888</c:v>
                </c:pt>
                <c:pt idx="9">
                  <c:v>43889</c:v>
                </c:pt>
                <c:pt idx="10">
                  <c:v>43890</c:v>
                </c:pt>
                <c:pt idx="11">
                  <c:v>43891</c:v>
                </c:pt>
                <c:pt idx="12">
                  <c:v>43892</c:v>
                </c:pt>
                <c:pt idx="13">
                  <c:v>43893</c:v>
                </c:pt>
                <c:pt idx="14">
                  <c:v>43894</c:v>
                </c:pt>
                <c:pt idx="15">
                  <c:v>43895</c:v>
                </c:pt>
                <c:pt idx="16">
                  <c:v>43896</c:v>
                </c:pt>
                <c:pt idx="17">
                  <c:v>43897</c:v>
                </c:pt>
                <c:pt idx="18">
                  <c:v>43898</c:v>
                </c:pt>
                <c:pt idx="19">
                  <c:v>43899</c:v>
                </c:pt>
                <c:pt idx="20">
                  <c:v>43900</c:v>
                </c:pt>
                <c:pt idx="21">
                  <c:v>43901</c:v>
                </c:pt>
                <c:pt idx="22">
                  <c:v>43902</c:v>
                </c:pt>
                <c:pt idx="23">
                  <c:v>43903</c:v>
                </c:pt>
                <c:pt idx="24">
                  <c:v>43904</c:v>
                </c:pt>
                <c:pt idx="25">
                  <c:v>43905</c:v>
                </c:pt>
                <c:pt idx="26">
                  <c:v>43906</c:v>
                </c:pt>
                <c:pt idx="27">
                  <c:v>43907</c:v>
                </c:pt>
                <c:pt idx="28">
                  <c:v>43908</c:v>
                </c:pt>
                <c:pt idx="29">
                  <c:v>43909</c:v>
                </c:pt>
                <c:pt idx="30">
                  <c:v>43910</c:v>
                </c:pt>
                <c:pt idx="31">
                  <c:v>43911</c:v>
                </c:pt>
                <c:pt idx="32">
                  <c:v>43912</c:v>
                </c:pt>
                <c:pt idx="33">
                  <c:v>43913</c:v>
                </c:pt>
                <c:pt idx="34">
                  <c:v>43914</c:v>
                </c:pt>
                <c:pt idx="35">
                  <c:v>43915</c:v>
                </c:pt>
                <c:pt idx="36">
                  <c:v>43916</c:v>
                </c:pt>
                <c:pt idx="37">
                  <c:v>43917</c:v>
                </c:pt>
                <c:pt idx="38">
                  <c:v>43918</c:v>
                </c:pt>
                <c:pt idx="39">
                  <c:v>43919</c:v>
                </c:pt>
                <c:pt idx="40">
                  <c:v>43920</c:v>
                </c:pt>
                <c:pt idx="41">
                  <c:v>43921</c:v>
                </c:pt>
                <c:pt idx="42">
                  <c:v>43922</c:v>
                </c:pt>
                <c:pt idx="43">
                  <c:v>43923</c:v>
                </c:pt>
                <c:pt idx="44">
                  <c:v>43924</c:v>
                </c:pt>
                <c:pt idx="45">
                  <c:v>43925</c:v>
                </c:pt>
                <c:pt idx="46">
                  <c:v>43926</c:v>
                </c:pt>
                <c:pt idx="47">
                  <c:v>43927</c:v>
                </c:pt>
                <c:pt idx="48">
                  <c:v>43928</c:v>
                </c:pt>
                <c:pt idx="49">
                  <c:v>43929</c:v>
                </c:pt>
                <c:pt idx="50">
                  <c:v>43930</c:v>
                </c:pt>
                <c:pt idx="51">
                  <c:v>43931</c:v>
                </c:pt>
                <c:pt idx="52">
                  <c:v>43932</c:v>
                </c:pt>
                <c:pt idx="53">
                  <c:v>43933</c:v>
                </c:pt>
                <c:pt idx="54">
                  <c:v>43934</c:v>
                </c:pt>
                <c:pt idx="55">
                  <c:v>43935</c:v>
                </c:pt>
                <c:pt idx="56">
                  <c:v>43936</c:v>
                </c:pt>
                <c:pt idx="57">
                  <c:v>43937</c:v>
                </c:pt>
                <c:pt idx="58">
                  <c:v>43938</c:v>
                </c:pt>
                <c:pt idx="59">
                  <c:v>43939</c:v>
                </c:pt>
                <c:pt idx="60">
                  <c:v>43940</c:v>
                </c:pt>
                <c:pt idx="61">
                  <c:v>43941</c:v>
                </c:pt>
                <c:pt idx="62">
                  <c:v>43942</c:v>
                </c:pt>
                <c:pt idx="63">
                  <c:v>43943</c:v>
                </c:pt>
                <c:pt idx="64">
                  <c:v>43944</c:v>
                </c:pt>
                <c:pt idx="65">
                  <c:v>43945</c:v>
                </c:pt>
                <c:pt idx="66">
                  <c:v>43946</c:v>
                </c:pt>
                <c:pt idx="67">
                  <c:v>43947</c:v>
                </c:pt>
                <c:pt idx="68">
                  <c:v>43948</c:v>
                </c:pt>
                <c:pt idx="69">
                  <c:v>43949</c:v>
                </c:pt>
                <c:pt idx="70">
                  <c:v>43950</c:v>
                </c:pt>
                <c:pt idx="71">
                  <c:v>43951</c:v>
                </c:pt>
              </c:numCache>
            </c:numRef>
          </c:cat>
          <c:val>
            <c:numRef>
              <c:f>Google!$F$13:$BY$13</c:f>
              <c:numCache>
                <c:formatCode>General</c:formatCode>
                <c:ptCount val="72"/>
                <c:pt idx="0">
                  <c:v>10.4</c:v>
                </c:pt>
                <c:pt idx="1">
                  <c:v>11.2</c:v>
                </c:pt>
                <c:pt idx="2">
                  <c:v>10.4</c:v>
                </c:pt>
                <c:pt idx="3">
                  <c:v>8.4</c:v>
                </c:pt>
                <c:pt idx="4">
                  <c:v>8</c:v>
                </c:pt>
                <c:pt idx="5">
                  <c:v>8.1999999999999993</c:v>
                </c:pt>
                <c:pt idx="6">
                  <c:v>4.8</c:v>
                </c:pt>
                <c:pt idx="7">
                  <c:v>5.8</c:v>
                </c:pt>
                <c:pt idx="8">
                  <c:v>7</c:v>
                </c:pt>
                <c:pt idx="9">
                  <c:v>6.8</c:v>
                </c:pt>
                <c:pt idx="10">
                  <c:v>5.8</c:v>
                </c:pt>
                <c:pt idx="11">
                  <c:v>9.6</c:v>
                </c:pt>
                <c:pt idx="12">
                  <c:v>10.6</c:v>
                </c:pt>
                <c:pt idx="13">
                  <c:v>11</c:v>
                </c:pt>
                <c:pt idx="14">
                  <c:v>11.8</c:v>
                </c:pt>
                <c:pt idx="15">
                  <c:v>13</c:v>
                </c:pt>
                <c:pt idx="16">
                  <c:v>12.6</c:v>
                </c:pt>
                <c:pt idx="17">
                  <c:v>10.8</c:v>
                </c:pt>
                <c:pt idx="18">
                  <c:v>10.4</c:v>
                </c:pt>
                <c:pt idx="19">
                  <c:v>11</c:v>
                </c:pt>
                <c:pt idx="20">
                  <c:v>11.2</c:v>
                </c:pt>
                <c:pt idx="21">
                  <c:v>11.8</c:v>
                </c:pt>
                <c:pt idx="22">
                  <c:v>-1.8</c:v>
                </c:pt>
                <c:pt idx="23">
                  <c:v>-10.6</c:v>
                </c:pt>
                <c:pt idx="24">
                  <c:v>-16.8</c:v>
                </c:pt>
                <c:pt idx="25">
                  <c:v>-20.399999999999999</c:v>
                </c:pt>
                <c:pt idx="26">
                  <c:v>-23</c:v>
                </c:pt>
                <c:pt idx="27">
                  <c:v>-12.2</c:v>
                </c:pt>
                <c:pt idx="28">
                  <c:v>-7.8</c:v>
                </c:pt>
                <c:pt idx="29">
                  <c:v>-7.8</c:v>
                </c:pt>
                <c:pt idx="30">
                  <c:v>-9.4</c:v>
                </c:pt>
                <c:pt idx="31">
                  <c:v>-12.8</c:v>
                </c:pt>
                <c:pt idx="32">
                  <c:v>-16.8</c:v>
                </c:pt>
                <c:pt idx="33">
                  <c:v>-20</c:v>
                </c:pt>
                <c:pt idx="34">
                  <c:v>-23.2</c:v>
                </c:pt>
                <c:pt idx="35">
                  <c:v>-28</c:v>
                </c:pt>
                <c:pt idx="36">
                  <c:v>-32</c:v>
                </c:pt>
                <c:pt idx="37">
                  <c:v>-36.6</c:v>
                </c:pt>
                <c:pt idx="38">
                  <c:v>-42.2</c:v>
                </c:pt>
                <c:pt idx="39">
                  <c:v>-43</c:v>
                </c:pt>
                <c:pt idx="40">
                  <c:v>-42.6</c:v>
                </c:pt>
                <c:pt idx="41">
                  <c:v>-42.2</c:v>
                </c:pt>
                <c:pt idx="42">
                  <c:v>-39.4</c:v>
                </c:pt>
                <c:pt idx="43">
                  <c:v>-35.6</c:v>
                </c:pt>
                <c:pt idx="44">
                  <c:v>-37.4</c:v>
                </c:pt>
                <c:pt idx="45">
                  <c:v>-40.200000000000003</c:v>
                </c:pt>
                <c:pt idx="46">
                  <c:v>-40</c:v>
                </c:pt>
                <c:pt idx="47">
                  <c:v>-39.6</c:v>
                </c:pt>
                <c:pt idx="48">
                  <c:v>-39.4</c:v>
                </c:pt>
                <c:pt idx="49">
                  <c:v>-37.6</c:v>
                </c:pt>
                <c:pt idx="50">
                  <c:v>-34.6</c:v>
                </c:pt>
                <c:pt idx="51">
                  <c:v>-35.799999999999997</c:v>
                </c:pt>
                <c:pt idx="52">
                  <c:v>-38</c:v>
                </c:pt>
                <c:pt idx="53">
                  <c:v>-37.200000000000003</c:v>
                </c:pt>
                <c:pt idx="54">
                  <c:v>-36.200000000000003</c:v>
                </c:pt>
                <c:pt idx="55">
                  <c:v>-35.6</c:v>
                </c:pt>
                <c:pt idx="56">
                  <c:v>-33.6</c:v>
                </c:pt>
                <c:pt idx="57">
                  <c:v>-30.8</c:v>
                </c:pt>
                <c:pt idx="58">
                  <c:v>-32</c:v>
                </c:pt>
                <c:pt idx="59">
                  <c:v>-34.6</c:v>
                </c:pt>
                <c:pt idx="60">
                  <c:v>-36.6</c:v>
                </c:pt>
                <c:pt idx="61">
                  <c:v>-43.6</c:v>
                </c:pt>
                <c:pt idx="62">
                  <c:v>-43</c:v>
                </c:pt>
                <c:pt idx="63">
                  <c:v>-41.4</c:v>
                </c:pt>
                <c:pt idx="64">
                  <c:v>-38.4</c:v>
                </c:pt>
                <c:pt idx="65">
                  <c:v>-36</c:v>
                </c:pt>
                <c:pt idx="66">
                  <c:v>-30.4</c:v>
                </c:pt>
                <c:pt idx="67">
                  <c:v>-31</c:v>
                </c:pt>
                <c:pt idx="68">
                  <c:v>-31</c:v>
                </c:pt>
                <c:pt idx="69">
                  <c:v>-31.2</c:v>
                </c:pt>
                <c:pt idx="70">
                  <c:v>-31</c:v>
                </c:pt>
                <c:pt idx="71">
                  <c:v>-28.8</c:v>
                </c:pt>
              </c:numCache>
            </c:numRef>
          </c:val>
          <c:smooth val="0"/>
          <c:extLst>
            <c:ext xmlns:c16="http://schemas.microsoft.com/office/drawing/2014/chart" uri="{C3380CC4-5D6E-409C-BE32-E72D297353CC}">
              <c16:uniqueId val="{00000000-57E8-483F-AD94-80408D782F36}"/>
            </c:ext>
          </c:extLst>
        </c:ser>
        <c:ser>
          <c:idx val="1"/>
          <c:order val="1"/>
          <c:tx>
            <c:strRef>
              <c:f>Google!$A$14</c:f>
              <c:strCache>
                <c:ptCount val="1"/>
                <c:pt idx="0">
                  <c:v>Ghana</c:v>
                </c:pt>
              </c:strCache>
            </c:strRef>
          </c:tx>
          <c:spPr>
            <a:ln w="28575" cap="rnd">
              <a:solidFill>
                <a:schemeClr val="accent2"/>
              </a:solidFill>
              <a:round/>
            </a:ln>
            <a:effectLst/>
          </c:spPr>
          <c:marker>
            <c:symbol val="none"/>
          </c:marker>
          <c:cat>
            <c:numRef>
              <c:f>Google!$F$3:$BY$3</c:f>
              <c:numCache>
                <c:formatCode>m/d/yyyy</c:formatCode>
                <c:ptCount val="72"/>
                <c:pt idx="0">
                  <c:v>43880</c:v>
                </c:pt>
                <c:pt idx="1">
                  <c:v>43881</c:v>
                </c:pt>
                <c:pt idx="2">
                  <c:v>43882</c:v>
                </c:pt>
                <c:pt idx="3">
                  <c:v>43883</c:v>
                </c:pt>
                <c:pt idx="4">
                  <c:v>43884</c:v>
                </c:pt>
                <c:pt idx="5">
                  <c:v>43885</c:v>
                </c:pt>
                <c:pt idx="6">
                  <c:v>43886</c:v>
                </c:pt>
                <c:pt idx="7">
                  <c:v>43887</c:v>
                </c:pt>
                <c:pt idx="8">
                  <c:v>43888</c:v>
                </c:pt>
                <c:pt idx="9">
                  <c:v>43889</c:v>
                </c:pt>
                <c:pt idx="10">
                  <c:v>43890</c:v>
                </c:pt>
                <c:pt idx="11">
                  <c:v>43891</c:v>
                </c:pt>
                <c:pt idx="12">
                  <c:v>43892</c:v>
                </c:pt>
                <c:pt idx="13">
                  <c:v>43893</c:v>
                </c:pt>
                <c:pt idx="14">
                  <c:v>43894</c:v>
                </c:pt>
                <c:pt idx="15">
                  <c:v>43895</c:v>
                </c:pt>
                <c:pt idx="16">
                  <c:v>43896</c:v>
                </c:pt>
                <c:pt idx="17">
                  <c:v>43897</c:v>
                </c:pt>
                <c:pt idx="18">
                  <c:v>43898</c:v>
                </c:pt>
                <c:pt idx="19">
                  <c:v>43899</c:v>
                </c:pt>
                <c:pt idx="20">
                  <c:v>43900</c:v>
                </c:pt>
                <c:pt idx="21">
                  <c:v>43901</c:v>
                </c:pt>
                <c:pt idx="22">
                  <c:v>43902</c:v>
                </c:pt>
                <c:pt idx="23">
                  <c:v>43903</c:v>
                </c:pt>
                <c:pt idx="24">
                  <c:v>43904</c:v>
                </c:pt>
                <c:pt idx="25">
                  <c:v>43905</c:v>
                </c:pt>
                <c:pt idx="26">
                  <c:v>43906</c:v>
                </c:pt>
                <c:pt idx="27">
                  <c:v>43907</c:v>
                </c:pt>
                <c:pt idx="28">
                  <c:v>43908</c:v>
                </c:pt>
                <c:pt idx="29">
                  <c:v>43909</c:v>
                </c:pt>
                <c:pt idx="30">
                  <c:v>43910</c:v>
                </c:pt>
                <c:pt idx="31">
                  <c:v>43911</c:v>
                </c:pt>
                <c:pt idx="32">
                  <c:v>43912</c:v>
                </c:pt>
                <c:pt idx="33">
                  <c:v>43913</c:v>
                </c:pt>
                <c:pt idx="34">
                  <c:v>43914</c:v>
                </c:pt>
                <c:pt idx="35">
                  <c:v>43915</c:v>
                </c:pt>
                <c:pt idx="36">
                  <c:v>43916</c:v>
                </c:pt>
                <c:pt idx="37">
                  <c:v>43917</c:v>
                </c:pt>
                <c:pt idx="38">
                  <c:v>43918</c:v>
                </c:pt>
                <c:pt idx="39">
                  <c:v>43919</c:v>
                </c:pt>
                <c:pt idx="40">
                  <c:v>43920</c:v>
                </c:pt>
                <c:pt idx="41">
                  <c:v>43921</c:v>
                </c:pt>
                <c:pt idx="42">
                  <c:v>43922</c:v>
                </c:pt>
                <c:pt idx="43">
                  <c:v>43923</c:v>
                </c:pt>
                <c:pt idx="44">
                  <c:v>43924</c:v>
                </c:pt>
                <c:pt idx="45">
                  <c:v>43925</c:v>
                </c:pt>
                <c:pt idx="46">
                  <c:v>43926</c:v>
                </c:pt>
                <c:pt idx="47">
                  <c:v>43927</c:v>
                </c:pt>
                <c:pt idx="48">
                  <c:v>43928</c:v>
                </c:pt>
                <c:pt idx="49">
                  <c:v>43929</c:v>
                </c:pt>
                <c:pt idx="50">
                  <c:v>43930</c:v>
                </c:pt>
                <c:pt idx="51">
                  <c:v>43931</c:v>
                </c:pt>
                <c:pt idx="52">
                  <c:v>43932</c:v>
                </c:pt>
                <c:pt idx="53">
                  <c:v>43933</c:v>
                </c:pt>
                <c:pt idx="54">
                  <c:v>43934</c:v>
                </c:pt>
                <c:pt idx="55">
                  <c:v>43935</c:v>
                </c:pt>
                <c:pt idx="56">
                  <c:v>43936</c:v>
                </c:pt>
                <c:pt idx="57">
                  <c:v>43937</c:v>
                </c:pt>
                <c:pt idx="58">
                  <c:v>43938</c:v>
                </c:pt>
                <c:pt idx="59">
                  <c:v>43939</c:v>
                </c:pt>
                <c:pt idx="60">
                  <c:v>43940</c:v>
                </c:pt>
                <c:pt idx="61">
                  <c:v>43941</c:v>
                </c:pt>
                <c:pt idx="62">
                  <c:v>43942</c:v>
                </c:pt>
                <c:pt idx="63">
                  <c:v>43943</c:v>
                </c:pt>
                <c:pt idx="64">
                  <c:v>43944</c:v>
                </c:pt>
                <c:pt idx="65">
                  <c:v>43945</c:v>
                </c:pt>
                <c:pt idx="66">
                  <c:v>43946</c:v>
                </c:pt>
                <c:pt idx="67">
                  <c:v>43947</c:v>
                </c:pt>
                <c:pt idx="68">
                  <c:v>43948</c:v>
                </c:pt>
                <c:pt idx="69">
                  <c:v>43949</c:v>
                </c:pt>
                <c:pt idx="70">
                  <c:v>43950</c:v>
                </c:pt>
                <c:pt idx="71">
                  <c:v>43951</c:v>
                </c:pt>
              </c:numCache>
            </c:numRef>
          </c:cat>
          <c:val>
            <c:numRef>
              <c:f>Google!$F$14:$BY$14</c:f>
              <c:numCache>
                <c:formatCode>General</c:formatCode>
                <c:ptCount val="72"/>
                <c:pt idx="0">
                  <c:v>2.6</c:v>
                </c:pt>
                <c:pt idx="1">
                  <c:v>2.4</c:v>
                </c:pt>
                <c:pt idx="2">
                  <c:v>2.8</c:v>
                </c:pt>
                <c:pt idx="3">
                  <c:v>2.4</c:v>
                </c:pt>
                <c:pt idx="4">
                  <c:v>2</c:v>
                </c:pt>
                <c:pt idx="5">
                  <c:v>2.2000000000000002</c:v>
                </c:pt>
                <c:pt idx="6">
                  <c:v>2.6</c:v>
                </c:pt>
                <c:pt idx="7">
                  <c:v>2.4</c:v>
                </c:pt>
                <c:pt idx="8">
                  <c:v>2</c:v>
                </c:pt>
                <c:pt idx="9">
                  <c:v>2</c:v>
                </c:pt>
                <c:pt idx="10">
                  <c:v>1.6</c:v>
                </c:pt>
                <c:pt idx="11">
                  <c:v>1.8</c:v>
                </c:pt>
                <c:pt idx="12">
                  <c:v>2.2000000000000002</c:v>
                </c:pt>
                <c:pt idx="13">
                  <c:v>2.8</c:v>
                </c:pt>
                <c:pt idx="14">
                  <c:v>3</c:v>
                </c:pt>
                <c:pt idx="15">
                  <c:v>2.6</c:v>
                </c:pt>
                <c:pt idx="16">
                  <c:v>-6.6</c:v>
                </c:pt>
                <c:pt idx="17">
                  <c:v>-7.6</c:v>
                </c:pt>
                <c:pt idx="18">
                  <c:v>-7.6</c:v>
                </c:pt>
                <c:pt idx="19">
                  <c:v>-7.8</c:v>
                </c:pt>
                <c:pt idx="20">
                  <c:v>-7</c:v>
                </c:pt>
                <c:pt idx="21">
                  <c:v>1.8</c:v>
                </c:pt>
                <c:pt idx="22">
                  <c:v>2.6</c:v>
                </c:pt>
                <c:pt idx="23">
                  <c:v>3</c:v>
                </c:pt>
                <c:pt idx="24">
                  <c:v>3</c:v>
                </c:pt>
                <c:pt idx="25">
                  <c:v>3</c:v>
                </c:pt>
                <c:pt idx="26">
                  <c:v>1.2</c:v>
                </c:pt>
                <c:pt idx="27">
                  <c:v>-1</c:v>
                </c:pt>
                <c:pt idx="28">
                  <c:v>-3.8</c:v>
                </c:pt>
                <c:pt idx="29">
                  <c:v>-6.2</c:v>
                </c:pt>
                <c:pt idx="30">
                  <c:v>-8</c:v>
                </c:pt>
                <c:pt idx="31">
                  <c:v>-6</c:v>
                </c:pt>
                <c:pt idx="32">
                  <c:v>-5.2</c:v>
                </c:pt>
                <c:pt idx="33">
                  <c:v>-7.6</c:v>
                </c:pt>
                <c:pt idx="34">
                  <c:v>-9.8000000000000007</c:v>
                </c:pt>
                <c:pt idx="35">
                  <c:v>-13.2</c:v>
                </c:pt>
                <c:pt idx="36">
                  <c:v>-18.2</c:v>
                </c:pt>
                <c:pt idx="37">
                  <c:v>-22</c:v>
                </c:pt>
                <c:pt idx="38">
                  <c:v>-17.600000000000001</c:v>
                </c:pt>
                <c:pt idx="39">
                  <c:v>-12.8</c:v>
                </c:pt>
                <c:pt idx="40">
                  <c:v>-18.2</c:v>
                </c:pt>
                <c:pt idx="41">
                  <c:v>-23.8</c:v>
                </c:pt>
                <c:pt idx="42">
                  <c:v>-29.6</c:v>
                </c:pt>
                <c:pt idx="43">
                  <c:v>-40</c:v>
                </c:pt>
                <c:pt idx="44">
                  <c:v>-49.8</c:v>
                </c:pt>
                <c:pt idx="45">
                  <c:v>-45.2</c:v>
                </c:pt>
                <c:pt idx="46">
                  <c:v>-37.799999999999997</c:v>
                </c:pt>
                <c:pt idx="47">
                  <c:v>-37.200000000000003</c:v>
                </c:pt>
                <c:pt idx="48">
                  <c:v>-36.6</c:v>
                </c:pt>
                <c:pt idx="49">
                  <c:v>-37</c:v>
                </c:pt>
                <c:pt idx="50">
                  <c:v>-41</c:v>
                </c:pt>
                <c:pt idx="51">
                  <c:v>-49.6</c:v>
                </c:pt>
                <c:pt idx="52">
                  <c:v>-44.8</c:v>
                </c:pt>
                <c:pt idx="53">
                  <c:v>-37.4</c:v>
                </c:pt>
                <c:pt idx="54">
                  <c:v>-39.6</c:v>
                </c:pt>
                <c:pt idx="55">
                  <c:v>-39.4</c:v>
                </c:pt>
                <c:pt idx="56">
                  <c:v>-37.6</c:v>
                </c:pt>
                <c:pt idx="57">
                  <c:v>-41.8</c:v>
                </c:pt>
                <c:pt idx="58">
                  <c:v>-48.2</c:v>
                </c:pt>
                <c:pt idx="59">
                  <c:v>-40.6</c:v>
                </c:pt>
                <c:pt idx="60">
                  <c:v>-33.200000000000003</c:v>
                </c:pt>
                <c:pt idx="61">
                  <c:v>-30.8</c:v>
                </c:pt>
                <c:pt idx="62">
                  <c:v>-27.6</c:v>
                </c:pt>
                <c:pt idx="63">
                  <c:v>-25</c:v>
                </c:pt>
                <c:pt idx="64">
                  <c:v>-26.4</c:v>
                </c:pt>
                <c:pt idx="65">
                  <c:v>-29.4</c:v>
                </c:pt>
                <c:pt idx="66">
                  <c:v>-23.2</c:v>
                </c:pt>
                <c:pt idx="67">
                  <c:v>-19.2</c:v>
                </c:pt>
                <c:pt idx="68">
                  <c:v>-18</c:v>
                </c:pt>
                <c:pt idx="69">
                  <c:v>-17.2</c:v>
                </c:pt>
                <c:pt idx="70">
                  <c:v>-17.2</c:v>
                </c:pt>
                <c:pt idx="71">
                  <c:v>-21.2</c:v>
                </c:pt>
              </c:numCache>
            </c:numRef>
          </c:val>
          <c:smooth val="0"/>
          <c:extLst>
            <c:ext xmlns:c16="http://schemas.microsoft.com/office/drawing/2014/chart" uri="{C3380CC4-5D6E-409C-BE32-E72D297353CC}">
              <c16:uniqueId val="{00000001-57E8-483F-AD94-80408D782F36}"/>
            </c:ext>
          </c:extLst>
        </c:ser>
        <c:ser>
          <c:idx val="2"/>
          <c:order val="2"/>
          <c:tx>
            <c:strRef>
              <c:f>Google!$A$15</c:f>
              <c:strCache>
                <c:ptCount val="1"/>
                <c:pt idx="0">
                  <c:v>Kenya</c:v>
                </c:pt>
              </c:strCache>
            </c:strRef>
          </c:tx>
          <c:spPr>
            <a:ln w="28575" cap="rnd">
              <a:solidFill>
                <a:schemeClr val="accent3"/>
              </a:solidFill>
              <a:round/>
            </a:ln>
            <a:effectLst/>
          </c:spPr>
          <c:marker>
            <c:symbol val="none"/>
          </c:marker>
          <c:cat>
            <c:numRef>
              <c:f>Google!$F$3:$BY$3</c:f>
              <c:numCache>
                <c:formatCode>m/d/yyyy</c:formatCode>
                <c:ptCount val="72"/>
                <c:pt idx="0">
                  <c:v>43880</c:v>
                </c:pt>
                <c:pt idx="1">
                  <c:v>43881</c:v>
                </c:pt>
                <c:pt idx="2">
                  <c:v>43882</c:v>
                </c:pt>
                <c:pt idx="3">
                  <c:v>43883</c:v>
                </c:pt>
                <c:pt idx="4">
                  <c:v>43884</c:v>
                </c:pt>
                <c:pt idx="5">
                  <c:v>43885</c:v>
                </c:pt>
                <c:pt idx="6">
                  <c:v>43886</c:v>
                </c:pt>
                <c:pt idx="7">
                  <c:v>43887</c:v>
                </c:pt>
                <c:pt idx="8">
                  <c:v>43888</c:v>
                </c:pt>
                <c:pt idx="9">
                  <c:v>43889</c:v>
                </c:pt>
                <c:pt idx="10">
                  <c:v>43890</c:v>
                </c:pt>
                <c:pt idx="11">
                  <c:v>43891</c:v>
                </c:pt>
                <c:pt idx="12">
                  <c:v>43892</c:v>
                </c:pt>
                <c:pt idx="13">
                  <c:v>43893</c:v>
                </c:pt>
                <c:pt idx="14">
                  <c:v>43894</c:v>
                </c:pt>
                <c:pt idx="15">
                  <c:v>43895</c:v>
                </c:pt>
                <c:pt idx="16">
                  <c:v>43896</c:v>
                </c:pt>
                <c:pt idx="17">
                  <c:v>43897</c:v>
                </c:pt>
                <c:pt idx="18">
                  <c:v>43898</c:v>
                </c:pt>
                <c:pt idx="19">
                  <c:v>43899</c:v>
                </c:pt>
                <c:pt idx="20">
                  <c:v>43900</c:v>
                </c:pt>
                <c:pt idx="21">
                  <c:v>43901</c:v>
                </c:pt>
                <c:pt idx="22">
                  <c:v>43902</c:v>
                </c:pt>
                <c:pt idx="23">
                  <c:v>43903</c:v>
                </c:pt>
                <c:pt idx="24">
                  <c:v>43904</c:v>
                </c:pt>
                <c:pt idx="25">
                  <c:v>43905</c:v>
                </c:pt>
                <c:pt idx="26">
                  <c:v>43906</c:v>
                </c:pt>
                <c:pt idx="27">
                  <c:v>43907</c:v>
                </c:pt>
                <c:pt idx="28">
                  <c:v>43908</c:v>
                </c:pt>
                <c:pt idx="29">
                  <c:v>43909</c:v>
                </c:pt>
                <c:pt idx="30">
                  <c:v>43910</c:v>
                </c:pt>
                <c:pt idx="31">
                  <c:v>43911</c:v>
                </c:pt>
                <c:pt idx="32">
                  <c:v>43912</c:v>
                </c:pt>
                <c:pt idx="33">
                  <c:v>43913</c:v>
                </c:pt>
                <c:pt idx="34">
                  <c:v>43914</c:v>
                </c:pt>
                <c:pt idx="35">
                  <c:v>43915</c:v>
                </c:pt>
                <c:pt idx="36">
                  <c:v>43916</c:v>
                </c:pt>
                <c:pt idx="37">
                  <c:v>43917</c:v>
                </c:pt>
                <c:pt idx="38">
                  <c:v>43918</c:v>
                </c:pt>
                <c:pt idx="39">
                  <c:v>43919</c:v>
                </c:pt>
                <c:pt idx="40">
                  <c:v>43920</c:v>
                </c:pt>
                <c:pt idx="41">
                  <c:v>43921</c:v>
                </c:pt>
                <c:pt idx="42">
                  <c:v>43922</c:v>
                </c:pt>
                <c:pt idx="43">
                  <c:v>43923</c:v>
                </c:pt>
                <c:pt idx="44">
                  <c:v>43924</c:v>
                </c:pt>
                <c:pt idx="45">
                  <c:v>43925</c:v>
                </c:pt>
                <c:pt idx="46">
                  <c:v>43926</c:v>
                </c:pt>
                <c:pt idx="47">
                  <c:v>43927</c:v>
                </c:pt>
                <c:pt idx="48">
                  <c:v>43928</c:v>
                </c:pt>
                <c:pt idx="49">
                  <c:v>43929</c:v>
                </c:pt>
                <c:pt idx="50">
                  <c:v>43930</c:v>
                </c:pt>
                <c:pt idx="51">
                  <c:v>43931</c:v>
                </c:pt>
                <c:pt idx="52">
                  <c:v>43932</c:v>
                </c:pt>
                <c:pt idx="53">
                  <c:v>43933</c:v>
                </c:pt>
                <c:pt idx="54">
                  <c:v>43934</c:v>
                </c:pt>
                <c:pt idx="55">
                  <c:v>43935</c:v>
                </c:pt>
                <c:pt idx="56">
                  <c:v>43936</c:v>
                </c:pt>
                <c:pt idx="57">
                  <c:v>43937</c:v>
                </c:pt>
                <c:pt idx="58">
                  <c:v>43938</c:v>
                </c:pt>
                <c:pt idx="59">
                  <c:v>43939</c:v>
                </c:pt>
                <c:pt idx="60">
                  <c:v>43940</c:v>
                </c:pt>
                <c:pt idx="61">
                  <c:v>43941</c:v>
                </c:pt>
                <c:pt idx="62">
                  <c:v>43942</c:v>
                </c:pt>
                <c:pt idx="63">
                  <c:v>43943</c:v>
                </c:pt>
                <c:pt idx="64">
                  <c:v>43944</c:v>
                </c:pt>
                <c:pt idx="65">
                  <c:v>43945</c:v>
                </c:pt>
                <c:pt idx="66">
                  <c:v>43946</c:v>
                </c:pt>
                <c:pt idx="67">
                  <c:v>43947</c:v>
                </c:pt>
                <c:pt idx="68">
                  <c:v>43948</c:v>
                </c:pt>
                <c:pt idx="69">
                  <c:v>43949</c:v>
                </c:pt>
                <c:pt idx="70">
                  <c:v>43950</c:v>
                </c:pt>
                <c:pt idx="71">
                  <c:v>43951</c:v>
                </c:pt>
              </c:numCache>
            </c:numRef>
          </c:cat>
          <c:val>
            <c:numRef>
              <c:f>Google!$F$15:$BY$15</c:f>
              <c:numCache>
                <c:formatCode>General</c:formatCode>
                <c:ptCount val="72"/>
                <c:pt idx="0">
                  <c:v>2.2000000000000002</c:v>
                </c:pt>
                <c:pt idx="1">
                  <c:v>2</c:v>
                </c:pt>
                <c:pt idx="2">
                  <c:v>2</c:v>
                </c:pt>
                <c:pt idx="3">
                  <c:v>2</c:v>
                </c:pt>
                <c:pt idx="4">
                  <c:v>2.6</c:v>
                </c:pt>
                <c:pt idx="5">
                  <c:v>3.4</c:v>
                </c:pt>
                <c:pt idx="6">
                  <c:v>4.4000000000000004</c:v>
                </c:pt>
                <c:pt idx="7">
                  <c:v>4.8</c:v>
                </c:pt>
                <c:pt idx="8">
                  <c:v>5.2</c:v>
                </c:pt>
                <c:pt idx="9">
                  <c:v>5.8</c:v>
                </c:pt>
                <c:pt idx="10">
                  <c:v>5.8</c:v>
                </c:pt>
                <c:pt idx="11">
                  <c:v>5.8</c:v>
                </c:pt>
                <c:pt idx="12">
                  <c:v>6</c:v>
                </c:pt>
                <c:pt idx="13">
                  <c:v>6.4</c:v>
                </c:pt>
                <c:pt idx="14">
                  <c:v>6</c:v>
                </c:pt>
                <c:pt idx="15">
                  <c:v>6.4</c:v>
                </c:pt>
                <c:pt idx="16">
                  <c:v>6.8</c:v>
                </c:pt>
                <c:pt idx="17">
                  <c:v>6.6</c:v>
                </c:pt>
                <c:pt idx="18">
                  <c:v>6.6</c:v>
                </c:pt>
                <c:pt idx="19">
                  <c:v>6.8</c:v>
                </c:pt>
                <c:pt idx="20">
                  <c:v>6.8</c:v>
                </c:pt>
                <c:pt idx="21">
                  <c:v>6.8</c:v>
                </c:pt>
                <c:pt idx="22">
                  <c:v>7.2</c:v>
                </c:pt>
                <c:pt idx="23">
                  <c:v>7.6</c:v>
                </c:pt>
                <c:pt idx="24">
                  <c:v>7.2</c:v>
                </c:pt>
                <c:pt idx="25">
                  <c:v>7.2</c:v>
                </c:pt>
                <c:pt idx="26">
                  <c:v>5.4</c:v>
                </c:pt>
                <c:pt idx="27">
                  <c:v>2.2000000000000002</c:v>
                </c:pt>
                <c:pt idx="28">
                  <c:v>-2.2000000000000002</c:v>
                </c:pt>
                <c:pt idx="29">
                  <c:v>-6.2</c:v>
                </c:pt>
                <c:pt idx="30">
                  <c:v>-10.4</c:v>
                </c:pt>
                <c:pt idx="31">
                  <c:v>-11.8</c:v>
                </c:pt>
                <c:pt idx="32">
                  <c:v>-11.6</c:v>
                </c:pt>
                <c:pt idx="33">
                  <c:v>-13.8</c:v>
                </c:pt>
                <c:pt idx="34">
                  <c:v>-16.8</c:v>
                </c:pt>
                <c:pt idx="35">
                  <c:v>-20.8</c:v>
                </c:pt>
                <c:pt idx="36">
                  <c:v>-26.4</c:v>
                </c:pt>
                <c:pt idx="37">
                  <c:v>-32</c:v>
                </c:pt>
                <c:pt idx="38">
                  <c:v>-32.200000000000003</c:v>
                </c:pt>
                <c:pt idx="39">
                  <c:v>-30.6</c:v>
                </c:pt>
                <c:pt idx="40">
                  <c:v>-31.4</c:v>
                </c:pt>
                <c:pt idx="41">
                  <c:v>-31.8</c:v>
                </c:pt>
                <c:pt idx="42">
                  <c:v>-32.4</c:v>
                </c:pt>
                <c:pt idx="43">
                  <c:v>-35</c:v>
                </c:pt>
                <c:pt idx="44">
                  <c:v>-37.6</c:v>
                </c:pt>
                <c:pt idx="45">
                  <c:v>-34.6</c:v>
                </c:pt>
                <c:pt idx="46">
                  <c:v>-31</c:v>
                </c:pt>
                <c:pt idx="47">
                  <c:v>-30.8</c:v>
                </c:pt>
                <c:pt idx="48">
                  <c:v>-31</c:v>
                </c:pt>
                <c:pt idx="49">
                  <c:v>-31.8</c:v>
                </c:pt>
                <c:pt idx="50">
                  <c:v>-35</c:v>
                </c:pt>
                <c:pt idx="51">
                  <c:v>-42.2</c:v>
                </c:pt>
                <c:pt idx="52">
                  <c:v>-40.4</c:v>
                </c:pt>
                <c:pt idx="53">
                  <c:v>-36.799999999999997</c:v>
                </c:pt>
                <c:pt idx="54">
                  <c:v>-41</c:v>
                </c:pt>
                <c:pt idx="55">
                  <c:v>-40.799999999999997</c:v>
                </c:pt>
                <c:pt idx="56">
                  <c:v>-37.200000000000003</c:v>
                </c:pt>
                <c:pt idx="57">
                  <c:v>-39</c:v>
                </c:pt>
                <c:pt idx="58">
                  <c:v>-41.8</c:v>
                </c:pt>
                <c:pt idx="59">
                  <c:v>-34.4</c:v>
                </c:pt>
                <c:pt idx="60">
                  <c:v>-30.8</c:v>
                </c:pt>
                <c:pt idx="61">
                  <c:v>-30.6</c:v>
                </c:pt>
                <c:pt idx="62">
                  <c:v>-30.6</c:v>
                </c:pt>
                <c:pt idx="63">
                  <c:v>-31.2</c:v>
                </c:pt>
                <c:pt idx="64">
                  <c:v>-34.200000000000003</c:v>
                </c:pt>
                <c:pt idx="65">
                  <c:v>-37</c:v>
                </c:pt>
                <c:pt idx="66">
                  <c:v>-34.200000000000003</c:v>
                </c:pt>
                <c:pt idx="67">
                  <c:v>-30.4</c:v>
                </c:pt>
                <c:pt idx="68">
                  <c:v>-29.8</c:v>
                </c:pt>
                <c:pt idx="69">
                  <c:v>-29.2</c:v>
                </c:pt>
                <c:pt idx="70">
                  <c:v>-29.4</c:v>
                </c:pt>
                <c:pt idx="71">
                  <c:v>-31.6</c:v>
                </c:pt>
              </c:numCache>
            </c:numRef>
          </c:val>
          <c:smooth val="0"/>
          <c:extLst>
            <c:ext xmlns:c16="http://schemas.microsoft.com/office/drawing/2014/chart" uri="{C3380CC4-5D6E-409C-BE32-E72D297353CC}">
              <c16:uniqueId val="{00000002-57E8-483F-AD94-80408D782F36}"/>
            </c:ext>
          </c:extLst>
        </c:ser>
        <c:ser>
          <c:idx val="3"/>
          <c:order val="3"/>
          <c:tx>
            <c:strRef>
              <c:f>Google!$A$16</c:f>
              <c:strCache>
                <c:ptCount val="1"/>
                <c:pt idx="0">
                  <c:v>Mozambique</c:v>
                </c:pt>
              </c:strCache>
            </c:strRef>
          </c:tx>
          <c:spPr>
            <a:ln w="28575" cap="rnd">
              <a:solidFill>
                <a:schemeClr val="accent4"/>
              </a:solidFill>
              <a:round/>
            </a:ln>
            <a:effectLst/>
          </c:spPr>
          <c:marker>
            <c:symbol val="none"/>
          </c:marker>
          <c:cat>
            <c:numRef>
              <c:f>Google!$F$3:$BY$3</c:f>
              <c:numCache>
                <c:formatCode>m/d/yyyy</c:formatCode>
                <c:ptCount val="72"/>
                <c:pt idx="0">
                  <c:v>43880</c:v>
                </c:pt>
                <c:pt idx="1">
                  <c:v>43881</c:v>
                </c:pt>
                <c:pt idx="2">
                  <c:v>43882</c:v>
                </c:pt>
                <c:pt idx="3">
                  <c:v>43883</c:v>
                </c:pt>
                <c:pt idx="4">
                  <c:v>43884</c:v>
                </c:pt>
                <c:pt idx="5">
                  <c:v>43885</c:v>
                </c:pt>
                <c:pt idx="6">
                  <c:v>43886</c:v>
                </c:pt>
                <c:pt idx="7">
                  <c:v>43887</c:v>
                </c:pt>
                <c:pt idx="8">
                  <c:v>43888</c:v>
                </c:pt>
                <c:pt idx="9">
                  <c:v>43889</c:v>
                </c:pt>
                <c:pt idx="10">
                  <c:v>43890</c:v>
                </c:pt>
                <c:pt idx="11">
                  <c:v>43891</c:v>
                </c:pt>
                <c:pt idx="12">
                  <c:v>43892</c:v>
                </c:pt>
                <c:pt idx="13">
                  <c:v>43893</c:v>
                </c:pt>
                <c:pt idx="14">
                  <c:v>43894</c:v>
                </c:pt>
                <c:pt idx="15">
                  <c:v>43895</c:v>
                </c:pt>
                <c:pt idx="16">
                  <c:v>43896</c:v>
                </c:pt>
                <c:pt idx="17">
                  <c:v>43897</c:v>
                </c:pt>
                <c:pt idx="18">
                  <c:v>43898</c:v>
                </c:pt>
                <c:pt idx="19">
                  <c:v>43899</c:v>
                </c:pt>
                <c:pt idx="20">
                  <c:v>43900</c:v>
                </c:pt>
                <c:pt idx="21">
                  <c:v>43901</c:v>
                </c:pt>
                <c:pt idx="22">
                  <c:v>43902</c:v>
                </c:pt>
                <c:pt idx="23">
                  <c:v>43903</c:v>
                </c:pt>
                <c:pt idx="24">
                  <c:v>43904</c:v>
                </c:pt>
                <c:pt idx="25">
                  <c:v>43905</c:v>
                </c:pt>
                <c:pt idx="26">
                  <c:v>43906</c:v>
                </c:pt>
                <c:pt idx="27">
                  <c:v>43907</c:v>
                </c:pt>
                <c:pt idx="28">
                  <c:v>43908</c:v>
                </c:pt>
                <c:pt idx="29">
                  <c:v>43909</c:v>
                </c:pt>
                <c:pt idx="30">
                  <c:v>43910</c:v>
                </c:pt>
                <c:pt idx="31">
                  <c:v>43911</c:v>
                </c:pt>
                <c:pt idx="32">
                  <c:v>43912</c:v>
                </c:pt>
                <c:pt idx="33">
                  <c:v>43913</c:v>
                </c:pt>
                <c:pt idx="34">
                  <c:v>43914</c:v>
                </c:pt>
                <c:pt idx="35">
                  <c:v>43915</c:v>
                </c:pt>
                <c:pt idx="36">
                  <c:v>43916</c:v>
                </c:pt>
                <c:pt idx="37">
                  <c:v>43917</c:v>
                </c:pt>
                <c:pt idx="38">
                  <c:v>43918</c:v>
                </c:pt>
                <c:pt idx="39">
                  <c:v>43919</c:v>
                </c:pt>
                <c:pt idx="40">
                  <c:v>43920</c:v>
                </c:pt>
                <c:pt idx="41">
                  <c:v>43921</c:v>
                </c:pt>
                <c:pt idx="42">
                  <c:v>43922</c:v>
                </c:pt>
                <c:pt idx="43">
                  <c:v>43923</c:v>
                </c:pt>
                <c:pt idx="44">
                  <c:v>43924</c:v>
                </c:pt>
                <c:pt idx="45">
                  <c:v>43925</c:v>
                </c:pt>
                <c:pt idx="46">
                  <c:v>43926</c:v>
                </c:pt>
                <c:pt idx="47">
                  <c:v>43927</c:v>
                </c:pt>
                <c:pt idx="48">
                  <c:v>43928</c:v>
                </c:pt>
                <c:pt idx="49">
                  <c:v>43929</c:v>
                </c:pt>
                <c:pt idx="50">
                  <c:v>43930</c:v>
                </c:pt>
                <c:pt idx="51">
                  <c:v>43931</c:v>
                </c:pt>
                <c:pt idx="52">
                  <c:v>43932</c:v>
                </c:pt>
                <c:pt idx="53">
                  <c:v>43933</c:v>
                </c:pt>
                <c:pt idx="54">
                  <c:v>43934</c:v>
                </c:pt>
                <c:pt idx="55">
                  <c:v>43935</c:v>
                </c:pt>
                <c:pt idx="56">
                  <c:v>43936</c:v>
                </c:pt>
                <c:pt idx="57">
                  <c:v>43937</c:v>
                </c:pt>
                <c:pt idx="58">
                  <c:v>43938</c:v>
                </c:pt>
                <c:pt idx="59">
                  <c:v>43939</c:v>
                </c:pt>
                <c:pt idx="60">
                  <c:v>43940</c:v>
                </c:pt>
                <c:pt idx="61">
                  <c:v>43941</c:v>
                </c:pt>
                <c:pt idx="62">
                  <c:v>43942</c:v>
                </c:pt>
                <c:pt idx="63">
                  <c:v>43943</c:v>
                </c:pt>
                <c:pt idx="64">
                  <c:v>43944</c:v>
                </c:pt>
                <c:pt idx="65">
                  <c:v>43945</c:v>
                </c:pt>
                <c:pt idx="66">
                  <c:v>43946</c:v>
                </c:pt>
                <c:pt idx="67">
                  <c:v>43947</c:v>
                </c:pt>
                <c:pt idx="68">
                  <c:v>43948</c:v>
                </c:pt>
                <c:pt idx="69">
                  <c:v>43949</c:v>
                </c:pt>
                <c:pt idx="70">
                  <c:v>43950</c:v>
                </c:pt>
                <c:pt idx="71">
                  <c:v>43951</c:v>
                </c:pt>
              </c:numCache>
            </c:numRef>
          </c:cat>
          <c:val>
            <c:numRef>
              <c:f>Google!$F$16:$BY$16</c:f>
              <c:numCache>
                <c:formatCode>General</c:formatCode>
                <c:ptCount val="72"/>
                <c:pt idx="0">
                  <c:v>9</c:v>
                </c:pt>
                <c:pt idx="1">
                  <c:v>11.4</c:v>
                </c:pt>
                <c:pt idx="2">
                  <c:v>15.4</c:v>
                </c:pt>
                <c:pt idx="3">
                  <c:v>12</c:v>
                </c:pt>
                <c:pt idx="4">
                  <c:v>8</c:v>
                </c:pt>
                <c:pt idx="5">
                  <c:v>9.4</c:v>
                </c:pt>
                <c:pt idx="6">
                  <c:v>10.199999999999999</c:v>
                </c:pt>
                <c:pt idx="7">
                  <c:v>10.199999999999999</c:v>
                </c:pt>
                <c:pt idx="8">
                  <c:v>13</c:v>
                </c:pt>
                <c:pt idx="9">
                  <c:v>17.600000000000001</c:v>
                </c:pt>
                <c:pt idx="10">
                  <c:v>14</c:v>
                </c:pt>
                <c:pt idx="11">
                  <c:v>10.4</c:v>
                </c:pt>
                <c:pt idx="12">
                  <c:v>11.8</c:v>
                </c:pt>
                <c:pt idx="13">
                  <c:v>12.8</c:v>
                </c:pt>
                <c:pt idx="14">
                  <c:v>13.2</c:v>
                </c:pt>
                <c:pt idx="15">
                  <c:v>16.8</c:v>
                </c:pt>
                <c:pt idx="16">
                  <c:v>21.4</c:v>
                </c:pt>
                <c:pt idx="17">
                  <c:v>17.8</c:v>
                </c:pt>
                <c:pt idx="18">
                  <c:v>13.8</c:v>
                </c:pt>
                <c:pt idx="19">
                  <c:v>15</c:v>
                </c:pt>
                <c:pt idx="20">
                  <c:v>15.4</c:v>
                </c:pt>
                <c:pt idx="21">
                  <c:v>15.2</c:v>
                </c:pt>
                <c:pt idx="22">
                  <c:v>17.8</c:v>
                </c:pt>
                <c:pt idx="23">
                  <c:v>21.8</c:v>
                </c:pt>
                <c:pt idx="24">
                  <c:v>17.399999999999999</c:v>
                </c:pt>
                <c:pt idx="25">
                  <c:v>12.4</c:v>
                </c:pt>
                <c:pt idx="26">
                  <c:v>13</c:v>
                </c:pt>
                <c:pt idx="27">
                  <c:v>13.2</c:v>
                </c:pt>
                <c:pt idx="28">
                  <c:v>12.8</c:v>
                </c:pt>
                <c:pt idx="29">
                  <c:v>15.4</c:v>
                </c:pt>
                <c:pt idx="30">
                  <c:v>20</c:v>
                </c:pt>
                <c:pt idx="31">
                  <c:v>15.6</c:v>
                </c:pt>
                <c:pt idx="32">
                  <c:v>11.4</c:v>
                </c:pt>
                <c:pt idx="33">
                  <c:v>9.1999999999999993</c:v>
                </c:pt>
                <c:pt idx="34">
                  <c:v>6</c:v>
                </c:pt>
                <c:pt idx="35">
                  <c:v>1.6</c:v>
                </c:pt>
                <c:pt idx="36">
                  <c:v>0</c:v>
                </c:pt>
                <c:pt idx="37">
                  <c:v>-0.6</c:v>
                </c:pt>
                <c:pt idx="38">
                  <c:v>-2.6</c:v>
                </c:pt>
                <c:pt idx="39">
                  <c:v>-2.6</c:v>
                </c:pt>
                <c:pt idx="40">
                  <c:v>-3</c:v>
                </c:pt>
                <c:pt idx="41">
                  <c:v>-3.6</c:v>
                </c:pt>
                <c:pt idx="42">
                  <c:v>-5.4</c:v>
                </c:pt>
                <c:pt idx="43">
                  <c:v>-8.4</c:v>
                </c:pt>
                <c:pt idx="44">
                  <c:v>-11.2</c:v>
                </c:pt>
                <c:pt idx="45">
                  <c:v>-11.6</c:v>
                </c:pt>
                <c:pt idx="46">
                  <c:v>-10.199999999999999</c:v>
                </c:pt>
                <c:pt idx="47">
                  <c:v>-10.199999999999999</c:v>
                </c:pt>
                <c:pt idx="48">
                  <c:v>-19.399999999999999</c:v>
                </c:pt>
                <c:pt idx="49">
                  <c:v>-20.2</c:v>
                </c:pt>
                <c:pt idx="50">
                  <c:v>-22.8</c:v>
                </c:pt>
                <c:pt idx="51">
                  <c:v>-33.6</c:v>
                </c:pt>
                <c:pt idx="52">
                  <c:v>-32.200000000000003</c:v>
                </c:pt>
                <c:pt idx="53">
                  <c:v>-20.2</c:v>
                </c:pt>
                <c:pt idx="54">
                  <c:v>-19</c:v>
                </c:pt>
                <c:pt idx="55">
                  <c:v>-18.399999999999999</c:v>
                </c:pt>
                <c:pt idx="56">
                  <c:v>-10.8</c:v>
                </c:pt>
                <c:pt idx="57">
                  <c:v>-13.2</c:v>
                </c:pt>
                <c:pt idx="58">
                  <c:v>-15.4</c:v>
                </c:pt>
                <c:pt idx="59">
                  <c:v>-14</c:v>
                </c:pt>
                <c:pt idx="60">
                  <c:v>-11</c:v>
                </c:pt>
                <c:pt idx="61">
                  <c:v>-9.6</c:v>
                </c:pt>
                <c:pt idx="62">
                  <c:v>-9</c:v>
                </c:pt>
                <c:pt idx="63">
                  <c:v>-9</c:v>
                </c:pt>
                <c:pt idx="64">
                  <c:v>-11.2</c:v>
                </c:pt>
                <c:pt idx="65">
                  <c:v>-13.2</c:v>
                </c:pt>
                <c:pt idx="66">
                  <c:v>-11</c:v>
                </c:pt>
                <c:pt idx="67">
                  <c:v>-7</c:v>
                </c:pt>
                <c:pt idx="68">
                  <c:v>-5.6</c:v>
                </c:pt>
                <c:pt idx="69">
                  <c:v>-4.8</c:v>
                </c:pt>
                <c:pt idx="70">
                  <c:v>-4.8</c:v>
                </c:pt>
                <c:pt idx="71">
                  <c:v>-7.2</c:v>
                </c:pt>
              </c:numCache>
            </c:numRef>
          </c:val>
          <c:smooth val="0"/>
          <c:extLst>
            <c:ext xmlns:c16="http://schemas.microsoft.com/office/drawing/2014/chart" uri="{C3380CC4-5D6E-409C-BE32-E72D297353CC}">
              <c16:uniqueId val="{00000003-57E8-483F-AD94-80408D782F36}"/>
            </c:ext>
          </c:extLst>
        </c:ser>
        <c:ser>
          <c:idx val="4"/>
          <c:order val="4"/>
          <c:tx>
            <c:strRef>
              <c:f>Google!$A$17</c:f>
              <c:strCache>
                <c:ptCount val="1"/>
                <c:pt idx="0">
                  <c:v>Nigeria</c:v>
                </c:pt>
              </c:strCache>
            </c:strRef>
          </c:tx>
          <c:spPr>
            <a:ln w="28575" cap="rnd">
              <a:solidFill>
                <a:schemeClr val="accent5"/>
              </a:solidFill>
              <a:round/>
            </a:ln>
            <a:effectLst/>
          </c:spPr>
          <c:marker>
            <c:symbol val="none"/>
          </c:marker>
          <c:cat>
            <c:numRef>
              <c:f>Google!$F$3:$BY$3</c:f>
              <c:numCache>
                <c:formatCode>m/d/yyyy</c:formatCode>
                <c:ptCount val="72"/>
                <c:pt idx="0">
                  <c:v>43880</c:v>
                </c:pt>
                <c:pt idx="1">
                  <c:v>43881</c:v>
                </c:pt>
                <c:pt idx="2">
                  <c:v>43882</c:v>
                </c:pt>
                <c:pt idx="3">
                  <c:v>43883</c:v>
                </c:pt>
                <c:pt idx="4">
                  <c:v>43884</c:v>
                </c:pt>
                <c:pt idx="5">
                  <c:v>43885</c:v>
                </c:pt>
                <c:pt idx="6">
                  <c:v>43886</c:v>
                </c:pt>
                <c:pt idx="7">
                  <c:v>43887</c:v>
                </c:pt>
                <c:pt idx="8">
                  <c:v>43888</c:v>
                </c:pt>
                <c:pt idx="9">
                  <c:v>43889</c:v>
                </c:pt>
                <c:pt idx="10">
                  <c:v>43890</c:v>
                </c:pt>
                <c:pt idx="11">
                  <c:v>43891</c:v>
                </c:pt>
                <c:pt idx="12">
                  <c:v>43892</c:v>
                </c:pt>
                <c:pt idx="13">
                  <c:v>43893</c:v>
                </c:pt>
                <c:pt idx="14">
                  <c:v>43894</c:v>
                </c:pt>
                <c:pt idx="15">
                  <c:v>43895</c:v>
                </c:pt>
                <c:pt idx="16">
                  <c:v>43896</c:v>
                </c:pt>
                <c:pt idx="17">
                  <c:v>43897</c:v>
                </c:pt>
                <c:pt idx="18">
                  <c:v>43898</c:v>
                </c:pt>
                <c:pt idx="19">
                  <c:v>43899</c:v>
                </c:pt>
                <c:pt idx="20">
                  <c:v>43900</c:v>
                </c:pt>
                <c:pt idx="21">
                  <c:v>43901</c:v>
                </c:pt>
                <c:pt idx="22">
                  <c:v>43902</c:v>
                </c:pt>
                <c:pt idx="23">
                  <c:v>43903</c:v>
                </c:pt>
                <c:pt idx="24">
                  <c:v>43904</c:v>
                </c:pt>
                <c:pt idx="25">
                  <c:v>43905</c:v>
                </c:pt>
                <c:pt idx="26">
                  <c:v>43906</c:v>
                </c:pt>
                <c:pt idx="27">
                  <c:v>43907</c:v>
                </c:pt>
                <c:pt idx="28">
                  <c:v>43908</c:v>
                </c:pt>
                <c:pt idx="29">
                  <c:v>43909</c:v>
                </c:pt>
                <c:pt idx="30">
                  <c:v>43910</c:v>
                </c:pt>
                <c:pt idx="31">
                  <c:v>43911</c:v>
                </c:pt>
                <c:pt idx="32">
                  <c:v>43912</c:v>
                </c:pt>
                <c:pt idx="33">
                  <c:v>43913</c:v>
                </c:pt>
                <c:pt idx="34">
                  <c:v>43914</c:v>
                </c:pt>
                <c:pt idx="35">
                  <c:v>43915</c:v>
                </c:pt>
                <c:pt idx="36">
                  <c:v>43916</c:v>
                </c:pt>
                <c:pt idx="37">
                  <c:v>43917</c:v>
                </c:pt>
                <c:pt idx="38">
                  <c:v>43918</c:v>
                </c:pt>
                <c:pt idx="39">
                  <c:v>43919</c:v>
                </c:pt>
                <c:pt idx="40">
                  <c:v>43920</c:v>
                </c:pt>
                <c:pt idx="41">
                  <c:v>43921</c:v>
                </c:pt>
                <c:pt idx="42">
                  <c:v>43922</c:v>
                </c:pt>
                <c:pt idx="43">
                  <c:v>43923</c:v>
                </c:pt>
                <c:pt idx="44">
                  <c:v>43924</c:v>
                </c:pt>
                <c:pt idx="45">
                  <c:v>43925</c:v>
                </c:pt>
                <c:pt idx="46">
                  <c:v>43926</c:v>
                </c:pt>
                <c:pt idx="47">
                  <c:v>43927</c:v>
                </c:pt>
                <c:pt idx="48">
                  <c:v>43928</c:v>
                </c:pt>
                <c:pt idx="49">
                  <c:v>43929</c:v>
                </c:pt>
                <c:pt idx="50">
                  <c:v>43930</c:v>
                </c:pt>
                <c:pt idx="51">
                  <c:v>43931</c:v>
                </c:pt>
                <c:pt idx="52">
                  <c:v>43932</c:v>
                </c:pt>
                <c:pt idx="53">
                  <c:v>43933</c:v>
                </c:pt>
                <c:pt idx="54">
                  <c:v>43934</c:v>
                </c:pt>
                <c:pt idx="55">
                  <c:v>43935</c:v>
                </c:pt>
                <c:pt idx="56">
                  <c:v>43936</c:v>
                </c:pt>
                <c:pt idx="57">
                  <c:v>43937</c:v>
                </c:pt>
                <c:pt idx="58">
                  <c:v>43938</c:v>
                </c:pt>
                <c:pt idx="59">
                  <c:v>43939</c:v>
                </c:pt>
                <c:pt idx="60">
                  <c:v>43940</c:v>
                </c:pt>
                <c:pt idx="61">
                  <c:v>43941</c:v>
                </c:pt>
                <c:pt idx="62">
                  <c:v>43942</c:v>
                </c:pt>
                <c:pt idx="63">
                  <c:v>43943</c:v>
                </c:pt>
                <c:pt idx="64">
                  <c:v>43944</c:v>
                </c:pt>
                <c:pt idx="65">
                  <c:v>43945</c:v>
                </c:pt>
                <c:pt idx="66">
                  <c:v>43946</c:v>
                </c:pt>
                <c:pt idx="67">
                  <c:v>43947</c:v>
                </c:pt>
                <c:pt idx="68">
                  <c:v>43948</c:v>
                </c:pt>
                <c:pt idx="69">
                  <c:v>43949</c:v>
                </c:pt>
                <c:pt idx="70">
                  <c:v>43950</c:v>
                </c:pt>
                <c:pt idx="71">
                  <c:v>43951</c:v>
                </c:pt>
              </c:numCache>
            </c:numRef>
          </c:cat>
          <c:val>
            <c:numRef>
              <c:f>Google!$F$17:$BY$17</c:f>
              <c:numCache>
                <c:formatCode>General</c:formatCode>
                <c:ptCount val="72"/>
                <c:pt idx="0">
                  <c:v>2.8</c:v>
                </c:pt>
                <c:pt idx="1">
                  <c:v>1.6</c:v>
                </c:pt>
                <c:pt idx="2">
                  <c:v>1.2</c:v>
                </c:pt>
                <c:pt idx="3">
                  <c:v>1</c:v>
                </c:pt>
                <c:pt idx="4">
                  <c:v>0.6</c:v>
                </c:pt>
                <c:pt idx="5">
                  <c:v>0.8</c:v>
                </c:pt>
                <c:pt idx="6">
                  <c:v>1.4</c:v>
                </c:pt>
                <c:pt idx="7">
                  <c:v>1.6</c:v>
                </c:pt>
                <c:pt idx="8">
                  <c:v>1.8</c:v>
                </c:pt>
                <c:pt idx="9">
                  <c:v>2.6</c:v>
                </c:pt>
                <c:pt idx="10">
                  <c:v>2.6</c:v>
                </c:pt>
                <c:pt idx="11">
                  <c:v>2.8</c:v>
                </c:pt>
                <c:pt idx="12">
                  <c:v>3</c:v>
                </c:pt>
                <c:pt idx="13">
                  <c:v>2.8</c:v>
                </c:pt>
                <c:pt idx="14">
                  <c:v>2.4</c:v>
                </c:pt>
                <c:pt idx="15">
                  <c:v>2.6</c:v>
                </c:pt>
                <c:pt idx="16">
                  <c:v>3</c:v>
                </c:pt>
                <c:pt idx="17">
                  <c:v>3.4</c:v>
                </c:pt>
                <c:pt idx="18">
                  <c:v>3.8</c:v>
                </c:pt>
                <c:pt idx="19">
                  <c:v>4</c:v>
                </c:pt>
                <c:pt idx="20">
                  <c:v>3.8</c:v>
                </c:pt>
                <c:pt idx="21">
                  <c:v>3</c:v>
                </c:pt>
                <c:pt idx="22">
                  <c:v>2.2000000000000002</c:v>
                </c:pt>
                <c:pt idx="23">
                  <c:v>2</c:v>
                </c:pt>
                <c:pt idx="24">
                  <c:v>1.8</c:v>
                </c:pt>
                <c:pt idx="25">
                  <c:v>1.6</c:v>
                </c:pt>
                <c:pt idx="26">
                  <c:v>1.4</c:v>
                </c:pt>
                <c:pt idx="27">
                  <c:v>1.2</c:v>
                </c:pt>
                <c:pt idx="28">
                  <c:v>0.6</c:v>
                </c:pt>
                <c:pt idx="29">
                  <c:v>0.2</c:v>
                </c:pt>
                <c:pt idx="30">
                  <c:v>0.4</c:v>
                </c:pt>
                <c:pt idx="31">
                  <c:v>0.6</c:v>
                </c:pt>
                <c:pt idx="32">
                  <c:v>0</c:v>
                </c:pt>
                <c:pt idx="33">
                  <c:v>-2</c:v>
                </c:pt>
                <c:pt idx="34">
                  <c:v>-6</c:v>
                </c:pt>
                <c:pt idx="35">
                  <c:v>-11.4</c:v>
                </c:pt>
                <c:pt idx="36">
                  <c:v>-18.399999999999999</c:v>
                </c:pt>
                <c:pt idx="37">
                  <c:v>-24.8</c:v>
                </c:pt>
                <c:pt idx="38">
                  <c:v>-26.6</c:v>
                </c:pt>
                <c:pt idx="39">
                  <c:v>-24.8</c:v>
                </c:pt>
                <c:pt idx="40">
                  <c:v>-28.2</c:v>
                </c:pt>
                <c:pt idx="41">
                  <c:v>-32.4</c:v>
                </c:pt>
                <c:pt idx="42">
                  <c:v>-36.6</c:v>
                </c:pt>
                <c:pt idx="43">
                  <c:v>-43.6</c:v>
                </c:pt>
                <c:pt idx="44">
                  <c:v>-51.8</c:v>
                </c:pt>
                <c:pt idx="45">
                  <c:v>-49.4</c:v>
                </c:pt>
                <c:pt idx="46">
                  <c:v>-41.2</c:v>
                </c:pt>
                <c:pt idx="47">
                  <c:v>-40.799999999999997</c:v>
                </c:pt>
                <c:pt idx="48">
                  <c:v>-40.6</c:v>
                </c:pt>
                <c:pt idx="49">
                  <c:v>-41</c:v>
                </c:pt>
                <c:pt idx="50">
                  <c:v>-45.6</c:v>
                </c:pt>
                <c:pt idx="51">
                  <c:v>-54</c:v>
                </c:pt>
                <c:pt idx="52">
                  <c:v>-48.6</c:v>
                </c:pt>
                <c:pt idx="53">
                  <c:v>-40.799999999999997</c:v>
                </c:pt>
                <c:pt idx="54">
                  <c:v>-42.4</c:v>
                </c:pt>
                <c:pt idx="55">
                  <c:v>-42.4</c:v>
                </c:pt>
                <c:pt idx="56">
                  <c:v>-41.6</c:v>
                </c:pt>
                <c:pt idx="57">
                  <c:v>-46.4</c:v>
                </c:pt>
                <c:pt idx="58">
                  <c:v>-53.4</c:v>
                </c:pt>
                <c:pt idx="59">
                  <c:v>-46.2</c:v>
                </c:pt>
                <c:pt idx="60">
                  <c:v>-38.200000000000003</c:v>
                </c:pt>
                <c:pt idx="61">
                  <c:v>-38.200000000000003</c:v>
                </c:pt>
                <c:pt idx="62">
                  <c:v>-38.6</c:v>
                </c:pt>
                <c:pt idx="63">
                  <c:v>-39.200000000000003</c:v>
                </c:pt>
                <c:pt idx="64">
                  <c:v>-44.2</c:v>
                </c:pt>
                <c:pt idx="65">
                  <c:v>-51.2</c:v>
                </c:pt>
                <c:pt idx="66">
                  <c:v>-46</c:v>
                </c:pt>
                <c:pt idx="67">
                  <c:v>-38</c:v>
                </c:pt>
                <c:pt idx="68">
                  <c:v>-37.799999999999997</c:v>
                </c:pt>
                <c:pt idx="69">
                  <c:v>-38</c:v>
                </c:pt>
                <c:pt idx="70">
                  <c:v>-38.6</c:v>
                </c:pt>
                <c:pt idx="71">
                  <c:v>-43.4</c:v>
                </c:pt>
              </c:numCache>
            </c:numRef>
          </c:val>
          <c:smooth val="0"/>
          <c:extLst>
            <c:ext xmlns:c16="http://schemas.microsoft.com/office/drawing/2014/chart" uri="{C3380CC4-5D6E-409C-BE32-E72D297353CC}">
              <c16:uniqueId val="{00000004-57E8-483F-AD94-80408D782F36}"/>
            </c:ext>
          </c:extLst>
        </c:ser>
        <c:ser>
          <c:idx val="5"/>
          <c:order val="5"/>
          <c:tx>
            <c:strRef>
              <c:f>Google!$A$18</c:f>
              <c:strCache>
                <c:ptCount val="1"/>
                <c:pt idx="0">
                  <c:v>Uganda</c:v>
                </c:pt>
              </c:strCache>
            </c:strRef>
          </c:tx>
          <c:spPr>
            <a:ln w="28575" cap="rnd">
              <a:solidFill>
                <a:schemeClr val="accent6"/>
              </a:solidFill>
              <a:round/>
            </a:ln>
            <a:effectLst/>
          </c:spPr>
          <c:marker>
            <c:symbol val="none"/>
          </c:marker>
          <c:cat>
            <c:numRef>
              <c:f>Google!$F$3:$BY$3</c:f>
              <c:numCache>
                <c:formatCode>m/d/yyyy</c:formatCode>
                <c:ptCount val="72"/>
                <c:pt idx="0">
                  <c:v>43880</c:v>
                </c:pt>
                <c:pt idx="1">
                  <c:v>43881</c:v>
                </c:pt>
                <c:pt idx="2">
                  <c:v>43882</c:v>
                </c:pt>
                <c:pt idx="3">
                  <c:v>43883</c:v>
                </c:pt>
                <c:pt idx="4">
                  <c:v>43884</c:v>
                </c:pt>
                <c:pt idx="5">
                  <c:v>43885</c:v>
                </c:pt>
                <c:pt idx="6">
                  <c:v>43886</c:v>
                </c:pt>
                <c:pt idx="7">
                  <c:v>43887</c:v>
                </c:pt>
                <c:pt idx="8">
                  <c:v>43888</c:v>
                </c:pt>
                <c:pt idx="9">
                  <c:v>43889</c:v>
                </c:pt>
                <c:pt idx="10">
                  <c:v>43890</c:v>
                </c:pt>
                <c:pt idx="11">
                  <c:v>43891</c:v>
                </c:pt>
                <c:pt idx="12">
                  <c:v>43892</c:v>
                </c:pt>
                <c:pt idx="13">
                  <c:v>43893</c:v>
                </c:pt>
                <c:pt idx="14">
                  <c:v>43894</c:v>
                </c:pt>
                <c:pt idx="15">
                  <c:v>43895</c:v>
                </c:pt>
                <c:pt idx="16">
                  <c:v>43896</c:v>
                </c:pt>
                <c:pt idx="17">
                  <c:v>43897</c:v>
                </c:pt>
                <c:pt idx="18">
                  <c:v>43898</c:v>
                </c:pt>
                <c:pt idx="19">
                  <c:v>43899</c:v>
                </c:pt>
                <c:pt idx="20">
                  <c:v>43900</c:v>
                </c:pt>
                <c:pt idx="21">
                  <c:v>43901</c:v>
                </c:pt>
                <c:pt idx="22">
                  <c:v>43902</c:v>
                </c:pt>
                <c:pt idx="23">
                  <c:v>43903</c:v>
                </c:pt>
                <c:pt idx="24">
                  <c:v>43904</c:v>
                </c:pt>
                <c:pt idx="25">
                  <c:v>43905</c:v>
                </c:pt>
                <c:pt idx="26">
                  <c:v>43906</c:v>
                </c:pt>
                <c:pt idx="27">
                  <c:v>43907</c:v>
                </c:pt>
                <c:pt idx="28">
                  <c:v>43908</c:v>
                </c:pt>
                <c:pt idx="29">
                  <c:v>43909</c:v>
                </c:pt>
                <c:pt idx="30">
                  <c:v>43910</c:v>
                </c:pt>
                <c:pt idx="31">
                  <c:v>43911</c:v>
                </c:pt>
                <c:pt idx="32">
                  <c:v>43912</c:v>
                </c:pt>
                <c:pt idx="33">
                  <c:v>43913</c:v>
                </c:pt>
                <c:pt idx="34">
                  <c:v>43914</c:v>
                </c:pt>
                <c:pt idx="35">
                  <c:v>43915</c:v>
                </c:pt>
                <c:pt idx="36">
                  <c:v>43916</c:v>
                </c:pt>
                <c:pt idx="37">
                  <c:v>43917</c:v>
                </c:pt>
                <c:pt idx="38">
                  <c:v>43918</c:v>
                </c:pt>
                <c:pt idx="39">
                  <c:v>43919</c:v>
                </c:pt>
                <c:pt idx="40">
                  <c:v>43920</c:v>
                </c:pt>
                <c:pt idx="41">
                  <c:v>43921</c:v>
                </c:pt>
                <c:pt idx="42">
                  <c:v>43922</c:v>
                </c:pt>
                <c:pt idx="43">
                  <c:v>43923</c:v>
                </c:pt>
                <c:pt idx="44">
                  <c:v>43924</c:v>
                </c:pt>
                <c:pt idx="45">
                  <c:v>43925</c:v>
                </c:pt>
                <c:pt idx="46">
                  <c:v>43926</c:v>
                </c:pt>
                <c:pt idx="47">
                  <c:v>43927</c:v>
                </c:pt>
                <c:pt idx="48">
                  <c:v>43928</c:v>
                </c:pt>
                <c:pt idx="49">
                  <c:v>43929</c:v>
                </c:pt>
                <c:pt idx="50">
                  <c:v>43930</c:v>
                </c:pt>
                <c:pt idx="51">
                  <c:v>43931</c:v>
                </c:pt>
                <c:pt idx="52">
                  <c:v>43932</c:v>
                </c:pt>
                <c:pt idx="53">
                  <c:v>43933</c:v>
                </c:pt>
                <c:pt idx="54">
                  <c:v>43934</c:v>
                </c:pt>
                <c:pt idx="55">
                  <c:v>43935</c:v>
                </c:pt>
                <c:pt idx="56">
                  <c:v>43936</c:v>
                </c:pt>
                <c:pt idx="57">
                  <c:v>43937</c:v>
                </c:pt>
                <c:pt idx="58">
                  <c:v>43938</c:v>
                </c:pt>
                <c:pt idx="59">
                  <c:v>43939</c:v>
                </c:pt>
                <c:pt idx="60">
                  <c:v>43940</c:v>
                </c:pt>
                <c:pt idx="61">
                  <c:v>43941</c:v>
                </c:pt>
                <c:pt idx="62">
                  <c:v>43942</c:v>
                </c:pt>
                <c:pt idx="63">
                  <c:v>43943</c:v>
                </c:pt>
                <c:pt idx="64">
                  <c:v>43944</c:v>
                </c:pt>
                <c:pt idx="65">
                  <c:v>43945</c:v>
                </c:pt>
                <c:pt idx="66">
                  <c:v>43946</c:v>
                </c:pt>
                <c:pt idx="67">
                  <c:v>43947</c:v>
                </c:pt>
                <c:pt idx="68">
                  <c:v>43948</c:v>
                </c:pt>
                <c:pt idx="69">
                  <c:v>43949</c:v>
                </c:pt>
                <c:pt idx="70">
                  <c:v>43950</c:v>
                </c:pt>
                <c:pt idx="71">
                  <c:v>43951</c:v>
                </c:pt>
              </c:numCache>
            </c:numRef>
          </c:cat>
          <c:val>
            <c:numRef>
              <c:f>Google!$F$18:$BY$18</c:f>
              <c:numCache>
                <c:formatCode>General</c:formatCode>
                <c:ptCount val="72"/>
                <c:pt idx="0">
                  <c:v>7.2</c:v>
                </c:pt>
                <c:pt idx="1">
                  <c:v>7.2</c:v>
                </c:pt>
                <c:pt idx="2">
                  <c:v>8.8000000000000007</c:v>
                </c:pt>
                <c:pt idx="3">
                  <c:v>8.6</c:v>
                </c:pt>
                <c:pt idx="4">
                  <c:v>7.8</c:v>
                </c:pt>
                <c:pt idx="5">
                  <c:v>8.4</c:v>
                </c:pt>
                <c:pt idx="6">
                  <c:v>9</c:v>
                </c:pt>
                <c:pt idx="7">
                  <c:v>8.1999999999999993</c:v>
                </c:pt>
                <c:pt idx="8">
                  <c:v>8.1999999999999993</c:v>
                </c:pt>
                <c:pt idx="9">
                  <c:v>9.1999999999999993</c:v>
                </c:pt>
                <c:pt idx="10">
                  <c:v>9</c:v>
                </c:pt>
                <c:pt idx="11">
                  <c:v>8.4</c:v>
                </c:pt>
                <c:pt idx="12">
                  <c:v>9.1999999999999993</c:v>
                </c:pt>
                <c:pt idx="13">
                  <c:v>10</c:v>
                </c:pt>
                <c:pt idx="14">
                  <c:v>10</c:v>
                </c:pt>
                <c:pt idx="15">
                  <c:v>10.199999999999999</c:v>
                </c:pt>
                <c:pt idx="16">
                  <c:v>11.6</c:v>
                </c:pt>
                <c:pt idx="17">
                  <c:v>11.2</c:v>
                </c:pt>
                <c:pt idx="18">
                  <c:v>10.199999999999999</c:v>
                </c:pt>
                <c:pt idx="19">
                  <c:v>10.199999999999999</c:v>
                </c:pt>
                <c:pt idx="20">
                  <c:v>10.6</c:v>
                </c:pt>
                <c:pt idx="21">
                  <c:v>9.8000000000000007</c:v>
                </c:pt>
                <c:pt idx="22">
                  <c:v>9.6</c:v>
                </c:pt>
                <c:pt idx="23">
                  <c:v>10.8</c:v>
                </c:pt>
                <c:pt idx="24">
                  <c:v>10.6</c:v>
                </c:pt>
                <c:pt idx="25">
                  <c:v>9.1999999999999993</c:v>
                </c:pt>
                <c:pt idx="26">
                  <c:v>8.1999999999999993</c:v>
                </c:pt>
                <c:pt idx="27">
                  <c:v>8.6</c:v>
                </c:pt>
                <c:pt idx="28">
                  <c:v>7.8</c:v>
                </c:pt>
                <c:pt idx="29">
                  <c:v>7.2</c:v>
                </c:pt>
                <c:pt idx="30">
                  <c:v>6.8</c:v>
                </c:pt>
                <c:pt idx="31">
                  <c:v>6.4</c:v>
                </c:pt>
                <c:pt idx="32">
                  <c:v>4.2</c:v>
                </c:pt>
                <c:pt idx="33">
                  <c:v>1.6</c:v>
                </c:pt>
                <c:pt idx="34">
                  <c:v>-1.6</c:v>
                </c:pt>
                <c:pt idx="35">
                  <c:v>-6</c:v>
                </c:pt>
                <c:pt idx="36">
                  <c:v>-14.2</c:v>
                </c:pt>
                <c:pt idx="37">
                  <c:v>-22.6</c:v>
                </c:pt>
                <c:pt idx="38">
                  <c:v>-28.8</c:v>
                </c:pt>
                <c:pt idx="39">
                  <c:v>-31.4</c:v>
                </c:pt>
                <c:pt idx="40">
                  <c:v>-36.4</c:v>
                </c:pt>
                <c:pt idx="41">
                  <c:v>-41.4</c:v>
                </c:pt>
                <c:pt idx="42">
                  <c:v>-46</c:v>
                </c:pt>
                <c:pt idx="43">
                  <c:v>-51.6</c:v>
                </c:pt>
                <c:pt idx="44">
                  <c:v>-59.2</c:v>
                </c:pt>
                <c:pt idx="45">
                  <c:v>-60.6</c:v>
                </c:pt>
                <c:pt idx="46">
                  <c:v>-54.2</c:v>
                </c:pt>
                <c:pt idx="47">
                  <c:v>-53.2</c:v>
                </c:pt>
                <c:pt idx="48">
                  <c:v>-52.4</c:v>
                </c:pt>
                <c:pt idx="49">
                  <c:v>-52.2</c:v>
                </c:pt>
                <c:pt idx="50">
                  <c:v>-54.2</c:v>
                </c:pt>
                <c:pt idx="51">
                  <c:v>-60.6</c:v>
                </c:pt>
                <c:pt idx="52">
                  <c:v>-58.4</c:v>
                </c:pt>
                <c:pt idx="53">
                  <c:v>-52.6</c:v>
                </c:pt>
                <c:pt idx="54">
                  <c:v>-54</c:v>
                </c:pt>
                <c:pt idx="55">
                  <c:v>-53.6</c:v>
                </c:pt>
                <c:pt idx="56">
                  <c:v>-52.6</c:v>
                </c:pt>
                <c:pt idx="57">
                  <c:v>-54.2</c:v>
                </c:pt>
                <c:pt idx="58">
                  <c:v>-59.2</c:v>
                </c:pt>
                <c:pt idx="59">
                  <c:v>-55.6</c:v>
                </c:pt>
                <c:pt idx="60">
                  <c:v>-49.2</c:v>
                </c:pt>
                <c:pt idx="61">
                  <c:v>-48.8</c:v>
                </c:pt>
                <c:pt idx="62">
                  <c:v>-48.4</c:v>
                </c:pt>
                <c:pt idx="63">
                  <c:v>-48.6</c:v>
                </c:pt>
                <c:pt idx="64">
                  <c:v>-50</c:v>
                </c:pt>
                <c:pt idx="65">
                  <c:v>-55</c:v>
                </c:pt>
                <c:pt idx="66">
                  <c:v>-52.6</c:v>
                </c:pt>
                <c:pt idx="67">
                  <c:v>-46.2</c:v>
                </c:pt>
                <c:pt idx="68">
                  <c:v>-45.6</c:v>
                </c:pt>
                <c:pt idx="69">
                  <c:v>-44.8</c:v>
                </c:pt>
                <c:pt idx="70">
                  <c:v>-45</c:v>
                </c:pt>
                <c:pt idx="71">
                  <c:v>-46.6</c:v>
                </c:pt>
              </c:numCache>
            </c:numRef>
          </c:val>
          <c:smooth val="0"/>
          <c:extLst>
            <c:ext xmlns:c16="http://schemas.microsoft.com/office/drawing/2014/chart" uri="{C3380CC4-5D6E-409C-BE32-E72D297353CC}">
              <c16:uniqueId val="{00000005-57E8-483F-AD94-80408D782F36}"/>
            </c:ext>
          </c:extLst>
        </c:ser>
        <c:ser>
          <c:idx val="6"/>
          <c:order val="6"/>
          <c:tx>
            <c:strRef>
              <c:f>Google!$A$19</c:f>
              <c:strCache>
                <c:ptCount val="1"/>
                <c:pt idx="0">
                  <c:v>South Africa</c:v>
                </c:pt>
              </c:strCache>
            </c:strRef>
          </c:tx>
          <c:spPr>
            <a:ln w="28575" cap="rnd">
              <a:solidFill>
                <a:schemeClr val="accent1">
                  <a:lumMod val="60000"/>
                </a:schemeClr>
              </a:solidFill>
              <a:round/>
            </a:ln>
            <a:effectLst/>
          </c:spPr>
          <c:marker>
            <c:symbol val="none"/>
          </c:marker>
          <c:cat>
            <c:numRef>
              <c:f>Google!$F$3:$BY$3</c:f>
              <c:numCache>
                <c:formatCode>m/d/yyyy</c:formatCode>
                <c:ptCount val="72"/>
                <c:pt idx="0">
                  <c:v>43880</c:v>
                </c:pt>
                <c:pt idx="1">
                  <c:v>43881</c:v>
                </c:pt>
                <c:pt idx="2">
                  <c:v>43882</c:v>
                </c:pt>
                <c:pt idx="3">
                  <c:v>43883</c:v>
                </c:pt>
                <c:pt idx="4">
                  <c:v>43884</c:v>
                </c:pt>
                <c:pt idx="5">
                  <c:v>43885</c:v>
                </c:pt>
                <c:pt idx="6">
                  <c:v>43886</c:v>
                </c:pt>
                <c:pt idx="7">
                  <c:v>43887</c:v>
                </c:pt>
                <c:pt idx="8">
                  <c:v>43888</c:v>
                </c:pt>
                <c:pt idx="9">
                  <c:v>43889</c:v>
                </c:pt>
                <c:pt idx="10">
                  <c:v>43890</c:v>
                </c:pt>
                <c:pt idx="11">
                  <c:v>43891</c:v>
                </c:pt>
                <c:pt idx="12">
                  <c:v>43892</c:v>
                </c:pt>
                <c:pt idx="13">
                  <c:v>43893</c:v>
                </c:pt>
                <c:pt idx="14">
                  <c:v>43894</c:v>
                </c:pt>
                <c:pt idx="15">
                  <c:v>43895</c:v>
                </c:pt>
                <c:pt idx="16">
                  <c:v>43896</c:v>
                </c:pt>
                <c:pt idx="17">
                  <c:v>43897</c:v>
                </c:pt>
                <c:pt idx="18">
                  <c:v>43898</c:v>
                </c:pt>
                <c:pt idx="19">
                  <c:v>43899</c:v>
                </c:pt>
                <c:pt idx="20">
                  <c:v>43900</c:v>
                </c:pt>
                <c:pt idx="21">
                  <c:v>43901</c:v>
                </c:pt>
                <c:pt idx="22">
                  <c:v>43902</c:v>
                </c:pt>
                <c:pt idx="23">
                  <c:v>43903</c:v>
                </c:pt>
                <c:pt idx="24">
                  <c:v>43904</c:v>
                </c:pt>
                <c:pt idx="25">
                  <c:v>43905</c:v>
                </c:pt>
                <c:pt idx="26">
                  <c:v>43906</c:v>
                </c:pt>
                <c:pt idx="27">
                  <c:v>43907</c:v>
                </c:pt>
                <c:pt idx="28">
                  <c:v>43908</c:v>
                </c:pt>
                <c:pt idx="29">
                  <c:v>43909</c:v>
                </c:pt>
                <c:pt idx="30">
                  <c:v>43910</c:v>
                </c:pt>
                <c:pt idx="31">
                  <c:v>43911</c:v>
                </c:pt>
                <c:pt idx="32">
                  <c:v>43912</c:v>
                </c:pt>
                <c:pt idx="33">
                  <c:v>43913</c:v>
                </c:pt>
                <c:pt idx="34">
                  <c:v>43914</c:v>
                </c:pt>
                <c:pt idx="35">
                  <c:v>43915</c:v>
                </c:pt>
                <c:pt idx="36">
                  <c:v>43916</c:v>
                </c:pt>
                <c:pt idx="37">
                  <c:v>43917</c:v>
                </c:pt>
                <c:pt idx="38">
                  <c:v>43918</c:v>
                </c:pt>
                <c:pt idx="39">
                  <c:v>43919</c:v>
                </c:pt>
                <c:pt idx="40">
                  <c:v>43920</c:v>
                </c:pt>
                <c:pt idx="41">
                  <c:v>43921</c:v>
                </c:pt>
                <c:pt idx="42">
                  <c:v>43922</c:v>
                </c:pt>
                <c:pt idx="43">
                  <c:v>43923</c:v>
                </c:pt>
                <c:pt idx="44">
                  <c:v>43924</c:v>
                </c:pt>
                <c:pt idx="45">
                  <c:v>43925</c:v>
                </c:pt>
                <c:pt idx="46">
                  <c:v>43926</c:v>
                </c:pt>
                <c:pt idx="47">
                  <c:v>43927</c:v>
                </c:pt>
                <c:pt idx="48">
                  <c:v>43928</c:v>
                </c:pt>
                <c:pt idx="49">
                  <c:v>43929</c:v>
                </c:pt>
                <c:pt idx="50">
                  <c:v>43930</c:v>
                </c:pt>
                <c:pt idx="51">
                  <c:v>43931</c:v>
                </c:pt>
                <c:pt idx="52">
                  <c:v>43932</c:v>
                </c:pt>
                <c:pt idx="53">
                  <c:v>43933</c:v>
                </c:pt>
                <c:pt idx="54">
                  <c:v>43934</c:v>
                </c:pt>
                <c:pt idx="55">
                  <c:v>43935</c:v>
                </c:pt>
                <c:pt idx="56">
                  <c:v>43936</c:v>
                </c:pt>
                <c:pt idx="57">
                  <c:v>43937</c:v>
                </c:pt>
                <c:pt idx="58">
                  <c:v>43938</c:v>
                </c:pt>
                <c:pt idx="59">
                  <c:v>43939</c:v>
                </c:pt>
                <c:pt idx="60">
                  <c:v>43940</c:v>
                </c:pt>
                <c:pt idx="61">
                  <c:v>43941</c:v>
                </c:pt>
                <c:pt idx="62">
                  <c:v>43942</c:v>
                </c:pt>
                <c:pt idx="63">
                  <c:v>43943</c:v>
                </c:pt>
                <c:pt idx="64">
                  <c:v>43944</c:v>
                </c:pt>
                <c:pt idx="65">
                  <c:v>43945</c:v>
                </c:pt>
                <c:pt idx="66">
                  <c:v>43946</c:v>
                </c:pt>
                <c:pt idx="67">
                  <c:v>43947</c:v>
                </c:pt>
                <c:pt idx="68">
                  <c:v>43948</c:v>
                </c:pt>
                <c:pt idx="69">
                  <c:v>43949</c:v>
                </c:pt>
                <c:pt idx="70">
                  <c:v>43950</c:v>
                </c:pt>
                <c:pt idx="71">
                  <c:v>43951</c:v>
                </c:pt>
              </c:numCache>
            </c:numRef>
          </c:cat>
          <c:val>
            <c:numRef>
              <c:f>Google!$F$19:$BY$19</c:f>
              <c:numCache>
                <c:formatCode>General</c:formatCode>
                <c:ptCount val="72"/>
                <c:pt idx="0">
                  <c:v>2.2000000000000002</c:v>
                </c:pt>
                <c:pt idx="1">
                  <c:v>2.6</c:v>
                </c:pt>
                <c:pt idx="2">
                  <c:v>3.4</c:v>
                </c:pt>
                <c:pt idx="3">
                  <c:v>3</c:v>
                </c:pt>
                <c:pt idx="4">
                  <c:v>2</c:v>
                </c:pt>
                <c:pt idx="5">
                  <c:v>2.4</c:v>
                </c:pt>
                <c:pt idx="6">
                  <c:v>2.8</c:v>
                </c:pt>
                <c:pt idx="7">
                  <c:v>3.2</c:v>
                </c:pt>
                <c:pt idx="8">
                  <c:v>3.8</c:v>
                </c:pt>
                <c:pt idx="9">
                  <c:v>4.8</c:v>
                </c:pt>
                <c:pt idx="10">
                  <c:v>4.8</c:v>
                </c:pt>
                <c:pt idx="11">
                  <c:v>5.2</c:v>
                </c:pt>
                <c:pt idx="12">
                  <c:v>5.6</c:v>
                </c:pt>
                <c:pt idx="13">
                  <c:v>6.4</c:v>
                </c:pt>
                <c:pt idx="14">
                  <c:v>7.2</c:v>
                </c:pt>
                <c:pt idx="15">
                  <c:v>7.8</c:v>
                </c:pt>
                <c:pt idx="16">
                  <c:v>8</c:v>
                </c:pt>
                <c:pt idx="17">
                  <c:v>7.8</c:v>
                </c:pt>
                <c:pt idx="18">
                  <c:v>6.6</c:v>
                </c:pt>
                <c:pt idx="19">
                  <c:v>6.2</c:v>
                </c:pt>
                <c:pt idx="20">
                  <c:v>5.6</c:v>
                </c:pt>
                <c:pt idx="21">
                  <c:v>4.8</c:v>
                </c:pt>
                <c:pt idx="22">
                  <c:v>4.2</c:v>
                </c:pt>
                <c:pt idx="23">
                  <c:v>4.2</c:v>
                </c:pt>
                <c:pt idx="24">
                  <c:v>3.8</c:v>
                </c:pt>
                <c:pt idx="25">
                  <c:v>3.2</c:v>
                </c:pt>
                <c:pt idx="26">
                  <c:v>2.8</c:v>
                </c:pt>
                <c:pt idx="27">
                  <c:v>1.6</c:v>
                </c:pt>
                <c:pt idx="28">
                  <c:v>-0.6</c:v>
                </c:pt>
                <c:pt idx="29">
                  <c:v>-4.2</c:v>
                </c:pt>
                <c:pt idx="30">
                  <c:v>-7.6</c:v>
                </c:pt>
                <c:pt idx="31">
                  <c:v>-11.6</c:v>
                </c:pt>
                <c:pt idx="32">
                  <c:v>-13.2</c:v>
                </c:pt>
                <c:pt idx="33">
                  <c:v>-15.8</c:v>
                </c:pt>
                <c:pt idx="34">
                  <c:v>-17.399999999999999</c:v>
                </c:pt>
                <c:pt idx="35">
                  <c:v>-19.2</c:v>
                </c:pt>
                <c:pt idx="36">
                  <c:v>-22</c:v>
                </c:pt>
                <c:pt idx="37">
                  <c:v>-34.799999999999997</c:v>
                </c:pt>
                <c:pt idx="38">
                  <c:v>-42.2</c:v>
                </c:pt>
                <c:pt idx="39">
                  <c:v>-47.6</c:v>
                </c:pt>
                <c:pt idx="40">
                  <c:v>-57.6</c:v>
                </c:pt>
                <c:pt idx="41">
                  <c:v>-66</c:v>
                </c:pt>
                <c:pt idx="42">
                  <c:v>-65.599999999999994</c:v>
                </c:pt>
                <c:pt idx="43">
                  <c:v>-68.599999999999994</c:v>
                </c:pt>
                <c:pt idx="44">
                  <c:v>-73.400000000000006</c:v>
                </c:pt>
                <c:pt idx="45">
                  <c:v>-69.599999999999994</c:v>
                </c:pt>
                <c:pt idx="46">
                  <c:v>-63.6</c:v>
                </c:pt>
                <c:pt idx="47">
                  <c:v>-63.6</c:v>
                </c:pt>
                <c:pt idx="48">
                  <c:v>-63.6</c:v>
                </c:pt>
                <c:pt idx="49">
                  <c:v>-63.8</c:v>
                </c:pt>
                <c:pt idx="50">
                  <c:v>-67.599999999999994</c:v>
                </c:pt>
                <c:pt idx="51">
                  <c:v>-75.8</c:v>
                </c:pt>
                <c:pt idx="52">
                  <c:v>-72.400000000000006</c:v>
                </c:pt>
                <c:pt idx="53">
                  <c:v>-67</c:v>
                </c:pt>
                <c:pt idx="54">
                  <c:v>-69.2</c:v>
                </c:pt>
                <c:pt idx="55">
                  <c:v>-68.8</c:v>
                </c:pt>
                <c:pt idx="56">
                  <c:v>-66.2</c:v>
                </c:pt>
                <c:pt idx="57">
                  <c:v>-69.2</c:v>
                </c:pt>
                <c:pt idx="58">
                  <c:v>-74</c:v>
                </c:pt>
                <c:pt idx="59">
                  <c:v>-67.400000000000006</c:v>
                </c:pt>
                <c:pt idx="60">
                  <c:v>-61.4</c:v>
                </c:pt>
                <c:pt idx="61">
                  <c:v>-60.8</c:v>
                </c:pt>
                <c:pt idx="62">
                  <c:v>-60.4</c:v>
                </c:pt>
                <c:pt idx="63">
                  <c:v>-60.2</c:v>
                </c:pt>
                <c:pt idx="64">
                  <c:v>-63.6</c:v>
                </c:pt>
                <c:pt idx="65">
                  <c:v>-68.8</c:v>
                </c:pt>
                <c:pt idx="66">
                  <c:v>-64.599999999999994</c:v>
                </c:pt>
                <c:pt idx="67">
                  <c:v>-58.8</c:v>
                </c:pt>
                <c:pt idx="68">
                  <c:v>-61.4</c:v>
                </c:pt>
                <c:pt idx="69">
                  <c:v>-61</c:v>
                </c:pt>
                <c:pt idx="70">
                  <c:v>-60.8</c:v>
                </c:pt>
                <c:pt idx="71">
                  <c:v>-64.2</c:v>
                </c:pt>
              </c:numCache>
            </c:numRef>
          </c:val>
          <c:smooth val="0"/>
          <c:extLst>
            <c:ext xmlns:c16="http://schemas.microsoft.com/office/drawing/2014/chart" uri="{C3380CC4-5D6E-409C-BE32-E72D297353CC}">
              <c16:uniqueId val="{00000006-57E8-483F-AD94-80408D782F36}"/>
            </c:ext>
          </c:extLst>
        </c:ser>
        <c:ser>
          <c:idx val="7"/>
          <c:order val="7"/>
          <c:tx>
            <c:strRef>
              <c:f>Google!$A$20</c:f>
              <c:strCache>
                <c:ptCount val="1"/>
                <c:pt idx="0">
                  <c:v>Zambia</c:v>
                </c:pt>
              </c:strCache>
            </c:strRef>
          </c:tx>
          <c:spPr>
            <a:ln w="28575" cap="rnd">
              <a:solidFill>
                <a:schemeClr val="accent2">
                  <a:lumMod val="60000"/>
                </a:schemeClr>
              </a:solidFill>
              <a:round/>
            </a:ln>
            <a:effectLst/>
          </c:spPr>
          <c:marker>
            <c:symbol val="none"/>
          </c:marker>
          <c:cat>
            <c:numRef>
              <c:f>Google!$F$3:$BY$3</c:f>
              <c:numCache>
                <c:formatCode>m/d/yyyy</c:formatCode>
                <c:ptCount val="72"/>
                <c:pt idx="0">
                  <c:v>43880</c:v>
                </c:pt>
                <c:pt idx="1">
                  <c:v>43881</c:v>
                </c:pt>
                <c:pt idx="2">
                  <c:v>43882</c:v>
                </c:pt>
                <c:pt idx="3">
                  <c:v>43883</c:v>
                </c:pt>
                <c:pt idx="4">
                  <c:v>43884</c:v>
                </c:pt>
                <c:pt idx="5">
                  <c:v>43885</c:v>
                </c:pt>
                <c:pt idx="6">
                  <c:v>43886</c:v>
                </c:pt>
                <c:pt idx="7">
                  <c:v>43887</c:v>
                </c:pt>
                <c:pt idx="8">
                  <c:v>43888</c:v>
                </c:pt>
                <c:pt idx="9">
                  <c:v>43889</c:v>
                </c:pt>
                <c:pt idx="10">
                  <c:v>43890</c:v>
                </c:pt>
                <c:pt idx="11">
                  <c:v>43891</c:v>
                </c:pt>
                <c:pt idx="12">
                  <c:v>43892</c:v>
                </c:pt>
                <c:pt idx="13">
                  <c:v>43893</c:v>
                </c:pt>
                <c:pt idx="14">
                  <c:v>43894</c:v>
                </c:pt>
                <c:pt idx="15">
                  <c:v>43895</c:v>
                </c:pt>
                <c:pt idx="16">
                  <c:v>43896</c:v>
                </c:pt>
                <c:pt idx="17">
                  <c:v>43897</c:v>
                </c:pt>
                <c:pt idx="18">
                  <c:v>43898</c:v>
                </c:pt>
                <c:pt idx="19">
                  <c:v>43899</c:v>
                </c:pt>
                <c:pt idx="20">
                  <c:v>43900</c:v>
                </c:pt>
                <c:pt idx="21">
                  <c:v>43901</c:v>
                </c:pt>
                <c:pt idx="22">
                  <c:v>43902</c:v>
                </c:pt>
                <c:pt idx="23">
                  <c:v>43903</c:v>
                </c:pt>
                <c:pt idx="24">
                  <c:v>43904</c:v>
                </c:pt>
                <c:pt idx="25">
                  <c:v>43905</c:v>
                </c:pt>
                <c:pt idx="26">
                  <c:v>43906</c:v>
                </c:pt>
                <c:pt idx="27">
                  <c:v>43907</c:v>
                </c:pt>
                <c:pt idx="28">
                  <c:v>43908</c:v>
                </c:pt>
                <c:pt idx="29">
                  <c:v>43909</c:v>
                </c:pt>
                <c:pt idx="30">
                  <c:v>43910</c:v>
                </c:pt>
                <c:pt idx="31">
                  <c:v>43911</c:v>
                </c:pt>
                <c:pt idx="32">
                  <c:v>43912</c:v>
                </c:pt>
                <c:pt idx="33">
                  <c:v>43913</c:v>
                </c:pt>
                <c:pt idx="34">
                  <c:v>43914</c:v>
                </c:pt>
                <c:pt idx="35">
                  <c:v>43915</c:v>
                </c:pt>
                <c:pt idx="36">
                  <c:v>43916</c:v>
                </c:pt>
                <c:pt idx="37">
                  <c:v>43917</c:v>
                </c:pt>
                <c:pt idx="38">
                  <c:v>43918</c:v>
                </c:pt>
                <c:pt idx="39">
                  <c:v>43919</c:v>
                </c:pt>
                <c:pt idx="40">
                  <c:v>43920</c:v>
                </c:pt>
                <c:pt idx="41">
                  <c:v>43921</c:v>
                </c:pt>
                <c:pt idx="42">
                  <c:v>43922</c:v>
                </c:pt>
                <c:pt idx="43">
                  <c:v>43923</c:v>
                </c:pt>
                <c:pt idx="44">
                  <c:v>43924</c:v>
                </c:pt>
                <c:pt idx="45">
                  <c:v>43925</c:v>
                </c:pt>
                <c:pt idx="46">
                  <c:v>43926</c:v>
                </c:pt>
                <c:pt idx="47">
                  <c:v>43927</c:v>
                </c:pt>
                <c:pt idx="48">
                  <c:v>43928</c:v>
                </c:pt>
                <c:pt idx="49">
                  <c:v>43929</c:v>
                </c:pt>
                <c:pt idx="50">
                  <c:v>43930</c:v>
                </c:pt>
                <c:pt idx="51">
                  <c:v>43931</c:v>
                </c:pt>
                <c:pt idx="52">
                  <c:v>43932</c:v>
                </c:pt>
                <c:pt idx="53">
                  <c:v>43933</c:v>
                </c:pt>
                <c:pt idx="54">
                  <c:v>43934</c:v>
                </c:pt>
                <c:pt idx="55">
                  <c:v>43935</c:v>
                </c:pt>
                <c:pt idx="56">
                  <c:v>43936</c:v>
                </c:pt>
                <c:pt idx="57">
                  <c:v>43937</c:v>
                </c:pt>
                <c:pt idx="58">
                  <c:v>43938</c:v>
                </c:pt>
                <c:pt idx="59">
                  <c:v>43939</c:v>
                </c:pt>
                <c:pt idx="60">
                  <c:v>43940</c:v>
                </c:pt>
                <c:pt idx="61">
                  <c:v>43941</c:v>
                </c:pt>
                <c:pt idx="62">
                  <c:v>43942</c:v>
                </c:pt>
                <c:pt idx="63">
                  <c:v>43943</c:v>
                </c:pt>
                <c:pt idx="64">
                  <c:v>43944</c:v>
                </c:pt>
                <c:pt idx="65">
                  <c:v>43945</c:v>
                </c:pt>
                <c:pt idx="66">
                  <c:v>43946</c:v>
                </c:pt>
                <c:pt idx="67">
                  <c:v>43947</c:v>
                </c:pt>
                <c:pt idx="68">
                  <c:v>43948</c:v>
                </c:pt>
                <c:pt idx="69">
                  <c:v>43949</c:v>
                </c:pt>
                <c:pt idx="70">
                  <c:v>43950</c:v>
                </c:pt>
                <c:pt idx="71">
                  <c:v>43951</c:v>
                </c:pt>
              </c:numCache>
            </c:numRef>
          </c:cat>
          <c:val>
            <c:numRef>
              <c:f>Google!$F$20:$BY$20</c:f>
              <c:numCache>
                <c:formatCode>General</c:formatCode>
                <c:ptCount val="72"/>
                <c:pt idx="0">
                  <c:v>5.4</c:v>
                </c:pt>
                <c:pt idx="1">
                  <c:v>4.2</c:v>
                </c:pt>
                <c:pt idx="2">
                  <c:v>5</c:v>
                </c:pt>
                <c:pt idx="3">
                  <c:v>4.4000000000000004</c:v>
                </c:pt>
                <c:pt idx="4">
                  <c:v>3.2</c:v>
                </c:pt>
                <c:pt idx="5">
                  <c:v>3.4</c:v>
                </c:pt>
                <c:pt idx="6">
                  <c:v>4.2</c:v>
                </c:pt>
                <c:pt idx="7">
                  <c:v>4.2</c:v>
                </c:pt>
                <c:pt idx="8">
                  <c:v>4.4000000000000004</c:v>
                </c:pt>
                <c:pt idx="9">
                  <c:v>6</c:v>
                </c:pt>
                <c:pt idx="10">
                  <c:v>6.4</c:v>
                </c:pt>
                <c:pt idx="11">
                  <c:v>6.8</c:v>
                </c:pt>
                <c:pt idx="12">
                  <c:v>7.6</c:v>
                </c:pt>
                <c:pt idx="13">
                  <c:v>8.4</c:v>
                </c:pt>
                <c:pt idx="14">
                  <c:v>8.6</c:v>
                </c:pt>
                <c:pt idx="15">
                  <c:v>9.1999999999999993</c:v>
                </c:pt>
                <c:pt idx="16">
                  <c:v>10.199999999999999</c:v>
                </c:pt>
                <c:pt idx="17">
                  <c:v>10.199999999999999</c:v>
                </c:pt>
                <c:pt idx="18">
                  <c:v>10.6</c:v>
                </c:pt>
                <c:pt idx="19">
                  <c:v>0</c:v>
                </c:pt>
                <c:pt idx="20">
                  <c:v>0</c:v>
                </c:pt>
                <c:pt idx="21">
                  <c:v>-0.8</c:v>
                </c:pt>
                <c:pt idx="22">
                  <c:v>-11.4</c:v>
                </c:pt>
                <c:pt idx="23">
                  <c:v>-12</c:v>
                </c:pt>
                <c:pt idx="24">
                  <c:v>-1.4</c:v>
                </c:pt>
                <c:pt idx="25">
                  <c:v>-2</c:v>
                </c:pt>
                <c:pt idx="26">
                  <c:v>-2</c:v>
                </c:pt>
                <c:pt idx="27">
                  <c:v>8.1999999999999993</c:v>
                </c:pt>
                <c:pt idx="28">
                  <c:v>8</c:v>
                </c:pt>
                <c:pt idx="29">
                  <c:v>7.2</c:v>
                </c:pt>
                <c:pt idx="30">
                  <c:v>6.8</c:v>
                </c:pt>
                <c:pt idx="31">
                  <c:v>6</c:v>
                </c:pt>
                <c:pt idx="32">
                  <c:v>4.5999999999999996</c:v>
                </c:pt>
                <c:pt idx="33">
                  <c:v>2.6</c:v>
                </c:pt>
                <c:pt idx="34">
                  <c:v>0.8</c:v>
                </c:pt>
                <c:pt idx="35">
                  <c:v>-1.2</c:v>
                </c:pt>
                <c:pt idx="36">
                  <c:v>-3.6</c:v>
                </c:pt>
                <c:pt idx="37">
                  <c:v>-5.4</c:v>
                </c:pt>
                <c:pt idx="38">
                  <c:v>-5</c:v>
                </c:pt>
                <c:pt idx="39">
                  <c:v>-4.2</c:v>
                </c:pt>
                <c:pt idx="40">
                  <c:v>-5.6</c:v>
                </c:pt>
                <c:pt idx="41">
                  <c:v>-7</c:v>
                </c:pt>
                <c:pt idx="42">
                  <c:v>-8.4</c:v>
                </c:pt>
                <c:pt idx="43">
                  <c:v>-11.8</c:v>
                </c:pt>
                <c:pt idx="44">
                  <c:v>-14.6</c:v>
                </c:pt>
                <c:pt idx="45">
                  <c:v>-12.4</c:v>
                </c:pt>
                <c:pt idx="46">
                  <c:v>-9.6</c:v>
                </c:pt>
                <c:pt idx="47">
                  <c:v>-10</c:v>
                </c:pt>
                <c:pt idx="48">
                  <c:v>-10.4</c:v>
                </c:pt>
                <c:pt idx="49">
                  <c:v>-11.2</c:v>
                </c:pt>
                <c:pt idx="50">
                  <c:v>-15</c:v>
                </c:pt>
                <c:pt idx="51">
                  <c:v>-24</c:v>
                </c:pt>
                <c:pt idx="52">
                  <c:v>-23.8</c:v>
                </c:pt>
                <c:pt idx="53">
                  <c:v>-20.6</c:v>
                </c:pt>
                <c:pt idx="54">
                  <c:v>-27.2</c:v>
                </c:pt>
                <c:pt idx="55">
                  <c:v>-26.4</c:v>
                </c:pt>
                <c:pt idx="56">
                  <c:v>-20.8</c:v>
                </c:pt>
                <c:pt idx="57">
                  <c:v>-21.4</c:v>
                </c:pt>
                <c:pt idx="58">
                  <c:v>-23.8</c:v>
                </c:pt>
                <c:pt idx="59">
                  <c:v>-13.8</c:v>
                </c:pt>
                <c:pt idx="60">
                  <c:v>-11</c:v>
                </c:pt>
                <c:pt idx="61">
                  <c:v>-10.6</c:v>
                </c:pt>
                <c:pt idx="62">
                  <c:v>-10.4</c:v>
                </c:pt>
                <c:pt idx="63">
                  <c:v>-11</c:v>
                </c:pt>
                <c:pt idx="64">
                  <c:v>-14.4</c:v>
                </c:pt>
                <c:pt idx="65">
                  <c:v>-17</c:v>
                </c:pt>
                <c:pt idx="66">
                  <c:v>-13.8</c:v>
                </c:pt>
                <c:pt idx="67">
                  <c:v>-10</c:v>
                </c:pt>
                <c:pt idx="68">
                  <c:v>-9.4</c:v>
                </c:pt>
                <c:pt idx="69">
                  <c:v>-8.8000000000000007</c:v>
                </c:pt>
                <c:pt idx="70">
                  <c:v>-8.6</c:v>
                </c:pt>
                <c:pt idx="71">
                  <c:v>-11.4</c:v>
                </c:pt>
              </c:numCache>
            </c:numRef>
          </c:val>
          <c:smooth val="0"/>
          <c:extLst>
            <c:ext xmlns:c16="http://schemas.microsoft.com/office/drawing/2014/chart" uri="{C3380CC4-5D6E-409C-BE32-E72D297353CC}">
              <c16:uniqueId val="{00000007-57E8-483F-AD94-80408D782F36}"/>
            </c:ext>
          </c:extLst>
        </c:ser>
        <c:dLbls>
          <c:showLegendKey val="0"/>
          <c:showVal val="0"/>
          <c:showCatName val="0"/>
          <c:showSerName val="0"/>
          <c:showPercent val="0"/>
          <c:showBubbleSize val="0"/>
        </c:dLbls>
        <c:smooth val="0"/>
        <c:axId val="633951375"/>
        <c:axId val="1300798175"/>
      </c:lineChart>
      <c:dateAx>
        <c:axId val="633951375"/>
        <c:scaling>
          <c:orientation val="minMax"/>
        </c:scaling>
        <c:delete val="0"/>
        <c:axPos val="b"/>
        <c:numFmt formatCode="dd/mmm" sourceLinked="0"/>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0798175"/>
        <c:crosses val="autoZero"/>
        <c:auto val="1"/>
        <c:lblOffset val="100"/>
        <c:baseTimeUnit val="days"/>
      </c:dateAx>
      <c:valAx>
        <c:axId val="1300798175"/>
        <c:scaling>
          <c:orientation val="minMax"/>
          <c:min val="-80"/>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3951375"/>
        <c:crosses val="autoZero"/>
        <c:crossBetween val="between"/>
      </c:valAx>
      <c:spPr>
        <a:noFill/>
        <a:ln>
          <a:noFill/>
        </a:ln>
        <a:effectLst/>
      </c:spPr>
    </c:plotArea>
    <c:legend>
      <c:legendPos val="b"/>
      <c:layout>
        <c:manualLayout>
          <c:xMode val="edge"/>
          <c:yMode val="edge"/>
          <c:x val="8.8841642865204157E-2"/>
          <c:y val="0.82799037800369035"/>
          <c:w val="0.83334207259373727"/>
          <c:h val="0.1367258819198614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Sanchia Temkin</dc:creator>
  <cp:keywords/>
  <dc:description/>
  <cp:lastModifiedBy>Sanchia Temkin</cp:lastModifiedBy>
  <cp:revision>2</cp:revision>
  <dcterms:created xsi:type="dcterms:W3CDTF">2020-05-07T10:25:00Z</dcterms:created>
  <dcterms:modified xsi:type="dcterms:W3CDTF">2020-05-07T10:25:00Z</dcterms:modified>
</cp:coreProperties>
</file>