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687ED" w14:textId="0C4F1DEE" w:rsidR="00B268F2" w:rsidRDefault="00B268F2" w:rsidP="002973D9">
      <w:pPr>
        <w:pStyle w:val="Heading1"/>
        <w:spacing w:after="0"/>
        <w:rPr>
          <w:sz w:val="36"/>
          <w:szCs w:val="36"/>
        </w:rPr>
      </w:pPr>
      <w:bookmarkStart w:id="0" w:name="_Hlk40260782"/>
      <w:r w:rsidRPr="00B268F2">
        <w:rPr>
          <w:sz w:val="36"/>
          <w:szCs w:val="36"/>
        </w:rPr>
        <w:t>PwC focus on MPC preview: 14 May 2020</w:t>
      </w:r>
    </w:p>
    <w:p w14:paraId="523BF3C0" w14:textId="77777777" w:rsidR="00B268F2" w:rsidRDefault="00B268F2" w:rsidP="002973D9">
      <w:pPr>
        <w:pStyle w:val="Heading1"/>
        <w:spacing w:after="0"/>
        <w:rPr>
          <w:sz w:val="36"/>
          <w:szCs w:val="36"/>
        </w:rPr>
      </w:pPr>
    </w:p>
    <w:p w14:paraId="10F5528F" w14:textId="2E6CE5F5" w:rsidR="00B268F2" w:rsidRPr="00B268F2" w:rsidRDefault="00B268F2" w:rsidP="002973D9">
      <w:pPr>
        <w:pStyle w:val="Heading1"/>
        <w:spacing w:after="0"/>
        <w:rPr>
          <w:sz w:val="36"/>
          <w:szCs w:val="36"/>
        </w:rPr>
      </w:pPr>
      <w:r w:rsidRPr="007A7B59">
        <w:rPr>
          <w:b w:val="0"/>
          <w:noProof/>
          <w:color w:val="990000"/>
        </w:rPr>
        <w:drawing>
          <wp:inline distT="0" distB="0" distL="0" distR="0" wp14:anchorId="22BEAFB6" wp14:editId="0867AC71">
            <wp:extent cx="2238375" cy="1863090"/>
            <wp:effectExtent l="0" t="0" r="952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38375" cy="1863090"/>
                    </a:xfrm>
                    <a:prstGeom prst="rect">
                      <a:avLst/>
                    </a:prstGeom>
                    <a:noFill/>
                  </pic:spPr>
                </pic:pic>
              </a:graphicData>
            </a:graphic>
          </wp:inline>
        </w:drawing>
      </w:r>
    </w:p>
    <w:p w14:paraId="62281FCE" w14:textId="77777777" w:rsidR="00B268F2" w:rsidRDefault="00B268F2" w:rsidP="002973D9">
      <w:pPr>
        <w:pStyle w:val="Heading1"/>
        <w:spacing w:after="0"/>
        <w:rPr>
          <w:sz w:val="44"/>
        </w:rPr>
      </w:pPr>
    </w:p>
    <w:p w14:paraId="1DBABAC2" w14:textId="67F94DBC" w:rsidR="002973D9" w:rsidRDefault="002973D9" w:rsidP="002973D9">
      <w:pPr>
        <w:pStyle w:val="Heading1"/>
        <w:spacing w:after="0"/>
        <w:rPr>
          <w:sz w:val="44"/>
        </w:rPr>
      </w:pPr>
      <w:r>
        <w:rPr>
          <w:sz w:val="44"/>
        </w:rPr>
        <w:t xml:space="preserve">MPC preview: Interest rates continuing lower </w:t>
      </w:r>
    </w:p>
    <w:p w14:paraId="1F9B745A" w14:textId="77777777" w:rsidR="002973D9" w:rsidRDefault="002973D9" w:rsidP="002973D9">
      <w:pPr>
        <w:pStyle w:val="Heading1"/>
        <w:spacing w:after="0" w:line="240" w:lineRule="auto"/>
        <w:rPr>
          <w:color w:val="5B9BD5" w:themeColor="accent5"/>
          <w:sz w:val="28"/>
          <w:szCs w:val="26"/>
          <w:lang w:val="en-US"/>
        </w:rPr>
      </w:pPr>
      <w:r>
        <w:rPr>
          <w:color w:val="5B9BD5" w:themeColor="accent5"/>
          <w:sz w:val="28"/>
          <w:szCs w:val="26"/>
          <w:lang w:val="en-US"/>
        </w:rPr>
        <w:t>Economic outlook has deteriorated since previous policy meeting</w:t>
      </w:r>
    </w:p>
    <w:bookmarkEnd w:id="0"/>
    <w:p w14:paraId="29CB6C4D" w14:textId="77777777" w:rsidR="002973D9" w:rsidRDefault="002973D9" w:rsidP="002973D9">
      <w:pPr>
        <w:rPr>
          <w:rFonts w:ascii="Georgia" w:hAnsi="Georgia"/>
          <w:sz w:val="20"/>
          <w:szCs w:val="20"/>
        </w:rPr>
      </w:pPr>
    </w:p>
    <w:p w14:paraId="7C068403" w14:textId="77777777" w:rsidR="002973D9" w:rsidRDefault="002973D9" w:rsidP="002973D9">
      <w:pPr>
        <w:rPr>
          <w:rFonts w:ascii="Georgia" w:hAnsi="Georgia"/>
          <w:sz w:val="20"/>
          <w:szCs w:val="20"/>
        </w:rPr>
      </w:pPr>
      <w:r>
        <w:rPr>
          <w:rFonts w:ascii="Georgia" w:hAnsi="Georgia"/>
          <w:sz w:val="20"/>
          <w:szCs w:val="20"/>
        </w:rPr>
        <w:t xml:space="preserve">The South African Reserve Bank (SARB) Monetary Policy Committee (MPC) meets again on May 17-19 to discuss interest rates and other monetary matters. </w:t>
      </w:r>
    </w:p>
    <w:p w14:paraId="21035037" w14:textId="77777777" w:rsidR="002973D9" w:rsidRPr="00532783" w:rsidRDefault="002973D9" w:rsidP="002973D9">
      <w:pPr>
        <w:rPr>
          <w:rFonts w:ascii="Georgia" w:hAnsi="Georgia"/>
          <w:b/>
          <w:bCs/>
          <w:sz w:val="20"/>
          <w:szCs w:val="20"/>
        </w:rPr>
      </w:pPr>
      <w:r w:rsidRPr="00532783">
        <w:rPr>
          <w:rFonts w:ascii="Georgia" w:hAnsi="Georgia"/>
          <w:b/>
          <w:bCs/>
          <w:sz w:val="20"/>
          <w:szCs w:val="20"/>
        </w:rPr>
        <w:t>SARB cut interest rates by 225 basis point</w:t>
      </w:r>
      <w:r>
        <w:rPr>
          <w:rFonts w:ascii="Georgia" w:hAnsi="Georgia"/>
          <w:b/>
          <w:bCs/>
          <w:sz w:val="20"/>
          <w:szCs w:val="20"/>
        </w:rPr>
        <w:t>s</w:t>
      </w:r>
      <w:r w:rsidRPr="00532783">
        <w:rPr>
          <w:rFonts w:ascii="Georgia" w:hAnsi="Georgia"/>
          <w:b/>
          <w:bCs/>
          <w:sz w:val="20"/>
          <w:szCs w:val="20"/>
        </w:rPr>
        <w:t xml:space="preserve"> in 20</w:t>
      </w:r>
      <w:r>
        <w:rPr>
          <w:rFonts w:ascii="Georgia" w:hAnsi="Georgia"/>
          <w:b/>
          <w:bCs/>
          <w:sz w:val="20"/>
          <w:szCs w:val="20"/>
        </w:rPr>
        <w:t xml:space="preserve">20 </w:t>
      </w:r>
      <w:r w:rsidRPr="00532783">
        <w:rPr>
          <w:rFonts w:ascii="Georgia" w:hAnsi="Georgia"/>
          <w:b/>
          <w:bCs/>
          <w:sz w:val="20"/>
          <w:szCs w:val="20"/>
        </w:rPr>
        <w:t xml:space="preserve">so far </w:t>
      </w:r>
    </w:p>
    <w:p w14:paraId="172921D4" w14:textId="77777777" w:rsidR="002973D9" w:rsidRDefault="002973D9" w:rsidP="002973D9">
      <w:pPr>
        <w:rPr>
          <w:rFonts w:ascii="Georgia" w:hAnsi="Georgia"/>
          <w:sz w:val="20"/>
          <w:szCs w:val="20"/>
        </w:rPr>
      </w:pPr>
      <w:r>
        <w:rPr>
          <w:rFonts w:ascii="Georgia" w:hAnsi="Georgia"/>
          <w:sz w:val="20"/>
          <w:szCs w:val="20"/>
        </w:rPr>
        <w:t xml:space="preserve">The MPC has reduced interest rates on three occasions this year. On January 16, policymakers reduced the repurchase (repo) rate by 25 bps to 6.25%, after the central bank significantly lowered its inflation forecast. Both actual and expected price trends moved lower in the months leading to the January 2020 meeting while economic growth remained in the doldrums. </w:t>
      </w:r>
    </w:p>
    <w:p w14:paraId="20037F4F" w14:textId="77777777" w:rsidR="002973D9" w:rsidRDefault="002973D9" w:rsidP="002973D9">
      <w:pPr>
        <w:rPr>
          <w:rFonts w:ascii="Georgia" w:hAnsi="Georgia"/>
          <w:sz w:val="20"/>
          <w:szCs w:val="20"/>
        </w:rPr>
      </w:pPr>
      <w:r>
        <w:rPr>
          <w:rFonts w:ascii="Georgia" w:hAnsi="Georgia"/>
          <w:sz w:val="20"/>
          <w:szCs w:val="20"/>
        </w:rPr>
        <w:t xml:space="preserve">On March 19, the SARB made a larger-than-expected 100 basis points cut in the repo rate to 5.25%. As the reality of the global economic slump - and the impact thereof on the South African economy – became clearer, the central bank used the room provided by very favourable inflation conditions to provide some monetary stimulus to the local economy. </w:t>
      </w:r>
    </w:p>
    <w:p w14:paraId="4137C381" w14:textId="77777777" w:rsidR="002973D9" w:rsidRDefault="002973D9" w:rsidP="002973D9">
      <w:pPr>
        <w:rPr>
          <w:rFonts w:ascii="Georgia" w:hAnsi="Georgia"/>
          <w:sz w:val="20"/>
          <w:szCs w:val="20"/>
        </w:rPr>
      </w:pPr>
      <w:r>
        <w:rPr>
          <w:rFonts w:ascii="Georgia" w:hAnsi="Georgia"/>
          <w:sz w:val="20"/>
          <w:szCs w:val="20"/>
        </w:rPr>
        <w:t xml:space="preserve">Following an unscheduled Easter Weekend meeting, the MPC announced on April 14 another 100 basis points cut in the repo rate to just 4.25%. The SARB referenced an extension to the country’s initial three-week lockdown (prolonged for another two weeks) and indicated that it expected the economy to contract by 6.1% in 2020. At the same time, given the tepid domestic and international economic outlook, inflation pressure had fallen near the lower bounds of the 3%-6% target range. </w:t>
      </w:r>
    </w:p>
    <w:p w14:paraId="1354027C" w14:textId="77777777" w:rsidR="002973D9" w:rsidRPr="00974A66" w:rsidRDefault="002973D9" w:rsidP="002973D9">
      <w:pPr>
        <w:rPr>
          <w:rFonts w:ascii="Georgia" w:hAnsi="Georgia"/>
          <w:i/>
          <w:iCs/>
          <w:sz w:val="20"/>
          <w:szCs w:val="20"/>
        </w:rPr>
      </w:pPr>
      <w:r w:rsidRPr="00974A66">
        <w:rPr>
          <w:rFonts w:ascii="Georgia" w:hAnsi="Georgia"/>
          <w:i/>
          <w:iCs/>
          <w:sz w:val="20"/>
          <w:szCs w:val="20"/>
        </w:rPr>
        <w:t>Figure 1: Unanimous rate cut decisions in 202</w:t>
      </w:r>
      <w:r>
        <w:rPr>
          <w:rFonts w:ascii="Georgia" w:hAnsi="Georgia"/>
          <w:i/>
          <w:iCs/>
          <w:sz w:val="20"/>
          <w:szCs w:val="20"/>
        </w:rPr>
        <w:t>0</w:t>
      </w:r>
      <w:r w:rsidRPr="00974A66">
        <w:rPr>
          <w:rFonts w:ascii="Georgia" w:hAnsi="Georgia"/>
          <w:i/>
          <w:iCs/>
          <w:sz w:val="20"/>
          <w:szCs w:val="20"/>
        </w:rPr>
        <w:t xml:space="preserve"> so far </w:t>
      </w:r>
      <w:r>
        <w:rPr>
          <w:rFonts w:ascii="Georgia" w:hAnsi="Georgia"/>
          <w:i/>
          <w:iCs/>
          <w:sz w:val="20"/>
          <w:szCs w:val="20"/>
        </w:rPr>
        <w:t>(% vote distribution amongst MPC members)</w:t>
      </w:r>
    </w:p>
    <w:p w14:paraId="18F001A0" w14:textId="77777777" w:rsidR="002973D9" w:rsidRDefault="002973D9" w:rsidP="002973D9">
      <w:pPr>
        <w:rPr>
          <w:rFonts w:ascii="Georgia" w:hAnsi="Georgia"/>
          <w:sz w:val="20"/>
          <w:szCs w:val="20"/>
        </w:rPr>
      </w:pPr>
      <w:r>
        <w:rPr>
          <w:noProof/>
        </w:rPr>
        <w:lastRenderedPageBreak/>
        <w:drawing>
          <wp:inline distT="0" distB="0" distL="0" distR="0" wp14:anchorId="354BC8B5" wp14:editId="375F9142">
            <wp:extent cx="5760000" cy="2700000"/>
            <wp:effectExtent l="0" t="0" r="12700" b="5715"/>
            <wp:docPr id="1" name="Chart 1">
              <a:extLst xmlns:a="http://schemas.openxmlformats.org/drawingml/2006/main">
                <a:ext uri="{FF2B5EF4-FFF2-40B4-BE49-F238E27FC236}">
                  <a16:creationId xmlns:a16="http://schemas.microsoft.com/office/drawing/2014/main" id="{97FC5A8E-DC22-4782-8889-729EA0E356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4A7B21E7" w14:textId="77777777" w:rsidR="002973D9" w:rsidRDefault="002973D9" w:rsidP="002973D9">
      <w:pPr>
        <w:rPr>
          <w:rFonts w:ascii="Georgia" w:hAnsi="Georgia"/>
          <w:sz w:val="20"/>
          <w:szCs w:val="20"/>
        </w:rPr>
      </w:pPr>
      <w:r w:rsidRPr="00974A66">
        <w:rPr>
          <w:rFonts w:ascii="Georgia" w:hAnsi="Georgia"/>
          <w:i/>
          <w:iCs/>
          <w:sz w:val="20"/>
          <w:szCs w:val="20"/>
        </w:rPr>
        <w:t>Source: PwC calculations based on SARB data</w:t>
      </w:r>
    </w:p>
    <w:p w14:paraId="70D07F65" w14:textId="77777777" w:rsidR="002973D9" w:rsidRPr="00532783" w:rsidRDefault="002973D9" w:rsidP="002973D9">
      <w:pPr>
        <w:rPr>
          <w:rFonts w:ascii="Georgia" w:hAnsi="Georgia"/>
          <w:b/>
          <w:bCs/>
          <w:sz w:val="20"/>
          <w:szCs w:val="20"/>
        </w:rPr>
      </w:pPr>
      <w:r w:rsidRPr="00532783">
        <w:rPr>
          <w:rFonts w:ascii="Georgia" w:hAnsi="Georgia"/>
          <w:b/>
          <w:bCs/>
          <w:sz w:val="20"/>
          <w:szCs w:val="20"/>
        </w:rPr>
        <w:t>Consumer price inflation remains muted</w:t>
      </w:r>
    </w:p>
    <w:p w14:paraId="09B435CA" w14:textId="77777777" w:rsidR="002973D9" w:rsidRDefault="002973D9" w:rsidP="002973D9">
      <w:pPr>
        <w:rPr>
          <w:rFonts w:ascii="Georgia" w:hAnsi="Georgia"/>
          <w:sz w:val="20"/>
          <w:szCs w:val="20"/>
        </w:rPr>
      </w:pPr>
      <w:r>
        <w:rPr>
          <w:rFonts w:ascii="Georgia" w:hAnsi="Georgia"/>
          <w:sz w:val="20"/>
          <w:szCs w:val="20"/>
        </w:rPr>
        <w:t xml:space="preserve">Headline inflation </w:t>
      </w:r>
      <w:r w:rsidRPr="00E87309">
        <w:rPr>
          <w:rFonts w:ascii="Georgia" w:hAnsi="Georgia"/>
          <w:sz w:val="20"/>
          <w:szCs w:val="20"/>
        </w:rPr>
        <w:t>decreased from 4.6% year-on-year (y-o-y) in February to 4.1% y-o-y in March 2020.</w:t>
      </w:r>
      <w:r>
        <w:rPr>
          <w:rFonts w:ascii="Georgia" w:hAnsi="Georgia"/>
          <w:sz w:val="20"/>
          <w:szCs w:val="20"/>
        </w:rPr>
        <w:t xml:space="preserve"> </w:t>
      </w:r>
      <w:r w:rsidRPr="00E87309">
        <w:rPr>
          <w:rFonts w:ascii="Georgia" w:hAnsi="Georgia"/>
          <w:sz w:val="20"/>
          <w:szCs w:val="20"/>
        </w:rPr>
        <w:t xml:space="preserve">A major driver behind the decrease in March’s headline inflation was disinflation in the transport component of the consumer basket. Fuel costs were 1.6% month-on-month (m-o-m) lower, resulting in a 1.7% m-o-m decline in the overall cost of transportation. </w:t>
      </w:r>
      <w:r>
        <w:rPr>
          <w:rFonts w:ascii="Georgia" w:hAnsi="Georgia"/>
          <w:sz w:val="20"/>
          <w:szCs w:val="20"/>
        </w:rPr>
        <w:t xml:space="preserve">The global slump in energy prices – oil is currently trading around 60% lower compared to a year ago – resulted in a further R3,62/litre (23%) decline in the Gauteng retail petrol price during April and May. </w:t>
      </w:r>
    </w:p>
    <w:p w14:paraId="61802FAB" w14:textId="77777777" w:rsidR="002973D9" w:rsidRDefault="002973D9" w:rsidP="002973D9">
      <w:pPr>
        <w:rPr>
          <w:rFonts w:ascii="Georgia" w:hAnsi="Georgia"/>
          <w:sz w:val="20"/>
          <w:szCs w:val="20"/>
        </w:rPr>
      </w:pPr>
      <w:r>
        <w:rPr>
          <w:rFonts w:ascii="Georgia" w:hAnsi="Georgia"/>
          <w:sz w:val="20"/>
          <w:szCs w:val="20"/>
        </w:rPr>
        <w:t xml:space="preserve">Statistics South Africa has also reported a decline in the price of some essential goods during the Level 5 lockdown. Results from a weekly survey shows that the cost of fish (-1.7%), fruit (-3.7%) and vegetables (-4.6%) declined in the three weeks ending April 23. The statistics agency is providing these snapshots of essential prices due to the delay in normal publications. Due to the lockdown affecting Stats SA’ ability to collect data, the official inflation report for April is only due for publication on May 27. </w:t>
      </w:r>
    </w:p>
    <w:p w14:paraId="0DB1902F" w14:textId="77777777" w:rsidR="002973D9" w:rsidRDefault="002973D9" w:rsidP="002973D9">
      <w:pPr>
        <w:rPr>
          <w:rFonts w:ascii="Georgia" w:hAnsi="Georgia"/>
          <w:sz w:val="20"/>
          <w:szCs w:val="20"/>
        </w:rPr>
      </w:pPr>
      <w:r>
        <w:rPr>
          <w:rFonts w:ascii="Georgia" w:hAnsi="Georgia"/>
          <w:sz w:val="20"/>
          <w:szCs w:val="20"/>
        </w:rPr>
        <w:t xml:space="preserve">The MPC commented in April that it expects inflation to average just 3.6% in 2020. The central bank expects the oil price to average $42/barrel this year compared to a current level of $30/barrel or less. While electricity price increases, municipal tariff adjustments, and a volatile exchange rate are some of risk factors to the low inflation forecast, the weak domestic and international economic environment is likely to keep consumer price inflation very low this year. </w:t>
      </w:r>
    </w:p>
    <w:p w14:paraId="6FF5257A" w14:textId="77777777" w:rsidR="002973D9" w:rsidRPr="00532783" w:rsidRDefault="002973D9" w:rsidP="002973D9">
      <w:pPr>
        <w:rPr>
          <w:rFonts w:ascii="Georgia" w:hAnsi="Georgia"/>
          <w:b/>
          <w:bCs/>
          <w:sz w:val="20"/>
          <w:szCs w:val="20"/>
        </w:rPr>
      </w:pPr>
      <w:r w:rsidRPr="00532783">
        <w:rPr>
          <w:rFonts w:ascii="Georgia" w:hAnsi="Georgia"/>
          <w:b/>
          <w:bCs/>
          <w:sz w:val="20"/>
          <w:szCs w:val="20"/>
        </w:rPr>
        <w:t>Economic activity drops sharply at the start of 2020Q2</w:t>
      </w:r>
    </w:p>
    <w:p w14:paraId="2AABA153" w14:textId="77777777" w:rsidR="002973D9" w:rsidRDefault="002973D9" w:rsidP="002973D9">
      <w:pPr>
        <w:rPr>
          <w:rFonts w:ascii="Georgia" w:hAnsi="Georgia"/>
          <w:sz w:val="20"/>
          <w:szCs w:val="20"/>
        </w:rPr>
      </w:pPr>
      <w:r>
        <w:rPr>
          <w:rFonts w:ascii="Georgia" w:hAnsi="Georgia"/>
          <w:sz w:val="20"/>
          <w:szCs w:val="20"/>
        </w:rPr>
        <w:t xml:space="preserve">South African economic activity slowed markedly from late-March. The </w:t>
      </w:r>
      <w:r w:rsidRPr="002E6A6D">
        <w:rPr>
          <w:rFonts w:ascii="Georgia" w:hAnsi="Georgia"/>
          <w:sz w:val="20"/>
          <w:szCs w:val="20"/>
        </w:rPr>
        <w:t xml:space="preserve">IHS Markit South Africa </w:t>
      </w:r>
      <w:r>
        <w:rPr>
          <w:rFonts w:ascii="Georgia" w:hAnsi="Georgia"/>
          <w:sz w:val="20"/>
          <w:szCs w:val="20"/>
        </w:rPr>
        <w:t xml:space="preserve">Purchasing Managers Index (PMI) – a measure of economic activity based on a survey of purchasing managers at </w:t>
      </w:r>
      <w:r w:rsidRPr="002E6A6D">
        <w:rPr>
          <w:rFonts w:ascii="Georgia" w:hAnsi="Georgia"/>
          <w:sz w:val="20"/>
          <w:szCs w:val="20"/>
        </w:rPr>
        <w:t>around 400 private sector companies</w:t>
      </w:r>
      <w:r>
        <w:rPr>
          <w:rFonts w:ascii="Georgia" w:hAnsi="Georgia"/>
          <w:sz w:val="20"/>
          <w:szCs w:val="20"/>
        </w:rPr>
        <w:t xml:space="preserve"> - </w:t>
      </w:r>
      <w:r w:rsidRPr="002E6A6D">
        <w:rPr>
          <w:rFonts w:ascii="Georgia" w:hAnsi="Georgia"/>
          <w:sz w:val="20"/>
          <w:szCs w:val="20"/>
        </w:rPr>
        <w:t>plunged to a record low in April</w:t>
      </w:r>
      <w:r>
        <w:rPr>
          <w:rFonts w:ascii="Georgia" w:hAnsi="Georgia"/>
          <w:sz w:val="20"/>
          <w:szCs w:val="20"/>
        </w:rPr>
        <w:t xml:space="preserve">. Respondents reported a sharp drop in client demand due to the national lockdown. Some companies were able to remain open for business and had to drastically reduce their production. Others were forced by lockdown regulations to close shop temporarily. </w:t>
      </w:r>
    </w:p>
    <w:p w14:paraId="1558A520" w14:textId="77777777" w:rsidR="002973D9" w:rsidRPr="002E6A6D" w:rsidRDefault="002973D9" w:rsidP="002973D9">
      <w:pPr>
        <w:rPr>
          <w:rFonts w:ascii="Georgia" w:hAnsi="Georgia"/>
          <w:i/>
          <w:iCs/>
          <w:sz w:val="20"/>
          <w:szCs w:val="20"/>
        </w:rPr>
      </w:pPr>
      <w:r w:rsidRPr="002E6A6D">
        <w:rPr>
          <w:rFonts w:ascii="Georgia" w:hAnsi="Georgia"/>
          <w:i/>
          <w:iCs/>
          <w:sz w:val="20"/>
          <w:szCs w:val="20"/>
        </w:rPr>
        <w:t>Figure 2: South Africa’s declining PMI reflects trend amongst other major African economies</w:t>
      </w:r>
    </w:p>
    <w:p w14:paraId="04C38A68" w14:textId="77777777" w:rsidR="002973D9" w:rsidRDefault="002973D9" w:rsidP="002973D9">
      <w:pPr>
        <w:rPr>
          <w:rFonts w:ascii="Georgia" w:hAnsi="Georgia"/>
          <w:sz w:val="20"/>
          <w:szCs w:val="20"/>
        </w:rPr>
      </w:pPr>
      <w:r>
        <w:rPr>
          <w:noProof/>
        </w:rPr>
        <w:lastRenderedPageBreak/>
        <w:drawing>
          <wp:inline distT="0" distB="0" distL="0" distR="0" wp14:anchorId="68547215" wp14:editId="0AA9790E">
            <wp:extent cx="5760000" cy="2700000"/>
            <wp:effectExtent l="0" t="0" r="12700" b="5715"/>
            <wp:docPr id="2" name="Chart 2">
              <a:extLst xmlns:a="http://schemas.openxmlformats.org/drawingml/2006/main">
                <a:ext uri="{FF2B5EF4-FFF2-40B4-BE49-F238E27FC236}">
                  <a16:creationId xmlns:a16="http://schemas.microsoft.com/office/drawing/2014/main" id="{359D747B-93D9-4D49-AB16-B6F5818FFA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CA159B9" w14:textId="77777777" w:rsidR="002973D9" w:rsidRPr="002E6A6D" w:rsidRDefault="002973D9" w:rsidP="002973D9">
      <w:pPr>
        <w:rPr>
          <w:rFonts w:ascii="Georgia" w:hAnsi="Georgia"/>
          <w:i/>
          <w:iCs/>
          <w:sz w:val="20"/>
          <w:szCs w:val="20"/>
        </w:rPr>
      </w:pPr>
      <w:r w:rsidRPr="002E6A6D">
        <w:rPr>
          <w:rFonts w:ascii="Georgia" w:hAnsi="Georgia"/>
          <w:i/>
          <w:iCs/>
          <w:sz w:val="20"/>
          <w:szCs w:val="20"/>
        </w:rPr>
        <w:t>Source: IHS Markit</w:t>
      </w:r>
    </w:p>
    <w:p w14:paraId="34FBF2E9" w14:textId="77777777" w:rsidR="002973D9" w:rsidRDefault="002973D9" w:rsidP="002973D9">
      <w:pPr>
        <w:rPr>
          <w:rFonts w:ascii="Georgia" w:hAnsi="Georgia"/>
          <w:sz w:val="20"/>
          <w:szCs w:val="20"/>
        </w:rPr>
      </w:pPr>
      <w:r>
        <w:rPr>
          <w:rFonts w:ascii="Georgia" w:hAnsi="Georgia"/>
          <w:sz w:val="20"/>
          <w:szCs w:val="20"/>
        </w:rPr>
        <w:t xml:space="preserve">Workplace activity declined dramatically in April. </w:t>
      </w:r>
      <w:r w:rsidRPr="001B0B18">
        <w:rPr>
          <w:rFonts w:ascii="Georgia" w:hAnsi="Georgia"/>
          <w:sz w:val="20"/>
          <w:szCs w:val="20"/>
        </w:rPr>
        <w:t>Internet giant Google has released data reflecting the change in visits and length of stay at places of work from users who have opted</w:t>
      </w:r>
      <w:r>
        <w:rPr>
          <w:rFonts w:ascii="Georgia" w:hAnsi="Georgia"/>
          <w:sz w:val="20"/>
          <w:szCs w:val="20"/>
        </w:rPr>
        <w:t xml:space="preserve"> </w:t>
      </w:r>
      <w:r w:rsidRPr="001B0B18">
        <w:rPr>
          <w:rFonts w:ascii="Georgia" w:hAnsi="Georgia"/>
          <w:sz w:val="20"/>
          <w:szCs w:val="20"/>
        </w:rPr>
        <w:t xml:space="preserve">into location history tracking on their Google accounts. This data – which tracks activity </w:t>
      </w:r>
      <w:proofErr w:type="gramStart"/>
      <w:r w:rsidRPr="001B0B18">
        <w:rPr>
          <w:rFonts w:ascii="Georgia" w:hAnsi="Georgia"/>
          <w:sz w:val="20"/>
          <w:szCs w:val="20"/>
        </w:rPr>
        <w:t>on a daily basis</w:t>
      </w:r>
      <w:proofErr w:type="gramEnd"/>
      <w:r w:rsidRPr="001B0B18">
        <w:rPr>
          <w:rFonts w:ascii="Georgia" w:hAnsi="Georgia"/>
          <w:sz w:val="20"/>
          <w:szCs w:val="20"/>
        </w:rPr>
        <w:t xml:space="preserve"> compared to a reference period of January 3 - February 6 – show a notable decline in </w:t>
      </w:r>
      <w:r>
        <w:rPr>
          <w:rFonts w:ascii="Georgia" w:hAnsi="Georgia"/>
          <w:sz w:val="20"/>
          <w:szCs w:val="20"/>
        </w:rPr>
        <w:t xml:space="preserve">South African </w:t>
      </w:r>
      <w:r w:rsidRPr="001B0B18">
        <w:rPr>
          <w:rFonts w:ascii="Georgia" w:hAnsi="Georgia"/>
          <w:sz w:val="20"/>
          <w:szCs w:val="20"/>
        </w:rPr>
        <w:t xml:space="preserve">workplace activity </w:t>
      </w:r>
      <w:r>
        <w:rPr>
          <w:rFonts w:ascii="Georgia" w:hAnsi="Georgia"/>
          <w:sz w:val="20"/>
          <w:szCs w:val="20"/>
        </w:rPr>
        <w:t xml:space="preserve">since the lockdown started on March 27. </w:t>
      </w:r>
      <w:r w:rsidRPr="001B0B18">
        <w:rPr>
          <w:rFonts w:ascii="Georgia" w:hAnsi="Georgia"/>
          <w:sz w:val="20"/>
          <w:szCs w:val="20"/>
        </w:rPr>
        <w:t xml:space="preserve">On average, workplace activity was </w:t>
      </w:r>
      <w:r>
        <w:rPr>
          <w:rFonts w:ascii="Georgia" w:hAnsi="Georgia"/>
          <w:sz w:val="20"/>
          <w:szCs w:val="20"/>
        </w:rPr>
        <w:t xml:space="preserve">66% </w:t>
      </w:r>
      <w:r w:rsidRPr="001B0B18">
        <w:rPr>
          <w:rFonts w:ascii="Georgia" w:hAnsi="Georgia"/>
          <w:sz w:val="20"/>
          <w:szCs w:val="20"/>
        </w:rPr>
        <w:t xml:space="preserve">lower </w:t>
      </w:r>
      <w:r>
        <w:rPr>
          <w:rFonts w:ascii="Georgia" w:hAnsi="Georgia"/>
          <w:sz w:val="20"/>
          <w:szCs w:val="20"/>
        </w:rPr>
        <w:t xml:space="preserve">during Level 5 of the lockdown </w:t>
      </w:r>
      <w:r w:rsidRPr="001B0B18">
        <w:rPr>
          <w:rFonts w:ascii="Georgia" w:hAnsi="Georgia"/>
          <w:sz w:val="20"/>
          <w:szCs w:val="20"/>
        </w:rPr>
        <w:t>compared to the reference period.</w:t>
      </w:r>
    </w:p>
    <w:p w14:paraId="40A2B347" w14:textId="77777777" w:rsidR="002973D9" w:rsidRDefault="002973D9" w:rsidP="002973D9">
      <w:pPr>
        <w:rPr>
          <w:rFonts w:ascii="Georgia" w:hAnsi="Georgia"/>
          <w:sz w:val="20"/>
          <w:szCs w:val="20"/>
        </w:rPr>
      </w:pPr>
    </w:p>
    <w:p w14:paraId="3CC49471" w14:textId="77777777" w:rsidR="002973D9" w:rsidRDefault="002973D9" w:rsidP="002973D9">
      <w:pPr>
        <w:rPr>
          <w:rFonts w:ascii="Georgia" w:hAnsi="Georgia"/>
          <w:sz w:val="20"/>
          <w:szCs w:val="20"/>
        </w:rPr>
      </w:pPr>
    </w:p>
    <w:p w14:paraId="5C7F913C" w14:textId="77777777" w:rsidR="002973D9" w:rsidRDefault="002973D9" w:rsidP="002973D9">
      <w:pPr>
        <w:rPr>
          <w:rFonts w:ascii="Georgia" w:hAnsi="Georgia"/>
          <w:sz w:val="20"/>
          <w:szCs w:val="20"/>
        </w:rPr>
      </w:pPr>
    </w:p>
    <w:p w14:paraId="24F39100" w14:textId="77777777" w:rsidR="002973D9" w:rsidRPr="00C757B6" w:rsidRDefault="002973D9" w:rsidP="002973D9">
      <w:pPr>
        <w:rPr>
          <w:rFonts w:ascii="Georgia" w:hAnsi="Georgia"/>
          <w:i/>
          <w:iCs/>
          <w:sz w:val="20"/>
          <w:szCs w:val="20"/>
        </w:rPr>
      </w:pPr>
      <w:r w:rsidRPr="00C757B6">
        <w:rPr>
          <w:rFonts w:ascii="Georgia" w:hAnsi="Georgia"/>
          <w:i/>
          <w:iCs/>
          <w:sz w:val="20"/>
          <w:szCs w:val="20"/>
        </w:rPr>
        <w:t xml:space="preserve">Figure 3: </w:t>
      </w:r>
      <w:r>
        <w:rPr>
          <w:rFonts w:ascii="Georgia" w:hAnsi="Georgia"/>
          <w:i/>
          <w:iCs/>
          <w:sz w:val="20"/>
          <w:szCs w:val="20"/>
        </w:rPr>
        <w:t>Sharp decline in lockdown workplace activity compared to January 6 - February 6 reference period (% change)</w:t>
      </w:r>
    </w:p>
    <w:p w14:paraId="2F0E7D8D" w14:textId="77777777" w:rsidR="002973D9" w:rsidRDefault="002973D9" w:rsidP="002973D9">
      <w:pPr>
        <w:rPr>
          <w:rFonts w:ascii="Georgia" w:hAnsi="Georgia"/>
          <w:sz w:val="20"/>
          <w:szCs w:val="20"/>
        </w:rPr>
      </w:pPr>
      <w:r>
        <w:rPr>
          <w:noProof/>
        </w:rPr>
        <w:drawing>
          <wp:inline distT="0" distB="0" distL="0" distR="0" wp14:anchorId="2295D75E" wp14:editId="6973FD59">
            <wp:extent cx="5760000" cy="2700000"/>
            <wp:effectExtent l="0" t="0" r="12700" b="5715"/>
            <wp:docPr id="3" name="Chart 3">
              <a:extLst xmlns:a="http://schemas.openxmlformats.org/drawingml/2006/main">
                <a:ext uri="{FF2B5EF4-FFF2-40B4-BE49-F238E27FC236}">
                  <a16:creationId xmlns:a16="http://schemas.microsoft.com/office/drawing/2014/main" id="{52445E7B-04CD-49AD-8CBC-B967477097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9F347D0" w14:textId="77777777" w:rsidR="002973D9" w:rsidRDefault="002973D9" w:rsidP="002973D9">
      <w:pPr>
        <w:rPr>
          <w:rFonts w:ascii="Georgia" w:hAnsi="Georgia"/>
          <w:i/>
          <w:iCs/>
          <w:sz w:val="20"/>
          <w:szCs w:val="20"/>
        </w:rPr>
      </w:pPr>
      <w:r w:rsidRPr="00C757B6">
        <w:rPr>
          <w:rFonts w:ascii="Georgia" w:hAnsi="Georgia"/>
          <w:i/>
          <w:iCs/>
          <w:sz w:val="20"/>
          <w:szCs w:val="20"/>
        </w:rPr>
        <w:t xml:space="preserve">Source: Google: </w:t>
      </w:r>
    </w:p>
    <w:p w14:paraId="6516DC3D" w14:textId="77777777" w:rsidR="002973D9" w:rsidRPr="001B0B18" w:rsidRDefault="002973D9" w:rsidP="002973D9">
      <w:pPr>
        <w:rPr>
          <w:rFonts w:ascii="Georgia" w:hAnsi="Georgia"/>
          <w:b/>
          <w:bCs/>
          <w:sz w:val="20"/>
          <w:szCs w:val="20"/>
        </w:rPr>
      </w:pPr>
      <w:r>
        <w:rPr>
          <w:rFonts w:ascii="Georgia" w:hAnsi="Georgia"/>
          <w:b/>
          <w:bCs/>
          <w:sz w:val="20"/>
          <w:szCs w:val="20"/>
        </w:rPr>
        <w:t>Deep r</w:t>
      </w:r>
      <w:r w:rsidRPr="001B0B18">
        <w:rPr>
          <w:rFonts w:ascii="Georgia" w:hAnsi="Georgia"/>
          <w:b/>
          <w:bCs/>
          <w:sz w:val="20"/>
          <w:szCs w:val="20"/>
        </w:rPr>
        <w:t>ecession forecast</w:t>
      </w:r>
      <w:r>
        <w:rPr>
          <w:rFonts w:ascii="Georgia" w:hAnsi="Georgia"/>
          <w:b/>
          <w:bCs/>
          <w:sz w:val="20"/>
          <w:szCs w:val="20"/>
        </w:rPr>
        <w:t xml:space="preserve"> for 2020</w:t>
      </w:r>
    </w:p>
    <w:p w14:paraId="390BFCA8" w14:textId="77777777" w:rsidR="002973D9" w:rsidRDefault="002973D9" w:rsidP="002973D9">
      <w:pPr>
        <w:rPr>
          <w:rFonts w:ascii="Georgia" w:hAnsi="Georgia"/>
          <w:sz w:val="20"/>
          <w:szCs w:val="20"/>
        </w:rPr>
      </w:pPr>
      <w:r>
        <w:rPr>
          <w:rFonts w:ascii="Georgia" w:hAnsi="Georgia"/>
          <w:sz w:val="20"/>
          <w:szCs w:val="20"/>
        </w:rPr>
        <w:lastRenderedPageBreak/>
        <w:t xml:space="preserve">Looking ahead, the PMI indicated that new orders for future delivery declined dramatically in April – both from local as well as international customers. Input purchases declined due to forecasts of weak future output: the PMI report commented that </w:t>
      </w:r>
      <w:r w:rsidRPr="002E6A6D">
        <w:rPr>
          <w:rFonts w:ascii="Georgia" w:hAnsi="Georgia"/>
          <w:sz w:val="20"/>
          <w:szCs w:val="20"/>
        </w:rPr>
        <w:t xml:space="preserve">many companies </w:t>
      </w:r>
      <w:r>
        <w:rPr>
          <w:rFonts w:ascii="Georgia" w:hAnsi="Georgia"/>
          <w:sz w:val="20"/>
          <w:szCs w:val="20"/>
        </w:rPr>
        <w:t xml:space="preserve">were </w:t>
      </w:r>
      <w:r w:rsidRPr="002E6A6D">
        <w:rPr>
          <w:rFonts w:ascii="Georgia" w:hAnsi="Georgia"/>
          <w:sz w:val="20"/>
          <w:szCs w:val="20"/>
        </w:rPr>
        <w:t>uncertain that the</w:t>
      </w:r>
      <w:r>
        <w:rPr>
          <w:rFonts w:ascii="Georgia" w:hAnsi="Georgia"/>
          <w:sz w:val="20"/>
          <w:szCs w:val="20"/>
        </w:rPr>
        <w:t xml:space="preserve"> South African economy </w:t>
      </w:r>
      <w:r w:rsidRPr="002E6A6D">
        <w:rPr>
          <w:rFonts w:ascii="Georgia" w:hAnsi="Georgia"/>
          <w:sz w:val="20"/>
          <w:szCs w:val="20"/>
        </w:rPr>
        <w:t xml:space="preserve">would rebound quickly following a lifting of </w:t>
      </w:r>
      <w:r>
        <w:rPr>
          <w:rFonts w:ascii="Georgia" w:hAnsi="Georgia"/>
          <w:sz w:val="20"/>
          <w:szCs w:val="20"/>
        </w:rPr>
        <w:t xml:space="preserve">lockdown measures as of the start of May. Sentiment about the nature of business activity over the coming 12 months dropped to the lowest on record. </w:t>
      </w:r>
    </w:p>
    <w:p w14:paraId="1BE89379" w14:textId="77777777" w:rsidR="002973D9" w:rsidRDefault="002973D9" w:rsidP="002973D9">
      <w:pPr>
        <w:rPr>
          <w:rFonts w:ascii="Georgia" w:hAnsi="Georgia"/>
          <w:sz w:val="20"/>
          <w:szCs w:val="20"/>
        </w:rPr>
      </w:pPr>
      <w:r>
        <w:rPr>
          <w:rFonts w:ascii="Georgia" w:hAnsi="Georgia"/>
          <w:sz w:val="20"/>
          <w:szCs w:val="20"/>
        </w:rPr>
        <w:t xml:space="preserve">PwC’s modelling indicates the South African economy could contract by as much as 13% this year, based on the current risk-adjusted approach communicated by government. Our analysis is based on the impact of the lockdown on specific industries, business and consumer confidence in general, the disruption of supply chains and international trade, as well as jobs at risk. We also considered the mitigating effects of fiscal and monetary policy responses up to date. The latter includes the 225 basis points in rate cuts (so far) as well as other financial measures like money market operations and </w:t>
      </w:r>
      <w:r w:rsidRPr="00FA71CE">
        <w:rPr>
          <w:rFonts w:ascii="Georgia" w:hAnsi="Georgia"/>
          <w:sz w:val="20"/>
          <w:szCs w:val="20"/>
        </w:rPr>
        <w:t>intraday</w:t>
      </w:r>
      <w:r>
        <w:rPr>
          <w:rFonts w:ascii="Georgia" w:hAnsi="Georgia"/>
          <w:sz w:val="20"/>
          <w:szCs w:val="20"/>
        </w:rPr>
        <w:t xml:space="preserve"> </w:t>
      </w:r>
      <w:r w:rsidRPr="00FA71CE">
        <w:rPr>
          <w:rFonts w:ascii="Georgia" w:hAnsi="Georgia"/>
          <w:sz w:val="20"/>
          <w:szCs w:val="20"/>
        </w:rPr>
        <w:t>liquidity support to clearing banks</w:t>
      </w:r>
      <w:r>
        <w:rPr>
          <w:rFonts w:ascii="Georgia" w:hAnsi="Georgia"/>
          <w:sz w:val="20"/>
          <w:szCs w:val="20"/>
        </w:rPr>
        <w:t xml:space="preserve">. </w:t>
      </w:r>
    </w:p>
    <w:p w14:paraId="446E45A6" w14:textId="77777777" w:rsidR="002973D9" w:rsidRPr="00532783" w:rsidRDefault="002973D9" w:rsidP="002973D9">
      <w:pPr>
        <w:rPr>
          <w:rFonts w:ascii="Georgia" w:hAnsi="Georgia"/>
          <w:b/>
          <w:bCs/>
          <w:sz w:val="20"/>
          <w:szCs w:val="20"/>
        </w:rPr>
      </w:pPr>
      <w:r w:rsidRPr="00532783">
        <w:rPr>
          <w:rFonts w:ascii="Georgia" w:hAnsi="Georgia"/>
          <w:b/>
          <w:bCs/>
          <w:sz w:val="20"/>
          <w:szCs w:val="20"/>
        </w:rPr>
        <w:t xml:space="preserve">MPC keeps door open for more monetary policy easing </w:t>
      </w:r>
    </w:p>
    <w:p w14:paraId="5572D017" w14:textId="77777777" w:rsidR="002973D9" w:rsidRDefault="002973D9" w:rsidP="002973D9">
      <w:pPr>
        <w:rPr>
          <w:rFonts w:ascii="Georgia" w:hAnsi="Georgia"/>
          <w:sz w:val="20"/>
          <w:szCs w:val="20"/>
        </w:rPr>
      </w:pPr>
      <w:r>
        <w:rPr>
          <w:rFonts w:ascii="Georgia" w:hAnsi="Georgia"/>
          <w:sz w:val="20"/>
          <w:szCs w:val="20"/>
        </w:rPr>
        <w:t xml:space="preserve">The MPC said in mid-April </w:t>
      </w:r>
      <w:r w:rsidRPr="00DB2235">
        <w:rPr>
          <w:rFonts w:ascii="Georgia" w:hAnsi="Georgia"/>
          <w:sz w:val="20"/>
          <w:szCs w:val="20"/>
        </w:rPr>
        <w:t xml:space="preserve">that </w:t>
      </w:r>
      <w:r>
        <w:rPr>
          <w:rFonts w:ascii="Georgia" w:hAnsi="Georgia"/>
          <w:sz w:val="20"/>
          <w:szCs w:val="20"/>
        </w:rPr>
        <w:t xml:space="preserve">its </w:t>
      </w:r>
      <w:r w:rsidRPr="00DB2235">
        <w:rPr>
          <w:rFonts w:ascii="Georgia" w:hAnsi="Georgia"/>
          <w:sz w:val="20"/>
          <w:szCs w:val="20"/>
        </w:rPr>
        <w:t xml:space="preserve">internal modelling suggests room for a further five interest rates cuts of 25 basis points each over the coming 12 months. </w:t>
      </w:r>
      <w:r>
        <w:rPr>
          <w:rFonts w:ascii="Georgia" w:hAnsi="Georgia"/>
          <w:sz w:val="20"/>
          <w:szCs w:val="20"/>
        </w:rPr>
        <w:t>(</w:t>
      </w:r>
      <w:r w:rsidRPr="00E30D34">
        <w:rPr>
          <w:rFonts w:ascii="Georgia" w:hAnsi="Georgia"/>
          <w:sz w:val="20"/>
          <w:szCs w:val="20"/>
        </w:rPr>
        <w:t xml:space="preserve">There has been very little public comment from the SARB on interest rates since the last </w:t>
      </w:r>
      <w:r>
        <w:rPr>
          <w:rFonts w:ascii="Georgia" w:hAnsi="Georgia"/>
          <w:sz w:val="20"/>
          <w:szCs w:val="20"/>
        </w:rPr>
        <w:t xml:space="preserve">official statement.) </w:t>
      </w:r>
      <w:r w:rsidRPr="00DB2235">
        <w:rPr>
          <w:rFonts w:ascii="Georgia" w:hAnsi="Georgia"/>
          <w:sz w:val="20"/>
          <w:szCs w:val="20"/>
        </w:rPr>
        <w:t xml:space="preserve">However, given the speed at which the local and global environment is changing at present, it is not impossible for the </w:t>
      </w:r>
      <w:r>
        <w:rPr>
          <w:rFonts w:ascii="Georgia" w:hAnsi="Georgia"/>
          <w:sz w:val="20"/>
          <w:szCs w:val="20"/>
        </w:rPr>
        <w:t xml:space="preserve">MPC </w:t>
      </w:r>
      <w:r w:rsidRPr="00DB2235">
        <w:rPr>
          <w:rFonts w:ascii="Georgia" w:hAnsi="Georgia"/>
          <w:sz w:val="20"/>
          <w:szCs w:val="20"/>
        </w:rPr>
        <w:t xml:space="preserve">to make another big (i.e. larger than 25 basis point) rate cut </w:t>
      </w:r>
      <w:proofErr w:type="gramStart"/>
      <w:r w:rsidRPr="00DB2235">
        <w:rPr>
          <w:rFonts w:ascii="Georgia" w:hAnsi="Georgia"/>
          <w:sz w:val="20"/>
          <w:szCs w:val="20"/>
        </w:rPr>
        <w:t>in the near future</w:t>
      </w:r>
      <w:proofErr w:type="gramEnd"/>
      <w:r w:rsidRPr="00DB2235">
        <w:rPr>
          <w:rFonts w:ascii="Georgia" w:hAnsi="Georgia"/>
          <w:sz w:val="20"/>
          <w:szCs w:val="20"/>
        </w:rPr>
        <w:t>.</w:t>
      </w:r>
      <w:r>
        <w:rPr>
          <w:rFonts w:ascii="Georgia" w:hAnsi="Georgia"/>
          <w:sz w:val="20"/>
          <w:szCs w:val="20"/>
        </w:rPr>
        <w:t xml:space="preserve"> A lot has changed (read: deteriorated) in the South African economy since the previous MPC statement a month ago. </w:t>
      </w:r>
    </w:p>
    <w:p w14:paraId="30A5D394" w14:textId="77777777" w:rsidR="002973D9" w:rsidRDefault="002973D9" w:rsidP="002973D9">
      <w:pPr>
        <w:rPr>
          <w:rFonts w:ascii="Georgia" w:hAnsi="Georgia"/>
          <w:sz w:val="20"/>
          <w:szCs w:val="20"/>
        </w:rPr>
      </w:pPr>
      <w:r>
        <w:rPr>
          <w:rFonts w:ascii="Georgia" w:hAnsi="Georgia"/>
          <w:sz w:val="20"/>
          <w:szCs w:val="20"/>
        </w:rPr>
        <w:t xml:space="preserve">Given the deterioration in the economic outlook since the last monetary policy meeting – where it was conceivable that the easing of lockdown regulations would be much more accommodative from May 1 – the SARB will </w:t>
      </w:r>
      <w:proofErr w:type="gramStart"/>
      <w:r>
        <w:rPr>
          <w:rFonts w:ascii="Georgia" w:hAnsi="Georgia"/>
          <w:sz w:val="20"/>
          <w:szCs w:val="20"/>
        </w:rPr>
        <w:t>definitely revise</w:t>
      </w:r>
      <w:proofErr w:type="gramEnd"/>
      <w:r>
        <w:rPr>
          <w:rFonts w:ascii="Georgia" w:hAnsi="Georgia"/>
          <w:sz w:val="20"/>
          <w:szCs w:val="20"/>
        </w:rPr>
        <w:t xml:space="preserve"> its economic growth forecast to show a deeper recession this year. Hopefully, South Africa will get more information from the Cabinet in the coming week on the future easing of lockdown restrictions – this will directly impact the central bank’s economic forecasts. </w:t>
      </w:r>
    </w:p>
    <w:p w14:paraId="64B2AAB5" w14:textId="39C07B91" w:rsidR="002973D9" w:rsidRDefault="002973D9" w:rsidP="002973D9">
      <w:pPr>
        <w:rPr>
          <w:rFonts w:ascii="Georgia" w:hAnsi="Georgia"/>
          <w:sz w:val="20"/>
          <w:szCs w:val="20"/>
        </w:rPr>
      </w:pPr>
      <w:r>
        <w:rPr>
          <w:rFonts w:ascii="Georgia" w:hAnsi="Georgia"/>
          <w:sz w:val="20"/>
          <w:szCs w:val="20"/>
        </w:rPr>
        <w:t>Considering the very favourable inflation situation as well as the deteriorated economic outlook since the last MPC meeting, PwC expects the SARB to further reduce interest rates next week. However, we do not expect it to be of a similar magnitude to the two 100 basis points cuts seen in March and April. A 50 basis points cut – taking the repo rate to 3.75% - is more likely.</w:t>
      </w:r>
    </w:p>
    <w:p w14:paraId="4CEEDAC9" w14:textId="77777777" w:rsidR="008D2096" w:rsidRPr="002D37FC" w:rsidRDefault="008D2096" w:rsidP="008D2096">
      <w:pPr>
        <w:rPr>
          <w:rFonts w:ascii="Georgia" w:hAnsi="Georgia"/>
          <w:b/>
          <w:bCs/>
          <w:sz w:val="24"/>
          <w:szCs w:val="24"/>
        </w:rPr>
      </w:pPr>
      <w:r w:rsidRPr="002D37FC">
        <w:rPr>
          <w:rFonts w:ascii="Georgia" w:hAnsi="Georgia"/>
          <w:b/>
          <w:bCs/>
          <w:sz w:val="24"/>
          <w:szCs w:val="24"/>
        </w:rPr>
        <w:t xml:space="preserve">Article by </w:t>
      </w:r>
      <w:proofErr w:type="spellStart"/>
      <w:r w:rsidRPr="002D37FC">
        <w:rPr>
          <w:rFonts w:ascii="Georgia" w:hAnsi="Georgia"/>
          <w:b/>
          <w:bCs/>
          <w:sz w:val="24"/>
          <w:szCs w:val="24"/>
        </w:rPr>
        <w:t>Lullu</w:t>
      </w:r>
      <w:proofErr w:type="spellEnd"/>
      <w:r w:rsidRPr="002D37FC">
        <w:rPr>
          <w:rFonts w:ascii="Georgia" w:hAnsi="Georgia"/>
          <w:b/>
          <w:bCs/>
          <w:sz w:val="24"/>
          <w:szCs w:val="24"/>
        </w:rPr>
        <w:t xml:space="preserve"> </w:t>
      </w:r>
      <w:proofErr w:type="spellStart"/>
      <w:r w:rsidRPr="002D37FC">
        <w:rPr>
          <w:rFonts w:ascii="Georgia" w:hAnsi="Georgia"/>
          <w:b/>
          <w:bCs/>
          <w:sz w:val="24"/>
          <w:szCs w:val="24"/>
        </w:rPr>
        <w:t>Krugel</w:t>
      </w:r>
      <w:proofErr w:type="spellEnd"/>
      <w:r w:rsidRPr="002D37FC">
        <w:rPr>
          <w:rFonts w:ascii="Georgia" w:hAnsi="Georgia"/>
          <w:b/>
          <w:bCs/>
          <w:sz w:val="24"/>
          <w:szCs w:val="24"/>
        </w:rPr>
        <w:t>, Chief Economist for PwC Strategy&amp; Africa and Dr Christie Viljoen, PwC Strategy&amp; Economist</w:t>
      </w:r>
    </w:p>
    <w:p w14:paraId="024C2B2A" w14:textId="77777777" w:rsidR="008D2096" w:rsidRDefault="008D2096" w:rsidP="008D2096">
      <w:pPr>
        <w:pBdr>
          <w:bottom w:val="single" w:sz="12" w:space="1" w:color="auto"/>
        </w:pBdr>
        <w:rPr>
          <w:rFonts w:ascii="Georgia" w:hAnsi="Georgia"/>
          <w:sz w:val="20"/>
          <w:szCs w:val="20"/>
        </w:rPr>
      </w:pPr>
    </w:p>
    <w:p w14:paraId="3F208B14" w14:textId="77777777" w:rsidR="008D2096" w:rsidRPr="002D37FC" w:rsidRDefault="008D2096" w:rsidP="008D2096">
      <w:pPr>
        <w:shd w:val="clear" w:color="auto" w:fill="FFFFFF"/>
        <w:spacing w:line="240" w:lineRule="auto"/>
        <w:rPr>
          <w:rFonts w:ascii="Georgia" w:eastAsia="Times New Roman" w:hAnsi="Georgia" w:cstheme="minorHAnsi"/>
          <w:i/>
          <w:iCs/>
          <w:color w:val="222222"/>
        </w:rPr>
      </w:pPr>
      <w:r w:rsidRPr="002D37FC">
        <w:rPr>
          <w:rFonts w:ascii="Georgia" w:eastAsia="Times New Roman" w:hAnsi="Georgia" w:cstheme="minorHAnsi"/>
          <w:i/>
          <w:iCs/>
          <w:color w:val="222222"/>
        </w:rPr>
        <w:t xml:space="preserve">At PwC, our purpose is to build trust in society and solve important problems. We’re a network of firms in 158 countries with over 250,000 people who are committed to delivering quality in assurance, advisory and tax services. Find out more and tell us what matters to you by visiting us at </w:t>
      </w:r>
      <w:hyperlink r:id="rId8" w:tgtFrame="_blank" w:history="1">
        <w:r w:rsidRPr="002D37FC">
          <w:rPr>
            <w:rFonts w:ascii="Georgia" w:eastAsia="Times New Roman" w:hAnsi="Georgia" w:cstheme="minorHAnsi"/>
            <w:i/>
            <w:iCs/>
            <w:color w:val="1155CC"/>
            <w:u w:val="single"/>
          </w:rPr>
          <w:t>www.pwc.com</w:t>
        </w:r>
      </w:hyperlink>
      <w:r w:rsidRPr="002D37FC">
        <w:rPr>
          <w:rFonts w:ascii="Georgia" w:eastAsia="Times New Roman" w:hAnsi="Georgia" w:cstheme="minorHAnsi"/>
          <w:i/>
          <w:iCs/>
          <w:color w:val="222222"/>
        </w:rPr>
        <w:t>.</w:t>
      </w:r>
    </w:p>
    <w:p w14:paraId="5E84472C" w14:textId="77777777" w:rsidR="008D2096" w:rsidRPr="002D37FC" w:rsidRDefault="008D2096" w:rsidP="008D2096">
      <w:pPr>
        <w:pStyle w:val="NormalWeb"/>
        <w:shd w:val="clear" w:color="auto" w:fill="FFFFFF"/>
        <w:rPr>
          <w:rFonts w:ascii="Georgia" w:hAnsi="Georgia" w:cstheme="minorHAnsi"/>
          <w:i/>
          <w:color w:val="000000" w:themeColor="text1"/>
          <w:sz w:val="22"/>
          <w:szCs w:val="22"/>
          <w:lang w:val="en"/>
        </w:rPr>
      </w:pPr>
      <w:r w:rsidRPr="002D37FC">
        <w:rPr>
          <w:rFonts w:ascii="Georgia" w:hAnsi="Georgia" w:cstheme="minorHAnsi"/>
          <w:i/>
          <w:color w:val="000000" w:themeColor="text1"/>
          <w:sz w:val="22"/>
          <w:szCs w:val="22"/>
          <w:lang w:val="en"/>
        </w:rPr>
        <w:t xml:space="preserve">PwC has a presence in 34 Africa countries with an office footprint covering 66 offices. With a single Africa leadership team and more than 400 partners and 9000 professionals across Africa, we serve some of the continent’s largest businesses across all industries. </w:t>
      </w:r>
    </w:p>
    <w:p w14:paraId="13AB49B7" w14:textId="77777777" w:rsidR="008D2096" w:rsidRPr="002D37FC" w:rsidRDefault="008D2096" w:rsidP="008D2096">
      <w:pPr>
        <w:spacing w:line="240" w:lineRule="auto"/>
        <w:rPr>
          <w:rFonts w:ascii="Georgia" w:eastAsia="Times New Roman" w:hAnsi="Georgia" w:cstheme="minorHAnsi"/>
        </w:rPr>
      </w:pPr>
      <w:r w:rsidRPr="002D37FC">
        <w:rPr>
          <w:rFonts w:ascii="Georgia" w:eastAsia="Times New Roman" w:hAnsi="Georgia" w:cstheme="minorHAnsi"/>
          <w:i/>
          <w:iCs/>
          <w:color w:val="222222"/>
        </w:rPr>
        <w:t xml:space="preserve">PwC refers to the PwC network and/or one or more of its member firms, each of which is a separate legal entity. Please see </w:t>
      </w:r>
      <w:hyperlink r:id="rId9" w:tgtFrame="_blank" w:history="1">
        <w:r w:rsidRPr="002D37FC">
          <w:rPr>
            <w:rFonts w:ascii="Georgia" w:eastAsia="Times New Roman" w:hAnsi="Georgia" w:cstheme="minorHAnsi"/>
            <w:i/>
            <w:iCs/>
            <w:color w:val="1155CC"/>
            <w:u w:val="single"/>
          </w:rPr>
          <w:t>www.pwc.com/structure</w:t>
        </w:r>
      </w:hyperlink>
      <w:r w:rsidRPr="002D37FC">
        <w:rPr>
          <w:rFonts w:ascii="Georgia" w:eastAsia="Times New Roman" w:hAnsi="Georgia" w:cstheme="minorHAnsi"/>
          <w:i/>
          <w:iCs/>
          <w:color w:val="222222"/>
        </w:rPr>
        <w:t xml:space="preserve"> for further details.</w:t>
      </w:r>
    </w:p>
    <w:p w14:paraId="2D37A615" w14:textId="77777777" w:rsidR="008D2096" w:rsidRPr="002D37FC" w:rsidRDefault="008D2096" w:rsidP="008D2096">
      <w:pPr>
        <w:spacing w:line="240" w:lineRule="auto"/>
        <w:rPr>
          <w:rFonts w:ascii="Georgia" w:eastAsia="Times New Roman" w:hAnsi="Georgia" w:cstheme="minorHAnsi"/>
        </w:rPr>
      </w:pPr>
      <w:r w:rsidRPr="002D37FC">
        <w:rPr>
          <w:rFonts w:ascii="Georgia" w:eastAsia="Times New Roman" w:hAnsi="Georgia" w:cstheme="minorHAnsi"/>
          <w:color w:val="222222"/>
        </w:rPr>
        <w:br/>
      </w:r>
    </w:p>
    <w:p w14:paraId="4AEB3ABC" w14:textId="77777777" w:rsidR="008D2096" w:rsidRPr="002D37FC" w:rsidRDefault="008D2096" w:rsidP="008D2096">
      <w:pPr>
        <w:shd w:val="clear" w:color="auto" w:fill="FFFFFF"/>
        <w:spacing w:line="240" w:lineRule="auto"/>
        <w:rPr>
          <w:rFonts w:ascii="Georgia" w:eastAsia="Times New Roman" w:hAnsi="Georgia" w:cstheme="minorHAnsi"/>
          <w:i/>
          <w:iCs/>
          <w:color w:val="222222"/>
        </w:rPr>
      </w:pPr>
      <w:r w:rsidRPr="002D37FC">
        <w:rPr>
          <w:rFonts w:ascii="Georgia" w:eastAsia="Times New Roman" w:hAnsi="Georgia" w:cstheme="minorHAnsi"/>
          <w:i/>
          <w:iCs/>
          <w:color w:val="222222"/>
        </w:rPr>
        <w:t>© 2020 PwC. All rights reserved</w:t>
      </w:r>
    </w:p>
    <w:p w14:paraId="3D392699" w14:textId="77777777" w:rsidR="008D2096" w:rsidRPr="002D37FC" w:rsidRDefault="008D2096" w:rsidP="008D2096">
      <w:pPr>
        <w:shd w:val="clear" w:color="auto" w:fill="FFFFFF"/>
        <w:spacing w:line="240" w:lineRule="auto"/>
        <w:rPr>
          <w:rFonts w:ascii="Georgia" w:eastAsia="Times New Roman" w:hAnsi="Georgia" w:cstheme="minorHAnsi"/>
          <w:color w:val="222222"/>
        </w:rPr>
      </w:pPr>
    </w:p>
    <w:p w14:paraId="548A8F6D" w14:textId="77777777" w:rsidR="008D2096" w:rsidRPr="002D37FC" w:rsidRDefault="008D2096" w:rsidP="008D2096">
      <w:pPr>
        <w:rPr>
          <w:rFonts w:ascii="Georgia" w:hAnsi="Georgia" w:cstheme="minorHAnsi"/>
          <w:b/>
        </w:rPr>
      </w:pPr>
      <w:r w:rsidRPr="002D37FC">
        <w:rPr>
          <w:rFonts w:ascii="Georgia" w:hAnsi="Georgia" w:cstheme="minorHAnsi"/>
          <w:b/>
        </w:rPr>
        <w:lastRenderedPageBreak/>
        <w:t>Media contacts</w:t>
      </w:r>
    </w:p>
    <w:p w14:paraId="62AD2C40" w14:textId="77777777" w:rsidR="008D2096" w:rsidRPr="002D37FC" w:rsidRDefault="008D2096" w:rsidP="008D2096">
      <w:pPr>
        <w:spacing w:line="240" w:lineRule="auto"/>
        <w:rPr>
          <w:rFonts w:ascii="Georgia" w:hAnsi="Georgia" w:cstheme="minorHAnsi"/>
        </w:rPr>
      </w:pPr>
      <w:proofErr w:type="spellStart"/>
      <w:r w:rsidRPr="002D37FC">
        <w:rPr>
          <w:rFonts w:ascii="Georgia" w:hAnsi="Georgia" w:cstheme="minorHAnsi"/>
        </w:rPr>
        <w:t>Bontle</w:t>
      </w:r>
      <w:proofErr w:type="spellEnd"/>
      <w:r w:rsidRPr="002D37FC">
        <w:rPr>
          <w:rFonts w:ascii="Georgia" w:hAnsi="Georgia" w:cstheme="minorHAnsi"/>
        </w:rPr>
        <w:t xml:space="preserve"> Mnisi: Account Executive, Change the Conversation, South Africa</w:t>
      </w:r>
    </w:p>
    <w:p w14:paraId="2887836B" w14:textId="77777777" w:rsidR="008D2096" w:rsidRPr="002D37FC" w:rsidRDefault="008D2096" w:rsidP="008D2096">
      <w:pPr>
        <w:spacing w:line="240" w:lineRule="auto"/>
        <w:rPr>
          <w:rFonts w:ascii="Georgia" w:hAnsi="Georgia" w:cstheme="minorHAnsi"/>
        </w:rPr>
      </w:pPr>
      <w:r w:rsidRPr="002D37FC">
        <w:rPr>
          <w:rFonts w:ascii="Georgia" w:hAnsi="Georgia" w:cstheme="minorHAnsi"/>
        </w:rPr>
        <w:t>Mobile: + 27 (0)76 2283796</w:t>
      </w:r>
    </w:p>
    <w:p w14:paraId="71C9767C" w14:textId="77777777" w:rsidR="008D2096" w:rsidRPr="002D37FC" w:rsidRDefault="008D2096" w:rsidP="008D2096">
      <w:pPr>
        <w:spacing w:line="240" w:lineRule="auto"/>
        <w:rPr>
          <w:rFonts w:ascii="Georgia" w:hAnsi="Georgia" w:cstheme="minorHAnsi"/>
        </w:rPr>
      </w:pPr>
      <w:r w:rsidRPr="002D37FC">
        <w:rPr>
          <w:rFonts w:ascii="Georgia" w:hAnsi="Georgia" w:cstheme="minorHAnsi"/>
        </w:rPr>
        <w:t xml:space="preserve">Email: </w:t>
      </w:r>
      <w:hyperlink r:id="rId10" w:history="1">
        <w:r w:rsidRPr="002D37FC">
          <w:rPr>
            <w:rStyle w:val="Hyperlink"/>
            <w:rFonts w:ascii="Georgia" w:hAnsi="Georgia" w:cstheme="minorHAnsi"/>
          </w:rPr>
          <w:t>bontle@changetc.co.za</w:t>
        </w:r>
      </w:hyperlink>
    </w:p>
    <w:p w14:paraId="58D37259" w14:textId="77777777" w:rsidR="008D2096" w:rsidRPr="002D37FC" w:rsidRDefault="008D2096" w:rsidP="008D2096">
      <w:pPr>
        <w:spacing w:line="240" w:lineRule="auto"/>
        <w:rPr>
          <w:rFonts w:ascii="Georgia" w:hAnsi="Georgia" w:cstheme="minorHAnsi"/>
        </w:rPr>
      </w:pPr>
      <w:r w:rsidRPr="002D37FC">
        <w:rPr>
          <w:rFonts w:ascii="Georgia" w:hAnsi="Georgia" w:cstheme="minorHAnsi"/>
        </w:rPr>
        <w:t>Or</w:t>
      </w:r>
    </w:p>
    <w:p w14:paraId="42D6B18D" w14:textId="77777777" w:rsidR="008D2096" w:rsidRPr="002D37FC" w:rsidRDefault="008D2096" w:rsidP="008D2096">
      <w:pPr>
        <w:spacing w:line="240" w:lineRule="auto"/>
        <w:rPr>
          <w:rFonts w:ascii="Georgia" w:hAnsi="Georgia" w:cstheme="minorHAnsi"/>
        </w:rPr>
      </w:pPr>
      <w:r w:rsidRPr="002D37FC">
        <w:rPr>
          <w:rFonts w:ascii="Georgia" w:hAnsi="Georgia" w:cstheme="minorHAnsi"/>
        </w:rPr>
        <w:t>Sandy Greaves Campbell, MD of Change the Conversation, South Africa</w:t>
      </w:r>
    </w:p>
    <w:p w14:paraId="4166334F" w14:textId="77777777" w:rsidR="008D2096" w:rsidRPr="002D37FC" w:rsidRDefault="008D2096" w:rsidP="008D2096">
      <w:pPr>
        <w:spacing w:line="240" w:lineRule="auto"/>
        <w:rPr>
          <w:rFonts w:ascii="Georgia" w:hAnsi="Georgia" w:cstheme="minorHAnsi"/>
        </w:rPr>
      </w:pPr>
      <w:r w:rsidRPr="002D37FC">
        <w:rPr>
          <w:rFonts w:ascii="Georgia" w:hAnsi="Georgia" w:cstheme="minorHAnsi"/>
        </w:rPr>
        <w:t>Mobile: +27 (0)83 408 3373</w:t>
      </w:r>
    </w:p>
    <w:p w14:paraId="08CB2350" w14:textId="77777777" w:rsidR="008D2096" w:rsidRPr="002D37FC" w:rsidRDefault="008D2096" w:rsidP="008D2096">
      <w:pPr>
        <w:spacing w:line="240" w:lineRule="auto"/>
        <w:rPr>
          <w:rFonts w:ascii="Georgia" w:hAnsi="Georgia" w:cstheme="minorHAnsi"/>
        </w:rPr>
      </w:pPr>
      <w:r w:rsidRPr="002D37FC">
        <w:rPr>
          <w:rFonts w:ascii="Georgia" w:hAnsi="Georgia" w:cstheme="minorHAnsi"/>
        </w:rPr>
        <w:t xml:space="preserve">Email: </w:t>
      </w:r>
      <w:hyperlink r:id="rId11" w:history="1">
        <w:r w:rsidRPr="002D37FC">
          <w:rPr>
            <w:rStyle w:val="Hyperlink"/>
            <w:rFonts w:ascii="Georgia" w:hAnsi="Georgia" w:cstheme="minorHAnsi"/>
          </w:rPr>
          <w:t>sandy@changetc.co.za</w:t>
        </w:r>
      </w:hyperlink>
    </w:p>
    <w:p w14:paraId="74165DB8" w14:textId="77777777" w:rsidR="008D2096" w:rsidRPr="002D37FC" w:rsidRDefault="008D2096" w:rsidP="008D2096">
      <w:pPr>
        <w:spacing w:line="240" w:lineRule="auto"/>
        <w:rPr>
          <w:rFonts w:ascii="Georgia" w:hAnsi="Georgia" w:cstheme="minorHAnsi"/>
        </w:rPr>
      </w:pPr>
      <w:r w:rsidRPr="002D37FC">
        <w:rPr>
          <w:rFonts w:ascii="Georgia" w:hAnsi="Georgia" w:cstheme="minorHAnsi"/>
        </w:rPr>
        <w:t>Or</w:t>
      </w:r>
    </w:p>
    <w:p w14:paraId="19165BC0" w14:textId="77777777" w:rsidR="008D2096" w:rsidRPr="002D37FC" w:rsidRDefault="008D2096" w:rsidP="008D2096">
      <w:pPr>
        <w:spacing w:line="240" w:lineRule="auto"/>
        <w:rPr>
          <w:rFonts w:ascii="Georgia" w:hAnsi="Georgia" w:cstheme="minorHAnsi"/>
        </w:rPr>
      </w:pPr>
      <w:r w:rsidRPr="002D37FC">
        <w:rPr>
          <w:rFonts w:ascii="Georgia" w:hAnsi="Georgia" w:cstheme="minorHAnsi"/>
        </w:rPr>
        <w:t>Sanchi</w:t>
      </w:r>
      <w:r w:rsidRPr="002D37FC">
        <w:rPr>
          <w:rFonts w:ascii="Georgia" w:hAnsi="Georgia" w:cstheme="minorHAnsi"/>
          <w:color w:val="000000" w:themeColor="text1"/>
        </w:rPr>
        <w:t>a Temkin: Media Relations, PwC Africa</w:t>
      </w:r>
    </w:p>
    <w:p w14:paraId="09CA8AA1" w14:textId="77777777" w:rsidR="008D2096" w:rsidRPr="002D37FC" w:rsidRDefault="008D2096" w:rsidP="008D2096">
      <w:pPr>
        <w:spacing w:line="240" w:lineRule="auto"/>
        <w:rPr>
          <w:rFonts w:ascii="Georgia" w:hAnsi="Georgia" w:cstheme="minorHAnsi"/>
          <w:color w:val="000000" w:themeColor="text1"/>
        </w:rPr>
      </w:pPr>
      <w:r w:rsidRPr="002D37FC">
        <w:rPr>
          <w:rFonts w:ascii="Georgia" w:hAnsi="Georgia" w:cstheme="minorHAnsi"/>
          <w:color w:val="000000" w:themeColor="text1"/>
        </w:rPr>
        <w:t>Mobile: +27 (0)82 550 5146</w:t>
      </w:r>
    </w:p>
    <w:p w14:paraId="3A34E69B" w14:textId="77777777" w:rsidR="008D2096" w:rsidRPr="002D37FC" w:rsidRDefault="008D2096" w:rsidP="008D2096">
      <w:pPr>
        <w:spacing w:line="240" w:lineRule="auto"/>
        <w:rPr>
          <w:rFonts w:ascii="Georgia" w:hAnsi="Georgia" w:cstheme="minorHAnsi"/>
          <w:color w:val="000000" w:themeColor="text1"/>
        </w:rPr>
      </w:pPr>
      <w:r w:rsidRPr="002D37FC">
        <w:rPr>
          <w:rFonts w:ascii="Georgia" w:hAnsi="Georgia" w:cstheme="minorHAnsi"/>
          <w:color w:val="000000" w:themeColor="text1"/>
        </w:rPr>
        <w:t xml:space="preserve">Email: </w:t>
      </w:r>
      <w:hyperlink r:id="rId12" w:history="1">
        <w:r w:rsidRPr="002D37FC">
          <w:rPr>
            <w:rStyle w:val="Hyperlink"/>
            <w:rFonts w:ascii="Georgia" w:hAnsi="Georgia" w:cstheme="minorHAnsi"/>
          </w:rPr>
          <w:t>sanchia.temkin@pwc.com</w:t>
        </w:r>
      </w:hyperlink>
    </w:p>
    <w:p w14:paraId="1A7F90EB" w14:textId="77777777" w:rsidR="008D2096" w:rsidRDefault="008D2096" w:rsidP="008D2096">
      <w:pPr>
        <w:spacing w:line="240" w:lineRule="auto"/>
        <w:rPr>
          <w:rFonts w:cstheme="minorHAnsi"/>
          <w:color w:val="000000" w:themeColor="text1"/>
        </w:rPr>
      </w:pPr>
    </w:p>
    <w:p w14:paraId="2AE73B39" w14:textId="77777777" w:rsidR="008D2096" w:rsidRDefault="008D2096" w:rsidP="008D2096">
      <w:pPr>
        <w:spacing w:line="240" w:lineRule="auto"/>
        <w:rPr>
          <w:rFonts w:ascii="Georgia" w:hAnsi="Georgia" w:cstheme="minorHAnsi"/>
          <w:b/>
          <w:bCs/>
          <w:color w:val="000000" w:themeColor="text1"/>
        </w:rPr>
      </w:pPr>
      <w:r w:rsidRPr="002D37FC">
        <w:rPr>
          <w:rFonts w:ascii="Georgia" w:hAnsi="Georgia" w:cstheme="minorHAnsi"/>
          <w:b/>
          <w:bCs/>
          <w:color w:val="000000" w:themeColor="text1"/>
        </w:rPr>
        <w:t>PwC Strategy&amp; contacts</w:t>
      </w:r>
    </w:p>
    <w:p w14:paraId="03D7C7DC" w14:textId="77777777" w:rsidR="008D2096" w:rsidRPr="002D37FC" w:rsidRDefault="008D2096" w:rsidP="008D2096">
      <w:pPr>
        <w:spacing w:line="240" w:lineRule="auto"/>
        <w:rPr>
          <w:rFonts w:ascii="Georgia" w:hAnsi="Georgia" w:cstheme="minorHAnsi"/>
          <w:b/>
          <w:bCs/>
          <w:color w:val="000000" w:themeColor="text1"/>
        </w:rPr>
      </w:pPr>
    </w:p>
    <w:p w14:paraId="081B07B6" w14:textId="77777777" w:rsidR="008D2096" w:rsidRPr="001B4C36" w:rsidRDefault="008D2096" w:rsidP="008D2096">
      <w:pPr>
        <w:rPr>
          <w:rFonts w:ascii="Georgia" w:hAnsi="Georgia"/>
          <w:sz w:val="20"/>
          <w:szCs w:val="20"/>
        </w:rPr>
      </w:pPr>
      <w:proofErr w:type="spellStart"/>
      <w:r w:rsidRPr="001B4C36">
        <w:rPr>
          <w:rFonts w:ascii="Georgia" w:hAnsi="Georgia"/>
          <w:sz w:val="20"/>
          <w:szCs w:val="20"/>
        </w:rPr>
        <w:t>Lullu</w:t>
      </w:r>
      <w:proofErr w:type="spellEnd"/>
      <w:r w:rsidRPr="001B4C36">
        <w:rPr>
          <w:rFonts w:ascii="Georgia" w:hAnsi="Georgia"/>
          <w:sz w:val="20"/>
          <w:szCs w:val="20"/>
        </w:rPr>
        <w:t xml:space="preserve"> </w:t>
      </w:r>
      <w:proofErr w:type="spellStart"/>
      <w:r w:rsidRPr="001B4C36">
        <w:rPr>
          <w:rFonts w:ascii="Georgia" w:hAnsi="Georgia"/>
          <w:sz w:val="20"/>
          <w:szCs w:val="20"/>
        </w:rPr>
        <w:t>Krugel</w:t>
      </w:r>
      <w:proofErr w:type="spellEnd"/>
    </w:p>
    <w:p w14:paraId="10037ADB" w14:textId="77777777" w:rsidR="008D2096" w:rsidRPr="001B4C36" w:rsidRDefault="008D2096" w:rsidP="008D2096">
      <w:pPr>
        <w:rPr>
          <w:rFonts w:ascii="Georgia" w:hAnsi="Georgia"/>
          <w:sz w:val="20"/>
          <w:szCs w:val="20"/>
        </w:rPr>
      </w:pPr>
      <w:r w:rsidRPr="001B4C36">
        <w:rPr>
          <w:rFonts w:ascii="Georgia" w:hAnsi="Georgia"/>
          <w:sz w:val="20"/>
          <w:szCs w:val="20"/>
        </w:rPr>
        <w:t>Chief Economist</w:t>
      </w:r>
      <w:r>
        <w:rPr>
          <w:rFonts w:ascii="Georgia" w:hAnsi="Georgia"/>
          <w:sz w:val="20"/>
          <w:szCs w:val="20"/>
        </w:rPr>
        <w:t>, PwC Strategy&amp; Africa</w:t>
      </w:r>
    </w:p>
    <w:p w14:paraId="708CDDB3" w14:textId="77777777" w:rsidR="008D2096" w:rsidRPr="001B4C36" w:rsidRDefault="008D2096" w:rsidP="008D2096">
      <w:pPr>
        <w:rPr>
          <w:rFonts w:ascii="Georgia" w:hAnsi="Georgia"/>
          <w:sz w:val="20"/>
          <w:szCs w:val="20"/>
        </w:rPr>
      </w:pPr>
      <w:r w:rsidRPr="001B4C36">
        <w:rPr>
          <w:rFonts w:ascii="Georgia" w:hAnsi="Georgia"/>
          <w:sz w:val="20"/>
          <w:szCs w:val="20"/>
        </w:rPr>
        <w:t>Mobile: +27 82 708 2330</w:t>
      </w:r>
    </w:p>
    <w:p w14:paraId="67221A6E" w14:textId="77777777" w:rsidR="008D2096" w:rsidRDefault="008D2096" w:rsidP="008D2096">
      <w:pPr>
        <w:rPr>
          <w:rFonts w:ascii="Georgia" w:hAnsi="Georgia"/>
          <w:sz w:val="20"/>
          <w:szCs w:val="20"/>
        </w:rPr>
      </w:pPr>
      <w:r w:rsidRPr="001B4C36">
        <w:rPr>
          <w:rFonts w:ascii="Georgia" w:hAnsi="Georgia"/>
          <w:sz w:val="20"/>
          <w:szCs w:val="20"/>
        </w:rPr>
        <w:t xml:space="preserve">Email: </w:t>
      </w:r>
      <w:hyperlink r:id="rId13" w:history="1">
        <w:r w:rsidRPr="00673C0F">
          <w:rPr>
            <w:rStyle w:val="Hyperlink"/>
            <w:rFonts w:ascii="Georgia" w:hAnsi="Georgia"/>
            <w:sz w:val="20"/>
            <w:szCs w:val="20"/>
          </w:rPr>
          <w:t>lullu.krugel@pwc.com</w:t>
        </w:r>
      </w:hyperlink>
    </w:p>
    <w:p w14:paraId="225CD849" w14:textId="77777777" w:rsidR="008D2096" w:rsidRPr="001B4C36" w:rsidRDefault="008D2096" w:rsidP="008D2096">
      <w:pPr>
        <w:rPr>
          <w:rFonts w:ascii="Georgia" w:hAnsi="Georgia"/>
          <w:sz w:val="20"/>
          <w:szCs w:val="20"/>
        </w:rPr>
      </w:pPr>
      <w:r>
        <w:rPr>
          <w:rFonts w:ascii="Georgia" w:hAnsi="Georgia"/>
          <w:sz w:val="20"/>
          <w:szCs w:val="20"/>
        </w:rPr>
        <w:t>Or</w:t>
      </w:r>
    </w:p>
    <w:p w14:paraId="5EE238B1" w14:textId="77777777" w:rsidR="008D2096" w:rsidRDefault="008D2096" w:rsidP="008D2096">
      <w:pPr>
        <w:rPr>
          <w:rFonts w:ascii="Georgia" w:hAnsi="Georgia"/>
          <w:sz w:val="20"/>
          <w:szCs w:val="20"/>
        </w:rPr>
      </w:pPr>
      <w:r>
        <w:rPr>
          <w:rFonts w:ascii="Georgia" w:hAnsi="Georgia"/>
          <w:sz w:val="20"/>
          <w:szCs w:val="20"/>
        </w:rPr>
        <w:t xml:space="preserve">Dr </w:t>
      </w:r>
      <w:r w:rsidRPr="001B4C36">
        <w:rPr>
          <w:rFonts w:ascii="Georgia" w:hAnsi="Georgia"/>
          <w:sz w:val="20"/>
          <w:szCs w:val="20"/>
        </w:rPr>
        <w:t>Christie Viljoen</w:t>
      </w:r>
    </w:p>
    <w:p w14:paraId="27A5C5C7" w14:textId="77777777" w:rsidR="008D2096" w:rsidRPr="001B4C36" w:rsidRDefault="008D2096" w:rsidP="008D2096">
      <w:pPr>
        <w:rPr>
          <w:rFonts w:ascii="Georgia" w:hAnsi="Georgia"/>
          <w:sz w:val="20"/>
          <w:szCs w:val="20"/>
        </w:rPr>
      </w:pPr>
      <w:r>
        <w:rPr>
          <w:rFonts w:ascii="Georgia" w:hAnsi="Georgia"/>
          <w:sz w:val="20"/>
          <w:szCs w:val="20"/>
        </w:rPr>
        <w:t>Economist, PwC Strategy&amp; Africa</w:t>
      </w:r>
    </w:p>
    <w:p w14:paraId="1DA13737" w14:textId="77777777" w:rsidR="008D2096" w:rsidRPr="001B4C36" w:rsidRDefault="008D2096" w:rsidP="008D2096">
      <w:pPr>
        <w:rPr>
          <w:rFonts w:ascii="Georgia" w:hAnsi="Georgia"/>
          <w:sz w:val="20"/>
          <w:szCs w:val="20"/>
        </w:rPr>
      </w:pPr>
      <w:r w:rsidRPr="001B4C36">
        <w:rPr>
          <w:rFonts w:ascii="Georgia" w:hAnsi="Georgia"/>
          <w:sz w:val="20"/>
          <w:szCs w:val="20"/>
        </w:rPr>
        <w:t>Mobile: +27 82 472 8621</w:t>
      </w:r>
    </w:p>
    <w:p w14:paraId="4CCFFD3D" w14:textId="77777777" w:rsidR="008D2096" w:rsidRPr="001B4C36" w:rsidRDefault="008D2096" w:rsidP="008D2096">
      <w:pPr>
        <w:rPr>
          <w:rFonts w:ascii="Georgia" w:hAnsi="Georgia"/>
          <w:sz w:val="20"/>
          <w:szCs w:val="20"/>
        </w:rPr>
      </w:pPr>
      <w:r w:rsidRPr="001B4C36">
        <w:rPr>
          <w:rFonts w:ascii="Georgia" w:hAnsi="Georgia"/>
          <w:sz w:val="20"/>
          <w:szCs w:val="20"/>
        </w:rPr>
        <w:t>Email: christie.viljoen@pwc.com</w:t>
      </w:r>
    </w:p>
    <w:p w14:paraId="6232F934" w14:textId="77777777" w:rsidR="008D2096" w:rsidRPr="002D37FC" w:rsidRDefault="008D2096" w:rsidP="008D2096">
      <w:pPr>
        <w:spacing w:line="240" w:lineRule="auto"/>
        <w:rPr>
          <w:rFonts w:cstheme="minorHAnsi"/>
          <w:b/>
          <w:bCs/>
          <w:color w:val="000000" w:themeColor="text1"/>
        </w:rPr>
      </w:pPr>
    </w:p>
    <w:p w14:paraId="28512B17" w14:textId="77777777" w:rsidR="008D2096" w:rsidRDefault="008D2096" w:rsidP="002973D9">
      <w:pPr>
        <w:rPr>
          <w:rFonts w:ascii="Georgia" w:hAnsi="Georgia"/>
          <w:sz w:val="20"/>
          <w:szCs w:val="20"/>
        </w:rPr>
      </w:pPr>
      <w:bookmarkStart w:id="1" w:name="_GoBack"/>
      <w:bookmarkEnd w:id="1"/>
    </w:p>
    <w:p w14:paraId="0F5835C0" w14:textId="77777777" w:rsidR="00290BD6" w:rsidRDefault="00290BD6"/>
    <w:sectPr w:rsidR="00290B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D9"/>
    <w:rsid w:val="00290BD6"/>
    <w:rsid w:val="002973D9"/>
    <w:rsid w:val="008D2096"/>
    <w:rsid w:val="00B268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83AC"/>
  <w15:chartTrackingRefBased/>
  <w15:docId w15:val="{745F6224-4ECB-4A0F-86AF-D163C317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973D9"/>
  </w:style>
  <w:style w:type="paragraph" w:styleId="Heading1">
    <w:name w:val="heading 1"/>
    <w:link w:val="Heading1Char"/>
    <w:uiPriority w:val="9"/>
    <w:qFormat/>
    <w:rsid w:val="002973D9"/>
    <w:pPr>
      <w:keepNext/>
      <w:keepLines/>
      <w:spacing w:after="480" w:line="600" w:lineRule="atLeast"/>
      <w:outlineLvl w:val="0"/>
    </w:pPr>
    <w:rPr>
      <w:rFonts w:ascii="Georgia" w:eastAsiaTheme="majorEastAsia" w:hAnsi="Georgia" w:cstheme="majorBidi"/>
      <w:b/>
      <w:bCs/>
      <w:i/>
      <w:color w:val="000000" w:themeColor="text1"/>
      <w:sz w:val="56"/>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3D9"/>
    <w:rPr>
      <w:rFonts w:ascii="Georgia" w:eastAsiaTheme="majorEastAsia" w:hAnsi="Georgia" w:cstheme="majorBidi"/>
      <w:b/>
      <w:bCs/>
      <w:i/>
      <w:color w:val="000000" w:themeColor="text1"/>
      <w:sz w:val="56"/>
      <w:szCs w:val="28"/>
      <w:lang w:val="en-GB"/>
    </w:rPr>
  </w:style>
  <w:style w:type="character" w:styleId="Hyperlink">
    <w:name w:val="Hyperlink"/>
    <w:basedOn w:val="DefaultParagraphFont"/>
    <w:uiPriority w:val="99"/>
    <w:unhideWhenUsed/>
    <w:rsid w:val="008D2096"/>
    <w:rPr>
      <w:color w:val="0563C1" w:themeColor="hyperlink"/>
      <w:u w:val="single"/>
    </w:rPr>
  </w:style>
  <w:style w:type="paragraph" w:styleId="NormalWeb">
    <w:name w:val="Normal (Web)"/>
    <w:basedOn w:val="Normal"/>
    <w:uiPriority w:val="99"/>
    <w:semiHidden/>
    <w:unhideWhenUsed/>
    <w:rsid w:val="008D209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wc.com/" TargetMode="External"/><Relationship Id="rId13" Type="http://schemas.openxmlformats.org/officeDocument/2006/relationships/hyperlink" Target="mailto:lullu.krugel@pwc.com" TargetMode="External"/><Relationship Id="rId3" Type="http://schemas.openxmlformats.org/officeDocument/2006/relationships/webSettings" Target="webSettings.xml"/><Relationship Id="rId7" Type="http://schemas.openxmlformats.org/officeDocument/2006/relationships/chart" Target="charts/chart3.xml"/><Relationship Id="rId12" Type="http://schemas.openxmlformats.org/officeDocument/2006/relationships/hyperlink" Target="mailto:sanchia.temkin@pw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hyperlink" Target="mailto:sandy@changetc.co.za" TargetMode="Externa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hyperlink" Target="mailto:bontle@changetc.co.za" TargetMode="External"/><Relationship Id="rId4" Type="http://schemas.openxmlformats.org/officeDocument/2006/relationships/image" Target="media/image1.png"/><Relationship Id="rId9" Type="http://schemas.openxmlformats.org/officeDocument/2006/relationships/hyperlink" Target="http://www.pwc.com/structure"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ZATPDCFPRPWV001\Common$\Consulting\Strategy&amp;\06_The%20News\Media%20articles\SARB%20MPC\MPC%20vot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ZATPDCFPRPWV001\Common$\Consulting\Strategy&amp;\06_The%20News\Media%20articles\Africa%20PMIs\Africa%20PM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ZATPDCFPRPWV001\Common$\Consulting\Strategy&amp;\06_The%20News\Internal\Coronavirus%20blogs\BUSA\BUSA%20SLIDE%20DECK\Global_Mobility_Report%20(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v>Down</c:v>
          </c:tx>
          <c:spPr>
            <a:solidFill>
              <a:schemeClr val="accent6"/>
            </a:solidFill>
            <a:ln>
              <a:noFill/>
            </a:ln>
            <a:effectLst/>
          </c:spPr>
          <c:invertIfNegative val="0"/>
          <c:cat>
            <c:strRef>
              <c:f>Votes!$A$3:$A$36</c:f>
              <c:strCache>
                <c:ptCount val="34"/>
                <c:pt idx="0">
                  <c:v>Nov-14</c:v>
                </c:pt>
                <c:pt idx="1">
                  <c:v>Jan-15</c:v>
                </c:pt>
                <c:pt idx="2">
                  <c:v>Mar-15</c:v>
                </c:pt>
                <c:pt idx="3">
                  <c:v>May-15</c:v>
                </c:pt>
                <c:pt idx="4">
                  <c:v>Jul-15</c:v>
                </c:pt>
                <c:pt idx="5">
                  <c:v>Sep-15</c:v>
                </c:pt>
                <c:pt idx="6">
                  <c:v>Nov-15</c:v>
                </c:pt>
                <c:pt idx="7">
                  <c:v>Jan-16</c:v>
                </c:pt>
                <c:pt idx="8">
                  <c:v>Mar-16</c:v>
                </c:pt>
                <c:pt idx="9">
                  <c:v>May-16</c:v>
                </c:pt>
                <c:pt idx="10">
                  <c:v>Jul-16</c:v>
                </c:pt>
                <c:pt idx="11">
                  <c:v>Sep-16</c:v>
                </c:pt>
                <c:pt idx="12">
                  <c:v>Nov-16</c:v>
                </c:pt>
                <c:pt idx="13">
                  <c:v>Jan-17</c:v>
                </c:pt>
                <c:pt idx="14">
                  <c:v>Mar-17</c:v>
                </c:pt>
                <c:pt idx="15">
                  <c:v>May-17</c:v>
                </c:pt>
                <c:pt idx="16">
                  <c:v>Jul-17</c:v>
                </c:pt>
                <c:pt idx="17">
                  <c:v>Sep-17</c:v>
                </c:pt>
                <c:pt idx="18">
                  <c:v>Nov-17</c:v>
                </c:pt>
                <c:pt idx="19">
                  <c:v>Jan-18</c:v>
                </c:pt>
                <c:pt idx="20">
                  <c:v>Mar-18</c:v>
                </c:pt>
                <c:pt idx="21">
                  <c:v>May-18</c:v>
                </c:pt>
                <c:pt idx="22">
                  <c:v>Jul-18</c:v>
                </c:pt>
                <c:pt idx="23">
                  <c:v>Sep-18</c:v>
                </c:pt>
                <c:pt idx="24">
                  <c:v>Nov-18</c:v>
                </c:pt>
                <c:pt idx="25">
                  <c:v>Jan-19</c:v>
                </c:pt>
                <c:pt idx="26">
                  <c:v>Mar-19</c:v>
                </c:pt>
                <c:pt idx="27">
                  <c:v>May-19</c:v>
                </c:pt>
                <c:pt idx="28">
                  <c:v>Jul-19</c:v>
                </c:pt>
                <c:pt idx="29">
                  <c:v>Sep-19</c:v>
                </c:pt>
                <c:pt idx="30">
                  <c:v>Nov-19</c:v>
                </c:pt>
                <c:pt idx="31">
                  <c:v>Jan-20</c:v>
                </c:pt>
                <c:pt idx="32">
                  <c:v>Mar-20</c:v>
                </c:pt>
                <c:pt idx="33">
                  <c:v>Apr-20</c:v>
                </c:pt>
              </c:strCache>
            </c:strRef>
          </c:cat>
          <c:val>
            <c:numRef>
              <c:f>Votes!$B$3:$B$36</c:f>
              <c:numCache>
                <c:formatCode>General</c:formatCode>
                <c:ptCount val="3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1</c:v>
                </c:pt>
                <c:pt idx="15">
                  <c:v>1</c:v>
                </c:pt>
                <c:pt idx="16">
                  <c:v>4</c:v>
                </c:pt>
                <c:pt idx="17">
                  <c:v>3</c:v>
                </c:pt>
                <c:pt idx="18">
                  <c:v>0</c:v>
                </c:pt>
                <c:pt idx="19">
                  <c:v>1</c:v>
                </c:pt>
                <c:pt idx="20">
                  <c:v>4</c:v>
                </c:pt>
                <c:pt idx="21">
                  <c:v>0</c:v>
                </c:pt>
                <c:pt idx="22">
                  <c:v>0</c:v>
                </c:pt>
                <c:pt idx="23">
                  <c:v>0</c:v>
                </c:pt>
                <c:pt idx="24">
                  <c:v>0</c:v>
                </c:pt>
                <c:pt idx="25">
                  <c:v>0</c:v>
                </c:pt>
                <c:pt idx="26">
                  <c:v>0</c:v>
                </c:pt>
                <c:pt idx="27">
                  <c:v>2</c:v>
                </c:pt>
                <c:pt idx="28">
                  <c:v>5</c:v>
                </c:pt>
                <c:pt idx="29">
                  <c:v>0</c:v>
                </c:pt>
                <c:pt idx="30">
                  <c:v>2</c:v>
                </c:pt>
                <c:pt idx="31">
                  <c:v>5</c:v>
                </c:pt>
                <c:pt idx="32">
                  <c:v>5</c:v>
                </c:pt>
                <c:pt idx="33">
                  <c:v>5</c:v>
                </c:pt>
              </c:numCache>
            </c:numRef>
          </c:val>
          <c:extLst>
            <c:ext xmlns:c16="http://schemas.microsoft.com/office/drawing/2014/chart" uri="{C3380CC4-5D6E-409C-BE32-E72D297353CC}">
              <c16:uniqueId val="{00000000-66E0-4BD3-AF54-9BA0FB615D8A}"/>
            </c:ext>
          </c:extLst>
        </c:ser>
        <c:ser>
          <c:idx val="1"/>
          <c:order val="1"/>
          <c:tx>
            <c:v>Hold</c:v>
          </c:tx>
          <c:spPr>
            <a:solidFill>
              <a:schemeClr val="bg1">
                <a:lumMod val="75000"/>
              </a:schemeClr>
            </a:solidFill>
            <a:ln>
              <a:noFill/>
            </a:ln>
            <a:effectLst/>
          </c:spPr>
          <c:invertIfNegative val="0"/>
          <c:cat>
            <c:strRef>
              <c:f>Votes!$A$3:$A$36</c:f>
              <c:strCache>
                <c:ptCount val="34"/>
                <c:pt idx="0">
                  <c:v>Nov-14</c:v>
                </c:pt>
                <c:pt idx="1">
                  <c:v>Jan-15</c:v>
                </c:pt>
                <c:pt idx="2">
                  <c:v>Mar-15</c:v>
                </c:pt>
                <c:pt idx="3">
                  <c:v>May-15</c:v>
                </c:pt>
                <c:pt idx="4">
                  <c:v>Jul-15</c:v>
                </c:pt>
                <c:pt idx="5">
                  <c:v>Sep-15</c:v>
                </c:pt>
                <c:pt idx="6">
                  <c:v>Nov-15</c:v>
                </c:pt>
                <c:pt idx="7">
                  <c:v>Jan-16</c:v>
                </c:pt>
                <c:pt idx="8">
                  <c:v>Mar-16</c:v>
                </c:pt>
                <c:pt idx="9">
                  <c:v>May-16</c:v>
                </c:pt>
                <c:pt idx="10">
                  <c:v>Jul-16</c:v>
                </c:pt>
                <c:pt idx="11">
                  <c:v>Sep-16</c:v>
                </c:pt>
                <c:pt idx="12">
                  <c:v>Nov-16</c:v>
                </c:pt>
                <c:pt idx="13">
                  <c:v>Jan-17</c:v>
                </c:pt>
                <c:pt idx="14">
                  <c:v>Mar-17</c:v>
                </c:pt>
                <c:pt idx="15">
                  <c:v>May-17</c:v>
                </c:pt>
                <c:pt idx="16">
                  <c:v>Jul-17</c:v>
                </c:pt>
                <c:pt idx="17">
                  <c:v>Sep-17</c:v>
                </c:pt>
                <c:pt idx="18">
                  <c:v>Nov-17</c:v>
                </c:pt>
                <c:pt idx="19">
                  <c:v>Jan-18</c:v>
                </c:pt>
                <c:pt idx="20">
                  <c:v>Mar-18</c:v>
                </c:pt>
                <c:pt idx="21">
                  <c:v>May-18</c:v>
                </c:pt>
                <c:pt idx="22">
                  <c:v>Jul-18</c:v>
                </c:pt>
                <c:pt idx="23">
                  <c:v>Sep-18</c:v>
                </c:pt>
                <c:pt idx="24">
                  <c:v>Nov-18</c:v>
                </c:pt>
                <c:pt idx="25">
                  <c:v>Jan-19</c:v>
                </c:pt>
                <c:pt idx="26">
                  <c:v>Mar-19</c:v>
                </c:pt>
                <c:pt idx="27">
                  <c:v>May-19</c:v>
                </c:pt>
                <c:pt idx="28">
                  <c:v>Jul-19</c:v>
                </c:pt>
                <c:pt idx="29">
                  <c:v>Sep-19</c:v>
                </c:pt>
                <c:pt idx="30">
                  <c:v>Nov-19</c:v>
                </c:pt>
                <c:pt idx="31">
                  <c:v>Jan-20</c:v>
                </c:pt>
                <c:pt idx="32">
                  <c:v>Mar-20</c:v>
                </c:pt>
                <c:pt idx="33">
                  <c:v>Apr-20</c:v>
                </c:pt>
              </c:strCache>
            </c:strRef>
          </c:cat>
          <c:val>
            <c:numRef>
              <c:f>Votes!$C$3:$C$36</c:f>
              <c:numCache>
                <c:formatCode>General</c:formatCode>
                <c:ptCount val="34"/>
                <c:pt idx="0">
                  <c:v>6</c:v>
                </c:pt>
                <c:pt idx="1">
                  <c:v>6</c:v>
                </c:pt>
                <c:pt idx="2">
                  <c:v>6</c:v>
                </c:pt>
                <c:pt idx="3">
                  <c:v>4</c:v>
                </c:pt>
                <c:pt idx="4">
                  <c:v>2</c:v>
                </c:pt>
                <c:pt idx="5">
                  <c:v>6</c:v>
                </c:pt>
                <c:pt idx="6">
                  <c:v>2</c:v>
                </c:pt>
                <c:pt idx="7">
                  <c:v>1</c:v>
                </c:pt>
                <c:pt idx="8">
                  <c:v>3</c:v>
                </c:pt>
                <c:pt idx="9">
                  <c:v>5</c:v>
                </c:pt>
                <c:pt idx="10">
                  <c:v>6</c:v>
                </c:pt>
                <c:pt idx="11">
                  <c:v>6</c:v>
                </c:pt>
                <c:pt idx="12">
                  <c:v>6</c:v>
                </c:pt>
                <c:pt idx="13">
                  <c:v>6</c:v>
                </c:pt>
                <c:pt idx="14">
                  <c:v>5</c:v>
                </c:pt>
                <c:pt idx="15">
                  <c:v>5</c:v>
                </c:pt>
                <c:pt idx="16">
                  <c:v>2</c:v>
                </c:pt>
                <c:pt idx="17">
                  <c:v>3</c:v>
                </c:pt>
                <c:pt idx="18">
                  <c:v>6</c:v>
                </c:pt>
                <c:pt idx="19">
                  <c:v>5</c:v>
                </c:pt>
                <c:pt idx="20">
                  <c:v>3</c:v>
                </c:pt>
                <c:pt idx="21">
                  <c:v>7</c:v>
                </c:pt>
                <c:pt idx="22">
                  <c:v>7</c:v>
                </c:pt>
                <c:pt idx="23">
                  <c:v>4</c:v>
                </c:pt>
                <c:pt idx="24">
                  <c:v>3</c:v>
                </c:pt>
                <c:pt idx="25">
                  <c:v>6</c:v>
                </c:pt>
                <c:pt idx="26">
                  <c:v>6</c:v>
                </c:pt>
                <c:pt idx="27">
                  <c:v>3</c:v>
                </c:pt>
                <c:pt idx="28">
                  <c:v>0</c:v>
                </c:pt>
                <c:pt idx="29">
                  <c:v>5</c:v>
                </c:pt>
                <c:pt idx="30">
                  <c:v>3</c:v>
                </c:pt>
                <c:pt idx="31">
                  <c:v>0</c:v>
                </c:pt>
                <c:pt idx="32">
                  <c:v>0</c:v>
                </c:pt>
                <c:pt idx="33">
                  <c:v>0</c:v>
                </c:pt>
              </c:numCache>
            </c:numRef>
          </c:val>
          <c:extLst>
            <c:ext xmlns:c16="http://schemas.microsoft.com/office/drawing/2014/chart" uri="{C3380CC4-5D6E-409C-BE32-E72D297353CC}">
              <c16:uniqueId val="{00000001-66E0-4BD3-AF54-9BA0FB615D8A}"/>
            </c:ext>
          </c:extLst>
        </c:ser>
        <c:ser>
          <c:idx val="2"/>
          <c:order val="2"/>
          <c:tx>
            <c:v>Up</c:v>
          </c:tx>
          <c:spPr>
            <a:solidFill>
              <a:schemeClr val="accent2"/>
            </a:solidFill>
            <a:ln>
              <a:noFill/>
            </a:ln>
            <a:effectLst/>
          </c:spPr>
          <c:invertIfNegative val="0"/>
          <c:cat>
            <c:strRef>
              <c:f>Votes!$A$3:$A$36</c:f>
              <c:strCache>
                <c:ptCount val="34"/>
                <c:pt idx="0">
                  <c:v>Nov-14</c:v>
                </c:pt>
                <c:pt idx="1">
                  <c:v>Jan-15</c:v>
                </c:pt>
                <c:pt idx="2">
                  <c:v>Mar-15</c:v>
                </c:pt>
                <c:pt idx="3">
                  <c:v>May-15</c:v>
                </c:pt>
                <c:pt idx="4">
                  <c:v>Jul-15</c:v>
                </c:pt>
                <c:pt idx="5">
                  <c:v>Sep-15</c:v>
                </c:pt>
                <c:pt idx="6">
                  <c:v>Nov-15</c:v>
                </c:pt>
                <c:pt idx="7">
                  <c:v>Jan-16</c:v>
                </c:pt>
                <c:pt idx="8">
                  <c:v>Mar-16</c:v>
                </c:pt>
                <c:pt idx="9">
                  <c:v>May-16</c:v>
                </c:pt>
                <c:pt idx="10">
                  <c:v>Jul-16</c:v>
                </c:pt>
                <c:pt idx="11">
                  <c:v>Sep-16</c:v>
                </c:pt>
                <c:pt idx="12">
                  <c:v>Nov-16</c:v>
                </c:pt>
                <c:pt idx="13">
                  <c:v>Jan-17</c:v>
                </c:pt>
                <c:pt idx="14">
                  <c:v>Mar-17</c:v>
                </c:pt>
                <c:pt idx="15">
                  <c:v>May-17</c:v>
                </c:pt>
                <c:pt idx="16">
                  <c:v>Jul-17</c:v>
                </c:pt>
                <c:pt idx="17">
                  <c:v>Sep-17</c:v>
                </c:pt>
                <c:pt idx="18">
                  <c:v>Nov-17</c:v>
                </c:pt>
                <c:pt idx="19">
                  <c:v>Jan-18</c:v>
                </c:pt>
                <c:pt idx="20">
                  <c:v>Mar-18</c:v>
                </c:pt>
                <c:pt idx="21">
                  <c:v>May-18</c:v>
                </c:pt>
                <c:pt idx="22">
                  <c:v>Jul-18</c:v>
                </c:pt>
                <c:pt idx="23">
                  <c:v>Sep-18</c:v>
                </c:pt>
                <c:pt idx="24">
                  <c:v>Nov-18</c:v>
                </c:pt>
                <c:pt idx="25">
                  <c:v>Jan-19</c:v>
                </c:pt>
                <c:pt idx="26">
                  <c:v>Mar-19</c:v>
                </c:pt>
                <c:pt idx="27">
                  <c:v>May-19</c:v>
                </c:pt>
                <c:pt idx="28">
                  <c:v>Jul-19</c:v>
                </c:pt>
                <c:pt idx="29">
                  <c:v>Sep-19</c:v>
                </c:pt>
                <c:pt idx="30">
                  <c:v>Nov-19</c:v>
                </c:pt>
                <c:pt idx="31">
                  <c:v>Jan-20</c:v>
                </c:pt>
                <c:pt idx="32">
                  <c:v>Mar-20</c:v>
                </c:pt>
                <c:pt idx="33">
                  <c:v>Apr-20</c:v>
                </c:pt>
              </c:strCache>
            </c:strRef>
          </c:cat>
          <c:val>
            <c:numRef>
              <c:f>Votes!$D$3:$D$36</c:f>
              <c:numCache>
                <c:formatCode>General</c:formatCode>
                <c:ptCount val="34"/>
                <c:pt idx="0">
                  <c:v>0</c:v>
                </c:pt>
                <c:pt idx="1">
                  <c:v>0</c:v>
                </c:pt>
                <c:pt idx="2">
                  <c:v>0</c:v>
                </c:pt>
                <c:pt idx="3">
                  <c:v>2</c:v>
                </c:pt>
                <c:pt idx="4">
                  <c:v>4</c:v>
                </c:pt>
                <c:pt idx="5">
                  <c:v>0</c:v>
                </c:pt>
                <c:pt idx="6">
                  <c:v>4</c:v>
                </c:pt>
                <c:pt idx="7">
                  <c:v>5</c:v>
                </c:pt>
                <c:pt idx="8">
                  <c:v>3</c:v>
                </c:pt>
                <c:pt idx="9">
                  <c:v>1</c:v>
                </c:pt>
                <c:pt idx="10">
                  <c:v>0</c:v>
                </c:pt>
                <c:pt idx="11">
                  <c:v>0</c:v>
                </c:pt>
                <c:pt idx="12">
                  <c:v>0</c:v>
                </c:pt>
                <c:pt idx="13">
                  <c:v>0</c:v>
                </c:pt>
                <c:pt idx="14">
                  <c:v>0</c:v>
                </c:pt>
                <c:pt idx="15">
                  <c:v>0</c:v>
                </c:pt>
                <c:pt idx="16">
                  <c:v>0</c:v>
                </c:pt>
                <c:pt idx="17">
                  <c:v>0</c:v>
                </c:pt>
                <c:pt idx="18">
                  <c:v>0</c:v>
                </c:pt>
                <c:pt idx="19">
                  <c:v>0</c:v>
                </c:pt>
                <c:pt idx="20">
                  <c:v>0</c:v>
                </c:pt>
                <c:pt idx="21">
                  <c:v>0</c:v>
                </c:pt>
                <c:pt idx="22">
                  <c:v>0</c:v>
                </c:pt>
                <c:pt idx="23">
                  <c:v>3</c:v>
                </c:pt>
                <c:pt idx="24">
                  <c:v>3</c:v>
                </c:pt>
                <c:pt idx="25">
                  <c:v>0</c:v>
                </c:pt>
                <c:pt idx="26">
                  <c:v>0</c:v>
                </c:pt>
                <c:pt idx="27">
                  <c:v>0</c:v>
                </c:pt>
                <c:pt idx="28">
                  <c:v>0</c:v>
                </c:pt>
                <c:pt idx="29">
                  <c:v>0</c:v>
                </c:pt>
                <c:pt idx="30">
                  <c:v>0</c:v>
                </c:pt>
                <c:pt idx="31">
                  <c:v>0</c:v>
                </c:pt>
                <c:pt idx="32">
                  <c:v>0</c:v>
                </c:pt>
                <c:pt idx="33">
                  <c:v>0</c:v>
                </c:pt>
              </c:numCache>
            </c:numRef>
          </c:val>
          <c:extLst>
            <c:ext xmlns:c16="http://schemas.microsoft.com/office/drawing/2014/chart" uri="{C3380CC4-5D6E-409C-BE32-E72D297353CC}">
              <c16:uniqueId val="{00000002-66E0-4BD3-AF54-9BA0FB615D8A}"/>
            </c:ext>
          </c:extLst>
        </c:ser>
        <c:dLbls>
          <c:showLegendKey val="0"/>
          <c:showVal val="0"/>
          <c:showCatName val="0"/>
          <c:showSerName val="0"/>
          <c:showPercent val="0"/>
          <c:showBubbleSize val="0"/>
        </c:dLbls>
        <c:gapWidth val="0"/>
        <c:overlap val="100"/>
        <c:axId val="821288879"/>
        <c:axId val="965461951"/>
      </c:barChart>
      <c:lineChart>
        <c:grouping val="standard"/>
        <c:varyColors val="0"/>
        <c:ser>
          <c:idx val="3"/>
          <c:order val="3"/>
          <c:tx>
            <c:v>Repo rate</c:v>
          </c:tx>
          <c:spPr>
            <a:ln w="28575" cap="rnd">
              <a:solidFill>
                <a:schemeClr val="accent3"/>
              </a:solidFill>
              <a:round/>
            </a:ln>
            <a:effectLst/>
          </c:spPr>
          <c:marker>
            <c:symbol val="none"/>
          </c:marker>
          <c:val>
            <c:numRef>
              <c:f>Votes!$P$3:$P$36</c:f>
              <c:numCache>
                <c:formatCode>General</c:formatCode>
                <c:ptCount val="34"/>
                <c:pt idx="0">
                  <c:v>5.75</c:v>
                </c:pt>
                <c:pt idx="1">
                  <c:v>5.75</c:v>
                </c:pt>
                <c:pt idx="2">
                  <c:v>5.75</c:v>
                </c:pt>
                <c:pt idx="3">
                  <c:v>5.75</c:v>
                </c:pt>
                <c:pt idx="4">
                  <c:v>6</c:v>
                </c:pt>
                <c:pt idx="5">
                  <c:v>6</c:v>
                </c:pt>
                <c:pt idx="6">
                  <c:v>6.25</c:v>
                </c:pt>
                <c:pt idx="7">
                  <c:v>6.75</c:v>
                </c:pt>
                <c:pt idx="8">
                  <c:v>7</c:v>
                </c:pt>
                <c:pt idx="9">
                  <c:v>7</c:v>
                </c:pt>
                <c:pt idx="10">
                  <c:v>7</c:v>
                </c:pt>
                <c:pt idx="11">
                  <c:v>7</c:v>
                </c:pt>
                <c:pt idx="12">
                  <c:v>7</c:v>
                </c:pt>
                <c:pt idx="13">
                  <c:v>7</c:v>
                </c:pt>
                <c:pt idx="14">
                  <c:v>7</c:v>
                </c:pt>
                <c:pt idx="15">
                  <c:v>7</c:v>
                </c:pt>
                <c:pt idx="16">
                  <c:v>6.75</c:v>
                </c:pt>
                <c:pt idx="17">
                  <c:v>6.75</c:v>
                </c:pt>
                <c:pt idx="18">
                  <c:v>6.75</c:v>
                </c:pt>
                <c:pt idx="19">
                  <c:v>6.75</c:v>
                </c:pt>
                <c:pt idx="20">
                  <c:v>6.5</c:v>
                </c:pt>
                <c:pt idx="21">
                  <c:v>6.5</c:v>
                </c:pt>
                <c:pt idx="22">
                  <c:v>6.5</c:v>
                </c:pt>
                <c:pt idx="23">
                  <c:v>6.5</c:v>
                </c:pt>
                <c:pt idx="24">
                  <c:v>6.75</c:v>
                </c:pt>
                <c:pt idx="25">
                  <c:v>6.75</c:v>
                </c:pt>
                <c:pt idx="26">
                  <c:v>6.75</c:v>
                </c:pt>
                <c:pt idx="27">
                  <c:v>6.75</c:v>
                </c:pt>
                <c:pt idx="28">
                  <c:v>6.5</c:v>
                </c:pt>
                <c:pt idx="29">
                  <c:v>6.5</c:v>
                </c:pt>
                <c:pt idx="30">
                  <c:v>6.5</c:v>
                </c:pt>
                <c:pt idx="31">
                  <c:v>6.25</c:v>
                </c:pt>
                <c:pt idx="32">
                  <c:v>5.25</c:v>
                </c:pt>
                <c:pt idx="33">
                  <c:v>4.25</c:v>
                </c:pt>
              </c:numCache>
            </c:numRef>
          </c:val>
          <c:smooth val="0"/>
          <c:extLst>
            <c:ext xmlns:c16="http://schemas.microsoft.com/office/drawing/2014/chart" uri="{C3380CC4-5D6E-409C-BE32-E72D297353CC}">
              <c16:uniqueId val="{00000003-66E0-4BD3-AF54-9BA0FB615D8A}"/>
            </c:ext>
          </c:extLst>
        </c:ser>
        <c:dLbls>
          <c:showLegendKey val="0"/>
          <c:showVal val="0"/>
          <c:showCatName val="0"/>
          <c:showSerName val="0"/>
          <c:showPercent val="0"/>
          <c:showBubbleSize val="0"/>
        </c:dLbls>
        <c:marker val="1"/>
        <c:smooth val="0"/>
        <c:axId val="965532783"/>
        <c:axId val="1017145887"/>
      </c:lineChart>
      <c:catAx>
        <c:axId val="821288879"/>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965461951"/>
        <c:crosses val="autoZero"/>
        <c:auto val="1"/>
        <c:lblAlgn val="ctr"/>
        <c:lblOffset val="100"/>
        <c:tickLblSkip val="1"/>
        <c:noMultiLvlLbl val="1"/>
      </c:catAx>
      <c:valAx>
        <c:axId val="965461951"/>
        <c:scaling>
          <c:orientation val="minMax"/>
        </c:scaling>
        <c:delete val="0"/>
        <c:axPos val="l"/>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821288879"/>
        <c:crosses val="autoZero"/>
        <c:crossBetween val="between"/>
      </c:valAx>
      <c:valAx>
        <c:axId val="1017145887"/>
        <c:scaling>
          <c:orientation val="minMax"/>
          <c:max val="1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965532783"/>
        <c:crosses val="max"/>
        <c:crossBetween val="between"/>
        <c:dispUnits>
          <c:builtInUnit val="hundreds"/>
        </c:dispUnits>
      </c:valAx>
      <c:catAx>
        <c:axId val="965532783"/>
        <c:scaling>
          <c:orientation val="minMax"/>
        </c:scaling>
        <c:delete val="1"/>
        <c:axPos val="b"/>
        <c:majorTickMark val="out"/>
        <c:minorTickMark val="none"/>
        <c:tickLblPos val="nextTo"/>
        <c:crossAx val="1017145887"/>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eorgia" panose="02040502050405020303"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8"/>
          <c:order val="8"/>
          <c:tx>
            <c:strRef>
              <c:f>PMI!$A$10</c:f>
              <c:strCache>
                <c:ptCount val="1"/>
                <c:pt idx="0">
                  <c:v>Global</c:v>
                </c:pt>
              </c:strCache>
            </c:strRef>
          </c:tx>
          <c:spPr>
            <a:solidFill>
              <a:schemeClr val="bg1">
                <a:lumMod val="95000"/>
              </a:schemeClr>
            </a:solidFill>
            <a:ln>
              <a:solidFill>
                <a:schemeClr val="bg1">
                  <a:lumMod val="50000"/>
                </a:schemeClr>
              </a:solidFill>
              <a:prstDash val="sysDash"/>
            </a:ln>
            <a:effectLst/>
          </c:spPr>
          <c:invertIfNegative val="0"/>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PMI!$D$10:$P$10</c:f>
              <c:numCache>
                <c:formatCode>0.0</c:formatCode>
                <c:ptCount val="13"/>
                <c:pt idx="0">
                  <c:v>52.1</c:v>
                </c:pt>
                <c:pt idx="1">
                  <c:v>51.2</c:v>
                </c:pt>
                <c:pt idx="2">
                  <c:v>51.2</c:v>
                </c:pt>
                <c:pt idx="3">
                  <c:v>51.6</c:v>
                </c:pt>
                <c:pt idx="4">
                  <c:v>51.3</c:v>
                </c:pt>
                <c:pt idx="5">
                  <c:v>51.2</c:v>
                </c:pt>
                <c:pt idx="6">
                  <c:v>50.8</c:v>
                </c:pt>
                <c:pt idx="7">
                  <c:v>51.4</c:v>
                </c:pt>
                <c:pt idx="8">
                  <c:v>51.7</c:v>
                </c:pt>
                <c:pt idx="9">
                  <c:v>52.2</c:v>
                </c:pt>
                <c:pt idx="10" formatCode="General">
                  <c:v>46.1</c:v>
                </c:pt>
                <c:pt idx="11" formatCode="General">
                  <c:v>39.4</c:v>
                </c:pt>
                <c:pt idx="12" formatCode="General">
                  <c:v>26.5</c:v>
                </c:pt>
              </c:numCache>
            </c:numRef>
          </c:val>
          <c:extLst>
            <c:ext xmlns:c16="http://schemas.microsoft.com/office/drawing/2014/chart" uri="{C3380CC4-5D6E-409C-BE32-E72D297353CC}">
              <c16:uniqueId val="{00000000-46AA-45B1-81A3-27989F52CA51}"/>
            </c:ext>
          </c:extLst>
        </c:ser>
        <c:dLbls>
          <c:showLegendKey val="0"/>
          <c:showVal val="0"/>
          <c:showCatName val="0"/>
          <c:showSerName val="0"/>
          <c:showPercent val="0"/>
          <c:showBubbleSize val="0"/>
        </c:dLbls>
        <c:gapWidth val="150"/>
        <c:axId val="938005727"/>
        <c:axId val="1061031103"/>
      </c:barChart>
      <c:lineChart>
        <c:grouping val="standard"/>
        <c:varyColors val="0"/>
        <c:ser>
          <c:idx val="0"/>
          <c:order val="0"/>
          <c:tx>
            <c:strRef>
              <c:f>PMI!$A$2</c:f>
              <c:strCache>
                <c:ptCount val="1"/>
                <c:pt idx="0">
                  <c:v>Egypt</c:v>
                </c:pt>
              </c:strCache>
            </c:strRef>
          </c:tx>
          <c:spPr>
            <a:ln w="28575" cap="rnd">
              <a:solidFill>
                <a:schemeClr val="accent1"/>
              </a:solidFill>
              <a:round/>
            </a:ln>
            <a:effectLst/>
          </c:spPr>
          <c:marker>
            <c:symbol val="none"/>
          </c:marker>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PMI!$D$2:$P$2</c:f>
              <c:numCache>
                <c:formatCode>0.0</c:formatCode>
                <c:ptCount val="13"/>
                <c:pt idx="0">
                  <c:v>50.8</c:v>
                </c:pt>
                <c:pt idx="1">
                  <c:v>48.2</c:v>
                </c:pt>
                <c:pt idx="2">
                  <c:v>49.2</c:v>
                </c:pt>
                <c:pt idx="3">
                  <c:v>50.3</c:v>
                </c:pt>
                <c:pt idx="4">
                  <c:v>49.4</c:v>
                </c:pt>
                <c:pt idx="5">
                  <c:v>49.5</c:v>
                </c:pt>
                <c:pt idx="6">
                  <c:v>49.2</c:v>
                </c:pt>
                <c:pt idx="7">
                  <c:v>47.9</c:v>
                </c:pt>
                <c:pt idx="8">
                  <c:v>48.2</c:v>
                </c:pt>
                <c:pt idx="9">
                  <c:v>46</c:v>
                </c:pt>
                <c:pt idx="10">
                  <c:v>47.1</c:v>
                </c:pt>
                <c:pt idx="11">
                  <c:v>44.2</c:v>
                </c:pt>
                <c:pt idx="12">
                  <c:v>29.7</c:v>
                </c:pt>
              </c:numCache>
            </c:numRef>
          </c:val>
          <c:smooth val="0"/>
          <c:extLst>
            <c:ext xmlns:c16="http://schemas.microsoft.com/office/drawing/2014/chart" uri="{C3380CC4-5D6E-409C-BE32-E72D297353CC}">
              <c16:uniqueId val="{00000001-46AA-45B1-81A3-27989F52CA51}"/>
            </c:ext>
          </c:extLst>
        </c:ser>
        <c:ser>
          <c:idx val="1"/>
          <c:order val="1"/>
          <c:tx>
            <c:strRef>
              <c:f>PMI!$A$3</c:f>
              <c:strCache>
                <c:ptCount val="1"/>
                <c:pt idx="0">
                  <c:v>Ghana</c:v>
                </c:pt>
              </c:strCache>
            </c:strRef>
          </c:tx>
          <c:spPr>
            <a:ln w="28575" cap="rnd">
              <a:solidFill>
                <a:schemeClr val="accent2"/>
              </a:solidFill>
              <a:round/>
            </a:ln>
            <a:effectLst/>
          </c:spPr>
          <c:marker>
            <c:symbol val="none"/>
          </c:marker>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PMI!$D$3:$P$3</c:f>
              <c:numCache>
                <c:formatCode>0.0</c:formatCode>
                <c:ptCount val="13"/>
                <c:pt idx="0">
                  <c:v>51.2</c:v>
                </c:pt>
                <c:pt idx="1">
                  <c:v>50.6</c:v>
                </c:pt>
                <c:pt idx="2">
                  <c:v>50.5</c:v>
                </c:pt>
                <c:pt idx="3">
                  <c:v>51.2</c:v>
                </c:pt>
                <c:pt idx="4">
                  <c:v>50.7</c:v>
                </c:pt>
                <c:pt idx="5">
                  <c:v>51.4</c:v>
                </c:pt>
                <c:pt idx="6">
                  <c:v>50.1</c:v>
                </c:pt>
                <c:pt idx="7">
                  <c:v>52.4</c:v>
                </c:pt>
                <c:pt idx="8">
                  <c:v>52.7</c:v>
                </c:pt>
                <c:pt idx="9">
                  <c:v>50.7</c:v>
                </c:pt>
                <c:pt idx="10">
                  <c:v>52.6</c:v>
                </c:pt>
                <c:pt idx="11">
                  <c:v>41.4</c:v>
                </c:pt>
                <c:pt idx="12" formatCode="General">
                  <c:v>31.7</c:v>
                </c:pt>
              </c:numCache>
            </c:numRef>
          </c:val>
          <c:smooth val="0"/>
          <c:extLst>
            <c:ext xmlns:c16="http://schemas.microsoft.com/office/drawing/2014/chart" uri="{C3380CC4-5D6E-409C-BE32-E72D297353CC}">
              <c16:uniqueId val="{00000002-46AA-45B1-81A3-27989F52CA51}"/>
            </c:ext>
          </c:extLst>
        </c:ser>
        <c:ser>
          <c:idx val="2"/>
          <c:order val="2"/>
          <c:tx>
            <c:strRef>
              <c:f>PMI!$A$4</c:f>
              <c:strCache>
                <c:ptCount val="1"/>
                <c:pt idx="0">
                  <c:v>Kenya</c:v>
                </c:pt>
              </c:strCache>
            </c:strRef>
          </c:tx>
          <c:spPr>
            <a:ln w="28575" cap="rnd">
              <a:solidFill>
                <a:schemeClr val="accent3"/>
              </a:solidFill>
              <a:round/>
            </a:ln>
            <a:effectLst/>
          </c:spPr>
          <c:marker>
            <c:symbol val="none"/>
          </c:marker>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PMI!$D$4:$P$4</c:f>
              <c:numCache>
                <c:formatCode>0.0</c:formatCode>
                <c:ptCount val="13"/>
                <c:pt idx="0">
                  <c:v>49.3</c:v>
                </c:pt>
                <c:pt idx="1">
                  <c:v>51.3</c:v>
                </c:pt>
                <c:pt idx="2">
                  <c:v>54.3</c:v>
                </c:pt>
                <c:pt idx="3">
                  <c:v>54.1</c:v>
                </c:pt>
                <c:pt idx="4">
                  <c:v>52.9</c:v>
                </c:pt>
                <c:pt idx="5">
                  <c:v>54.1</c:v>
                </c:pt>
                <c:pt idx="6">
                  <c:v>53.2</c:v>
                </c:pt>
                <c:pt idx="7">
                  <c:v>53.2</c:v>
                </c:pt>
                <c:pt idx="8">
                  <c:v>53.3</c:v>
                </c:pt>
                <c:pt idx="9">
                  <c:v>49.7</c:v>
                </c:pt>
                <c:pt idx="10">
                  <c:v>49</c:v>
                </c:pt>
                <c:pt idx="11">
                  <c:v>37.5</c:v>
                </c:pt>
                <c:pt idx="12" formatCode="General">
                  <c:v>34.799999999999997</c:v>
                </c:pt>
              </c:numCache>
            </c:numRef>
          </c:val>
          <c:smooth val="0"/>
          <c:extLst>
            <c:ext xmlns:c16="http://schemas.microsoft.com/office/drawing/2014/chart" uri="{C3380CC4-5D6E-409C-BE32-E72D297353CC}">
              <c16:uniqueId val="{00000003-46AA-45B1-81A3-27989F52CA51}"/>
            </c:ext>
          </c:extLst>
        </c:ser>
        <c:ser>
          <c:idx val="3"/>
          <c:order val="3"/>
          <c:tx>
            <c:strRef>
              <c:f>PMI!$A$5</c:f>
              <c:strCache>
                <c:ptCount val="1"/>
                <c:pt idx="0">
                  <c:v>Mozambique</c:v>
                </c:pt>
              </c:strCache>
            </c:strRef>
          </c:tx>
          <c:spPr>
            <a:ln w="28575" cap="rnd">
              <a:solidFill>
                <a:schemeClr val="accent4"/>
              </a:solidFill>
              <a:round/>
            </a:ln>
            <a:effectLst/>
          </c:spPr>
          <c:marker>
            <c:symbol val="none"/>
          </c:marker>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PMI!$D$5:$P$5</c:f>
              <c:numCache>
                <c:formatCode>0.0</c:formatCode>
                <c:ptCount val="13"/>
                <c:pt idx="0">
                  <c:v>49.9</c:v>
                </c:pt>
                <c:pt idx="1">
                  <c:v>52.3</c:v>
                </c:pt>
                <c:pt idx="2">
                  <c:v>52</c:v>
                </c:pt>
                <c:pt idx="3">
                  <c:v>52.8</c:v>
                </c:pt>
                <c:pt idx="4">
                  <c:v>51.8</c:v>
                </c:pt>
                <c:pt idx="5">
                  <c:v>51.1</c:v>
                </c:pt>
                <c:pt idx="6">
                  <c:v>50.3</c:v>
                </c:pt>
                <c:pt idx="7">
                  <c:v>50.7</c:v>
                </c:pt>
                <c:pt idx="8">
                  <c:v>50.8</c:v>
                </c:pt>
                <c:pt idx="9">
                  <c:v>50.4</c:v>
                </c:pt>
                <c:pt idx="10">
                  <c:v>51.6</c:v>
                </c:pt>
                <c:pt idx="11">
                  <c:v>49.9</c:v>
                </c:pt>
                <c:pt idx="12">
                  <c:v>37.1</c:v>
                </c:pt>
              </c:numCache>
            </c:numRef>
          </c:val>
          <c:smooth val="0"/>
          <c:extLst>
            <c:ext xmlns:c16="http://schemas.microsoft.com/office/drawing/2014/chart" uri="{C3380CC4-5D6E-409C-BE32-E72D297353CC}">
              <c16:uniqueId val="{00000004-46AA-45B1-81A3-27989F52CA51}"/>
            </c:ext>
          </c:extLst>
        </c:ser>
        <c:ser>
          <c:idx val="4"/>
          <c:order val="4"/>
          <c:tx>
            <c:strRef>
              <c:f>PMI!$A$6</c:f>
              <c:strCache>
                <c:ptCount val="1"/>
                <c:pt idx="0">
                  <c:v>Nigeria</c:v>
                </c:pt>
              </c:strCache>
            </c:strRef>
          </c:tx>
          <c:spPr>
            <a:ln w="28575" cap="rnd">
              <a:solidFill>
                <a:schemeClr val="accent5"/>
              </a:solidFill>
              <a:round/>
            </a:ln>
            <a:effectLst/>
          </c:spPr>
          <c:marker>
            <c:symbol val="none"/>
          </c:marker>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PMI!$D$6:$P$6</c:f>
              <c:numCache>
                <c:formatCode>0.0</c:formatCode>
                <c:ptCount val="13"/>
                <c:pt idx="0">
                  <c:v>55.5</c:v>
                </c:pt>
                <c:pt idx="1">
                  <c:v>52.9</c:v>
                </c:pt>
                <c:pt idx="2">
                  <c:v>54.8</c:v>
                </c:pt>
                <c:pt idx="3">
                  <c:v>54.6</c:v>
                </c:pt>
                <c:pt idx="4">
                  <c:v>56.4</c:v>
                </c:pt>
                <c:pt idx="5">
                  <c:v>57.1</c:v>
                </c:pt>
                <c:pt idx="6">
                  <c:v>56.9</c:v>
                </c:pt>
                <c:pt idx="7">
                  <c:v>57.7</c:v>
                </c:pt>
                <c:pt idx="8">
                  <c:v>56.8</c:v>
                </c:pt>
                <c:pt idx="9">
                  <c:v>55.9</c:v>
                </c:pt>
                <c:pt idx="10">
                  <c:v>55</c:v>
                </c:pt>
                <c:pt idx="11">
                  <c:v>53.8</c:v>
                </c:pt>
                <c:pt idx="12">
                  <c:v>37.1</c:v>
                </c:pt>
              </c:numCache>
            </c:numRef>
          </c:val>
          <c:smooth val="0"/>
          <c:extLst>
            <c:ext xmlns:c16="http://schemas.microsoft.com/office/drawing/2014/chart" uri="{C3380CC4-5D6E-409C-BE32-E72D297353CC}">
              <c16:uniqueId val="{00000005-46AA-45B1-81A3-27989F52CA51}"/>
            </c:ext>
          </c:extLst>
        </c:ser>
        <c:ser>
          <c:idx val="5"/>
          <c:order val="5"/>
          <c:tx>
            <c:strRef>
              <c:f>PMI!$A$7</c:f>
              <c:strCache>
                <c:ptCount val="1"/>
                <c:pt idx="0">
                  <c:v>South Africa</c:v>
                </c:pt>
              </c:strCache>
            </c:strRef>
          </c:tx>
          <c:spPr>
            <a:ln w="28575" cap="rnd">
              <a:solidFill>
                <a:schemeClr val="accent6"/>
              </a:solidFill>
              <a:round/>
            </a:ln>
            <a:effectLst/>
          </c:spPr>
          <c:marker>
            <c:symbol val="none"/>
          </c:marker>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PMI!$D$7:$P$7</c:f>
              <c:numCache>
                <c:formatCode>0.0</c:formatCode>
                <c:ptCount val="13"/>
                <c:pt idx="0">
                  <c:v>50.3</c:v>
                </c:pt>
                <c:pt idx="1">
                  <c:v>49.3</c:v>
                </c:pt>
                <c:pt idx="2">
                  <c:v>49.7</c:v>
                </c:pt>
                <c:pt idx="3">
                  <c:v>48.4</c:v>
                </c:pt>
                <c:pt idx="4">
                  <c:v>49.7</c:v>
                </c:pt>
                <c:pt idx="5">
                  <c:v>49.2</c:v>
                </c:pt>
                <c:pt idx="6">
                  <c:v>49.4</c:v>
                </c:pt>
                <c:pt idx="7">
                  <c:v>48.6</c:v>
                </c:pt>
                <c:pt idx="8">
                  <c:v>47.6</c:v>
                </c:pt>
                <c:pt idx="9">
                  <c:v>48.3</c:v>
                </c:pt>
                <c:pt idx="10">
                  <c:v>48.4</c:v>
                </c:pt>
                <c:pt idx="11">
                  <c:v>44.5</c:v>
                </c:pt>
                <c:pt idx="12">
                  <c:v>35.1</c:v>
                </c:pt>
              </c:numCache>
            </c:numRef>
          </c:val>
          <c:smooth val="0"/>
          <c:extLst>
            <c:ext xmlns:c16="http://schemas.microsoft.com/office/drawing/2014/chart" uri="{C3380CC4-5D6E-409C-BE32-E72D297353CC}">
              <c16:uniqueId val="{00000006-46AA-45B1-81A3-27989F52CA51}"/>
            </c:ext>
          </c:extLst>
        </c:ser>
        <c:ser>
          <c:idx val="6"/>
          <c:order val="6"/>
          <c:tx>
            <c:strRef>
              <c:f>PMI!$A$8</c:f>
              <c:strCache>
                <c:ptCount val="1"/>
                <c:pt idx="0">
                  <c:v>Uganda</c:v>
                </c:pt>
              </c:strCache>
            </c:strRef>
          </c:tx>
          <c:spPr>
            <a:ln w="28575" cap="rnd">
              <a:solidFill>
                <a:schemeClr val="accent1">
                  <a:lumMod val="60000"/>
                </a:schemeClr>
              </a:solidFill>
              <a:round/>
            </a:ln>
            <a:effectLst/>
          </c:spPr>
          <c:marker>
            <c:symbol val="none"/>
          </c:marker>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PMI!$D$8:$P$8</c:f>
              <c:numCache>
                <c:formatCode>0.0</c:formatCode>
                <c:ptCount val="13"/>
                <c:pt idx="0">
                  <c:v>54.7</c:v>
                </c:pt>
                <c:pt idx="1">
                  <c:v>57.3</c:v>
                </c:pt>
                <c:pt idx="2">
                  <c:v>57.8</c:v>
                </c:pt>
                <c:pt idx="3">
                  <c:v>58.2</c:v>
                </c:pt>
                <c:pt idx="4">
                  <c:v>57.5</c:v>
                </c:pt>
                <c:pt idx="5">
                  <c:v>55.7</c:v>
                </c:pt>
                <c:pt idx="6">
                  <c:v>56.3</c:v>
                </c:pt>
                <c:pt idx="7">
                  <c:v>58.6</c:v>
                </c:pt>
                <c:pt idx="8">
                  <c:v>57.7</c:v>
                </c:pt>
                <c:pt idx="9">
                  <c:v>58.8</c:v>
                </c:pt>
                <c:pt idx="10">
                  <c:v>56.2</c:v>
                </c:pt>
                <c:pt idx="11">
                  <c:v>45.3</c:v>
                </c:pt>
                <c:pt idx="12">
                  <c:v>21.6</c:v>
                </c:pt>
              </c:numCache>
            </c:numRef>
          </c:val>
          <c:smooth val="0"/>
          <c:extLst>
            <c:ext xmlns:c16="http://schemas.microsoft.com/office/drawing/2014/chart" uri="{C3380CC4-5D6E-409C-BE32-E72D297353CC}">
              <c16:uniqueId val="{00000007-46AA-45B1-81A3-27989F52CA51}"/>
            </c:ext>
          </c:extLst>
        </c:ser>
        <c:ser>
          <c:idx val="7"/>
          <c:order val="7"/>
          <c:tx>
            <c:strRef>
              <c:f>PMI!$A$9</c:f>
              <c:strCache>
                <c:ptCount val="1"/>
                <c:pt idx="0">
                  <c:v>Zambia</c:v>
                </c:pt>
              </c:strCache>
            </c:strRef>
          </c:tx>
          <c:spPr>
            <a:ln w="28575" cap="rnd">
              <a:solidFill>
                <a:schemeClr val="accent2">
                  <a:lumMod val="60000"/>
                </a:schemeClr>
              </a:solidFill>
              <a:round/>
            </a:ln>
            <a:effectLst/>
          </c:spPr>
          <c:marker>
            <c:symbol val="none"/>
          </c:marker>
          <c:cat>
            <c:numRef>
              <c:f>PMI!$D$1:$P$1</c:f>
              <c:numCache>
                <c:formatCode>mmm\-yy</c:formatCode>
                <c:ptCount val="13"/>
                <c:pt idx="0">
                  <c:v>43556</c:v>
                </c:pt>
                <c:pt idx="1">
                  <c:v>43586</c:v>
                </c:pt>
                <c:pt idx="2">
                  <c:v>43617</c:v>
                </c:pt>
                <c:pt idx="3">
                  <c:v>43647</c:v>
                </c:pt>
                <c:pt idx="4">
                  <c:v>43678</c:v>
                </c:pt>
                <c:pt idx="5">
                  <c:v>43709</c:v>
                </c:pt>
                <c:pt idx="6">
                  <c:v>43739</c:v>
                </c:pt>
                <c:pt idx="7">
                  <c:v>43770</c:v>
                </c:pt>
                <c:pt idx="8">
                  <c:v>43800</c:v>
                </c:pt>
                <c:pt idx="9">
                  <c:v>43831</c:v>
                </c:pt>
                <c:pt idx="10">
                  <c:v>43862</c:v>
                </c:pt>
                <c:pt idx="11">
                  <c:v>43891</c:v>
                </c:pt>
                <c:pt idx="12">
                  <c:v>43922</c:v>
                </c:pt>
              </c:numCache>
            </c:numRef>
          </c:cat>
          <c:val>
            <c:numRef>
              <c:f>PMI!$D$9:$P$9</c:f>
              <c:numCache>
                <c:formatCode>0.0</c:formatCode>
                <c:ptCount val="13"/>
                <c:pt idx="0">
                  <c:v>45.2</c:v>
                </c:pt>
                <c:pt idx="1">
                  <c:v>43.9</c:v>
                </c:pt>
                <c:pt idx="2">
                  <c:v>46.6</c:v>
                </c:pt>
                <c:pt idx="3">
                  <c:v>44.4</c:v>
                </c:pt>
                <c:pt idx="4">
                  <c:v>46</c:v>
                </c:pt>
                <c:pt idx="5">
                  <c:v>48.8</c:v>
                </c:pt>
                <c:pt idx="6">
                  <c:v>48.3</c:v>
                </c:pt>
                <c:pt idx="7">
                  <c:v>48.7</c:v>
                </c:pt>
                <c:pt idx="8">
                  <c:v>46.9</c:v>
                </c:pt>
                <c:pt idx="9">
                  <c:v>47.5</c:v>
                </c:pt>
                <c:pt idx="10">
                  <c:v>48.5</c:v>
                </c:pt>
                <c:pt idx="11">
                  <c:v>44.7</c:v>
                </c:pt>
                <c:pt idx="12" formatCode="General">
                  <c:v>37.299999999999997</c:v>
                </c:pt>
              </c:numCache>
            </c:numRef>
          </c:val>
          <c:smooth val="0"/>
          <c:extLst>
            <c:ext xmlns:c16="http://schemas.microsoft.com/office/drawing/2014/chart" uri="{C3380CC4-5D6E-409C-BE32-E72D297353CC}">
              <c16:uniqueId val="{00000008-46AA-45B1-81A3-27989F52CA51}"/>
            </c:ext>
          </c:extLst>
        </c:ser>
        <c:dLbls>
          <c:showLegendKey val="0"/>
          <c:showVal val="0"/>
          <c:showCatName val="0"/>
          <c:showSerName val="0"/>
          <c:showPercent val="0"/>
          <c:showBubbleSize val="0"/>
        </c:dLbls>
        <c:marker val="1"/>
        <c:smooth val="0"/>
        <c:axId val="938005727"/>
        <c:axId val="1061031103"/>
      </c:lineChart>
      <c:dateAx>
        <c:axId val="938005727"/>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1061031103"/>
        <c:crosses val="autoZero"/>
        <c:auto val="1"/>
        <c:lblOffset val="100"/>
        <c:baseTimeUnit val="months"/>
      </c:dateAx>
      <c:valAx>
        <c:axId val="1061031103"/>
        <c:scaling>
          <c:orientation val="minMax"/>
          <c:max val="60"/>
          <c:min val="15"/>
        </c:scaling>
        <c:delete val="0"/>
        <c:axPos val="l"/>
        <c:majorGridlines>
          <c:spPr>
            <a:ln w="9525" cap="flat" cmpd="sng" algn="ctr">
              <a:no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938005727"/>
        <c:crosses val="autoZero"/>
        <c:crossBetween val="between"/>
        <c:majorUnit val="5"/>
      </c:valAx>
      <c:spPr>
        <a:noFill/>
        <a:ln>
          <a:noFill/>
        </a:ln>
        <a:effectLst/>
      </c:spPr>
    </c:plotArea>
    <c:legend>
      <c:legendPos val="r"/>
      <c:layout>
        <c:manualLayout>
          <c:xMode val="edge"/>
          <c:yMode val="edge"/>
          <c:x val="0.79665236560696917"/>
          <c:y val="4.4875546423597236E-2"/>
          <c:w val="0.19249290326632948"/>
          <c:h val="0.92075678806348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eorgia" panose="02040502050405020303"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'Global_Mobility_Report (3)'!$E$299001:$E$299076</c:f>
              <c:numCache>
                <c:formatCode>m/d/yyyy</c:formatCode>
                <c:ptCount val="76"/>
                <c:pt idx="0">
                  <c:v>43876</c:v>
                </c:pt>
                <c:pt idx="1">
                  <c:v>43877</c:v>
                </c:pt>
                <c:pt idx="2">
                  <c:v>43878</c:v>
                </c:pt>
                <c:pt idx="3">
                  <c:v>43879</c:v>
                </c:pt>
                <c:pt idx="4">
                  <c:v>43880</c:v>
                </c:pt>
                <c:pt idx="5">
                  <c:v>43881</c:v>
                </c:pt>
                <c:pt idx="6">
                  <c:v>43882</c:v>
                </c:pt>
                <c:pt idx="7">
                  <c:v>43883</c:v>
                </c:pt>
                <c:pt idx="8">
                  <c:v>43884</c:v>
                </c:pt>
                <c:pt idx="9">
                  <c:v>43885</c:v>
                </c:pt>
                <c:pt idx="10">
                  <c:v>43886</c:v>
                </c:pt>
                <c:pt idx="11">
                  <c:v>43887</c:v>
                </c:pt>
                <c:pt idx="12">
                  <c:v>43888</c:v>
                </c:pt>
                <c:pt idx="13">
                  <c:v>43889</c:v>
                </c:pt>
                <c:pt idx="14">
                  <c:v>43890</c:v>
                </c:pt>
                <c:pt idx="15">
                  <c:v>43891</c:v>
                </c:pt>
                <c:pt idx="16">
                  <c:v>43892</c:v>
                </c:pt>
                <c:pt idx="17">
                  <c:v>43893</c:v>
                </c:pt>
                <c:pt idx="18">
                  <c:v>43894</c:v>
                </c:pt>
                <c:pt idx="19">
                  <c:v>43895</c:v>
                </c:pt>
                <c:pt idx="20">
                  <c:v>43896</c:v>
                </c:pt>
                <c:pt idx="21">
                  <c:v>43897</c:v>
                </c:pt>
                <c:pt idx="22">
                  <c:v>43898</c:v>
                </c:pt>
                <c:pt idx="23">
                  <c:v>43899</c:v>
                </c:pt>
                <c:pt idx="24">
                  <c:v>43900</c:v>
                </c:pt>
                <c:pt idx="25">
                  <c:v>43901</c:v>
                </c:pt>
                <c:pt idx="26">
                  <c:v>43902</c:v>
                </c:pt>
                <c:pt idx="27">
                  <c:v>43903</c:v>
                </c:pt>
                <c:pt idx="28">
                  <c:v>43904</c:v>
                </c:pt>
                <c:pt idx="29">
                  <c:v>43905</c:v>
                </c:pt>
                <c:pt idx="30">
                  <c:v>43906</c:v>
                </c:pt>
                <c:pt idx="31">
                  <c:v>43907</c:v>
                </c:pt>
                <c:pt idx="32">
                  <c:v>43908</c:v>
                </c:pt>
                <c:pt idx="33">
                  <c:v>43909</c:v>
                </c:pt>
                <c:pt idx="34">
                  <c:v>43910</c:v>
                </c:pt>
                <c:pt idx="35">
                  <c:v>43911</c:v>
                </c:pt>
                <c:pt idx="36">
                  <c:v>43912</c:v>
                </c:pt>
                <c:pt idx="37">
                  <c:v>43913</c:v>
                </c:pt>
                <c:pt idx="38">
                  <c:v>43914</c:v>
                </c:pt>
                <c:pt idx="39">
                  <c:v>43915</c:v>
                </c:pt>
                <c:pt idx="40">
                  <c:v>43916</c:v>
                </c:pt>
                <c:pt idx="41">
                  <c:v>43917</c:v>
                </c:pt>
                <c:pt idx="42">
                  <c:v>43918</c:v>
                </c:pt>
                <c:pt idx="43">
                  <c:v>43919</c:v>
                </c:pt>
                <c:pt idx="44">
                  <c:v>43920</c:v>
                </c:pt>
                <c:pt idx="45">
                  <c:v>43921</c:v>
                </c:pt>
                <c:pt idx="46">
                  <c:v>43922</c:v>
                </c:pt>
                <c:pt idx="47">
                  <c:v>43923</c:v>
                </c:pt>
                <c:pt idx="48">
                  <c:v>43924</c:v>
                </c:pt>
                <c:pt idx="49">
                  <c:v>43925</c:v>
                </c:pt>
                <c:pt idx="50">
                  <c:v>43926</c:v>
                </c:pt>
                <c:pt idx="51">
                  <c:v>43927</c:v>
                </c:pt>
                <c:pt idx="52">
                  <c:v>43928</c:v>
                </c:pt>
                <c:pt idx="53">
                  <c:v>43929</c:v>
                </c:pt>
                <c:pt idx="54">
                  <c:v>43930</c:v>
                </c:pt>
                <c:pt idx="55">
                  <c:v>43931</c:v>
                </c:pt>
                <c:pt idx="56">
                  <c:v>43932</c:v>
                </c:pt>
                <c:pt idx="57">
                  <c:v>43933</c:v>
                </c:pt>
                <c:pt idx="58">
                  <c:v>43934</c:v>
                </c:pt>
                <c:pt idx="59">
                  <c:v>43935</c:v>
                </c:pt>
                <c:pt idx="60">
                  <c:v>43936</c:v>
                </c:pt>
                <c:pt idx="61">
                  <c:v>43937</c:v>
                </c:pt>
                <c:pt idx="62">
                  <c:v>43938</c:v>
                </c:pt>
                <c:pt idx="63">
                  <c:v>43939</c:v>
                </c:pt>
                <c:pt idx="64">
                  <c:v>43940</c:v>
                </c:pt>
                <c:pt idx="65">
                  <c:v>43941</c:v>
                </c:pt>
                <c:pt idx="66">
                  <c:v>43942</c:v>
                </c:pt>
                <c:pt idx="67">
                  <c:v>43943</c:v>
                </c:pt>
                <c:pt idx="68">
                  <c:v>43944</c:v>
                </c:pt>
                <c:pt idx="69">
                  <c:v>43945</c:v>
                </c:pt>
                <c:pt idx="70">
                  <c:v>43946</c:v>
                </c:pt>
                <c:pt idx="71">
                  <c:v>43947</c:v>
                </c:pt>
                <c:pt idx="72">
                  <c:v>43948</c:v>
                </c:pt>
                <c:pt idx="73">
                  <c:v>43949</c:v>
                </c:pt>
                <c:pt idx="74">
                  <c:v>43950</c:v>
                </c:pt>
                <c:pt idx="75">
                  <c:v>43951</c:v>
                </c:pt>
              </c:numCache>
            </c:numRef>
          </c:cat>
          <c:val>
            <c:numRef>
              <c:f>'Global_Mobility_Report (3)'!$J$299001:$J$299076</c:f>
              <c:numCache>
                <c:formatCode>General</c:formatCode>
                <c:ptCount val="76"/>
                <c:pt idx="0">
                  <c:v>1</c:v>
                </c:pt>
                <c:pt idx="1">
                  <c:v>-1</c:v>
                </c:pt>
                <c:pt idx="2">
                  <c:v>4</c:v>
                </c:pt>
                <c:pt idx="3">
                  <c:v>4</c:v>
                </c:pt>
                <c:pt idx="4">
                  <c:v>3</c:v>
                </c:pt>
                <c:pt idx="5">
                  <c:v>3</c:v>
                </c:pt>
                <c:pt idx="6">
                  <c:v>3</c:v>
                </c:pt>
                <c:pt idx="7">
                  <c:v>2</c:v>
                </c:pt>
                <c:pt idx="8">
                  <c:v>-1</c:v>
                </c:pt>
                <c:pt idx="9">
                  <c:v>5</c:v>
                </c:pt>
                <c:pt idx="10">
                  <c:v>5</c:v>
                </c:pt>
                <c:pt idx="11">
                  <c:v>5</c:v>
                </c:pt>
                <c:pt idx="12">
                  <c:v>5</c:v>
                </c:pt>
                <c:pt idx="13">
                  <c:v>4</c:v>
                </c:pt>
                <c:pt idx="14">
                  <c:v>5</c:v>
                </c:pt>
                <c:pt idx="15">
                  <c:v>7</c:v>
                </c:pt>
                <c:pt idx="16">
                  <c:v>7</c:v>
                </c:pt>
                <c:pt idx="17">
                  <c:v>9</c:v>
                </c:pt>
                <c:pt idx="18">
                  <c:v>8</c:v>
                </c:pt>
                <c:pt idx="19">
                  <c:v>8</c:v>
                </c:pt>
                <c:pt idx="20">
                  <c:v>8</c:v>
                </c:pt>
                <c:pt idx="21">
                  <c:v>6</c:v>
                </c:pt>
                <c:pt idx="22">
                  <c:v>3</c:v>
                </c:pt>
                <c:pt idx="23">
                  <c:v>6</c:v>
                </c:pt>
                <c:pt idx="24">
                  <c:v>5</c:v>
                </c:pt>
                <c:pt idx="25">
                  <c:v>4</c:v>
                </c:pt>
                <c:pt idx="26">
                  <c:v>3</c:v>
                </c:pt>
                <c:pt idx="27">
                  <c:v>3</c:v>
                </c:pt>
                <c:pt idx="28">
                  <c:v>4</c:v>
                </c:pt>
                <c:pt idx="29">
                  <c:v>2</c:v>
                </c:pt>
                <c:pt idx="30">
                  <c:v>2</c:v>
                </c:pt>
                <c:pt idx="31">
                  <c:v>-3</c:v>
                </c:pt>
                <c:pt idx="32">
                  <c:v>-8</c:v>
                </c:pt>
                <c:pt idx="33">
                  <c:v>-14</c:v>
                </c:pt>
                <c:pt idx="34">
                  <c:v>-15</c:v>
                </c:pt>
                <c:pt idx="35">
                  <c:v>-18</c:v>
                </c:pt>
                <c:pt idx="36">
                  <c:v>-11</c:v>
                </c:pt>
                <c:pt idx="37">
                  <c:v>-21</c:v>
                </c:pt>
                <c:pt idx="38">
                  <c:v>-22</c:v>
                </c:pt>
                <c:pt idx="39">
                  <c:v>-24</c:v>
                </c:pt>
                <c:pt idx="40">
                  <c:v>-32</c:v>
                </c:pt>
                <c:pt idx="41">
                  <c:v>-75</c:v>
                </c:pt>
                <c:pt idx="42">
                  <c:v>-58</c:v>
                </c:pt>
                <c:pt idx="43">
                  <c:v>-49</c:v>
                </c:pt>
                <c:pt idx="44">
                  <c:v>-74</c:v>
                </c:pt>
                <c:pt idx="45">
                  <c:v>-74</c:v>
                </c:pt>
                <c:pt idx="46">
                  <c:v>-73</c:v>
                </c:pt>
                <c:pt idx="47">
                  <c:v>-73</c:v>
                </c:pt>
                <c:pt idx="48">
                  <c:v>-73</c:v>
                </c:pt>
                <c:pt idx="49">
                  <c:v>-55</c:v>
                </c:pt>
                <c:pt idx="50">
                  <c:v>-44</c:v>
                </c:pt>
                <c:pt idx="51">
                  <c:v>-73</c:v>
                </c:pt>
                <c:pt idx="52">
                  <c:v>-73</c:v>
                </c:pt>
                <c:pt idx="53">
                  <c:v>-74</c:v>
                </c:pt>
                <c:pt idx="54">
                  <c:v>-74</c:v>
                </c:pt>
                <c:pt idx="55">
                  <c:v>-85</c:v>
                </c:pt>
                <c:pt idx="56">
                  <c:v>-56</c:v>
                </c:pt>
                <c:pt idx="57">
                  <c:v>-46</c:v>
                </c:pt>
                <c:pt idx="58">
                  <c:v>-85</c:v>
                </c:pt>
                <c:pt idx="59">
                  <c:v>-72</c:v>
                </c:pt>
                <c:pt idx="60">
                  <c:v>-72</c:v>
                </c:pt>
                <c:pt idx="61">
                  <c:v>-71</c:v>
                </c:pt>
                <c:pt idx="62">
                  <c:v>-70</c:v>
                </c:pt>
                <c:pt idx="63">
                  <c:v>-52</c:v>
                </c:pt>
                <c:pt idx="64">
                  <c:v>-42</c:v>
                </c:pt>
                <c:pt idx="65">
                  <c:v>-69</c:v>
                </c:pt>
                <c:pt idx="66">
                  <c:v>-69</c:v>
                </c:pt>
                <c:pt idx="67">
                  <c:v>-69</c:v>
                </c:pt>
                <c:pt idx="68">
                  <c:v>-69</c:v>
                </c:pt>
                <c:pt idx="69">
                  <c:v>-68</c:v>
                </c:pt>
                <c:pt idx="70">
                  <c:v>-48</c:v>
                </c:pt>
                <c:pt idx="71">
                  <c:v>-40</c:v>
                </c:pt>
                <c:pt idx="72">
                  <c:v>-82</c:v>
                </c:pt>
                <c:pt idx="73">
                  <c:v>-67</c:v>
                </c:pt>
                <c:pt idx="74">
                  <c:v>-67</c:v>
                </c:pt>
                <c:pt idx="75">
                  <c:v>-65</c:v>
                </c:pt>
              </c:numCache>
            </c:numRef>
          </c:val>
          <c:smooth val="0"/>
          <c:extLst>
            <c:ext xmlns:c16="http://schemas.microsoft.com/office/drawing/2014/chart" uri="{C3380CC4-5D6E-409C-BE32-E72D297353CC}">
              <c16:uniqueId val="{00000000-1ABB-42C1-9E61-E04B96110D76}"/>
            </c:ext>
          </c:extLst>
        </c:ser>
        <c:dLbls>
          <c:showLegendKey val="0"/>
          <c:showVal val="0"/>
          <c:showCatName val="0"/>
          <c:showSerName val="0"/>
          <c:showPercent val="0"/>
          <c:showBubbleSize val="0"/>
        </c:dLbls>
        <c:smooth val="0"/>
        <c:axId val="961660655"/>
        <c:axId val="1101114143"/>
      </c:lineChart>
      <c:dateAx>
        <c:axId val="961660655"/>
        <c:scaling>
          <c:orientation val="minMax"/>
        </c:scaling>
        <c:delete val="0"/>
        <c:axPos val="b"/>
        <c:numFmt formatCode="dd/mmm"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1101114143"/>
        <c:crosses val="autoZero"/>
        <c:auto val="1"/>
        <c:lblOffset val="100"/>
        <c:baseTimeUnit val="days"/>
      </c:dateAx>
      <c:valAx>
        <c:axId val="11011141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rgia" panose="02040502050405020303" pitchFamily="18" charset="0"/>
                <a:ea typeface="+mn-ea"/>
                <a:cs typeface="+mn-cs"/>
              </a:defRPr>
            </a:pPr>
            <a:endParaRPr lang="en-US"/>
          </a:p>
        </c:txPr>
        <c:crossAx val="9616606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Georgia" panose="02040502050405020303"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Sanchia Temkin</dc:creator>
  <cp:keywords/>
  <dc:description/>
  <cp:lastModifiedBy>Sanchia Temkin</cp:lastModifiedBy>
  <cp:revision>3</cp:revision>
  <dcterms:created xsi:type="dcterms:W3CDTF">2020-05-14T09:29:00Z</dcterms:created>
  <dcterms:modified xsi:type="dcterms:W3CDTF">2020-05-14T09:31:00Z</dcterms:modified>
</cp:coreProperties>
</file>