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A95" w:rsidRDefault="00990A95" w:rsidP="00287516">
      <w:pPr>
        <w:ind w:hanging="851"/>
        <w:rPr>
          <w:rFonts w:asciiTheme="majorHAnsi" w:eastAsia="Calibri" w:hAnsiTheme="majorHAnsi" w:cs="Times New Roman"/>
          <w:b/>
          <w:lang w:val="en-ZA"/>
        </w:rPr>
      </w:pPr>
      <w:r>
        <w:rPr>
          <w:noProof/>
          <w:lang w:val="en-US"/>
        </w:rPr>
        <mc:AlternateContent>
          <mc:Choice Requires="wps">
            <w:drawing>
              <wp:anchor distT="0" distB="0" distL="114300" distR="114300" simplePos="0" relativeHeight="251659264" behindDoc="0" locked="0" layoutInCell="1" allowOverlap="1" wp14:anchorId="264B8F7C" wp14:editId="1074CA28">
                <wp:simplePos x="0" y="0"/>
                <wp:positionH relativeFrom="column">
                  <wp:posOffset>2050415</wp:posOffset>
                </wp:positionH>
                <wp:positionV relativeFrom="paragraph">
                  <wp:posOffset>8912225</wp:posOffset>
                </wp:positionV>
                <wp:extent cx="229870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8700" cy="533400"/>
                        </a:xfrm>
                        <a:prstGeom prst="rect">
                          <a:avLst/>
                        </a:prstGeom>
                        <a:noFill/>
                        <a:ln w="6350">
                          <a:noFill/>
                        </a:ln>
                      </wps:spPr>
                      <wps:txbx>
                        <w:txbxContent>
                          <w:p w:rsidR="00990A95" w:rsidRPr="00990A95" w:rsidRDefault="00990A95" w:rsidP="00990A95">
                            <w:pPr>
                              <w:jc w:val="center"/>
                              <w:rPr>
                                <w:rFonts w:asciiTheme="majorHAnsi" w:hAnsiTheme="majorHAnsi" w:cstheme="majorHAnsi"/>
                                <w:b/>
                                <w:color w:val="FFFFFF" w:themeColor="background1"/>
                                <w:sz w:val="48"/>
                                <w:szCs w:val="48"/>
                              </w:rPr>
                            </w:pPr>
                            <w:r w:rsidRPr="00990A95">
                              <w:rPr>
                                <w:rFonts w:asciiTheme="majorHAnsi" w:hAnsiTheme="majorHAnsi" w:cstheme="majorHAnsi"/>
                                <w:b/>
                                <w:color w:val="FFFFFF" w:themeColor="background1"/>
                                <w:sz w:val="48"/>
                                <w:szCs w:val="48"/>
                              </w:rPr>
                              <w:t>Q3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B8F7C" id="_x0000_t202" coordsize="21600,21600" o:spt="202" path="m,l,21600r21600,l21600,xe">
                <v:stroke joinstyle="miter"/>
                <v:path gradientshapeok="t" o:connecttype="rect"/>
              </v:shapetype>
              <v:shape id="Text Box 4" o:spid="_x0000_s1026" type="#_x0000_t202" style="position:absolute;margin-left:161.45pt;margin-top:701.75pt;width:181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oLQIAAFEEAAAOAAAAZHJzL2Uyb0RvYy54bWysVE2P2jAQvVfqf7B8LwkQ9iMirOiuqCqh&#10;3ZWg2rNxbBIp9ri2IaG/vmMnsGjbU9WLGc9MZjzvvWH+0KmGHIV1NeiCjkcpJUJzKGu9L+iP7erL&#10;HSXOM12yBrQo6Ek4+rD4/GnemlxMoIKmFJZgEe3y1hS08t7kSeJ4JRRzIzBCY1CCVczj1e6T0rIW&#10;q6smmaTpTdKCLY0FLpxD71MfpItYX0rB/YuUTnjSFBTf5uNp47kLZ7KYs3xvmalqPjyD/cMrFKs1&#10;Nr2UemKekYOt/yilam7BgfQjDioBKWsu4gw4zTj9MM2mYkbEWRAcZy4wuf9Xlj8fXy2py4JmlGim&#10;kKKt6Dz5Ch3JAjqtcTkmbQym+Q7dyPLZ79AZhu6kVeEXxyEYR5xPF2xDMY7OyeT+7jbFEMfYbDrN&#10;0MbyyfvXxjr/TYAiwSioRe4ipOy4dr5PPaeEZhpWddNE/hpN2oLeTGdp/OASweKNxh5hhv6twfLd&#10;rhsG20F5wrks9Lpwhq9qbL5mzr8yi0LA96K4/QsesgFsAoNFSQX219/8IR/5wSglLQqroO7ngVlB&#10;SfNdI3P34ywLSoyXbHY7wYu9juyuI/qgHgG1O8Y1MjyaId83Z1NaUG+4A8vQFUNMc+xdUH82H30v&#10;d9whLpbLmITaM8yv9cbwUDrAGaDddm/MmgF/j8w9w1mCLP9AQ5/bE7E8eJB15CgA3KM64I66jSwP&#10;OxYW4/oes97/CRa/AQAA//8DAFBLAwQUAAYACAAAACEAAHZABuMAAAANAQAADwAAAGRycy9kb3du&#10;cmV2LnhtbEyPwU7DMBBE70j8g7VI3KhD2pQQ4lRVpAoJwaGlF25OvE0i4nWI3Tbw9WxPcNyZp9mZ&#10;fDXZXpxw9J0jBfezCARS7UxHjYL9++YuBeGDJqN7R6jgGz2siuurXGfGnWmLp11oBIeQz7SCNoQh&#10;k9LXLVrtZ25AYu/gRqsDn2MjzajPHG57GUfRUlrdEX9o9YBli/Xn7mgVvJSbN72tYpv+9OXz62E9&#10;fO0/EqVub6b1E4iAU/iD4VKfq0PBnSp3JONFr2Aex4+MsrGI5gkIRpbpgqXqIqUPCcgil/9XFL8A&#10;AAD//wMAUEsBAi0AFAAGAAgAAAAhALaDOJL+AAAA4QEAABMAAAAAAAAAAAAAAAAAAAAAAFtDb250&#10;ZW50X1R5cGVzXS54bWxQSwECLQAUAAYACAAAACEAOP0h/9YAAACUAQAACwAAAAAAAAAAAAAAAAAv&#10;AQAAX3JlbHMvLnJlbHNQSwECLQAUAAYACAAAACEAJr2v6C0CAABRBAAADgAAAAAAAAAAAAAAAAAu&#10;AgAAZHJzL2Uyb0RvYy54bWxQSwECLQAUAAYACAAAACEAAHZABuMAAAANAQAADwAAAAAAAAAAAAAA&#10;AACHBAAAZHJzL2Rvd25yZXYueG1sUEsFBgAAAAAEAAQA8wAAAJcFAAAAAA==&#10;" filled="f" stroked="f" strokeweight=".5pt">
                <v:textbox>
                  <w:txbxContent>
                    <w:p w:rsidR="00990A95" w:rsidRPr="00990A95" w:rsidRDefault="00990A95" w:rsidP="00990A95">
                      <w:pPr>
                        <w:jc w:val="center"/>
                        <w:rPr>
                          <w:rFonts w:asciiTheme="majorHAnsi" w:hAnsiTheme="majorHAnsi" w:cstheme="majorHAnsi"/>
                          <w:b/>
                          <w:color w:val="FFFFFF" w:themeColor="background1"/>
                          <w:sz w:val="48"/>
                          <w:szCs w:val="48"/>
                        </w:rPr>
                      </w:pPr>
                      <w:r w:rsidRPr="00990A95">
                        <w:rPr>
                          <w:rFonts w:asciiTheme="majorHAnsi" w:hAnsiTheme="majorHAnsi" w:cstheme="majorHAnsi"/>
                          <w:b/>
                          <w:color w:val="FFFFFF" w:themeColor="background1"/>
                          <w:sz w:val="48"/>
                          <w:szCs w:val="48"/>
                        </w:rPr>
                        <w:t>Q3 2019</w:t>
                      </w:r>
                    </w:p>
                  </w:txbxContent>
                </v:textbox>
              </v:shape>
            </w:pict>
          </mc:Fallback>
        </mc:AlternateContent>
      </w:r>
      <w:r w:rsidR="000F1788" w:rsidRPr="00990A95">
        <w:rPr>
          <w:noProof/>
          <w:vertAlign w:val="subscript"/>
          <w:lang w:val="en-US"/>
        </w:rPr>
        <w:drawing>
          <wp:inline distT="0" distB="0" distL="0" distR="0" wp14:anchorId="7360749D" wp14:editId="34D68D08">
            <wp:extent cx="7559640" cy="106849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HWI_cover-01.png"/>
                    <pic:cNvPicPr/>
                  </pic:nvPicPr>
                  <pic:blipFill>
                    <a:blip r:embed="rId8"/>
                    <a:stretch>
                      <a:fillRect/>
                    </a:stretch>
                  </pic:blipFill>
                  <pic:spPr>
                    <a:xfrm>
                      <a:off x="0" y="0"/>
                      <a:ext cx="7559640" cy="10684904"/>
                    </a:xfrm>
                    <a:prstGeom prst="rect">
                      <a:avLst/>
                    </a:prstGeom>
                  </pic:spPr>
                </pic:pic>
              </a:graphicData>
            </a:graphic>
          </wp:inline>
        </w:drawing>
      </w:r>
    </w:p>
    <w:p w:rsidR="00990A95" w:rsidRDefault="00990A95" w:rsidP="007852D9">
      <w:pPr>
        <w:spacing w:after="200"/>
        <w:rPr>
          <w:rFonts w:asciiTheme="majorHAnsi" w:eastAsia="Calibri" w:hAnsiTheme="majorHAnsi" w:cs="Times New Roman"/>
          <w:b/>
          <w:lang w:val="en-ZA"/>
        </w:rPr>
      </w:pPr>
    </w:p>
    <w:p w:rsidR="00287516" w:rsidRDefault="00287516" w:rsidP="007852D9">
      <w:pPr>
        <w:spacing w:after="200"/>
        <w:rPr>
          <w:rFonts w:asciiTheme="majorHAnsi" w:eastAsia="Calibri" w:hAnsiTheme="majorHAnsi" w:cs="Times New Roman"/>
          <w:b/>
          <w:lang w:val="en-ZA"/>
        </w:rPr>
      </w:pPr>
    </w:p>
    <w:p w:rsidR="002D241E" w:rsidRPr="00990A95" w:rsidRDefault="002D241E" w:rsidP="007852D9">
      <w:pPr>
        <w:spacing w:after="200"/>
        <w:rPr>
          <w:rFonts w:asciiTheme="majorHAnsi" w:eastAsia="Calibri" w:hAnsiTheme="majorHAnsi" w:cs="Times New Roman"/>
          <w:b/>
          <w:sz w:val="28"/>
          <w:szCs w:val="28"/>
          <w:lang w:val="en-ZA"/>
        </w:rPr>
      </w:pPr>
      <w:bookmarkStart w:id="0" w:name="_GoBack"/>
      <w:r w:rsidRPr="00990A95">
        <w:rPr>
          <w:rFonts w:asciiTheme="majorHAnsi" w:eastAsia="Calibri" w:hAnsiTheme="majorHAnsi" w:cs="Times New Roman"/>
          <w:b/>
          <w:sz w:val="28"/>
          <w:szCs w:val="28"/>
          <w:lang w:val="en-ZA"/>
        </w:rPr>
        <w:t>SOUTH AFRICAN</w:t>
      </w:r>
      <w:r w:rsidR="009623B1" w:rsidRPr="00990A95">
        <w:rPr>
          <w:rFonts w:asciiTheme="majorHAnsi" w:eastAsia="Calibri" w:hAnsiTheme="majorHAnsi" w:cs="Times New Roman"/>
          <w:b/>
          <w:sz w:val="28"/>
          <w:szCs w:val="28"/>
          <w:lang w:val="en-ZA"/>
        </w:rPr>
        <w:t xml:space="preserve"> HOUSEHOLD</w:t>
      </w:r>
      <w:r w:rsidR="009B154C" w:rsidRPr="00990A95">
        <w:rPr>
          <w:rFonts w:asciiTheme="majorHAnsi" w:eastAsia="Calibri" w:hAnsiTheme="majorHAnsi" w:cs="Times New Roman"/>
          <w:b/>
          <w:sz w:val="28"/>
          <w:szCs w:val="28"/>
          <w:lang w:val="en-ZA"/>
        </w:rPr>
        <w:t>S</w:t>
      </w:r>
      <w:bookmarkEnd w:id="0"/>
      <w:r w:rsidR="00D8763A" w:rsidRPr="00990A95">
        <w:rPr>
          <w:rFonts w:asciiTheme="majorHAnsi" w:eastAsia="Calibri" w:hAnsiTheme="majorHAnsi" w:cs="Times New Roman"/>
          <w:b/>
          <w:sz w:val="28"/>
          <w:szCs w:val="28"/>
          <w:lang w:val="en-ZA"/>
        </w:rPr>
        <w:t xml:space="preserve">’ </w:t>
      </w:r>
      <w:r w:rsidR="00F82AD4" w:rsidRPr="00990A95">
        <w:rPr>
          <w:rFonts w:asciiTheme="majorHAnsi" w:eastAsia="Calibri" w:hAnsiTheme="majorHAnsi" w:cs="Times New Roman"/>
          <w:b/>
          <w:sz w:val="28"/>
          <w:szCs w:val="28"/>
          <w:lang w:val="en-ZA"/>
        </w:rPr>
        <w:t xml:space="preserve">REAL </w:t>
      </w:r>
      <w:r w:rsidR="00D8763A" w:rsidRPr="00990A95">
        <w:rPr>
          <w:rFonts w:asciiTheme="majorHAnsi" w:eastAsia="Calibri" w:hAnsiTheme="majorHAnsi" w:cs="Times New Roman"/>
          <w:b/>
          <w:sz w:val="28"/>
          <w:szCs w:val="28"/>
          <w:lang w:val="en-ZA"/>
        </w:rPr>
        <w:t>NET WEALTH</w:t>
      </w:r>
      <w:r w:rsidR="00F82AD4" w:rsidRPr="00990A95">
        <w:rPr>
          <w:rFonts w:asciiTheme="majorHAnsi" w:eastAsia="Calibri" w:hAnsiTheme="majorHAnsi" w:cs="Times New Roman"/>
          <w:b/>
          <w:sz w:val="28"/>
          <w:szCs w:val="28"/>
          <w:lang w:val="en-ZA"/>
        </w:rPr>
        <w:t xml:space="preserve"> </w:t>
      </w:r>
      <w:r w:rsidR="007852D9" w:rsidRPr="00990A95">
        <w:rPr>
          <w:rFonts w:asciiTheme="majorHAnsi" w:eastAsia="Calibri" w:hAnsiTheme="majorHAnsi" w:cs="Times New Roman"/>
          <w:b/>
          <w:sz w:val="28"/>
          <w:szCs w:val="28"/>
          <w:lang w:val="en-ZA"/>
        </w:rPr>
        <w:t xml:space="preserve">DECLINED BY </w:t>
      </w:r>
      <w:r w:rsidR="00405D8E" w:rsidRPr="00990A95">
        <w:rPr>
          <w:rFonts w:asciiTheme="majorHAnsi" w:eastAsia="Calibri" w:hAnsiTheme="majorHAnsi" w:cs="Times New Roman"/>
          <w:b/>
          <w:sz w:val="28"/>
          <w:szCs w:val="28"/>
          <w:lang w:val="en-ZA"/>
        </w:rPr>
        <w:t>R</w:t>
      </w:r>
      <w:r w:rsidR="007852D9" w:rsidRPr="00990A95">
        <w:rPr>
          <w:rFonts w:asciiTheme="majorHAnsi" w:eastAsia="Calibri" w:hAnsiTheme="majorHAnsi" w:cs="Times New Roman"/>
          <w:b/>
          <w:sz w:val="28"/>
          <w:szCs w:val="28"/>
          <w:lang w:val="en-ZA"/>
        </w:rPr>
        <w:t>24</w:t>
      </w:r>
      <w:r w:rsidR="00405D8E" w:rsidRPr="00990A95">
        <w:rPr>
          <w:rFonts w:asciiTheme="majorHAnsi" w:eastAsia="Calibri" w:hAnsiTheme="majorHAnsi" w:cs="Times New Roman"/>
          <w:b/>
          <w:sz w:val="28"/>
          <w:szCs w:val="28"/>
          <w:lang w:val="en-ZA"/>
        </w:rPr>
        <w:t>0 BILLION</w:t>
      </w:r>
      <w:r w:rsidR="00D8763A" w:rsidRPr="00990A95">
        <w:rPr>
          <w:rFonts w:asciiTheme="majorHAnsi" w:eastAsia="Calibri" w:hAnsiTheme="majorHAnsi" w:cs="Times New Roman"/>
          <w:b/>
          <w:sz w:val="28"/>
          <w:szCs w:val="28"/>
          <w:lang w:val="en-ZA"/>
        </w:rPr>
        <w:t xml:space="preserve"> </w:t>
      </w:r>
      <w:r w:rsidR="007852D9" w:rsidRPr="00990A95">
        <w:rPr>
          <w:rFonts w:asciiTheme="majorHAnsi" w:eastAsia="Calibri" w:hAnsiTheme="majorHAnsi" w:cs="Times New Roman"/>
          <w:b/>
          <w:sz w:val="28"/>
          <w:szCs w:val="28"/>
          <w:lang w:val="en-ZA"/>
        </w:rPr>
        <w:t xml:space="preserve">IN THE THIRD QUARTER OF </w:t>
      </w:r>
      <w:r w:rsidR="00D8763A" w:rsidRPr="00990A95">
        <w:rPr>
          <w:rFonts w:asciiTheme="majorHAnsi" w:eastAsia="Calibri" w:hAnsiTheme="majorHAnsi" w:cs="Times New Roman"/>
          <w:b/>
          <w:sz w:val="28"/>
          <w:szCs w:val="28"/>
          <w:lang w:val="en-ZA"/>
        </w:rPr>
        <w:t>2019</w:t>
      </w:r>
      <w:r w:rsidR="006404EF" w:rsidRPr="00990A95">
        <w:rPr>
          <w:rFonts w:asciiTheme="majorHAnsi" w:eastAsia="Calibri" w:hAnsiTheme="majorHAnsi" w:cs="Times New Roman"/>
          <w:b/>
          <w:sz w:val="28"/>
          <w:szCs w:val="28"/>
          <w:lang w:val="en-ZA"/>
        </w:rPr>
        <w:t xml:space="preserve"> </w:t>
      </w:r>
    </w:p>
    <w:p w:rsidR="002D241E" w:rsidRPr="00BD5121" w:rsidRDefault="002D241E" w:rsidP="00990A95">
      <w:pPr>
        <w:spacing w:after="20" w:line="360" w:lineRule="auto"/>
        <w:rPr>
          <w:rFonts w:asciiTheme="majorHAnsi" w:eastAsia="Calibri" w:hAnsiTheme="majorHAnsi" w:cs="Times New Roman"/>
          <w:b/>
          <w:lang w:val="en-ZA"/>
        </w:rPr>
      </w:pPr>
      <w:r>
        <w:rPr>
          <w:rFonts w:asciiTheme="majorHAnsi" w:eastAsia="Calibri" w:hAnsiTheme="majorHAnsi" w:cs="Times New Roman"/>
          <w:b/>
          <w:lang w:val="en-ZA"/>
        </w:rPr>
        <w:t>SUMMARY</w:t>
      </w:r>
    </w:p>
    <w:p w:rsidR="00172886" w:rsidRDefault="007852D9" w:rsidP="002D241E">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South Africans can blame the </w:t>
      </w:r>
      <w:r w:rsidR="00443D4C">
        <w:rPr>
          <w:rFonts w:asciiTheme="majorHAnsi" w:eastAsia="Calibri" w:hAnsiTheme="majorHAnsi" w:cs="Times New Roman"/>
          <w:lang w:val="en-ZA"/>
        </w:rPr>
        <w:t xml:space="preserve">trade war between the </w:t>
      </w:r>
      <w:r>
        <w:rPr>
          <w:rFonts w:asciiTheme="majorHAnsi" w:eastAsia="Calibri" w:hAnsiTheme="majorHAnsi" w:cs="Times New Roman"/>
          <w:lang w:val="en-ZA"/>
        </w:rPr>
        <w:t>United States</w:t>
      </w:r>
      <w:r w:rsidR="00443D4C">
        <w:rPr>
          <w:rFonts w:asciiTheme="majorHAnsi" w:eastAsia="Calibri" w:hAnsiTheme="majorHAnsi" w:cs="Times New Roman"/>
          <w:lang w:val="en-ZA"/>
        </w:rPr>
        <w:t xml:space="preserve"> of America (USA) and</w:t>
      </w:r>
      <w:r>
        <w:rPr>
          <w:rFonts w:asciiTheme="majorHAnsi" w:eastAsia="Calibri" w:hAnsiTheme="majorHAnsi" w:cs="Times New Roman"/>
          <w:lang w:val="en-ZA"/>
        </w:rPr>
        <w:t xml:space="preserve"> China</w:t>
      </w:r>
      <w:r w:rsidR="00443D4C">
        <w:rPr>
          <w:rFonts w:asciiTheme="majorHAnsi" w:eastAsia="Calibri" w:hAnsiTheme="majorHAnsi" w:cs="Times New Roman"/>
          <w:lang w:val="en-ZA"/>
        </w:rPr>
        <w:t>, fears of an economic recession in the</w:t>
      </w:r>
      <w:r>
        <w:rPr>
          <w:rFonts w:asciiTheme="majorHAnsi" w:eastAsia="Calibri" w:hAnsiTheme="majorHAnsi" w:cs="Times New Roman"/>
          <w:lang w:val="en-ZA"/>
        </w:rPr>
        <w:t xml:space="preserve"> </w:t>
      </w:r>
      <w:r w:rsidR="00443D4C">
        <w:rPr>
          <w:rFonts w:asciiTheme="majorHAnsi" w:eastAsia="Calibri" w:hAnsiTheme="majorHAnsi" w:cs="Times New Roman"/>
          <w:lang w:val="en-ZA"/>
        </w:rPr>
        <w:t xml:space="preserve">USA </w:t>
      </w:r>
      <w:r>
        <w:rPr>
          <w:rFonts w:asciiTheme="majorHAnsi" w:eastAsia="Calibri" w:hAnsiTheme="majorHAnsi" w:cs="Times New Roman"/>
          <w:lang w:val="en-ZA"/>
        </w:rPr>
        <w:t xml:space="preserve">and </w:t>
      </w:r>
      <w:r w:rsidR="00172886">
        <w:rPr>
          <w:rFonts w:asciiTheme="majorHAnsi" w:eastAsia="Calibri" w:hAnsiTheme="majorHAnsi" w:cs="Times New Roman"/>
          <w:lang w:val="en-ZA"/>
        </w:rPr>
        <w:t xml:space="preserve">international </w:t>
      </w:r>
      <w:r>
        <w:rPr>
          <w:rFonts w:asciiTheme="majorHAnsi" w:eastAsia="Calibri" w:hAnsiTheme="majorHAnsi" w:cs="Times New Roman"/>
          <w:lang w:val="en-ZA"/>
        </w:rPr>
        <w:t>terroris</w:t>
      </w:r>
      <w:r w:rsidR="00172886">
        <w:rPr>
          <w:rFonts w:asciiTheme="majorHAnsi" w:eastAsia="Calibri" w:hAnsiTheme="majorHAnsi" w:cs="Times New Roman"/>
          <w:lang w:val="en-ZA"/>
        </w:rPr>
        <w:t xml:space="preserve">m attacks </w:t>
      </w:r>
      <w:r w:rsidR="007E0572">
        <w:rPr>
          <w:rFonts w:asciiTheme="majorHAnsi" w:eastAsia="Calibri" w:hAnsiTheme="majorHAnsi" w:cs="Times New Roman"/>
          <w:lang w:val="en-ZA"/>
        </w:rPr>
        <w:t xml:space="preserve">(international events) </w:t>
      </w:r>
      <w:r>
        <w:rPr>
          <w:rFonts w:asciiTheme="majorHAnsi" w:eastAsia="Calibri" w:hAnsiTheme="majorHAnsi" w:cs="Times New Roman"/>
          <w:lang w:val="en-ZA"/>
        </w:rPr>
        <w:t>as much as Eskom</w:t>
      </w:r>
      <w:r w:rsidR="007E0572">
        <w:rPr>
          <w:rFonts w:asciiTheme="majorHAnsi" w:eastAsia="Calibri" w:hAnsiTheme="majorHAnsi" w:cs="Times New Roman"/>
          <w:lang w:val="en-ZA"/>
        </w:rPr>
        <w:t>,</w:t>
      </w:r>
      <w:r>
        <w:rPr>
          <w:rFonts w:asciiTheme="majorHAnsi" w:eastAsia="Calibri" w:hAnsiTheme="majorHAnsi" w:cs="Times New Roman"/>
          <w:lang w:val="en-ZA"/>
        </w:rPr>
        <w:t xml:space="preserve"> state capture </w:t>
      </w:r>
      <w:r w:rsidR="007E0572">
        <w:rPr>
          <w:rFonts w:asciiTheme="majorHAnsi" w:eastAsia="Calibri" w:hAnsiTheme="majorHAnsi" w:cs="Times New Roman"/>
          <w:lang w:val="en-ZA"/>
        </w:rPr>
        <w:t xml:space="preserve">and </w:t>
      </w:r>
      <w:r w:rsidR="00443D4C">
        <w:rPr>
          <w:rFonts w:asciiTheme="majorHAnsi" w:eastAsia="Calibri" w:hAnsiTheme="majorHAnsi" w:cs="Times New Roman"/>
          <w:lang w:val="en-ZA"/>
        </w:rPr>
        <w:t>a weak economy</w:t>
      </w:r>
      <w:r w:rsidR="007E0572">
        <w:rPr>
          <w:rFonts w:asciiTheme="majorHAnsi" w:eastAsia="Calibri" w:hAnsiTheme="majorHAnsi" w:cs="Times New Roman"/>
          <w:lang w:val="en-ZA"/>
        </w:rPr>
        <w:t xml:space="preserve"> (domestic events) </w:t>
      </w:r>
      <w:r>
        <w:rPr>
          <w:rFonts w:asciiTheme="majorHAnsi" w:eastAsia="Calibri" w:hAnsiTheme="majorHAnsi" w:cs="Times New Roman"/>
          <w:lang w:val="en-ZA"/>
        </w:rPr>
        <w:t xml:space="preserve">for </w:t>
      </w:r>
      <w:r w:rsidR="00B905CB">
        <w:rPr>
          <w:rFonts w:asciiTheme="majorHAnsi" w:eastAsia="Calibri" w:hAnsiTheme="majorHAnsi" w:cs="Times New Roman"/>
          <w:lang w:val="en-ZA"/>
        </w:rPr>
        <w:t>losing a lot of their wealth du</w:t>
      </w:r>
      <w:r>
        <w:rPr>
          <w:rFonts w:asciiTheme="majorHAnsi" w:eastAsia="Calibri" w:hAnsiTheme="majorHAnsi" w:cs="Times New Roman"/>
          <w:lang w:val="en-ZA"/>
        </w:rPr>
        <w:t xml:space="preserve">ring the third quarter of 2019 (Q3 2019). </w:t>
      </w:r>
    </w:p>
    <w:p w:rsidR="007E0572" w:rsidRDefault="007852D9" w:rsidP="002D241E">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According to the Momentum/Unisa </w:t>
      </w:r>
      <w:r w:rsidR="00172886">
        <w:rPr>
          <w:rFonts w:asciiTheme="majorHAnsi" w:eastAsia="Calibri" w:hAnsiTheme="majorHAnsi" w:cs="Times New Roman"/>
          <w:lang w:val="en-ZA"/>
        </w:rPr>
        <w:t xml:space="preserve">Household </w:t>
      </w:r>
      <w:r>
        <w:rPr>
          <w:rFonts w:asciiTheme="majorHAnsi" w:eastAsia="Calibri" w:hAnsiTheme="majorHAnsi" w:cs="Times New Roman"/>
          <w:lang w:val="en-ZA"/>
        </w:rPr>
        <w:t>Net Wealth Index</w:t>
      </w:r>
      <w:r w:rsidR="00172886">
        <w:rPr>
          <w:rFonts w:asciiTheme="majorHAnsi" w:eastAsia="Calibri" w:hAnsiTheme="majorHAnsi" w:cs="Times New Roman"/>
          <w:lang w:val="en-ZA"/>
        </w:rPr>
        <w:t>,</w:t>
      </w:r>
      <w:r>
        <w:rPr>
          <w:rFonts w:asciiTheme="majorHAnsi" w:eastAsia="Calibri" w:hAnsiTheme="majorHAnsi" w:cs="Times New Roman"/>
          <w:lang w:val="en-ZA"/>
        </w:rPr>
        <w:t xml:space="preserve"> South African households’ real net wealth declined by R237</w:t>
      </w:r>
      <w:r w:rsidR="00172886">
        <w:rPr>
          <w:rFonts w:asciiTheme="majorHAnsi" w:eastAsia="Calibri" w:hAnsiTheme="majorHAnsi" w:cs="Times New Roman"/>
          <w:lang w:val="en-ZA"/>
        </w:rPr>
        <w:t>.0</w:t>
      </w:r>
      <w:r>
        <w:rPr>
          <w:rFonts w:asciiTheme="majorHAnsi" w:eastAsia="Calibri" w:hAnsiTheme="majorHAnsi" w:cs="Times New Roman"/>
          <w:lang w:val="en-ZA"/>
        </w:rPr>
        <w:t xml:space="preserve"> billion in Q3 2019 compared to Q2 2019, </w:t>
      </w:r>
      <w:r w:rsidR="00172886">
        <w:rPr>
          <w:rFonts w:asciiTheme="majorHAnsi" w:eastAsia="Calibri" w:hAnsiTheme="majorHAnsi" w:cs="Times New Roman"/>
          <w:lang w:val="en-ZA"/>
        </w:rPr>
        <w:t>while it was R133.7 billion less than in Q3 2018.</w:t>
      </w:r>
      <w:r w:rsidR="007E0572">
        <w:rPr>
          <w:rFonts w:asciiTheme="majorHAnsi" w:eastAsia="Calibri" w:hAnsiTheme="majorHAnsi" w:cs="Times New Roman"/>
          <w:lang w:val="en-ZA"/>
        </w:rPr>
        <w:t xml:space="preserve"> </w:t>
      </w:r>
    </w:p>
    <w:p w:rsidR="000A2EF4" w:rsidRDefault="006D43F0" w:rsidP="002D241E">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T</w:t>
      </w:r>
      <w:r w:rsidR="00EF6910">
        <w:rPr>
          <w:rFonts w:asciiTheme="majorHAnsi" w:eastAsia="Calibri" w:hAnsiTheme="majorHAnsi" w:cs="Times New Roman"/>
          <w:lang w:val="en-ZA"/>
        </w:rPr>
        <w:t>he decline in the real value of household</w:t>
      </w:r>
      <w:r w:rsidR="007E0572">
        <w:rPr>
          <w:rFonts w:asciiTheme="majorHAnsi" w:eastAsia="Calibri" w:hAnsiTheme="majorHAnsi" w:cs="Times New Roman"/>
          <w:lang w:val="en-ZA"/>
        </w:rPr>
        <w:t xml:space="preserve"> net</w:t>
      </w:r>
      <w:r w:rsidR="00EF6910">
        <w:rPr>
          <w:rFonts w:asciiTheme="majorHAnsi" w:eastAsia="Calibri" w:hAnsiTheme="majorHAnsi" w:cs="Times New Roman"/>
          <w:lang w:val="en-ZA"/>
        </w:rPr>
        <w:t xml:space="preserve"> wealth was almost solely caused by a decrease in the real value of household</w:t>
      </w:r>
      <w:r w:rsidR="00B905CB">
        <w:rPr>
          <w:rFonts w:asciiTheme="majorHAnsi" w:eastAsia="Calibri" w:hAnsiTheme="majorHAnsi" w:cs="Times New Roman"/>
          <w:lang w:val="en-ZA"/>
        </w:rPr>
        <w:t>s’</w:t>
      </w:r>
      <w:r w:rsidR="00EF6910">
        <w:rPr>
          <w:rFonts w:asciiTheme="majorHAnsi" w:eastAsia="Calibri" w:hAnsiTheme="majorHAnsi" w:cs="Times New Roman"/>
          <w:lang w:val="en-ZA"/>
        </w:rPr>
        <w:t xml:space="preserve"> assets</w:t>
      </w:r>
      <w:r w:rsidR="00B905CB">
        <w:rPr>
          <w:rFonts w:asciiTheme="majorHAnsi" w:eastAsia="Calibri" w:hAnsiTheme="majorHAnsi" w:cs="Times New Roman"/>
          <w:lang w:val="en-ZA"/>
        </w:rPr>
        <w:t xml:space="preserve"> – despite saving more money in pension funds, which</w:t>
      </w:r>
      <w:r w:rsidR="00443D4C">
        <w:rPr>
          <w:rFonts w:asciiTheme="majorHAnsi" w:eastAsia="Calibri" w:hAnsiTheme="majorHAnsi" w:cs="Times New Roman"/>
          <w:lang w:val="en-ZA"/>
        </w:rPr>
        <w:t xml:space="preserve">, under normal circumstances, should </w:t>
      </w:r>
      <w:r w:rsidR="00B905CB">
        <w:rPr>
          <w:rFonts w:asciiTheme="majorHAnsi" w:eastAsia="Calibri" w:hAnsiTheme="majorHAnsi" w:cs="Times New Roman"/>
          <w:lang w:val="en-ZA"/>
        </w:rPr>
        <w:t>have</w:t>
      </w:r>
      <w:r w:rsidR="00443D4C">
        <w:rPr>
          <w:rFonts w:asciiTheme="majorHAnsi" w:eastAsia="Calibri" w:hAnsiTheme="majorHAnsi" w:cs="Times New Roman"/>
          <w:lang w:val="en-ZA"/>
        </w:rPr>
        <w:t xml:space="preserve"> contributed to an </w:t>
      </w:r>
      <w:r w:rsidR="00B905CB">
        <w:rPr>
          <w:rFonts w:asciiTheme="majorHAnsi" w:eastAsia="Calibri" w:hAnsiTheme="majorHAnsi" w:cs="Times New Roman"/>
          <w:lang w:val="en-ZA"/>
        </w:rPr>
        <w:t>increase in the real value of their assets</w:t>
      </w:r>
      <w:r w:rsidR="00EF6910">
        <w:rPr>
          <w:rFonts w:asciiTheme="majorHAnsi" w:eastAsia="Calibri" w:hAnsiTheme="majorHAnsi" w:cs="Times New Roman"/>
          <w:lang w:val="en-ZA"/>
        </w:rPr>
        <w:t xml:space="preserve">. </w:t>
      </w:r>
    </w:p>
    <w:p w:rsidR="006368A8" w:rsidRDefault="00EF6910" w:rsidP="002D241E">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lastRenderedPageBreak/>
        <w:t>More specifically, the</w:t>
      </w:r>
      <w:r w:rsidR="000A2EF4">
        <w:rPr>
          <w:rFonts w:asciiTheme="majorHAnsi" w:eastAsia="Calibri" w:hAnsiTheme="majorHAnsi" w:cs="Times New Roman"/>
          <w:lang w:val="en-ZA"/>
        </w:rPr>
        <w:t xml:space="preserve"> above</w:t>
      </w:r>
      <w:r w:rsidR="00B905CB">
        <w:rPr>
          <w:rFonts w:asciiTheme="majorHAnsi" w:eastAsia="Calibri" w:hAnsiTheme="majorHAnsi" w:cs="Times New Roman"/>
          <w:lang w:val="en-ZA"/>
        </w:rPr>
        <w:t xml:space="preserve">mentioned </w:t>
      </w:r>
      <w:r>
        <w:rPr>
          <w:rFonts w:asciiTheme="majorHAnsi" w:eastAsia="Calibri" w:hAnsiTheme="majorHAnsi" w:cs="Times New Roman"/>
          <w:lang w:val="en-ZA"/>
        </w:rPr>
        <w:t xml:space="preserve">international events had </w:t>
      </w:r>
      <w:r w:rsidR="00B905CB">
        <w:rPr>
          <w:rFonts w:asciiTheme="majorHAnsi" w:eastAsia="Calibri" w:hAnsiTheme="majorHAnsi" w:cs="Times New Roman"/>
          <w:lang w:val="en-ZA"/>
        </w:rPr>
        <w:t xml:space="preserve">a profound </w:t>
      </w:r>
      <w:r>
        <w:rPr>
          <w:rFonts w:asciiTheme="majorHAnsi" w:eastAsia="Calibri" w:hAnsiTheme="majorHAnsi" w:cs="Times New Roman"/>
          <w:lang w:val="en-ZA"/>
        </w:rPr>
        <w:t xml:space="preserve">negative impact on the real value of </w:t>
      </w:r>
      <w:r w:rsidR="00B905CB">
        <w:rPr>
          <w:rFonts w:asciiTheme="majorHAnsi" w:eastAsia="Calibri" w:hAnsiTheme="majorHAnsi" w:cs="Times New Roman"/>
          <w:lang w:val="en-ZA"/>
        </w:rPr>
        <w:t>their</w:t>
      </w:r>
      <w:r>
        <w:rPr>
          <w:rFonts w:asciiTheme="majorHAnsi" w:eastAsia="Calibri" w:hAnsiTheme="majorHAnsi" w:cs="Times New Roman"/>
          <w:lang w:val="en-ZA"/>
        </w:rPr>
        <w:t xml:space="preserve"> pension funds</w:t>
      </w:r>
      <w:r w:rsidR="00443D4C">
        <w:rPr>
          <w:rFonts w:asciiTheme="majorHAnsi" w:eastAsia="Calibri" w:hAnsiTheme="majorHAnsi" w:cs="Times New Roman"/>
          <w:lang w:val="en-ZA"/>
        </w:rPr>
        <w:t xml:space="preserve"> and investments</w:t>
      </w:r>
      <w:r w:rsidR="007E0572">
        <w:rPr>
          <w:rFonts w:asciiTheme="majorHAnsi" w:eastAsia="Calibri" w:hAnsiTheme="majorHAnsi" w:cs="Times New Roman"/>
          <w:lang w:val="en-ZA"/>
        </w:rPr>
        <w:t>,</w:t>
      </w:r>
      <w:r>
        <w:rPr>
          <w:rFonts w:asciiTheme="majorHAnsi" w:eastAsia="Calibri" w:hAnsiTheme="majorHAnsi" w:cs="Times New Roman"/>
          <w:lang w:val="en-ZA"/>
        </w:rPr>
        <w:t xml:space="preserve"> while domestic events </w:t>
      </w:r>
      <w:r w:rsidR="007E0572">
        <w:rPr>
          <w:rFonts w:asciiTheme="majorHAnsi" w:eastAsia="Calibri" w:hAnsiTheme="majorHAnsi" w:cs="Times New Roman"/>
          <w:lang w:val="en-ZA"/>
        </w:rPr>
        <w:t xml:space="preserve">played </w:t>
      </w:r>
      <w:r w:rsidR="00443D4C">
        <w:rPr>
          <w:rFonts w:asciiTheme="majorHAnsi" w:eastAsia="Calibri" w:hAnsiTheme="majorHAnsi" w:cs="Times New Roman"/>
          <w:lang w:val="en-ZA"/>
        </w:rPr>
        <w:t>a major</w:t>
      </w:r>
      <w:r w:rsidR="007E0572">
        <w:rPr>
          <w:rFonts w:asciiTheme="majorHAnsi" w:eastAsia="Calibri" w:hAnsiTheme="majorHAnsi" w:cs="Times New Roman"/>
          <w:lang w:val="en-ZA"/>
        </w:rPr>
        <w:t xml:space="preserve"> part in </w:t>
      </w:r>
      <w:r>
        <w:rPr>
          <w:rFonts w:asciiTheme="majorHAnsi" w:eastAsia="Calibri" w:hAnsiTheme="majorHAnsi" w:cs="Times New Roman"/>
          <w:lang w:val="en-ZA"/>
        </w:rPr>
        <w:t>prevent</w:t>
      </w:r>
      <w:r w:rsidR="007E0572">
        <w:rPr>
          <w:rFonts w:asciiTheme="majorHAnsi" w:eastAsia="Calibri" w:hAnsiTheme="majorHAnsi" w:cs="Times New Roman"/>
          <w:lang w:val="en-ZA"/>
        </w:rPr>
        <w:t>ing</w:t>
      </w:r>
      <w:r>
        <w:rPr>
          <w:rFonts w:asciiTheme="majorHAnsi" w:eastAsia="Calibri" w:hAnsiTheme="majorHAnsi" w:cs="Times New Roman"/>
          <w:lang w:val="en-ZA"/>
        </w:rPr>
        <w:t xml:space="preserve"> strong growth in the real value of </w:t>
      </w:r>
      <w:r w:rsidR="00B905CB">
        <w:rPr>
          <w:rFonts w:asciiTheme="majorHAnsi" w:eastAsia="Calibri" w:hAnsiTheme="majorHAnsi" w:cs="Times New Roman"/>
          <w:lang w:val="en-ZA"/>
        </w:rPr>
        <w:t>their</w:t>
      </w:r>
      <w:r>
        <w:rPr>
          <w:rFonts w:asciiTheme="majorHAnsi" w:eastAsia="Calibri" w:hAnsiTheme="majorHAnsi" w:cs="Times New Roman"/>
          <w:lang w:val="en-ZA"/>
        </w:rPr>
        <w:t xml:space="preserve"> property values.</w:t>
      </w:r>
      <w:r w:rsidR="006368A8">
        <w:rPr>
          <w:rFonts w:asciiTheme="majorHAnsi" w:eastAsia="Calibri" w:hAnsiTheme="majorHAnsi" w:cs="Times New Roman"/>
          <w:lang w:val="en-ZA"/>
        </w:rPr>
        <w:t xml:space="preserve"> </w:t>
      </w:r>
      <w:r w:rsidR="007E0572">
        <w:rPr>
          <w:rFonts w:asciiTheme="majorHAnsi" w:eastAsia="Calibri" w:hAnsiTheme="majorHAnsi" w:cs="Times New Roman"/>
          <w:lang w:val="en-ZA"/>
        </w:rPr>
        <w:t>At the same time the real value of households’ outstanding debt declined in Q3 2019 compared to Q2 2019, but it was higher compared to a year ago.</w:t>
      </w:r>
    </w:p>
    <w:p w:rsidR="00990A95" w:rsidRDefault="000A2EF4" w:rsidP="00990A95">
      <w:pPr>
        <w:spacing w:after="200" w:line="276" w:lineRule="auto"/>
        <w:rPr>
          <w:rFonts w:asciiTheme="majorHAnsi" w:eastAsia="Calibri" w:hAnsiTheme="majorHAnsi" w:cs="Times New Roman"/>
          <w:b/>
          <w:lang w:val="en-ZA"/>
        </w:rPr>
      </w:pPr>
      <w:r>
        <w:rPr>
          <w:rFonts w:asciiTheme="majorHAnsi" w:eastAsia="Calibri" w:hAnsiTheme="majorHAnsi" w:cs="Times New Roman"/>
          <w:lang w:val="en-ZA"/>
        </w:rPr>
        <w:t>The g</w:t>
      </w:r>
      <w:r w:rsidR="006368A8">
        <w:rPr>
          <w:rFonts w:asciiTheme="majorHAnsi" w:eastAsia="Calibri" w:hAnsiTheme="majorHAnsi" w:cs="Times New Roman"/>
          <w:lang w:val="en-ZA"/>
        </w:rPr>
        <w:t xml:space="preserve">ood news is that preliminary estimates point to a recovery in </w:t>
      </w:r>
      <w:r w:rsidR="00B712D6">
        <w:rPr>
          <w:rFonts w:asciiTheme="majorHAnsi" w:eastAsia="Calibri" w:hAnsiTheme="majorHAnsi" w:cs="Times New Roman"/>
          <w:lang w:val="en-ZA"/>
        </w:rPr>
        <w:t xml:space="preserve">the real value of </w:t>
      </w:r>
      <w:r w:rsidR="006368A8">
        <w:rPr>
          <w:rFonts w:asciiTheme="majorHAnsi" w:eastAsia="Calibri" w:hAnsiTheme="majorHAnsi" w:cs="Times New Roman"/>
          <w:lang w:val="en-ZA"/>
        </w:rPr>
        <w:t xml:space="preserve">household </w:t>
      </w:r>
      <w:r w:rsidR="00B712D6">
        <w:rPr>
          <w:rFonts w:asciiTheme="majorHAnsi" w:eastAsia="Calibri" w:hAnsiTheme="majorHAnsi" w:cs="Times New Roman"/>
          <w:lang w:val="en-ZA"/>
        </w:rPr>
        <w:t xml:space="preserve">net </w:t>
      </w:r>
      <w:r w:rsidR="006368A8">
        <w:rPr>
          <w:rFonts w:asciiTheme="majorHAnsi" w:eastAsia="Calibri" w:hAnsiTheme="majorHAnsi" w:cs="Times New Roman"/>
          <w:lang w:val="en-ZA"/>
        </w:rPr>
        <w:t xml:space="preserve">wealth in Q4 2019 </w:t>
      </w:r>
      <w:r>
        <w:rPr>
          <w:rFonts w:asciiTheme="majorHAnsi" w:eastAsia="Calibri" w:hAnsiTheme="majorHAnsi" w:cs="Times New Roman"/>
          <w:lang w:val="en-ZA"/>
        </w:rPr>
        <w:t>– so much so</w:t>
      </w:r>
      <w:r w:rsidR="00B712D6">
        <w:rPr>
          <w:rFonts w:asciiTheme="majorHAnsi" w:eastAsia="Calibri" w:hAnsiTheme="majorHAnsi" w:cs="Times New Roman"/>
          <w:lang w:val="en-ZA"/>
        </w:rPr>
        <w:t xml:space="preserve"> </w:t>
      </w:r>
      <w:r w:rsidR="006368A8">
        <w:rPr>
          <w:rFonts w:asciiTheme="majorHAnsi" w:eastAsia="Calibri" w:hAnsiTheme="majorHAnsi" w:cs="Times New Roman"/>
          <w:lang w:val="en-ZA"/>
        </w:rPr>
        <w:t>that households would end 2019 richer</w:t>
      </w:r>
      <w:r>
        <w:rPr>
          <w:rFonts w:asciiTheme="majorHAnsi" w:eastAsia="Calibri" w:hAnsiTheme="majorHAnsi" w:cs="Times New Roman"/>
          <w:lang w:val="en-ZA"/>
        </w:rPr>
        <w:t xml:space="preserve"> when</w:t>
      </w:r>
      <w:r w:rsidR="006368A8">
        <w:rPr>
          <w:rFonts w:asciiTheme="majorHAnsi" w:eastAsia="Calibri" w:hAnsiTheme="majorHAnsi" w:cs="Times New Roman"/>
          <w:lang w:val="en-ZA"/>
        </w:rPr>
        <w:t xml:space="preserve"> compared to 2018.  </w:t>
      </w:r>
      <w:r w:rsidR="00EF6910">
        <w:rPr>
          <w:rFonts w:asciiTheme="majorHAnsi" w:eastAsia="Calibri" w:hAnsiTheme="majorHAnsi" w:cs="Times New Roman"/>
          <w:lang w:val="en-ZA"/>
        </w:rPr>
        <w:t xml:space="preserve"> </w:t>
      </w:r>
    </w:p>
    <w:p w:rsidR="00990A95" w:rsidRPr="00990A95" w:rsidRDefault="00BD5121" w:rsidP="00990A95">
      <w:pPr>
        <w:spacing w:after="20" w:line="276" w:lineRule="auto"/>
        <w:rPr>
          <w:rFonts w:asciiTheme="majorHAnsi" w:eastAsia="Calibri" w:hAnsiTheme="majorHAnsi" w:cs="Times New Roman"/>
          <w:color w:val="E11B22"/>
          <w:lang w:val="en-ZA"/>
        </w:rPr>
      </w:pPr>
      <w:r w:rsidRPr="00990A95">
        <w:rPr>
          <w:rFonts w:asciiTheme="majorHAnsi" w:eastAsia="Calibri" w:hAnsiTheme="majorHAnsi" w:cs="Times New Roman"/>
          <w:b/>
          <w:color w:val="E11B22"/>
          <w:lang w:val="en-ZA"/>
        </w:rPr>
        <w:t>Household Net Wealth</w:t>
      </w:r>
    </w:p>
    <w:p w:rsidR="00BA53D7" w:rsidRDefault="000A2EF4" w:rsidP="00990A95">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Going back centuries</w:t>
      </w:r>
      <w:r w:rsidR="0024454E">
        <w:rPr>
          <w:rFonts w:asciiTheme="majorHAnsi" w:eastAsia="Calibri" w:hAnsiTheme="majorHAnsi" w:cs="Times New Roman"/>
          <w:lang w:val="en-ZA"/>
        </w:rPr>
        <w:t xml:space="preserve">, households </w:t>
      </w:r>
      <w:r>
        <w:rPr>
          <w:rFonts w:asciiTheme="majorHAnsi" w:eastAsia="Calibri" w:hAnsiTheme="majorHAnsi" w:cs="Times New Roman"/>
          <w:lang w:val="en-ZA"/>
        </w:rPr>
        <w:t xml:space="preserve">have always </w:t>
      </w:r>
      <w:r w:rsidR="00B905CB">
        <w:rPr>
          <w:rFonts w:asciiTheme="majorHAnsi" w:eastAsia="Calibri" w:hAnsiTheme="majorHAnsi" w:cs="Times New Roman"/>
          <w:lang w:val="en-ZA"/>
        </w:rPr>
        <w:t>gathered</w:t>
      </w:r>
      <w:r w:rsidR="0024454E">
        <w:rPr>
          <w:rFonts w:asciiTheme="majorHAnsi" w:eastAsia="Calibri" w:hAnsiTheme="majorHAnsi" w:cs="Times New Roman"/>
          <w:lang w:val="en-ZA"/>
        </w:rPr>
        <w:t xml:space="preserve"> </w:t>
      </w:r>
      <w:r w:rsidR="002E1946">
        <w:rPr>
          <w:rFonts w:asciiTheme="majorHAnsi" w:eastAsia="Calibri" w:hAnsiTheme="majorHAnsi" w:cs="Times New Roman"/>
          <w:lang w:val="en-ZA"/>
        </w:rPr>
        <w:t xml:space="preserve">assets. </w:t>
      </w:r>
      <w:r w:rsidR="0024454E">
        <w:rPr>
          <w:rFonts w:asciiTheme="majorHAnsi" w:eastAsia="Calibri" w:hAnsiTheme="majorHAnsi" w:cs="Times New Roman"/>
          <w:lang w:val="en-ZA"/>
        </w:rPr>
        <w:t xml:space="preserve">Little has changed as </w:t>
      </w:r>
      <w:r>
        <w:rPr>
          <w:rFonts w:asciiTheme="majorHAnsi" w:eastAsia="Calibri" w:hAnsiTheme="majorHAnsi" w:cs="Times New Roman"/>
          <w:lang w:val="en-ZA"/>
        </w:rPr>
        <w:t xml:space="preserve">a </w:t>
      </w:r>
      <w:r w:rsidR="007E0572">
        <w:rPr>
          <w:rFonts w:asciiTheme="majorHAnsi" w:eastAsia="Calibri" w:hAnsiTheme="majorHAnsi" w:cs="Times New Roman"/>
          <w:lang w:val="en-ZA"/>
        </w:rPr>
        <w:t>h</w:t>
      </w:r>
      <w:r w:rsidR="005958E6">
        <w:rPr>
          <w:rFonts w:asciiTheme="majorHAnsi" w:eastAsia="Calibri" w:hAnsiTheme="majorHAnsi" w:cs="Times New Roman"/>
          <w:lang w:val="en-ZA"/>
        </w:rPr>
        <w:t>ousehold</w:t>
      </w:r>
      <w:r>
        <w:rPr>
          <w:rFonts w:asciiTheme="majorHAnsi" w:eastAsia="Calibri" w:hAnsiTheme="majorHAnsi" w:cs="Times New Roman"/>
          <w:lang w:val="en-ZA"/>
        </w:rPr>
        <w:t>’</w:t>
      </w:r>
      <w:r w:rsidR="005958E6">
        <w:rPr>
          <w:rFonts w:asciiTheme="majorHAnsi" w:eastAsia="Calibri" w:hAnsiTheme="majorHAnsi" w:cs="Times New Roman"/>
          <w:lang w:val="en-ZA"/>
        </w:rPr>
        <w:t>s</w:t>
      </w:r>
      <w:r w:rsidR="0068029A">
        <w:rPr>
          <w:rFonts w:asciiTheme="majorHAnsi" w:eastAsia="Calibri" w:hAnsiTheme="majorHAnsi" w:cs="Times New Roman"/>
          <w:lang w:val="en-ZA"/>
        </w:rPr>
        <w:t xml:space="preserve"> </w:t>
      </w:r>
      <w:r w:rsidR="00A2208C">
        <w:rPr>
          <w:rFonts w:asciiTheme="majorHAnsi" w:eastAsia="Calibri" w:hAnsiTheme="majorHAnsi" w:cs="Times New Roman"/>
          <w:lang w:val="en-ZA"/>
        </w:rPr>
        <w:t xml:space="preserve">ultimate </w:t>
      </w:r>
      <w:r w:rsidR="0068029A">
        <w:rPr>
          <w:rFonts w:asciiTheme="majorHAnsi" w:eastAsia="Calibri" w:hAnsiTheme="majorHAnsi" w:cs="Times New Roman"/>
          <w:lang w:val="en-ZA"/>
        </w:rPr>
        <w:t>financial goal</w:t>
      </w:r>
      <w:r w:rsidR="009B075F">
        <w:rPr>
          <w:rFonts w:asciiTheme="majorHAnsi" w:eastAsia="Calibri" w:hAnsiTheme="majorHAnsi" w:cs="Times New Roman"/>
          <w:lang w:val="en-ZA"/>
        </w:rPr>
        <w:t xml:space="preserve"> is</w:t>
      </w:r>
      <w:r w:rsidR="0068029A">
        <w:rPr>
          <w:rFonts w:asciiTheme="majorHAnsi" w:eastAsia="Calibri" w:hAnsiTheme="majorHAnsi" w:cs="Times New Roman"/>
          <w:lang w:val="en-ZA"/>
        </w:rPr>
        <w:t xml:space="preserve"> </w:t>
      </w:r>
      <w:r w:rsidR="007E0572">
        <w:rPr>
          <w:rFonts w:asciiTheme="majorHAnsi" w:eastAsia="Calibri" w:hAnsiTheme="majorHAnsi" w:cs="Times New Roman"/>
          <w:lang w:val="en-ZA"/>
        </w:rPr>
        <w:t xml:space="preserve">still the </w:t>
      </w:r>
      <w:r w:rsidR="00CC60C0">
        <w:rPr>
          <w:rFonts w:asciiTheme="majorHAnsi" w:eastAsia="Calibri" w:hAnsiTheme="majorHAnsi" w:cs="Times New Roman"/>
          <w:lang w:val="en-ZA"/>
        </w:rPr>
        <w:t>accumulat</w:t>
      </w:r>
      <w:r w:rsidR="00D62179">
        <w:rPr>
          <w:rFonts w:asciiTheme="majorHAnsi" w:eastAsia="Calibri" w:hAnsiTheme="majorHAnsi" w:cs="Times New Roman"/>
          <w:lang w:val="en-ZA"/>
        </w:rPr>
        <w:t>i</w:t>
      </w:r>
      <w:r w:rsidR="007E0572">
        <w:rPr>
          <w:rFonts w:asciiTheme="majorHAnsi" w:eastAsia="Calibri" w:hAnsiTheme="majorHAnsi" w:cs="Times New Roman"/>
          <w:lang w:val="en-ZA"/>
        </w:rPr>
        <w:t>on of</w:t>
      </w:r>
      <w:r w:rsidR="00971EFE">
        <w:rPr>
          <w:rFonts w:asciiTheme="majorHAnsi" w:eastAsia="Calibri" w:hAnsiTheme="majorHAnsi" w:cs="Times New Roman"/>
          <w:lang w:val="en-ZA"/>
        </w:rPr>
        <w:t xml:space="preserve"> </w:t>
      </w:r>
      <w:r w:rsidR="00CC60C0">
        <w:rPr>
          <w:rFonts w:asciiTheme="majorHAnsi" w:eastAsia="Calibri" w:hAnsiTheme="majorHAnsi" w:cs="Times New Roman"/>
          <w:lang w:val="en-ZA"/>
        </w:rPr>
        <w:t>assets</w:t>
      </w:r>
      <w:r w:rsidR="0024454E">
        <w:rPr>
          <w:rFonts w:asciiTheme="majorHAnsi" w:eastAsia="Calibri" w:hAnsiTheme="majorHAnsi" w:cs="Times New Roman"/>
          <w:lang w:val="en-ZA"/>
        </w:rPr>
        <w:t>.</w:t>
      </w:r>
      <w:r w:rsidR="00CC60C0">
        <w:rPr>
          <w:rFonts w:asciiTheme="majorHAnsi" w:eastAsia="Calibri" w:hAnsiTheme="majorHAnsi" w:cs="Times New Roman"/>
          <w:lang w:val="en-ZA"/>
        </w:rPr>
        <w:t xml:space="preserve"> </w:t>
      </w:r>
      <w:r w:rsidR="0024454E">
        <w:rPr>
          <w:rFonts w:asciiTheme="majorHAnsi" w:eastAsia="Calibri" w:hAnsiTheme="majorHAnsi" w:cs="Times New Roman"/>
          <w:lang w:val="en-ZA"/>
        </w:rPr>
        <w:t>For good reason</w:t>
      </w:r>
      <w:r w:rsidR="007E0572">
        <w:rPr>
          <w:rFonts w:asciiTheme="majorHAnsi" w:eastAsia="Calibri" w:hAnsiTheme="majorHAnsi" w:cs="Times New Roman"/>
          <w:lang w:val="en-ZA"/>
        </w:rPr>
        <w:t xml:space="preserve"> too</w:t>
      </w:r>
      <w:r w:rsidR="0024454E">
        <w:rPr>
          <w:rFonts w:asciiTheme="majorHAnsi" w:eastAsia="Calibri" w:hAnsiTheme="majorHAnsi" w:cs="Times New Roman"/>
          <w:lang w:val="en-ZA"/>
        </w:rPr>
        <w:t>, as</w:t>
      </w:r>
      <w:r>
        <w:rPr>
          <w:rFonts w:asciiTheme="majorHAnsi" w:eastAsia="Calibri" w:hAnsiTheme="majorHAnsi" w:cs="Times New Roman"/>
          <w:lang w:val="en-ZA"/>
        </w:rPr>
        <w:t xml:space="preserve"> more assets normally translate</w:t>
      </w:r>
      <w:r w:rsidR="0024454E">
        <w:rPr>
          <w:rFonts w:asciiTheme="majorHAnsi" w:eastAsia="Calibri" w:hAnsiTheme="majorHAnsi" w:cs="Times New Roman"/>
          <w:lang w:val="en-ZA"/>
        </w:rPr>
        <w:t xml:space="preserve"> </w:t>
      </w:r>
      <w:r>
        <w:rPr>
          <w:rFonts w:asciiTheme="majorHAnsi" w:eastAsia="Calibri" w:hAnsiTheme="majorHAnsi" w:cs="Times New Roman"/>
          <w:lang w:val="en-ZA"/>
        </w:rPr>
        <w:t xml:space="preserve">to a </w:t>
      </w:r>
      <w:r w:rsidR="0024454E">
        <w:rPr>
          <w:rFonts w:asciiTheme="majorHAnsi" w:eastAsia="Calibri" w:hAnsiTheme="majorHAnsi" w:cs="Times New Roman"/>
          <w:lang w:val="en-ZA"/>
        </w:rPr>
        <w:t xml:space="preserve">higher </w:t>
      </w:r>
      <w:r w:rsidR="00CC60C0">
        <w:rPr>
          <w:rFonts w:asciiTheme="majorHAnsi" w:eastAsia="Calibri" w:hAnsiTheme="majorHAnsi" w:cs="Times New Roman"/>
          <w:lang w:val="en-ZA"/>
        </w:rPr>
        <w:t>net wealth</w:t>
      </w:r>
      <w:r w:rsidR="00F0167B">
        <w:rPr>
          <w:rFonts w:asciiTheme="majorHAnsi" w:eastAsia="Calibri" w:hAnsiTheme="majorHAnsi" w:cs="Times New Roman"/>
          <w:lang w:val="en-ZA"/>
        </w:rPr>
        <w:t xml:space="preserve">, </w:t>
      </w:r>
      <w:r w:rsidR="009B075F">
        <w:rPr>
          <w:rFonts w:asciiTheme="majorHAnsi" w:eastAsia="Calibri" w:hAnsiTheme="majorHAnsi" w:cs="Times New Roman"/>
          <w:lang w:val="en-ZA"/>
        </w:rPr>
        <w:t>enabling</w:t>
      </w:r>
      <w:r>
        <w:rPr>
          <w:rFonts w:asciiTheme="majorHAnsi" w:eastAsia="Calibri" w:hAnsiTheme="majorHAnsi" w:cs="Times New Roman"/>
          <w:lang w:val="en-ZA"/>
        </w:rPr>
        <w:t xml:space="preserve"> them to, among other things</w:t>
      </w:r>
      <w:r w:rsidR="00F0167B">
        <w:rPr>
          <w:rFonts w:asciiTheme="majorHAnsi" w:eastAsia="Calibri" w:hAnsiTheme="majorHAnsi" w:cs="Times New Roman"/>
          <w:lang w:val="en-ZA"/>
        </w:rPr>
        <w:t xml:space="preserve">, </w:t>
      </w:r>
      <w:r w:rsidR="007E0572">
        <w:rPr>
          <w:rFonts w:asciiTheme="majorHAnsi" w:eastAsia="Calibri" w:hAnsiTheme="majorHAnsi" w:cs="Times New Roman"/>
          <w:lang w:val="en-ZA"/>
        </w:rPr>
        <w:t>live better quality lives.</w:t>
      </w:r>
    </w:p>
    <w:p w:rsidR="000C4039" w:rsidRDefault="007E0372" w:rsidP="006D75FC">
      <w:pPr>
        <w:spacing w:after="200" w:line="276" w:lineRule="auto"/>
        <w:rPr>
          <w:rFonts w:asciiTheme="majorHAnsi" w:eastAsia="Calibri" w:hAnsiTheme="majorHAnsi" w:cs="Times New Roman"/>
          <w:lang w:val="en-ZA"/>
        </w:rPr>
      </w:pPr>
      <w:r w:rsidRPr="00CA5C9E">
        <w:rPr>
          <w:rFonts w:asciiTheme="majorHAnsi" w:eastAsia="Calibri" w:hAnsiTheme="majorHAnsi" w:cs="Times New Roman"/>
          <w:lang w:val="en-ZA"/>
        </w:rPr>
        <w:t xml:space="preserve">The </w:t>
      </w:r>
      <w:r w:rsidRPr="003765AA">
        <w:rPr>
          <w:rFonts w:asciiTheme="majorHAnsi" w:eastAsia="Calibri" w:hAnsiTheme="majorHAnsi" w:cs="Times New Roman"/>
          <w:lang w:val="en-ZA"/>
        </w:rPr>
        <w:t>real value</w:t>
      </w:r>
      <w:r w:rsidRPr="00BD5121">
        <w:rPr>
          <w:rFonts w:asciiTheme="majorHAnsi" w:eastAsia="Calibri" w:hAnsiTheme="majorHAnsi" w:cs="Times New Roman"/>
          <w:vertAlign w:val="superscript"/>
          <w:lang w:val="en-ZA"/>
        </w:rPr>
        <w:footnoteReference w:id="1"/>
      </w:r>
      <w:r w:rsidRPr="003765AA">
        <w:rPr>
          <w:rFonts w:asciiTheme="majorHAnsi" w:eastAsia="Calibri" w:hAnsiTheme="majorHAnsi" w:cs="Times New Roman"/>
          <w:lang w:val="en-ZA"/>
        </w:rPr>
        <w:t xml:space="preserve"> of </w:t>
      </w:r>
      <w:r>
        <w:rPr>
          <w:rFonts w:asciiTheme="majorHAnsi" w:eastAsia="Calibri" w:hAnsiTheme="majorHAnsi" w:cs="Times New Roman"/>
          <w:lang w:val="en-ZA"/>
        </w:rPr>
        <w:t xml:space="preserve">their net wealth </w:t>
      </w:r>
      <w:bookmarkStart w:id="1" w:name="_Hlk20914001"/>
      <w:r>
        <w:rPr>
          <w:rFonts w:asciiTheme="majorHAnsi" w:eastAsia="Calibri" w:hAnsiTheme="majorHAnsi" w:cs="Times New Roman"/>
          <w:lang w:val="en-ZA"/>
        </w:rPr>
        <w:t xml:space="preserve">is </w:t>
      </w:r>
      <w:r w:rsidR="00B01653">
        <w:rPr>
          <w:rFonts w:asciiTheme="majorHAnsi" w:eastAsia="Calibri" w:hAnsiTheme="majorHAnsi" w:cs="Times New Roman"/>
          <w:lang w:val="en-ZA"/>
        </w:rPr>
        <w:t xml:space="preserve">the real value of their assets minus </w:t>
      </w:r>
      <w:r w:rsidRPr="003765AA">
        <w:rPr>
          <w:rFonts w:asciiTheme="majorHAnsi" w:eastAsia="Calibri" w:hAnsiTheme="majorHAnsi" w:cs="Times New Roman"/>
          <w:lang w:val="en-ZA"/>
        </w:rPr>
        <w:t>the</w:t>
      </w:r>
      <w:r>
        <w:rPr>
          <w:rFonts w:asciiTheme="majorHAnsi" w:eastAsia="Calibri" w:hAnsiTheme="majorHAnsi" w:cs="Times New Roman"/>
          <w:lang w:val="en-ZA"/>
        </w:rPr>
        <w:t xml:space="preserve"> real value of their</w:t>
      </w:r>
      <w:r w:rsidRPr="003765AA">
        <w:rPr>
          <w:rFonts w:asciiTheme="majorHAnsi" w:eastAsia="Calibri" w:hAnsiTheme="majorHAnsi" w:cs="Times New Roman"/>
          <w:lang w:val="en-ZA"/>
        </w:rPr>
        <w:t xml:space="preserve"> liabilities</w:t>
      </w:r>
      <w:r w:rsidR="00B01653">
        <w:rPr>
          <w:rFonts w:asciiTheme="majorHAnsi" w:eastAsia="Calibri" w:hAnsiTheme="majorHAnsi" w:cs="Times New Roman"/>
          <w:lang w:val="en-ZA"/>
        </w:rPr>
        <w:t>.</w:t>
      </w:r>
      <w:r w:rsidR="00B01653" w:rsidRPr="00B01653">
        <w:rPr>
          <w:rFonts w:asciiTheme="majorHAnsi" w:eastAsia="Calibri" w:hAnsiTheme="majorHAnsi" w:cs="Times New Roman"/>
          <w:lang w:val="en-ZA"/>
        </w:rPr>
        <w:t xml:space="preserve"> </w:t>
      </w:r>
      <w:bookmarkEnd w:id="1"/>
      <w:r w:rsidR="00B01653">
        <w:rPr>
          <w:rFonts w:asciiTheme="majorHAnsi" w:eastAsia="Calibri" w:hAnsiTheme="majorHAnsi" w:cs="Times New Roman"/>
          <w:lang w:val="en-ZA"/>
        </w:rPr>
        <w:t>Their assets mostly consist of t</w:t>
      </w:r>
      <w:r w:rsidR="00B01653" w:rsidRPr="003765AA">
        <w:rPr>
          <w:rFonts w:asciiTheme="majorHAnsi" w:eastAsia="Calibri" w:hAnsiTheme="majorHAnsi" w:cs="Times New Roman"/>
          <w:lang w:val="en-ZA"/>
        </w:rPr>
        <w:t xml:space="preserve">he </w:t>
      </w:r>
      <w:r w:rsidR="000A2EF4">
        <w:rPr>
          <w:rFonts w:asciiTheme="majorHAnsi" w:eastAsia="Calibri" w:hAnsiTheme="majorHAnsi" w:cs="Times New Roman"/>
          <w:lang w:val="en-ZA"/>
        </w:rPr>
        <w:t xml:space="preserve">combined </w:t>
      </w:r>
      <w:r w:rsidR="00B01653" w:rsidRPr="003765AA">
        <w:rPr>
          <w:rFonts w:asciiTheme="majorHAnsi" w:eastAsia="Calibri" w:hAnsiTheme="majorHAnsi" w:cs="Times New Roman"/>
          <w:lang w:val="en-ZA"/>
        </w:rPr>
        <w:t xml:space="preserve">values of their </w:t>
      </w:r>
      <w:r w:rsidR="00B01653">
        <w:rPr>
          <w:rFonts w:asciiTheme="majorHAnsi" w:eastAsia="Calibri" w:hAnsiTheme="majorHAnsi" w:cs="Times New Roman"/>
          <w:lang w:val="en-ZA"/>
        </w:rPr>
        <w:t xml:space="preserve">savings in </w:t>
      </w:r>
      <w:r w:rsidR="00B905CB">
        <w:rPr>
          <w:rFonts w:asciiTheme="majorHAnsi" w:eastAsia="Calibri" w:hAnsiTheme="majorHAnsi" w:cs="Times New Roman"/>
          <w:lang w:val="en-ZA"/>
        </w:rPr>
        <w:t xml:space="preserve">pension and </w:t>
      </w:r>
      <w:r w:rsidR="00B01653" w:rsidRPr="003765AA">
        <w:rPr>
          <w:rFonts w:asciiTheme="majorHAnsi" w:eastAsia="Calibri" w:hAnsiTheme="majorHAnsi" w:cs="Times New Roman"/>
          <w:lang w:val="en-ZA"/>
        </w:rPr>
        <w:t xml:space="preserve">retirement </w:t>
      </w:r>
      <w:r w:rsidR="00B01653">
        <w:rPr>
          <w:rFonts w:asciiTheme="majorHAnsi" w:eastAsia="Calibri" w:hAnsiTheme="majorHAnsi" w:cs="Times New Roman"/>
          <w:lang w:val="en-ZA"/>
        </w:rPr>
        <w:t>instruments</w:t>
      </w:r>
      <w:r w:rsidR="00B01653" w:rsidRPr="003765AA">
        <w:rPr>
          <w:rFonts w:asciiTheme="majorHAnsi" w:eastAsia="Calibri" w:hAnsiTheme="majorHAnsi" w:cs="Times New Roman"/>
          <w:lang w:val="en-ZA"/>
        </w:rPr>
        <w:t xml:space="preserve">, financial investments and </w:t>
      </w:r>
      <w:r w:rsidR="00B01653">
        <w:rPr>
          <w:rFonts w:asciiTheme="majorHAnsi" w:eastAsia="Calibri" w:hAnsiTheme="majorHAnsi" w:cs="Times New Roman"/>
          <w:lang w:val="en-ZA"/>
        </w:rPr>
        <w:t xml:space="preserve">residential </w:t>
      </w:r>
      <w:r w:rsidR="003C6232">
        <w:rPr>
          <w:rFonts w:asciiTheme="majorHAnsi" w:eastAsia="Calibri" w:hAnsiTheme="majorHAnsi" w:cs="Times New Roman"/>
          <w:lang w:val="en-ZA"/>
        </w:rPr>
        <w:lastRenderedPageBreak/>
        <w:t xml:space="preserve">properties, while liabilities comprise their outstanding </w:t>
      </w:r>
      <w:r w:rsidR="006E5C55">
        <w:rPr>
          <w:rFonts w:asciiTheme="majorHAnsi" w:eastAsia="Calibri" w:hAnsiTheme="majorHAnsi" w:cs="Times New Roman"/>
          <w:lang w:val="en-ZA"/>
        </w:rPr>
        <w:t xml:space="preserve">credit </w:t>
      </w:r>
      <w:r w:rsidR="000A2EF4">
        <w:rPr>
          <w:rFonts w:asciiTheme="majorHAnsi" w:eastAsia="Calibri" w:hAnsiTheme="majorHAnsi" w:cs="Times New Roman"/>
          <w:lang w:val="en-ZA"/>
        </w:rPr>
        <w:t>(including housing, vehicle</w:t>
      </w:r>
      <w:r w:rsidR="00BD7054">
        <w:rPr>
          <w:rFonts w:asciiTheme="majorHAnsi" w:eastAsia="Calibri" w:hAnsiTheme="majorHAnsi" w:cs="Times New Roman"/>
          <w:lang w:val="en-ZA"/>
        </w:rPr>
        <w:t xml:space="preserve"> and personal loans </w:t>
      </w:r>
      <w:r w:rsidR="000A2EF4">
        <w:rPr>
          <w:rFonts w:asciiTheme="majorHAnsi" w:eastAsia="Calibri" w:hAnsiTheme="majorHAnsi" w:cs="Times New Roman"/>
          <w:lang w:val="en-ZA"/>
        </w:rPr>
        <w:t>as well as</w:t>
      </w:r>
      <w:r w:rsidR="00BD7054">
        <w:rPr>
          <w:rFonts w:asciiTheme="majorHAnsi" w:eastAsia="Calibri" w:hAnsiTheme="majorHAnsi" w:cs="Times New Roman"/>
          <w:lang w:val="en-ZA"/>
        </w:rPr>
        <w:t xml:space="preserve"> credit card debt) </w:t>
      </w:r>
      <w:r w:rsidR="006E5C55">
        <w:rPr>
          <w:rFonts w:asciiTheme="majorHAnsi" w:eastAsia="Calibri" w:hAnsiTheme="majorHAnsi" w:cs="Times New Roman"/>
          <w:lang w:val="en-ZA"/>
        </w:rPr>
        <w:t xml:space="preserve">and other </w:t>
      </w:r>
      <w:r w:rsidR="003C6232">
        <w:rPr>
          <w:rFonts w:asciiTheme="majorHAnsi" w:eastAsia="Calibri" w:hAnsiTheme="majorHAnsi" w:cs="Times New Roman"/>
          <w:lang w:val="en-ZA"/>
        </w:rPr>
        <w:t>debts</w:t>
      </w:r>
      <w:r w:rsidR="00BD7054">
        <w:rPr>
          <w:rFonts w:asciiTheme="majorHAnsi" w:eastAsia="Calibri" w:hAnsiTheme="majorHAnsi" w:cs="Times New Roman"/>
          <w:lang w:val="en-ZA"/>
        </w:rPr>
        <w:t xml:space="preserve"> (such as outstanding municipal accounts)</w:t>
      </w:r>
      <w:r w:rsidR="003C6232">
        <w:rPr>
          <w:rFonts w:asciiTheme="majorHAnsi" w:eastAsia="Calibri" w:hAnsiTheme="majorHAnsi" w:cs="Times New Roman"/>
          <w:lang w:val="en-ZA"/>
        </w:rPr>
        <w:t>.</w:t>
      </w:r>
    </w:p>
    <w:p w:rsidR="00414260" w:rsidRDefault="00CD5631" w:rsidP="00383FA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Momentum/Unisa estimates that the real net wealth of households </w:t>
      </w:r>
      <w:r w:rsidR="00BD7054">
        <w:rPr>
          <w:rFonts w:asciiTheme="majorHAnsi" w:eastAsia="Calibri" w:hAnsiTheme="majorHAnsi" w:cs="Times New Roman"/>
          <w:lang w:val="en-ZA"/>
        </w:rPr>
        <w:t>declined by R237.0 billion between Q2 2019 and Q3 2019 to R6 966.7 billion in Q3 2019. Compared to a year ago (Q3 2018) the decline was R133.7 billion.</w:t>
      </w:r>
      <w:r w:rsidR="006368A8">
        <w:rPr>
          <w:rFonts w:asciiTheme="majorHAnsi" w:eastAsia="Calibri" w:hAnsiTheme="majorHAnsi" w:cs="Times New Roman"/>
          <w:lang w:val="en-ZA"/>
        </w:rPr>
        <w:t xml:space="preserve"> </w:t>
      </w:r>
      <w:r w:rsidR="00BD7054">
        <w:rPr>
          <w:rFonts w:asciiTheme="majorHAnsi" w:eastAsia="Calibri" w:hAnsiTheme="majorHAnsi" w:cs="Times New Roman"/>
          <w:lang w:val="en-ZA"/>
        </w:rPr>
        <w:t xml:space="preserve">The decline can be ascribed to </w:t>
      </w:r>
      <w:r w:rsidR="00B905CB">
        <w:rPr>
          <w:rFonts w:asciiTheme="majorHAnsi" w:eastAsia="Calibri" w:hAnsiTheme="majorHAnsi" w:cs="Times New Roman"/>
          <w:lang w:val="en-ZA"/>
        </w:rPr>
        <w:t xml:space="preserve">a </w:t>
      </w:r>
      <w:r w:rsidR="00BD7054">
        <w:rPr>
          <w:rFonts w:asciiTheme="majorHAnsi" w:eastAsia="Calibri" w:hAnsiTheme="majorHAnsi" w:cs="Times New Roman"/>
          <w:lang w:val="en-ZA"/>
        </w:rPr>
        <w:t xml:space="preserve">decline in the real value of household assets </w:t>
      </w:r>
      <w:r w:rsidR="00B905CB">
        <w:rPr>
          <w:rFonts w:asciiTheme="majorHAnsi" w:eastAsia="Calibri" w:hAnsiTheme="majorHAnsi" w:cs="Times New Roman"/>
          <w:lang w:val="en-ZA"/>
        </w:rPr>
        <w:t xml:space="preserve">which </w:t>
      </w:r>
      <w:r w:rsidR="00BD7054">
        <w:rPr>
          <w:rFonts w:asciiTheme="majorHAnsi" w:eastAsia="Calibri" w:hAnsiTheme="majorHAnsi" w:cs="Times New Roman"/>
          <w:lang w:val="en-ZA"/>
        </w:rPr>
        <w:t>exceed</w:t>
      </w:r>
      <w:r w:rsidR="00B905CB">
        <w:rPr>
          <w:rFonts w:asciiTheme="majorHAnsi" w:eastAsia="Calibri" w:hAnsiTheme="majorHAnsi" w:cs="Times New Roman"/>
          <w:lang w:val="en-ZA"/>
        </w:rPr>
        <w:t>ed</w:t>
      </w:r>
      <w:r w:rsidR="00BD7054">
        <w:rPr>
          <w:rFonts w:asciiTheme="majorHAnsi" w:eastAsia="Calibri" w:hAnsiTheme="majorHAnsi" w:cs="Times New Roman"/>
          <w:lang w:val="en-ZA"/>
        </w:rPr>
        <w:t xml:space="preserve"> the decline in the real value of their outstanding liabilities.</w:t>
      </w:r>
      <w:r w:rsidR="00383FAC">
        <w:rPr>
          <w:rFonts w:asciiTheme="majorHAnsi" w:eastAsia="Calibri" w:hAnsiTheme="majorHAnsi" w:cs="Times New Roman"/>
          <w:lang w:val="en-ZA"/>
        </w:rPr>
        <w:t xml:space="preserve"> </w:t>
      </w:r>
    </w:p>
    <w:p w:rsidR="001F1000" w:rsidRDefault="00383FAC" w:rsidP="00383FA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When expressed as a percentage of gross household income, </w:t>
      </w:r>
      <w:r w:rsidR="00BD7054">
        <w:rPr>
          <w:rFonts w:asciiTheme="majorHAnsi" w:eastAsia="Calibri" w:hAnsiTheme="majorHAnsi" w:cs="Times New Roman"/>
          <w:lang w:val="en-ZA"/>
        </w:rPr>
        <w:t xml:space="preserve">the ratio of </w:t>
      </w:r>
      <w:r>
        <w:rPr>
          <w:rFonts w:asciiTheme="majorHAnsi" w:eastAsia="Calibri" w:hAnsiTheme="majorHAnsi" w:cs="Times New Roman"/>
          <w:lang w:val="en-ZA"/>
        </w:rPr>
        <w:t xml:space="preserve">household net wealth </w:t>
      </w:r>
      <w:r w:rsidR="00BD7054">
        <w:rPr>
          <w:rFonts w:asciiTheme="majorHAnsi" w:eastAsia="Calibri" w:hAnsiTheme="majorHAnsi" w:cs="Times New Roman"/>
          <w:lang w:val="en-ZA"/>
        </w:rPr>
        <w:t xml:space="preserve">declined from 276.0% in Q2 2019 to 266.7% in Q3 2019. </w:t>
      </w:r>
    </w:p>
    <w:p w:rsidR="009B075F" w:rsidRDefault="009B075F" w:rsidP="00990A95">
      <w:pPr>
        <w:spacing w:after="20" w:line="276" w:lineRule="auto"/>
        <w:rPr>
          <w:rFonts w:asciiTheme="majorHAnsi" w:eastAsia="Calibri" w:hAnsiTheme="majorHAnsi" w:cs="Times New Roman"/>
          <w:b/>
          <w:color w:val="E11B22"/>
          <w:lang w:val="en-ZA"/>
        </w:rPr>
      </w:pPr>
    </w:p>
    <w:p w:rsidR="00BD5121" w:rsidRPr="00990A95" w:rsidRDefault="00BD5121" w:rsidP="00990A95">
      <w:pPr>
        <w:spacing w:after="20" w:line="276" w:lineRule="auto"/>
        <w:rPr>
          <w:rFonts w:asciiTheme="majorHAnsi" w:eastAsia="Calibri" w:hAnsiTheme="majorHAnsi" w:cs="Times New Roman"/>
          <w:b/>
          <w:color w:val="E11B22"/>
          <w:lang w:val="en-ZA"/>
        </w:rPr>
      </w:pPr>
      <w:r w:rsidRPr="00990A95">
        <w:rPr>
          <w:rFonts w:asciiTheme="majorHAnsi" w:eastAsia="Calibri" w:hAnsiTheme="majorHAnsi" w:cs="Times New Roman"/>
          <w:b/>
          <w:color w:val="E11B22"/>
          <w:lang w:val="en-ZA"/>
        </w:rPr>
        <w:t>Household Assets</w:t>
      </w:r>
    </w:p>
    <w:p w:rsidR="00414260" w:rsidRDefault="00414260" w:rsidP="00414260">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The real value of household assets </w:t>
      </w:r>
      <w:r w:rsidR="00784C70">
        <w:rPr>
          <w:rFonts w:asciiTheme="majorHAnsi" w:eastAsia="Calibri" w:hAnsiTheme="majorHAnsi" w:cs="Times New Roman"/>
          <w:lang w:val="en-ZA"/>
        </w:rPr>
        <w:t>dec</w:t>
      </w:r>
      <w:r w:rsidR="004912D6">
        <w:rPr>
          <w:rFonts w:asciiTheme="majorHAnsi" w:eastAsia="Calibri" w:hAnsiTheme="majorHAnsi" w:cs="Times New Roman"/>
          <w:lang w:val="en-ZA"/>
        </w:rPr>
        <w:t>reased</w:t>
      </w:r>
      <w:r w:rsidR="00784C70">
        <w:rPr>
          <w:rFonts w:asciiTheme="majorHAnsi" w:eastAsia="Calibri" w:hAnsiTheme="majorHAnsi" w:cs="Times New Roman"/>
          <w:lang w:val="en-ZA"/>
        </w:rPr>
        <w:t xml:space="preserve"> by R240.9 billion between Q2 2019 and Q3 2019</w:t>
      </w:r>
      <w:r w:rsidR="004912D6">
        <w:rPr>
          <w:rFonts w:asciiTheme="majorHAnsi" w:eastAsia="Calibri" w:hAnsiTheme="majorHAnsi" w:cs="Times New Roman"/>
          <w:lang w:val="en-ZA"/>
        </w:rPr>
        <w:t xml:space="preserve"> to R8 381.9 billion</w:t>
      </w:r>
      <w:r w:rsidR="00784C70">
        <w:rPr>
          <w:rFonts w:asciiTheme="majorHAnsi" w:eastAsia="Calibri" w:hAnsiTheme="majorHAnsi" w:cs="Times New Roman"/>
          <w:lang w:val="en-ZA"/>
        </w:rPr>
        <w:t xml:space="preserve">, </w:t>
      </w:r>
      <w:r w:rsidR="00B80485">
        <w:rPr>
          <w:rFonts w:asciiTheme="majorHAnsi" w:eastAsia="Calibri" w:hAnsiTheme="majorHAnsi" w:cs="Times New Roman"/>
          <w:lang w:val="en-ZA"/>
        </w:rPr>
        <w:t xml:space="preserve">despite households increasing their savings to pension funds and retirement annuities. </w:t>
      </w:r>
      <w:r w:rsidR="00EE08C5">
        <w:rPr>
          <w:rFonts w:asciiTheme="majorHAnsi" w:eastAsia="Calibri" w:hAnsiTheme="majorHAnsi" w:cs="Times New Roman"/>
          <w:lang w:val="en-ZA"/>
        </w:rPr>
        <w:t xml:space="preserve"> </w:t>
      </w:r>
      <w:r>
        <w:rPr>
          <w:rFonts w:asciiTheme="majorHAnsi" w:eastAsia="Calibri" w:hAnsiTheme="majorHAnsi" w:cs="Times New Roman"/>
          <w:lang w:val="en-ZA"/>
        </w:rPr>
        <w:t xml:space="preserve"> </w:t>
      </w:r>
    </w:p>
    <w:p w:rsidR="00B7679F" w:rsidRDefault="004912D6"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lastRenderedPageBreak/>
        <w:t>The decrease was caused by declines in the real</w:t>
      </w:r>
      <w:r w:rsidR="001D4350">
        <w:rPr>
          <w:rFonts w:asciiTheme="majorHAnsi" w:eastAsia="Calibri" w:hAnsiTheme="majorHAnsi" w:cs="Times New Roman"/>
          <w:lang w:val="en-ZA"/>
        </w:rPr>
        <w:t xml:space="preserve"> </w:t>
      </w:r>
      <w:r>
        <w:rPr>
          <w:rFonts w:asciiTheme="majorHAnsi" w:eastAsia="Calibri" w:hAnsiTheme="majorHAnsi" w:cs="Times New Roman"/>
          <w:lang w:val="en-ZA"/>
        </w:rPr>
        <w:t xml:space="preserve">values of both financial and residential assets. Several international events </w:t>
      </w:r>
      <w:r w:rsidR="009B075F">
        <w:rPr>
          <w:rFonts w:asciiTheme="majorHAnsi" w:eastAsia="Calibri" w:hAnsiTheme="majorHAnsi" w:cs="Times New Roman"/>
          <w:lang w:val="en-ZA"/>
        </w:rPr>
        <w:t>drove</w:t>
      </w:r>
      <w:r>
        <w:rPr>
          <w:rFonts w:asciiTheme="majorHAnsi" w:eastAsia="Calibri" w:hAnsiTheme="majorHAnsi" w:cs="Times New Roman"/>
          <w:lang w:val="en-ZA"/>
        </w:rPr>
        <w:t xml:space="preserve"> the decline in the real value of financial assets. </w:t>
      </w:r>
    </w:p>
    <w:p w:rsidR="00B7679F" w:rsidRDefault="004912D6"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The</w:t>
      </w:r>
      <w:r w:rsidR="009A78DB">
        <w:rPr>
          <w:rFonts w:asciiTheme="majorHAnsi" w:eastAsia="Calibri" w:hAnsiTheme="majorHAnsi" w:cs="Times New Roman"/>
          <w:lang w:val="en-ZA"/>
        </w:rPr>
        <w:t>se events include the</w:t>
      </w:r>
      <w:r>
        <w:rPr>
          <w:rFonts w:asciiTheme="majorHAnsi" w:eastAsia="Calibri" w:hAnsiTheme="majorHAnsi" w:cs="Times New Roman"/>
          <w:lang w:val="en-ZA"/>
        </w:rPr>
        <w:t xml:space="preserve"> trade war between the USA and China, fears of an economic recession in the USA following the inversion of the </w:t>
      </w:r>
      <w:r w:rsidR="00B7679F">
        <w:rPr>
          <w:rFonts w:asciiTheme="majorHAnsi" w:eastAsia="Calibri" w:hAnsiTheme="majorHAnsi" w:cs="Times New Roman"/>
          <w:lang w:val="en-ZA"/>
        </w:rPr>
        <w:t>yield curve (which stoked</w:t>
      </w:r>
      <w:r>
        <w:rPr>
          <w:rFonts w:asciiTheme="majorHAnsi" w:eastAsia="Calibri" w:hAnsiTheme="majorHAnsi" w:cs="Times New Roman"/>
          <w:lang w:val="en-ZA"/>
        </w:rPr>
        <w:t xml:space="preserve"> fears of an international economic recession) and drone attacks on Saudi-Arabian oil production facilities</w:t>
      </w:r>
      <w:r w:rsidR="009B075F">
        <w:rPr>
          <w:rFonts w:asciiTheme="majorHAnsi" w:eastAsia="Calibri" w:hAnsiTheme="majorHAnsi" w:cs="Times New Roman"/>
          <w:lang w:val="en-ZA"/>
        </w:rPr>
        <w:t xml:space="preserve"> – which all</w:t>
      </w:r>
      <w:r>
        <w:rPr>
          <w:rFonts w:asciiTheme="majorHAnsi" w:eastAsia="Calibri" w:hAnsiTheme="majorHAnsi" w:cs="Times New Roman"/>
          <w:lang w:val="en-ZA"/>
        </w:rPr>
        <w:t xml:space="preserve"> contributed to sharp declines in international share prices. The JSE All Share Index lost 6.8% in real terms over the quarter and the real All Bond Index 0.3%</w:t>
      </w:r>
      <w:r w:rsidR="00A458D0">
        <w:rPr>
          <w:rFonts w:asciiTheme="majorHAnsi" w:eastAsia="Calibri" w:hAnsiTheme="majorHAnsi" w:cs="Times New Roman"/>
          <w:lang w:val="en-ZA"/>
        </w:rPr>
        <w:t xml:space="preserve">, but the real value of household deposits managed an increase of 1.7%. </w:t>
      </w:r>
    </w:p>
    <w:p w:rsidR="00A458D0" w:rsidRDefault="00A458D0"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However, as the bulk of households’ pension funds, retirement annuities and other investments are invested in shares and bonds, it contributed to a decline in the real value of their financial assets.</w:t>
      </w:r>
      <w:r w:rsidR="00B80485">
        <w:rPr>
          <w:rFonts w:asciiTheme="majorHAnsi" w:eastAsia="Calibri" w:hAnsiTheme="majorHAnsi" w:cs="Times New Roman"/>
          <w:lang w:val="en-ZA"/>
        </w:rPr>
        <w:t xml:space="preserve"> The decline in the real value of pension funds and retirement annuities overshadowed </w:t>
      </w:r>
      <w:r w:rsidR="00B712D6">
        <w:rPr>
          <w:rFonts w:asciiTheme="majorHAnsi" w:eastAsia="Calibri" w:hAnsiTheme="majorHAnsi" w:cs="Times New Roman"/>
          <w:lang w:val="en-ZA"/>
        </w:rPr>
        <w:t xml:space="preserve">the increase in </w:t>
      </w:r>
      <w:r w:rsidR="00B7679F">
        <w:rPr>
          <w:rFonts w:asciiTheme="majorHAnsi" w:eastAsia="Calibri" w:hAnsiTheme="majorHAnsi" w:cs="Times New Roman"/>
          <w:lang w:val="en-ZA"/>
        </w:rPr>
        <w:t>household</w:t>
      </w:r>
      <w:r w:rsidR="00B80485">
        <w:rPr>
          <w:rFonts w:asciiTheme="majorHAnsi" w:eastAsia="Calibri" w:hAnsiTheme="majorHAnsi" w:cs="Times New Roman"/>
          <w:lang w:val="en-ZA"/>
        </w:rPr>
        <w:t xml:space="preserve"> contributions to these instruments. Contributions to pension and group life schemes, retirement annuities</w:t>
      </w:r>
      <w:r w:rsidR="00B712D6">
        <w:rPr>
          <w:rFonts w:asciiTheme="majorHAnsi" w:eastAsia="Calibri" w:hAnsiTheme="majorHAnsi" w:cs="Times New Roman"/>
          <w:lang w:val="en-ZA"/>
        </w:rPr>
        <w:t xml:space="preserve"> and</w:t>
      </w:r>
      <w:r w:rsidR="00B80485">
        <w:rPr>
          <w:rFonts w:asciiTheme="majorHAnsi" w:eastAsia="Calibri" w:hAnsiTheme="majorHAnsi" w:cs="Times New Roman"/>
          <w:lang w:val="en-ZA"/>
        </w:rPr>
        <w:t xml:space="preserve"> official and private administered pension funds increased by 5.7% in Q3 2019 compared to Q2 2019 (in real terms).   </w:t>
      </w:r>
    </w:p>
    <w:p w:rsidR="00B7679F" w:rsidRDefault="0023487C"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lastRenderedPageBreak/>
        <w:t xml:space="preserve">The real value of residential assets also declined </w:t>
      </w:r>
      <w:r w:rsidR="00B7679F">
        <w:rPr>
          <w:rFonts w:asciiTheme="majorHAnsi" w:eastAsia="Calibri" w:hAnsiTheme="majorHAnsi" w:cs="Times New Roman"/>
          <w:lang w:val="en-ZA"/>
        </w:rPr>
        <w:t>–</w:t>
      </w:r>
      <w:r>
        <w:rPr>
          <w:rFonts w:asciiTheme="majorHAnsi" w:eastAsia="Calibri" w:hAnsiTheme="majorHAnsi" w:cs="Times New Roman"/>
          <w:lang w:val="en-ZA"/>
        </w:rPr>
        <w:t xml:space="preserve"> as real house prices (according to the FNB House Price Index) remained unchanged between Q2 2019 and Q3 2019, while new investments in residential property declined at an annual rate of 4.6%. Coupled with depreciation</w:t>
      </w:r>
      <w:r w:rsidR="009B075F">
        <w:rPr>
          <w:rFonts w:asciiTheme="majorHAnsi" w:eastAsia="Calibri" w:hAnsiTheme="majorHAnsi" w:cs="Times New Roman"/>
          <w:lang w:val="en-ZA"/>
        </w:rPr>
        <w:t>,</w:t>
      </w:r>
      <w:r>
        <w:rPr>
          <w:rFonts w:asciiTheme="majorHAnsi" w:eastAsia="Calibri" w:hAnsiTheme="majorHAnsi" w:cs="Times New Roman"/>
          <w:lang w:val="en-ZA"/>
        </w:rPr>
        <w:t xml:space="preserve"> this contributed to a decline in the real value o</w:t>
      </w:r>
      <w:r w:rsidR="00B7679F">
        <w:rPr>
          <w:rFonts w:asciiTheme="majorHAnsi" w:eastAsia="Calibri" w:hAnsiTheme="majorHAnsi" w:cs="Times New Roman"/>
          <w:lang w:val="en-ZA"/>
        </w:rPr>
        <w:t>f the total stock of household</w:t>
      </w:r>
      <w:r>
        <w:rPr>
          <w:rFonts w:asciiTheme="majorHAnsi" w:eastAsia="Calibri" w:hAnsiTheme="majorHAnsi" w:cs="Times New Roman"/>
          <w:lang w:val="en-ZA"/>
        </w:rPr>
        <w:t xml:space="preserve"> property values. </w:t>
      </w:r>
    </w:p>
    <w:p w:rsidR="009B075F" w:rsidRDefault="00A77334"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D</w:t>
      </w:r>
      <w:r w:rsidR="0023487C">
        <w:rPr>
          <w:rFonts w:asciiTheme="majorHAnsi" w:eastAsia="Calibri" w:hAnsiTheme="majorHAnsi" w:cs="Times New Roman"/>
          <w:lang w:val="en-ZA"/>
        </w:rPr>
        <w:t xml:space="preserve">omestic factors </w:t>
      </w:r>
      <w:r w:rsidR="00D46865">
        <w:rPr>
          <w:rFonts w:asciiTheme="majorHAnsi" w:eastAsia="Calibri" w:hAnsiTheme="majorHAnsi" w:cs="Times New Roman"/>
          <w:lang w:val="en-ZA"/>
        </w:rPr>
        <w:t xml:space="preserve">were the main cause </w:t>
      </w:r>
      <w:r>
        <w:rPr>
          <w:rFonts w:asciiTheme="majorHAnsi" w:eastAsia="Calibri" w:hAnsiTheme="majorHAnsi" w:cs="Times New Roman"/>
          <w:lang w:val="en-ZA"/>
        </w:rPr>
        <w:t>of</w:t>
      </w:r>
      <w:r w:rsidR="00D46865">
        <w:rPr>
          <w:rFonts w:asciiTheme="majorHAnsi" w:eastAsia="Calibri" w:hAnsiTheme="majorHAnsi" w:cs="Times New Roman"/>
          <w:lang w:val="en-ZA"/>
        </w:rPr>
        <w:t xml:space="preserve"> the decrease in the real value of household property values. This include</w:t>
      </w:r>
      <w:r w:rsidR="009B075F">
        <w:rPr>
          <w:rFonts w:asciiTheme="majorHAnsi" w:eastAsia="Calibri" w:hAnsiTheme="majorHAnsi" w:cs="Times New Roman"/>
          <w:lang w:val="en-ZA"/>
        </w:rPr>
        <w:t>d</w:t>
      </w:r>
      <w:r w:rsidR="00D46865">
        <w:rPr>
          <w:rFonts w:asciiTheme="majorHAnsi" w:eastAsia="Calibri" w:hAnsiTheme="majorHAnsi" w:cs="Times New Roman"/>
          <w:lang w:val="en-ZA"/>
        </w:rPr>
        <w:t xml:space="preserve"> Eskom’s inability to generate enough electricity </w:t>
      </w:r>
      <w:r w:rsidR="00B7679F">
        <w:rPr>
          <w:rFonts w:asciiTheme="majorHAnsi" w:eastAsia="Calibri" w:hAnsiTheme="majorHAnsi" w:cs="Times New Roman"/>
          <w:lang w:val="en-ZA"/>
        </w:rPr>
        <w:t>resulting in</w:t>
      </w:r>
      <w:r w:rsidR="00D46865">
        <w:rPr>
          <w:rFonts w:asciiTheme="majorHAnsi" w:eastAsia="Calibri" w:hAnsiTheme="majorHAnsi" w:cs="Times New Roman"/>
          <w:lang w:val="en-ZA"/>
        </w:rPr>
        <w:t xml:space="preserve"> the economy shrinking by 3.1% in Q3 2019 compared to Q2 2019. </w:t>
      </w:r>
    </w:p>
    <w:p w:rsidR="001F1000" w:rsidRDefault="00D46865"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On a meso level, the </w:t>
      </w:r>
      <w:r w:rsidR="008A2A5D">
        <w:rPr>
          <w:rFonts w:asciiTheme="majorHAnsi" w:eastAsia="Calibri" w:hAnsiTheme="majorHAnsi" w:cs="Times New Roman"/>
          <w:lang w:val="en-ZA"/>
        </w:rPr>
        <w:t xml:space="preserve">real </w:t>
      </w:r>
      <w:r>
        <w:rPr>
          <w:rFonts w:asciiTheme="majorHAnsi" w:eastAsia="Calibri" w:hAnsiTheme="majorHAnsi" w:cs="Times New Roman"/>
          <w:lang w:val="en-ZA"/>
        </w:rPr>
        <w:t xml:space="preserve">gross income per worker of formal sector workers declined by 0.1% compared to a year ago, which negatively affected the </w:t>
      </w:r>
      <w:r w:rsidR="007A1CD0">
        <w:rPr>
          <w:rFonts w:asciiTheme="majorHAnsi" w:eastAsia="Calibri" w:hAnsiTheme="majorHAnsi" w:cs="Times New Roman"/>
          <w:lang w:val="en-ZA"/>
        </w:rPr>
        <w:t xml:space="preserve">purchasing power </w:t>
      </w:r>
      <w:r w:rsidR="00B7679F">
        <w:rPr>
          <w:rFonts w:asciiTheme="majorHAnsi" w:eastAsia="Calibri" w:hAnsiTheme="majorHAnsi" w:cs="Times New Roman"/>
          <w:lang w:val="en-ZA"/>
        </w:rPr>
        <w:t>of worker</w:t>
      </w:r>
      <w:r w:rsidR="008A2A5D">
        <w:rPr>
          <w:rFonts w:asciiTheme="majorHAnsi" w:eastAsia="Calibri" w:hAnsiTheme="majorHAnsi" w:cs="Times New Roman"/>
          <w:lang w:val="en-ZA"/>
        </w:rPr>
        <w:t xml:space="preserve"> income</w:t>
      </w:r>
      <w:r w:rsidR="00264E7C">
        <w:rPr>
          <w:rFonts w:asciiTheme="majorHAnsi" w:eastAsia="Calibri" w:hAnsiTheme="majorHAnsi" w:cs="Times New Roman"/>
          <w:lang w:val="en-ZA"/>
        </w:rPr>
        <w:t xml:space="preserve"> and </w:t>
      </w:r>
      <w:r w:rsidR="008A2A5D">
        <w:rPr>
          <w:rFonts w:asciiTheme="majorHAnsi" w:eastAsia="Calibri" w:hAnsiTheme="majorHAnsi" w:cs="Times New Roman"/>
          <w:lang w:val="en-ZA"/>
        </w:rPr>
        <w:t xml:space="preserve">as such </w:t>
      </w:r>
      <w:r w:rsidR="00264E7C">
        <w:rPr>
          <w:rFonts w:asciiTheme="majorHAnsi" w:eastAsia="Calibri" w:hAnsiTheme="majorHAnsi" w:cs="Times New Roman"/>
          <w:lang w:val="en-ZA"/>
        </w:rPr>
        <w:t xml:space="preserve">the </w:t>
      </w:r>
      <w:r>
        <w:rPr>
          <w:rFonts w:asciiTheme="majorHAnsi" w:eastAsia="Calibri" w:hAnsiTheme="majorHAnsi" w:cs="Times New Roman"/>
          <w:lang w:val="en-ZA"/>
        </w:rPr>
        <w:t xml:space="preserve">affordability of houses.   </w:t>
      </w:r>
    </w:p>
    <w:p w:rsidR="00BD5121" w:rsidRPr="00990A95" w:rsidRDefault="00BD5121" w:rsidP="00990A95">
      <w:pPr>
        <w:spacing w:after="20" w:line="276" w:lineRule="auto"/>
        <w:rPr>
          <w:rFonts w:asciiTheme="majorHAnsi" w:eastAsia="Calibri" w:hAnsiTheme="majorHAnsi" w:cs="Times New Roman"/>
          <w:color w:val="E11B22"/>
          <w:lang w:val="en-ZA"/>
        </w:rPr>
      </w:pPr>
      <w:r w:rsidRPr="00990A95">
        <w:rPr>
          <w:rFonts w:asciiTheme="majorHAnsi" w:eastAsia="Calibri" w:hAnsiTheme="majorHAnsi" w:cs="Times New Roman"/>
          <w:b/>
          <w:color w:val="E11B22"/>
          <w:lang w:val="en-ZA"/>
        </w:rPr>
        <w:t>Household Liabilities</w:t>
      </w:r>
    </w:p>
    <w:p w:rsidR="00962B98" w:rsidRDefault="00972F10" w:rsidP="00962B98">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The real value of h</w:t>
      </w:r>
      <w:r w:rsidR="000B5AFF">
        <w:rPr>
          <w:rFonts w:asciiTheme="majorHAnsi" w:eastAsia="Calibri" w:hAnsiTheme="majorHAnsi" w:cs="Times New Roman"/>
          <w:lang w:val="en-ZA"/>
        </w:rPr>
        <w:t xml:space="preserve">ouseholds’ outstanding liabilities </w:t>
      </w:r>
      <w:r w:rsidR="008145C3">
        <w:rPr>
          <w:rFonts w:asciiTheme="majorHAnsi" w:eastAsia="Calibri" w:hAnsiTheme="majorHAnsi" w:cs="Times New Roman"/>
          <w:lang w:val="en-ZA"/>
        </w:rPr>
        <w:t>decreased by R3.9 billion to R1 415.2 billion in Q3</w:t>
      </w:r>
      <w:r w:rsidR="00D06A5F">
        <w:rPr>
          <w:rFonts w:asciiTheme="majorHAnsi" w:eastAsia="Calibri" w:hAnsiTheme="majorHAnsi" w:cs="Times New Roman"/>
          <w:lang w:val="en-ZA"/>
        </w:rPr>
        <w:t> </w:t>
      </w:r>
      <w:r w:rsidR="008145C3">
        <w:rPr>
          <w:rFonts w:asciiTheme="majorHAnsi" w:eastAsia="Calibri" w:hAnsiTheme="majorHAnsi" w:cs="Times New Roman"/>
          <w:lang w:val="en-ZA"/>
        </w:rPr>
        <w:t>2019 (from Q2</w:t>
      </w:r>
      <w:r w:rsidR="000D5383">
        <w:rPr>
          <w:rFonts w:asciiTheme="majorHAnsi" w:eastAsia="Calibri" w:hAnsiTheme="majorHAnsi" w:cs="Times New Roman"/>
          <w:lang w:val="en-ZA"/>
        </w:rPr>
        <w:t xml:space="preserve"> 2019). </w:t>
      </w:r>
      <w:r w:rsidR="008145C3">
        <w:rPr>
          <w:rFonts w:asciiTheme="majorHAnsi" w:eastAsia="Calibri" w:hAnsiTheme="majorHAnsi" w:cs="Times New Roman"/>
          <w:lang w:val="en-ZA"/>
        </w:rPr>
        <w:t xml:space="preserve">However, it was R20.6 billion higher than </w:t>
      </w:r>
      <w:r w:rsidR="00B7679F">
        <w:rPr>
          <w:rFonts w:asciiTheme="majorHAnsi" w:eastAsia="Calibri" w:hAnsiTheme="majorHAnsi" w:cs="Times New Roman"/>
          <w:lang w:val="en-ZA"/>
        </w:rPr>
        <w:t>the</w:t>
      </w:r>
      <w:r w:rsidR="008145C3">
        <w:rPr>
          <w:rFonts w:asciiTheme="majorHAnsi" w:eastAsia="Calibri" w:hAnsiTheme="majorHAnsi" w:cs="Times New Roman"/>
          <w:lang w:val="en-ZA"/>
        </w:rPr>
        <w:t xml:space="preserve"> year before.</w:t>
      </w:r>
      <w:r w:rsidR="000D5383">
        <w:rPr>
          <w:rFonts w:asciiTheme="majorHAnsi" w:eastAsia="Calibri" w:hAnsiTheme="majorHAnsi" w:cs="Times New Roman"/>
          <w:lang w:val="en-ZA"/>
        </w:rPr>
        <w:t xml:space="preserve"> </w:t>
      </w:r>
    </w:p>
    <w:p w:rsidR="00B7679F" w:rsidRDefault="008145C3" w:rsidP="00962B98">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Households normally revert to personal loans as </w:t>
      </w:r>
      <w:r w:rsidR="001E5E57">
        <w:rPr>
          <w:rFonts w:asciiTheme="majorHAnsi" w:eastAsia="Calibri" w:hAnsiTheme="majorHAnsi" w:cs="Times New Roman"/>
          <w:lang w:val="en-ZA"/>
        </w:rPr>
        <w:t xml:space="preserve">the main </w:t>
      </w:r>
      <w:r>
        <w:rPr>
          <w:rFonts w:asciiTheme="majorHAnsi" w:eastAsia="Calibri" w:hAnsiTheme="majorHAnsi" w:cs="Times New Roman"/>
          <w:lang w:val="en-ZA"/>
        </w:rPr>
        <w:t>source of unsecured credit during the third quarter of a year</w:t>
      </w:r>
      <w:r w:rsidR="001E5E57">
        <w:rPr>
          <w:rFonts w:asciiTheme="majorHAnsi" w:eastAsia="Calibri" w:hAnsiTheme="majorHAnsi" w:cs="Times New Roman"/>
          <w:lang w:val="en-ZA"/>
        </w:rPr>
        <w:t xml:space="preserve"> and the pattern continued in 2019. Outstanding personal loans increased by 1.6% (unannualised) in real terms from Q2 2019 to Q3 2019. This is up from 0.9% in Q2 2019. </w:t>
      </w:r>
    </w:p>
    <w:p w:rsidR="000D5383" w:rsidRDefault="001E5E57" w:rsidP="00962B98">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lastRenderedPageBreak/>
        <w:t xml:space="preserve">However, the pace at which households incurred credit card debt </w:t>
      </w:r>
      <w:r w:rsidR="00A728AF">
        <w:rPr>
          <w:rFonts w:asciiTheme="majorHAnsi" w:eastAsia="Calibri" w:hAnsiTheme="majorHAnsi" w:cs="Times New Roman"/>
          <w:lang w:val="en-ZA"/>
        </w:rPr>
        <w:t>halved to 1.2% in Q3 2019 from 2.4% in Q2 2019. At the same time outstanding overdrafts declined by 1.6% in Q3 2019 following a decline of 4.7% in Q2 2019. Real outstanding mortgages increased at a slower pace of 0.3% in Q3 2019 (0.6% in Q2 2019), while outstanding instalment sales credit decreased by 0.3% (following a decline of 0.2% in Q2 2019).</w:t>
      </w:r>
    </w:p>
    <w:p w:rsidR="00F509EB" w:rsidRDefault="00F509EB" w:rsidP="006D75FC">
      <w:pPr>
        <w:spacing w:after="200" w:line="276" w:lineRule="auto"/>
        <w:rPr>
          <w:rFonts w:asciiTheme="majorHAnsi" w:eastAsia="Calibri" w:hAnsiTheme="majorHAnsi" w:cs="Times New Roman"/>
          <w:lang w:val="en-ZA"/>
        </w:rPr>
      </w:pPr>
    </w:p>
    <w:p w:rsidR="00F509EB" w:rsidRDefault="00F509EB" w:rsidP="006D75FC">
      <w:pPr>
        <w:spacing w:after="200" w:line="276" w:lineRule="auto"/>
        <w:rPr>
          <w:rFonts w:asciiTheme="majorHAnsi" w:eastAsia="Calibri" w:hAnsiTheme="majorHAnsi" w:cs="Times New Roman"/>
          <w:lang w:val="en-ZA"/>
        </w:rPr>
      </w:pPr>
    </w:p>
    <w:p w:rsidR="002B2D82" w:rsidRDefault="002B2D82"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Outstanding municipal debt owed by households decreased </w:t>
      </w:r>
      <w:r w:rsidR="008145C3">
        <w:rPr>
          <w:rFonts w:asciiTheme="majorHAnsi" w:eastAsia="Calibri" w:hAnsiTheme="majorHAnsi" w:cs="Times New Roman"/>
          <w:lang w:val="en-ZA"/>
        </w:rPr>
        <w:t>further in real terms between Q</w:t>
      </w:r>
      <w:r w:rsidR="003636E7">
        <w:rPr>
          <w:rFonts w:asciiTheme="majorHAnsi" w:eastAsia="Calibri" w:hAnsiTheme="majorHAnsi" w:cs="Times New Roman"/>
          <w:lang w:val="en-ZA"/>
        </w:rPr>
        <w:t>2</w:t>
      </w:r>
      <w:r w:rsidR="008145C3">
        <w:rPr>
          <w:rFonts w:asciiTheme="majorHAnsi" w:eastAsia="Calibri" w:hAnsiTheme="majorHAnsi" w:cs="Times New Roman"/>
          <w:lang w:val="en-ZA"/>
        </w:rPr>
        <w:t xml:space="preserve"> 2019 and Q</w:t>
      </w:r>
      <w:r w:rsidR="003636E7">
        <w:rPr>
          <w:rFonts w:asciiTheme="majorHAnsi" w:eastAsia="Calibri" w:hAnsiTheme="majorHAnsi" w:cs="Times New Roman"/>
          <w:lang w:val="en-ZA"/>
        </w:rPr>
        <w:t>3</w:t>
      </w:r>
      <w:r w:rsidR="008145C3">
        <w:rPr>
          <w:rFonts w:asciiTheme="majorHAnsi" w:eastAsia="Calibri" w:hAnsiTheme="majorHAnsi" w:cs="Times New Roman"/>
          <w:lang w:val="en-ZA"/>
        </w:rPr>
        <w:t xml:space="preserve"> 2019. According to the National Treasury</w:t>
      </w:r>
      <w:r w:rsidR="0052631E">
        <w:rPr>
          <w:rFonts w:asciiTheme="majorHAnsi" w:eastAsia="Calibri" w:hAnsiTheme="majorHAnsi" w:cs="Times New Roman"/>
          <w:lang w:val="en-ZA"/>
        </w:rPr>
        <w:t>,</w:t>
      </w:r>
      <w:r w:rsidR="008145C3">
        <w:rPr>
          <w:rFonts w:asciiTheme="majorHAnsi" w:eastAsia="Calibri" w:hAnsiTheme="majorHAnsi" w:cs="Times New Roman"/>
          <w:lang w:val="en-ZA"/>
        </w:rPr>
        <w:t xml:space="preserve"> households’ outstanding municipal debt amounted to R111.3 billion in Q3 2019 (equivalent to R70.7 billion in real terms). This is less than the R115 billion (R73.8 billion in real terms) that was outstanding in Q2 2019. </w:t>
      </w:r>
      <w:r>
        <w:rPr>
          <w:rFonts w:asciiTheme="majorHAnsi" w:eastAsia="Calibri" w:hAnsiTheme="majorHAnsi" w:cs="Times New Roman"/>
          <w:lang w:val="en-ZA"/>
        </w:rPr>
        <w:t xml:space="preserve">This </w:t>
      </w:r>
      <w:r w:rsidR="008145C3">
        <w:rPr>
          <w:rFonts w:asciiTheme="majorHAnsi" w:eastAsia="Calibri" w:hAnsiTheme="majorHAnsi" w:cs="Times New Roman"/>
          <w:lang w:val="en-ZA"/>
        </w:rPr>
        <w:t xml:space="preserve">decline </w:t>
      </w:r>
      <w:r>
        <w:rPr>
          <w:rFonts w:asciiTheme="majorHAnsi" w:eastAsia="Calibri" w:hAnsiTheme="majorHAnsi" w:cs="Times New Roman"/>
          <w:lang w:val="en-ZA"/>
        </w:rPr>
        <w:t xml:space="preserve">is mostly due to municipalities writing off debt that is considered not recoverable. </w:t>
      </w:r>
    </w:p>
    <w:p w:rsidR="001F1000" w:rsidRDefault="00EA5CE4" w:rsidP="006D75FC">
      <w:pPr>
        <w:spacing w:after="200" w:line="276" w:lineRule="auto"/>
        <w:rPr>
          <w:rFonts w:asciiTheme="majorHAnsi" w:eastAsia="Calibri" w:hAnsiTheme="majorHAnsi" w:cs="Times New Roman"/>
          <w:lang w:val="en-ZA"/>
        </w:rPr>
      </w:pPr>
      <w:r>
        <w:rPr>
          <w:rFonts w:asciiTheme="majorHAnsi" w:eastAsia="Calibri" w:hAnsiTheme="majorHAnsi" w:cs="Times New Roman"/>
          <w:lang w:val="en-ZA"/>
        </w:rPr>
        <w:t xml:space="preserve">As </w:t>
      </w:r>
      <w:r w:rsidR="00B13313">
        <w:rPr>
          <w:rFonts w:asciiTheme="majorHAnsi" w:eastAsia="Calibri" w:hAnsiTheme="majorHAnsi" w:cs="Times New Roman"/>
          <w:lang w:val="en-ZA"/>
        </w:rPr>
        <w:t xml:space="preserve">the real value of </w:t>
      </w:r>
      <w:r>
        <w:rPr>
          <w:rFonts w:asciiTheme="majorHAnsi" w:eastAsia="Calibri" w:hAnsiTheme="majorHAnsi" w:cs="Times New Roman"/>
          <w:lang w:val="en-ZA"/>
        </w:rPr>
        <w:t>household</w:t>
      </w:r>
      <w:r w:rsidR="00B13313">
        <w:rPr>
          <w:rFonts w:asciiTheme="majorHAnsi" w:eastAsia="Calibri" w:hAnsiTheme="majorHAnsi" w:cs="Times New Roman"/>
          <w:lang w:val="en-ZA"/>
        </w:rPr>
        <w:t>s’ outstanding</w:t>
      </w:r>
      <w:r>
        <w:rPr>
          <w:rFonts w:asciiTheme="majorHAnsi" w:eastAsia="Calibri" w:hAnsiTheme="majorHAnsi" w:cs="Times New Roman"/>
          <w:lang w:val="en-ZA"/>
        </w:rPr>
        <w:t xml:space="preserve"> liabilities </w:t>
      </w:r>
      <w:r w:rsidR="00B13313">
        <w:rPr>
          <w:rFonts w:asciiTheme="majorHAnsi" w:eastAsia="Calibri" w:hAnsiTheme="majorHAnsi" w:cs="Times New Roman"/>
          <w:lang w:val="en-ZA"/>
        </w:rPr>
        <w:t xml:space="preserve">increased </w:t>
      </w:r>
      <w:r w:rsidR="00A728AF">
        <w:rPr>
          <w:rFonts w:asciiTheme="majorHAnsi" w:eastAsia="Calibri" w:hAnsiTheme="majorHAnsi" w:cs="Times New Roman"/>
          <w:lang w:val="en-ZA"/>
        </w:rPr>
        <w:t>less</w:t>
      </w:r>
      <w:r>
        <w:rPr>
          <w:rFonts w:asciiTheme="majorHAnsi" w:eastAsia="Calibri" w:hAnsiTheme="majorHAnsi" w:cs="Times New Roman"/>
          <w:lang w:val="en-ZA"/>
        </w:rPr>
        <w:t xml:space="preserve"> than their gross income</w:t>
      </w:r>
      <w:r w:rsidR="001F1000">
        <w:rPr>
          <w:rFonts w:asciiTheme="majorHAnsi" w:eastAsia="Calibri" w:hAnsiTheme="majorHAnsi" w:cs="Times New Roman"/>
          <w:lang w:val="en-ZA"/>
        </w:rPr>
        <w:t xml:space="preserve">, the ratio of </w:t>
      </w:r>
      <w:r w:rsidR="00B13313">
        <w:rPr>
          <w:rFonts w:asciiTheme="majorHAnsi" w:eastAsia="Calibri" w:hAnsiTheme="majorHAnsi" w:cs="Times New Roman"/>
          <w:lang w:val="en-ZA"/>
        </w:rPr>
        <w:t>their</w:t>
      </w:r>
      <w:r w:rsidR="001F1000">
        <w:rPr>
          <w:rFonts w:asciiTheme="majorHAnsi" w:eastAsia="Calibri" w:hAnsiTheme="majorHAnsi" w:cs="Times New Roman"/>
          <w:lang w:val="en-ZA"/>
        </w:rPr>
        <w:t xml:space="preserve"> liabilities to gross income </w:t>
      </w:r>
      <w:r w:rsidR="00A728AF">
        <w:rPr>
          <w:rFonts w:asciiTheme="majorHAnsi" w:eastAsia="Calibri" w:hAnsiTheme="majorHAnsi" w:cs="Times New Roman"/>
          <w:lang w:val="en-ZA"/>
        </w:rPr>
        <w:t xml:space="preserve">declined </w:t>
      </w:r>
      <w:r w:rsidR="00B13313">
        <w:rPr>
          <w:rFonts w:asciiTheme="majorHAnsi" w:eastAsia="Calibri" w:hAnsiTheme="majorHAnsi" w:cs="Times New Roman"/>
          <w:lang w:val="en-ZA"/>
        </w:rPr>
        <w:t>slightly</w:t>
      </w:r>
      <w:r w:rsidR="00405867">
        <w:rPr>
          <w:rFonts w:asciiTheme="majorHAnsi" w:eastAsia="Calibri" w:hAnsiTheme="majorHAnsi" w:cs="Times New Roman"/>
          <w:lang w:val="en-ZA"/>
        </w:rPr>
        <w:t xml:space="preserve"> </w:t>
      </w:r>
      <w:r w:rsidR="001F1000">
        <w:rPr>
          <w:rFonts w:asciiTheme="majorHAnsi" w:eastAsia="Calibri" w:hAnsiTheme="majorHAnsi" w:cs="Times New Roman"/>
          <w:lang w:val="en-ZA"/>
        </w:rPr>
        <w:t>from 54.</w:t>
      </w:r>
      <w:r w:rsidR="00A728AF">
        <w:rPr>
          <w:rFonts w:asciiTheme="majorHAnsi" w:eastAsia="Calibri" w:hAnsiTheme="majorHAnsi" w:cs="Times New Roman"/>
          <w:lang w:val="en-ZA"/>
        </w:rPr>
        <w:t>4% in Q2 2019 to 54.2</w:t>
      </w:r>
      <w:r w:rsidR="001F1000">
        <w:rPr>
          <w:rFonts w:asciiTheme="majorHAnsi" w:eastAsia="Calibri" w:hAnsiTheme="majorHAnsi" w:cs="Times New Roman"/>
          <w:lang w:val="en-ZA"/>
        </w:rPr>
        <w:t>% in Q</w:t>
      </w:r>
      <w:r w:rsidR="00E1673D">
        <w:rPr>
          <w:rFonts w:asciiTheme="majorHAnsi" w:eastAsia="Calibri" w:hAnsiTheme="majorHAnsi" w:cs="Times New Roman"/>
          <w:lang w:val="en-ZA"/>
        </w:rPr>
        <w:t>3</w:t>
      </w:r>
      <w:r w:rsidR="001F1000">
        <w:rPr>
          <w:rFonts w:asciiTheme="majorHAnsi" w:eastAsia="Calibri" w:hAnsiTheme="majorHAnsi" w:cs="Times New Roman"/>
          <w:lang w:val="en-ZA"/>
        </w:rPr>
        <w:t xml:space="preserve"> 2019.</w:t>
      </w:r>
    </w:p>
    <w:p w:rsidR="00BD5121" w:rsidRPr="00990A95" w:rsidRDefault="00BD5121" w:rsidP="00990A95">
      <w:pPr>
        <w:spacing w:after="20" w:line="276" w:lineRule="auto"/>
        <w:rPr>
          <w:rFonts w:asciiTheme="majorHAnsi" w:eastAsia="Calibri" w:hAnsiTheme="majorHAnsi" w:cs="Times New Roman"/>
          <w:b/>
          <w:color w:val="E11B22"/>
          <w:lang w:val="en-ZA"/>
        </w:rPr>
      </w:pPr>
      <w:r w:rsidRPr="00990A95">
        <w:rPr>
          <w:rFonts w:asciiTheme="majorHAnsi" w:eastAsia="Calibri" w:hAnsiTheme="majorHAnsi" w:cs="Times New Roman"/>
          <w:b/>
          <w:color w:val="E11B22"/>
          <w:lang w:val="en-ZA"/>
        </w:rPr>
        <w:t xml:space="preserve">Outlook for the </w:t>
      </w:r>
      <w:r w:rsidR="00A728AF" w:rsidRPr="00990A95">
        <w:rPr>
          <w:rFonts w:asciiTheme="majorHAnsi" w:eastAsia="Calibri" w:hAnsiTheme="majorHAnsi" w:cs="Times New Roman"/>
          <w:b/>
          <w:color w:val="E11B22"/>
          <w:lang w:val="en-ZA"/>
        </w:rPr>
        <w:t>fourth</w:t>
      </w:r>
      <w:r w:rsidR="00BE5D9A" w:rsidRPr="00990A95">
        <w:rPr>
          <w:rFonts w:asciiTheme="majorHAnsi" w:eastAsia="Calibri" w:hAnsiTheme="majorHAnsi" w:cs="Times New Roman"/>
          <w:b/>
          <w:color w:val="E11B22"/>
          <w:lang w:val="en-ZA"/>
        </w:rPr>
        <w:t xml:space="preserve"> </w:t>
      </w:r>
      <w:r w:rsidR="008C6547" w:rsidRPr="00990A95">
        <w:rPr>
          <w:rFonts w:asciiTheme="majorHAnsi" w:eastAsia="Calibri" w:hAnsiTheme="majorHAnsi" w:cs="Times New Roman"/>
          <w:b/>
          <w:color w:val="E11B22"/>
          <w:lang w:val="en-ZA"/>
        </w:rPr>
        <w:t>quarter of 2019</w:t>
      </w:r>
    </w:p>
    <w:p w:rsidR="001F1000" w:rsidRDefault="00BD5121" w:rsidP="006D75FC">
      <w:pPr>
        <w:spacing w:after="200" w:line="276" w:lineRule="auto"/>
        <w:rPr>
          <w:rFonts w:asciiTheme="majorHAnsi" w:eastAsia="Calibri" w:hAnsiTheme="majorHAnsi" w:cs="Times New Roman"/>
          <w:lang w:val="en-ZA"/>
        </w:rPr>
      </w:pPr>
      <w:r w:rsidRPr="00BD5121">
        <w:rPr>
          <w:rFonts w:asciiTheme="majorHAnsi" w:eastAsia="Calibri" w:hAnsiTheme="majorHAnsi" w:cs="Times New Roman"/>
          <w:lang w:val="en-ZA"/>
        </w:rPr>
        <w:lastRenderedPageBreak/>
        <w:t xml:space="preserve">Preliminary estimates </w:t>
      </w:r>
      <w:r w:rsidR="00A728AF">
        <w:rPr>
          <w:rFonts w:asciiTheme="majorHAnsi" w:eastAsia="Calibri" w:hAnsiTheme="majorHAnsi" w:cs="Times New Roman"/>
          <w:lang w:val="en-ZA"/>
        </w:rPr>
        <w:t>for Q4</w:t>
      </w:r>
      <w:r w:rsidR="001F1000">
        <w:rPr>
          <w:rFonts w:asciiTheme="majorHAnsi" w:eastAsia="Calibri" w:hAnsiTheme="majorHAnsi" w:cs="Times New Roman"/>
          <w:lang w:val="en-ZA"/>
        </w:rPr>
        <w:t xml:space="preserve"> 2019 point to a </w:t>
      </w:r>
      <w:r w:rsidR="00A728AF">
        <w:rPr>
          <w:rFonts w:asciiTheme="majorHAnsi" w:eastAsia="Calibri" w:hAnsiTheme="majorHAnsi" w:cs="Times New Roman"/>
          <w:lang w:val="en-ZA"/>
        </w:rPr>
        <w:t>recovery in the value of households’ financial assets. Coupled with the reasonable performance of household wealth during the first half of 2019, this suggests that households will end 2019 wealthier</w:t>
      </w:r>
      <w:r w:rsidR="009B075F">
        <w:rPr>
          <w:rFonts w:asciiTheme="majorHAnsi" w:eastAsia="Calibri" w:hAnsiTheme="majorHAnsi" w:cs="Times New Roman"/>
          <w:lang w:val="en-ZA"/>
        </w:rPr>
        <w:t xml:space="preserve"> when</w:t>
      </w:r>
      <w:r w:rsidR="00A728AF">
        <w:rPr>
          <w:rFonts w:asciiTheme="majorHAnsi" w:eastAsia="Calibri" w:hAnsiTheme="majorHAnsi" w:cs="Times New Roman"/>
          <w:lang w:val="en-ZA"/>
        </w:rPr>
        <w:t xml:space="preserve"> compared to 2018. </w:t>
      </w:r>
    </w:p>
    <w:p w:rsidR="001F1000" w:rsidRDefault="001F1000" w:rsidP="006D75FC">
      <w:pPr>
        <w:spacing w:after="200" w:line="276" w:lineRule="auto"/>
        <w:rPr>
          <w:rFonts w:asciiTheme="majorHAnsi" w:eastAsia="Calibri" w:hAnsiTheme="majorHAnsi" w:cs="Times New Roman"/>
          <w:lang w:val="en-ZA"/>
        </w:rPr>
      </w:pPr>
    </w:p>
    <w:p w:rsidR="008C6547" w:rsidRDefault="00E60F7C" w:rsidP="008C6547">
      <w:pPr>
        <w:rPr>
          <w:rFonts w:asciiTheme="majorHAnsi" w:eastAsia="Calibri" w:hAnsiTheme="majorHAnsi" w:cs="Times New Roman"/>
          <w:b/>
          <w:sz w:val="22"/>
          <w:szCs w:val="22"/>
          <w:lang w:val="en-ZA"/>
        </w:rPr>
      </w:pPr>
      <w:bookmarkStart w:id="2" w:name="_Hlk525738075"/>
      <w:r>
        <w:rPr>
          <w:rFonts w:asciiTheme="majorHAnsi" w:eastAsia="Calibri" w:hAnsiTheme="majorHAnsi" w:cs="Times New Roman"/>
          <w:b/>
          <w:sz w:val="22"/>
          <w:szCs w:val="22"/>
          <w:lang w:val="en-ZA"/>
        </w:rPr>
        <w:t>Table 1</w:t>
      </w:r>
      <w:r w:rsidR="00BD5121" w:rsidRPr="00C44FF3">
        <w:rPr>
          <w:rFonts w:asciiTheme="majorHAnsi" w:eastAsia="Calibri" w:hAnsiTheme="majorHAnsi" w:cs="Times New Roman"/>
          <w:b/>
          <w:sz w:val="22"/>
          <w:szCs w:val="22"/>
          <w:lang w:val="en-ZA"/>
        </w:rPr>
        <w:t xml:space="preserve">: </w:t>
      </w:r>
      <w:r w:rsidR="00F05426">
        <w:rPr>
          <w:rFonts w:asciiTheme="majorHAnsi" w:eastAsia="Calibri" w:hAnsiTheme="majorHAnsi" w:cs="Times New Roman"/>
          <w:b/>
          <w:sz w:val="22"/>
          <w:szCs w:val="22"/>
          <w:lang w:val="en-ZA"/>
        </w:rPr>
        <w:t>H</w:t>
      </w:r>
      <w:r w:rsidR="00BD5121" w:rsidRPr="00C44FF3">
        <w:rPr>
          <w:rFonts w:asciiTheme="majorHAnsi" w:eastAsia="Calibri" w:hAnsiTheme="majorHAnsi" w:cs="Times New Roman"/>
          <w:b/>
          <w:sz w:val="22"/>
          <w:szCs w:val="22"/>
          <w:lang w:val="en-ZA"/>
        </w:rPr>
        <w:t xml:space="preserve">ousehold balance sheet variables expressed as a percentage of </w:t>
      </w:r>
      <w:r w:rsidR="00F05426">
        <w:rPr>
          <w:rFonts w:asciiTheme="majorHAnsi" w:eastAsia="Calibri" w:hAnsiTheme="majorHAnsi" w:cs="Times New Roman"/>
          <w:b/>
          <w:sz w:val="22"/>
          <w:szCs w:val="22"/>
          <w:lang w:val="en-ZA"/>
        </w:rPr>
        <w:t xml:space="preserve">their </w:t>
      </w:r>
      <w:r w:rsidR="00C44FF3">
        <w:rPr>
          <w:rFonts w:asciiTheme="majorHAnsi" w:eastAsia="Calibri" w:hAnsiTheme="majorHAnsi" w:cs="Times New Roman"/>
          <w:b/>
          <w:sz w:val="22"/>
          <w:szCs w:val="22"/>
          <w:lang w:val="en-ZA"/>
        </w:rPr>
        <w:t xml:space="preserve">gross </w:t>
      </w:r>
      <w:r w:rsidR="00BD5121" w:rsidRPr="00C44FF3">
        <w:rPr>
          <w:rFonts w:asciiTheme="majorHAnsi" w:eastAsia="Calibri" w:hAnsiTheme="majorHAnsi" w:cs="Times New Roman"/>
          <w:b/>
          <w:sz w:val="22"/>
          <w:szCs w:val="22"/>
          <w:lang w:val="en-ZA"/>
        </w:rPr>
        <w:t>income</w:t>
      </w:r>
    </w:p>
    <w:p w:rsidR="00990A95" w:rsidRDefault="00990A95" w:rsidP="008C6547">
      <w:pPr>
        <w:rPr>
          <w:rFonts w:asciiTheme="majorHAnsi" w:eastAsia="Calibri" w:hAnsiTheme="majorHAnsi" w:cs="Times New Roman"/>
          <w:b/>
          <w:sz w:val="22"/>
          <w:szCs w:val="22"/>
          <w:lang w:val="en-ZA"/>
        </w:rPr>
      </w:pPr>
    </w:p>
    <w:tbl>
      <w:tblPr>
        <w:tblStyle w:val="TableGrid1"/>
        <w:tblW w:w="0" w:type="auto"/>
        <w:tblInd w:w="480" w:type="dxa"/>
        <w:tblLook w:val="04A0" w:firstRow="1" w:lastRow="0" w:firstColumn="1" w:lastColumn="0" w:noHBand="0" w:noVBand="1"/>
      </w:tblPr>
      <w:tblGrid>
        <w:gridCol w:w="1657"/>
        <w:gridCol w:w="1894"/>
        <w:gridCol w:w="2038"/>
        <w:gridCol w:w="2184"/>
      </w:tblGrid>
      <w:tr w:rsidR="00E60F7C" w:rsidRPr="00C44FF3" w:rsidTr="008D5EFE">
        <w:trPr>
          <w:trHeight w:val="296"/>
        </w:trPr>
        <w:tc>
          <w:tcPr>
            <w:tcW w:w="1657" w:type="dxa"/>
            <w:tcBorders>
              <w:bottom w:val="single" w:sz="4" w:space="0" w:color="auto"/>
            </w:tcBorders>
            <w:vAlign w:val="center"/>
          </w:tcPr>
          <w:p w:rsidR="00E60F7C" w:rsidRPr="00E60F7C" w:rsidRDefault="00616A0D" w:rsidP="0051770B">
            <w:pPr>
              <w:spacing w:line="276" w:lineRule="auto"/>
              <w:jc w:val="center"/>
              <w:rPr>
                <w:rFonts w:ascii="Calibri" w:hAnsi="Calibri" w:cs="Times New Roman"/>
                <w:b/>
                <w:lang w:val="en-ZA"/>
              </w:rPr>
            </w:pPr>
            <w:r>
              <w:rPr>
                <w:rFonts w:asciiTheme="majorHAnsi" w:hAnsiTheme="majorHAnsi" w:cs="Times New Roman"/>
                <w:b/>
                <w:lang w:val="en-ZA"/>
              </w:rPr>
              <w:t xml:space="preserve"> </w:t>
            </w:r>
            <w:r w:rsidR="00E60F7C" w:rsidRPr="00E60F7C">
              <w:rPr>
                <w:rFonts w:ascii="Calibri" w:hAnsi="Calibri" w:cs="Times New Roman"/>
                <w:b/>
                <w:lang w:val="en-ZA"/>
              </w:rPr>
              <w:t>Quarter</w:t>
            </w:r>
          </w:p>
        </w:tc>
        <w:tc>
          <w:tcPr>
            <w:tcW w:w="1894" w:type="dxa"/>
            <w:tcBorders>
              <w:bottom w:val="single" w:sz="4" w:space="0" w:color="auto"/>
            </w:tcBorders>
            <w:noWrap/>
            <w:vAlign w:val="center"/>
          </w:tcPr>
          <w:p w:rsidR="00E60F7C" w:rsidRPr="00E60F7C" w:rsidRDefault="00E60F7C" w:rsidP="004964CA">
            <w:pPr>
              <w:spacing w:line="276" w:lineRule="auto"/>
              <w:jc w:val="center"/>
              <w:rPr>
                <w:rFonts w:ascii="Calibri" w:hAnsi="Calibri" w:cs="Times New Roman"/>
                <w:b/>
                <w:lang w:val="en-ZA"/>
              </w:rPr>
            </w:pPr>
            <w:r w:rsidRPr="00E60F7C">
              <w:rPr>
                <w:rFonts w:ascii="Calibri" w:hAnsi="Calibri" w:cs="Times New Roman"/>
                <w:b/>
                <w:lang w:val="en-ZA"/>
              </w:rPr>
              <w:t xml:space="preserve">Liabilities </w:t>
            </w:r>
          </w:p>
        </w:tc>
        <w:tc>
          <w:tcPr>
            <w:tcW w:w="2038" w:type="dxa"/>
            <w:tcBorders>
              <w:bottom w:val="single" w:sz="4" w:space="0" w:color="auto"/>
            </w:tcBorders>
            <w:noWrap/>
            <w:vAlign w:val="center"/>
          </w:tcPr>
          <w:p w:rsidR="00E60F7C" w:rsidRPr="00E60F7C" w:rsidRDefault="00E60F7C" w:rsidP="004964CA">
            <w:pPr>
              <w:spacing w:line="276" w:lineRule="auto"/>
              <w:jc w:val="center"/>
              <w:rPr>
                <w:rFonts w:ascii="Calibri" w:hAnsi="Calibri" w:cs="Times New Roman"/>
                <w:b/>
                <w:lang w:val="en-ZA"/>
              </w:rPr>
            </w:pPr>
            <w:r w:rsidRPr="00E60F7C">
              <w:rPr>
                <w:rFonts w:ascii="Calibri" w:hAnsi="Calibri" w:cs="Times New Roman"/>
                <w:b/>
                <w:lang w:val="en-ZA"/>
              </w:rPr>
              <w:t xml:space="preserve">Assets </w:t>
            </w:r>
          </w:p>
        </w:tc>
        <w:tc>
          <w:tcPr>
            <w:tcW w:w="2184" w:type="dxa"/>
            <w:tcBorders>
              <w:bottom w:val="single" w:sz="4" w:space="0" w:color="auto"/>
            </w:tcBorders>
            <w:noWrap/>
            <w:vAlign w:val="center"/>
          </w:tcPr>
          <w:p w:rsidR="00E60F7C" w:rsidRPr="00E60F7C" w:rsidRDefault="00E60F7C" w:rsidP="004964CA">
            <w:pPr>
              <w:spacing w:line="276" w:lineRule="auto"/>
              <w:jc w:val="center"/>
              <w:rPr>
                <w:rFonts w:ascii="Calibri" w:hAnsi="Calibri" w:cs="Times New Roman"/>
                <w:b/>
                <w:lang w:val="en-ZA"/>
              </w:rPr>
            </w:pPr>
            <w:r w:rsidRPr="00E60F7C">
              <w:rPr>
                <w:rFonts w:ascii="Calibri" w:hAnsi="Calibri" w:cs="Times New Roman"/>
                <w:b/>
                <w:lang w:val="en-ZA"/>
              </w:rPr>
              <w:t xml:space="preserve">Net wealth </w:t>
            </w:r>
          </w:p>
        </w:tc>
      </w:tr>
      <w:tr w:rsidR="008D5EFE" w:rsidRPr="00C44FF3" w:rsidTr="008D5EFE">
        <w:trPr>
          <w:trHeight w:val="296"/>
        </w:trPr>
        <w:tc>
          <w:tcPr>
            <w:tcW w:w="1657" w:type="dxa"/>
            <w:tcBorders>
              <w:top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2014Q4</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59.1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351.0</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291.8</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2015Q1</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57.5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352.2</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294.8</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2015Q2</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57.2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347.1</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289.9</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2015Q3</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56.7</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338.9</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282.3</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2015Q4</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56.2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336.7</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280.5</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2016Q1</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55.9</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340.5</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284.5</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2016Q2</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56.3</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338.6</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282.3</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2016Q3</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55.6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336.3</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280.8</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2016Q4</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55.1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332.0</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277.0</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lastRenderedPageBreak/>
              <w:t>2017Q1</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54.7</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334.8</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280.2</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2017Q2</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53.8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329.7</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275.8</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2017Q3</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54.3</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333.9</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279.6</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2017Q4</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340.8</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286.3</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2018Q1</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334.0</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279.5</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2018Q2</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53.8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335.2</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281.4</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2018Q3</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330.1</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275.9</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2018Q4</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321.9</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267.5</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2019Q1</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54.3</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328.9</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274.6</w:t>
            </w:r>
          </w:p>
        </w:tc>
      </w:tr>
      <w:tr w:rsidR="008D5EFE" w:rsidRPr="00C44FF3" w:rsidTr="008D5EFE">
        <w:trPr>
          <w:trHeight w:val="296"/>
        </w:trPr>
        <w:tc>
          <w:tcPr>
            <w:tcW w:w="1657" w:type="dxa"/>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2019Q2</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330.3</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276.0</w:t>
            </w:r>
          </w:p>
        </w:tc>
      </w:tr>
      <w:tr w:rsidR="008D5EFE" w:rsidRPr="00C44FF3" w:rsidTr="008D5EFE">
        <w:trPr>
          <w:trHeight w:val="296"/>
        </w:trPr>
        <w:tc>
          <w:tcPr>
            <w:tcW w:w="1657" w:type="dxa"/>
            <w:tcBorders>
              <w:bottom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2019Q3</w:t>
            </w:r>
          </w:p>
        </w:tc>
        <w:tc>
          <w:tcPr>
            <w:tcW w:w="1894" w:type="dxa"/>
            <w:tcBorders>
              <w:top w:val="single" w:sz="4" w:space="0" w:color="auto"/>
              <w:left w:val="nil"/>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54.2</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320.9</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266.7</w:t>
            </w:r>
          </w:p>
        </w:tc>
      </w:tr>
    </w:tbl>
    <w:p w:rsidR="005608FE" w:rsidRPr="00C44FF3" w:rsidRDefault="005608FE" w:rsidP="00BB6501">
      <w:pPr>
        <w:spacing w:line="276" w:lineRule="auto"/>
        <w:rPr>
          <w:rFonts w:asciiTheme="majorHAnsi" w:eastAsia="Calibri" w:hAnsiTheme="majorHAnsi" w:cs="Times New Roman"/>
          <w:b/>
          <w:sz w:val="22"/>
          <w:szCs w:val="22"/>
          <w:lang w:val="en-ZA"/>
        </w:rPr>
      </w:pPr>
    </w:p>
    <w:bookmarkEnd w:id="2"/>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990A95" w:rsidRDefault="00990A95" w:rsidP="008C6547">
      <w:pPr>
        <w:rPr>
          <w:rFonts w:asciiTheme="majorHAnsi" w:eastAsia="Calibri" w:hAnsiTheme="majorHAnsi" w:cs="Times New Roman"/>
          <w:b/>
          <w:sz w:val="22"/>
          <w:szCs w:val="22"/>
          <w:lang w:val="en-ZA"/>
        </w:rPr>
      </w:pPr>
    </w:p>
    <w:p w:rsidR="004044F9" w:rsidRDefault="004044F9" w:rsidP="008C6547">
      <w:pPr>
        <w:rPr>
          <w:rFonts w:asciiTheme="majorHAnsi" w:eastAsia="Calibri" w:hAnsiTheme="majorHAnsi" w:cs="Times New Roman"/>
          <w:b/>
          <w:sz w:val="22"/>
          <w:szCs w:val="22"/>
          <w:lang w:val="en-ZA"/>
        </w:rPr>
      </w:pPr>
      <w:r w:rsidRPr="00C44FF3">
        <w:rPr>
          <w:rFonts w:asciiTheme="majorHAnsi" w:eastAsia="Calibri" w:hAnsiTheme="majorHAnsi" w:cs="Times New Roman"/>
          <w:b/>
          <w:sz w:val="22"/>
          <w:szCs w:val="22"/>
          <w:lang w:val="en-ZA"/>
        </w:rPr>
        <w:t xml:space="preserve">Table 2: </w:t>
      </w:r>
      <w:r w:rsidR="00F05426">
        <w:rPr>
          <w:rFonts w:asciiTheme="majorHAnsi" w:eastAsia="Calibri" w:hAnsiTheme="majorHAnsi" w:cs="Times New Roman"/>
          <w:b/>
          <w:sz w:val="22"/>
          <w:szCs w:val="22"/>
          <w:lang w:val="en-ZA"/>
        </w:rPr>
        <w:t>Real e</w:t>
      </w:r>
      <w:r w:rsidRPr="00C44FF3">
        <w:rPr>
          <w:rFonts w:asciiTheme="majorHAnsi" w:eastAsia="Calibri" w:hAnsiTheme="majorHAnsi" w:cs="Times New Roman"/>
          <w:b/>
          <w:sz w:val="22"/>
          <w:szCs w:val="22"/>
          <w:lang w:val="en-ZA"/>
        </w:rPr>
        <w:t>stimates of household balance sheet indices</w:t>
      </w:r>
      <w:r w:rsidR="00A70B0C" w:rsidRPr="00C44FF3">
        <w:rPr>
          <w:rFonts w:asciiTheme="majorHAnsi" w:eastAsia="Calibri" w:hAnsiTheme="majorHAnsi" w:cs="Times New Roman"/>
          <w:b/>
          <w:sz w:val="22"/>
          <w:szCs w:val="22"/>
          <w:lang w:val="en-ZA"/>
        </w:rPr>
        <w:t xml:space="preserve"> (2010 = 100)</w:t>
      </w:r>
    </w:p>
    <w:p w:rsidR="00990A95" w:rsidRDefault="00990A95" w:rsidP="008C6547">
      <w:pPr>
        <w:rPr>
          <w:rFonts w:asciiTheme="majorHAnsi" w:eastAsia="Calibri" w:hAnsiTheme="majorHAnsi" w:cs="Times New Roman"/>
          <w:b/>
          <w:sz w:val="22"/>
          <w:szCs w:val="22"/>
          <w:lang w:val="en-ZA"/>
        </w:rPr>
      </w:pPr>
    </w:p>
    <w:tbl>
      <w:tblPr>
        <w:tblStyle w:val="TableGrid1"/>
        <w:tblW w:w="0" w:type="auto"/>
        <w:tblInd w:w="480" w:type="dxa"/>
        <w:tblLook w:val="04A0" w:firstRow="1" w:lastRow="0" w:firstColumn="1" w:lastColumn="0" w:noHBand="0" w:noVBand="1"/>
      </w:tblPr>
      <w:tblGrid>
        <w:gridCol w:w="1657"/>
        <w:gridCol w:w="1894"/>
        <w:gridCol w:w="2038"/>
        <w:gridCol w:w="2184"/>
      </w:tblGrid>
      <w:tr w:rsidR="004044F9" w:rsidRPr="00C44FF3" w:rsidTr="008D5EFE">
        <w:trPr>
          <w:trHeight w:val="296"/>
        </w:trPr>
        <w:tc>
          <w:tcPr>
            <w:tcW w:w="1657" w:type="dxa"/>
            <w:tcBorders>
              <w:bottom w:val="single" w:sz="4" w:space="0" w:color="auto"/>
            </w:tcBorders>
            <w:vAlign w:val="center"/>
          </w:tcPr>
          <w:p w:rsidR="004044F9" w:rsidRPr="00E60F7C" w:rsidRDefault="004044F9" w:rsidP="00E60F7C">
            <w:pPr>
              <w:spacing w:line="276" w:lineRule="auto"/>
              <w:jc w:val="center"/>
              <w:rPr>
                <w:rFonts w:ascii="Calibri" w:hAnsi="Calibri" w:cs="Times New Roman"/>
                <w:b/>
                <w:lang w:val="en-ZA"/>
              </w:rPr>
            </w:pPr>
            <w:r w:rsidRPr="00E60F7C">
              <w:rPr>
                <w:rFonts w:ascii="Calibri" w:hAnsi="Calibri" w:cs="Times New Roman"/>
                <w:b/>
                <w:lang w:val="en-ZA"/>
              </w:rPr>
              <w:t>Quarter</w:t>
            </w:r>
          </w:p>
        </w:tc>
        <w:tc>
          <w:tcPr>
            <w:tcW w:w="1894" w:type="dxa"/>
            <w:tcBorders>
              <w:bottom w:val="single" w:sz="4" w:space="0" w:color="auto"/>
            </w:tcBorders>
            <w:noWrap/>
            <w:vAlign w:val="center"/>
          </w:tcPr>
          <w:p w:rsidR="004044F9" w:rsidRPr="00E60F7C" w:rsidRDefault="004044F9" w:rsidP="00E60F7C">
            <w:pPr>
              <w:spacing w:line="276" w:lineRule="auto"/>
              <w:jc w:val="center"/>
              <w:rPr>
                <w:rFonts w:ascii="Calibri" w:hAnsi="Calibri" w:cs="Times New Roman"/>
                <w:b/>
                <w:lang w:val="en-ZA"/>
              </w:rPr>
            </w:pPr>
            <w:r w:rsidRPr="00E60F7C">
              <w:rPr>
                <w:rFonts w:ascii="Calibri" w:hAnsi="Calibri" w:cs="Times New Roman"/>
                <w:b/>
                <w:lang w:val="en-ZA"/>
              </w:rPr>
              <w:t>Liabilities index</w:t>
            </w:r>
          </w:p>
        </w:tc>
        <w:tc>
          <w:tcPr>
            <w:tcW w:w="2038" w:type="dxa"/>
            <w:tcBorders>
              <w:bottom w:val="single" w:sz="4" w:space="0" w:color="auto"/>
            </w:tcBorders>
            <w:noWrap/>
            <w:vAlign w:val="center"/>
          </w:tcPr>
          <w:p w:rsidR="004044F9" w:rsidRPr="00E60F7C" w:rsidRDefault="004044F9" w:rsidP="00E60F7C">
            <w:pPr>
              <w:spacing w:line="276" w:lineRule="auto"/>
              <w:jc w:val="center"/>
              <w:rPr>
                <w:rFonts w:ascii="Calibri" w:hAnsi="Calibri" w:cs="Times New Roman"/>
                <w:b/>
                <w:lang w:val="en-ZA"/>
              </w:rPr>
            </w:pPr>
            <w:r w:rsidRPr="00E60F7C">
              <w:rPr>
                <w:rFonts w:ascii="Calibri" w:hAnsi="Calibri" w:cs="Times New Roman"/>
                <w:b/>
                <w:lang w:val="en-ZA"/>
              </w:rPr>
              <w:t>Assets index</w:t>
            </w:r>
          </w:p>
        </w:tc>
        <w:tc>
          <w:tcPr>
            <w:tcW w:w="2184" w:type="dxa"/>
            <w:tcBorders>
              <w:bottom w:val="single" w:sz="4" w:space="0" w:color="auto"/>
            </w:tcBorders>
            <w:noWrap/>
            <w:vAlign w:val="center"/>
          </w:tcPr>
          <w:p w:rsidR="004044F9" w:rsidRPr="00E60F7C" w:rsidRDefault="004044F9" w:rsidP="00E60F7C">
            <w:pPr>
              <w:spacing w:line="276" w:lineRule="auto"/>
              <w:jc w:val="center"/>
              <w:rPr>
                <w:rFonts w:ascii="Calibri" w:hAnsi="Calibri" w:cs="Times New Roman"/>
                <w:b/>
                <w:lang w:val="en-ZA"/>
              </w:rPr>
            </w:pPr>
            <w:r w:rsidRPr="00E60F7C">
              <w:rPr>
                <w:rFonts w:ascii="Calibri" w:hAnsi="Calibri" w:cs="Times New Roman"/>
                <w:b/>
                <w:lang w:val="en-ZA"/>
              </w:rPr>
              <w:t>Net wealth index</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2014Q4</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108.1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121.6</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124.7</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2015Q1</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107.5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124.8</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128.9</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106.9</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123.0</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126.8</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2015Q3</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107.6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122.0</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125.3</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2015Q4</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107.1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121.4</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124.7</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2016Q1</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105.8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121.9</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125.7</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2016Q2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106.1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120.8</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124.2</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2016Q3</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104.8</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120.2</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123.8</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lastRenderedPageBreak/>
              <w:t>2016Q4</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104.5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119.4</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122.8</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2017Q1</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104.4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121.2</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125.1</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2017Q2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104.0</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120.6</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124.4</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2017Q3</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105.6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123.1</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127.2</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2017Q4</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107.0</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126.5</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131.1</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2018Q1</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106.6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123.8</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127.8</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106.1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125.1</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129.6</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2018Q3</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106.6</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123.0</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126.8</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2018Q4</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107.4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120.4</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123.5</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2019Q1</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107.5</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123.4</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127.1</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2019Q2</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108.4</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124.8</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128.6</w:t>
            </w:r>
          </w:p>
        </w:tc>
      </w:tr>
      <w:tr w:rsidR="008D5EFE" w:rsidRPr="008D5EFE" w:rsidTr="008D5EFE">
        <w:trPr>
          <w:trHeight w:val="296"/>
        </w:trPr>
        <w:tc>
          <w:tcPr>
            <w:tcW w:w="1657" w:type="dxa"/>
            <w:tcBorders>
              <w:top w:val="single" w:sz="4" w:space="0" w:color="auto"/>
              <w:bottom w:val="single" w:sz="4" w:space="0" w:color="auto"/>
              <w:right w:val="single" w:sz="4" w:space="0" w:color="auto"/>
            </w:tcBorders>
            <w:vAlign w:val="center"/>
          </w:tcPr>
          <w:p w:rsidR="008D5EFE" w:rsidRPr="008D5EFE" w:rsidRDefault="008D5EFE" w:rsidP="008D5EFE">
            <w:pPr>
              <w:jc w:val="center"/>
              <w:rPr>
                <w:rFonts w:asciiTheme="majorHAnsi" w:hAnsiTheme="majorHAnsi" w:cstheme="majorHAnsi"/>
                <w:lang w:val="en-ZA"/>
              </w:rPr>
            </w:pPr>
            <w:r w:rsidRPr="008D5EFE">
              <w:rPr>
                <w:rFonts w:asciiTheme="majorHAnsi" w:hAnsiTheme="majorHAnsi" w:cstheme="majorHAnsi"/>
                <w:lang w:val="en-ZA"/>
              </w:rPr>
              <w:t>2019Q3</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108.1</w:t>
            </w:r>
          </w:p>
        </w:tc>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121.3</w:t>
            </w: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5EFE" w:rsidRPr="008D5EFE" w:rsidRDefault="008D5EFE" w:rsidP="008D5EFE">
            <w:pPr>
              <w:jc w:val="center"/>
              <w:rPr>
                <w:rFonts w:asciiTheme="majorHAnsi" w:hAnsiTheme="majorHAnsi" w:cstheme="majorHAnsi"/>
              </w:rPr>
            </w:pPr>
            <w:r w:rsidRPr="008D5EFE">
              <w:rPr>
                <w:rFonts w:asciiTheme="majorHAnsi" w:hAnsiTheme="majorHAnsi" w:cstheme="majorHAnsi"/>
              </w:rPr>
              <w:t>124.4</w:t>
            </w:r>
          </w:p>
        </w:tc>
      </w:tr>
    </w:tbl>
    <w:p w:rsidR="00F05426" w:rsidRPr="00F05426" w:rsidRDefault="00F05426" w:rsidP="004964CA">
      <w:pPr>
        <w:spacing w:before="120"/>
        <w:rPr>
          <w:rFonts w:asciiTheme="majorHAnsi" w:eastAsia="Calibri" w:hAnsiTheme="majorHAnsi" w:cs="Times New Roman"/>
          <w:sz w:val="16"/>
          <w:szCs w:val="16"/>
          <w:lang w:val="en-ZA"/>
        </w:rPr>
      </w:pPr>
      <w:r w:rsidRPr="00F05426">
        <w:rPr>
          <w:rFonts w:asciiTheme="majorHAnsi" w:eastAsia="Calibri" w:hAnsiTheme="majorHAnsi" w:cs="Times New Roman"/>
          <w:sz w:val="16"/>
          <w:szCs w:val="16"/>
          <w:lang w:val="en-ZA"/>
        </w:rPr>
        <w:t xml:space="preserve">Sources: South African Reserve Bank Quarterly Bulletin </w:t>
      </w:r>
      <w:r w:rsidR="008D5EFE">
        <w:rPr>
          <w:rFonts w:asciiTheme="majorHAnsi" w:eastAsia="Calibri" w:hAnsiTheme="majorHAnsi" w:cs="Times New Roman"/>
          <w:sz w:val="16"/>
          <w:szCs w:val="16"/>
          <w:lang w:val="en-ZA"/>
        </w:rPr>
        <w:t>December</w:t>
      </w:r>
      <w:r w:rsidR="00873D6F">
        <w:rPr>
          <w:rFonts w:asciiTheme="majorHAnsi" w:eastAsia="Calibri" w:hAnsiTheme="majorHAnsi" w:cs="Times New Roman"/>
          <w:sz w:val="16"/>
          <w:szCs w:val="16"/>
          <w:lang w:val="en-ZA"/>
        </w:rPr>
        <w:t xml:space="preserve"> 2019</w:t>
      </w:r>
      <w:r w:rsidRPr="00F05426">
        <w:rPr>
          <w:rFonts w:asciiTheme="majorHAnsi" w:eastAsia="Calibri" w:hAnsiTheme="majorHAnsi" w:cs="Times New Roman"/>
          <w:sz w:val="16"/>
          <w:szCs w:val="16"/>
          <w:lang w:val="en-ZA"/>
        </w:rPr>
        <w:t>; Own calculations.</w:t>
      </w:r>
    </w:p>
    <w:p w:rsidR="00873D6F" w:rsidRDefault="00F05426" w:rsidP="004964CA">
      <w:pPr>
        <w:spacing w:before="120"/>
        <w:rPr>
          <w:rFonts w:asciiTheme="majorHAnsi" w:eastAsia="Calibri" w:hAnsiTheme="majorHAnsi" w:cs="Times New Roman"/>
          <w:sz w:val="16"/>
          <w:szCs w:val="16"/>
          <w:lang w:val="en-ZA"/>
        </w:rPr>
      </w:pPr>
      <w:r w:rsidRPr="00F05426">
        <w:rPr>
          <w:rFonts w:asciiTheme="majorHAnsi" w:eastAsia="Calibri" w:hAnsiTheme="majorHAnsi" w:cs="Times New Roman"/>
          <w:sz w:val="16"/>
          <w:szCs w:val="16"/>
          <w:lang w:val="en-ZA"/>
        </w:rPr>
        <w:t>Note: Adjustments were effected to historical numbers due to new information received.</w:t>
      </w:r>
      <w:r w:rsidR="00873D6F">
        <w:rPr>
          <w:rFonts w:asciiTheme="majorHAnsi" w:eastAsia="Calibri" w:hAnsiTheme="majorHAnsi" w:cs="Times New Roman"/>
          <w:sz w:val="16"/>
          <w:szCs w:val="16"/>
          <w:lang w:val="en-ZA"/>
        </w:rPr>
        <w:t xml:space="preserve"> </w:t>
      </w:r>
    </w:p>
    <w:p w:rsidR="00000D9A" w:rsidRDefault="00000D9A" w:rsidP="006D75FC">
      <w:pPr>
        <w:spacing w:line="276" w:lineRule="auto"/>
        <w:rPr>
          <w:rFonts w:ascii="Calibri" w:eastAsia="Calibri" w:hAnsi="Calibri" w:cs="Times New Roman"/>
          <w:b/>
          <w:sz w:val="22"/>
          <w:szCs w:val="22"/>
          <w:lang w:val="en-ZA"/>
        </w:rPr>
      </w:pPr>
    </w:p>
    <w:p w:rsidR="00990A95" w:rsidRDefault="00990A95" w:rsidP="006D75FC">
      <w:pPr>
        <w:spacing w:line="276" w:lineRule="auto"/>
        <w:rPr>
          <w:rFonts w:ascii="Calibri" w:eastAsia="Calibri" w:hAnsi="Calibri" w:cs="Times New Roman"/>
          <w:b/>
          <w:sz w:val="22"/>
          <w:szCs w:val="22"/>
          <w:lang w:val="en-ZA"/>
        </w:rPr>
      </w:pPr>
    </w:p>
    <w:p w:rsidR="00990A95" w:rsidRDefault="00990A95" w:rsidP="00990A95">
      <w:pPr>
        <w:spacing w:after="20" w:line="276" w:lineRule="auto"/>
        <w:rPr>
          <w:rFonts w:ascii="Calibri" w:eastAsia="Calibri" w:hAnsi="Calibri" w:cs="Times New Roman"/>
          <w:b/>
          <w:sz w:val="22"/>
          <w:szCs w:val="22"/>
          <w:lang w:val="en-ZA"/>
        </w:rPr>
      </w:pPr>
    </w:p>
    <w:p w:rsidR="00990A95" w:rsidRDefault="00990A95" w:rsidP="00990A95">
      <w:pPr>
        <w:spacing w:after="20" w:line="276" w:lineRule="auto"/>
        <w:rPr>
          <w:rFonts w:ascii="Calibri" w:eastAsia="Calibri" w:hAnsi="Calibri" w:cs="Times New Roman"/>
          <w:b/>
          <w:sz w:val="22"/>
          <w:szCs w:val="22"/>
          <w:lang w:val="en-ZA"/>
        </w:rPr>
      </w:pPr>
    </w:p>
    <w:p w:rsidR="00990A95" w:rsidRDefault="00990A95" w:rsidP="00990A95">
      <w:pPr>
        <w:spacing w:after="20" w:line="276" w:lineRule="auto"/>
        <w:rPr>
          <w:rFonts w:ascii="Calibri" w:eastAsia="Calibri" w:hAnsi="Calibri" w:cs="Times New Roman"/>
          <w:b/>
          <w:sz w:val="22"/>
          <w:szCs w:val="22"/>
          <w:lang w:val="en-ZA"/>
        </w:rPr>
      </w:pPr>
    </w:p>
    <w:p w:rsidR="00BD5121" w:rsidRPr="00873D6F" w:rsidRDefault="00873D6F" w:rsidP="00990A95">
      <w:pPr>
        <w:spacing w:after="20" w:line="276" w:lineRule="auto"/>
        <w:rPr>
          <w:rFonts w:ascii="Calibri" w:eastAsia="Calibri" w:hAnsi="Calibri" w:cs="Times New Roman"/>
          <w:b/>
          <w:sz w:val="22"/>
          <w:szCs w:val="22"/>
          <w:lang w:val="en-ZA"/>
        </w:rPr>
      </w:pPr>
      <w:r w:rsidRPr="00873D6F">
        <w:rPr>
          <w:rFonts w:ascii="Calibri" w:eastAsia="Calibri" w:hAnsi="Calibri" w:cs="Times New Roman"/>
          <w:b/>
          <w:sz w:val="22"/>
          <w:szCs w:val="22"/>
          <w:lang w:val="en-ZA"/>
        </w:rPr>
        <w:t>Compiled b</w:t>
      </w:r>
      <w:r w:rsidR="00BD5121" w:rsidRPr="00873D6F">
        <w:rPr>
          <w:rFonts w:ascii="Calibri" w:eastAsia="Calibri" w:hAnsi="Calibri" w:cs="Times New Roman"/>
          <w:b/>
          <w:sz w:val="22"/>
          <w:szCs w:val="22"/>
          <w:lang w:val="en-ZA"/>
        </w:rPr>
        <w:t>y:</w:t>
      </w:r>
    </w:p>
    <w:p w:rsidR="00BD5121" w:rsidRPr="00A70B0C" w:rsidRDefault="00BD5121" w:rsidP="006D75FC">
      <w:pPr>
        <w:spacing w:line="276" w:lineRule="auto"/>
        <w:rPr>
          <w:rFonts w:ascii="Calibri" w:eastAsia="Calibri" w:hAnsi="Calibri" w:cs="Times New Roman"/>
          <w:sz w:val="22"/>
          <w:szCs w:val="22"/>
          <w:lang w:val="en-ZA"/>
        </w:rPr>
      </w:pPr>
      <w:r w:rsidRPr="00A70B0C">
        <w:rPr>
          <w:rFonts w:ascii="Calibri" w:eastAsia="Calibri" w:hAnsi="Calibri" w:cs="Times New Roman"/>
          <w:sz w:val="22"/>
          <w:szCs w:val="22"/>
          <w:lang w:val="en-ZA"/>
        </w:rPr>
        <w:t xml:space="preserve">Mr. Johann van Tonder, Researcher &amp; Economist, </w:t>
      </w:r>
      <w:r w:rsidR="00873D6F">
        <w:rPr>
          <w:rFonts w:ascii="Calibri" w:eastAsia="Calibri" w:hAnsi="Calibri" w:cs="Times New Roman"/>
          <w:sz w:val="22"/>
          <w:szCs w:val="22"/>
          <w:lang w:val="en-ZA"/>
        </w:rPr>
        <w:t xml:space="preserve">Insights Division, </w:t>
      </w:r>
      <w:r w:rsidRPr="00A70B0C">
        <w:rPr>
          <w:rFonts w:ascii="Calibri" w:eastAsia="Calibri" w:hAnsi="Calibri" w:cs="Times New Roman"/>
          <w:sz w:val="22"/>
          <w:szCs w:val="22"/>
          <w:lang w:val="en-ZA"/>
        </w:rPr>
        <w:t>Momentum, 081 041 9699</w:t>
      </w:r>
    </w:p>
    <w:p w:rsidR="0090091A" w:rsidRPr="008B425B" w:rsidRDefault="00B10987" w:rsidP="006D75FC">
      <w:pPr>
        <w:spacing w:line="276" w:lineRule="auto"/>
        <w:rPr>
          <w:rFonts w:asciiTheme="majorHAnsi" w:hAnsiTheme="majorHAnsi" w:cstheme="majorHAnsi"/>
          <w:sz w:val="22"/>
          <w:szCs w:val="22"/>
        </w:rPr>
      </w:pPr>
      <w:r w:rsidRPr="008B425B">
        <w:rPr>
          <w:rFonts w:asciiTheme="majorHAnsi" w:hAnsiTheme="majorHAnsi" w:cstheme="majorHAnsi"/>
          <w:sz w:val="22"/>
          <w:szCs w:val="22"/>
        </w:rPr>
        <w:t>Prof. Bernadene de Clercq, Department of Taxation, College of Accounting Sciences, UNISA, 083 442 4659</w:t>
      </w:r>
    </w:p>
    <w:p w:rsidR="00BD5121" w:rsidRPr="00A70B0C" w:rsidRDefault="008D5EFE" w:rsidP="006D75FC">
      <w:pPr>
        <w:spacing w:line="276" w:lineRule="auto"/>
        <w:rPr>
          <w:rFonts w:ascii="Calibri" w:eastAsia="Calibri" w:hAnsi="Calibri" w:cs="Times New Roman"/>
          <w:lang w:val="en-ZA"/>
        </w:rPr>
      </w:pPr>
      <w:r>
        <w:rPr>
          <w:rFonts w:ascii="Calibri" w:eastAsia="Calibri" w:hAnsi="Calibri" w:cs="Times New Roman"/>
          <w:sz w:val="22"/>
          <w:szCs w:val="22"/>
          <w:lang w:val="en-ZA"/>
        </w:rPr>
        <w:t>M</w:t>
      </w:r>
      <w:r w:rsidR="00B406A6">
        <w:rPr>
          <w:rFonts w:ascii="Calibri" w:eastAsia="Calibri" w:hAnsi="Calibri" w:cs="Times New Roman"/>
          <w:sz w:val="22"/>
          <w:szCs w:val="22"/>
          <w:lang w:val="en-ZA"/>
        </w:rPr>
        <w:t>s</w:t>
      </w:r>
      <w:r>
        <w:rPr>
          <w:rFonts w:ascii="Calibri" w:eastAsia="Calibri" w:hAnsi="Calibri" w:cs="Times New Roman"/>
          <w:sz w:val="22"/>
          <w:szCs w:val="22"/>
          <w:lang w:val="en-ZA"/>
        </w:rPr>
        <w:t>. Jacolize Me</w:t>
      </w:r>
      <w:r w:rsidR="00162A35">
        <w:rPr>
          <w:rFonts w:ascii="Calibri" w:eastAsia="Calibri" w:hAnsi="Calibri" w:cs="Times New Roman"/>
          <w:sz w:val="22"/>
          <w:szCs w:val="22"/>
          <w:lang w:val="en-ZA"/>
        </w:rPr>
        <w:t>i</w:t>
      </w:r>
      <w:r>
        <w:rPr>
          <w:rFonts w:ascii="Calibri" w:eastAsia="Calibri" w:hAnsi="Calibri" w:cs="Times New Roman"/>
          <w:sz w:val="22"/>
          <w:szCs w:val="22"/>
          <w:lang w:val="en-ZA"/>
        </w:rPr>
        <w:t>ring, Bureau of Market Research, UNISA, 082 354 5777</w:t>
      </w:r>
      <w:r w:rsidR="00BD5121" w:rsidRPr="00A70B0C">
        <w:rPr>
          <w:rFonts w:ascii="Calibri" w:eastAsia="Calibri" w:hAnsi="Calibri" w:cs="Times New Roman"/>
          <w:lang w:val="en-ZA"/>
        </w:rPr>
        <w:t xml:space="preserve"> </w:t>
      </w:r>
    </w:p>
    <w:p w:rsidR="00000D9A" w:rsidRPr="008B425B" w:rsidRDefault="00000D9A" w:rsidP="00000D9A">
      <w:pPr>
        <w:spacing w:line="276" w:lineRule="auto"/>
        <w:rPr>
          <w:rFonts w:asciiTheme="majorHAnsi" w:hAnsiTheme="majorHAnsi" w:cstheme="majorHAnsi"/>
          <w:sz w:val="22"/>
          <w:szCs w:val="22"/>
        </w:rPr>
      </w:pPr>
      <w:r w:rsidRPr="008B425B">
        <w:rPr>
          <w:rFonts w:asciiTheme="majorHAnsi" w:hAnsiTheme="majorHAnsi" w:cstheme="majorHAnsi"/>
          <w:sz w:val="22"/>
          <w:szCs w:val="22"/>
        </w:rPr>
        <w:t>Prof. Carel van Aardt, Bureau of Market Research, UNISA, 082 950 4325</w:t>
      </w:r>
    </w:p>
    <w:p w:rsidR="00BD5121" w:rsidRDefault="00BD5121" w:rsidP="006D75FC">
      <w:pPr>
        <w:spacing w:line="276" w:lineRule="auto"/>
        <w:rPr>
          <w:rFonts w:asciiTheme="majorHAnsi" w:eastAsia="Calibri" w:hAnsiTheme="majorHAnsi" w:cs="Times New Roman"/>
          <w:b/>
          <w:lang w:val="en-ZA"/>
        </w:rPr>
      </w:pPr>
    </w:p>
    <w:p w:rsidR="00BD5121" w:rsidRPr="006D75FC" w:rsidRDefault="00BD5121" w:rsidP="00990A95">
      <w:pPr>
        <w:spacing w:after="20" w:line="276" w:lineRule="auto"/>
        <w:rPr>
          <w:rFonts w:asciiTheme="majorHAnsi" w:eastAsia="Calibri" w:hAnsiTheme="majorHAnsi" w:cs="Times New Roman"/>
          <w:b/>
          <w:sz w:val="22"/>
          <w:szCs w:val="22"/>
          <w:lang w:val="en-ZA"/>
        </w:rPr>
      </w:pPr>
      <w:r w:rsidRPr="006D75FC">
        <w:rPr>
          <w:rFonts w:asciiTheme="majorHAnsi" w:eastAsia="Calibri" w:hAnsiTheme="majorHAnsi" w:cs="Times New Roman"/>
          <w:b/>
          <w:sz w:val="22"/>
          <w:szCs w:val="22"/>
          <w:lang w:val="en-ZA"/>
        </w:rPr>
        <w:t>Bibliography</w:t>
      </w:r>
    </w:p>
    <w:p w:rsidR="00BD5121" w:rsidRPr="006D75FC" w:rsidRDefault="00BD5121" w:rsidP="006D75FC">
      <w:pPr>
        <w:spacing w:line="276" w:lineRule="auto"/>
        <w:rPr>
          <w:rFonts w:asciiTheme="majorHAnsi" w:eastAsia="Calibri" w:hAnsiTheme="majorHAnsi" w:cs="Times New Roman"/>
          <w:sz w:val="22"/>
          <w:szCs w:val="22"/>
          <w:lang w:val="en-ZA"/>
        </w:rPr>
      </w:pPr>
      <w:r w:rsidRPr="006D75FC">
        <w:rPr>
          <w:rFonts w:asciiTheme="majorHAnsi" w:eastAsia="Calibri" w:hAnsiTheme="majorHAnsi" w:cs="Times New Roman"/>
          <w:sz w:val="22"/>
          <w:szCs w:val="22"/>
          <w:lang w:val="en-ZA"/>
        </w:rPr>
        <w:t xml:space="preserve">JSE: </w:t>
      </w:r>
      <w:hyperlink r:id="rId9" w:history="1">
        <w:r w:rsidR="009149FB" w:rsidRPr="009149FB">
          <w:rPr>
            <w:rStyle w:val="Hyperlink"/>
            <w:rFonts w:asciiTheme="majorHAnsi" w:eastAsia="Calibri" w:hAnsiTheme="majorHAnsi" w:cs="Times New Roman"/>
            <w:color w:val="auto"/>
            <w:sz w:val="22"/>
            <w:szCs w:val="22"/>
            <w:u w:val="none"/>
            <w:lang w:val="en-ZA"/>
          </w:rPr>
          <w:t>www</w:t>
        </w:r>
      </w:hyperlink>
      <w:r w:rsidR="009149FB" w:rsidRPr="009149FB">
        <w:rPr>
          <w:rFonts w:asciiTheme="majorHAnsi" w:eastAsia="Calibri" w:hAnsiTheme="majorHAnsi" w:cs="Times New Roman"/>
          <w:sz w:val="22"/>
          <w:szCs w:val="22"/>
          <w:lang w:val="en-ZA"/>
        </w:rPr>
        <w:t>.jse.co.za</w:t>
      </w:r>
    </w:p>
    <w:p w:rsidR="00BD5121" w:rsidRDefault="006D75FC" w:rsidP="006D75FC">
      <w:pPr>
        <w:spacing w:line="276" w:lineRule="auto"/>
        <w:rPr>
          <w:rFonts w:asciiTheme="majorHAnsi" w:eastAsia="Calibri" w:hAnsiTheme="majorHAnsi" w:cs="Times New Roman"/>
          <w:sz w:val="22"/>
          <w:szCs w:val="22"/>
          <w:lang w:val="en-ZA"/>
        </w:rPr>
      </w:pPr>
      <w:r>
        <w:rPr>
          <w:rFonts w:asciiTheme="majorHAnsi" w:eastAsia="Calibri" w:hAnsiTheme="majorHAnsi" w:cs="Times New Roman"/>
          <w:sz w:val="22"/>
          <w:szCs w:val="22"/>
          <w:lang w:val="en-ZA"/>
        </w:rPr>
        <w:t>National Treasury: www. t</w:t>
      </w:r>
      <w:r w:rsidR="00BD5121" w:rsidRPr="006D75FC">
        <w:rPr>
          <w:rFonts w:asciiTheme="majorHAnsi" w:eastAsia="Calibri" w:hAnsiTheme="majorHAnsi" w:cs="Times New Roman"/>
          <w:sz w:val="22"/>
          <w:szCs w:val="22"/>
          <w:lang w:val="en-ZA"/>
        </w:rPr>
        <w:t>reasury.gov.za</w:t>
      </w:r>
    </w:p>
    <w:p w:rsidR="008D5EFE" w:rsidRPr="006D75FC" w:rsidRDefault="008D5EFE" w:rsidP="006D75FC">
      <w:pPr>
        <w:spacing w:line="276" w:lineRule="auto"/>
        <w:rPr>
          <w:rFonts w:asciiTheme="majorHAnsi" w:eastAsia="Calibri" w:hAnsiTheme="majorHAnsi" w:cs="Times New Roman"/>
          <w:sz w:val="22"/>
          <w:szCs w:val="22"/>
          <w:lang w:val="en-ZA"/>
        </w:rPr>
      </w:pPr>
      <w:r>
        <w:rPr>
          <w:rFonts w:asciiTheme="majorHAnsi" w:eastAsia="Calibri" w:hAnsiTheme="majorHAnsi" w:cs="Times New Roman"/>
          <w:sz w:val="22"/>
          <w:szCs w:val="22"/>
          <w:lang w:val="en-ZA"/>
        </w:rPr>
        <w:t>National Credit Regulator, Consumer Credit Report</w:t>
      </w:r>
    </w:p>
    <w:p w:rsidR="00BD5121" w:rsidRPr="006D75FC" w:rsidRDefault="00BD5121" w:rsidP="006D75FC">
      <w:pPr>
        <w:spacing w:line="276" w:lineRule="auto"/>
        <w:rPr>
          <w:rFonts w:asciiTheme="majorHAnsi" w:eastAsia="Calibri" w:hAnsiTheme="majorHAnsi" w:cs="Times New Roman"/>
          <w:sz w:val="22"/>
          <w:szCs w:val="22"/>
          <w:lang w:val="en-ZA"/>
        </w:rPr>
      </w:pPr>
      <w:r w:rsidRPr="006D75FC">
        <w:rPr>
          <w:rFonts w:asciiTheme="majorHAnsi" w:eastAsia="Calibri" w:hAnsiTheme="majorHAnsi" w:cs="Times New Roman"/>
          <w:sz w:val="22"/>
          <w:szCs w:val="22"/>
          <w:lang w:val="en-ZA"/>
        </w:rPr>
        <w:t xml:space="preserve">South African Reserve Bank. Quarterly Bulletin. </w:t>
      </w:r>
      <w:r w:rsidR="008D5EFE">
        <w:rPr>
          <w:rFonts w:asciiTheme="majorHAnsi" w:eastAsia="Calibri" w:hAnsiTheme="majorHAnsi" w:cs="Times New Roman"/>
          <w:sz w:val="22"/>
          <w:szCs w:val="22"/>
          <w:lang w:val="en-ZA"/>
        </w:rPr>
        <w:t>December</w:t>
      </w:r>
      <w:r w:rsidR="00873D6F">
        <w:rPr>
          <w:rFonts w:asciiTheme="majorHAnsi" w:eastAsia="Calibri" w:hAnsiTheme="majorHAnsi" w:cs="Times New Roman"/>
          <w:sz w:val="22"/>
          <w:szCs w:val="22"/>
          <w:lang w:val="en-ZA"/>
        </w:rPr>
        <w:t xml:space="preserve"> 2019</w:t>
      </w:r>
      <w:r w:rsidRPr="006D75FC">
        <w:rPr>
          <w:rFonts w:asciiTheme="majorHAnsi" w:eastAsia="Calibri" w:hAnsiTheme="majorHAnsi" w:cs="Times New Roman"/>
          <w:sz w:val="22"/>
          <w:szCs w:val="22"/>
          <w:lang w:val="en-ZA"/>
        </w:rPr>
        <w:t>. www.resbank.co.za</w:t>
      </w:r>
    </w:p>
    <w:p w:rsidR="00BD5121" w:rsidRPr="006D75FC" w:rsidRDefault="00BD5121" w:rsidP="006D75FC">
      <w:pPr>
        <w:spacing w:line="276" w:lineRule="auto"/>
        <w:rPr>
          <w:rFonts w:asciiTheme="majorHAnsi" w:eastAsia="Calibri" w:hAnsiTheme="majorHAnsi" w:cs="Times New Roman"/>
          <w:sz w:val="22"/>
          <w:szCs w:val="22"/>
          <w:lang w:val="en-ZA"/>
        </w:rPr>
      </w:pPr>
      <w:r w:rsidRPr="006D75FC">
        <w:rPr>
          <w:rFonts w:asciiTheme="majorHAnsi" w:eastAsia="Calibri" w:hAnsiTheme="majorHAnsi" w:cs="Times New Roman"/>
          <w:sz w:val="22"/>
          <w:szCs w:val="22"/>
          <w:lang w:val="en-ZA"/>
        </w:rPr>
        <w:t>Statistics South Africa. www.statssa.gov.za</w:t>
      </w:r>
    </w:p>
    <w:p w:rsidR="00BD5121" w:rsidRPr="00BD5121" w:rsidRDefault="00BD5121" w:rsidP="00BD5121">
      <w:pPr>
        <w:pStyle w:val="ListParagraph"/>
        <w:spacing w:after="0"/>
        <w:ind w:left="360"/>
        <w:rPr>
          <w:rFonts w:asciiTheme="majorHAnsi" w:hAnsiTheme="majorHAnsi" w:cs="Arial"/>
          <w:b/>
          <w:sz w:val="24"/>
          <w:szCs w:val="24"/>
          <w:lang w:val="en-GB"/>
        </w:rPr>
      </w:pPr>
    </w:p>
    <w:p w:rsidR="00BD5121" w:rsidRPr="00BD5121" w:rsidRDefault="00BD5121" w:rsidP="00BD5121">
      <w:pPr>
        <w:pStyle w:val="ListParagraph"/>
        <w:spacing w:after="0"/>
        <w:ind w:left="360"/>
        <w:rPr>
          <w:rFonts w:asciiTheme="majorHAnsi" w:hAnsiTheme="majorHAnsi" w:cs="Arial"/>
          <w:b/>
          <w:sz w:val="24"/>
          <w:szCs w:val="24"/>
          <w:lang w:val="en-GB"/>
        </w:rPr>
      </w:pPr>
    </w:p>
    <w:sectPr w:rsidR="00BD5121" w:rsidRPr="00BD5121" w:rsidSect="00990A95">
      <w:footerReference w:type="even" r:id="rId10"/>
      <w:footerReference w:type="default" r:id="rId11"/>
      <w:pgSz w:w="11900" w:h="16840"/>
      <w:pgMar w:top="25" w:right="851" w:bottom="817" w:left="85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7C8" w:rsidRDefault="00C427C8" w:rsidP="005B1652">
      <w:r>
        <w:separator/>
      </w:r>
    </w:p>
  </w:endnote>
  <w:endnote w:type="continuationSeparator" w:id="0">
    <w:p w:rsidR="00C427C8" w:rsidRDefault="00C427C8" w:rsidP="005B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60"/>
      <w:gridCol w:w="9846"/>
    </w:tblGrid>
    <w:tr w:rsidR="00BD5121" w:rsidRPr="00485651" w:rsidTr="005B1652">
      <w:tc>
        <w:tcPr>
          <w:tcW w:w="360" w:type="dxa"/>
          <w:tcBorders>
            <w:top w:val="nil"/>
            <w:left w:val="nil"/>
            <w:bottom w:val="nil"/>
            <w:right w:val="nil"/>
          </w:tcBorders>
          <w:shd w:val="clear" w:color="auto" w:fill="FF0000"/>
        </w:tcPr>
        <w:p w:rsidR="00BD5121" w:rsidRPr="005B1652" w:rsidRDefault="00BD5121" w:rsidP="00AE31F7">
          <w:pPr>
            <w:ind w:right="-174"/>
            <w:rPr>
              <w:rFonts w:ascii="Arial" w:hAnsi="Arial" w:cs="Arial"/>
              <w:b/>
              <w:color w:val="FFFFFF" w:themeColor="background1"/>
            </w:rPr>
          </w:pPr>
          <w:r w:rsidRPr="005B1652">
            <w:rPr>
              <w:rFonts w:ascii="Arial" w:hAnsi="Arial" w:cs="Arial"/>
              <w:b/>
              <w:color w:val="FFFFFF" w:themeColor="background1"/>
            </w:rPr>
            <w:fldChar w:fldCharType="begin"/>
          </w:r>
          <w:r w:rsidRPr="005B1652">
            <w:rPr>
              <w:rFonts w:ascii="Arial" w:hAnsi="Arial" w:cs="Arial"/>
              <w:b/>
              <w:color w:val="FFFFFF" w:themeColor="background1"/>
            </w:rPr>
            <w:instrText xml:space="preserve"> PAGE   \* MERGEFORMAT </w:instrText>
          </w:r>
          <w:r w:rsidRPr="005B1652">
            <w:rPr>
              <w:rFonts w:ascii="Arial" w:hAnsi="Arial" w:cs="Arial"/>
              <w:b/>
              <w:color w:val="FFFFFF" w:themeColor="background1"/>
            </w:rPr>
            <w:fldChar w:fldCharType="separate"/>
          </w:r>
          <w:r w:rsidR="00584A28">
            <w:rPr>
              <w:rFonts w:ascii="Arial" w:hAnsi="Arial" w:cs="Arial"/>
              <w:b/>
              <w:noProof/>
              <w:color w:val="FFFFFF" w:themeColor="background1"/>
            </w:rPr>
            <w:t>0</w:t>
          </w:r>
          <w:r w:rsidRPr="005B1652">
            <w:rPr>
              <w:rFonts w:ascii="Arial" w:hAnsi="Arial" w:cs="Arial"/>
              <w:b/>
              <w:color w:val="FFFFFF" w:themeColor="background1"/>
            </w:rPr>
            <w:fldChar w:fldCharType="end"/>
          </w:r>
        </w:p>
      </w:tc>
      <w:tc>
        <w:tcPr>
          <w:tcW w:w="9846" w:type="dxa"/>
          <w:tcBorders>
            <w:top w:val="nil"/>
            <w:left w:val="nil"/>
            <w:bottom w:val="nil"/>
            <w:right w:val="nil"/>
          </w:tcBorders>
          <w:shd w:val="clear" w:color="auto" w:fill="FF0000"/>
          <w:vAlign w:val="center"/>
        </w:tcPr>
        <w:p w:rsidR="00BD5121" w:rsidRPr="00485651" w:rsidRDefault="00C427C8" w:rsidP="00766457">
          <w:pPr>
            <w:tabs>
              <w:tab w:val="left" w:pos="3980"/>
              <w:tab w:val="center" w:pos="4446"/>
              <w:tab w:val="left" w:pos="6512"/>
            </w:tabs>
            <w:rPr>
              <w:color w:val="FFFFFF" w:themeColor="background1"/>
            </w:rPr>
          </w:pPr>
          <w:sdt>
            <w:sdtPr>
              <w:rPr>
                <w:rFonts w:ascii="Arial" w:hAnsi="Arial" w:cs="Arial"/>
                <w:b/>
                <w:bCs/>
                <w:caps/>
                <w:color w:val="FFFFFF" w:themeColor="background1"/>
                <w:sz w:val="14"/>
                <w:szCs w:val="14"/>
              </w:rPr>
              <w:alias w:val="Title"/>
              <w:id w:val="100081367"/>
              <w:dataBinding w:prefixMappings="xmlns:ns0='http://schemas.openxmlformats.org/package/2006/metadata/core-properties' xmlns:ns1='http://purl.org/dc/elements/1.1/'" w:xpath="/ns0:coreProperties[1]/ns1:title[1]" w:storeItemID="{6C3C8BC8-F283-45AE-878A-BAB7291924A1}"/>
              <w:text/>
            </w:sdtPr>
            <w:sdtEndPr/>
            <w:sdtContent>
              <w:r w:rsidR="007852D9">
                <w:rPr>
                  <w:rFonts w:ascii="Arial" w:hAnsi="Arial" w:cs="Arial"/>
                  <w:b/>
                  <w:bCs/>
                  <w:caps/>
                  <w:color w:val="FFFFFF" w:themeColor="background1"/>
                  <w:sz w:val="14"/>
                  <w:szCs w:val="14"/>
                </w:rPr>
                <w:t>South african household wealth index Q3 2019</w:t>
              </w:r>
            </w:sdtContent>
          </w:sdt>
          <w:r w:rsidR="00BD5121">
            <w:rPr>
              <w:rFonts w:ascii="Calibri" w:hAnsi="Calibri"/>
              <w:b/>
              <w:bCs/>
              <w:caps/>
              <w:color w:val="FFFFFF" w:themeColor="background1"/>
            </w:rPr>
            <w:tab/>
          </w:r>
          <w:r w:rsidR="00766457">
            <w:rPr>
              <w:rFonts w:ascii="Calibri" w:hAnsi="Calibri"/>
              <w:b/>
              <w:bCs/>
              <w:caps/>
              <w:color w:val="FFFFFF" w:themeColor="background1"/>
            </w:rPr>
            <w:tab/>
          </w:r>
          <w:r w:rsidR="00BD5121">
            <w:rPr>
              <w:rFonts w:ascii="Calibri" w:hAnsi="Calibri"/>
              <w:b/>
              <w:bCs/>
              <w:caps/>
              <w:color w:val="FFFFFF" w:themeColor="background1"/>
            </w:rPr>
            <w:tab/>
          </w:r>
        </w:p>
      </w:tc>
    </w:tr>
  </w:tbl>
  <w:p w:rsidR="00BD5121" w:rsidRDefault="00BD5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shd w:val="clear" w:color="auto" w:fill="92CDDC" w:themeFill="accent5" w:themeFillTint="99"/>
      <w:tblLook w:val="0600" w:firstRow="0" w:lastRow="0" w:firstColumn="0" w:lastColumn="0" w:noHBand="1" w:noVBand="1"/>
    </w:tblPr>
    <w:tblGrid>
      <w:gridCol w:w="9781"/>
      <w:gridCol w:w="425"/>
    </w:tblGrid>
    <w:tr w:rsidR="00BD5121" w:rsidRPr="0051003F" w:rsidTr="00FC79B1">
      <w:tc>
        <w:tcPr>
          <w:tcW w:w="9781" w:type="dxa"/>
          <w:shd w:val="clear" w:color="auto" w:fill="FF0000"/>
          <w:vAlign w:val="center"/>
        </w:tcPr>
        <w:p w:rsidR="00BD5121" w:rsidRPr="005B1652" w:rsidRDefault="00C427C8" w:rsidP="006D75FC">
          <w:pPr>
            <w:jc w:val="right"/>
            <w:rPr>
              <w:rFonts w:ascii="Arial" w:hAnsi="Arial" w:cs="Arial"/>
              <w:color w:val="FFFFFF" w:themeColor="background1"/>
              <w:sz w:val="14"/>
              <w:szCs w:val="14"/>
            </w:rPr>
          </w:pPr>
          <w:sdt>
            <w:sdtPr>
              <w:rPr>
                <w:rFonts w:ascii="Arial" w:hAnsi="Arial" w:cs="Arial"/>
                <w:b/>
                <w:bCs/>
                <w:caps/>
                <w:color w:val="FFFFFF" w:themeColor="background1"/>
                <w:sz w:val="14"/>
                <w:szCs w:val="14"/>
              </w:rPr>
              <w:alias w:val="Title"/>
              <w:id w:val="1530370706"/>
              <w:dataBinding w:prefixMappings="xmlns:ns0='http://schemas.openxmlformats.org/package/2006/metadata/core-properties' xmlns:ns1='http://purl.org/dc/elements/1.1/'" w:xpath="/ns0:coreProperties[1]/ns1:title[1]" w:storeItemID="{6C3C8BC8-F283-45AE-878A-BAB7291924A1}"/>
              <w:text/>
            </w:sdtPr>
            <w:sdtEndPr/>
            <w:sdtContent>
              <w:r w:rsidR="00F50F1D">
                <w:rPr>
                  <w:rFonts w:ascii="Arial" w:hAnsi="Arial" w:cs="Arial"/>
                  <w:b/>
                  <w:bCs/>
                  <w:caps/>
                  <w:color w:val="FFFFFF" w:themeColor="background1"/>
                  <w:sz w:val="14"/>
                  <w:szCs w:val="14"/>
                  <w:lang w:val="en-ZA"/>
                </w:rPr>
                <w:t>South african household wealth index Q</w:t>
              </w:r>
              <w:r w:rsidR="007852D9">
                <w:rPr>
                  <w:rFonts w:ascii="Arial" w:hAnsi="Arial" w:cs="Arial"/>
                  <w:b/>
                  <w:bCs/>
                  <w:caps/>
                  <w:color w:val="FFFFFF" w:themeColor="background1"/>
                  <w:sz w:val="14"/>
                  <w:szCs w:val="14"/>
                  <w:lang w:val="en-ZA"/>
                </w:rPr>
                <w:t xml:space="preserve">3 </w:t>
              </w:r>
              <w:r w:rsidR="00F50F1D">
                <w:rPr>
                  <w:rFonts w:ascii="Arial" w:hAnsi="Arial" w:cs="Arial"/>
                  <w:b/>
                  <w:bCs/>
                  <w:caps/>
                  <w:color w:val="FFFFFF" w:themeColor="background1"/>
                  <w:sz w:val="14"/>
                  <w:szCs w:val="14"/>
                  <w:lang w:val="en-ZA"/>
                </w:rPr>
                <w:t>201</w:t>
              </w:r>
              <w:r w:rsidR="00D42349">
                <w:rPr>
                  <w:rFonts w:ascii="Arial" w:hAnsi="Arial" w:cs="Arial"/>
                  <w:b/>
                  <w:bCs/>
                  <w:caps/>
                  <w:color w:val="FFFFFF" w:themeColor="background1"/>
                  <w:sz w:val="14"/>
                  <w:szCs w:val="14"/>
                  <w:lang w:val="en-ZA"/>
                </w:rPr>
                <w:t>9</w:t>
              </w:r>
            </w:sdtContent>
          </w:sdt>
        </w:p>
      </w:tc>
      <w:tc>
        <w:tcPr>
          <w:tcW w:w="425" w:type="dxa"/>
          <w:shd w:val="clear" w:color="auto" w:fill="FF0000"/>
        </w:tcPr>
        <w:p w:rsidR="00BD5121" w:rsidRPr="00FC79B1" w:rsidRDefault="00BD5121" w:rsidP="00AE31F7">
          <w:pPr>
            <w:ind w:left="-108"/>
            <w:rPr>
              <w:rFonts w:ascii="Arial" w:hAnsi="Arial" w:cs="Arial"/>
              <w:color w:val="FFFFFF" w:themeColor="background1"/>
            </w:rPr>
          </w:pPr>
          <w:r w:rsidRPr="0051003F">
            <w:rPr>
              <w:rFonts w:ascii="Calibri" w:hAnsi="Calibri"/>
              <w:b/>
              <w:color w:val="FFFFFF" w:themeColor="background1"/>
            </w:rPr>
            <w:fldChar w:fldCharType="begin"/>
          </w:r>
          <w:r w:rsidRPr="0051003F">
            <w:rPr>
              <w:rFonts w:ascii="Calibri" w:hAnsi="Calibri"/>
              <w:b/>
              <w:color w:val="FFFFFF" w:themeColor="background1"/>
            </w:rPr>
            <w:instrText xml:space="preserve"> PAGE   \* MERGEFORMAT </w:instrText>
          </w:r>
          <w:r w:rsidRPr="0051003F">
            <w:rPr>
              <w:rFonts w:ascii="Calibri" w:hAnsi="Calibri"/>
              <w:b/>
              <w:color w:val="FFFFFF" w:themeColor="background1"/>
            </w:rPr>
            <w:fldChar w:fldCharType="separate"/>
          </w:r>
          <w:r w:rsidR="00155DC3">
            <w:rPr>
              <w:rFonts w:ascii="Calibri" w:hAnsi="Calibri"/>
              <w:b/>
              <w:noProof/>
              <w:color w:val="FFFFFF" w:themeColor="background1"/>
            </w:rPr>
            <w:t>3</w:t>
          </w:r>
          <w:r w:rsidRPr="0051003F">
            <w:rPr>
              <w:rFonts w:ascii="Calibri" w:hAnsi="Calibri"/>
              <w:b/>
              <w:color w:val="FFFFFF" w:themeColor="background1"/>
            </w:rPr>
            <w:fldChar w:fldCharType="end"/>
          </w:r>
        </w:p>
      </w:tc>
    </w:tr>
  </w:tbl>
  <w:p w:rsidR="00BD5121" w:rsidRDefault="00BD5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7C8" w:rsidRDefault="00C427C8" w:rsidP="005B1652">
      <w:r>
        <w:separator/>
      </w:r>
    </w:p>
  </w:footnote>
  <w:footnote w:type="continuationSeparator" w:id="0">
    <w:p w:rsidR="00C427C8" w:rsidRDefault="00C427C8" w:rsidP="005B1652">
      <w:r>
        <w:continuationSeparator/>
      </w:r>
    </w:p>
  </w:footnote>
  <w:footnote w:id="1">
    <w:p w:rsidR="007E0372" w:rsidRDefault="007E0372" w:rsidP="007E0372">
      <w:pPr>
        <w:pStyle w:val="FootnoteText"/>
        <w:rPr>
          <w:i/>
        </w:rPr>
      </w:pPr>
      <w:r>
        <w:rPr>
          <w:rStyle w:val="FootnoteReference"/>
        </w:rPr>
        <w:footnoteRef/>
      </w:r>
      <w:r>
        <w:rPr>
          <w:i/>
        </w:rPr>
        <w:t>The real value of household net wealth, liabilities and assets is the current value minus the impact of consumer price inflation.</w:t>
      </w:r>
    </w:p>
    <w:p w:rsidR="007E0372" w:rsidRDefault="007E0372" w:rsidP="007E037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1E9E"/>
    <w:multiLevelType w:val="hybridMultilevel"/>
    <w:tmpl w:val="97F63352"/>
    <w:lvl w:ilvl="0" w:tplc="1C090001">
      <w:start w:val="1"/>
      <w:numFmt w:val="bullet"/>
      <w:lvlText w:val=""/>
      <w:lvlJc w:val="left"/>
      <w:pPr>
        <w:ind w:left="940" w:hanging="360"/>
      </w:pPr>
      <w:rPr>
        <w:rFonts w:ascii="Symbol" w:hAnsi="Symbol" w:hint="default"/>
      </w:rPr>
    </w:lvl>
    <w:lvl w:ilvl="1" w:tplc="1C090003" w:tentative="1">
      <w:start w:val="1"/>
      <w:numFmt w:val="bullet"/>
      <w:lvlText w:val="o"/>
      <w:lvlJc w:val="left"/>
      <w:pPr>
        <w:ind w:left="1660" w:hanging="360"/>
      </w:pPr>
      <w:rPr>
        <w:rFonts w:ascii="Courier New" w:hAnsi="Courier New" w:cs="Courier New" w:hint="default"/>
      </w:rPr>
    </w:lvl>
    <w:lvl w:ilvl="2" w:tplc="1C090005" w:tentative="1">
      <w:start w:val="1"/>
      <w:numFmt w:val="bullet"/>
      <w:lvlText w:val=""/>
      <w:lvlJc w:val="left"/>
      <w:pPr>
        <w:ind w:left="2380" w:hanging="360"/>
      </w:pPr>
      <w:rPr>
        <w:rFonts w:ascii="Wingdings" w:hAnsi="Wingdings" w:hint="default"/>
      </w:rPr>
    </w:lvl>
    <w:lvl w:ilvl="3" w:tplc="1C090001" w:tentative="1">
      <w:start w:val="1"/>
      <w:numFmt w:val="bullet"/>
      <w:lvlText w:val=""/>
      <w:lvlJc w:val="left"/>
      <w:pPr>
        <w:ind w:left="3100" w:hanging="360"/>
      </w:pPr>
      <w:rPr>
        <w:rFonts w:ascii="Symbol" w:hAnsi="Symbol" w:hint="default"/>
      </w:rPr>
    </w:lvl>
    <w:lvl w:ilvl="4" w:tplc="1C090003" w:tentative="1">
      <w:start w:val="1"/>
      <w:numFmt w:val="bullet"/>
      <w:lvlText w:val="o"/>
      <w:lvlJc w:val="left"/>
      <w:pPr>
        <w:ind w:left="3820" w:hanging="360"/>
      </w:pPr>
      <w:rPr>
        <w:rFonts w:ascii="Courier New" w:hAnsi="Courier New" w:cs="Courier New" w:hint="default"/>
      </w:rPr>
    </w:lvl>
    <w:lvl w:ilvl="5" w:tplc="1C090005" w:tentative="1">
      <w:start w:val="1"/>
      <w:numFmt w:val="bullet"/>
      <w:lvlText w:val=""/>
      <w:lvlJc w:val="left"/>
      <w:pPr>
        <w:ind w:left="4540" w:hanging="360"/>
      </w:pPr>
      <w:rPr>
        <w:rFonts w:ascii="Wingdings" w:hAnsi="Wingdings" w:hint="default"/>
      </w:rPr>
    </w:lvl>
    <w:lvl w:ilvl="6" w:tplc="1C090001" w:tentative="1">
      <w:start w:val="1"/>
      <w:numFmt w:val="bullet"/>
      <w:lvlText w:val=""/>
      <w:lvlJc w:val="left"/>
      <w:pPr>
        <w:ind w:left="5260" w:hanging="360"/>
      </w:pPr>
      <w:rPr>
        <w:rFonts w:ascii="Symbol" w:hAnsi="Symbol" w:hint="default"/>
      </w:rPr>
    </w:lvl>
    <w:lvl w:ilvl="7" w:tplc="1C090003" w:tentative="1">
      <w:start w:val="1"/>
      <w:numFmt w:val="bullet"/>
      <w:lvlText w:val="o"/>
      <w:lvlJc w:val="left"/>
      <w:pPr>
        <w:ind w:left="5980" w:hanging="360"/>
      </w:pPr>
      <w:rPr>
        <w:rFonts w:ascii="Courier New" w:hAnsi="Courier New" w:cs="Courier New" w:hint="default"/>
      </w:rPr>
    </w:lvl>
    <w:lvl w:ilvl="8" w:tplc="1C090005" w:tentative="1">
      <w:start w:val="1"/>
      <w:numFmt w:val="bullet"/>
      <w:lvlText w:val=""/>
      <w:lvlJc w:val="left"/>
      <w:pPr>
        <w:ind w:left="6700" w:hanging="360"/>
      </w:pPr>
      <w:rPr>
        <w:rFonts w:ascii="Wingdings" w:hAnsi="Wingdings" w:hint="default"/>
      </w:rPr>
    </w:lvl>
  </w:abstractNum>
  <w:abstractNum w:abstractNumId="1" w15:restartNumberingAfterBreak="0">
    <w:nsid w:val="08B408B1"/>
    <w:multiLevelType w:val="hybridMultilevel"/>
    <w:tmpl w:val="575482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216C61"/>
    <w:multiLevelType w:val="hybridMultilevel"/>
    <w:tmpl w:val="0BC01A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1E6245"/>
    <w:multiLevelType w:val="hybridMultilevel"/>
    <w:tmpl w:val="76C603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AF1B16"/>
    <w:multiLevelType w:val="hybridMultilevel"/>
    <w:tmpl w:val="97CC01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2B578C"/>
    <w:multiLevelType w:val="hybridMultilevel"/>
    <w:tmpl w:val="B5BA3D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6163E6"/>
    <w:multiLevelType w:val="hybridMultilevel"/>
    <w:tmpl w:val="74F0B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7E789A"/>
    <w:multiLevelType w:val="multilevel"/>
    <w:tmpl w:val="E9E0BF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0B6B7C"/>
    <w:multiLevelType w:val="hybridMultilevel"/>
    <w:tmpl w:val="7AA23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F90DAE"/>
    <w:multiLevelType w:val="hybridMultilevel"/>
    <w:tmpl w:val="14E04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8C7022"/>
    <w:multiLevelType w:val="hybridMultilevel"/>
    <w:tmpl w:val="1A7C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5544BCF"/>
    <w:multiLevelType w:val="hybridMultilevel"/>
    <w:tmpl w:val="F1002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E946EB"/>
    <w:multiLevelType w:val="hybridMultilevel"/>
    <w:tmpl w:val="C2AA7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661840"/>
    <w:multiLevelType w:val="hybridMultilevel"/>
    <w:tmpl w:val="13B203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D2D2F"/>
    <w:multiLevelType w:val="hybridMultilevel"/>
    <w:tmpl w:val="38E87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AD28C8"/>
    <w:multiLevelType w:val="hybridMultilevel"/>
    <w:tmpl w:val="6D3CE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5720CD8"/>
    <w:multiLevelType w:val="hybridMultilevel"/>
    <w:tmpl w:val="F69E9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1B3677"/>
    <w:multiLevelType w:val="hybridMultilevel"/>
    <w:tmpl w:val="3F228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030553"/>
    <w:multiLevelType w:val="hybridMultilevel"/>
    <w:tmpl w:val="008EC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3139C9"/>
    <w:multiLevelType w:val="hybridMultilevel"/>
    <w:tmpl w:val="34AC0366"/>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20" w15:restartNumberingAfterBreak="0">
    <w:nsid w:val="3B1D76BC"/>
    <w:multiLevelType w:val="hybridMultilevel"/>
    <w:tmpl w:val="BC7A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57DB9"/>
    <w:multiLevelType w:val="hybridMultilevel"/>
    <w:tmpl w:val="FC26002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45EC2C5A"/>
    <w:multiLevelType w:val="hybridMultilevel"/>
    <w:tmpl w:val="F3B04504"/>
    <w:lvl w:ilvl="0" w:tplc="9B56C41C">
      <w:start w:val="108"/>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5545F2"/>
    <w:multiLevelType w:val="hybridMultilevel"/>
    <w:tmpl w:val="40B6F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DF02F98"/>
    <w:multiLevelType w:val="hybridMultilevel"/>
    <w:tmpl w:val="4252C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A87ACD"/>
    <w:multiLevelType w:val="hybridMultilevel"/>
    <w:tmpl w:val="B262CA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0D5326F"/>
    <w:multiLevelType w:val="hybridMultilevel"/>
    <w:tmpl w:val="11B6AEA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7" w15:restartNumberingAfterBreak="0">
    <w:nsid w:val="50F32DDE"/>
    <w:multiLevelType w:val="hybridMultilevel"/>
    <w:tmpl w:val="B9BAC048"/>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8" w15:restartNumberingAfterBreak="0">
    <w:nsid w:val="525F5F75"/>
    <w:multiLevelType w:val="hybridMultilevel"/>
    <w:tmpl w:val="94ECA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9C6551C"/>
    <w:multiLevelType w:val="hybridMultilevel"/>
    <w:tmpl w:val="C3C61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9F3066A"/>
    <w:multiLevelType w:val="multilevel"/>
    <w:tmpl w:val="777E7D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AC74360"/>
    <w:multiLevelType w:val="hybridMultilevel"/>
    <w:tmpl w:val="65C6D634"/>
    <w:lvl w:ilvl="0" w:tplc="3754E874">
      <w:start w:val="1"/>
      <w:numFmt w:val="decimal"/>
      <w:lvlText w:val="%1)"/>
      <w:lvlJc w:val="left"/>
      <w:pPr>
        <w:ind w:left="360" w:hanging="360"/>
      </w:pPr>
      <w:rPr>
        <w:rFonts w:asciiTheme="minorHAnsi" w:hAnsiTheme="minorHAnsi" w:cstheme="minorBid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2663A2D"/>
    <w:multiLevelType w:val="hybridMultilevel"/>
    <w:tmpl w:val="41FE07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86123FA"/>
    <w:multiLevelType w:val="hybridMultilevel"/>
    <w:tmpl w:val="CB16C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94420F6"/>
    <w:multiLevelType w:val="hybridMultilevel"/>
    <w:tmpl w:val="70500D7C"/>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5" w15:restartNumberingAfterBreak="0">
    <w:nsid w:val="6EB55573"/>
    <w:multiLevelType w:val="hybridMultilevel"/>
    <w:tmpl w:val="DC322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25F01DA"/>
    <w:multiLevelType w:val="hybridMultilevel"/>
    <w:tmpl w:val="6DF83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5615399"/>
    <w:multiLevelType w:val="hybridMultilevel"/>
    <w:tmpl w:val="4D40F7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74385A"/>
    <w:multiLevelType w:val="hybridMultilevel"/>
    <w:tmpl w:val="23D4CD72"/>
    <w:lvl w:ilvl="0" w:tplc="1C090001">
      <w:start w:val="1"/>
      <w:numFmt w:val="bullet"/>
      <w:lvlText w:val=""/>
      <w:lvlJc w:val="left"/>
      <w:pPr>
        <w:ind w:left="6480" w:hanging="360"/>
      </w:pPr>
      <w:rPr>
        <w:rFonts w:ascii="Symbol" w:hAnsi="Symbol" w:hint="default"/>
      </w:rPr>
    </w:lvl>
    <w:lvl w:ilvl="1" w:tplc="1C090003" w:tentative="1">
      <w:start w:val="1"/>
      <w:numFmt w:val="bullet"/>
      <w:lvlText w:val="o"/>
      <w:lvlJc w:val="left"/>
      <w:pPr>
        <w:ind w:left="7200" w:hanging="360"/>
      </w:pPr>
      <w:rPr>
        <w:rFonts w:ascii="Courier New" w:hAnsi="Courier New" w:cs="Courier New" w:hint="default"/>
      </w:rPr>
    </w:lvl>
    <w:lvl w:ilvl="2" w:tplc="1C090005" w:tentative="1">
      <w:start w:val="1"/>
      <w:numFmt w:val="bullet"/>
      <w:lvlText w:val=""/>
      <w:lvlJc w:val="left"/>
      <w:pPr>
        <w:ind w:left="7920" w:hanging="360"/>
      </w:pPr>
      <w:rPr>
        <w:rFonts w:ascii="Wingdings" w:hAnsi="Wingdings" w:hint="default"/>
      </w:rPr>
    </w:lvl>
    <w:lvl w:ilvl="3" w:tplc="1C090001" w:tentative="1">
      <w:start w:val="1"/>
      <w:numFmt w:val="bullet"/>
      <w:lvlText w:val=""/>
      <w:lvlJc w:val="left"/>
      <w:pPr>
        <w:ind w:left="8640" w:hanging="360"/>
      </w:pPr>
      <w:rPr>
        <w:rFonts w:ascii="Symbol" w:hAnsi="Symbol" w:hint="default"/>
      </w:rPr>
    </w:lvl>
    <w:lvl w:ilvl="4" w:tplc="1C090003" w:tentative="1">
      <w:start w:val="1"/>
      <w:numFmt w:val="bullet"/>
      <w:lvlText w:val="o"/>
      <w:lvlJc w:val="left"/>
      <w:pPr>
        <w:ind w:left="9360" w:hanging="360"/>
      </w:pPr>
      <w:rPr>
        <w:rFonts w:ascii="Courier New" w:hAnsi="Courier New" w:cs="Courier New" w:hint="default"/>
      </w:rPr>
    </w:lvl>
    <w:lvl w:ilvl="5" w:tplc="1C090005" w:tentative="1">
      <w:start w:val="1"/>
      <w:numFmt w:val="bullet"/>
      <w:lvlText w:val=""/>
      <w:lvlJc w:val="left"/>
      <w:pPr>
        <w:ind w:left="10080" w:hanging="360"/>
      </w:pPr>
      <w:rPr>
        <w:rFonts w:ascii="Wingdings" w:hAnsi="Wingdings" w:hint="default"/>
      </w:rPr>
    </w:lvl>
    <w:lvl w:ilvl="6" w:tplc="1C090001" w:tentative="1">
      <w:start w:val="1"/>
      <w:numFmt w:val="bullet"/>
      <w:lvlText w:val=""/>
      <w:lvlJc w:val="left"/>
      <w:pPr>
        <w:ind w:left="10800" w:hanging="360"/>
      </w:pPr>
      <w:rPr>
        <w:rFonts w:ascii="Symbol" w:hAnsi="Symbol" w:hint="default"/>
      </w:rPr>
    </w:lvl>
    <w:lvl w:ilvl="7" w:tplc="1C090003" w:tentative="1">
      <w:start w:val="1"/>
      <w:numFmt w:val="bullet"/>
      <w:lvlText w:val="o"/>
      <w:lvlJc w:val="left"/>
      <w:pPr>
        <w:ind w:left="11520" w:hanging="360"/>
      </w:pPr>
      <w:rPr>
        <w:rFonts w:ascii="Courier New" w:hAnsi="Courier New" w:cs="Courier New" w:hint="default"/>
      </w:rPr>
    </w:lvl>
    <w:lvl w:ilvl="8" w:tplc="1C090005" w:tentative="1">
      <w:start w:val="1"/>
      <w:numFmt w:val="bullet"/>
      <w:lvlText w:val=""/>
      <w:lvlJc w:val="left"/>
      <w:pPr>
        <w:ind w:left="12240" w:hanging="360"/>
      </w:pPr>
      <w:rPr>
        <w:rFonts w:ascii="Wingdings" w:hAnsi="Wingdings" w:hint="default"/>
      </w:rPr>
    </w:lvl>
  </w:abstractNum>
  <w:abstractNum w:abstractNumId="39" w15:restartNumberingAfterBreak="0">
    <w:nsid w:val="78616310"/>
    <w:multiLevelType w:val="hybridMultilevel"/>
    <w:tmpl w:val="A3823A2A"/>
    <w:lvl w:ilvl="0" w:tplc="E5742676">
      <w:start w:val="1"/>
      <w:numFmt w:val="decimal"/>
      <w:lvlText w:val="%1)"/>
      <w:lvlJc w:val="left"/>
      <w:pPr>
        <w:ind w:left="360" w:hanging="360"/>
      </w:pPr>
      <w:rPr>
        <w:rFonts w:ascii="Arial" w:hAnsi="Arial" w:cs="Arial"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788717C9"/>
    <w:multiLevelType w:val="hybridMultilevel"/>
    <w:tmpl w:val="6E008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C86E41"/>
    <w:multiLevelType w:val="hybridMultilevel"/>
    <w:tmpl w:val="EF5C1C4A"/>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42" w15:restartNumberingAfterBreak="0">
    <w:nsid w:val="79114C88"/>
    <w:multiLevelType w:val="hybridMultilevel"/>
    <w:tmpl w:val="721E76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0C6D10"/>
    <w:multiLevelType w:val="hybridMultilevel"/>
    <w:tmpl w:val="9148F4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8"/>
  </w:num>
  <w:num w:numId="4">
    <w:abstractNumId w:val="25"/>
  </w:num>
  <w:num w:numId="5">
    <w:abstractNumId w:val="7"/>
  </w:num>
  <w:num w:numId="6">
    <w:abstractNumId w:val="22"/>
  </w:num>
  <w:num w:numId="7">
    <w:abstractNumId w:val="17"/>
  </w:num>
  <w:num w:numId="8">
    <w:abstractNumId w:val="1"/>
  </w:num>
  <w:num w:numId="9">
    <w:abstractNumId w:val="5"/>
  </w:num>
  <w:num w:numId="10">
    <w:abstractNumId w:val="6"/>
  </w:num>
  <w:num w:numId="11">
    <w:abstractNumId w:val="3"/>
  </w:num>
  <w:num w:numId="12">
    <w:abstractNumId w:val="32"/>
  </w:num>
  <w:num w:numId="13">
    <w:abstractNumId w:val="42"/>
  </w:num>
  <w:num w:numId="14">
    <w:abstractNumId w:val="35"/>
  </w:num>
  <w:num w:numId="15">
    <w:abstractNumId w:val="0"/>
  </w:num>
  <w:num w:numId="16">
    <w:abstractNumId w:val="28"/>
  </w:num>
  <w:num w:numId="17">
    <w:abstractNumId w:val="2"/>
  </w:num>
  <w:num w:numId="18">
    <w:abstractNumId w:val="27"/>
  </w:num>
  <w:num w:numId="19">
    <w:abstractNumId w:val="10"/>
  </w:num>
  <w:num w:numId="20">
    <w:abstractNumId w:val="19"/>
  </w:num>
  <w:num w:numId="21">
    <w:abstractNumId w:val="36"/>
  </w:num>
  <w:num w:numId="22">
    <w:abstractNumId w:val="34"/>
  </w:num>
  <w:num w:numId="23">
    <w:abstractNumId w:val="15"/>
  </w:num>
  <w:num w:numId="24">
    <w:abstractNumId w:val="11"/>
  </w:num>
  <w:num w:numId="25">
    <w:abstractNumId w:val="12"/>
  </w:num>
  <w:num w:numId="26">
    <w:abstractNumId w:val="23"/>
  </w:num>
  <w:num w:numId="27">
    <w:abstractNumId w:val="43"/>
  </w:num>
  <w:num w:numId="28">
    <w:abstractNumId w:val="4"/>
  </w:num>
  <w:num w:numId="29">
    <w:abstractNumId w:val="31"/>
  </w:num>
  <w:num w:numId="30">
    <w:abstractNumId w:val="24"/>
  </w:num>
  <w:num w:numId="31">
    <w:abstractNumId w:val="16"/>
  </w:num>
  <w:num w:numId="32">
    <w:abstractNumId w:val="39"/>
  </w:num>
  <w:num w:numId="33">
    <w:abstractNumId w:val="13"/>
  </w:num>
  <w:num w:numId="34">
    <w:abstractNumId w:val="18"/>
  </w:num>
  <w:num w:numId="35">
    <w:abstractNumId w:val="33"/>
  </w:num>
  <w:num w:numId="36">
    <w:abstractNumId w:val="41"/>
  </w:num>
  <w:num w:numId="37">
    <w:abstractNumId w:val="38"/>
  </w:num>
  <w:num w:numId="38">
    <w:abstractNumId w:val="29"/>
  </w:num>
  <w:num w:numId="39">
    <w:abstractNumId w:val="26"/>
  </w:num>
  <w:num w:numId="40">
    <w:abstractNumId w:val="21"/>
  </w:num>
  <w:num w:numId="41">
    <w:abstractNumId w:val="40"/>
  </w:num>
  <w:num w:numId="42">
    <w:abstractNumId w:val="37"/>
  </w:num>
  <w:num w:numId="43">
    <w:abstractNumId w:val="1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75"/>
    <w:rsid w:val="000000D6"/>
    <w:rsid w:val="00000D9A"/>
    <w:rsid w:val="0000116A"/>
    <w:rsid w:val="00001B2A"/>
    <w:rsid w:val="00011732"/>
    <w:rsid w:val="000126B0"/>
    <w:rsid w:val="000126F6"/>
    <w:rsid w:val="00013670"/>
    <w:rsid w:val="00013A17"/>
    <w:rsid w:val="00021E4D"/>
    <w:rsid w:val="00022BDF"/>
    <w:rsid w:val="000302DD"/>
    <w:rsid w:val="00032FAB"/>
    <w:rsid w:val="00040C86"/>
    <w:rsid w:val="00042705"/>
    <w:rsid w:val="0004721A"/>
    <w:rsid w:val="0005089F"/>
    <w:rsid w:val="00052D60"/>
    <w:rsid w:val="00055E72"/>
    <w:rsid w:val="00056249"/>
    <w:rsid w:val="000563E3"/>
    <w:rsid w:val="000574CC"/>
    <w:rsid w:val="0005756A"/>
    <w:rsid w:val="00060D7F"/>
    <w:rsid w:val="00063403"/>
    <w:rsid w:val="0006343D"/>
    <w:rsid w:val="00064641"/>
    <w:rsid w:val="00064E9D"/>
    <w:rsid w:val="00065B25"/>
    <w:rsid w:val="000734FA"/>
    <w:rsid w:val="00073672"/>
    <w:rsid w:val="00073C3B"/>
    <w:rsid w:val="000801C6"/>
    <w:rsid w:val="00086CD8"/>
    <w:rsid w:val="00095787"/>
    <w:rsid w:val="000A1CB8"/>
    <w:rsid w:val="000A1FB3"/>
    <w:rsid w:val="000A2EF4"/>
    <w:rsid w:val="000A5602"/>
    <w:rsid w:val="000A5AE8"/>
    <w:rsid w:val="000A6342"/>
    <w:rsid w:val="000A6511"/>
    <w:rsid w:val="000A759A"/>
    <w:rsid w:val="000A7E97"/>
    <w:rsid w:val="000B3086"/>
    <w:rsid w:val="000B5AFF"/>
    <w:rsid w:val="000C4039"/>
    <w:rsid w:val="000C4223"/>
    <w:rsid w:val="000D1F0F"/>
    <w:rsid w:val="000D5383"/>
    <w:rsid w:val="000D6699"/>
    <w:rsid w:val="000E2552"/>
    <w:rsid w:val="000E77F9"/>
    <w:rsid w:val="000F1788"/>
    <w:rsid w:val="000F3F7B"/>
    <w:rsid w:val="000F5375"/>
    <w:rsid w:val="00103A9E"/>
    <w:rsid w:val="001048EE"/>
    <w:rsid w:val="00113958"/>
    <w:rsid w:val="00114866"/>
    <w:rsid w:val="00120B00"/>
    <w:rsid w:val="00127190"/>
    <w:rsid w:val="001306CB"/>
    <w:rsid w:val="001347B0"/>
    <w:rsid w:val="0015338C"/>
    <w:rsid w:val="0015364A"/>
    <w:rsid w:val="00155DC3"/>
    <w:rsid w:val="00156D56"/>
    <w:rsid w:val="00157A78"/>
    <w:rsid w:val="00162A35"/>
    <w:rsid w:val="001637B6"/>
    <w:rsid w:val="00170CA2"/>
    <w:rsid w:val="00171F92"/>
    <w:rsid w:val="001726A2"/>
    <w:rsid w:val="00172886"/>
    <w:rsid w:val="00173E65"/>
    <w:rsid w:val="00174110"/>
    <w:rsid w:val="0017786F"/>
    <w:rsid w:val="0018145A"/>
    <w:rsid w:val="00182888"/>
    <w:rsid w:val="00184684"/>
    <w:rsid w:val="0018496E"/>
    <w:rsid w:val="00184E17"/>
    <w:rsid w:val="00187AC4"/>
    <w:rsid w:val="001933AA"/>
    <w:rsid w:val="00195329"/>
    <w:rsid w:val="00196AD6"/>
    <w:rsid w:val="00197382"/>
    <w:rsid w:val="001A284E"/>
    <w:rsid w:val="001B6217"/>
    <w:rsid w:val="001C324D"/>
    <w:rsid w:val="001D2379"/>
    <w:rsid w:val="001D4350"/>
    <w:rsid w:val="001D6090"/>
    <w:rsid w:val="001E3524"/>
    <w:rsid w:val="001E5E57"/>
    <w:rsid w:val="001E6FDD"/>
    <w:rsid w:val="001F0D00"/>
    <w:rsid w:val="001F0DC0"/>
    <w:rsid w:val="001F1000"/>
    <w:rsid w:val="001F7C89"/>
    <w:rsid w:val="00204A85"/>
    <w:rsid w:val="0020603E"/>
    <w:rsid w:val="00207C29"/>
    <w:rsid w:val="00211F73"/>
    <w:rsid w:val="0021415B"/>
    <w:rsid w:val="00215AD4"/>
    <w:rsid w:val="00216081"/>
    <w:rsid w:val="002160BC"/>
    <w:rsid w:val="002177C1"/>
    <w:rsid w:val="002203A3"/>
    <w:rsid w:val="00223163"/>
    <w:rsid w:val="00226020"/>
    <w:rsid w:val="00227E29"/>
    <w:rsid w:val="00230396"/>
    <w:rsid w:val="00230ACE"/>
    <w:rsid w:val="0023487C"/>
    <w:rsid w:val="00243234"/>
    <w:rsid w:val="002436A5"/>
    <w:rsid w:val="0024408E"/>
    <w:rsid w:val="0024454E"/>
    <w:rsid w:val="00244F21"/>
    <w:rsid w:val="00256E2A"/>
    <w:rsid w:val="00257A30"/>
    <w:rsid w:val="00260B2A"/>
    <w:rsid w:val="00264E7C"/>
    <w:rsid w:val="002665E6"/>
    <w:rsid w:val="002707EA"/>
    <w:rsid w:val="00272DA8"/>
    <w:rsid w:val="002739A2"/>
    <w:rsid w:val="00282C14"/>
    <w:rsid w:val="002831D0"/>
    <w:rsid w:val="00287516"/>
    <w:rsid w:val="00290B9D"/>
    <w:rsid w:val="002931A3"/>
    <w:rsid w:val="00295196"/>
    <w:rsid w:val="00296151"/>
    <w:rsid w:val="002A0F15"/>
    <w:rsid w:val="002A4F25"/>
    <w:rsid w:val="002B2D82"/>
    <w:rsid w:val="002B6B9F"/>
    <w:rsid w:val="002C1F14"/>
    <w:rsid w:val="002C210D"/>
    <w:rsid w:val="002C731F"/>
    <w:rsid w:val="002D241E"/>
    <w:rsid w:val="002D24F2"/>
    <w:rsid w:val="002D2BA0"/>
    <w:rsid w:val="002D2CB3"/>
    <w:rsid w:val="002D4858"/>
    <w:rsid w:val="002E1946"/>
    <w:rsid w:val="002F0E3E"/>
    <w:rsid w:val="002F2586"/>
    <w:rsid w:val="002F7408"/>
    <w:rsid w:val="00301015"/>
    <w:rsid w:val="00301377"/>
    <w:rsid w:val="0031041D"/>
    <w:rsid w:val="0031574A"/>
    <w:rsid w:val="00322CD9"/>
    <w:rsid w:val="00324D46"/>
    <w:rsid w:val="00332264"/>
    <w:rsid w:val="003373C5"/>
    <w:rsid w:val="0034104E"/>
    <w:rsid w:val="00345C82"/>
    <w:rsid w:val="00346DB5"/>
    <w:rsid w:val="00354CAA"/>
    <w:rsid w:val="003554E4"/>
    <w:rsid w:val="003607B3"/>
    <w:rsid w:val="00362C0E"/>
    <w:rsid w:val="003636E7"/>
    <w:rsid w:val="00372E97"/>
    <w:rsid w:val="003762B0"/>
    <w:rsid w:val="00377023"/>
    <w:rsid w:val="00380FE5"/>
    <w:rsid w:val="00382E9B"/>
    <w:rsid w:val="00383FAC"/>
    <w:rsid w:val="003B749C"/>
    <w:rsid w:val="003C35C7"/>
    <w:rsid w:val="003C3E30"/>
    <w:rsid w:val="003C6232"/>
    <w:rsid w:val="003C727C"/>
    <w:rsid w:val="003D0306"/>
    <w:rsid w:val="003E021D"/>
    <w:rsid w:val="003E0B31"/>
    <w:rsid w:val="003E39D8"/>
    <w:rsid w:val="003F05F2"/>
    <w:rsid w:val="003F1367"/>
    <w:rsid w:val="003F1C53"/>
    <w:rsid w:val="003F5B63"/>
    <w:rsid w:val="003F67F8"/>
    <w:rsid w:val="003F6C26"/>
    <w:rsid w:val="004001B0"/>
    <w:rsid w:val="00401A2E"/>
    <w:rsid w:val="004043CD"/>
    <w:rsid w:val="004044F9"/>
    <w:rsid w:val="00404BA3"/>
    <w:rsid w:val="00405867"/>
    <w:rsid w:val="00405D8E"/>
    <w:rsid w:val="00407F85"/>
    <w:rsid w:val="0041292B"/>
    <w:rsid w:val="00414260"/>
    <w:rsid w:val="00420E84"/>
    <w:rsid w:val="0042243F"/>
    <w:rsid w:val="00426037"/>
    <w:rsid w:val="00432596"/>
    <w:rsid w:val="004348A7"/>
    <w:rsid w:val="00436F7D"/>
    <w:rsid w:val="0044185B"/>
    <w:rsid w:val="004420F0"/>
    <w:rsid w:val="00443D4C"/>
    <w:rsid w:val="00451A93"/>
    <w:rsid w:val="00451ED9"/>
    <w:rsid w:val="0046186B"/>
    <w:rsid w:val="004627F0"/>
    <w:rsid w:val="00463293"/>
    <w:rsid w:val="00464A6B"/>
    <w:rsid w:val="00464E76"/>
    <w:rsid w:val="0046695C"/>
    <w:rsid w:val="00466A3A"/>
    <w:rsid w:val="004708B5"/>
    <w:rsid w:val="004712C7"/>
    <w:rsid w:val="004714EA"/>
    <w:rsid w:val="00473B7F"/>
    <w:rsid w:val="004743E0"/>
    <w:rsid w:val="00474ED1"/>
    <w:rsid w:val="00475A45"/>
    <w:rsid w:val="00480561"/>
    <w:rsid w:val="00481435"/>
    <w:rsid w:val="004819FB"/>
    <w:rsid w:val="00482817"/>
    <w:rsid w:val="00490E15"/>
    <w:rsid w:val="004912D6"/>
    <w:rsid w:val="00493FC4"/>
    <w:rsid w:val="004964CA"/>
    <w:rsid w:val="004A019D"/>
    <w:rsid w:val="004A13BB"/>
    <w:rsid w:val="004A1AAA"/>
    <w:rsid w:val="004A264D"/>
    <w:rsid w:val="004A36C2"/>
    <w:rsid w:val="004A5D88"/>
    <w:rsid w:val="004B0979"/>
    <w:rsid w:val="004B132C"/>
    <w:rsid w:val="004B22A9"/>
    <w:rsid w:val="004B3C1A"/>
    <w:rsid w:val="004B46C9"/>
    <w:rsid w:val="004B5BDE"/>
    <w:rsid w:val="004B7C94"/>
    <w:rsid w:val="004C070E"/>
    <w:rsid w:val="004C4B22"/>
    <w:rsid w:val="004C5F14"/>
    <w:rsid w:val="004C6122"/>
    <w:rsid w:val="004C63AB"/>
    <w:rsid w:val="004C6D0B"/>
    <w:rsid w:val="004D55A8"/>
    <w:rsid w:val="004D5ED3"/>
    <w:rsid w:val="004D70CB"/>
    <w:rsid w:val="004E136D"/>
    <w:rsid w:val="004E2B79"/>
    <w:rsid w:val="004E4D59"/>
    <w:rsid w:val="004F07E1"/>
    <w:rsid w:val="004F2B4E"/>
    <w:rsid w:val="004F310E"/>
    <w:rsid w:val="004F44BC"/>
    <w:rsid w:val="004F5D31"/>
    <w:rsid w:val="005045F3"/>
    <w:rsid w:val="005100D2"/>
    <w:rsid w:val="00510519"/>
    <w:rsid w:val="00513B8C"/>
    <w:rsid w:val="00515DAC"/>
    <w:rsid w:val="005178FA"/>
    <w:rsid w:val="005255C3"/>
    <w:rsid w:val="00525D65"/>
    <w:rsid w:val="0052631E"/>
    <w:rsid w:val="0052767A"/>
    <w:rsid w:val="00527B16"/>
    <w:rsid w:val="00531402"/>
    <w:rsid w:val="005354AC"/>
    <w:rsid w:val="00536EC6"/>
    <w:rsid w:val="00536F51"/>
    <w:rsid w:val="00537D1D"/>
    <w:rsid w:val="005446C5"/>
    <w:rsid w:val="00554BD7"/>
    <w:rsid w:val="00554EE8"/>
    <w:rsid w:val="005556A7"/>
    <w:rsid w:val="00555BC8"/>
    <w:rsid w:val="005569D3"/>
    <w:rsid w:val="0055725C"/>
    <w:rsid w:val="00560482"/>
    <w:rsid w:val="005608FE"/>
    <w:rsid w:val="005626BB"/>
    <w:rsid w:val="00562D57"/>
    <w:rsid w:val="005668D6"/>
    <w:rsid w:val="00571A35"/>
    <w:rsid w:val="00575541"/>
    <w:rsid w:val="005769E9"/>
    <w:rsid w:val="005808FE"/>
    <w:rsid w:val="0058171C"/>
    <w:rsid w:val="00584A28"/>
    <w:rsid w:val="00587719"/>
    <w:rsid w:val="00591969"/>
    <w:rsid w:val="005919B6"/>
    <w:rsid w:val="00593CE3"/>
    <w:rsid w:val="005958E6"/>
    <w:rsid w:val="005A0004"/>
    <w:rsid w:val="005A433E"/>
    <w:rsid w:val="005A51FC"/>
    <w:rsid w:val="005B1652"/>
    <w:rsid w:val="005B1D71"/>
    <w:rsid w:val="005B2A08"/>
    <w:rsid w:val="005B39C3"/>
    <w:rsid w:val="005B5DDC"/>
    <w:rsid w:val="005D0800"/>
    <w:rsid w:val="005D0E3E"/>
    <w:rsid w:val="005D10C9"/>
    <w:rsid w:val="005D1B1F"/>
    <w:rsid w:val="005D3AA0"/>
    <w:rsid w:val="005D495C"/>
    <w:rsid w:val="005D5E29"/>
    <w:rsid w:val="005E0790"/>
    <w:rsid w:val="005E07B8"/>
    <w:rsid w:val="005E2121"/>
    <w:rsid w:val="005E2FD6"/>
    <w:rsid w:val="005E7224"/>
    <w:rsid w:val="005F7608"/>
    <w:rsid w:val="005F7EFA"/>
    <w:rsid w:val="00602360"/>
    <w:rsid w:val="006048CD"/>
    <w:rsid w:val="00610194"/>
    <w:rsid w:val="0061173D"/>
    <w:rsid w:val="00616A0D"/>
    <w:rsid w:val="00616BB2"/>
    <w:rsid w:val="006213A6"/>
    <w:rsid w:val="00634F5E"/>
    <w:rsid w:val="006364E2"/>
    <w:rsid w:val="006368A8"/>
    <w:rsid w:val="006404EF"/>
    <w:rsid w:val="00641E7A"/>
    <w:rsid w:val="006507CA"/>
    <w:rsid w:val="00652ECC"/>
    <w:rsid w:val="006552F2"/>
    <w:rsid w:val="006565B0"/>
    <w:rsid w:val="00660C59"/>
    <w:rsid w:val="0066533B"/>
    <w:rsid w:val="00665CF0"/>
    <w:rsid w:val="00673200"/>
    <w:rsid w:val="00675AEB"/>
    <w:rsid w:val="00677C3C"/>
    <w:rsid w:val="0068029A"/>
    <w:rsid w:val="00693082"/>
    <w:rsid w:val="00696D4A"/>
    <w:rsid w:val="006A274C"/>
    <w:rsid w:val="006A5998"/>
    <w:rsid w:val="006A5B05"/>
    <w:rsid w:val="006A61DE"/>
    <w:rsid w:val="006B23AE"/>
    <w:rsid w:val="006B55AA"/>
    <w:rsid w:val="006B62E4"/>
    <w:rsid w:val="006B788E"/>
    <w:rsid w:val="006B7BAB"/>
    <w:rsid w:val="006C1660"/>
    <w:rsid w:val="006C1CDF"/>
    <w:rsid w:val="006C321C"/>
    <w:rsid w:val="006C4AF6"/>
    <w:rsid w:val="006C7476"/>
    <w:rsid w:val="006C7902"/>
    <w:rsid w:val="006C7982"/>
    <w:rsid w:val="006D1DFB"/>
    <w:rsid w:val="006D22BE"/>
    <w:rsid w:val="006D43F0"/>
    <w:rsid w:val="006D638C"/>
    <w:rsid w:val="006D75FC"/>
    <w:rsid w:val="006E4988"/>
    <w:rsid w:val="006E5C55"/>
    <w:rsid w:val="006E5DD4"/>
    <w:rsid w:val="006F4517"/>
    <w:rsid w:val="006F5B3C"/>
    <w:rsid w:val="006F6184"/>
    <w:rsid w:val="0070217D"/>
    <w:rsid w:val="00702FD5"/>
    <w:rsid w:val="00703FC4"/>
    <w:rsid w:val="007074F6"/>
    <w:rsid w:val="00707690"/>
    <w:rsid w:val="0071261D"/>
    <w:rsid w:val="00713BAA"/>
    <w:rsid w:val="00714BB0"/>
    <w:rsid w:val="0071608A"/>
    <w:rsid w:val="00722021"/>
    <w:rsid w:val="007225E0"/>
    <w:rsid w:val="00724B13"/>
    <w:rsid w:val="00727FFA"/>
    <w:rsid w:val="00730A2A"/>
    <w:rsid w:val="007310B1"/>
    <w:rsid w:val="007347D8"/>
    <w:rsid w:val="007370DF"/>
    <w:rsid w:val="00743846"/>
    <w:rsid w:val="0074384D"/>
    <w:rsid w:val="0074694E"/>
    <w:rsid w:val="007522D6"/>
    <w:rsid w:val="00752386"/>
    <w:rsid w:val="00755C98"/>
    <w:rsid w:val="00755D68"/>
    <w:rsid w:val="0076225A"/>
    <w:rsid w:val="00766457"/>
    <w:rsid w:val="0077348F"/>
    <w:rsid w:val="00775723"/>
    <w:rsid w:val="00784C70"/>
    <w:rsid w:val="007852D9"/>
    <w:rsid w:val="00786049"/>
    <w:rsid w:val="00790D84"/>
    <w:rsid w:val="00792B75"/>
    <w:rsid w:val="00793F30"/>
    <w:rsid w:val="00795795"/>
    <w:rsid w:val="00797B97"/>
    <w:rsid w:val="007A0054"/>
    <w:rsid w:val="007A1CD0"/>
    <w:rsid w:val="007A2486"/>
    <w:rsid w:val="007B041D"/>
    <w:rsid w:val="007B432B"/>
    <w:rsid w:val="007B5BF5"/>
    <w:rsid w:val="007B6174"/>
    <w:rsid w:val="007B7052"/>
    <w:rsid w:val="007B7156"/>
    <w:rsid w:val="007C0046"/>
    <w:rsid w:val="007C0C32"/>
    <w:rsid w:val="007C2339"/>
    <w:rsid w:val="007C24AD"/>
    <w:rsid w:val="007C6ACB"/>
    <w:rsid w:val="007D0D0A"/>
    <w:rsid w:val="007D22FE"/>
    <w:rsid w:val="007D27AB"/>
    <w:rsid w:val="007D32C9"/>
    <w:rsid w:val="007D4D12"/>
    <w:rsid w:val="007D6A8A"/>
    <w:rsid w:val="007D7DD0"/>
    <w:rsid w:val="007E0372"/>
    <w:rsid w:val="007E0572"/>
    <w:rsid w:val="007E3431"/>
    <w:rsid w:val="007E3B75"/>
    <w:rsid w:val="007E5E37"/>
    <w:rsid w:val="007E750F"/>
    <w:rsid w:val="007E7900"/>
    <w:rsid w:val="007F0CF0"/>
    <w:rsid w:val="007F2B39"/>
    <w:rsid w:val="007F59BA"/>
    <w:rsid w:val="007F66FA"/>
    <w:rsid w:val="008002A0"/>
    <w:rsid w:val="0080222D"/>
    <w:rsid w:val="00802C75"/>
    <w:rsid w:val="00804CDF"/>
    <w:rsid w:val="00806F1B"/>
    <w:rsid w:val="00810F53"/>
    <w:rsid w:val="008132FC"/>
    <w:rsid w:val="008145C3"/>
    <w:rsid w:val="008160BE"/>
    <w:rsid w:val="00817B89"/>
    <w:rsid w:val="00827696"/>
    <w:rsid w:val="0083068C"/>
    <w:rsid w:val="0083138E"/>
    <w:rsid w:val="00835CCE"/>
    <w:rsid w:val="00840BDB"/>
    <w:rsid w:val="008418A8"/>
    <w:rsid w:val="00842C94"/>
    <w:rsid w:val="00853138"/>
    <w:rsid w:val="00854DC1"/>
    <w:rsid w:val="008602CF"/>
    <w:rsid w:val="00860F78"/>
    <w:rsid w:val="008664D7"/>
    <w:rsid w:val="00866B65"/>
    <w:rsid w:val="00866DF5"/>
    <w:rsid w:val="008671D1"/>
    <w:rsid w:val="00867D8C"/>
    <w:rsid w:val="00873D6F"/>
    <w:rsid w:val="00874FE6"/>
    <w:rsid w:val="0088676F"/>
    <w:rsid w:val="008906E1"/>
    <w:rsid w:val="00894951"/>
    <w:rsid w:val="00894A0F"/>
    <w:rsid w:val="0089661C"/>
    <w:rsid w:val="008A2A5D"/>
    <w:rsid w:val="008A5AAF"/>
    <w:rsid w:val="008B08F0"/>
    <w:rsid w:val="008B13C1"/>
    <w:rsid w:val="008B3FCA"/>
    <w:rsid w:val="008B40CF"/>
    <w:rsid w:val="008B425B"/>
    <w:rsid w:val="008B4981"/>
    <w:rsid w:val="008B5133"/>
    <w:rsid w:val="008C2731"/>
    <w:rsid w:val="008C6547"/>
    <w:rsid w:val="008C6C69"/>
    <w:rsid w:val="008D55C3"/>
    <w:rsid w:val="008D5EFE"/>
    <w:rsid w:val="008D6870"/>
    <w:rsid w:val="008E487F"/>
    <w:rsid w:val="008E53E2"/>
    <w:rsid w:val="008F02F5"/>
    <w:rsid w:val="008F1A9A"/>
    <w:rsid w:val="008F3BB6"/>
    <w:rsid w:val="008F7238"/>
    <w:rsid w:val="0090091A"/>
    <w:rsid w:val="00900E8E"/>
    <w:rsid w:val="00901F42"/>
    <w:rsid w:val="00903E87"/>
    <w:rsid w:val="00906B9F"/>
    <w:rsid w:val="0090750C"/>
    <w:rsid w:val="009145E2"/>
    <w:rsid w:val="009149FB"/>
    <w:rsid w:val="00914D13"/>
    <w:rsid w:val="00914FF1"/>
    <w:rsid w:val="00916288"/>
    <w:rsid w:val="009163A5"/>
    <w:rsid w:val="00921DE6"/>
    <w:rsid w:val="00922E57"/>
    <w:rsid w:val="0092603A"/>
    <w:rsid w:val="009307E6"/>
    <w:rsid w:val="00934730"/>
    <w:rsid w:val="00934C6E"/>
    <w:rsid w:val="009425CE"/>
    <w:rsid w:val="0095071B"/>
    <w:rsid w:val="00952B02"/>
    <w:rsid w:val="00961E11"/>
    <w:rsid w:val="009623B1"/>
    <w:rsid w:val="00962B98"/>
    <w:rsid w:val="0097097C"/>
    <w:rsid w:val="00970A41"/>
    <w:rsid w:val="00971248"/>
    <w:rsid w:val="00971EFE"/>
    <w:rsid w:val="00972F10"/>
    <w:rsid w:val="00974719"/>
    <w:rsid w:val="009777B2"/>
    <w:rsid w:val="00981D70"/>
    <w:rsid w:val="009838AA"/>
    <w:rsid w:val="00990A95"/>
    <w:rsid w:val="009910FF"/>
    <w:rsid w:val="00991DE5"/>
    <w:rsid w:val="00993340"/>
    <w:rsid w:val="009A23B8"/>
    <w:rsid w:val="009A5BC1"/>
    <w:rsid w:val="009A78DB"/>
    <w:rsid w:val="009B075F"/>
    <w:rsid w:val="009B154C"/>
    <w:rsid w:val="009B1F2A"/>
    <w:rsid w:val="009B39AB"/>
    <w:rsid w:val="009C24B9"/>
    <w:rsid w:val="009C386C"/>
    <w:rsid w:val="009C47D6"/>
    <w:rsid w:val="009D6AAB"/>
    <w:rsid w:val="009D7AC2"/>
    <w:rsid w:val="009E0930"/>
    <w:rsid w:val="009E5EAF"/>
    <w:rsid w:val="009F0329"/>
    <w:rsid w:val="00A01A02"/>
    <w:rsid w:val="00A10DFA"/>
    <w:rsid w:val="00A11AAB"/>
    <w:rsid w:val="00A15CB0"/>
    <w:rsid w:val="00A166B4"/>
    <w:rsid w:val="00A167A2"/>
    <w:rsid w:val="00A21239"/>
    <w:rsid w:val="00A2208C"/>
    <w:rsid w:val="00A3180E"/>
    <w:rsid w:val="00A40239"/>
    <w:rsid w:val="00A458D0"/>
    <w:rsid w:val="00A46B71"/>
    <w:rsid w:val="00A47098"/>
    <w:rsid w:val="00A54CDB"/>
    <w:rsid w:val="00A57A2D"/>
    <w:rsid w:val="00A70B0C"/>
    <w:rsid w:val="00A728AF"/>
    <w:rsid w:val="00A76C8B"/>
    <w:rsid w:val="00A77334"/>
    <w:rsid w:val="00A804C1"/>
    <w:rsid w:val="00A82A50"/>
    <w:rsid w:val="00A84C55"/>
    <w:rsid w:val="00A86B0A"/>
    <w:rsid w:val="00A9069E"/>
    <w:rsid w:val="00A9282D"/>
    <w:rsid w:val="00A9314E"/>
    <w:rsid w:val="00A94049"/>
    <w:rsid w:val="00A97E50"/>
    <w:rsid w:val="00AB05CC"/>
    <w:rsid w:val="00AB0F2B"/>
    <w:rsid w:val="00AB4782"/>
    <w:rsid w:val="00AB6424"/>
    <w:rsid w:val="00AB6D92"/>
    <w:rsid w:val="00AC0734"/>
    <w:rsid w:val="00AC112C"/>
    <w:rsid w:val="00AC2539"/>
    <w:rsid w:val="00AC7072"/>
    <w:rsid w:val="00AD3617"/>
    <w:rsid w:val="00AE00FC"/>
    <w:rsid w:val="00AE2706"/>
    <w:rsid w:val="00AE31F7"/>
    <w:rsid w:val="00AE5558"/>
    <w:rsid w:val="00AE5F41"/>
    <w:rsid w:val="00AE5F7C"/>
    <w:rsid w:val="00AF78A5"/>
    <w:rsid w:val="00B01653"/>
    <w:rsid w:val="00B03BC7"/>
    <w:rsid w:val="00B1071E"/>
    <w:rsid w:val="00B10987"/>
    <w:rsid w:val="00B13313"/>
    <w:rsid w:val="00B205CD"/>
    <w:rsid w:val="00B23068"/>
    <w:rsid w:val="00B24BE6"/>
    <w:rsid w:val="00B27D7C"/>
    <w:rsid w:val="00B319DC"/>
    <w:rsid w:val="00B406A6"/>
    <w:rsid w:val="00B40771"/>
    <w:rsid w:val="00B4217A"/>
    <w:rsid w:val="00B42A60"/>
    <w:rsid w:val="00B4570E"/>
    <w:rsid w:val="00B54B57"/>
    <w:rsid w:val="00B55E48"/>
    <w:rsid w:val="00B56A8A"/>
    <w:rsid w:val="00B62865"/>
    <w:rsid w:val="00B6368C"/>
    <w:rsid w:val="00B6410D"/>
    <w:rsid w:val="00B6509B"/>
    <w:rsid w:val="00B66F4A"/>
    <w:rsid w:val="00B712D6"/>
    <w:rsid w:val="00B71CE8"/>
    <w:rsid w:val="00B72A77"/>
    <w:rsid w:val="00B736E6"/>
    <w:rsid w:val="00B7679F"/>
    <w:rsid w:val="00B776E4"/>
    <w:rsid w:val="00B80485"/>
    <w:rsid w:val="00B82C34"/>
    <w:rsid w:val="00B839DF"/>
    <w:rsid w:val="00B8462E"/>
    <w:rsid w:val="00B87E0D"/>
    <w:rsid w:val="00B905CB"/>
    <w:rsid w:val="00BA401A"/>
    <w:rsid w:val="00BA53D7"/>
    <w:rsid w:val="00BA5837"/>
    <w:rsid w:val="00BB35B5"/>
    <w:rsid w:val="00BB3B0A"/>
    <w:rsid w:val="00BB462B"/>
    <w:rsid w:val="00BB6501"/>
    <w:rsid w:val="00BB6FF5"/>
    <w:rsid w:val="00BB7D4A"/>
    <w:rsid w:val="00BC278C"/>
    <w:rsid w:val="00BC387F"/>
    <w:rsid w:val="00BC4F24"/>
    <w:rsid w:val="00BC6D44"/>
    <w:rsid w:val="00BD1B6F"/>
    <w:rsid w:val="00BD5121"/>
    <w:rsid w:val="00BD6C95"/>
    <w:rsid w:val="00BD7054"/>
    <w:rsid w:val="00BE1083"/>
    <w:rsid w:val="00BE1225"/>
    <w:rsid w:val="00BE36E9"/>
    <w:rsid w:val="00BE3881"/>
    <w:rsid w:val="00BE42DF"/>
    <w:rsid w:val="00BE5D9A"/>
    <w:rsid w:val="00BE6EB3"/>
    <w:rsid w:val="00BE780A"/>
    <w:rsid w:val="00BF13A9"/>
    <w:rsid w:val="00BF1D33"/>
    <w:rsid w:val="00BF6FB0"/>
    <w:rsid w:val="00BF7D00"/>
    <w:rsid w:val="00C0158D"/>
    <w:rsid w:val="00C0229A"/>
    <w:rsid w:val="00C0335C"/>
    <w:rsid w:val="00C0378F"/>
    <w:rsid w:val="00C05CF3"/>
    <w:rsid w:val="00C06121"/>
    <w:rsid w:val="00C12673"/>
    <w:rsid w:val="00C14572"/>
    <w:rsid w:val="00C14F50"/>
    <w:rsid w:val="00C15203"/>
    <w:rsid w:val="00C15AC4"/>
    <w:rsid w:val="00C17B3A"/>
    <w:rsid w:val="00C20C80"/>
    <w:rsid w:val="00C2345D"/>
    <w:rsid w:val="00C23A25"/>
    <w:rsid w:val="00C24273"/>
    <w:rsid w:val="00C25C9D"/>
    <w:rsid w:val="00C2600D"/>
    <w:rsid w:val="00C26D5D"/>
    <w:rsid w:val="00C2715C"/>
    <w:rsid w:val="00C408FA"/>
    <w:rsid w:val="00C427C8"/>
    <w:rsid w:val="00C44AE8"/>
    <w:rsid w:val="00C44FF3"/>
    <w:rsid w:val="00C472CA"/>
    <w:rsid w:val="00C478FB"/>
    <w:rsid w:val="00C55899"/>
    <w:rsid w:val="00C55E20"/>
    <w:rsid w:val="00C60D0C"/>
    <w:rsid w:val="00C610FD"/>
    <w:rsid w:val="00C612F1"/>
    <w:rsid w:val="00C6296B"/>
    <w:rsid w:val="00C65520"/>
    <w:rsid w:val="00C6594D"/>
    <w:rsid w:val="00C65DD7"/>
    <w:rsid w:val="00C71143"/>
    <w:rsid w:val="00C761FC"/>
    <w:rsid w:val="00C81224"/>
    <w:rsid w:val="00C82704"/>
    <w:rsid w:val="00C90966"/>
    <w:rsid w:val="00C940BE"/>
    <w:rsid w:val="00C94E84"/>
    <w:rsid w:val="00C96DF7"/>
    <w:rsid w:val="00C97290"/>
    <w:rsid w:val="00C97560"/>
    <w:rsid w:val="00CA3AA1"/>
    <w:rsid w:val="00CB106F"/>
    <w:rsid w:val="00CB1DD5"/>
    <w:rsid w:val="00CB271A"/>
    <w:rsid w:val="00CB2E9F"/>
    <w:rsid w:val="00CB3232"/>
    <w:rsid w:val="00CC2D22"/>
    <w:rsid w:val="00CC3F38"/>
    <w:rsid w:val="00CC45BE"/>
    <w:rsid w:val="00CC4A19"/>
    <w:rsid w:val="00CC5003"/>
    <w:rsid w:val="00CC60C0"/>
    <w:rsid w:val="00CD0E50"/>
    <w:rsid w:val="00CD5631"/>
    <w:rsid w:val="00CD57CE"/>
    <w:rsid w:val="00CE1748"/>
    <w:rsid w:val="00CE7C07"/>
    <w:rsid w:val="00CF3BF3"/>
    <w:rsid w:val="00CF3D7C"/>
    <w:rsid w:val="00CF4DF1"/>
    <w:rsid w:val="00CF5E9A"/>
    <w:rsid w:val="00D03408"/>
    <w:rsid w:val="00D06A5F"/>
    <w:rsid w:val="00D06C10"/>
    <w:rsid w:val="00D10B24"/>
    <w:rsid w:val="00D12CB3"/>
    <w:rsid w:val="00D17095"/>
    <w:rsid w:val="00D3165C"/>
    <w:rsid w:val="00D37003"/>
    <w:rsid w:val="00D41D74"/>
    <w:rsid w:val="00D42349"/>
    <w:rsid w:val="00D46865"/>
    <w:rsid w:val="00D472F8"/>
    <w:rsid w:val="00D47CBD"/>
    <w:rsid w:val="00D5160C"/>
    <w:rsid w:val="00D54B84"/>
    <w:rsid w:val="00D54E99"/>
    <w:rsid w:val="00D60D3A"/>
    <w:rsid w:val="00D62179"/>
    <w:rsid w:val="00D64D6A"/>
    <w:rsid w:val="00D724F3"/>
    <w:rsid w:val="00D76BA8"/>
    <w:rsid w:val="00D77A42"/>
    <w:rsid w:val="00D85154"/>
    <w:rsid w:val="00D872DA"/>
    <w:rsid w:val="00D8763A"/>
    <w:rsid w:val="00D92684"/>
    <w:rsid w:val="00D95482"/>
    <w:rsid w:val="00DA0306"/>
    <w:rsid w:val="00DA4993"/>
    <w:rsid w:val="00DA7BE8"/>
    <w:rsid w:val="00DB00D1"/>
    <w:rsid w:val="00DB66EA"/>
    <w:rsid w:val="00DB7DD5"/>
    <w:rsid w:val="00DC355C"/>
    <w:rsid w:val="00DC3FE4"/>
    <w:rsid w:val="00DC5436"/>
    <w:rsid w:val="00DD1A60"/>
    <w:rsid w:val="00DD23DB"/>
    <w:rsid w:val="00DD3FE4"/>
    <w:rsid w:val="00DD41C4"/>
    <w:rsid w:val="00DD44BB"/>
    <w:rsid w:val="00DE1F53"/>
    <w:rsid w:val="00DE465F"/>
    <w:rsid w:val="00DE5CB0"/>
    <w:rsid w:val="00DF0C6D"/>
    <w:rsid w:val="00DF5BBB"/>
    <w:rsid w:val="00E0247C"/>
    <w:rsid w:val="00E03761"/>
    <w:rsid w:val="00E03C8A"/>
    <w:rsid w:val="00E1673D"/>
    <w:rsid w:val="00E17EEA"/>
    <w:rsid w:val="00E253BA"/>
    <w:rsid w:val="00E274CD"/>
    <w:rsid w:val="00E3019C"/>
    <w:rsid w:val="00E41856"/>
    <w:rsid w:val="00E42329"/>
    <w:rsid w:val="00E42512"/>
    <w:rsid w:val="00E44B96"/>
    <w:rsid w:val="00E50624"/>
    <w:rsid w:val="00E51CC0"/>
    <w:rsid w:val="00E55451"/>
    <w:rsid w:val="00E5549E"/>
    <w:rsid w:val="00E60F7C"/>
    <w:rsid w:val="00E61149"/>
    <w:rsid w:val="00E62D0C"/>
    <w:rsid w:val="00E63264"/>
    <w:rsid w:val="00E64C83"/>
    <w:rsid w:val="00E64EE8"/>
    <w:rsid w:val="00E72217"/>
    <w:rsid w:val="00E72962"/>
    <w:rsid w:val="00E753E0"/>
    <w:rsid w:val="00E76FE2"/>
    <w:rsid w:val="00E77C63"/>
    <w:rsid w:val="00E81C7A"/>
    <w:rsid w:val="00E84ACD"/>
    <w:rsid w:val="00E86E07"/>
    <w:rsid w:val="00E87BD8"/>
    <w:rsid w:val="00E91FB4"/>
    <w:rsid w:val="00E95711"/>
    <w:rsid w:val="00E96856"/>
    <w:rsid w:val="00E9687E"/>
    <w:rsid w:val="00E97CD8"/>
    <w:rsid w:val="00EA0429"/>
    <w:rsid w:val="00EA119E"/>
    <w:rsid w:val="00EA5658"/>
    <w:rsid w:val="00EA5CE4"/>
    <w:rsid w:val="00EB03D0"/>
    <w:rsid w:val="00EB39D0"/>
    <w:rsid w:val="00EB64B3"/>
    <w:rsid w:val="00EC1792"/>
    <w:rsid w:val="00EC7C77"/>
    <w:rsid w:val="00ED1511"/>
    <w:rsid w:val="00ED16D0"/>
    <w:rsid w:val="00ED4737"/>
    <w:rsid w:val="00ED6C04"/>
    <w:rsid w:val="00EE08C5"/>
    <w:rsid w:val="00EE3344"/>
    <w:rsid w:val="00EE7995"/>
    <w:rsid w:val="00EF23FB"/>
    <w:rsid w:val="00EF5FF8"/>
    <w:rsid w:val="00EF6910"/>
    <w:rsid w:val="00F0167B"/>
    <w:rsid w:val="00F05426"/>
    <w:rsid w:val="00F057CC"/>
    <w:rsid w:val="00F06728"/>
    <w:rsid w:val="00F06B6C"/>
    <w:rsid w:val="00F06C44"/>
    <w:rsid w:val="00F06F50"/>
    <w:rsid w:val="00F10783"/>
    <w:rsid w:val="00F14828"/>
    <w:rsid w:val="00F21478"/>
    <w:rsid w:val="00F24391"/>
    <w:rsid w:val="00F254CF"/>
    <w:rsid w:val="00F30192"/>
    <w:rsid w:val="00F3427F"/>
    <w:rsid w:val="00F429A8"/>
    <w:rsid w:val="00F462FF"/>
    <w:rsid w:val="00F464C4"/>
    <w:rsid w:val="00F47E1E"/>
    <w:rsid w:val="00F509EB"/>
    <w:rsid w:val="00F50F1D"/>
    <w:rsid w:val="00F51BAF"/>
    <w:rsid w:val="00F53C18"/>
    <w:rsid w:val="00F5715D"/>
    <w:rsid w:val="00F57AA1"/>
    <w:rsid w:val="00F57E46"/>
    <w:rsid w:val="00F6000E"/>
    <w:rsid w:val="00F6476B"/>
    <w:rsid w:val="00F64E61"/>
    <w:rsid w:val="00F66DE6"/>
    <w:rsid w:val="00F71F2D"/>
    <w:rsid w:val="00F723D1"/>
    <w:rsid w:val="00F73515"/>
    <w:rsid w:val="00F73999"/>
    <w:rsid w:val="00F77C57"/>
    <w:rsid w:val="00F80A3F"/>
    <w:rsid w:val="00F82AD4"/>
    <w:rsid w:val="00F92E16"/>
    <w:rsid w:val="00FA138F"/>
    <w:rsid w:val="00FA6823"/>
    <w:rsid w:val="00FA6D52"/>
    <w:rsid w:val="00FB4BDC"/>
    <w:rsid w:val="00FB509F"/>
    <w:rsid w:val="00FB6836"/>
    <w:rsid w:val="00FC283E"/>
    <w:rsid w:val="00FC5904"/>
    <w:rsid w:val="00FC79B1"/>
    <w:rsid w:val="00FE2520"/>
    <w:rsid w:val="00FE4323"/>
    <w:rsid w:val="00FE4E65"/>
    <w:rsid w:val="00FF14B2"/>
    <w:rsid w:val="00FF3780"/>
    <w:rsid w:val="00FF3D0B"/>
    <w:rsid w:val="00FF3DF9"/>
    <w:rsid w:val="00FF5BB1"/>
  </w:rsids>
  <m:mathPr>
    <m:mathFont m:val="Cambria Math"/>
    <m:brkBin m:val="before"/>
    <m:brkBinSub m:val="--"/>
    <m:smallFrac/>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FC45B6F-060E-401C-96A6-587B8DFF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F14"/>
    <w:rPr>
      <w:lang w:val="en-GB"/>
    </w:rPr>
  </w:style>
  <w:style w:type="paragraph" w:styleId="Heading1">
    <w:name w:val="heading 1"/>
    <w:basedOn w:val="Normal"/>
    <w:next w:val="Normal"/>
    <w:link w:val="Heading1Char"/>
    <w:uiPriority w:val="9"/>
    <w:qFormat/>
    <w:rsid w:val="00FC79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9B1"/>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02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C75"/>
    <w:rPr>
      <w:rFonts w:ascii="Lucida Grande" w:hAnsi="Lucida Grande" w:cs="Lucida Grande"/>
      <w:sz w:val="18"/>
      <w:szCs w:val="18"/>
    </w:rPr>
  </w:style>
  <w:style w:type="paragraph" w:styleId="Header">
    <w:name w:val="header"/>
    <w:basedOn w:val="Normal"/>
    <w:link w:val="HeaderChar"/>
    <w:uiPriority w:val="99"/>
    <w:unhideWhenUsed/>
    <w:rsid w:val="005B1652"/>
    <w:pPr>
      <w:tabs>
        <w:tab w:val="center" w:pos="4320"/>
        <w:tab w:val="right" w:pos="8640"/>
      </w:tabs>
    </w:pPr>
  </w:style>
  <w:style w:type="character" w:customStyle="1" w:styleId="HeaderChar">
    <w:name w:val="Header Char"/>
    <w:basedOn w:val="DefaultParagraphFont"/>
    <w:link w:val="Header"/>
    <w:uiPriority w:val="99"/>
    <w:rsid w:val="005B1652"/>
  </w:style>
  <w:style w:type="paragraph" w:styleId="Footer">
    <w:name w:val="footer"/>
    <w:basedOn w:val="Normal"/>
    <w:link w:val="FooterChar"/>
    <w:uiPriority w:val="99"/>
    <w:unhideWhenUsed/>
    <w:rsid w:val="005B1652"/>
    <w:pPr>
      <w:tabs>
        <w:tab w:val="center" w:pos="4320"/>
        <w:tab w:val="right" w:pos="8640"/>
      </w:tabs>
    </w:pPr>
  </w:style>
  <w:style w:type="character" w:customStyle="1" w:styleId="FooterChar">
    <w:name w:val="Footer Char"/>
    <w:basedOn w:val="DefaultParagraphFont"/>
    <w:link w:val="Footer"/>
    <w:uiPriority w:val="99"/>
    <w:rsid w:val="005B1652"/>
  </w:style>
  <w:style w:type="table" w:styleId="LightShading-Accent1">
    <w:name w:val="Light Shading Accent 1"/>
    <w:basedOn w:val="TableNormal"/>
    <w:uiPriority w:val="60"/>
    <w:rsid w:val="005B165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FC79B1"/>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FC79B1"/>
    <w:pPr>
      <w:spacing w:before="120"/>
    </w:pPr>
    <w:rPr>
      <w:b/>
    </w:rPr>
  </w:style>
  <w:style w:type="paragraph" w:styleId="TOC2">
    <w:name w:val="toc 2"/>
    <w:basedOn w:val="Normal"/>
    <w:next w:val="Normal"/>
    <w:autoRedefine/>
    <w:uiPriority w:val="39"/>
    <w:semiHidden/>
    <w:unhideWhenUsed/>
    <w:rsid w:val="00FC79B1"/>
    <w:pPr>
      <w:ind w:left="240"/>
    </w:pPr>
    <w:rPr>
      <w:b/>
      <w:sz w:val="22"/>
      <w:szCs w:val="22"/>
    </w:rPr>
  </w:style>
  <w:style w:type="paragraph" w:styleId="TOC3">
    <w:name w:val="toc 3"/>
    <w:basedOn w:val="Normal"/>
    <w:next w:val="Normal"/>
    <w:autoRedefine/>
    <w:uiPriority w:val="39"/>
    <w:semiHidden/>
    <w:unhideWhenUsed/>
    <w:rsid w:val="00FC79B1"/>
    <w:pPr>
      <w:ind w:left="480"/>
    </w:pPr>
    <w:rPr>
      <w:sz w:val="22"/>
      <w:szCs w:val="22"/>
    </w:rPr>
  </w:style>
  <w:style w:type="paragraph" w:styleId="TOC4">
    <w:name w:val="toc 4"/>
    <w:basedOn w:val="Normal"/>
    <w:next w:val="Normal"/>
    <w:autoRedefine/>
    <w:uiPriority w:val="39"/>
    <w:semiHidden/>
    <w:unhideWhenUsed/>
    <w:rsid w:val="00FC79B1"/>
    <w:pPr>
      <w:ind w:left="720"/>
    </w:pPr>
    <w:rPr>
      <w:sz w:val="20"/>
      <w:szCs w:val="20"/>
    </w:rPr>
  </w:style>
  <w:style w:type="paragraph" w:styleId="TOC5">
    <w:name w:val="toc 5"/>
    <w:basedOn w:val="Normal"/>
    <w:next w:val="Normal"/>
    <w:autoRedefine/>
    <w:uiPriority w:val="39"/>
    <w:semiHidden/>
    <w:unhideWhenUsed/>
    <w:rsid w:val="00FC79B1"/>
    <w:pPr>
      <w:ind w:left="960"/>
    </w:pPr>
    <w:rPr>
      <w:sz w:val="20"/>
      <w:szCs w:val="20"/>
    </w:rPr>
  </w:style>
  <w:style w:type="paragraph" w:styleId="TOC6">
    <w:name w:val="toc 6"/>
    <w:basedOn w:val="Normal"/>
    <w:next w:val="Normal"/>
    <w:autoRedefine/>
    <w:uiPriority w:val="39"/>
    <w:semiHidden/>
    <w:unhideWhenUsed/>
    <w:rsid w:val="00FC79B1"/>
    <w:pPr>
      <w:ind w:left="1200"/>
    </w:pPr>
    <w:rPr>
      <w:sz w:val="20"/>
      <w:szCs w:val="20"/>
    </w:rPr>
  </w:style>
  <w:style w:type="paragraph" w:styleId="TOC7">
    <w:name w:val="toc 7"/>
    <w:basedOn w:val="Normal"/>
    <w:next w:val="Normal"/>
    <w:autoRedefine/>
    <w:uiPriority w:val="39"/>
    <w:semiHidden/>
    <w:unhideWhenUsed/>
    <w:rsid w:val="00FC79B1"/>
    <w:pPr>
      <w:ind w:left="1440"/>
    </w:pPr>
    <w:rPr>
      <w:sz w:val="20"/>
      <w:szCs w:val="20"/>
    </w:rPr>
  </w:style>
  <w:style w:type="paragraph" w:styleId="TOC8">
    <w:name w:val="toc 8"/>
    <w:basedOn w:val="Normal"/>
    <w:next w:val="Normal"/>
    <w:autoRedefine/>
    <w:uiPriority w:val="39"/>
    <w:semiHidden/>
    <w:unhideWhenUsed/>
    <w:rsid w:val="00FC79B1"/>
    <w:pPr>
      <w:ind w:left="1680"/>
    </w:pPr>
    <w:rPr>
      <w:sz w:val="20"/>
      <w:szCs w:val="20"/>
    </w:rPr>
  </w:style>
  <w:style w:type="paragraph" w:styleId="TOC9">
    <w:name w:val="toc 9"/>
    <w:basedOn w:val="Normal"/>
    <w:next w:val="Normal"/>
    <w:autoRedefine/>
    <w:uiPriority w:val="39"/>
    <w:semiHidden/>
    <w:unhideWhenUsed/>
    <w:rsid w:val="00FC79B1"/>
    <w:pPr>
      <w:ind w:left="1920"/>
    </w:pPr>
    <w:rPr>
      <w:sz w:val="20"/>
      <w:szCs w:val="20"/>
    </w:rPr>
  </w:style>
  <w:style w:type="character" w:styleId="Hyperlink">
    <w:name w:val="Hyperlink"/>
    <w:basedOn w:val="DefaultParagraphFont"/>
    <w:uiPriority w:val="99"/>
    <w:unhideWhenUsed/>
    <w:rsid w:val="00C0378F"/>
    <w:rPr>
      <w:color w:val="0000FF" w:themeColor="hyperlink"/>
      <w:u w:val="single"/>
    </w:rPr>
  </w:style>
  <w:style w:type="paragraph" w:styleId="ListParagraph">
    <w:name w:val="List Paragraph"/>
    <w:basedOn w:val="Normal"/>
    <w:uiPriority w:val="34"/>
    <w:qFormat/>
    <w:rsid w:val="00C0378F"/>
    <w:pPr>
      <w:spacing w:after="200" w:line="276" w:lineRule="auto"/>
      <w:ind w:left="720"/>
      <w:contextualSpacing/>
    </w:pPr>
    <w:rPr>
      <w:sz w:val="22"/>
      <w:szCs w:val="22"/>
      <w:lang w:val="en-ZA" w:eastAsia="en-ZA" w:bidi="he-IL"/>
    </w:rPr>
  </w:style>
  <w:style w:type="table" w:styleId="TableGrid">
    <w:name w:val="Table Grid"/>
    <w:basedOn w:val="TableNormal"/>
    <w:uiPriority w:val="59"/>
    <w:rsid w:val="00C0378F"/>
    <w:rPr>
      <w:sz w:val="22"/>
      <w:szCs w:val="22"/>
      <w:lang w:val="en-ZA" w:eastAsia="en-ZA"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0378F"/>
    <w:rPr>
      <w:sz w:val="20"/>
      <w:szCs w:val="20"/>
      <w:lang w:val="en-ZA" w:eastAsia="en-ZA" w:bidi="he-IL"/>
    </w:rPr>
  </w:style>
  <w:style w:type="paragraph" w:styleId="CommentText">
    <w:name w:val="annotation text"/>
    <w:basedOn w:val="Normal"/>
    <w:link w:val="CommentTextChar"/>
    <w:uiPriority w:val="99"/>
    <w:semiHidden/>
    <w:unhideWhenUsed/>
    <w:rsid w:val="00C0378F"/>
    <w:pPr>
      <w:spacing w:after="200"/>
    </w:pPr>
    <w:rPr>
      <w:sz w:val="20"/>
      <w:szCs w:val="20"/>
      <w:lang w:val="en-ZA" w:eastAsia="en-ZA" w:bidi="he-IL"/>
    </w:rPr>
  </w:style>
  <w:style w:type="character" w:customStyle="1" w:styleId="CommentSubjectChar">
    <w:name w:val="Comment Subject Char"/>
    <w:basedOn w:val="CommentTextChar"/>
    <w:link w:val="CommentSubject"/>
    <w:uiPriority w:val="99"/>
    <w:semiHidden/>
    <w:rsid w:val="00C0378F"/>
    <w:rPr>
      <w:b/>
      <w:bCs/>
      <w:sz w:val="20"/>
      <w:szCs w:val="20"/>
      <w:lang w:val="en-ZA" w:eastAsia="en-ZA" w:bidi="he-IL"/>
    </w:rPr>
  </w:style>
  <w:style w:type="paragraph" w:styleId="CommentSubject">
    <w:name w:val="annotation subject"/>
    <w:basedOn w:val="CommentText"/>
    <w:next w:val="CommentText"/>
    <w:link w:val="CommentSubjectChar"/>
    <w:uiPriority w:val="99"/>
    <w:semiHidden/>
    <w:unhideWhenUsed/>
    <w:rsid w:val="00C0378F"/>
    <w:rPr>
      <w:b/>
      <w:bCs/>
    </w:rPr>
  </w:style>
  <w:style w:type="paragraph" w:styleId="NoSpacing">
    <w:name w:val="No Spacing"/>
    <w:link w:val="NoSpacingChar"/>
    <w:uiPriority w:val="1"/>
    <w:qFormat/>
    <w:rsid w:val="00C0378F"/>
    <w:rPr>
      <w:sz w:val="22"/>
      <w:szCs w:val="22"/>
      <w:lang w:eastAsia="ja-JP"/>
    </w:rPr>
  </w:style>
  <w:style w:type="character" w:customStyle="1" w:styleId="NoSpacingChar">
    <w:name w:val="No Spacing Char"/>
    <w:basedOn w:val="DefaultParagraphFont"/>
    <w:link w:val="NoSpacing"/>
    <w:uiPriority w:val="1"/>
    <w:rsid w:val="00C0378F"/>
    <w:rPr>
      <w:sz w:val="22"/>
      <w:szCs w:val="22"/>
      <w:lang w:eastAsia="ja-JP"/>
    </w:rPr>
  </w:style>
  <w:style w:type="paragraph" w:styleId="FootnoteText">
    <w:name w:val="footnote text"/>
    <w:basedOn w:val="Normal"/>
    <w:link w:val="FootnoteTextChar"/>
    <w:uiPriority w:val="99"/>
    <w:semiHidden/>
    <w:unhideWhenUsed/>
    <w:rsid w:val="00C0378F"/>
    <w:rPr>
      <w:sz w:val="20"/>
      <w:szCs w:val="20"/>
      <w:lang w:val="en-ZA" w:eastAsia="en-ZA" w:bidi="he-IL"/>
    </w:rPr>
  </w:style>
  <w:style w:type="character" w:customStyle="1" w:styleId="FootnoteTextChar">
    <w:name w:val="Footnote Text Char"/>
    <w:basedOn w:val="DefaultParagraphFont"/>
    <w:link w:val="FootnoteText"/>
    <w:uiPriority w:val="99"/>
    <w:semiHidden/>
    <w:rsid w:val="00C0378F"/>
    <w:rPr>
      <w:sz w:val="20"/>
      <w:szCs w:val="20"/>
      <w:lang w:val="en-ZA" w:eastAsia="en-ZA" w:bidi="he-IL"/>
    </w:rPr>
  </w:style>
  <w:style w:type="character" w:styleId="FootnoteReference">
    <w:name w:val="footnote reference"/>
    <w:basedOn w:val="DefaultParagraphFont"/>
    <w:uiPriority w:val="99"/>
    <w:semiHidden/>
    <w:unhideWhenUsed/>
    <w:rsid w:val="00C0378F"/>
    <w:rPr>
      <w:vertAlign w:val="superscript"/>
    </w:rPr>
  </w:style>
  <w:style w:type="character" w:customStyle="1" w:styleId="EndnoteTextChar">
    <w:name w:val="Endnote Text Char"/>
    <w:basedOn w:val="DefaultParagraphFont"/>
    <w:link w:val="EndnoteText"/>
    <w:uiPriority w:val="99"/>
    <w:semiHidden/>
    <w:rsid w:val="00C0378F"/>
    <w:rPr>
      <w:sz w:val="20"/>
      <w:szCs w:val="20"/>
      <w:lang w:val="en-ZA" w:eastAsia="en-ZA" w:bidi="he-IL"/>
    </w:rPr>
  </w:style>
  <w:style w:type="paragraph" w:styleId="EndnoteText">
    <w:name w:val="endnote text"/>
    <w:basedOn w:val="Normal"/>
    <w:link w:val="EndnoteTextChar"/>
    <w:uiPriority w:val="99"/>
    <w:semiHidden/>
    <w:unhideWhenUsed/>
    <w:rsid w:val="00C0378F"/>
    <w:rPr>
      <w:sz w:val="20"/>
      <w:szCs w:val="20"/>
      <w:lang w:val="en-ZA" w:eastAsia="en-ZA" w:bidi="he-IL"/>
    </w:rPr>
  </w:style>
  <w:style w:type="paragraph" w:styleId="Caption">
    <w:name w:val="caption"/>
    <w:basedOn w:val="Normal"/>
    <w:next w:val="Normal"/>
    <w:uiPriority w:val="35"/>
    <w:unhideWhenUsed/>
    <w:qFormat/>
    <w:rsid w:val="00C0378F"/>
    <w:pPr>
      <w:spacing w:after="200"/>
    </w:pPr>
    <w:rPr>
      <w:i/>
      <w:iCs/>
      <w:color w:val="1F497D" w:themeColor="text2"/>
      <w:sz w:val="18"/>
      <w:szCs w:val="18"/>
      <w:lang w:val="en-ZA" w:eastAsia="en-ZA" w:bidi="he-IL"/>
    </w:rPr>
  </w:style>
  <w:style w:type="character" w:styleId="CommentReference">
    <w:name w:val="annotation reference"/>
    <w:basedOn w:val="DefaultParagraphFont"/>
    <w:uiPriority w:val="99"/>
    <w:semiHidden/>
    <w:unhideWhenUsed/>
    <w:rsid w:val="00AB0F2B"/>
    <w:rPr>
      <w:sz w:val="16"/>
      <w:szCs w:val="16"/>
    </w:rPr>
  </w:style>
  <w:style w:type="paragraph" w:styleId="NormalWeb">
    <w:name w:val="Normal (Web)"/>
    <w:basedOn w:val="Normal"/>
    <w:uiPriority w:val="99"/>
    <w:semiHidden/>
    <w:unhideWhenUsed/>
    <w:rsid w:val="004A264D"/>
    <w:pPr>
      <w:spacing w:before="100" w:beforeAutospacing="1" w:after="100" w:afterAutospacing="1"/>
    </w:pPr>
    <w:rPr>
      <w:rFonts w:ascii="Times New Roman" w:hAnsi="Times New Roman" w:cs="Times New Roman"/>
      <w:lang w:val="en-ZA" w:eastAsia="en-ZA"/>
    </w:rPr>
  </w:style>
  <w:style w:type="table" w:customStyle="1" w:styleId="TableGrid1">
    <w:name w:val="Table Grid1"/>
    <w:basedOn w:val="TableNormal"/>
    <w:next w:val="TableGrid"/>
    <w:uiPriority w:val="59"/>
    <w:rsid w:val="00BD5121"/>
    <w:rPr>
      <w:rFonts w:eastAsia="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1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3957">
      <w:bodyDiv w:val="1"/>
      <w:marLeft w:val="0"/>
      <w:marRight w:val="0"/>
      <w:marTop w:val="0"/>
      <w:marBottom w:val="0"/>
      <w:divBdr>
        <w:top w:val="none" w:sz="0" w:space="0" w:color="auto"/>
        <w:left w:val="none" w:sz="0" w:space="0" w:color="auto"/>
        <w:bottom w:val="none" w:sz="0" w:space="0" w:color="auto"/>
        <w:right w:val="none" w:sz="0" w:space="0" w:color="auto"/>
      </w:divBdr>
    </w:div>
    <w:div w:id="351608597">
      <w:bodyDiv w:val="1"/>
      <w:marLeft w:val="0"/>
      <w:marRight w:val="0"/>
      <w:marTop w:val="0"/>
      <w:marBottom w:val="0"/>
      <w:divBdr>
        <w:top w:val="none" w:sz="0" w:space="0" w:color="auto"/>
        <w:left w:val="none" w:sz="0" w:space="0" w:color="auto"/>
        <w:bottom w:val="none" w:sz="0" w:space="0" w:color="auto"/>
        <w:right w:val="none" w:sz="0" w:space="0" w:color="auto"/>
      </w:divBdr>
    </w:div>
    <w:div w:id="592857273">
      <w:bodyDiv w:val="1"/>
      <w:marLeft w:val="0"/>
      <w:marRight w:val="0"/>
      <w:marTop w:val="0"/>
      <w:marBottom w:val="0"/>
      <w:divBdr>
        <w:top w:val="none" w:sz="0" w:space="0" w:color="auto"/>
        <w:left w:val="none" w:sz="0" w:space="0" w:color="auto"/>
        <w:bottom w:val="none" w:sz="0" w:space="0" w:color="auto"/>
        <w:right w:val="none" w:sz="0" w:space="0" w:color="auto"/>
      </w:divBdr>
    </w:div>
    <w:div w:id="1032606355">
      <w:bodyDiv w:val="1"/>
      <w:marLeft w:val="0"/>
      <w:marRight w:val="0"/>
      <w:marTop w:val="0"/>
      <w:marBottom w:val="0"/>
      <w:divBdr>
        <w:top w:val="none" w:sz="0" w:space="0" w:color="auto"/>
        <w:left w:val="none" w:sz="0" w:space="0" w:color="auto"/>
        <w:bottom w:val="none" w:sz="0" w:space="0" w:color="auto"/>
        <w:right w:val="none" w:sz="0" w:space="0" w:color="auto"/>
      </w:divBdr>
    </w:div>
    <w:div w:id="1173228179">
      <w:bodyDiv w:val="1"/>
      <w:marLeft w:val="0"/>
      <w:marRight w:val="0"/>
      <w:marTop w:val="0"/>
      <w:marBottom w:val="0"/>
      <w:divBdr>
        <w:top w:val="none" w:sz="0" w:space="0" w:color="auto"/>
        <w:left w:val="none" w:sz="0" w:space="0" w:color="auto"/>
        <w:bottom w:val="none" w:sz="0" w:space="0" w:color="auto"/>
        <w:right w:val="none" w:sz="0" w:space="0" w:color="auto"/>
      </w:divBdr>
    </w:div>
    <w:div w:id="1537933539">
      <w:bodyDiv w:val="1"/>
      <w:marLeft w:val="0"/>
      <w:marRight w:val="0"/>
      <w:marTop w:val="0"/>
      <w:marBottom w:val="0"/>
      <w:divBdr>
        <w:top w:val="none" w:sz="0" w:space="0" w:color="auto"/>
        <w:left w:val="none" w:sz="0" w:space="0" w:color="auto"/>
        <w:bottom w:val="none" w:sz="0" w:space="0" w:color="auto"/>
        <w:right w:val="none" w:sz="0" w:space="0" w:color="auto"/>
      </w:divBdr>
    </w:div>
    <w:div w:id="1574006589">
      <w:bodyDiv w:val="1"/>
      <w:marLeft w:val="0"/>
      <w:marRight w:val="0"/>
      <w:marTop w:val="0"/>
      <w:marBottom w:val="0"/>
      <w:divBdr>
        <w:top w:val="none" w:sz="0" w:space="0" w:color="auto"/>
        <w:left w:val="none" w:sz="0" w:space="0" w:color="auto"/>
        <w:bottom w:val="none" w:sz="0" w:space="0" w:color="auto"/>
        <w:right w:val="none" w:sz="0" w:space="0" w:color="auto"/>
      </w:divBdr>
    </w:div>
    <w:div w:id="1757752124">
      <w:bodyDiv w:val="1"/>
      <w:marLeft w:val="0"/>
      <w:marRight w:val="0"/>
      <w:marTop w:val="0"/>
      <w:marBottom w:val="0"/>
      <w:divBdr>
        <w:top w:val="none" w:sz="0" w:space="0" w:color="auto"/>
        <w:left w:val="none" w:sz="0" w:space="0" w:color="auto"/>
        <w:bottom w:val="none" w:sz="0" w:space="0" w:color="auto"/>
        <w:right w:val="none" w:sz="0" w:space="0" w:color="auto"/>
      </w:divBdr>
    </w:div>
    <w:div w:id="1886746041">
      <w:bodyDiv w:val="1"/>
      <w:marLeft w:val="0"/>
      <w:marRight w:val="0"/>
      <w:marTop w:val="0"/>
      <w:marBottom w:val="0"/>
      <w:divBdr>
        <w:top w:val="none" w:sz="0" w:space="0" w:color="auto"/>
        <w:left w:val="none" w:sz="0" w:space="0" w:color="auto"/>
        <w:bottom w:val="none" w:sz="0" w:space="0" w:color="auto"/>
        <w:right w:val="none" w:sz="0" w:space="0" w:color="auto"/>
      </w:divBdr>
    </w:div>
    <w:div w:id="2075279202">
      <w:bodyDiv w:val="1"/>
      <w:marLeft w:val="0"/>
      <w:marRight w:val="0"/>
      <w:marTop w:val="0"/>
      <w:marBottom w:val="0"/>
      <w:divBdr>
        <w:top w:val="none" w:sz="0" w:space="0" w:color="auto"/>
        <w:left w:val="none" w:sz="0" w:space="0" w:color="auto"/>
        <w:bottom w:val="none" w:sz="0" w:space="0" w:color="auto"/>
        <w:right w:val="none" w:sz="0" w:space="0" w:color="auto"/>
      </w:divBdr>
    </w:div>
    <w:div w:id="2103917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et.gov.za/HEMIS/Graduates/Graduate%202016/2016%20Table%202.13%20for%20all%20institutions%20to%202nd%20order%20cesm.xls?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3A685-0C1E-4C69-B985-C17DD5E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South african household wealth index Q3 2019</vt:lpstr>
    </vt:vector>
  </TitlesOfParts>
  <Company>MMI Holdings</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household wealth index Q3 2019</dc:title>
  <dc:creator>Microsoft Office User</dc:creator>
  <cp:lastModifiedBy>Solomon Molefe</cp:lastModifiedBy>
  <cp:revision>2</cp:revision>
  <cp:lastPrinted>2016-09-30T08:46:00Z</cp:lastPrinted>
  <dcterms:created xsi:type="dcterms:W3CDTF">2020-01-29T09:07:00Z</dcterms:created>
  <dcterms:modified xsi:type="dcterms:W3CDTF">2020-01-29T09:07:00Z</dcterms:modified>
</cp:coreProperties>
</file>