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9D49" w14:textId="18C26658" w:rsidR="00FC4128" w:rsidRPr="007E5078" w:rsidRDefault="00FC4128" w:rsidP="00FC4128">
      <w:pPr>
        <w:rPr>
          <w:rFonts w:ascii="Georgia" w:hAnsi="Georgia"/>
          <w:b/>
          <w:i/>
          <w:color w:val="000000" w:themeColor="text1"/>
          <w:sz w:val="28"/>
          <w:szCs w:val="20"/>
        </w:rPr>
      </w:pPr>
      <w:r w:rsidRPr="007E5078">
        <w:rPr>
          <w:rFonts w:ascii="Georgia" w:hAnsi="Georgia"/>
          <w:b/>
          <w:i/>
          <w:color w:val="000000" w:themeColor="text1"/>
          <w:sz w:val="28"/>
          <w:szCs w:val="20"/>
        </w:rPr>
        <w:t>PwC focus on the Global Economy – implications for SA companies</w:t>
      </w:r>
      <w:r w:rsidR="00435798">
        <w:rPr>
          <w:rFonts w:ascii="Georgia" w:hAnsi="Georgia"/>
          <w:b/>
          <w:i/>
          <w:color w:val="000000" w:themeColor="text1"/>
          <w:sz w:val="28"/>
          <w:szCs w:val="20"/>
        </w:rPr>
        <w:t>:</w:t>
      </w:r>
      <w:r w:rsidRPr="007E5078">
        <w:rPr>
          <w:rFonts w:ascii="Georgia" w:hAnsi="Georgia"/>
          <w:b/>
          <w:i/>
          <w:color w:val="000000" w:themeColor="text1"/>
          <w:sz w:val="28"/>
          <w:szCs w:val="20"/>
        </w:rPr>
        <w:t xml:space="preserve"> 5 February 2020</w:t>
      </w:r>
    </w:p>
    <w:p w14:paraId="7520E2A4" w14:textId="77777777" w:rsidR="00FC4128" w:rsidRDefault="00FC4128" w:rsidP="00FC4128">
      <w:pPr>
        <w:rPr>
          <w:rFonts w:ascii="Georgia" w:hAnsi="Georgia"/>
          <w:b/>
          <w:i/>
          <w:color w:val="44546A" w:themeColor="text2"/>
          <w:sz w:val="28"/>
          <w:szCs w:val="20"/>
        </w:rPr>
      </w:pPr>
      <w:r w:rsidRPr="007A7B59">
        <w:rPr>
          <w:rFonts w:cs="Arial"/>
          <w:b/>
          <w:noProof/>
          <w:color w:val="990000"/>
        </w:rPr>
        <w:drawing>
          <wp:inline distT="0" distB="0" distL="0" distR="0" wp14:anchorId="1BDE736E" wp14:editId="3FFF086B">
            <wp:extent cx="2238375" cy="186309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09A3A7B7" w14:textId="77777777" w:rsidR="00FC4128" w:rsidRPr="00435798" w:rsidRDefault="00FC4128" w:rsidP="00FC4128">
      <w:pPr>
        <w:rPr>
          <w:rFonts w:ascii="Georgia" w:hAnsi="Georgia"/>
          <w:b/>
          <w:i/>
          <w:color w:val="C00000"/>
          <w:sz w:val="28"/>
          <w:szCs w:val="20"/>
        </w:rPr>
      </w:pPr>
      <w:proofErr w:type="spellStart"/>
      <w:r w:rsidRPr="00435798">
        <w:rPr>
          <w:rFonts w:ascii="Georgia" w:hAnsi="Georgia"/>
          <w:b/>
          <w:i/>
          <w:color w:val="C00000"/>
          <w:sz w:val="28"/>
          <w:szCs w:val="20"/>
        </w:rPr>
        <w:t>Slowbalisation</w:t>
      </w:r>
      <w:proofErr w:type="spellEnd"/>
      <w:r w:rsidRPr="00435798">
        <w:rPr>
          <w:rFonts w:ascii="Georgia" w:hAnsi="Georgia"/>
          <w:b/>
          <w:i/>
          <w:color w:val="C00000"/>
          <w:sz w:val="28"/>
          <w:szCs w:val="20"/>
        </w:rPr>
        <w:t xml:space="preserve"> is the new globalisation</w:t>
      </w:r>
    </w:p>
    <w:p w14:paraId="6665CDF4" w14:textId="77777777" w:rsidR="00FC4128" w:rsidRPr="00EF6AAA" w:rsidRDefault="00FC4128" w:rsidP="00FC4128">
      <w:pPr>
        <w:rPr>
          <w:rFonts w:ascii="Georgia" w:hAnsi="Georgia"/>
          <w:b/>
          <w:i/>
          <w:szCs w:val="20"/>
        </w:rPr>
      </w:pPr>
      <w:r w:rsidRPr="00EF6AAA">
        <w:rPr>
          <w:rFonts w:ascii="Georgia" w:hAnsi="Georgia"/>
          <w:b/>
          <w:i/>
          <w:szCs w:val="20"/>
        </w:rPr>
        <w:t>PwC</w:t>
      </w:r>
      <w:r>
        <w:rPr>
          <w:rFonts w:ascii="Georgia" w:hAnsi="Georgia"/>
          <w:b/>
          <w:i/>
          <w:szCs w:val="20"/>
        </w:rPr>
        <w:t xml:space="preserve"> </w:t>
      </w:r>
      <w:proofErr w:type="spellStart"/>
      <w:r>
        <w:rPr>
          <w:rFonts w:ascii="Georgia" w:hAnsi="Georgia"/>
          <w:b/>
          <w:i/>
          <w:szCs w:val="20"/>
        </w:rPr>
        <w:t>Strategy&amp;’s</w:t>
      </w:r>
      <w:proofErr w:type="spellEnd"/>
      <w:r>
        <w:rPr>
          <w:rFonts w:ascii="Georgia" w:hAnsi="Georgia"/>
          <w:b/>
          <w:i/>
          <w:szCs w:val="20"/>
        </w:rPr>
        <w:t xml:space="preserve"> </w:t>
      </w:r>
      <w:r w:rsidRPr="00EF6AAA">
        <w:rPr>
          <w:rFonts w:ascii="Georgia" w:hAnsi="Georgia"/>
          <w:b/>
          <w:i/>
          <w:szCs w:val="20"/>
        </w:rPr>
        <w:t>2020 global economic outlook and implications for South African companies</w:t>
      </w:r>
    </w:p>
    <w:p w14:paraId="536353DD" w14:textId="77777777" w:rsidR="00FC4128" w:rsidRDefault="00FC4128" w:rsidP="00FC4128">
      <w:pPr>
        <w:rPr>
          <w:rFonts w:asciiTheme="majorHAnsi" w:hAnsiTheme="majorHAnsi"/>
          <w:b/>
          <w:sz w:val="20"/>
          <w:szCs w:val="20"/>
        </w:rPr>
      </w:pPr>
      <w:r>
        <w:rPr>
          <w:rFonts w:asciiTheme="majorHAnsi" w:hAnsiTheme="majorHAnsi"/>
          <w:b/>
          <w:sz w:val="20"/>
          <w:szCs w:val="20"/>
        </w:rPr>
        <w:t>Key points</w:t>
      </w:r>
    </w:p>
    <w:p w14:paraId="2495227F" w14:textId="77777777" w:rsidR="00FC4128" w:rsidRPr="001A675E" w:rsidRDefault="00FC4128" w:rsidP="00FC4128">
      <w:pPr>
        <w:pStyle w:val="ListParagraph"/>
        <w:numPr>
          <w:ilvl w:val="0"/>
          <w:numId w:val="1"/>
        </w:numPr>
        <w:rPr>
          <w:rFonts w:asciiTheme="majorHAnsi" w:hAnsiTheme="majorHAnsi"/>
          <w:sz w:val="20"/>
          <w:szCs w:val="20"/>
        </w:rPr>
      </w:pPr>
      <w:r w:rsidRPr="00FC4128">
        <w:rPr>
          <w:rFonts w:asciiTheme="majorHAnsi" w:hAnsiTheme="majorHAnsi"/>
          <w:b/>
          <w:bCs/>
          <w:i/>
          <w:color w:val="000000" w:themeColor="text1"/>
          <w:sz w:val="20"/>
          <w:szCs w:val="20"/>
        </w:rPr>
        <w:t>Trading goods across borders remains tense</w:t>
      </w:r>
      <w:r w:rsidRPr="00FC4128">
        <w:rPr>
          <w:rFonts w:asciiTheme="majorHAnsi" w:hAnsiTheme="majorHAnsi"/>
          <w:b/>
          <w:bCs/>
          <w:color w:val="000000" w:themeColor="text1"/>
          <w:sz w:val="20"/>
          <w:szCs w:val="20"/>
        </w:rPr>
        <w:t xml:space="preserve"> </w:t>
      </w:r>
      <w:r w:rsidRPr="001A675E">
        <w:rPr>
          <w:rFonts w:asciiTheme="majorHAnsi" w:hAnsiTheme="majorHAnsi"/>
          <w:sz w:val="20"/>
          <w:szCs w:val="20"/>
        </w:rPr>
        <w:t>– The global volume of merchandise trade went in reverse in 2019: we expect this trend to continue in 2020 and for trade tensions in the global goods market to persist. Globalisation is likely to give way to ‘</w:t>
      </w:r>
      <w:proofErr w:type="spellStart"/>
      <w:r w:rsidRPr="001A675E">
        <w:rPr>
          <w:rFonts w:asciiTheme="majorHAnsi" w:hAnsiTheme="majorHAnsi"/>
          <w:sz w:val="20"/>
          <w:szCs w:val="20"/>
        </w:rPr>
        <w:t>slowbalisation</w:t>
      </w:r>
      <w:proofErr w:type="spellEnd"/>
      <w:r w:rsidRPr="001A675E">
        <w:rPr>
          <w:rFonts w:asciiTheme="majorHAnsi" w:hAnsiTheme="majorHAnsi"/>
          <w:sz w:val="20"/>
          <w:szCs w:val="20"/>
        </w:rPr>
        <w:t xml:space="preserve">’, i.e. continued integration of the global economy via trade, financial and other flows, albeit at a significantly slower pace. A switch from globalisation to </w:t>
      </w:r>
      <w:proofErr w:type="spellStart"/>
      <w:r w:rsidRPr="001A675E">
        <w:rPr>
          <w:rFonts w:asciiTheme="majorHAnsi" w:hAnsiTheme="majorHAnsi"/>
          <w:sz w:val="20"/>
          <w:szCs w:val="20"/>
        </w:rPr>
        <w:t>slowbalisation</w:t>
      </w:r>
      <w:proofErr w:type="spellEnd"/>
      <w:r w:rsidRPr="001A675E">
        <w:rPr>
          <w:rFonts w:asciiTheme="majorHAnsi" w:hAnsiTheme="majorHAnsi"/>
          <w:sz w:val="20"/>
          <w:szCs w:val="20"/>
        </w:rPr>
        <w:t xml:space="preserve"> is bad news for South African exporters of, for example, wine fruit producers, platinum mines and vehicle manufacturers. It is an unwelcome development that will require export-oriented South African companies to consider various scenarios for the world economy and global trade patterns in the short to medium term. Some 69.4% of South African CEOs are somewhat or extremely concerned about trade conflicts. </w:t>
      </w:r>
    </w:p>
    <w:p w14:paraId="08593A7B" w14:textId="77777777" w:rsidR="00FC4128" w:rsidRDefault="00FC4128" w:rsidP="00FC4128">
      <w:pPr>
        <w:pStyle w:val="ListParagraph"/>
        <w:numPr>
          <w:ilvl w:val="0"/>
          <w:numId w:val="1"/>
        </w:numPr>
        <w:rPr>
          <w:rFonts w:asciiTheme="majorHAnsi" w:hAnsiTheme="majorHAnsi"/>
          <w:sz w:val="20"/>
          <w:szCs w:val="20"/>
        </w:rPr>
      </w:pPr>
      <w:r w:rsidRPr="00FC4128">
        <w:rPr>
          <w:rFonts w:asciiTheme="majorHAnsi" w:hAnsiTheme="majorHAnsi"/>
          <w:b/>
          <w:bCs/>
          <w:i/>
          <w:color w:val="000000" w:themeColor="text1"/>
          <w:sz w:val="20"/>
          <w:szCs w:val="20"/>
        </w:rPr>
        <w:t>World services trade increasing to R100 trillion</w:t>
      </w:r>
      <w:r w:rsidRPr="00FC4128">
        <w:rPr>
          <w:rFonts w:asciiTheme="majorHAnsi" w:hAnsiTheme="majorHAnsi"/>
          <w:color w:val="000000" w:themeColor="text1"/>
          <w:sz w:val="20"/>
          <w:szCs w:val="20"/>
        </w:rPr>
        <w:t xml:space="preserve"> </w:t>
      </w:r>
      <w:r w:rsidRPr="00561966">
        <w:rPr>
          <w:rFonts w:asciiTheme="majorHAnsi" w:hAnsiTheme="majorHAnsi"/>
          <w:sz w:val="20"/>
          <w:szCs w:val="20"/>
        </w:rPr>
        <w:t xml:space="preserve">– We expect the total value of services exported to increase from R78 billion (3.5% of global GDP) in 2018 to R100 trillion by 2020. The US and UK are likely to remain the first and second largest exporters of services in the world. President Cyril </w:t>
      </w:r>
      <w:proofErr w:type="spellStart"/>
      <w:r w:rsidRPr="00561966">
        <w:rPr>
          <w:rFonts w:asciiTheme="majorHAnsi" w:hAnsiTheme="majorHAnsi"/>
          <w:sz w:val="20"/>
          <w:szCs w:val="20"/>
        </w:rPr>
        <w:t>Ramaphosa</w:t>
      </w:r>
      <w:proofErr w:type="spellEnd"/>
      <w:r w:rsidRPr="00561966">
        <w:rPr>
          <w:rFonts w:asciiTheme="majorHAnsi" w:hAnsiTheme="majorHAnsi"/>
          <w:sz w:val="20"/>
          <w:szCs w:val="20"/>
        </w:rPr>
        <w:t xml:space="preserve"> said in his first State of the Nation Address (SONA) in 2019 that the government will have a focus on exporting services like, for example, business process outsourcing</w:t>
      </w:r>
      <w:r>
        <w:rPr>
          <w:rFonts w:asciiTheme="majorHAnsi" w:hAnsiTheme="majorHAnsi"/>
          <w:sz w:val="20"/>
          <w:szCs w:val="20"/>
        </w:rPr>
        <w:t xml:space="preserve">: </w:t>
      </w:r>
      <w:r w:rsidRPr="00561966">
        <w:rPr>
          <w:rFonts w:asciiTheme="majorHAnsi" w:hAnsiTheme="majorHAnsi"/>
          <w:sz w:val="20"/>
          <w:szCs w:val="20"/>
        </w:rPr>
        <w:t xml:space="preserve">PwC’s calculations show that business services are amongst the most impactful industries in South Africa based on the growth and jobs that can be created by investment in the sector. </w:t>
      </w:r>
    </w:p>
    <w:p w14:paraId="25CFACB0" w14:textId="77777777" w:rsidR="00435798" w:rsidRDefault="00FC4128" w:rsidP="00435798">
      <w:pPr>
        <w:pStyle w:val="ListParagraph"/>
        <w:numPr>
          <w:ilvl w:val="0"/>
          <w:numId w:val="1"/>
        </w:numPr>
        <w:rPr>
          <w:rFonts w:asciiTheme="majorHAnsi" w:hAnsiTheme="majorHAnsi"/>
          <w:sz w:val="20"/>
          <w:szCs w:val="20"/>
        </w:rPr>
      </w:pPr>
      <w:r w:rsidRPr="00FC4128">
        <w:rPr>
          <w:rFonts w:asciiTheme="majorHAnsi" w:hAnsiTheme="majorHAnsi"/>
          <w:b/>
          <w:bCs/>
          <w:i/>
          <w:color w:val="000000" w:themeColor="text1"/>
          <w:sz w:val="20"/>
          <w:szCs w:val="20"/>
        </w:rPr>
        <w:t>Global economy growing at a modest pace</w:t>
      </w:r>
      <w:r w:rsidRPr="00FC4128">
        <w:rPr>
          <w:rFonts w:asciiTheme="majorHAnsi" w:hAnsiTheme="majorHAnsi"/>
          <w:color w:val="000000" w:themeColor="text1"/>
          <w:sz w:val="20"/>
          <w:szCs w:val="20"/>
        </w:rPr>
        <w:t xml:space="preserve"> </w:t>
      </w:r>
      <w:r w:rsidRPr="00561966">
        <w:rPr>
          <w:rFonts w:asciiTheme="majorHAnsi" w:hAnsiTheme="majorHAnsi"/>
          <w:sz w:val="20"/>
          <w:szCs w:val="20"/>
        </w:rPr>
        <w:t xml:space="preserve">– We expect the global economy to expand at a rate of 3.5% in 2020 – i.e. below the </w:t>
      </w:r>
      <w:r>
        <w:rPr>
          <w:rFonts w:asciiTheme="majorHAnsi" w:hAnsiTheme="majorHAnsi"/>
          <w:sz w:val="20"/>
          <w:szCs w:val="20"/>
        </w:rPr>
        <w:t xml:space="preserve">post-2000 </w:t>
      </w:r>
      <w:r w:rsidRPr="00561966">
        <w:rPr>
          <w:rFonts w:asciiTheme="majorHAnsi" w:hAnsiTheme="majorHAnsi"/>
          <w:sz w:val="20"/>
          <w:szCs w:val="20"/>
        </w:rPr>
        <w:t>average of 3.8%</w:t>
      </w:r>
      <w:r>
        <w:rPr>
          <w:rFonts w:asciiTheme="majorHAnsi" w:hAnsiTheme="majorHAnsi"/>
          <w:sz w:val="20"/>
          <w:szCs w:val="20"/>
        </w:rPr>
        <w:t xml:space="preserve"> p.a. </w:t>
      </w:r>
      <w:r w:rsidRPr="00561966">
        <w:rPr>
          <w:rFonts w:asciiTheme="majorHAnsi" w:hAnsiTheme="majorHAnsi"/>
          <w:sz w:val="20"/>
          <w:szCs w:val="20"/>
        </w:rPr>
        <w:t>We expect all major economies to grow, buoyed in part by accommodative financial conditions. The South African economy has for some years deviated from global growth trends and followed its own trajectory. As such, a shift in global growth is not a direct signal as to the fate of South African business. However, it is the slowdown in growth in key trade and investment partners – the US, UK, euro zone and China – that will adversely impact individual companies. Some 38.9% of South African CEOs surveyed by PwC want to enter a new market in the next 12 months to drive revenue growth.</w:t>
      </w:r>
    </w:p>
    <w:p w14:paraId="64D6C61E" w14:textId="109B0306" w:rsidR="00FC4128" w:rsidRPr="00435798" w:rsidRDefault="00FC4128" w:rsidP="00435798">
      <w:pPr>
        <w:pStyle w:val="ListParagraph"/>
        <w:numPr>
          <w:ilvl w:val="0"/>
          <w:numId w:val="1"/>
        </w:numPr>
        <w:rPr>
          <w:rFonts w:asciiTheme="majorHAnsi" w:hAnsiTheme="majorHAnsi"/>
          <w:sz w:val="20"/>
          <w:szCs w:val="20"/>
        </w:rPr>
      </w:pPr>
      <w:bookmarkStart w:id="0" w:name="_GoBack"/>
      <w:bookmarkEnd w:id="0"/>
      <w:r w:rsidRPr="00435798">
        <w:rPr>
          <w:rFonts w:asciiTheme="majorHAnsi" w:hAnsiTheme="majorHAnsi"/>
          <w:b/>
          <w:bCs/>
          <w:i/>
          <w:color w:val="000000" w:themeColor="text1"/>
          <w:sz w:val="20"/>
          <w:szCs w:val="20"/>
        </w:rPr>
        <w:t>US oil production hitting record levels</w:t>
      </w:r>
      <w:r w:rsidRPr="00435798">
        <w:rPr>
          <w:rFonts w:asciiTheme="majorHAnsi" w:hAnsiTheme="majorHAnsi"/>
          <w:color w:val="000000" w:themeColor="text1"/>
          <w:sz w:val="20"/>
          <w:szCs w:val="20"/>
        </w:rPr>
        <w:t xml:space="preserve"> </w:t>
      </w:r>
      <w:r w:rsidRPr="00435798">
        <w:rPr>
          <w:rFonts w:asciiTheme="majorHAnsi" w:hAnsiTheme="majorHAnsi"/>
          <w:sz w:val="20"/>
          <w:szCs w:val="20"/>
        </w:rPr>
        <w:t>– Global renewable energy and nuclear consumption will make up more than 20% of global energy consumption this year, which is the highest it has ever been. However, oil will continue as the most preferred source of energy in 2020 for the world economy. The US may surpass the 13 million barrels per day production threshold in 2020</w:t>
      </w:r>
      <w:r w:rsidR="00435798" w:rsidRPr="00435798">
        <w:rPr>
          <w:rFonts w:asciiTheme="majorHAnsi" w:hAnsiTheme="majorHAnsi"/>
          <w:sz w:val="20"/>
          <w:szCs w:val="20"/>
        </w:rPr>
        <w:t xml:space="preserve"> </w:t>
      </w:r>
      <w:r w:rsidRPr="00435798">
        <w:rPr>
          <w:rFonts w:asciiTheme="majorHAnsi" w:hAnsiTheme="majorHAnsi"/>
          <w:sz w:val="20"/>
          <w:szCs w:val="20"/>
        </w:rPr>
        <w:t xml:space="preserve">compared to just 5.5 million barrels per day some 10 years ago. The US is not amongst South Africa’s top suppliers of petroleum products, so these production numbers are not of direct interest to domestic fuel consumption. Where it is important is the impact of US production on oil prices: the ramp-up in </w:t>
      </w:r>
      <w:r w:rsidRPr="00435798">
        <w:rPr>
          <w:rFonts w:asciiTheme="majorHAnsi" w:hAnsiTheme="majorHAnsi"/>
          <w:sz w:val="20"/>
          <w:szCs w:val="20"/>
        </w:rPr>
        <w:lastRenderedPageBreak/>
        <w:t>production has cushioned prices in recent years. South Africa is a price-taker in the oil market that makes it vulnerable to external factor. Some 63.9% of South African CEOs surveyed by PwC are somewhat or extremely concerned about volatile energy costs.</w:t>
      </w:r>
    </w:p>
    <w:p w14:paraId="1E7B64C9" w14:textId="77777777" w:rsidR="00FC4128" w:rsidRPr="00561966" w:rsidRDefault="00FC4128" w:rsidP="00FC4128">
      <w:pPr>
        <w:pStyle w:val="ListParagraph"/>
        <w:numPr>
          <w:ilvl w:val="0"/>
          <w:numId w:val="1"/>
        </w:numPr>
        <w:rPr>
          <w:rFonts w:asciiTheme="majorHAnsi" w:hAnsiTheme="majorHAnsi"/>
          <w:sz w:val="20"/>
          <w:szCs w:val="20"/>
        </w:rPr>
      </w:pPr>
      <w:r w:rsidRPr="00FC4128">
        <w:rPr>
          <w:rFonts w:asciiTheme="majorHAnsi" w:hAnsiTheme="majorHAnsi"/>
          <w:b/>
          <w:bCs/>
          <w:i/>
          <w:color w:val="000000" w:themeColor="text1"/>
          <w:sz w:val="20"/>
          <w:szCs w:val="20"/>
        </w:rPr>
        <w:t>BRICS partner India rising in global economic rankings</w:t>
      </w:r>
      <w:r w:rsidRPr="00FC4128">
        <w:rPr>
          <w:rFonts w:asciiTheme="majorHAnsi" w:hAnsiTheme="majorHAnsi"/>
          <w:color w:val="000000" w:themeColor="text1"/>
          <w:sz w:val="20"/>
          <w:szCs w:val="20"/>
        </w:rPr>
        <w:t xml:space="preserve"> </w:t>
      </w:r>
      <w:r w:rsidRPr="00561966">
        <w:rPr>
          <w:rFonts w:asciiTheme="majorHAnsi" w:hAnsiTheme="majorHAnsi"/>
          <w:sz w:val="20"/>
          <w:szCs w:val="20"/>
        </w:rPr>
        <w:t xml:space="preserve">- India overtook the UK and France in 2020 to become the fifth largest economy in the world. This is an ongoing process with India likely to overtake Germany before 2025 and Japan before 2030 to become the world’s largest economy behind China and the US. India is South Africa’s closest (from a geographic perspective) BRICS partner. A healthy Indian economy could be good for South Africa from a trade and investment perspective. South African President Cyril </w:t>
      </w:r>
      <w:proofErr w:type="spellStart"/>
      <w:r w:rsidRPr="00561966">
        <w:rPr>
          <w:rFonts w:asciiTheme="majorHAnsi" w:hAnsiTheme="majorHAnsi"/>
          <w:sz w:val="20"/>
          <w:szCs w:val="20"/>
        </w:rPr>
        <w:t>Ramaphosa</w:t>
      </w:r>
      <w:proofErr w:type="spellEnd"/>
      <w:r w:rsidRPr="00561966">
        <w:rPr>
          <w:rFonts w:asciiTheme="majorHAnsi" w:hAnsiTheme="majorHAnsi"/>
          <w:sz w:val="20"/>
          <w:szCs w:val="20"/>
        </w:rPr>
        <w:t xml:space="preserve"> visited India in January 2019 and signed a Three-Year Strategic Programme with Indian Prime Minister Narendra Modi aimed at deepening bilateral engagement between India and South Africa and ensuring that a result-orientated partnership benefits the people of both countries. </w:t>
      </w:r>
    </w:p>
    <w:p w14:paraId="7ED63E78" w14:textId="77777777" w:rsidR="00FC4128" w:rsidRDefault="00FC4128" w:rsidP="00FC4128">
      <w:pPr>
        <w:rPr>
          <w:rFonts w:asciiTheme="majorHAnsi" w:hAnsiTheme="majorHAnsi"/>
          <w:sz w:val="20"/>
          <w:szCs w:val="20"/>
        </w:rPr>
      </w:pPr>
      <w:r>
        <w:rPr>
          <w:rFonts w:asciiTheme="majorHAnsi" w:hAnsiTheme="majorHAnsi"/>
          <w:sz w:val="20"/>
          <w:szCs w:val="20"/>
        </w:rPr>
        <w:t xml:space="preserve">In this document, PwC </w:t>
      </w:r>
      <w:r w:rsidRPr="004117E1">
        <w:rPr>
          <w:rFonts w:asciiTheme="majorHAnsi" w:hAnsiTheme="majorHAnsi"/>
          <w:sz w:val="20"/>
          <w:szCs w:val="20"/>
        </w:rPr>
        <w:t>present</w:t>
      </w:r>
      <w:r>
        <w:rPr>
          <w:rFonts w:asciiTheme="majorHAnsi" w:hAnsiTheme="majorHAnsi"/>
          <w:sz w:val="20"/>
          <w:szCs w:val="20"/>
        </w:rPr>
        <w:t>s</w:t>
      </w:r>
      <w:r w:rsidRPr="004117E1">
        <w:rPr>
          <w:rFonts w:asciiTheme="majorHAnsi" w:hAnsiTheme="majorHAnsi"/>
          <w:sz w:val="20"/>
          <w:szCs w:val="20"/>
        </w:rPr>
        <w:t xml:space="preserve"> five themes we assess will likely prevail in the global economy in 2020</w:t>
      </w:r>
      <w:r>
        <w:rPr>
          <w:rFonts w:asciiTheme="majorHAnsi" w:hAnsiTheme="majorHAnsi"/>
          <w:sz w:val="20"/>
          <w:szCs w:val="20"/>
        </w:rPr>
        <w:t>,</w:t>
      </w:r>
      <w:r w:rsidRPr="004117E1">
        <w:rPr>
          <w:rFonts w:asciiTheme="majorHAnsi" w:hAnsiTheme="majorHAnsi"/>
          <w:sz w:val="20"/>
          <w:szCs w:val="20"/>
        </w:rPr>
        <w:t xml:space="preserve"> as well as the implications for South African companies. Three out of four South African CEOs surveyed in the </w:t>
      </w:r>
      <w:hyperlink r:id="rId8" w:history="1">
        <w:r w:rsidRPr="001A675E">
          <w:rPr>
            <w:rStyle w:val="Hyperlink"/>
            <w:rFonts w:asciiTheme="majorHAnsi" w:hAnsiTheme="majorHAnsi"/>
            <w:sz w:val="20"/>
            <w:szCs w:val="20"/>
          </w:rPr>
          <w:t>PwC 23</w:t>
        </w:r>
        <w:r w:rsidRPr="001A675E">
          <w:rPr>
            <w:rStyle w:val="Hyperlink"/>
            <w:rFonts w:asciiTheme="majorHAnsi" w:hAnsiTheme="majorHAnsi"/>
            <w:sz w:val="20"/>
            <w:szCs w:val="20"/>
            <w:vertAlign w:val="superscript"/>
          </w:rPr>
          <w:t>rd</w:t>
        </w:r>
        <w:r w:rsidRPr="001A675E">
          <w:rPr>
            <w:rStyle w:val="Hyperlink"/>
            <w:rFonts w:asciiTheme="majorHAnsi" w:hAnsiTheme="majorHAnsi"/>
            <w:sz w:val="20"/>
            <w:szCs w:val="20"/>
          </w:rPr>
          <w:t xml:space="preserve"> Annual Global CEO Survey</w:t>
        </w:r>
      </w:hyperlink>
      <w:r w:rsidRPr="004117E1">
        <w:rPr>
          <w:rFonts w:asciiTheme="majorHAnsi" w:hAnsiTheme="majorHAnsi"/>
          <w:sz w:val="20"/>
          <w:szCs w:val="20"/>
        </w:rPr>
        <w:t xml:space="preserve"> are extremely concerned about </w:t>
      </w:r>
      <w:r>
        <w:rPr>
          <w:rFonts w:asciiTheme="majorHAnsi" w:hAnsiTheme="majorHAnsi"/>
          <w:sz w:val="20"/>
          <w:szCs w:val="20"/>
        </w:rPr>
        <w:t xml:space="preserve">local </w:t>
      </w:r>
      <w:r w:rsidRPr="004117E1">
        <w:rPr>
          <w:rFonts w:asciiTheme="majorHAnsi" w:hAnsiTheme="majorHAnsi"/>
          <w:sz w:val="20"/>
          <w:szCs w:val="20"/>
        </w:rPr>
        <w:t>economic growth</w:t>
      </w:r>
      <w:r>
        <w:rPr>
          <w:rFonts w:asciiTheme="majorHAnsi" w:hAnsiTheme="majorHAnsi"/>
          <w:sz w:val="20"/>
          <w:szCs w:val="20"/>
        </w:rPr>
        <w:t xml:space="preserve">. This highlights the uncertainties facing the South African economy and its private sector. </w:t>
      </w:r>
    </w:p>
    <w:p w14:paraId="7C277E6C" w14:textId="77777777" w:rsidR="00FC4128" w:rsidRPr="004117E1" w:rsidRDefault="00FC4128" w:rsidP="00FC4128">
      <w:pPr>
        <w:rPr>
          <w:rFonts w:asciiTheme="majorHAnsi" w:hAnsiTheme="majorHAnsi"/>
          <w:sz w:val="20"/>
          <w:szCs w:val="20"/>
        </w:rPr>
      </w:pPr>
      <w:r w:rsidRPr="004117E1">
        <w:rPr>
          <w:rFonts w:asciiTheme="majorHAnsi" w:hAnsiTheme="majorHAnsi"/>
          <w:sz w:val="20"/>
          <w:szCs w:val="20"/>
        </w:rPr>
        <w:t>At PwC we know that the future of complex economic and political systems is plural rather than singular. Scenario planning creates a range of alternative futures for a specific country/region/industry. We work with our clients to understand their business and challenges. This includes scanning the environment for known factors and trends, as well as elements beyond their control. Crucially, we collaborate to determine high impact, high uncertainty factors. With this information, we can build and flesh out different scenarios that are customised to the client.</w:t>
      </w:r>
    </w:p>
    <w:p w14:paraId="1229E6C1" w14:textId="77777777" w:rsidR="00FC4128" w:rsidRDefault="00FC4128" w:rsidP="00FC4128">
      <w:pPr>
        <w:rPr>
          <w:rFonts w:asciiTheme="majorHAnsi" w:hAnsiTheme="majorHAnsi"/>
          <w:sz w:val="20"/>
          <w:szCs w:val="20"/>
        </w:rPr>
      </w:pPr>
    </w:p>
    <w:p w14:paraId="6C8634C8" w14:textId="77777777" w:rsidR="00FC4128" w:rsidRPr="00FC4128" w:rsidRDefault="00FC4128" w:rsidP="00FC4128">
      <w:pPr>
        <w:pStyle w:val="ListParagraph"/>
        <w:numPr>
          <w:ilvl w:val="0"/>
          <w:numId w:val="2"/>
        </w:numPr>
        <w:rPr>
          <w:rFonts w:asciiTheme="majorHAnsi" w:hAnsiTheme="majorHAnsi"/>
          <w:b/>
          <w:color w:val="000000" w:themeColor="text1"/>
          <w:szCs w:val="20"/>
        </w:rPr>
      </w:pPr>
      <w:r w:rsidRPr="00FC4128">
        <w:rPr>
          <w:rFonts w:asciiTheme="majorHAnsi" w:hAnsiTheme="majorHAnsi"/>
          <w:noProof/>
          <w:color w:val="000000" w:themeColor="text1"/>
          <w:szCs w:val="20"/>
        </w:rPr>
        <w:drawing>
          <wp:anchor distT="0" distB="0" distL="114300" distR="114300" simplePos="0" relativeHeight="251661312" behindDoc="0" locked="0" layoutInCell="1" allowOverlap="1" wp14:anchorId="25A7EA81" wp14:editId="35DC2B9C">
            <wp:simplePos x="0" y="0"/>
            <wp:positionH relativeFrom="column">
              <wp:posOffset>0</wp:posOffset>
            </wp:positionH>
            <wp:positionV relativeFrom="paragraph">
              <wp:posOffset>221</wp:posOffset>
            </wp:positionV>
            <wp:extent cx="1080000" cy="844038"/>
            <wp:effectExtent l="0" t="0" r="6350" b="0"/>
            <wp:wrapSquare wrapText="bothSides"/>
            <wp:docPr id="3" name="Picture 3" descr="PwC_Pictograms_CargoShip.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wC_Pictograms_CargoShip.z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8440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128">
        <w:rPr>
          <w:rFonts w:asciiTheme="majorHAnsi" w:hAnsiTheme="majorHAnsi"/>
          <w:b/>
          <w:color w:val="000000" w:themeColor="text1"/>
          <w:szCs w:val="20"/>
        </w:rPr>
        <w:t>Trading goods across borders remains tense</w:t>
      </w:r>
    </w:p>
    <w:p w14:paraId="73A3BF1C" w14:textId="77777777" w:rsidR="00FC4128" w:rsidRPr="00E713A1" w:rsidRDefault="00FC4128" w:rsidP="00FC4128">
      <w:pPr>
        <w:rPr>
          <w:rFonts w:asciiTheme="majorHAnsi" w:hAnsiTheme="majorHAnsi"/>
          <w:sz w:val="20"/>
          <w:szCs w:val="20"/>
        </w:rPr>
      </w:pPr>
      <w:r w:rsidRPr="00E713A1">
        <w:rPr>
          <w:rFonts w:asciiTheme="majorHAnsi" w:hAnsiTheme="majorHAnsi"/>
          <w:sz w:val="20"/>
          <w:szCs w:val="20"/>
        </w:rPr>
        <w:t>A defining feature of the global economy since at least the 1970’s has been globalisation—the bringing together of economies predominantly via more liberal trade flows. However, the global volume of merchandise traded slowed down dramatically and even went in reverse in 2019 - in contrast to a 21</w:t>
      </w:r>
      <w:r w:rsidRPr="00E713A1">
        <w:rPr>
          <w:rFonts w:asciiTheme="majorHAnsi" w:hAnsiTheme="majorHAnsi"/>
          <w:sz w:val="20"/>
          <w:szCs w:val="20"/>
          <w:vertAlign w:val="superscript"/>
        </w:rPr>
        <w:t>st</w:t>
      </w:r>
      <w:r w:rsidRPr="00E713A1">
        <w:rPr>
          <w:rFonts w:asciiTheme="majorHAnsi" w:hAnsiTheme="majorHAnsi"/>
          <w:sz w:val="20"/>
          <w:szCs w:val="20"/>
        </w:rPr>
        <w:t>-century average growth rate of about 3.4% per annum. Also, in December 2019, the World Trade Organisation’s (WTO) dispute settlement mechanism was effectively disbanded. We expect this trend to continue in 2020 and for trade tensions in the global goods market to persist. This means that we assess globalisation is likely to give way to ‘</w:t>
      </w:r>
      <w:proofErr w:type="spellStart"/>
      <w:r w:rsidRPr="00E713A1">
        <w:rPr>
          <w:rFonts w:asciiTheme="majorHAnsi" w:hAnsiTheme="majorHAnsi"/>
          <w:sz w:val="20"/>
          <w:szCs w:val="20"/>
        </w:rPr>
        <w:t>slowbalisation</w:t>
      </w:r>
      <w:proofErr w:type="spellEnd"/>
      <w:r w:rsidRPr="00E713A1">
        <w:rPr>
          <w:rFonts w:asciiTheme="majorHAnsi" w:hAnsiTheme="majorHAnsi"/>
          <w:sz w:val="20"/>
          <w:szCs w:val="20"/>
        </w:rPr>
        <w:t>’, i.e. continued integration of the global economy via trade, financial and other flows, albeit at a significantly slower pace. Large businesses with sophisticated supply chains spread across the world should therefore plan for a variety of scenarios, some of which have not been experienced in recent history.</w:t>
      </w:r>
    </w:p>
    <w:p w14:paraId="6BE78915" w14:textId="77777777" w:rsidR="00FC4128" w:rsidRDefault="00FC4128" w:rsidP="00FC4128">
      <w:pPr>
        <w:rPr>
          <w:rFonts w:asciiTheme="majorHAnsi" w:hAnsiTheme="majorHAnsi"/>
          <w:sz w:val="20"/>
          <w:szCs w:val="20"/>
        </w:rPr>
      </w:pPr>
      <w:r w:rsidRPr="00E713A1">
        <w:rPr>
          <w:rFonts w:asciiTheme="majorHAnsi" w:hAnsiTheme="majorHAnsi"/>
          <w:sz w:val="20"/>
          <w:szCs w:val="20"/>
        </w:rPr>
        <w:t xml:space="preserve">South Africa has in recent years been a net exporter (i.e. exports have been larger in value compared to import) of goods. The export of agricultural commodities, mineral and manufactured items is an important generator of foreign currency and creator of employment opportunities. A switch from globalisation momentum to </w:t>
      </w:r>
      <w:proofErr w:type="spellStart"/>
      <w:r w:rsidRPr="00E713A1">
        <w:rPr>
          <w:rFonts w:asciiTheme="majorHAnsi" w:hAnsiTheme="majorHAnsi"/>
          <w:sz w:val="20"/>
          <w:szCs w:val="20"/>
        </w:rPr>
        <w:t>slowbalisation</w:t>
      </w:r>
      <w:proofErr w:type="spellEnd"/>
      <w:r w:rsidRPr="00E713A1">
        <w:rPr>
          <w:rFonts w:asciiTheme="majorHAnsi" w:hAnsiTheme="majorHAnsi"/>
          <w:sz w:val="20"/>
          <w:szCs w:val="20"/>
        </w:rPr>
        <w:t xml:space="preserve"> is bad news for South African exporters like, for example, wine fruit producers, platinum mines and vehicle manufacturers. It is an unwelcome development that will require export-oriented South African companies to consider various scenarios for the world economy and global trade patterns in the short to medium term. </w:t>
      </w:r>
      <w:r>
        <w:rPr>
          <w:rFonts w:asciiTheme="majorHAnsi" w:hAnsiTheme="majorHAnsi"/>
          <w:sz w:val="20"/>
          <w:szCs w:val="20"/>
        </w:rPr>
        <w:t xml:space="preserve">Some </w:t>
      </w:r>
      <w:r w:rsidRPr="00E713A1">
        <w:rPr>
          <w:rFonts w:asciiTheme="majorHAnsi" w:hAnsiTheme="majorHAnsi"/>
          <w:sz w:val="20"/>
          <w:szCs w:val="20"/>
        </w:rPr>
        <w:t>69.4% of South African CEOs are somewhat or extremely concerned about trade conflicts</w:t>
      </w:r>
      <w:r>
        <w:rPr>
          <w:rFonts w:asciiTheme="majorHAnsi" w:hAnsiTheme="majorHAnsi"/>
          <w:sz w:val="20"/>
          <w:szCs w:val="20"/>
        </w:rPr>
        <w:t xml:space="preserve">. </w:t>
      </w:r>
      <w:r w:rsidRPr="00E713A1">
        <w:rPr>
          <w:rFonts w:asciiTheme="majorHAnsi" w:hAnsiTheme="majorHAnsi"/>
          <w:sz w:val="20"/>
          <w:szCs w:val="20"/>
        </w:rPr>
        <w:t>On a positive note, as global trade dynamics wither, the African continent is on the cusp of becoming a more attractive export option. The African Continental Free Trade Area (</w:t>
      </w:r>
      <w:proofErr w:type="spellStart"/>
      <w:r w:rsidRPr="00E713A1">
        <w:rPr>
          <w:rFonts w:asciiTheme="majorHAnsi" w:hAnsiTheme="majorHAnsi"/>
          <w:sz w:val="20"/>
          <w:szCs w:val="20"/>
        </w:rPr>
        <w:t>AfCFTA</w:t>
      </w:r>
      <w:proofErr w:type="spellEnd"/>
      <w:r w:rsidRPr="00E713A1">
        <w:rPr>
          <w:rFonts w:asciiTheme="majorHAnsi" w:hAnsiTheme="majorHAnsi"/>
          <w:sz w:val="20"/>
          <w:szCs w:val="20"/>
        </w:rPr>
        <w:t>) is currently slated to be operation from July this year – member states agreed last year to a 90% tariff liberalisation from this date.</w:t>
      </w:r>
    </w:p>
    <w:p w14:paraId="2C82EAD5" w14:textId="77777777" w:rsidR="00FC4128" w:rsidRPr="00E713A1" w:rsidRDefault="00FC4128" w:rsidP="00FC4128">
      <w:pPr>
        <w:rPr>
          <w:rFonts w:asciiTheme="majorHAnsi" w:hAnsiTheme="majorHAnsi"/>
          <w:sz w:val="20"/>
          <w:szCs w:val="20"/>
        </w:rPr>
      </w:pPr>
    </w:p>
    <w:p w14:paraId="3577BF20" w14:textId="77777777" w:rsidR="00FC4128" w:rsidRPr="00FC4128" w:rsidRDefault="00FC4128" w:rsidP="00FC4128">
      <w:pPr>
        <w:pStyle w:val="ListParagraph"/>
        <w:numPr>
          <w:ilvl w:val="0"/>
          <w:numId w:val="2"/>
        </w:numPr>
        <w:rPr>
          <w:rFonts w:asciiTheme="majorHAnsi" w:hAnsiTheme="majorHAnsi"/>
          <w:b/>
          <w:color w:val="000000" w:themeColor="text1"/>
          <w:szCs w:val="20"/>
        </w:rPr>
      </w:pPr>
      <w:r w:rsidRPr="00FC4128">
        <w:rPr>
          <w:rFonts w:asciiTheme="majorHAnsi" w:hAnsiTheme="majorHAnsi"/>
          <w:noProof/>
          <w:color w:val="000000" w:themeColor="text1"/>
          <w:szCs w:val="20"/>
        </w:rPr>
        <w:lastRenderedPageBreak/>
        <w:drawing>
          <wp:anchor distT="0" distB="0" distL="114300" distR="114300" simplePos="0" relativeHeight="251662336" behindDoc="0" locked="0" layoutInCell="1" allowOverlap="1" wp14:anchorId="5A81C3DB" wp14:editId="3F438DA3">
            <wp:simplePos x="0" y="0"/>
            <wp:positionH relativeFrom="column">
              <wp:posOffset>0</wp:posOffset>
            </wp:positionH>
            <wp:positionV relativeFrom="paragraph">
              <wp:posOffset>-1960</wp:posOffset>
            </wp:positionV>
            <wp:extent cx="1080000" cy="844038"/>
            <wp:effectExtent l="0" t="0" r="6350" b="0"/>
            <wp:wrapSquare wrapText="bothSides"/>
            <wp:docPr id="5" name="Picture 5" descr="PwC_Pictograms_AudioImageVideoProcessing.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wC_Pictograms_AudioImageVideoProcessing.z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8440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128">
        <w:rPr>
          <w:rFonts w:asciiTheme="majorHAnsi" w:hAnsiTheme="majorHAnsi"/>
          <w:b/>
          <w:color w:val="000000" w:themeColor="text1"/>
          <w:szCs w:val="20"/>
        </w:rPr>
        <w:t>World services trade increasing to R100 trillion</w:t>
      </w:r>
    </w:p>
    <w:p w14:paraId="4DEC0EFB" w14:textId="77777777" w:rsidR="00FC4128" w:rsidRPr="00E713A1" w:rsidRDefault="00FC4128" w:rsidP="00FC4128">
      <w:pPr>
        <w:rPr>
          <w:rFonts w:asciiTheme="majorHAnsi" w:hAnsiTheme="majorHAnsi"/>
          <w:sz w:val="20"/>
          <w:szCs w:val="20"/>
        </w:rPr>
      </w:pPr>
      <w:r w:rsidRPr="00E713A1">
        <w:rPr>
          <w:rFonts w:asciiTheme="majorHAnsi" w:hAnsiTheme="majorHAnsi"/>
          <w:sz w:val="20"/>
          <w:szCs w:val="20"/>
        </w:rPr>
        <w:t>One aspect of trade that is often neglected is trade in services, which is now about one third of the size of the global volume of merchandise trade. In contrast to goods, services remain largely unaffected from tariff wars. The latest data from the International Trade Centre (ITC) shows that the global export of services was worth about R78 billion, or around 3.5% of global GDP, in 2018. We expect the total value of services exported to hit a record R100 trillion by 2020. Assuming historic trends continue, the US and UK are likely to remain the first and second largest exporters of services in the world. But in yet another reminder of the shift of the centre of economic power from the West to the East, we expect China to overtake France in 2020 and become the world’s fourth largest services exporter.</w:t>
      </w:r>
    </w:p>
    <w:p w14:paraId="7407A3A6" w14:textId="77777777" w:rsidR="00FC4128" w:rsidRDefault="00FC4128" w:rsidP="00FC4128">
      <w:pPr>
        <w:rPr>
          <w:rFonts w:asciiTheme="majorHAnsi" w:hAnsiTheme="majorHAnsi"/>
          <w:sz w:val="20"/>
          <w:szCs w:val="20"/>
        </w:rPr>
      </w:pPr>
      <w:r w:rsidRPr="00E713A1">
        <w:rPr>
          <w:rFonts w:asciiTheme="majorHAnsi" w:hAnsiTheme="majorHAnsi"/>
          <w:sz w:val="20"/>
          <w:szCs w:val="20"/>
        </w:rPr>
        <w:t xml:space="preserve">President Cyril </w:t>
      </w:r>
      <w:proofErr w:type="spellStart"/>
      <w:r w:rsidRPr="00E713A1">
        <w:rPr>
          <w:rFonts w:asciiTheme="majorHAnsi" w:hAnsiTheme="majorHAnsi"/>
          <w:sz w:val="20"/>
          <w:szCs w:val="20"/>
        </w:rPr>
        <w:t>Ramaphosa</w:t>
      </w:r>
      <w:proofErr w:type="spellEnd"/>
      <w:r w:rsidRPr="00E713A1">
        <w:rPr>
          <w:rFonts w:asciiTheme="majorHAnsi" w:hAnsiTheme="majorHAnsi"/>
          <w:sz w:val="20"/>
          <w:szCs w:val="20"/>
        </w:rPr>
        <w:t xml:space="preserve"> said in his first State of the Nation Address (SONA) in 2019 that South Africa must find export markets for its goods and services to significantly grow employment. In this regard, the government will have a focus on exporting services like, for example, business process outsourcing and remote medical procedures. PwC’s calculations show that business services are amongst the most impactful industries in South Africa based on the growth and jobs that can be created by investment in the sector. The services sector is already dominant within the economy – accounting for 60% of GDP – through, for example, the country’s modern financial sector and popular tourism industry. </w:t>
      </w:r>
    </w:p>
    <w:p w14:paraId="641E09CB" w14:textId="77777777" w:rsidR="00FC4128" w:rsidRPr="00E713A1" w:rsidRDefault="00FC4128" w:rsidP="00FC4128">
      <w:pPr>
        <w:rPr>
          <w:rFonts w:asciiTheme="majorHAnsi" w:hAnsiTheme="majorHAnsi"/>
          <w:sz w:val="20"/>
          <w:szCs w:val="20"/>
        </w:rPr>
      </w:pPr>
    </w:p>
    <w:p w14:paraId="6F6A9F90" w14:textId="77777777" w:rsidR="00FC4128" w:rsidRPr="00FC4128" w:rsidRDefault="00FC4128" w:rsidP="00FC4128">
      <w:pPr>
        <w:pStyle w:val="ListParagraph"/>
        <w:numPr>
          <w:ilvl w:val="0"/>
          <w:numId w:val="2"/>
        </w:numPr>
        <w:rPr>
          <w:rFonts w:asciiTheme="majorHAnsi" w:hAnsiTheme="majorHAnsi"/>
          <w:b/>
          <w:color w:val="000000" w:themeColor="text1"/>
          <w:szCs w:val="20"/>
        </w:rPr>
      </w:pPr>
      <w:r w:rsidRPr="00FC4128">
        <w:rPr>
          <w:rFonts w:asciiTheme="majorHAnsi" w:hAnsiTheme="majorHAnsi"/>
          <w:noProof/>
          <w:color w:val="000000" w:themeColor="text1"/>
          <w:szCs w:val="20"/>
        </w:rPr>
        <w:drawing>
          <wp:anchor distT="0" distB="0" distL="114300" distR="114300" simplePos="0" relativeHeight="251659264" behindDoc="0" locked="0" layoutInCell="1" allowOverlap="1" wp14:anchorId="1D9D8154" wp14:editId="3E77488F">
            <wp:simplePos x="0" y="0"/>
            <wp:positionH relativeFrom="column">
              <wp:posOffset>0</wp:posOffset>
            </wp:positionH>
            <wp:positionV relativeFrom="paragraph">
              <wp:posOffset>0</wp:posOffset>
            </wp:positionV>
            <wp:extent cx="1080000" cy="844038"/>
            <wp:effectExtent l="0" t="0" r="6350" b="0"/>
            <wp:wrapSquare wrapText="bothSides"/>
            <wp:docPr id="1" name="Picture 1" descr="PwC_Pictograms_World.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C_Pictograms_World.z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8440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128">
        <w:rPr>
          <w:rFonts w:asciiTheme="majorHAnsi" w:hAnsiTheme="majorHAnsi"/>
          <w:b/>
          <w:color w:val="000000" w:themeColor="text1"/>
          <w:szCs w:val="20"/>
        </w:rPr>
        <w:t>Global economy growing at a modest pace</w:t>
      </w:r>
    </w:p>
    <w:p w14:paraId="687849F3" w14:textId="77777777" w:rsidR="00FC4128" w:rsidRPr="00E713A1" w:rsidRDefault="00FC4128" w:rsidP="00FC4128">
      <w:pPr>
        <w:rPr>
          <w:rFonts w:asciiTheme="majorHAnsi" w:hAnsiTheme="majorHAnsi"/>
          <w:sz w:val="20"/>
          <w:szCs w:val="20"/>
        </w:rPr>
      </w:pPr>
      <w:r w:rsidRPr="00E713A1">
        <w:rPr>
          <w:rFonts w:asciiTheme="majorHAnsi" w:hAnsiTheme="majorHAnsi"/>
          <w:sz w:val="20"/>
          <w:szCs w:val="20"/>
        </w:rPr>
        <w:t>In our main scenario for 2020, we expect the global economy to expand at a rate of around 3.5% which is below the 21</w:t>
      </w:r>
      <w:r w:rsidRPr="00E713A1">
        <w:rPr>
          <w:rFonts w:asciiTheme="majorHAnsi" w:hAnsiTheme="majorHAnsi"/>
          <w:sz w:val="20"/>
          <w:szCs w:val="20"/>
          <w:vertAlign w:val="superscript"/>
        </w:rPr>
        <w:t>st</w:t>
      </w:r>
      <w:r w:rsidRPr="00E713A1">
        <w:rPr>
          <w:rFonts w:asciiTheme="majorHAnsi" w:hAnsiTheme="majorHAnsi"/>
          <w:sz w:val="20"/>
          <w:szCs w:val="20"/>
        </w:rPr>
        <w:t xml:space="preserve"> century average of 3.8% per annum. We expect </w:t>
      </w:r>
      <w:proofErr w:type="gramStart"/>
      <w:r w:rsidRPr="00E713A1">
        <w:rPr>
          <w:rFonts w:asciiTheme="majorHAnsi" w:hAnsiTheme="majorHAnsi"/>
          <w:sz w:val="20"/>
          <w:szCs w:val="20"/>
        </w:rPr>
        <w:t>all of</w:t>
      </w:r>
      <w:proofErr w:type="gramEnd"/>
      <w:r w:rsidRPr="00E713A1">
        <w:rPr>
          <w:rFonts w:asciiTheme="majorHAnsi" w:hAnsiTheme="majorHAnsi"/>
          <w:sz w:val="20"/>
          <w:szCs w:val="20"/>
        </w:rPr>
        <w:t xml:space="preserve"> the major economies to grow, buoyed, in part, by accommodative financial conditions. US economic activity is likely to expand by around 2%, in line with its potential rate. Given the historically low unemployment rate, US employers, however, find it increasingly difficult to hire staff. Across the pond, the euro zone is expected to grow at approximately half that rate (i.e. around 1%). Germany, and other economies that are sensitive to global trade flows, to become more reliant on household consumption as a source of growth instead of net exports and investment. For Germany, however, this could be challenging as households tend to save more than the European average. In the emerging world, we expect the Chinese </w:t>
      </w:r>
      <w:r w:rsidRPr="004302AE">
        <w:rPr>
          <w:rFonts w:asciiTheme="majorHAnsi" w:hAnsiTheme="majorHAnsi"/>
          <w:sz w:val="20"/>
          <w:szCs w:val="20"/>
        </w:rPr>
        <w:t>economy</w:t>
      </w:r>
      <w:r w:rsidRPr="00E713A1">
        <w:rPr>
          <w:rFonts w:asciiTheme="majorHAnsi" w:hAnsiTheme="majorHAnsi"/>
          <w:sz w:val="20"/>
          <w:szCs w:val="20"/>
        </w:rPr>
        <w:t xml:space="preserve"> to expand by less than 6%-- but it can still add the equivalent of Saudi Arabia to the world economy in one year. The world’s six other largest emerging economies, including Turkey, should also grow in this scenario, with India (see below) leading the way.</w:t>
      </w:r>
    </w:p>
    <w:p w14:paraId="69B9EC2E" w14:textId="77777777" w:rsidR="00FC4128" w:rsidRDefault="00FC4128" w:rsidP="00FC4128">
      <w:pPr>
        <w:rPr>
          <w:rFonts w:asciiTheme="majorHAnsi" w:hAnsiTheme="majorHAnsi"/>
          <w:sz w:val="20"/>
          <w:szCs w:val="20"/>
        </w:rPr>
      </w:pPr>
      <w:r w:rsidRPr="00E713A1">
        <w:rPr>
          <w:rFonts w:asciiTheme="majorHAnsi" w:hAnsiTheme="majorHAnsi"/>
          <w:sz w:val="20"/>
          <w:szCs w:val="20"/>
        </w:rPr>
        <w:t>The South African economy has for some years deviated from global growth trends and followed its own (weak) trajectory. As such, a shift in global growth is not a direct signal as to the fate of South African business. However, it is the slowdown in growth in key trade and investment partners – the US, UK, euro zone and China – that will adversely impact individual companies. The IHS Markit South Africa Purchasing Managers Index (PMI) – a gauge of private sector business activity in the country – declined to a 14-month low in December 2019 partly as a result of a fall in export orders. Overall, sales to offshore clients declined for a fourth straight month as the year closed. The Absa Purchasing Managers’ Index (PMI) also noted weaker external demand for manufactured goods at the end of 2019 and concern that export demand will continue to falter in the first half of 2020. This is a significant point of concern for South African companies who have been looking externally for market growth given the weak domestic economy. Some 38.9% of South African CEOs surveyed by PwC want to enter a new market in the next 12 months in order to drive revenue growth</w:t>
      </w:r>
      <w:r>
        <w:rPr>
          <w:rFonts w:asciiTheme="majorHAnsi" w:hAnsiTheme="majorHAnsi"/>
          <w:sz w:val="20"/>
          <w:szCs w:val="20"/>
        </w:rPr>
        <w:t>.</w:t>
      </w:r>
    </w:p>
    <w:p w14:paraId="1CA6990C" w14:textId="77777777" w:rsidR="00FC4128" w:rsidRDefault="00FC4128" w:rsidP="00FC4128">
      <w:pPr>
        <w:rPr>
          <w:rFonts w:asciiTheme="majorHAnsi" w:hAnsiTheme="majorHAnsi"/>
          <w:sz w:val="20"/>
          <w:szCs w:val="20"/>
        </w:rPr>
      </w:pPr>
    </w:p>
    <w:p w14:paraId="3E4A3042" w14:textId="77777777" w:rsidR="00FC4128" w:rsidRPr="00FC4128" w:rsidRDefault="00FC4128" w:rsidP="00FC4128">
      <w:pPr>
        <w:pStyle w:val="ListParagraph"/>
        <w:numPr>
          <w:ilvl w:val="0"/>
          <w:numId w:val="2"/>
        </w:numPr>
        <w:rPr>
          <w:rFonts w:asciiTheme="majorHAnsi" w:hAnsiTheme="majorHAnsi"/>
          <w:b/>
          <w:color w:val="000000" w:themeColor="text1"/>
          <w:szCs w:val="20"/>
        </w:rPr>
      </w:pPr>
      <w:r w:rsidRPr="00FC4128">
        <w:rPr>
          <w:rFonts w:asciiTheme="majorHAnsi" w:hAnsiTheme="majorHAnsi"/>
          <w:noProof/>
          <w:color w:val="000000" w:themeColor="text1"/>
          <w:szCs w:val="20"/>
        </w:rPr>
        <w:lastRenderedPageBreak/>
        <w:drawing>
          <wp:anchor distT="0" distB="0" distL="114300" distR="114300" simplePos="0" relativeHeight="251660288" behindDoc="0" locked="0" layoutInCell="1" allowOverlap="1" wp14:anchorId="01277603" wp14:editId="61E6FF52">
            <wp:simplePos x="0" y="0"/>
            <wp:positionH relativeFrom="column">
              <wp:posOffset>0</wp:posOffset>
            </wp:positionH>
            <wp:positionV relativeFrom="paragraph">
              <wp:posOffset>1436</wp:posOffset>
            </wp:positionV>
            <wp:extent cx="1080000" cy="844038"/>
            <wp:effectExtent l="0" t="0" r="6350" b="0"/>
            <wp:wrapSquare wrapText="bothSides"/>
            <wp:docPr id="2" name="Picture 2" descr="PwC_Pictograms_OilGasEnergy.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wC_Pictograms_OilGasEnergy.zi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8440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128">
        <w:rPr>
          <w:rFonts w:asciiTheme="majorHAnsi" w:hAnsiTheme="majorHAnsi"/>
          <w:b/>
          <w:color w:val="000000" w:themeColor="text1"/>
          <w:szCs w:val="20"/>
        </w:rPr>
        <w:t>US oil production hitting record levels</w:t>
      </w:r>
    </w:p>
    <w:p w14:paraId="3F2A3815" w14:textId="77777777" w:rsidR="00FC4128" w:rsidRDefault="00FC4128" w:rsidP="00FC4128">
      <w:pPr>
        <w:rPr>
          <w:rFonts w:asciiTheme="majorHAnsi" w:hAnsiTheme="majorHAnsi"/>
          <w:sz w:val="20"/>
          <w:szCs w:val="20"/>
        </w:rPr>
      </w:pPr>
      <w:r w:rsidRPr="00E713A1">
        <w:rPr>
          <w:rFonts w:asciiTheme="majorHAnsi" w:hAnsiTheme="majorHAnsi"/>
          <w:sz w:val="20"/>
          <w:szCs w:val="20"/>
        </w:rPr>
        <w:t>Global renewable energy and nuclear consumption will likely make up more than 20% of global energy consumption this year, which is the highest it has ever been. The rise of renewable energy reflects how businesses, households and governments are adapting and changing their attitudes. China is expected to be the largest consumer of this type of energy closely followed by Europe. However, oil is expected to continue to remain the most preferred source of energy in 2020 for the world economy followed by coal and natural gas. The US and China will almost certainly remain the largest consumers of oil in the world in 2020. In so far as the extraction and supply of oil (and other liquid forms of energy) is concerned, the US may surpass the monthly 13 million barrels per day threshold. To set this into context, US crude oil was extracted at a rate of 5.5 million barrels per day some 10 years ago.</w:t>
      </w:r>
    </w:p>
    <w:p w14:paraId="51B64AE1" w14:textId="77777777" w:rsidR="00FC4128" w:rsidRPr="00E713A1" w:rsidRDefault="00FC4128" w:rsidP="00FC4128">
      <w:pPr>
        <w:rPr>
          <w:rFonts w:asciiTheme="majorHAnsi" w:hAnsiTheme="majorHAnsi"/>
          <w:sz w:val="20"/>
          <w:szCs w:val="20"/>
        </w:rPr>
      </w:pPr>
    </w:p>
    <w:p w14:paraId="59637DFE" w14:textId="77777777" w:rsidR="00FC4128" w:rsidRDefault="00FC4128" w:rsidP="00FC4128">
      <w:pPr>
        <w:rPr>
          <w:rFonts w:asciiTheme="majorHAnsi" w:hAnsiTheme="majorHAnsi"/>
          <w:sz w:val="20"/>
          <w:szCs w:val="20"/>
        </w:rPr>
      </w:pPr>
      <w:r w:rsidRPr="00E713A1">
        <w:rPr>
          <w:rFonts w:asciiTheme="majorHAnsi" w:hAnsiTheme="majorHAnsi"/>
          <w:sz w:val="20"/>
          <w:szCs w:val="20"/>
        </w:rPr>
        <w:t xml:space="preserve">The US is not amongst South </w:t>
      </w:r>
      <w:r w:rsidRPr="00225A34">
        <w:rPr>
          <w:rFonts w:asciiTheme="majorHAnsi" w:hAnsiTheme="majorHAnsi"/>
          <w:color w:val="000000" w:themeColor="text1"/>
          <w:sz w:val="20"/>
          <w:szCs w:val="20"/>
        </w:rPr>
        <w:t xml:space="preserve">Africa’s top 10 suppliers of petroleum product </w:t>
      </w:r>
      <w:proofErr w:type="gramStart"/>
      <w:r w:rsidRPr="00225A34">
        <w:rPr>
          <w:rFonts w:asciiTheme="majorHAnsi" w:hAnsiTheme="majorHAnsi"/>
          <w:color w:val="000000" w:themeColor="text1"/>
          <w:sz w:val="20"/>
          <w:szCs w:val="20"/>
        </w:rPr>
        <w:t>imports</w:t>
      </w:r>
      <w:proofErr w:type="gramEnd"/>
      <w:r w:rsidRPr="00225A34">
        <w:rPr>
          <w:rFonts w:asciiTheme="majorHAnsi" w:hAnsiTheme="majorHAnsi"/>
          <w:color w:val="000000" w:themeColor="text1"/>
          <w:sz w:val="20"/>
          <w:szCs w:val="20"/>
        </w:rPr>
        <w:t xml:space="preserve"> so these production numbers are not of direct interest to domestic fuel consumption. Where it is important is the impact of US production on oil prices: the ramp-up in production has </w:t>
      </w:r>
      <w:proofErr w:type="gramStart"/>
      <w:r w:rsidRPr="00225A34">
        <w:rPr>
          <w:rFonts w:asciiTheme="majorHAnsi" w:hAnsiTheme="majorHAnsi"/>
          <w:color w:val="000000" w:themeColor="text1"/>
          <w:sz w:val="20"/>
          <w:szCs w:val="20"/>
        </w:rPr>
        <w:t>definitely cushioned</w:t>
      </w:r>
      <w:proofErr w:type="gramEnd"/>
      <w:r w:rsidRPr="00225A34">
        <w:rPr>
          <w:rFonts w:asciiTheme="majorHAnsi" w:hAnsiTheme="majorHAnsi"/>
          <w:color w:val="000000" w:themeColor="text1"/>
          <w:sz w:val="20"/>
          <w:szCs w:val="20"/>
        </w:rPr>
        <w:t xml:space="preserve"> oil prices in recent years. South Africa is a price-taker in the oil market: a volatile exchange rate and reliance on imported oil makes it vulnerable to spikes in local pump prices due to external factors</w:t>
      </w:r>
      <w:r w:rsidRPr="00E713A1">
        <w:rPr>
          <w:rFonts w:asciiTheme="majorHAnsi" w:hAnsiTheme="majorHAnsi"/>
          <w:sz w:val="20"/>
          <w:szCs w:val="20"/>
        </w:rPr>
        <w:t xml:space="preserve">. </w:t>
      </w:r>
      <w:r>
        <w:rPr>
          <w:rFonts w:asciiTheme="majorHAnsi" w:hAnsiTheme="majorHAnsi"/>
          <w:sz w:val="20"/>
          <w:szCs w:val="20"/>
        </w:rPr>
        <w:t xml:space="preserve">While global markets are currently looking at downward pressure on oil due to the potential impact of the </w:t>
      </w:r>
      <w:r w:rsidRPr="00225A34">
        <w:rPr>
          <w:rFonts w:asciiTheme="majorHAnsi" w:hAnsiTheme="majorHAnsi"/>
          <w:sz w:val="20"/>
          <w:szCs w:val="20"/>
        </w:rPr>
        <w:t>Coronavirus</w:t>
      </w:r>
      <w:r>
        <w:rPr>
          <w:rFonts w:asciiTheme="majorHAnsi" w:hAnsiTheme="majorHAnsi"/>
          <w:sz w:val="20"/>
          <w:szCs w:val="20"/>
        </w:rPr>
        <w:t xml:space="preserve"> on the world economy, upwards pressure could materialise again at any time. (It was just weeks ago, for example, that a US-Iran war was being talked about.) </w:t>
      </w:r>
      <w:r w:rsidRPr="00E713A1">
        <w:rPr>
          <w:rFonts w:asciiTheme="majorHAnsi" w:hAnsiTheme="majorHAnsi"/>
          <w:sz w:val="20"/>
          <w:szCs w:val="20"/>
        </w:rPr>
        <w:t>Some 63.9% of South African CEOs surveyed by PwC are somewhat or extremely concerned about volatile energy costs</w:t>
      </w:r>
      <w:r>
        <w:rPr>
          <w:rFonts w:asciiTheme="majorHAnsi" w:hAnsiTheme="majorHAnsi"/>
          <w:sz w:val="20"/>
          <w:szCs w:val="20"/>
        </w:rPr>
        <w:t>.</w:t>
      </w:r>
    </w:p>
    <w:p w14:paraId="58E55476" w14:textId="77777777" w:rsidR="00FC4128" w:rsidRPr="00E713A1" w:rsidRDefault="00FC4128" w:rsidP="00FC4128">
      <w:pPr>
        <w:rPr>
          <w:rFonts w:asciiTheme="majorHAnsi" w:hAnsiTheme="majorHAnsi"/>
          <w:sz w:val="20"/>
          <w:szCs w:val="20"/>
        </w:rPr>
      </w:pPr>
    </w:p>
    <w:p w14:paraId="70E60EE0" w14:textId="77777777" w:rsidR="00FC4128" w:rsidRPr="00FC4128" w:rsidRDefault="00FC4128" w:rsidP="00FC4128">
      <w:pPr>
        <w:pStyle w:val="ListParagraph"/>
        <w:numPr>
          <w:ilvl w:val="0"/>
          <w:numId w:val="2"/>
        </w:numPr>
        <w:rPr>
          <w:rFonts w:asciiTheme="majorHAnsi" w:hAnsiTheme="majorHAnsi"/>
          <w:b/>
          <w:color w:val="000000" w:themeColor="text1"/>
          <w:szCs w:val="20"/>
        </w:rPr>
      </w:pPr>
      <w:r w:rsidRPr="00FC4128">
        <w:rPr>
          <w:rFonts w:asciiTheme="majorHAnsi" w:hAnsiTheme="majorHAnsi"/>
          <w:noProof/>
          <w:color w:val="000000" w:themeColor="text1"/>
          <w:szCs w:val="20"/>
        </w:rPr>
        <w:drawing>
          <wp:anchor distT="0" distB="0" distL="114300" distR="114300" simplePos="0" relativeHeight="251663360" behindDoc="0" locked="0" layoutInCell="1" allowOverlap="1" wp14:anchorId="75DDC966" wp14:editId="588446D7">
            <wp:simplePos x="0" y="0"/>
            <wp:positionH relativeFrom="column">
              <wp:posOffset>0</wp:posOffset>
            </wp:positionH>
            <wp:positionV relativeFrom="paragraph">
              <wp:posOffset>-1160</wp:posOffset>
            </wp:positionV>
            <wp:extent cx="1080000" cy="844038"/>
            <wp:effectExtent l="0" t="0" r="6350" b="0"/>
            <wp:wrapSquare wrapText="bothSides"/>
            <wp:docPr id="4" name="Picture 4" descr="PwC_Pictograms_GrowthEconomy.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wC_Pictograms_GrowthEconomy.zi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8440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128">
        <w:rPr>
          <w:rFonts w:asciiTheme="majorHAnsi" w:hAnsiTheme="majorHAnsi"/>
          <w:b/>
          <w:color w:val="000000" w:themeColor="text1"/>
          <w:szCs w:val="20"/>
        </w:rPr>
        <w:t>India rising in global economic rankings</w:t>
      </w:r>
    </w:p>
    <w:p w14:paraId="44D5A9AD" w14:textId="77777777" w:rsidR="00FC4128" w:rsidRPr="00E713A1" w:rsidRDefault="00FC4128" w:rsidP="00FC4128">
      <w:pPr>
        <w:rPr>
          <w:rFonts w:asciiTheme="majorHAnsi" w:hAnsiTheme="majorHAnsi"/>
          <w:sz w:val="20"/>
          <w:szCs w:val="20"/>
        </w:rPr>
      </w:pPr>
      <w:r w:rsidRPr="00E713A1">
        <w:rPr>
          <w:rFonts w:asciiTheme="majorHAnsi" w:hAnsiTheme="majorHAnsi"/>
          <w:sz w:val="20"/>
          <w:szCs w:val="20"/>
        </w:rPr>
        <w:t>According to the IMF’s latest estimates, 2019 was the year when India overtook the UK and France to become the fifth largest economy in the world. This is an ongoing process with India likely on current trends to overtake Germany before 2025 and Japan before 2030 to become the world’s largest economy behind China and the US. France and the UK will likely now vie for sixth place in the rankings, with their relative position dependent on the value of the pound against the euro which may remain volatile in 2020.</w:t>
      </w:r>
    </w:p>
    <w:p w14:paraId="53DB26E4" w14:textId="77777777" w:rsidR="00FC4128" w:rsidRDefault="00FC4128" w:rsidP="00FC4128">
      <w:pPr>
        <w:rPr>
          <w:rFonts w:asciiTheme="majorHAnsi" w:hAnsiTheme="majorHAnsi"/>
          <w:sz w:val="20"/>
          <w:szCs w:val="20"/>
        </w:rPr>
      </w:pPr>
      <w:r w:rsidRPr="00E713A1">
        <w:rPr>
          <w:rFonts w:asciiTheme="majorHAnsi" w:hAnsiTheme="majorHAnsi"/>
          <w:sz w:val="20"/>
          <w:szCs w:val="20"/>
        </w:rPr>
        <w:t xml:space="preserve">India is South Africa’s closest (from a geographic perspective) BRICS partner. The latter is the smallest member of the emerging market grouping while at the same time counting the other BRICs countries as key trading partners. A healthy Indian economy could be good for South Africa from a trade and investment perspective. (The volume of Indian imports is expected by the International Monetary Fund to grow by 7.5% this year.) South African President Cyril </w:t>
      </w:r>
      <w:proofErr w:type="spellStart"/>
      <w:r w:rsidRPr="00E713A1">
        <w:rPr>
          <w:rFonts w:asciiTheme="majorHAnsi" w:hAnsiTheme="majorHAnsi"/>
          <w:sz w:val="20"/>
          <w:szCs w:val="20"/>
        </w:rPr>
        <w:t>Ramaphosa</w:t>
      </w:r>
      <w:proofErr w:type="spellEnd"/>
      <w:r w:rsidRPr="00E713A1">
        <w:rPr>
          <w:rFonts w:asciiTheme="majorHAnsi" w:hAnsiTheme="majorHAnsi"/>
          <w:sz w:val="20"/>
          <w:szCs w:val="20"/>
        </w:rPr>
        <w:t xml:space="preserve"> visited India in January 2019 and signed a Three-Year Strategic Programme with Indian Prime Minister Narendra Modi aimed at deepening bilateral engagement between India and South Africa and ensuring that a result-orientated partnership benefits the people of both countries. However, only 8.3% of South African CEOs surveyed by PwC consider India most important for their organisation's overall growth prospects over the next 12 months. </w:t>
      </w:r>
    </w:p>
    <w:p w14:paraId="196FD8E4" w14:textId="77777777" w:rsidR="00FC4128" w:rsidRPr="00E713A1" w:rsidRDefault="00FC4128" w:rsidP="00FC4128">
      <w:pPr>
        <w:rPr>
          <w:rFonts w:asciiTheme="majorHAnsi" w:hAnsiTheme="majorHAnsi"/>
          <w:sz w:val="20"/>
          <w:szCs w:val="20"/>
        </w:rPr>
      </w:pPr>
    </w:p>
    <w:p w14:paraId="72E0510E" w14:textId="77777777" w:rsidR="00FC4128" w:rsidRPr="00FC4128" w:rsidRDefault="00FC4128" w:rsidP="00FC4128">
      <w:pPr>
        <w:pBdr>
          <w:top w:val="single" w:sz="4" w:space="1" w:color="auto"/>
          <w:left w:val="single" w:sz="4" w:space="4" w:color="auto"/>
          <w:bottom w:val="single" w:sz="4" w:space="1" w:color="auto"/>
          <w:right w:val="single" w:sz="4" w:space="4" w:color="auto"/>
        </w:pBdr>
        <w:rPr>
          <w:rFonts w:asciiTheme="majorHAnsi" w:hAnsiTheme="majorHAnsi"/>
          <w:b/>
          <w:i/>
          <w:color w:val="000000" w:themeColor="text1"/>
          <w:szCs w:val="20"/>
        </w:rPr>
      </w:pPr>
      <w:r w:rsidRPr="00FC4128">
        <w:rPr>
          <w:rFonts w:asciiTheme="majorHAnsi" w:hAnsiTheme="majorHAnsi"/>
          <w:b/>
          <w:i/>
          <w:color w:val="000000" w:themeColor="text1"/>
          <w:szCs w:val="20"/>
        </w:rPr>
        <w:t>Global population - biggest it has ever been but also the greyest</w:t>
      </w:r>
    </w:p>
    <w:p w14:paraId="22928910" w14:textId="77777777" w:rsidR="00FC4128" w:rsidRPr="004117E1" w:rsidRDefault="00FC4128" w:rsidP="00FC4128">
      <w:pPr>
        <w:pBdr>
          <w:top w:val="single" w:sz="4" w:space="1" w:color="auto"/>
          <w:left w:val="single" w:sz="4" w:space="4" w:color="auto"/>
          <w:bottom w:val="single" w:sz="4" w:space="1" w:color="auto"/>
          <w:right w:val="single" w:sz="4" w:space="4" w:color="auto"/>
        </w:pBdr>
        <w:rPr>
          <w:rFonts w:asciiTheme="majorHAnsi" w:hAnsiTheme="majorHAnsi"/>
          <w:i/>
          <w:sz w:val="20"/>
          <w:szCs w:val="20"/>
        </w:rPr>
      </w:pPr>
      <w:r w:rsidRPr="004117E1">
        <w:rPr>
          <w:i/>
          <w:noProof/>
        </w:rPr>
        <w:drawing>
          <wp:anchor distT="0" distB="0" distL="114300" distR="114300" simplePos="0" relativeHeight="251664384" behindDoc="0" locked="0" layoutInCell="1" allowOverlap="1" wp14:anchorId="659E7873" wp14:editId="0B7FC586">
            <wp:simplePos x="0" y="0"/>
            <wp:positionH relativeFrom="margin">
              <wp:posOffset>4914900</wp:posOffset>
            </wp:positionH>
            <wp:positionV relativeFrom="paragraph">
              <wp:posOffset>1324610</wp:posOffset>
            </wp:positionV>
            <wp:extent cx="1080000" cy="843808"/>
            <wp:effectExtent l="0" t="0" r="6350" b="0"/>
            <wp:wrapSquare wrapText="bothSides"/>
            <wp:docPr id="6" name="Picture 6" descr="PwC_Pictograms_Community.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C_Pictograms_Community.z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8438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7E1">
        <w:rPr>
          <w:rFonts w:asciiTheme="majorHAnsi" w:hAnsiTheme="majorHAnsi"/>
          <w:i/>
          <w:sz w:val="20"/>
          <w:szCs w:val="20"/>
        </w:rPr>
        <w:t xml:space="preserve">According to the United Nations (UN), the world’s population is expected to reach 7.7 billion in 2020 - around a 10% increase compared to a decade ago. China, India and Sub-Saharan Africa are expected to drive around half of the world’s annual population increase. At the same time, the number of people above the age of 60 globally is expected to surpass the one billion mark. China is expected to have a larger number of people above the age of 65 than all the six other largest emerging economies put together. This calls into question how policymakers respond to this trend and fund future health and social care. This could also be an opportunity for businesses in advanced </w:t>
      </w:r>
      <w:r w:rsidRPr="004117E1">
        <w:rPr>
          <w:rFonts w:asciiTheme="majorHAnsi" w:hAnsiTheme="majorHAnsi"/>
          <w:i/>
          <w:sz w:val="20"/>
          <w:szCs w:val="20"/>
        </w:rPr>
        <w:lastRenderedPageBreak/>
        <w:t>economies, who have been dealing with such issues for decades. In relative terms i.e. the proportion of people above the age of 65 relative to the country’s entire population, Japan is expected to remain the ‘greyest’ country in the world and Niger is expected to be the youngest. More than half a billion people are expected to live in the 30 largest cities of the world. Of these cities, five are expected to be in the G7 economies whereas the rest are expected to be in mostly emerging economies. According to the UN, Tokyo is expected to be the largest city in the world in terms of population, followed by Delhi and Shanghai.</w:t>
      </w:r>
    </w:p>
    <w:p w14:paraId="6AA0F1C4" w14:textId="77777777" w:rsidR="00FC4128" w:rsidRDefault="00FC4128" w:rsidP="00FC4128">
      <w:pPr>
        <w:rPr>
          <w:rFonts w:asciiTheme="majorHAnsi" w:hAnsiTheme="majorHAnsi"/>
          <w:b/>
          <w:sz w:val="20"/>
          <w:szCs w:val="20"/>
        </w:rPr>
      </w:pPr>
    </w:p>
    <w:p w14:paraId="3B67ECEE" w14:textId="77777777" w:rsidR="00FC4128" w:rsidRDefault="00FC4128" w:rsidP="00FC4128">
      <w:pPr>
        <w:rPr>
          <w:rFonts w:asciiTheme="majorHAnsi" w:hAnsiTheme="majorHAnsi"/>
          <w:b/>
          <w:sz w:val="20"/>
          <w:szCs w:val="20"/>
        </w:rPr>
      </w:pPr>
    </w:p>
    <w:p w14:paraId="1CF9428D" w14:textId="77777777" w:rsidR="00FC4128" w:rsidRDefault="00FC4128" w:rsidP="00FC4128">
      <w:pPr>
        <w:rPr>
          <w:rFonts w:asciiTheme="majorHAnsi" w:hAnsiTheme="majorHAnsi"/>
          <w:b/>
          <w:sz w:val="20"/>
          <w:szCs w:val="20"/>
        </w:rPr>
      </w:pPr>
    </w:p>
    <w:p w14:paraId="217AD7C4" w14:textId="77777777" w:rsidR="00FC4128" w:rsidRPr="00FC4128" w:rsidRDefault="00FC4128" w:rsidP="00FC4128">
      <w:pPr>
        <w:rPr>
          <w:rFonts w:asciiTheme="majorHAnsi" w:hAnsiTheme="majorHAnsi"/>
          <w:b/>
          <w:color w:val="000000" w:themeColor="text1"/>
          <w:szCs w:val="20"/>
        </w:rPr>
      </w:pPr>
      <w:r w:rsidRPr="00FC4128">
        <w:rPr>
          <w:rFonts w:asciiTheme="majorHAnsi" w:hAnsiTheme="majorHAnsi"/>
          <w:b/>
          <w:color w:val="000000" w:themeColor="text1"/>
          <w:szCs w:val="20"/>
        </w:rPr>
        <w:t>Forecast table</w:t>
      </w:r>
    </w:p>
    <w:p w14:paraId="00B44B0E" w14:textId="77777777" w:rsidR="00FC4128" w:rsidRDefault="00FC4128" w:rsidP="00FC4128">
      <w:pPr>
        <w:rPr>
          <w:rFonts w:asciiTheme="majorHAnsi" w:hAnsiTheme="majorHAnsi"/>
          <w:sz w:val="20"/>
          <w:szCs w:val="20"/>
        </w:rPr>
      </w:pPr>
      <w:r w:rsidRPr="00E713A1">
        <w:rPr>
          <w:rFonts w:asciiTheme="majorHAnsi" w:hAnsiTheme="majorHAnsi"/>
          <w:sz w:val="20"/>
          <w:szCs w:val="20"/>
        </w:rPr>
        <w:t xml:space="preserve">The table below forms our main scenario projections as at January 2020 and are therefore subject to considerable uncertainties. The UK main scenario, for example, assumes a smooth Brexit. </w:t>
      </w:r>
    </w:p>
    <w:p w14:paraId="1FB00B30" w14:textId="77777777" w:rsidR="00FC4128" w:rsidRPr="00E713A1" w:rsidRDefault="00FC4128" w:rsidP="00FC4128">
      <w:pPr>
        <w:rPr>
          <w:rFonts w:asciiTheme="majorHAnsi" w:hAnsiTheme="majorHAnsi"/>
          <w:sz w:val="20"/>
          <w:szCs w:val="20"/>
        </w:rPr>
      </w:pPr>
      <w:r w:rsidRPr="00E713A1">
        <w:rPr>
          <w:rFonts w:asciiTheme="majorHAnsi" w:hAnsiTheme="majorHAnsi"/>
          <w:sz w:val="20"/>
          <w:szCs w:val="20"/>
        </w:rPr>
        <w:t>Table 1: Real GDP growth forecasts (%)</w:t>
      </w:r>
    </w:p>
    <w:tbl>
      <w:tblPr>
        <w:tblW w:w="8240" w:type="dxa"/>
        <w:tblLook w:val="04A0" w:firstRow="1" w:lastRow="0" w:firstColumn="1" w:lastColumn="0" w:noHBand="0" w:noVBand="1"/>
      </w:tblPr>
      <w:tblGrid>
        <w:gridCol w:w="5360"/>
        <w:gridCol w:w="960"/>
        <w:gridCol w:w="960"/>
        <w:gridCol w:w="960"/>
      </w:tblGrid>
      <w:tr w:rsidR="00FC4128" w:rsidRPr="00E713A1" w14:paraId="00D9BCB6" w14:textId="77777777" w:rsidTr="00322D78">
        <w:trPr>
          <w:trHeight w:val="170"/>
        </w:trPr>
        <w:tc>
          <w:tcPr>
            <w:tcW w:w="5360" w:type="dxa"/>
            <w:tcBorders>
              <w:top w:val="nil"/>
              <w:left w:val="nil"/>
              <w:bottom w:val="nil"/>
              <w:right w:val="nil"/>
            </w:tcBorders>
            <w:shd w:val="clear" w:color="auto" w:fill="auto"/>
            <w:noWrap/>
            <w:vAlign w:val="bottom"/>
            <w:hideMark/>
          </w:tcPr>
          <w:p w14:paraId="3FAA05A2" w14:textId="77777777" w:rsidR="00FC4128" w:rsidRPr="00E713A1" w:rsidRDefault="00FC4128" w:rsidP="00322D78">
            <w:pPr>
              <w:spacing w:after="0" w:line="240" w:lineRule="auto"/>
              <w:contextualSpacing/>
              <w:rPr>
                <w:rFonts w:asciiTheme="majorHAnsi" w:eastAsia="Times New Roman" w:hAnsiTheme="majorHAnsi" w:cs="Times New Roman"/>
                <w:sz w:val="20"/>
                <w:szCs w:val="20"/>
                <w:lang w:eastAsia="en-ZA"/>
              </w:rPr>
            </w:pPr>
          </w:p>
        </w:tc>
        <w:tc>
          <w:tcPr>
            <w:tcW w:w="960" w:type="dxa"/>
            <w:tcBorders>
              <w:top w:val="nil"/>
              <w:left w:val="nil"/>
              <w:bottom w:val="single" w:sz="8" w:space="0" w:color="CCCCCC"/>
              <w:right w:val="nil"/>
            </w:tcBorders>
            <w:shd w:val="clear" w:color="auto" w:fill="auto"/>
            <w:hideMark/>
          </w:tcPr>
          <w:p w14:paraId="78A6EAFB"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2019e</w:t>
            </w:r>
          </w:p>
        </w:tc>
        <w:tc>
          <w:tcPr>
            <w:tcW w:w="960" w:type="dxa"/>
            <w:tcBorders>
              <w:top w:val="nil"/>
              <w:left w:val="nil"/>
              <w:bottom w:val="single" w:sz="8" w:space="0" w:color="CCCCCC"/>
              <w:right w:val="nil"/>
            </w:tcBorders>
            <w:shd w:val="clear" w:color="auto" w:fill="auto"/>
            <w:hideMark/>
          </w:tcPr>
          <w:p w14:paraId="3691A08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2020f</w:t>
            </w:r>
          </w:p>
        </w:tc>
        <w:tc>
          <w:tcPr>
            <w:tcW w:w="960" w:type="dxa"/>
            <w:tcBorders>
              <w:top w:val="nil"/>
              <w:left w:val="nil"/>
              <w:bottom w:val="single" w:sz="8" w:space="0" w:color="CCCCCC"/>
              <w:right w:val="nil"/>
            </w:tcBorders>
            <w:shd w:val="clear" w:color="auto" w:fill="auto"/>
            <w:hideMark/>
          </w:tcPr>
          <w:p w14:paraId="0BC788DA"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2021f</w:t>
            </w:r>
          </w:p>
        </w:tc>
      </w:tr>
      <w:tr w:rsidR="00FC4128" w:rsidRPr="00E713A1" w14:paraId="14BBB8F5" w14:textId="77777777" w:rsidTr="00322D78">
        <w:trPr>
          <w:trHeight w:val="170"/>
        </w:trPr>
        <w:tc>
          <w:tcPr>
            <w:tcW w:w="5360" w:type="dxa"/>
            <w:tcBorders>
              <w:top w:val="nil"/>
              <w:left w:val="nil"/>
              <w:bottom w:val="single" w:sz="8" w:space="0" w:color="CCCCCC"/>
              <w:right w:val="nil"/>
            </w:tcBorders>
            <w:shd w:val="clear" w:color="auto" w:fill="auto"/>
            <w:hideMark/>
          </w:tcPr>
          <w:p w14:paraId="3C29375B"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Global</w:t>
            </w:r>
          </w:p>
        </w:tc>
        <w:tc>
          <w:tcPr>
            <w:tcW w:w="960" w:type="dxa"/>
            <w:tcBorders>
              <w:top w:val="nil"/>
              <w:left w:val="nil"/>
              <w:bottom w:val="single" w:sz="8" w:space="0" w:color="CCCCCC"/>
              <w:right w:val="nil"/>
            </w:tcBorders>
            <w:shd w:val="clear" w:color="auto" w:fill="auto"/>
            <w:hideMark/>
          </w:tcPr>
          <w:p w14:paraId="143D8277"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2.7</w:t>
            </w:r>
          </w:p>
        </w:tc>
        <w:tc>
          <w:tcPr>
            <w:tcW w:w="960" w:type="dxa"/>
            <w:tcBorders>
              <w:top w:val="nil"/>
              <w:left w:val="nil"/>
              <w:bottom w:val="single" w:sz="8" w:space="0" w:color="CCCCCC"/>
              <w:right w:val="nil"/>
            </w:tcBorders>
            <w:shd w:val="clear" w:color="auto" w:fill="auto"/>
            <w:hideMark/>
          </w:tcPr>
          <w:p w14:paraId="16C2DD7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2.6</w:t>
            </w:r>
          </w:p>
        </w:tc>
        <w:tc>
          <w:tcPr>
            <w:tcW w:w="960" w:type="dxa"/>
            <w:tcBorders>
              <w:top w:val="nil"/>
              <w:left w:val="nil"/>
              <w:bottom w:val="single" w:sz="8" w:space="0" w:color="CCCCCC"/>
              <w:right w:val="nil"/>
            </w:tcBorders>
            <w:shd w:val="clear" w:color="auto" w:fill="auto"/>
            <w:hideMark/>
          </w:tcPr>
          <w:p w14:paraId="4CB69D42"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2.8</w:t>
            </w:r>
          </w:p>
        </w:tc>
      </w:tr>
      <w:tr w:rsidR="00FC4128" w:rsidRPr="00E713A1" w14:paraId="5819B2C1" w14:textId="77777777" w:rsidTr="00322D78">
        <w:trPr>
          <w:trHeight w:val="170"/>
        </w:trPr>
        <w:tc>
          <w:tcPr>
            <w:tcW w:w="5360" w:type="dxa"/>
            <w:tcBorders>
              <w:top w:val="nil"/>
              <w:left w:val="nil"/>
              <w:bottom w:val="single" w:sz="8" w:space="0" w:color="CCCCCC"/>
              <w:right w:val="nil"/>
            </w:tcBorders>
            <w:shd w:val="clear" w:color="auto" w:fill="auto"/>
            <w:hideMark/>
          </w:tcPr>
          <w:p w14:paraId="00B34987"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G7</w:t>
            </w:r>
          </w:p>
        </w:tc>
        <w:tc>
          <w:tcPr>
            <w:tcW w:w="960" w:type="dxa"/>
            <w:tcBorders>
              <w:top w:val="nil"/>
              <w:left w:val="nil"/>
              <w:bottom w:val="single" w:sz="8" w:space="0" w:color="CCCCCC"/>
              <w:right w:val="nil"/>
            </w:tcBorders>
            <w:shd w:val="clear" w:color="auto" w:fill="auto"/>
            <w:hideMark/>
          </w:tcPr>
          <w:p w14:paraId="79186E32"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1.7</w:t>
            </w:r>
          </w:p>
        </w:tc>
        <w:tc>
          <w:tcPr>
            <w:tcW w:w="960" w:type="dxa"/>
            <w:tcBorders>
              <w:top w:val="nil"/>
              <w:left w:val="nil"/>
              <w:bottom w:val="single" w:sz="8" w:space="0" w:color="CCCCCC"/>
              <w:right w:val="nil"/>
            </w:tcBorders>
            <w:shd w:val="clear" w:color="auto" w:fill="auto"/>
            <w:hideMark/>
          </w:tcPr>
          <w:p w14:paraId="3948702C"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1.4</w:t>
            </w:r>
          </w:p>
        </w:tc>
        <w:tc>
          <w:tcPr>
            <w:tcW w:w="960" w:type="dxa"/>
            <w:tcBorders>
              <w:top w:val="nil"/>
              <w:left w:val="nil"/>
              <w:bottom w:val="single" w:sz="8" w:space="0" w:color="CCCCCC"/>
              <w:right w:val="nil"/>
            </w:tcBorders>
            <w:shd w:val="clear" w:color="auto" w:fill="auto"/>
            <w:hideMark/>
          </w:tcPr>
          <w:p w14:paraId="2B041EA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1.6</w:t>
            </w:r>
          </w:p>
        </w:tc>
      </w:tr>
      <w:tr w:rsidR="00FC4128" w:rsidRPr="00E713A1" w14:paraId="1C7A1326" w14:textId="77777777" w:rsidTr="00322D78">
        <w:trPr>
          <w:trHeight w:val="170"/>
        </w:trPr>
        <w:tc>
          <w:tcPr>
            <w:tcW w:w="5360" w:type="dxa"/>
            <w:tcBorders>
              <w:top w:val="nil"/>
              <w:left w:val="nil"/>
              <w:bottom w:val="single" w:sz="8" w:space="0" w:color="CCCCCC"/>
              <w:right w:val="nil"/>
            </w:tcBorders>
            <w:shd w:val="clear" w:color="auto" w:fill="auto"/>
            <w:hideMark/>
          </w:tcPr>
          <w:p w14:paraId="6CEB8322"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E7</w:t>
            </w:r>
          </w:p>
        </w:tc>
        <w:tc>
          <w:tcPr>
            <w:tcW w:w="960" w:type="dxa"/>
            <w:tcBorders>
              <w:top w:val="nil"/>
              <w:left w:val="nil"/>
              <w:bottom w:val="single" w:sz="8" w:space="0" w:color="CCCCCC"/>
              <w:right w:val="nil"/>
            </w:tcBorders>
            <w:shd w:val="clear" w:color="auto" w:fill="auto"/>
            <w:hideMark/>
          </w:tcPr>
          <w:p w14:paraId="2212943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4.8</w:t>
            </w:r>
          </w:p>
        </w:tc>
        <w:tc>
          <w:tcPr>
            <w:tcW w:w="960" w:type="dxa"/>
            <w:tcBorders>
              <w:top w:val="nil"/>
              <w:left w:val="nil"/>
              <w:bottom w:val="single" w:sz="8" w:space="0" w:color="CCCCCC"/>
              <w:right w:val="nil"/>
            </w:tcBorders>
            <w:shd w:val="clear" w:color="auto" w:fill="auto"/>
            <w:hideMark/>
          </w:tcPr>
          <w:p w14:paraId="3DCC7B9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4.9</w:t>
            </w:r>
          </w:p>
        </w:tc>
        <w:tc>
          <w:tcPr>
            <w:tcW w:w="960" w:type="dxa"/>
            <w:tcBorders>
              <w:top w:val="nil"/>
              <w:left w:val="nil"/>
              <w:bottom w:val="single" w:sz="8" w:space="0" w:color="CCCCCC"/>
              <w:right w:val="nil"/>
            </w:tcBorders>
            <w:shd w:val="clear" w:color="auto" w:fill="auto"/>
            <w:hideMark/>
          </w:tcPr>
          <w:p w14:paraId="68AEFF0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4.9</w:t>
            </w:r>
          </w:p>
        </w:tc>
      </w:tr>
      <w:tr w:rsidR="00FC4128" w:rsidRPr="00E713A1" w14:paraId="33F4B25E" w14:textId="77777777" w:rsidTr="00322D78">
        <w:trPr>
          <w:trHeight w:val="170"/>
        </w:trPr>
        <w:tc>
          <w:tcPr>
            <w:tcW w:w="5360" w:type="dxa"/>
            <w:tcBorders>
              <w:top w:val="nil"/>
              <w:left w:val="nil"/>
              <w:bottom w:val="single" w:sz="8" w:space="0" w:color="CCCCCC"/>
              <w:right w:val="nil"/>
            </w:tcBorders>
            <w:shd w:val="clear" w:color="auto" w:fill="auto"/>
            <w:hideMark/>
          </w:tcPr>
          <w:p w14:paraId="123D525A"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United States</w:t>
            </w:r>
          </w:p>
        </w:tc>
        <w:tc>
          <w:tcPr>
            <w:tcW w:w="960" w:type="dxa"/>
            <w:tcBorders>
              <w:top w:val="nil"/>
              <w:left w:val="nil"/>
              <w:bottom w:val="single" w:sz="8" w:space="0" w:color="CCCCCC"/>
              <w:right w:val="nil"/>
            </w:tcBorders>
            <w:shd w:val="clear" w:color="auto" w:fill="auto"/>
            <w:hideMark/>
          </w:tcPr>
          <w:p w14:paraId="558D0D5A"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2.4</w:t>
            </w:r>
          </w:p>
        </w:tc>
        <w:tc>
          <w:tcPr>
            <w:tcW w:w="960" w:type="dxa"/>
            <w:tcBorders>
              <w:top w:val="nil"/>
              <w:left w:val="nil"/>
              <w:bottom w:val="single" w:sz="8" w:space="0" w:color="CCCCCC"/>
              <w:right w:val="nil"/>
            </w:tcBorders>
            <w:shd w:val="clear" w:color="auto" w:fill="auto"/>
            <w:hideMark/>
          </w:tcPr>
          <w:p w14:paraId="1F461A8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c>
          <w:tcPr>
            <w:tcW w:w="960" w:type="dxa"/>
            <w:tcBorders>
              <w:top w:val="nil"/>
              <w:left w:val="nil"/>
              <w:bottom w:val="single" w:sz="8" w:space="0" w:color="CCCCCC"/>
              <w:right w:val="nil"/>
            </w:tcBorders>
            <w:shd w:val="clear" w:color="auto" w:fill="auto"/>
            <w:hideMark/>
          </w:tcPr>
          <w:p w14:paraId="5F75596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2.1</w:t>
            </w:r>
          </w:p>
        </w:tc>
      </w:tr>
      <w:tr w:rsidR="00FC4128" w:rsidRPr="00E713A1" w14:paraId="58FB0657" w14:textId="77777777" w:rsidTr="00322D78">
        <w:trPr>
          <w:trHeight w:val="170"/>
        </w:trPr>
        <w:tc>
          <w:tcPr>
            <w:tcW w:w="5360" w:type="dxa"/>
            <w:tcBorders>
              <w:top w:val="nil"/>
              <w:left w:val="nil"/>
              <w:bottom w:val="single" w:sz="8" w:space="0" w:color="CCCCCC"/>
              <w:right w:val="nil"/>
            </w:tcBorders>
            <w:shd w:val="clear" w:color="auto" w:fill="auto"/>
            <w:hideMark/>
          </w:tcPr>
          <w:p w14:paraId="4D6B9F15"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China</w:t>
            </w:r>
          </w:p>
        </w:tc>
        <w:tc>
          <w:tcPr>
            <w:tcW w:w="960" w:type="dxa"/>
            <w:tcBorders>
              <w:top w:val="nil"/>
              <w:left w:val="nil"/>
              <w:bottom w:val="single" w:sz="8" w:space="0" w:color="CCCCCC"/>
              <w:right w:val="nil"/>
            </w:tcBorders>
            <w:shd w:val="clear" w:color="auto" w:fill="auto"/>
            <w:hideMark/>
          </w:tcPr>
          <w:p w14:paraId="34C2C7CA"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6.2</w:t>
            </w:r>
          </w:p>
        </w:tc>
        <w:tc>
          <w:tcPr>
            <w:tcW w:w="960" w:type="dxa"/>
            <w:tcBorders>
              <w:top w:val="nil"/>
              <w:left w:val="nil"/>
              <w:bottom w:val="single" w:sz="8" w:space="0" w:color="CCCCCC"/>
              <w:right w:val="nil"/>
            </w:tcBorders>
            <w:shd w:val="clear" w:color="auto" w:fill="auto"/>
            <w:hideMark/>
          </w:tcPr>
          <w:p w14:paraId="2F775E1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5.8</w:t>
            </w:r>
          </w:p>
        </w:tc>
        <w:tc>
          <w:tcPr>
            <w:tcW w:w="960" w:type="dxa"/>
            <w:tcBorders>
              <w:top w:val="nil"/>
              <w:left w:val="nil"/>
              <w:bottom w:val="single" w:sz="8" w:space="0" w:color="CCCCCC"/>
              <w:right w:val="nil"/>
            </w:tcBorders>
            <w:shd w:val="clear" w:color="auto" w:fill="auto"/>
            <w:hideMark/>
          </w:tcPr>
          <w:p w14:paraId="1161335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5.7</w:t>
            </w:r>
          </w:p>
        </w:tc>
      </w:tr>
      <w:tr w:rsidR="00FC4128" w:rsidRPr="00E713A1" w14:paraId="56180D8A" w14:textId="77777777" w:rsidTr="00322D78">
        <w:trPr>
          <w:trHeight w:val="170"/>
        </w:trPr>
        <w:tc>
          <w:tcPr>
            <w:tcW w:w="5360" w:type="dxa"/>
            <w:tcBorders>
              <w:top w:val="nil"/>
              <w:left w:val="nil"/>
              <w:bottom w:val="single" w:sz="8" w:space="0" w:color="CCCCCC"/>
              <w:right w:val="nil"/>
            </w:tcBorders>
            <w:shd w:val="clear" w:color="auto" w:fill="auto"/>
            <w:hideMark/>
          </w:tcPr>
          <w:p w14:paraId="312F15DE"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Japan</w:t>
            </w:r>
          </w:p>
        </w:tc>
        <w:tc>
          <w:tcPr>
            <w:tcW w:w="960" w:type="dxa"/>
            <w:tcBorders>
              <w:top w:val="nil"/>
              <w:left w:val="nil"/>
              <w:bottom w:val="single" w:sz="8" w:space="0" w:color="CCCCCC"/>
              <w:right w:val="nil"/>
            </w:tcBorders>
            <w:shd w:val="clear" w:color="auto" w:fill="auto"/>
            <w:hideMark/>
          </w:tcPr>
          <w:p w14:paraId="7666AC74"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0.9</w:t>
            </w:r>
          </w:p>
        </w:tc>
        <w:tc>
          <w:tcPr>
            <w:tcW w:w="960" w:type="dxa"/>
            <w:tcBorders>
              <w:top w:val="nil"/>
              <w:left w:val="nil"/>
              <w:bottom w:val="single" w:sz="8" w:space="0" w:color="CCCCCC"/>
              <w:right w:val="nil"/>
            </w:tcBorders>
            <w:shd w:val="clear" w:color="auto" w:fill="auto"/>
            <w:hideMark/>
          </w:tcPr>
          <w:p w14:paraId="5BF2D0E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0.5</w:t>
            </w:r>
          </w:p>
        </w:tc>
        <w:tc>
          <w:tcPr>
            <w:tcW w:w="960" w:type="dxa"/>
            <w:tcBorders>
              <w:top w:val="nil"/>
              <w:left w:val="nil"/>
              <w:bottom w:val="single" w:sz="8" w:space="0" w:color="CCCCCC"/>
              <w:right w:val="nil"/>
            </w:tcBorders>
            <w:shd w:val="clear" w:color="auto" w:fill="auto"/>
            <w:hideMark/>
          </w:tcPr>
          <w:p w14:paraId="0D461ECB"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0.5</w:t>
            </w:r>
          </w:p>
        </w:tc>
      </w:tr>
      <w:tr w:rsidR="00FC4128" w:rsidRPr="00E713A1" w14:paraId="1F868943" w14:textId="77777777" w:rsidTr="00322D78">
        <w:trPr>
          <w:trHeight w:val="170"/>
        </w:trPr>
        <w:tc>
          <w:tcPr>
            <w:tcW w:w="5360" w:type="dxa"/>
            <w:tcBorders>
              <w:top w:val="nil"/>
              <w:left w:val="nil"/>
              <w:bottom w:val="single" w:sz="8" w:space="0" w:color="CCCCCC"/>
              <w:right w:val="nil"/>
            </w:tcBorders>
            <w:shd w:val="clear" w:color="auto" w:fill="auto"/>
            <w:hideMark/>
          </w:tcPr>
          <w:p w14:paraId="73CC3F05"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United Kingdom</w:t>
            </w:r>
          </w:p>
        </w:tc>
        <w:tc>
          <w:tcPr>
            <w:tcW w:w="960" w:type="dxa"/>
            <w:tcBorders>
              <w:top w:val="nil"/>
              <w:left w:val="nil"/>
              <w:bottom w:val="single" w:sz="8" w:space="0" w:color="CCCCCC"/>
              <w:right w:val="nil"/>
            </w:tcBorders>
            <w:shd w:val="clear" w:color="auto" w:fill="auto"/>
            <w:hideMark/>
          </w:tcPr>
          <w:p w14:paraId="7D9AA57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1.1</w:t>
            </w:r>
          </w:p>
        </w:tc>
        <w:tc>
          <w:tcPr>
            <w:tcW w:w="960" w:type="dxa"/>
            <w:tcBorders>
              <w:top w:val="nil"/>
              <w:left w:val="nil"/>
              <w:bottom w:val="single" w:sz="8" w:space="0" w:color="CCCCCC"/>
              <w:right w:val="nil"/>
            </w:tcBorders>
            <w:shd w:val="clear" w:color="auto" w:fill="auto"/>
            <w:hideMark/>
          </w:tcPr>
          <w:p w14:paraId="30CBA439"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1.2</w:t>
            </w:r>
          </w:p>
        </w:tc>
        <w:tc>
          <w:tcPr>
            <w:tcW w:w="960" w:type="dxa"/>
            <w:tcBorders>
              <w:top w:val="nil"/>
              <w:left w:val="nil"/>
              <w:bottom w:val="single" w:sz="8" w:space="0" w:color="CCCCCC"/>
              <w:right w:val="nil"/>
            </w:tcBorders>
            <w:shd w:val="clear" w:color="auto" w:fill="auto"/>
            <w:hideMark/>
          </w:tcPr>
          <w:p w14:paraId="0F67E34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1.5</w:t>
            </w:r>
          </w:p>
        </w:tc>
      </w:tr>
      <w:tr w:rsidR="00FC4128" w:rsidRPr="00E713A1" w14:paraId="4CA2E20D" w14:textId="77777777" w:rsidTr="00322D78">
        <w:trPr>
          <w:trHeight w:val="170"/>
        </w:trPr>
        <w:tc>
          <w:tcPr>
            <w:tcW w:w="5360" w:type="dxa"/>
            <w:tcBorders>
              <w:top w:val="nil"/>
              <w:left w:val="nil"/>
              <w:bottom w:val="single" w:sz="8" w:space="0" w:color="CCCCCC"/>
              <w:right w:val="nil"/>
            </w:tcBorders>
            <w:shd w:val="clear" w:color="auto" w:fill="auto"/>
            <w:hideMark/>
          </w:tcPr>
          <w:p w14:paraId="074C95DA"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Euro zone</w:t>
            </w:r>
          </w:p>
        </w:tc>
        <w:tc>
          <w:tcPr>
            <w:tcW w:w="960" w:type="dxa"/>
            <w:tcBorders>
              <w:top w:val="nil"/>
              <w:left w:val="nil"/>
              <w:bottom w:val="single" w:sz="8" w:space="0" w:color="CCCCCC"/>
              <w:right w:val="nil"/>
            </w:tcBorders>
            <w:shd w:val="clear" w:color="auto" w:fill="auto"/>
            <w:hideMark/>
          </w:tcPr>
          <w:p w14:paraId="201D7CC0"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1.1</w:t>
            </w:r>
          </w:p>
        </w:tc>
        <w:tc>
          <w:tcPr>
            <w:tcW w:w="960" w:type="dxa"/>
            <w:tcBorders>
              <w:top w:val="nil"/>
              <w:left w:val="nil"/>
              <w:bottom w:val="single" w:sz="8" w:space="0" w:color="CCCCCC"/>
              <w:right w:val="nil"/>
            </w:tcBorders>
            <w:shd w:val="clear" w:color="auto" w:fill="auto"/>
            <w:hideMark/>
          </w:tcPr>
          <w:p w14:paraId="2647A034"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1.1</w:t>
            </w:r>
          </w:p>
        </w:tc>
        <w:tc>
          <w:tcPr>
            <w:tcW w:w="960" w:type="dxa"/>
            <w:tcBorders>
              <w:top w:val="nil"/>
              <w:left w:val="nil"/>
              <w:bottom w:val="single" w:sz="8" w:space="0" w:color="CCCCCC"/>
              <w:right w:val="nil"/>
            </w:tcBorders>
            <w:shd w:val="clear" w:color="auto" w:fill="auto"/>
            <w:hideMark/>
          </w:tcPr>
          <w:p w14:paraId="24D9A530"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1.3</w:t>
            </w:r>
          </w:p>
        </w:tc>
      </w:tr>
      <w:tr w:rsidR="00FC4128" w:rsidRPr="00E713A1" w14:paraId="04F62D7C" w14:textId="77777777" w:rsidTr="00322D78">
        <w:trPr>
          <w:trHeight w:val="170"/>
        </w:trPr>
        <w:tc>
          <w:tcPr>
            <w:tcW w:w="5360" w:type="dxa"/>
            <w:tcBorders>
              <w:top w:val="nil"/>
              <w:left w:val="nil"/>
              <w:bottom w:val="single" w:sz="8" w:space="0" w:color="CCCCCC"/>
              <w:right w:val="nil"/>
            </w:tcBorders>
            <w:shd w:val="clear" w:color="auto" w:fill="auto"/>
            <w:hideMark/>
          </w:tcPr>
          <w:p w14:paraId="1FC6EEBB"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France</w:t>
            </w:r>
          </w:p>
        </w:tc>
        <w:tc>
          <w:tcPr>
            <w:tcW w:w="960" w:type="dxa"/>
            <w:tcBorders>
              <w:top w:val="nil"/>
              <w:left w:val="nil"/>
              <w:bottom w:val="single" w:sz="8" w:space="0" w:color="CCCCCC"/>
              <w:right w:val="nil"/>
            </w:tcBorders>
            <w:shd w:val="clear" w:color="auto" w:fill="auto"/>
            <w:hideMark/>
          </w:tcPr>
          <w:p w14:paraId="2DC145E4"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1.3</w:t>
            </w:r>
          </w:p>
        </w:tc>
        <w:tc>
          <w:tcPr>
            <w:tcW w:w="960" w:type="dxa"/>
            <w:tcBorders>
              <w:top w:val="nil"/>
              <w:left w:val="nil"/>
              <w:bottom w:val="single" w:sz="8" w:space="0" w:color="CCCCCC"/>
              <w:right w:val="nil"/>
            </w:tcBorders>
            <w:shd w:val="clear" w:color="auto" w:fill="auto"/>
            <w:hideMark/>
          </w:tcPr>
          <w:p w14:paraId="6AA2FA04"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1.2</w:t>
            </w:r>
          </w:p>
        </w:tc>
        <w:tc>
          <w:tcPr>
            <w:tcW w:w="960" w:type="dxa"/>
            <w:tcBorders>
              <w:top w:val="nil"/>
              <w:left w:val="nil"/>
              <w:bottom w:val="single" w:sz="8" w:space="0" w:color="CCCCCC"/>
              <w:right w:val="nil"/>
            </w:tcBorders>
            <w:shd w:val="clear" w:color="auto" w:fill="auto"/>
            <w:hideMark/>
          </w:tcPr>
          <w:p w14:paraId="095E628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1.3</w:t>
            </w:r>
          </w:p>
        </w:tc>
      </w:tr>
      <w:tr w:rsidR="00FC4128" w:rsidRPr="00E713A1" w14:paraId="50754C97" w14:textId="77777777" w:rsidTr="00322D78">
        <w:trPr>
          <w:trHeight w:val="170"/>
        </w:trPr>
        <w:tc>
          <w:tcPr>
            <w:tcW w:w="5360" w:type="dxa"/>
            <w:tcBorders>
              <w:top w:val="nil"/>
              <w:left w:val="nil"/>
              <w:bottom w:val="single" w:sz="8" w:space="0" w:color="CCCCCC"/>
              <w:right w:val="nil"/>
            </w:tcBorders>
            <w:shd w:val="clear" w:color="auto" w:fill="auto"/>
            <w:hideMark/>
          </w:tcPr>
          <w:p w14:paraId="733BA51E"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Germany</w:t>
            </w:r>
          </w:p>
        </w:tc>
        <w:tc>
          <w:tcPr>
            <w:tcW w:w="960" w:type="dxa"/>
            <w:tcBorders>
              <w:top w:val="nil"/>
              <w:left w:val="nil"/>
              <w:bottom w:val="single" w:sz="8" w:space="0" w:color="CCCCCC"/>
              <w:right w:val="nil"/>
            </w:tcBorders>
            <w:shd w:val="clear" w:color="auto" w:fill="auto"/>
            <w:hideMark/>
          </w:tcPr>
          <w:p w14:paraId="523A5D2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0.6</w:t>
            </w:r>
          </w:p>
        </w:tc>
        <w:tc>
          <w:tcPr>
            <w:tcW w:w="960" w:type="dxa"/>
            <w:tcBorders>
              <w:top w:val="nil"/>
              <w:left w:val="nil"/>
              <w:bottom w:val="single" w:sz="8" w:space="0" w:color="CCCCCC"/>
              <w:right w:val="nil"/>
            </w:tcBorders>
            <w:shd w:val="clear" w:color="auto" w:fill="auto"/>
            <w:hideMark/>
          </w:tcPr>
          <w:p w14:paraId="241427F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0.9</w:t>
            </w:r>
          </w:p>
        </w:tc>
        <w:tc>
          <w:tcPr>
            <w:tcW w:w="960" w:type="dxa"/>
            <w:tcBorders>
              <w:top w:val="nil"/>
              <w:left w:val="nil"/>
              <w:bottom w:val="single" w:sz="8" w:space="0" w:color="CCCCCC"/>
              <w:right w:val="nil"/>
            </w:tcBorders>
            <w:shd w:val="clear" w:color="auto" w:fill="auto"/>
            <w:hideMark/>
          </w:tcPr>
          <w:p w14:paraId="344EDCB1"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1.3</w:t>
            </w:r>
          </w:p>
        </w:tc>
      </w:tr>
      <w:tr w:rsidR="00FC4128" w:rsidRPr="00E713A1" w14:paraId="14BB73C6" w14:textId="77777777" w:rsidTr="00322D78">
        <w:trPr>
          <w:trHeight w:val="170"/>
        </w:trPr>
        <w:tc>
          <w:tcPr>
            <w:tcW w:w="5360" w:type="dxa"/>
            <w:tcBorders>
              <w:top w:val="nil"/>
              <w:left w:val="nil"/>
              <w:bottom w:val="single" w:sz="8" w:space="0" w:color="CCCCCC"/>
              <w:right w:val="nil"/>
            </w:tcBorders>
            <w:shd w:val="clear" w:color="auto" w:fill="auto"/>
            <w:hideMark/>
          </w:tcPr>
          <w:p w14:paraId="3F0811F9"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Greece</w:t>
            </w:r>
          </w:p>
        </w:tc>
        <w:tc>
          <w:tcPr>
            <w:tcW w:w="960" w:type="dxa"/>
            <w:tcBorders>
              <w:top w:val="nil"/>
              <w:left w:val="nil"/>
              <w:bottom w:val="single" w:sz="8" w:space="0" w:color="CCCCCC"/>
              <w:right w:val="nil"/>
            </w:tcBorders>
            <w:shd w:val="clear" w:color="auto" w:fill="auto"/>
            <w:hideMark/>
          </w:tcPr>
          <w:p w14:paraId="33A6647C"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1.9</w:t>
            </w:r>
          </w:p>
        </w:tc>
        <w:tc>
          <w:tcPr>
            <w:tcW w:w="960" w:type="dxa"/>
            <w:tcBorders>
              <w:top w:val="nil"/>
              <w:left w:val="nil"/>
              <w:bottom w:val="single" w:sz="8" w:space="0" w:color="CCCCCC"/>
              <w:right w:val="nil"/>
            </w:tcBorders>
            <w:shd w:val="clear" w:color="auto" w:fill="auto"/>
            <w:hideMark/>
          </w:tcPr>
          <w:p w14:paraId="1169B98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2.1</w:t>
            </w:r>
          </w:p>
        </w:tc>
        <w:tc>
          <w:tcPr>
            <w:tcW w:w="960" w:type="dxa"/>
            <w:tcBorders>
              <w:top w:val="nil"/>
              <w:left w:val="nil"/>
              <w:bottom w:val="single" w:sz="8" w:space="0" w:color="CCCCCC"/>
              <w:right w:val="nil"/>
            </w:tcBorders>
            <w:shd w:val="clear" w:color="auto" w:fill="auto"/>
            <w:hideMark/>
          </w:tcPr>
          <w:p w14:paraId="1FFF004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2.2</w:t>
            </w:r>
          </w:p>
        </w:tc>
      </w:tr>
      <w:tr w:rsidR="00FC4128" w:rsidRPr="00E713A1" w14:paraId="6D269B6B" w14:textId="77777777" w:rsidTr="00322D78">
        <w:trPr>
          <w:trHeight w:val="170"/>
        </w:trPr>
        <w:tc>
          <w:tcPr>
            <w:tcW w:w="5360" w:type="dxa"/>
            <w:tcBorders>
              <w:top w:val="nil"/>
              <w:left w:val="nil"/>
              <w:bottom w:val="single" w:sz="8" w:space="0" w:color="CCCCCC"/>
              <w:right w:val="nil"/>
            </w:tcBorders>
            <w:shd w:val="clear" w:color="auto" w:fill="auto"/>
            <w:hideMark/>
          </w:tcPr>
          <w:p w14:paraId="765538AF"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Ireland</w:t>
            </w:r>
          </w:p>
        </w:tc>
        <w:tc>
          <w:tcPr>
            <w:tcW w:w="960" w:type="dxa"/>
            <w:tcBorders>
              <w:top w:val="nil"/>
              <w:left w:val="nil"/>
              <w:bottom w:val="single" w:sz="8" w:space="0" w:color="CCCCCC"/>
              <w:right w:val="nil"/>
            </w:tcBorders>
            <w:shd w:val="clear" w:color="auto" w:fill="auto"/>
            <w:hideMark/>
          </w:tcPr>
          <w:p w14:paraId="3E6C95E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4.3</w:t>
            </w:r>
          </w:p>
        </w:tc>
        <w:tc>
          <w:tcPr>
            <w:tcW w:w="960" w:type="dxa"/>
            <w:tcBorders>
              <w:top w:val="nil"/>
              <w:left w:val="nil"/>
              <w:bottom w:val="single" w:sz="8" w:space="0" w:color="CCCCCC"/>
              <w:right w:val="nil"/>
            </w:tcBorders>
            <w:shd w:val="clear" w:color="auto" w:fill="auto"/>
            <w:hideMark/>
          </w:tcPr>
          <w:p w14:paraId="66BF6A00"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3.0</w:t>
            </w:r>
          </w:p>
        </w:tc>
        <w:tc>
          <w:tcPr>
            <w:tcW w:w="960" w:type="dxa"/>
            <w:tcBorders>
              <w:top w:val="nil"/>
              <w:left w:val="nil"/>
              <w:bottom w:val="single" w:sz="8" w:space="0" w:color="CCCCCC"/>
              <w:right w:val="nil"/>
            </w:tcBorders>
            <w:shd w:val="clear" w:color="auto" w:fill="auto"/>
            <w:hideMark/>
          </w:tcPr>
          <w:p w14:paraId="58526CD9"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3.1</w:t>
            </w:r>
          </w:p>
        </w:tc>
      </w:tr>
      <w:tr w:rsidR="00FC4128" w:rsidRPr="00E713A1" w14:paraId="52DC7D31" w14:textId="77777777" w:rsidTr="00322D78">
        <w:trPr>
          <w:trHeight w:val="170"/>
        </w:trPr>
        <w:tc>
          <w:tcPr>
            <w:tcW w:w="5360" w:type="dxa"/>
            <w:tcBorders>
              <w:top w:val="nil"/>
              <w:left w:val="nil"/>
              <w:bottom w:val="single" w:sz="8" w:space="0" w:color="CCCCCC"/>
              <w:right w:val="nil"/>
            </w:tcBorders>
            <w:shd w:val="clear" w:color="auto" w:fill="auto"/>
            <w:hideMark/>
          </w:tcPr>
          <w:p w14:paraId="7D2548DC"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Italy</w:t>
            </w:r>
          </w:p>
        </w:tc>
        <w:tc>
          <w:tcPr>
            <w:tcW w:w="960" w:type="dxa"/>
            <w:tcBorders>
              <w:top w:val="nil"/>
              <w:left w:val="nil"/>
              <w:bottom w:val="single" w:sz="8" w:space="0" w:color="CCCCCC"/>
              <w:right w:val="nil"/>
            </w:tcBorders>
            <w:shd w:val="clear" w:color="auto" w:fill="auto"/>
            <w:hideMark/>
          </w:tcPr>
          <w:p w14:paraId="1A691CD4"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0.1</w:t>
            </w:r>
          </w:p>
        </w:tc>
        <w:tc>
          <w:tcPr>
            <w:tcW w:w="960" w:type="dxa"/>
            <w:tcBorders>
              <w:top w:val="nil"/>
              <w:left w:val="nil"/>
              <w:bottom w:val="single" w:sz="8" w:space="0" w:color="CCCCCC"/>
              <w:right w:val="nil"/>
            </w:tcBorders>
            <w:shd w:val="clear" w:color="auto" w:fill="auto"/>
            <w:hideMark/>
          </w:tcPr>
          <w:p w14:paraId="4D83C310"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0.4</w:t>
            </w:r>
          </w:p>
        </w:tc>
        <w:tc>
          <w:tcPr>
            <w:tcW w:w="960" w:type="dxa"/>
            <w:tcBorders>
              <w:top w:val="nil"/>
              <w:left w:val="nil"/>
              <w:bottom w:val="single" w:sz="8" w:space="0" w:color="CCCCCC"/>
              <w:right w:val="nil"/>
            </w:tcBorders>
            <w:shd w:val="clear" w:color="auto" w:fill="auto"/>
            <w:hideMark/>
          </w:tcPr>
          <w:p w14:paraId="52DF12A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0.7</w:t>
            </w:r>
          </w:p>
        </w:tc>
      </w:tr>
      <w:tr w:rsidR="00FC4128" w:rsidRPr="00E713A1" w14:paraId="51C19068" w14:textId="77777777" w:rsidTr="00322D78">
        <w:trPr>
          <w:trHeight w:val="170"/>
        </w:trPr>
        <w:tc>
          <w:tcPr>
            <w:tcW w:w="5360" w:type="dxa"/>
            <w:tcBorders>
              <w:top w:val="nil"/>
              <w:left w:val="nil"/>
              <w:bottom w:val="single" w:sz="8" w:space="0" w:color="CCCCCC"/>
              <w:right w:val="nil"/>
            </w:tcBorders>
            <w:shd w:val="clear" w:color="auto" w:fill="auto"/>
            <w:hideMark/>
          </w:tcPr>
          <w:p w14:paraId="6FBBB4CA"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Netherlands</w:t>
            </w:r>
          </w:p>
        </w:tc>
        <w:tc>
          <w:tcPr>
            <w:tcW w:w="960" w:type="dxa"/>
            <w:tcBorders>
              <w:top w:val="nil"/>
              <w:left w:val="nil"/>
              <w:bottom w:val="single" w:sz="8" w:space="0" w:color="CCCCCC"/>
              <w:right w:val="nil"/>
            </w:tcBorders>
            <w:shd w:val="clear" w:color="auto" w:fill="auto"/>
            <w:hideMark/>
          </w:tcPr>
          <w:p w14:paraId="0F138A1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1.7</w:t>
            </w:r>
          </w:p>
        </w:tc>
        <w:tc>
          <w:tcPr>
            <w:tcW w:w="960" w:type="dxa"/>
            <w:tcBorders>
              <w:top w:val="nil"/>
              <w:left w:val="nil"/>
              <w:bottom w:val="single" w:sz="8" w:space="0" w:color="CCCCCC"/>
              <w:right w:val="nil"/>
            </w:tcBorders>
            <w:shd w:val="clear" w:color="auto" w:fill="auto"/>
            <w:hideMark/>
          </w:tcPr>
          <w:p w14:paraId="7BA6678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1.4</w:t>
            </w:r>
          </w:p>
        </w:tc>
        <w:tc>
          <w:tcPr>
            <w:tcW w:w="960" w:type="dxa"/>
            <w:tcBorders>
              <w:top w:val="nil"/>
              <w:left w:val="nil"/>
              <w:bottom w:val="single" w:sz="8" w:space="0" w:color="CCCCCC"/>
              <w:right w:val="nil"/>
            </w:tcBorders>
            <w:shd w:val="clear" w:color="auto" w:fill="auto"/>
            <w:hideMark/>
          </w:tcPr>
          <w:p w14:paraId="39DF9771"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1.5</w:t>
            </w:r>
          </w:p>
        </w:tc>
      </w:tr>
      <w:tr w:rsidR="00FC4128" w:rsidRPr="00E713A1" w14:paraId="03182B6A" w14:textId="77777777" w:rsidTr="00322D78">
        <w:trPr>
          <w:trHeight w:val="170"/>
        </w:trPr>
        <w:tc>
          <w:tcPr>
            <w:tcW w:w="5360" w:type="dxa"/>
            <w:tcBorders>
              <w:top w:val="nil"/>
              <w:left w:val="nil"/>
              <w:bottom w:val="single" w:sz="8" w:space="0" w:color="CCCCCC"/>
              <w:right w:val="nil"/>
            </w:tcBorders>
            <w:shd w:val="clear" w:color="auto" w:fill="auto"/>
            <w:hideMark/>
          </w:tcPr>
          <w:p w14:paraId="09CDD521" w14:textId="77777777" w:rsidR="00FC4128" w:rsidRPr="00E713A1" w:rsidRDefault="00FC4128" w:rsidP="00322D78">
            <w:pPr>
              <w:spacing w:after="0" w:line="240" w:lineRule="auto"/>
              <w:ind w:firstLineChars="100" w:firstLine="201"/>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Spain</w:t>
            </w:r>
          </w:p>
        </w:tc>
        <w:tc>
          <w:tcPr>
            <w:tcW w:w="960" w:type="dxa"/>
            <w:tcBorders>
              <w:top w:val="nil"/>
              <w:left w:val="nil"/>
              <w:bottom w:val="single" w:sz="8" w:space="0" w:color="CCCCCC"/>
              <w:right w:val="nil"/>
            </w:tcBorders>
            <w:shd w:val="clear" w:color="auto" w:fill="auto"/>
            <w:hideMark/>
          </w:tcPr>
          <w:p w14:paraId="38760351"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2.3</w:t>
            </w:r>
          </w:p>
        </w:tc>
        <w:tc>
          <w:tcPr>
            <w:tcW w:w="960" w:type="dxa"/>
            <w:tcBorders>
              <w:top w:val="nil"/>
              <w:left w:val="nil"/>
              <w:bottom w:val="single" w:sz="8" w:space="0" w:color="CCCCCC"/>
              <w:right w:val="nil"/>
            </w:tcBorders>
            <w:shd w:val="clear" w:color="auto" w:fill="auto"/>
            <w:hideMark/>
          </w:tcPr>
          <w:p w14:paraId="226A1A5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c>
          <w:tcPr>
            <w:tcW w:w="960" w:type="dxa"/>
            <w:tcBorders>
              <w:top w:val="nil"/>
              <w:left w:val="nil"/>
              <w:bottom w:val="single" w:sz="8" w:space="0" w:color="CCCCCC"/>
              <w:right w:val="nil"/>
            </w:tcBorders>
            <w:shd w:val="clear" w:color="auto" w:fill="auto"/>
            <w:hideMark/>
          </w:tcPr>
          <w:p w14:paraId="5B811BE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r>
      <w:tr w:rsidR="00FC4128" w:rsidRPr="00E713A1" w14:paraId="6D4B8630" w14:textId="77777777" w:rsidTr="00322D78">
        <w:trPr>
          <w:trHeight w:val="170"/>
        </w:trPr>
        <w:tc>
          <w:tcPr>
            <w:tcW w:w="5360" w:type="dxa"/>
            <w:tcBorders>
              <w:top w:val="nil"/>
              <w:left w:val="nil"/>
              <w:bottom w:val="single" w:sz="8" w:space="0" w:color="CCCCCC"/>
              <w:right w:val="nil"/>
            </w:tcBorders>
            <w:shd w:val="clear" w:color="auto" w:fill="auto"/>
            <w:hideMark/>
          </w:tcPr>
          <w:p w14:paraId="5146215A"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Poland</w:t>
            </w:r>
          </w:p>
        </w:tc>
        <w:tc>
          <w:tcPr>
            <w:tcW w:w="960" w:type="dxa"/>
            <w:tcBorders>
              <w:top w:val="nil"/>
              <w:left w:val="nil"/>
              <w:bottom w:val="single" w:sz="8" w:space="0" w:color="CCCCCC"/>
              <w:right w:val="nil"/>
            </w:tcBorders>
            <w:shd w:val="clear" w:color="auto" w:fill="auto"/>
            <w:hideMark/>
          </w:tcPr>
          <w:p w14:paraId="0A7A5B1C"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4.3</w:t>
            </w:r>
          </w:p>
        </w:tc>
        <w:tc>
          <w:tcPr>
            <w:tcW w:w="960" w:type="dxa"/>
            <w:tcBorders>
              <w:top w:val="nil"/>
              <w:left w:val="nil"/>
              <w:bottom w:val="single" w:sz="8" w:space="0" w:color="CCCCCC"/>
              <w:right w:val="nil"/>
            </w:tcBorders>
            <w:shd w:val="clear" w:color="auto" w:fill="auto"/>
            <w:hideMark/>
          </w:tcPr>
          <w:p w14:paraId="1305EA6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3.5</w:t>
            </w:r>
          </w:p>
        </w:tc>
        <w:tc>
          <w:tcPr>
            <w:tcW w:w="960" w:type="dxa"/>
            <w:tcBorders>
              <w:top w:val="nil"/>
              <w:left w:val="nil"/>
              <w:bottom w:val="single" w:sz="8" w:space="0" w:color="CCCCCC"/>
              <w:right w:val="nil"/>
            </w:tcBorders>
            <w:shd w:val="clear" w:color="auto" w:fill="auto"/>
            <w:hideMark/>
          </w:tcPr>
          <w:p w14:paraId="64FD87B1"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3.1</w:t>
            </w:r>
          </w:p>
        </w:tc>
      </w:tr>
      <w:tr w:rsidR="00FC4128" w:rsidRPr="00E713A1" w14:paraId="00DAFE82" w14:textId="77777777" w:rsidTr="00322D78">
        <w:trPr>
          <w:trHeight w:val="170"/>
        </w:trPr>
        <w:tc>
          <w:tcPr>
            <w:tcW w:w="5360" w:type="dxa"/>
            <w:tcBorders>
              <w:top w:val="nil"/>
              <w:left w:val="nil"/>
              <w:bottom w:val="single" w:sz="8" w:space="0" w:color="CCCCCC"/>
              <w:right w:val="nil"/>
            </w:tcBorders>
            <w:shd w:val="clear" w:color="auto" w:fill="auto"/>
            <w:hideMark/>
          </w:tcPr>
          <w:p w14:paraId="0567C711"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Russia</w:t>
            </w:r>
          </w:p>
        </w:tc>
        <w:tc>
          <w:tcPr>
            <w:tcW w:w="960" w:type="dxa"/>
            <w:tcBorders>
              <w:top w:val="nil"/>
              <w:left w:val="nil"/>
              <w:bottom w:val="single" w:sz="8" w:space="0" w:color="CCCCCC"/>
              <w:right w:val="nil"/>
            </w:tcBorders>
            <w:shd w:val="clear" w:color="auto" w:fill="auto"/>
            <w:hideMark/>
          </w:tcPr>
          <w:p w14:paraId="794C92B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1.0</w:t>
            </w:r>
          </w:p>
        </w:tc>
        <w:tc>
          <w:tcPr>
            <w:tcW w:w="960" w:type="dxa"/>
            <w:tcBorders>
              <w:top w:val="nil"/>
              <w:left w:val="nil"/>
              <w:bottom w:val="single" w:sz="8" w:space="0" w:color="CCCCCC"/>
              <w:right w:val="nil"/>
            </w:tcBorders>
            <w:shd w:val="clear" w:color="auto" w:fill="auto"/>
            <w:hideMark/>
          </w:tcPr>
          <w:p w14:paraId="09A66C60"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1.7</w:t>
            </w:r>
          </w:p>
        </w:tc>
        <w:tc>
          <w:tcPr>
            <w:tcW w:w="960" w:type="dxa"/>
            <w:tcBorders>
              <w:top w:val="nil"/>
              <w:left w:val="nil"/>
              <w:bottom w:val="single" w:sz="8" w:space="0" w:color="CCCCCC"/>
              <w:right w:val="nil"/>
            </w:tcBorders>
            <w:shd w:val="clear" w:color="auto" w:fill="auto"/>
            <w:hideMark/>
          </w:tcPr>
          <w:p w14:paraId="5098615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r>
      <w:tr w:rsidR="00FC4128" w:rsidRPr="00E713A1" w14:paraId="4CF00516" w14:textId="77777777" w:rsidTr="00322D78">
        <w:trPr>
          <w:trHeight w:val="170"/>
        </w:trPr>
        <w:tc>
          <w:tcPr>
            <w:tcW w:w="5360" w:type="dxa"/>
            <w:tcBorders>
              <w:top w:val="nil"/>
              <w:left w:val="nil"/>
              <w:bottom w:val="single" w:sz="8" w:space="0" w:color="CCCCCC"/>
              <w:right w:val="nil"/>
            </w:tcBorders>
            <w:shd w:val="clear" w:color="auto" w:fill="auto"/>
            <w:hideMark/>
          </w:tcPr>
          <w:p w14:paraId="6C6261AB"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Turkey</w:t>
            </w:r>
          </w:p>
        </w:tc>
        <w:tc>
          <w:tcPr>
            <w:tcW w:w="960" w:type="dxa"/>
            <w:tcBorders>
              <w:top w:val="nil"/>
              <w:left w:val="nil"/>
              <w:bottom w:val="single" w:sz="8" w:space="0" w:color="CCCCCC"/>
              <w:right w:val="nil"/>
            </w:tcBorders>
            <w:shd w:val="clear" w:color="auto" w:fill="auto"/>
            <w:hideMark/>
          </w:tcPr>
          <w:p w14:paraId="1549CFEA"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-0.1</w:t>
            </w:r>
          </w:p>
        </w:tc>
        <w:tc>
          <w:tcPr>
            <w:tcW w:w="960" w:type="dxa"/>
            <w:tcBorders>
              <w:top w:val="nil"/>
              <w:left w:val="nil"/>
              <w:bottom w:val="single" w:sz="8" w:space="0" w:color="CCCCCC"/>
              <w:right w:val="nil"/>
            </w:tcBorders>
            <w:shd w:val="clear" w:color="auto" w:fill="auto"/>
            <w:hideMark/>
          </w:tcPr>
          <w:p w14:paraId="4BBA0D8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2.5</w:t>
            </w:r>
          </w:p>
        </w:tc>
        <w:tc>
          <w:tcPr>
            <w:tcW w:w="960" w:type="dxa"/>
            <w:tcBorders>
              <w:top w:val="nil"/>
              <w:left w:val="nil"/>
              <w:bottom w:val="single" w:sz="8" w:space="0" w:color="CCCCCC"/>
              <w:right w:val="nil"/>
            </w:tcBorders>
            <w:shd w:val="clear" w:color="auto" w:fill="auto"/>
            <w:hideMark/>
          </w:tcPr>
          <w:p w14:paraId="3BA53BB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2.9</w:t>
            </w:r>
          </w:p>
        </w:tc>
      </w:tr>
      <w:tr w:rsidR="00FC4128" w:rsidRPr="00E713A1" w14:paraId="419155F8" w14:textId="77777777" w:rsidTr="00322D78">
        <w:trPr>
          <w:trHeight w:val="170"/>
        </w:trPr>
        <w:tc>
          <w:tcPr>
            <w:tcW w:w="5360" w:type="dxa"/>
            <w:tcBorders>
              <w:top w:val="nil"/>
              <w:left w:val="nil"/>
              <w:bottom w:val="single" w:sz="8" w:space="0" w:color="CCCCCC"/>
              <w:right w:val="nil"/>
            </w:tcBorders>
            <w:shd w:val="clear" w:color="auto" w:fill="auto"/>
            <w:hideMark/>
          </w:tcPr>
          <w:p w14:paraId="2F000CA3"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Australia</w:t>
            </w:r>
          </w:p>
        </w:tc>
        <w:tc>
          <w:tcPr>
            <w:tcW w:w="960" w:type="dxa"/>
            <w:tcBorders>
              <w:top w:val="nil"/>
              <w:left w:val="nil"/>
              <w:bottom w:val="single" w:sz="8" w:space="0" w:color="CCCCCC"/>
              <w:right w:val="nil"/>
            </w:tcBorders>
            <w:shd w:val="clear" w:color="auto" w:fill="auto"/>
            <w:hideMark/>
          </w:tcPr>
          <w:p w14:paraId="2FF1956B"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c>
          <w:tcPr>
            <w:tcW w:w="960" w:type="dxa"/>
            <w:tcBorders>
              <w:top w:val="nil"/>
              <w:left w:val="nil"/>
              <w:bottom w:val="single" w:sz="8" w:space="0" w:color="CCCCCC"/>
              <w:right w:val="nil"/>
            </w:tcBorders>
            <w:shd w:val="clear" w:color="auto" w:fill="auto"/>
            <w:hideMark/>
          </w:tcPr>
          <w:p w14:paraId="61FDF94B"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2.3</w:t>
            </w:r>
          </w:p>
        </w:tc>
        <w:tc>
          <w:tcPr>
            <w:tcW w:w="960" w:type="dxa"/>
            <w:tcBorders>
              <w:top w:val="nil"/>
              <w:left w:val="nil"/>
              <w:bottom w:val="single" w:sz="8" w:space="0" w:color="CCCCCC"/>
              <w:right w:val="nil"/>
            </w:tcBorders>
            <w:shd w:val="clear" w:color="auto" w:fill="auto"/>
            <w:hideMark/>
          </w:tcPr>
          <w:p w14:paraId="6751A0C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2.6</w:t>
            </w:r>
          </w:p>
        </w:tc>
      </w:tr>
      <w:tr w:rsidR="00FC4128" w:rsidRPr="00E713A1" w14:paraId="0668C107" w14:textId="77777777" w:rsidTr="00322D78">
        <w:trPr>
          <w:trHeight w:val="170"/>
        </w:trPr>
        <w:tc>
          <w:tcPr>
            <w:tcW w:w="5360" w:type="dxa"/>
            <w:tcBorders>
              <w:top w:val="nil"/>
              <w:left w:val="nil"/>
              <w:bottom w:val="single" w:sz="8" w:space="0" w:color="CCCCCC"/>
              <w:right w:val="nil"/>
            </w:tcBorders>
            <w:shd w:val="clear" w:color="auto" w:fill="auto"/>
            <w:hideMark/>
          </w:tcPr>
          <w:p w14:paraId="7F9BF1F7"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India</w:t>
            </w:r>
          </w:p>
        </w:tc>
        <w:tc>
          <w:tcPr>
            <w:tcW w:w="960" w:type="dxa"/>
            <w:tcBorders>
              <w:top w:val="nil"/>
              <w:left w:val="nil"/>
              <w:bottom w:val="single" w:sz="8" w:space="0" w:color="CCCCCC"/>
              <w:right w:val="nil"/>
            </w:tcBorders>
            <w:shd w:val="clear" w:color="auto" w:fill="auto"/>
            <w:hideMark/>
          </w:tcPr>
          <w:p w14:paraId="1C9E9FFF"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5.8</w:t>
            </w:r>
          </w:p>
        </w:tc>
        <w:tc>
          <w:tcPr>
            <w:tcW w:w="960" w:type="dxa"/>
            <w:tcBorders>
              <w:top w:val="nil"/>
              <w:left w:val="nil"/>
              <w:bottom w:val="single" w:sz="8" w:space="0" w:color="CCCCCC"/>
              <w:right w:val="nil"/>
            </w:tcBorders>
            <w:shd w:val="clear" w:color="auto" w:fill="auto"/>
            <w:hideMark/>
          </w:tcPr>
          <w:p w14:paraId="0C6CB881"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6.5</w:t>
            </w:r>
          </w:p>
        </w:tc>
        <w:tc>
          <w:tcPr>
            <w:tcW w:w="960" w:type="dxa"/>
            <w:tcBorders>
              <w:top w:val="nil"/>
              <w:left w:val="nil"/>
              <w:bottom w:val="single" w:sz="8" w:space="0" w:color="CCCCCC"/>
              <w:right w:val="nil"/>
            </w:tcBorders>
            <w:shd w:val="clear" w:color="auto" w:fill="auto"/>
            <w:hideMark/>
          </w:tcPr>
          <w:p w14:paraId="41EEEF8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7.0</w:t>
            </w:r>
          </w:p>
        </w:tc>
      </w:tr>
      <w:tr w:rsidR="00FC4128" w:rsidRPr="00E713A1" w14:paraId="1B5B69FD" w14:textId="77777777" w:rsidTr="00322D78">
        <w:trPr>
          <w:trHeight w:val="170"/>
        </w:trPr>
        <w:tc>
          <w:tcPr>
            <w:tcW w:w="5360" w:type="dxa"/>
            <w:tcBorders>
              <w:top w:val="nil"/>
              <w:left w:val="nil"/>
              <w:bottom w:val="single" w:sz="8" w:space="0" w:color="CCCCCC"/>
              <w:right w:val="nil"/>
            </w:tcBorders>
            <w:shd w:val="clear" w:color="auto" w:fill="auto"/>
            <w:hideMark/>
          </w:tcPr>
          <w:p w14:paraId="7BC1E3FC"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Indonesia</w:t>
            </w:r>
          </w:p>
        </w:tc>
        <w:tc>
          <w:tcPr>
            <w:tcW w:w="960" w:type="dxa"/>
            <w:tcBorders>
              <w:top w:val="nil"/>
              <w:left w:val="nil"/>
              <w:bottom w:val="single" w:sz="8" w:space="0" w:color="CCCCCC"/>
              <w:right w:val="nil"/>
            </w:tcBorders>
            <w:shd w:val="clear" w:color="auto" w:fill="auto"/>
            <w:hideMark/>
          </w:tcPr>
          <w:p w14:paraId="58542E76"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5.0</w:t>
            </w:r>
          </w:p>
        </w:tc>
        <w:tc>
          <w:tcPr>
            <w:tcW w:w="960" w:type="dxa"/>
            <w:tcBorders>
              <w:top w:val="nil"/>
              <w:left w:val="nil"/>
              <w:bottom w:val="single" w:sz="8" w:space="0" w:color="CCCCCC"/>
              <w:right w:val="nil"/>
            </w:tcBorders>
            <w:shd w:val="clear" w:color="auto" w:fill="auto"/>
            <w:hideMark/>
          </w:tcPr>
          <w:p w14:paraId="30873EB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5.1</w:t>
            </w:r>
          </w:p>
        </w:tc>
        <w:tc>
          <w:tcPr>
            <w:tcW w:w="960" w:type="dxa"/>
            <w:tcBorders>
              <w:top w:val="nil"/>
              <w:left w:val="nil"/>
              <w:bottom w:val="single" w:sz="8" w:space="0" w:color="CCCCCC"/>
              <w:right w:val="nil"/>
            </w:tcBorders>
            <w:shd w:val="clear" w:color="auto" w:fill="auto"/>
            <w:hideMark/>
          </w:tcPr>
          <w:p w14:paraId="4F7D776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5.2</w:t>
            </w:r>
          </w:p>
        </w:tc>
      </w:tr>
      <w:tr w:rsidR="00FC4128" w:rsidRPr="00E713A1" w14:paraId="68E22D40" w14:textId="77777777" w:rsidTr="00322D78">
        <w:trPr>
          <w:trHeight w:val="170"/>
        </w:trPr>
        <w:tc>
          <w:tcPr>
            <w:tcW w:w="5360" w:type="dxa"/>
            <w:tcBorders>
              <w:top w:val="nil"/>
              <w:left w:val="nil"/>
              <w:bottom w:val="single" w:sz="8" w:space="0" w:color="CCCCCC"/>
              <w:right w:val="nil"/>
            </w:tcBorders>
            <w:shd w:val="clear" w:color="auto" w:fill="auto"/>
            <w:hideMark/>
          </w:tcPr>
          <w:p w14:paraId="1CFDDD23"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South Korea</w:t>
            </w:r>
          </w:p>
        </w:tc>
        <w:tc>
          <w:tcPr>
            <w:tcW w:w="960" w:type="dxa"/>
            <w:tcBorders>
              <w:top w:val="nil"/>
              <w:left w:val="nil"/>
              <w:bottom w:val="single" w:sz="8" w:space="0" w:color="CCCCCC"/>
              <w:right w:val="nil"/>
            </w:tcBorders>
            <w:shd w:val="clear" w:color="auto" w:fill="auto"/>
            <w:hideMark/>
          </w:tcPr>
          <w:p w14:paraId="52195377"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1.9</w:t>
            </w:r>
          </w:p>
        </w:tc>
        <w:tc>
          <w:tcPr>
            <w:tcW w:w="960" w:type="dxa"/>
            <w:tcBorders>
              <w:top w:val="nil"/>
              <w:left w:val="nil"/>
              <w:bottom w:val="single" w:sz="8" w:space="0" w:color="CCCCCC"/>
              <w:right w:val="nil"/>
            </w:tcBorders>
            <w:shd w:val="clear" w:color="auto" w:fill="auto"/>
            <w:hideMark/>
          </w:tcPr>
          <w:p w14:paraId="30A3EE9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2.1</w:t>
            </w:r>
          </w:p>
        </w:tc>
        <w:tc>
          <w:tcPr>
            <w:tcW w:w="960" w:type="dxa"/>
            <w:tcBorders>
              <w:top w:val="nil"/>
              <w:left w:val="nil"/>
              <w:bottom w:val="single" w:sz="8" w:space="0" w:color="CCCCCC"/>
              <w:right w:val="nil"/>
            </w:tcBorders>
            <w:shd w:val="clear" w:color="auto" w:fill="auto"/>
            <w:hideMark/>
          </w:tcPr>
          <w:p w14:paraId="1C0437E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2.5</w:t>
            </w:r>
          </w:p>
        </w:tc>
      </w:tr>
      <w:tr w:rsidR="00FC4128" w:rsidRPr="00E713A1" w14:paraId="32762CBD" w14:textId="77777777" w:rsidTr="00322D78">
        <w:trPr>
          <w:trHeight w:val="170"/>
        </w:trPr>
        <w:tc>
          <w:tcPr>
            <w:tcW w:w="5360" w:type="dxa"/>
            <w:tcBorders>
              <w:top w:val="nil"/>
              <w:left w:val="nil"/>
              <w:bottom w:val="single" w:sz="8" w:space="0" w:color="CCCCCC"/>
              <w:right w:val="nil"/>
            </w:tcBorders>
            <w:shd w:val="clear" w:color="auto" w:fill="auto"/>
            <w:hideMark/>
          </w:tcPr>
          <w:p w14:paraId="47EEEC42"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Brazil</w:t>
            </w:r>
          </w:p>
        </w:tc>
        <w:tc>
          <w:tcPr>
            <w:tcW w:w="960" w:type="dxa"/>
            <w:tcBorders>
              <w:top w:val="nil"/>
              <w:left w:val="nil"/>
              <w:bottom w:val="single" w:sz="8" w:space="0" w:color="CCCCCC"/>
              <w:right w:val="nil"/>
            </w:tcBorders>
            <w:shd w:val="clear" w:color="auto" w:fill="auto"/>
            <w:hideMark/>
          </w:tcPr>
          <w:p w14:paraId="33EA6B0E"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1.2</w:t>
            </w:r>
          </w:p>
        </w:tc>
        <w:tc>
          <w:tcPr>
            <w:tcW w:w="960" w:type="dxa"/>
            <w:tcBorders>
              <w:top w:val="nil"/>
              <w:left w:val="nil"/>
              <w:bottom w:val="single" w:sz="8" w:space="0" w:color="CCCCCC"/>
              <w:right w:val="nil"/>
            </w:tcBorders>
            <w:shd w:val="clear" w:color="auto" w:fill="auto"/>
            <w:hideMark/>
          </w:tcPr>
          <w:p w14:paraId="4319D21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2.0</w:t>
            </w:r>
          </w:p>
        </w:tc>
        <w:tc>
          <w:tcPr>
            <w:tcW w:w="960" w:type="dxa"/>
            <w:tcBorders>
              <w:top w:val="nil"/>
              <w:left w:val="nil"/>
              <w:bottom w:val="single" w:sz="8" w:space="0" w:color="CCCCCC"/>
              <w:right w:val="nil"/>
            </w:tcBorders>
            <w:shd w:val="clear" w:color="auto" w:fill="auto"/>
            <w:hideMark/>
          </w:tcPr>
          <w:p w14:paraId="509D028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2.4</w:t>
            </w:r>
          </w:p>
        </w:tc>
      </w:tr>
      <w:tr w:rsidR="00FC4128" w:rsidRPr="00E713A1" w14:paraId="42BC4C96" w14:textId="77777777" w:rsidTr="00322D78">
        <w:trPr>
          <w:trHeight w:val="170"/>
        </w:trPr>
        <w:tc>
          <w:tcPr>
            <w:tcW w:w="5360" w:type="dxa"/>
            <w:tcBorders>
              <w:top w:val="nil"/>
              <w:left w:val="nil"/>
              <w:bottom w:val="single" w:sz="8" w:space="0" w:color="CCCCCC"/>
              <w:right w:val="nil"/>
            </w:tcBorders>
            <w:shd w:val="clear" w:color="auto" w:fill="auto"/>
            <w:hideMark/>
          </w:tcPr>
          <w:p w14:paraId="7A9F1DA2"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Canada</w:t>
            </w:r>
          </w:p>
        </w:tc>
        <w:tc>
          <w:tcPr>
            <w:tcW w:w="960" w:type="dxa"/>
            <w:tcBorders>
              <w:top w:val="nil"/>
              <w:left w:val="nil"/>
              <w:bottom w:val="single" w:sz="8" w:space="0" w:color="CCCCCC"/>
              <w:right w:val="nil"/>
            </w:tcBorders>
            <w:shd w:val="clear" w:color="auto" w:fill="auto"/>
            <w:hideMark/>
          </w:tcPr>
          <w:p w14:paraId="4540BAE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1.6</w:t>
            </w:r>
          </w:p>
        </w:tc>
        <w:tc>
          <w:tcPr>
            <w:tcW w:w="960" w:type="dxa"/>
            <w:tcBorders>
              <w:top w:val="nil"/>
              <w:left w:val="nil"/>
              <w:bottom w:val="single" w:sz="8" w:space="0" w:color="CCCCCC"/>
              <w:right w:val="nil"/>
            </w:tcBorders>
            <w:shd w:val="clear" w:color="auto" w:fill="auto"/>
            <w:hideMark/>
          </w:tcPr>
          <w:p w14:paraId="5F4FDF4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c>
          <w:tcPr>
            <w:tcW w:w="960" w:type="dxa"/>
            <w:tcBorders>
              <w:top w:val="nil"/>
              <w:left w:val="nil"/>
              <w:bottom w:val="single" w:sz="8" w:space="0" w:color="CCCCCC"/>
              <w:right w:val="nil"/>
            </w:tcBorders>
            <w:shd w:val="clear" w:color="auto" w:fill="auto"/>
            <w:hideMark/>
          </w:tcPr>
          <w:p w14:paraId="16367893"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r>
      <w:tr w:rsidR="00FC4128" w:rsidRPr="00E713A1" w14:paraId="26F1F72B" w14:textId="77777777" w:rsidTr="00322D78">
        <w:trPr>
          <w:trHeight w:val="170"/>
        </w:trPr>
        <w:tc>
          <w:tcPr>
            <w:tcW w:w="5360" w:type="dxa"/>
            <w:tcBorders>
              <w:top w:val="nil"/>
              <w:left w:val="nil"/>
              <w:bottom w:val="single" w:sz="8" w:space="0" w:color="CCCCCC"/>
              <w:right w:val="nil"/>
            </w:tcBorders>
            <w:shd w:val="clear" w:color="auto" w:fill="auto"/>
            <w:hideMark/>
          </w:tcPr>
          <w:p w14:paraId="4CD2DE46"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Mexico</w:t>
            </w:r>
          </w:p>
        </w:tc>
        <w:tc>
          <w:tcPr>
            <w:tcW w:w="960" w:type="dxa"/>
            <w:tcBorders>
              <w:top w:val="nil"/>
              <w:left w:val="nil"/>
              <w:bottom w:val="single" w:sz="8" w:space="0" w:color="CCCCCC"/>
              <w:right w:val="nil"/>
            </w:tcBorders>
            <w:shd w:val="clear" w:color="auto" w:fill="auto"/>
            <w:hideMark/>
          </w:tcPr>
          <w:p w14:paraId="50A5FDB8"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0.4</w:t>
            </w:r>
          </w:p>
        </w:tc>
        <w:tc>
          <w:tcPr>
            <w:tcW w:w="960" w:type="dxa"/>
            <w:tcBorders>
              <w:top w:val="nil"/>
              <w:left w:val="nil"/>
              <w:bottom w:val="single" w:sz="8" w:space="0" w:color="CCCCCC"/>
              <w:right w:val="nil"/>
            </w:tcBorders>
            <w:shd w:val="clear" w:color="auto" w:fill="auto"/>
            <w:hideMark/>
          </w:tcPr>
          <w:p w14:paraId="0B0350F7"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1.3</w:t>
            </w:r>
          </w:p>
        </w:tc>
        <w:tc>
          <w:tcPr>
            <w:tcW w:w="960" w:type="dxa"/>
            <w:tcBorders>
              <w:top w:val="nil"/>
              <w:left w:val="nil"/>
              <w:bottom w:val="single" w:sz="8" w:space="0" w:color="CCCCCC"/>
              <w:right w:val="nil"/>
            </w:tcBorders>
            <w:shd w:val="clear" w:color="auto" w:fill="auto"/>
            <w:hideMark/>
          </w:tcPr>
          <w:p w14:paraId="1945D465"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1.4</w:t>
            </w:r>
          </w:p>
        </w:tc>
      </w:tr>
      <w:tr w:rsidR="00FC4128" w:rsidRPr="00E713A1" w14:paraId="2E4BA79B" w14:textId="77777777" w:rsidTr="00322D78">
        <w:trPr>
          <w:trHeight w:val="170"/>
        </w:trPr>
        <w:tc>
          <w:tcPr>
            <w:tcW w:w="5360" w:type="dxa"/>
            <w:tcBorders>
              <w:top w:val="nil"/>
              <w:left w:val="nil"/>
              <w:bottom w:val="single" w:sz="8" w:space="0" w:color="CCCCCC"/>
              <w:right w:val="nil"/>
            </w:tcBorders>
            <w:shd w:val="clear" w:color="auto" w:fill="auto"/>
            <w:hideMark/>
          </w:tcPr>
          <w:p w14:paraId="2BA3E33F"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South Africa</w:t>
            </w:r>
          </w:p>
        </w:tc>
        <w:tc>
          <w:tcPr>
            <w:tcW w:w="960" w:type="dxa"/>
            <w:tcBorders>
              <w:top w:val="nil"/>
              <w:left w:val="nil"/>
              <w:bottom w:val="single" w:sz="8" w:space="0" w:color="CCCCCC"/>
              <w:right w:val="nil"/>
            </w:tcBorders>
            <w:shd w:val="clear" w:color="auto" w:fill="auto"/>
            <w:hideMark/>
          </w:tcPr>
          <w:p w14:paraId="4951AB52"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0.5</w:t>
            </w:r>
          </w:p>
        </w:tc>
        <w:tc>
          <w:tcPr>
            <w:tcW w:w="960" w:type="dxa"/>
            <w:tcBorders>
              <w:top w:val="nil"/>
              <w:left w:val="nil"/>
              <w:bottom w:val="single" w:sz="8" w:space="0" w:color="CCCCCC"/>
              <w:right w:val="nil"/>
            </w:tcBorders>
            <w:shd w:val="clear" w:color="auto" w:fill="auto"/>
            <w:hideMark/>
          </w:tcPr>
          <w:p w14:paraId="5D2654E9"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1.1</w:t>
            </w:r>
          </w:p>
        </w:tc>
        <w:tc>
          <w:tcPr>
            <w:tcW w:w="960" w:type="dxa"/>
            <w:tcBorders>
              <w:top w:val="nil"/>
              <w:left w:val="nil"/>
              <w:bottom w:val="single" w:sz="8" w:space="0" w:color="CCCCCC"/>
              <w:right w:val="nil"/>
            </w:tcBorders>
            <w:shd w:val="clear" w:color="auto" w:fill="auto"/>
            <w:hideMark/>
          </w:tcPr>
          <w:p w14:paraId="22944C9B"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1.4</w:t>
            </w:r>
          </w:p>
        </w:tc>
      </w:tr>
      <w:tr w:rsidR="00FC4128" w:rsidRPr="00E713A1" w14:paraId="711424D9" w14:textId="77777777" w:rsidTr="00322D78">
        <w:trPr>
          <w:trHeight w:val="170"/>
        </w:trPr>
        <w:tc>
          <w:tcPr>
            <w:tcW w:w="5360" w:type="dxa"/>
            <w:tcBorders>
              <w:top w:val="nil"/>
              <w:left w:val="nil"/>
              <w:bottom w:val="single" w:sz="8" w:space="0" w:color="CCCCCC"/>
              <w:right w:val="nil"/>
            </w:tcBorders>
            <w:shd w:val="clear" w:color="auto" w:fill="auto"/>
            <w:hideMark/>
          </w:tcPr>
          <w:p w14:paraId="2769C239"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Nigeria</w:t>
            </w:r>
          </w:p>
        </w:tc>
        <w:tc>
          <w:tcPr>
            <w:tcW w:w="960" w:type="dxa"/>
            <w:tcBorders>
              <w:top w:val="nil"/>
              <w:left w:val="nil"/>
              <w:bottom w:val="single" w:sz="8" w:space="0" w:color="CCCCCC"/>
              <w:right w:val="nil"/>
            </w:tcBorders>
            <w:shd w:val="clear" w:color="auto" w:fill="auto"/>
            <w:hideMark/>
          </w:tcPr>
          <w:p w14:paraId="1F4CC12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2.1</w:t>
            </w:r>
          </w:p>
        </w:tc>
        <w:tc>
          <w:tcPr>
            <w:tcW w:w="960" w:type="dxa"/>
            <w:tcBorders>
              <w:top w:val="nil"/>
              <w:left w:val="nil"/>
              <w:bottom w:val="single" w:sz="8" w:space="0" w:color="CCCCCC"/>
              <w:right w:val="nil"/>
            </w:tcBorders>
            <w:shd w:val="clear" w:color="auto" w:fill="auto"/>
            <w:hideMark/>
          </w:tcPr>
          <w:p w14:paraId="5E9BA53A"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2.5</w:t>
            </w:r>
          </w:p>
        </w:tc>
        <w:tc>
          <w:tcPr>
            <w:tcW w:w="960" w:type="dxa"/>
            <w:tcBorders>
              <w:top w:val="nil"/>
              <w:left w:val="nil"/>
              <w:bottom w:val="single" w:sz="8" w:space="0" w:color="CCCCCC"/>
              <w:right w:val="nil"/>
            </w:tcBorders>
            <w:shd w:val="clear" w:color="auto" w:fill="auto"/>
            <w:hideMark/>
          </w:tcPr>
          <w:p w14:paraId="141E7FA9"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2.5</w:t>
            </w:r>
          </w:p>
        </w:tc>
      </w:tr>
      <w:tr w:rsidR="00FC4128" w:rsidRPr="00E713A1" w14:paraId="00E149EE" w14:textId="77777777" w:rsidTr="00322D78">
        <w:trPr>
          <w:trHeight w:val="170"/>
        </w:trPr>
        <w:tc>
          <w:tcPr>
            <w:tcW w:w="5360" w:type="dxa"/>
            <w:tcBorders>
              <w:top w:val="nil"/>
              <w:left w:val="nil"/>
              <w:bottom w:val="single" w:sz="8" w:space="0" w:color="CCCCCC"/>
              <w:right w:val="nil"/>
            </w:tcBorders>
            <w:shd w:val="clear" w:color="auto" w:fill="auto"/>
            <w:hideMark/>
          </w:tcPr>
          <w:p w14:paraId="2CD68A5A" w14:textId="77777777" w:rsidR="00FC4128" w:rsidRPr="00E713A1" w:rsidRDefault="00FC4128" w:rsidP="00322D78">
            <w:pPr>
              <w:spacing w:after="0" w:line="240" w:lineRule="auto"/>
              <w:contextualSpacing/>
              <w:rPr>
                <w:rFonts w:asciiTheme="majorHAnsi" w:eastAsia="Times New Roman" w:hAnsiTheme="majorHAnsi" w:cs="Arial"/>
                <w:b/>
                <w:bCs/>
                <w:color w:val="404041"/>
                <w:sz w:val="20"/>
                <w:szCs w:val="20"/>
                <w:lang w:eastAsia="en-ZA"/>
              </w:rPr>
            </w:pPr>
            <w:r w:rsidRPr="00E713A1">
              <w:rPr>
                <w:rFonts w:asciiTheme="majorHAnsi" w:eastAsia="Times New Roman" w:hAnsiTheme="majorHAnsi" w:cs="Arial"/>
                <w:b/>
                <w:bCs/>
                <w:color w:val="404041"/>
                <w:sz w:val="20"/>
                <w:szCs w:val="20"/>
                <w:lang w:eastAsia="en-ZA"/>
              </w:rPr>
              <w:t>Saudi Arabia</w:t>
            </w:r>
          </w:p>
        </w:tc>
        <w:tc>
          <w:tcPr>
            <w:tcW w:w="960" w:type="dxa"/>
            <w:tcBorders>
              <w:top w:val="nil"/>
              <w:left w:val="nil"/>
              <w:bottom w:val="single" w:sz="8" w:space="0" w:color="CCCCCC"/>
              <w:right w:val="nil"/>
            </w:tcBorders>
            <w:shd w:val="clear" w:color="auto" w:fill="auto"/>
            <w:hideMark/>
          </w:tcPr>
          <w:p w14:paraId="3D86595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0.1</w:t>
            </w:r>
          </w:p>
        </w:tc>
        <w:tc>
          <w:tcPr>
            <w:tcW w:w="960" w:type="dxa"/>
            <w:tcBorders>
              <w:top w:val="nil"/>
              <w:left w:val="nil"/>
              <w:bottom w:val="single" w:sz="8" w:space="0" w:color="CCCCCC"/>
              <w:right w:val="nil"/>
            </w:tcBorders>
            <w:shd w:val="clear" w:color="auto" w:fill="auto"/>
            <w:hideMark/>
          </w:tcPr>
          <w:p w14:paraId="661F273D"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1.8</w:t>
            </w:r>
          </w:p>
        </w:tc>
        <w:tc>
          <w:tcPr>
            <w:tcW w:w="960" w:type="dxa"/>
            <w:tcBorders>
              <w:top w:val="nil"/>
              <w:left w:val="nil"/>
              <w:bottom w:val="single" w:sz="8" w:space="0" w:color="CCCCCC"/>
              <w:right w:val="nil"/>
            </w:tcBorders>
            <w:shd w:val="clear" w:color="auto" w:fill="auto"/>
            <w:hideMark/>
          </w:tcPr>
          <w:p w14:paraId="543142EC" w14:textId="77777777" w:rsidR="00FC4128" w:rsidRPr="00E713A1" w:rsidRDefault="00FC4128" w:rsidP="00322D78">
            <w:pPr>
              <w:spacing w:after="0" w:line="240" w:lineRule="auto"/>
              <w:contextualSpacing/>
              <w:jc w:val="center"/>
              <w:rPr>
                <w:rFonts w:asciiTheme="majorHAnsi" w:eastAsia="Times New Roman" w:hAnsiTheme="majorHAnsi" w:cs="Arial"/>
                <w:color w:val="404041"/>
                <w:sz w:val="20"/>
                <w:szCs w:val="20"/>
                <w:lang w:eastAsia="en-ZA"/>
              </w:rPr>
            </w:pPr>
            <w:r w:rsidRPr="00E713A1">
              <w:rPr>
                <w:rFonts w:asciiTheme="majorHAnsi" w:eastAsia="Times New Roman" w:hAnsiTheme="majorHAnsi" w:cs="Arial"/>
                <w:color w:val="404041"/>
                <w:sz w:val="20"/>
                <w:szCs w:val="20"/>
                <w:lang w:eastAsia="en-ZA"/>
              </w:rPr>
              <w:t>2.2</w:t>
            </w:r>
          </w:p>
        </w:tc>
      </w:tr>
    </w:tbl>
    <w:p w14:paraId="5DDDDC0B" w14:textId="77777777" w:rsidR="00FC4128" w:rsidRPr="00E713A1" w:rsidRDefault="00FC4128" w:rsidP="00FC4128">
      <w:pPr>
        <w:rPr>
          <w:rFonts w:asciiTheme="majorHAnsi" w:hAnsiTheme="majorHAnsi"/>
          <w:sz w:val="20"/>
          <w:szCs w:val="20"/>
        </w:rPr>
      </w:pPr>
    </w:p>
    <w:p w14:paraId="234F6EC3" w14:textId="77777777" w:rsidR="00FC4128" w:rsidRDefault="00FC4128" w:rsidP="00FC4128">
      <w:pPr>
        <w:rPr>
          <w:rFonts w:ascii="Georgia" w:hAnsi="Georgia"/>
          <w:sz w:val="20"/>
          <w:szCs w:val="20"/>
        </w:rPr>
      </w:pPr>
      <w:r>
        <w:rPr>
          <w:rFonts w:ascii="Georgia" w:hAnsi="Georgia"/>
          <w:sz w:val="20"/>
          <w:szCs w:val="20"/>
        </w:rPr>
        <w:t>Source: PwC</w:t>
      </w:r>
      <w:r>
        <w:rPr>
          <w:rStyle w:val="FootnoteReference"/>
          <w:rFonts w:ascii="Georgia" w:hAnsi="Georgia"/>
          <w:sz w:val="20"/>
          <w:szCs w:val="20"/>
        </w:rPr>
        <w:footnoteReference w:id="1"/>
      </w:r>
    </w:p>
    <w:p w14:paraId="3958E8D6" w14:textId="77777777" w:rsidR="00FC4128" w:rsidRDefault="00FC4128" w:rsidP="00FC4128">
      <w:pPr>
        <w:rPr>
          <w:rFonts w:ascii="Georgia" w:hAnsi="Georgia"/>
          <w:i/>
          <w:sz w:val="16"/>
          <w:szCs w:val="16"/>
        </w:rPr>
      </w:pPr>
      <w:r w:rsidRPr="00A1464F">
        <w:rPr>
          <w:rFonts w:ascii="Georgia" w:hAnsi="Georgia"/>
          <w:i/>
          <w:sz w:val="16"/>
          <w:szCs w:val="16"/>
        </w:rPr>
        <w:lastRenderedPageBreak/>
        <w:t xml:space="preserve">G7 = Canada, France, Germany, Italy, Japan, </w:t>
      </w:r>
      <w:r>
        <w:rPr>
          <w:rFonts w:ascii="Georgia" w:hAnsi="Georgia"/>
          <w:i/>
          <w:sz w:val="16"/>
          <w:szCs w:val="16"/>
        </w:rPr>
        <w:t xml:space="preserve">UK, US. </w:t>
      </w:r>
    </w:p>
    <w:p w14:paraId="22E923D9" w14:textId="77777777" w:rsidR="00FC4128" w:rsidRDefault="00FC4128" w:rsidP="00FC4128">
      <w:pPr>
        <w:rPr>
          <w:rFonts w:ascii="Georgia" w:hAnsi="Georgia"/>
          <w:i/>
          <w:sz w:val="16"/>
          <w:szCs w:val="16"/>
        </w:rPr>
      </w:pPr>
      <w:r w:rsidRPr="00A1464F">
        <w:rPr>
          <w:rFonts w:ascii="Georgia" w:hAnsi="Georgia"/>
          <w:i/>
          <w:sz w:val="16"/>
          <w:szCs w:val="16"/>
        </w:rPr>
        <w:t>E7 = China, India, Brazil, Mexico, Russia, Indonesia</w:t>
      </w:r>
      <w:r>
        <w:rPr>
          <w:rFonts w:ascii="Georgia" w:hAnsi="Georgia"/>
          <w:i/>
          <w:sz w:val="16"/>
          <w:szCs w:val="16"/>
        </w:rPr>
        <w:t xml:space="preserve">, </w:t>
      </w:r>
      <w:r w:rsidRPr="00A1464F">
        <w:rPr>
          <w:rFonts w:ascii="Georgia" w:hAnsi="Georgia"/>
          <w:i/>
          <w:sz w:val="16"/>
          <w:szCs w:val="16"/>
        </w:rPr>
        <w:t>Turkey</w:t>
      </w:r>
    </w:p>
    <w:p w14:paraId="651107F5" w14:textId="77777777" w:rsidR="00FC4128" w:rsidRDefault="00FC4128" w:rsidP="00FC4128">
      <w:pPr>
        <w:rPr>
          <w:rFonts w:ascii="Georgia" w:hAnsi="Georgia"/>
          <w:i/>
          <w:sz w:val="16"/>
          <w:szCs w:val="16"/>
        </w:rPr>
      </w:pPr>
    </w:p>
    <w:p w14:paraId="5C22FADF" w14:textId="77777777" w:rsidR="00FC4128" w:rsidRPr="00C774E6" w:rsidRDefault="00FC4128" w:rsidP="00FC4128">
      <w:pPr>
        <w:pBdr>
          <w:bottom w:val="single" w:sz="12" w:space="1" w:color="auto"/>
        </w:pBdr>
        <w:rPr>
          <w:rFonts w:cstheme="minorHAnsi"/>
          <w:b/>
          <w:i/>
          <w:sz w:val="24"/>
          <w:szCs w:val="24"/>
        </w:rPr>
      </w:pPr>
    </w:p>
    <w:p w14:paraId="0DFEE29D" w14:textId="77777777" w:rsidR="00FC4128" w:rsidRPr="00435798" w:rsidRDefault="00FC4128" w:rsidP="00435798">
      <w:pPr>
        <w:shd w:val="clear" w:color="auto" w:fill="FFFFFF"/>
        <w:spacing w:after="0" w:line="240" w:lineRule="auto"/>
        <w:rPr>
          <w:rFonts w:eastAsia="Times New Roman" w:cstheme="minorHAnsi"/>
          <w:i/>
          <w:iCs/>
          <w:color w:val="222222"/>
        </w:rPr>
      </w:pPr>
      <w:r w:rsidRPr="00435798">
        <w:rPr>
          <w:rFonts w:eastAsia="Times New Roman" w:cstheme="minorHAnsi"/>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15" w:tgtFrame="_blank" w:history="1">
        <w:r w:rsidRPr="00435798">
          <w:rPr>
            <w:rFonts w:eastAsia="Times New Roman" w:cstheme="minorHAnsi"/>
            <w:i/>
            <w:iCs/>
            <w:color w:val="1155CC"/>
            <w:u w:val="single"/>
          </w:rPr>
          <w:t>www.pwc.com</w:t>
        </w:r>
      </w:hyperlink>
      <w:r w:rsidRPr="00435798">
        <w:rPr>
          <w:rFonts w:eastAsia="Times New Roman" w:cstheme="minorHAnsi"/>
          <w:i/>
          <w:iCs/>
          <w:color w:val="222222"/>
        </w:rPr>
        <w:t>.</w:t>
      </w:r>
    </w:p>
    <w:p w14:paraId="06485E7B" w14:textId="77777777" w:rsidR="00FC4128" w:rsidRPr="00435798" w:rsidRDefault="00FC4128" w:rsidP="00435798">
      <w:pPr>
        <w:pStyle w:val="NormalWeb"/>
        <w:shd w:val="clear" w:color="auto" w:fill="FFFFFF"/>
        <w:rPr>
          <w:rFonts w:asciiTheme="minorHAnsi" w:hAnsiTheme="minorHAnsi" w:cstheme="minorHAnsi"/>
          <w:i/>
          <w:color w:val="000000" w:themeColor="text1"/>
          <w:sz w:val="22"/>
          <w:szCs w:val="22"/>
          <w:lang w:val="en"/>
        </w:rPr>
      </w:pPr>
      <w:r w:rsidRPr="00435798">
        <w:rPr>
          <w:rFonts w:asciiTheme="minorHAnsi" w:hAnsiTheme="minorHAnsi" w:cstheme="minorHAnsi"/>
          <w:i/>
          <w:color w:val="000000" w:themeColor="text1"/>
          <w:sz w:val="22"/>
          <w:szCs w:val="22"/>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215D4610" w14:textId="77777777" w:rsidR="00FC4128" w:rsidRPr="00435798" w:rsidRDefault="00FC4128" w:rsidP="00435798">
      <w:pPr>
        <w:spacing w:after="0" w:line="240" w:lineRule="auto"/>
        <w:rPr>
          <w:rFonts w:eastAsia="Times New Roman" w:cstheme="minorHAnsi"/>
        </w:rPr>
      </w:pPr>
      <w:r w:rsidRPr="00435798">
        <w:rPr>
          <w:rFonts w:eastAsia="Times New Roman" w:cstheme="minorHAnsi"/>
          <w:i/>
          <w:iCs/>
          <w:color w:val="222222"/>
        </w:rPr>
        <w:t xml:space="preserve">PwC refers to the PwC network and/or one or more of its member firms, each of which is a separate legal entity. Please see </w:t>
      </w:r>
      <w:hyperlink r:id="rId16" w:tgtFrame="_blank" w:history="1">
        <w:r w:rsidRPr="00435798">
          <w:rPr>
            <w:rFonts w:eastAsia="Times New Roman" w:cstheme="minorHAnsi"/>
            <w:i/>
            <w:iCs/>
            <w:color w:val="1155CC"/>
            <w:u w:val="single"/>
          </w:rPr>
          <w:t>www.pwc.com/structure</w:t>
        </w:r>
      </w:hyperlink>
      <w:r w:rsidRPr="00435798">
        <w:rPr>
          <w:rFonts w:eastAsia="Times New Roman" w:cstheme="minorHAnsi"/>
          <w:i/>
          <w:iCs/>
          <w:color w:val="222222"/>
        </w:rPr>
        <w:t xml:space="preserve"> for further details.</w:t>
      </w:r>
    </w:p>
    <w:p w14:paraId="1255A231" w14:textId="77777777" w:rsidR="00FC4128" w:rsidRPr="00435798" w:rsidRDefault="00FC4128" w:rsidP="00435798">
      <w:pPr>
        <w:spacing w:after="0" w:line="240" w:lineRule="auto"/>
        <w:rPr>
          <w:rFonts w:eastAsia="Times New Roman" w:cstheme="minorHAnsi"/>
        </w:rPr>
      </w:pPr>
      <w:r w:rsidRPr="00435798">
        <w:rPr>
          <w:rFonts w:eastAsia="Times New Roman" w:cstheme="minorHAnsi"/>
          <w:color w:val="222222"/>
        </w:rPr>
        <w:br/>
      </w:r>
    </w:p>
    <w:p w14:paraId="7A3BE520" w14:textId="77777777" w:rsidR="00FC4128" w:rsidRPr="00435798" w:rsidRDefault="00FC4128" w:rsidP="00435798">
      <w:pPr>
        <w:shd w:val="clear" w:color="auto" w:fill="FFFFFF"/>
        <w:spacing w:after="0" w:line="240" w:lineRule="auto"/>
        <w:rPr>
          <w:rFonts w:eastAsia="Times New Roman" w:cstheme="minorHAnsi"/>
          <w:color w:val="222222"/>
        </w:rPr>
      </w:pPr>
      <w:r w:rsidRPr="00435798">
        <w:rPr>
          <w:rFonts w:eastAsia="Times New Roman" w:cstheme="minorHAnsi"/>
          <w:i/>
          <w:iCs/>
          <w:color w:val="222222"/>
        </w:rPr>
        <w:t>© 2018 PwC. All rights reserved</w:t>
      </w:r>
    </w:p>
    <w:p w14:paraId="62C8DCAE" w14:textId="77777777" w:rsidR="00FC4128" w:rsidRPr="00435798" w:rsidRDefault="00FC4128" w:rsidP="00435798">
      <w:pPr>
        <w:spacing w:line="240" w:lineRule="auto"/>
        <w:rPr>
          <w:rFonts w:cstheme="minorHAnsi"/>
          <w:b/>
          <w:color w:val="000000" w:themeColor="text1"/>
        </w:rPr>
      </w:pPr>
    </w:p>
    <w:p w14:paraId="1FE58FC0" w14:textId="2700E55F" w:rsidR="00FC4128" w:rsidRPr="00435798" w:rsidRDefault="00FC4128" w:rsidP="00435798">
      <w:pPr>
        <w:spacing w:line="240" w:lineRule="auto"/>
        <w:rPr>
          <w:rFonts w:cstheme="minorHAnsi"/>
          <w:b/>
          <w:color w:val="000000" w:themeColor="text1"/>
          <w:sz w:val="24"/>
          <w:szCs w:val="24"/>
        </w:rPr>
      </w:pPr>
      <w:r w:rsidRPr="00435798">
        <w:rPr>
          <w:rFonts w:cstheme="minorHAnsi"/>
          <w:b/>
          <w:color w:val="000000" w:themeColor="text1"/>
          <w:sz w:val="24"/>
          <w:szCs w:val="24"/>
        </w:rPr>
        <w:t>Contacts</w:t>
      </w:r>
      <w:r w:rsidR="00435798">
        <w:rPr>
          <w:rFonts w:cstheme="minorHAnsi"/>
          <w:b/>
          <w:color w:val="000000" w:themeColor="text1"/>
          <w:sz w:val="24"/>
          <w:szCs w:val="24"/>
        </w:rPr>
        <w:t>:</w:t>
      </w:r>
    </w:p>
    <w:p w14:paraId="58A4B677" w14:textId="77777777" w:rsidR="00FC4128" w:rsidRPr="00435798" w:rsidRDefault="00FC4128" w:rsidP="00435798">
      <w:pPr>
        <w:spacing w:line="240" w:lineRule="auto"/>
        <w:rPr>
          <w:rFonts w:cstheme="minorHAnsi"/>
        </w:rPr>
      </w:pPr>
      <w:proofErr w:type="spellStart"/>
      <w:r w:rsidRPr="00435798">
        <w:rPr>
          <w:rFonts w:cstheme="minorHAnsi"/>
        </w:rPr>
        <w:t>Lullu</w:t>
      </w:r>
      <w:proofErr w:type="spellEnd"/>
      <w:r w:rsidRPr="00435798">
        <w:rPr>
          <w:rFonts w:cstheme="minorHAnsi"/>
        </w:rPr>
        <w:t xml:space="preserve"> </w:t>
      </w:r>
      <w:proofErr w:type="spellStart"/>
      <w:r w:rsidRPr="00435798">
        <w:rPr>
          <w:rFonts w:cstheme="minorHAnsi"/>
        </w:rPr>
        <w:t>Krugel</w:t>
      </w:r>
      <w:proofErr w:type="spellEnd"/>
    </w:p>
    <w:p w14:paraId="41F8D16A" w14:textId="77777777" w:rsidR="00FC4128" w:rsidRPr="00435798" w:rsidRDefault="00FC4128" w:rsidP="00435798">
      <w:pPr>
        <w:spacing w:line="240" w:lineRule="auto"/>
        <w:rPr>
          <w:rFonts w:cstheme="minorHAnsi"/>
        </w:rPr>
      </w:pPr>
      <w:r w:rsidRPr="00435798">
        <w:rPr>
          <w:rFonts w:cstheme="minorHAnsi"/>
        </w:rPr>
        <w:t>Chief Economist, PwC Strategy&amp; South Africa</w:t>
      </w:r>
    </w:p>
    <w:p w14:paraId="0186B5B7" w14:textId="77777777" w:rsidR="00FC4128" w:rsidRPr="00435798" w:rsidRDefault="00FC4128" w:rsidP="00435798">
      <w:pPr>
        <w:spacing w:line="240" w:lineRule="auto"/>
        <w:rPr>
          <w:rFonts w:cstheme="minorHAnsi"/>
        </w:rPr>
      </w:pPr>
      <w:r w:rsidRPr="00435798">
        <w:rPr>
          <w:rFonts w:cstheme="minorHAnsi"/>
        </w:rPr>
        <w:t>lullu.krugel@pwc.com</w:t>
      </w:r>
    </w:p>
    <w:p w14:paraId="27F5D7AB" w14:textId="77777777" w:rsidR="00FC4128" w:rsidRPr="00435798" w:rsidRDefault="00FC4128" w:rsidP="00435798">
      <w:pPr>
        <w:spacing w:line="240" w:lineRule="auto"/>
        <w:rPr>
          <w:rFonts w:cstheme="minorHAnsi"/>
        </w:rPr>
      </w:pPr>
    </w:p>
    <w:p w14:paraId="1D5F78B7" w14:textId="77777777" w:rsidR="00FC4128" w:rsidRPr="00435798" w:rsidRDefault="00FC4128" w:rsidP="00435798">
      <w:pPr>
        <w:spacing w:line="240" w:lineRule="auto"/>
        <w:rPr>
          <w:rFonts w:cstheme="minorHAnsi"/>
        </w:rPr>
      </w:pPr>
      <w:r w:rsidRPr="00435798">
        <w:rPr>
          <w:rFonts w:cstheme="minorHAnsi"/>
        </w:rPr>
        <w:t xml:space="preserve">Barret </w:t>
      </w:r>
      <w:proofErr w:type="spellStart"/>
      <w:r w:rsidRPr="00435798">
        <w:rPr>
          <w:rFonts w:cstheme="minorHAnsi"/>
        </w:rPr>
        <w:t>Kupelian</w:t>
      </w:r>
      <w:proofErr w:type="spellEnd"/>
    </w:p>
    <w:p w14:paraId="72A6CF4B" w14:textId="77777777" w:rsidR="00FC4128" w:rsidRPr="00435798" w:rsidRDefault="00FC4128" w:rsidP="00435798">
      <w:pPr>
        <w:spacing w:line="240" w:lineRule="auto"/>
        <w:rPr>
          <w:rFonts w:cstheme="minorHAnsi"/>
        </w:rPr>
      </w:pPr>
      <w:r w:rsidRPr="00435798">
        <w:rPr>
          <w:rFonts w:cstheme="minorHAnsi"/>
        </w:rPr>
        <w:t>Senior Economist, PwC Strategy&amp; United Kingdom</w:t>
      </w:r>
    </w:p>
    <w:p w14:paraId="046B6B65" w14:textId="77777777" w:rsidR="00FC4128" w:rsidRPr="00435798" w:rsidRDefault="00FC4128" w:rsidP="00435798">
      <w:pPr>
        <w:spacing w:line="240" w:lineRule="auto"/>
        <w:rPr>
          <w:rFonts w:cstheme="minorHAnsi"/>
        </w:rPr>
      </w:pPr>
      <w:r w:rsidRPr="00435798">
        <w:rPr>
          <w:rFonts w:cstheme="minorHAnsi"/>
        </w:rPr>
        <w:t>barret.g.kupelian@pwc.com</w:t>
      </w:r>
    </w:p>
    <w:p w14:paraId="2803B638" w14:textId="77777777" w:rsidR="00FC4128" w:rsidRPr="00435798" w:rsidRDefault="00FC4128" w:rsidP="00435798">
      <w:pPr>
        <w:spacing w:line="240" w:lineRule="auto"/>
        <w:rPr>
          <w:rFonts w:cstheme="minorHAnsi"/>
        </w:rPr>
      </w:pPr>
    </w:p>
    <w:p w14:paraId="3172427C" w14:textId="77777777" w:rsidR="00FC4128" w:rsidRPr="00435798" w:rsidRDefault="00FC4128" w:rsidP="00435798">
      <w:pPr>
        <w:spacing w:line="240" w:lineRule="auto"/>
        <w:rPr>
          <w:rFonts w:cstheme="minorHAnsi"/>
        </w:rPr>
      </w:pPr>
      <w:r w:rsidRPr="00435798">
        <w:rPr>
          <w:rFonts w:cstheme="minorHAnsi"/>
        </w:rPr>
        <w:t>Christie Viljoen</w:t>
      </w:r>
    </w:p>
    <w:p w14:paraId="076D551C" w14:textId="77777777" w:rsidR="00FC4128" w:rsidRPr="00435798" w:rsidRDefault="00FC4128" w:rsidP="00435798">
      <w:pPr>
        <w:spacing w:line="240" w:lineRule="auto"/>
        <w:rPr>
          <w:rFonts w:cstheme="minorHAnsi"/>
        </w:rPr>
      </w:pPr>
      <w:r w:rsidRPr="00435798">
        <w:rPr>
          <w:rFonts w:cstheme="minorHAnsi"/>
        </w:rPr>
        <w:t>Economist, PwC Strategy&amp; South Africa</w:t>
      </w:r>
    </w:p>
    <w:p w14:paraId="0866C048" w14:textId="3842BA3B" w:rsidR="00FC4128" w:rsidRPr="00435798" w:rsidRDefault="00FC4128" w:rsidP="00435798">
      <w:pPr>
        <w:spacing w:line="240" w:lineRule="auto"/>
        <w:rPr>
          <w:rFonts w:cstheme="minorHAnsi"/>
        </w:rPr>
      </w:pPr>
      <w:hyperlink r:id="rId17" w:history="1">
        <w:r w:rsidRPr="00435798">
          <w:rPr>
            <w:rStyle w:val="Hyperlink"/>
            <w:rFonts w:cstheme="minorHAnsi"/>
          </w:rPr>
          <w:t>christie.viljoen@pwc.com</w:t>
        </w:r>
      </w:hyperlink>
    </w:p>
    <w:p w14:paraId="31B5F4BC" w14:textId="77777777" w:rsidR="00FC4128" w:rsidRPr="00435798" w:rsidRDefault="00FC4128" w:rsidP="00435798">
      <w:pPr>
        <w:spacing w:line="240" w:lineRule="auto"/>
        <w:rPr>
          <w:rFonts w:cstheme="minorHAnsi"/>
        </w:rPr>
      </w:pPr>
    </w:p>
    <w:p w14:paraId="720A8051" w14:textId="2C7AAAF6" w:rsidR="00FC4128" w:rsidRPr="00435798" w:rsidRDefault="00FC4128" w:rsidP="00435798">
      <w:pPr>
        <w:spacing w:line="240" w:lineRule="auto"/>
        <w:rPr>
          <w:rFonts w:cstheme="minorHAnsi"/>
          <w:b/>
        </w:rPr>
      </w:pPr>
      <w:r w:rsidRPr="00435798">
        <w:rPr>
          <w:rFonts w:cstheme="minorHAnsi"/>
          <w:b/>
        </w:rPr>
        <w:t>Media contacts</w:t>
      </w:r>
      <w:r w:rsidRPr="00435798">
        <w:rPr>
          <w:rFonts w:cstheme="minorHAnsi"/>
          <w:b/>
        </w:rPr>
        <w:t>:</w:t>
      </w:r>
    </w:p>
    <w:p w14:paraId="17E98549" w14:textId="77777777" w:rsidR="00FC4128" w:rsidRPr="00435798" w:rsidRDefault="00FC4128" w:rsidP="00435798">
      <w:pPr>
        <w:spacing w:line="240" w:lineRule="auto"/>
        <w:rPr>
          <w:rFonts w:cstheme="minorHAnsi"/>
        </w:rPr>
      </w:pPr>
      <w:proofErr w:type="spellStart"/>
      <w:r w:rsidRPr="00435798">
        <w:rPr>
          <w:rFonts w:cstheme="minorHAnsi"/>
        </w:rPr>
        <w:t>Bontle</w:t>
      </w:r>
      <w:proofErr w:type="spellEnd"/>
      <w:r w:rsidRPr="00435798">
        <w:rPr>
          <w:rFonts w:cstheme="minorHAnsi"/>
        </w:rPr>
        <w:t xml:space="preserve"> Mnisi: Account Executive, Change the Conversation, South Africa</w:t>
      </w:r>
    </w:p>
    <w:p w14:paraId="74AAFDAF" w14:textId="77777777" w:rsidR="00FC4128" w:rsidRPr="00435798" w:rsidRDefault="00FC4128" w:rsidP="00435798">
      <w:pPr>
        <w:spacing w:line="240" w:lineRule="auto"/>
        <w:rPr>
          <w:rFonts w:cstheme="minorHAnsi"/>
        </w:rPr>
      </w:pPr>
      <w:r w:rsidRPr="00435798">
        <w:rPr>
          <w:rFonts w:cstheme="minorHAnsi"/>
        </w:rPr>
        <w:t>Office: + 27 11 083 7735 or mobile: 076 2283796</w:t>
      </w:r>
    </w:p>
    <w:p w14:paraId="5ED31D4E" w14:textId="77777777" w:rsidR="00FC4128" w:rsidRPr="00435798" w:rsidRDefault="00FC4128" w:rsidP="00435798">
      <w:pPr>
        <w:spacing w:line="240" w:lineRule="auto"/>
        <w:rPr>
          <w:rFonts w:cstheme="minorHAnsi"/>
        </w:rPr>
      </w:pPr>
      <w:r w:rsidRPr="00435798">
        <w:rPr>
          <w:rFonts w:cstheme="minorHAnsi"/>
        </w:rPr>
        <w:t>Email: bontle@changetc.co.za</w:t>
      </w:r>
    </w:p>
    <w:p w14:paraId="6418278E" w14:textId="77777777" w:rsidR="00FC4128" w:rsidRPr="00435798" w:rsidRDefault="00FC4128" w:rsidP="00435798">
      <w:pPr>
        <w:spacing w:line="240" w:lineRule="auto"/>
        <w:rPr>
          <w:rFonts w:cstheme="minorHAnsi"/>
        </w:rPr>
      </w:pPr>
      <w:r w:rsidRPr="00435798">
        <w:rPr>
          <w:rFonts w:cstheme="minorHAnsi"/>
        </w:rPr>
        <w:t>OR</w:t>
      </w:r>
    </w:p>
    <w:p w14:paraId="0DB253D9" w14:textId="77777777" w:rsidR="00FC4128" w:rsidRPr="00435798" w:rsidRDefault="00FC4128" w:rsidP="00435798">
      <w:pPr>
        <w:spacing w:line="240" w:lineRule="auto"/>
        <w:rPr>
          <w:rFonts w:cstheme="minorHAnsi"/>
          <w:color w:val="000000" w:themeColor="text1"/>
        </w:rPr>
      </w:pPr>
      <w:r w:rsidRPr="00435798">
        <w:rPr>
          <w:rFonts w:cstheme="minorHAnsi"/>
          <w:color w:val="000000" w:themeColor="text1"/>
        </w:rPr>
        <w:t>Sanchia Temkin: Media Relations, PwC Africa</w:t>
      </w:r>
    </w:p>
    <w:p w14:paraId="0D475678" w14:textId="77777777" w:rsidR="00FC4128" w:rsidRPr="00435798" w:rsidRDefault="00FC4128" w:rsidP="00435798">
      <w:pPr>
        <w:spacing w:line="240" w:lineRule="auto"/>
        <w:rPr>
          <w:rFonts w:cstheme="minorHAnsi"/>
          <w:color w:val="000000" w:themeColor="text1"/>
        </w:rPr>
      </w:pPr>
      <w:r w:rsidRPr="00435798">
        <w:rPr>
          <w:rFonts w:cstheme="minorHAnsi"/>
          <w:color w:val="000000" w:themeColor="text1"/>
        </w:rPr>
        <w:lastRenderedPageBreak/>
        <w:t xml:space="preserve">Office: + 27 11 797 4470 </w:t>
      </w:r>
    </w:p>
    <w:p w14:paraId="04CCFAA3" w14:textId="77777777" w:rsidR="00FC4128" w:rsidRPr="00435798" w:rsidRDefault="00FC4128" w:rsidP="00435798">
      <w:pPr>
        <w:spacing w:line="240" w:lineRule="auto"/>
        <w:rPr>
          <w:rFonts w:cstheme="minorHAnsi"/>
          <w:color w:val="000000" w:themeColor="text1"/>
        </w:rPr>
      </w:pPr>
      <w:r w:rsidRPr="00435798">
        <w:rPr>
          <w:rFonts w:cstheme="minorHAnsi"/>
          <w:color w:val="000000" w:themeColor="text1"/>
        </w:rPr>
        <w:t>Email: sanchia.temkin@pwc.com</w:t>
      </w:r>
    </w:p>
    <w:p w14:paraId="46B7E5CE" w14:textId="77777777" w:rsidR="00FC4128" w:rsidRPr="002A379C" w:rsidRDefault="00FC4128" w:rsidP="00FC4128">
      <w:pPr>
        <w:rPr>
          <w:rFonts w:asciiTheme="majorHAnsi" w:hAnsiTheme="majorHAnsi"/>
        </w:rPr>
      </w:pPr>
    </w:p>
    <w:p w14:paraId="0A0A65D9" w14:textId="45E845E0" w:rsidR="00FC4128" w:rsidRDefault="00FC4128" w:rsidP="00FC4128">
      <w:pPr>
        <w:rPr>
          <w:rFonts w:ascii="Georgia" w:hAnsi="Georgia"/>
          <w:sz w:val="19"/>
          <w:szCs w:val="19"/>
        </w:rPr>
      </w:pPr>
    </w:p>
    <w:p w14:paraId="7ACD7D09" w14:textId="77777777" w:rsidR="00FC4128" w:rsidRPr="00E713A1" w:rsidRDefault="00FC4128" w:rsidP="00FC4128">
      <w:pPr>
        <w:rPr>
          <w:rFonts w:ascii="Georgia" w:hAnsi="Georgia"/>
          <w:sz w:val="19"/>
          <w:szCs w:val="19"/>
        </w:rPr>
      </w:pPr>
    </w:p>
    <w:p w14:paraId="68EB4AF8" w14:textId="77777777" w:rsidR="00FC4128" w:rsidRPr="00E713A1" w:rsidRDefault="00FC4128" w:rsidP="00FC4128">
      <w:pPr>
        <w:rPr>
          <w:rFonts w:ascii="Georgia" w:hAnsi="Georgia"/>
          <w:sz w:val="19"/>
          <w:szCs w:val="19"/>
        </w:rPr>
      </w:pPr>
    </w:p>
    <w:p w14:paraId="6934AA7C" w14:textId="77777777" w:rsidR="00FC4128" w:rsidRDefault="00FC4128" w:rsidP="00FC4128"/>
    <w:sectPr w:rsidR="00FC4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3DD0" w14:textId="77777777" w:rsidR="0061489F" w:rsidRDefault="0061489F" w:rsidP="00FC4128">
      <w:pPr>
        <w:spacing w:after="0" w:line="240" w:lineRule="auto"/>
      </w:pPr>
      <w:r>
        <w:separator/>
      </w:r>
    </w:p>
  </w:endnote>
  <w:endnote w:type="continuationSeparator" w:id="0">
    <w:p w14:paraId="0952CFFC" w14:textId="77777777" w:rsidR="0061489F" w:rsidRDefault="0061489F" w:rsidP="00FC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EB643" w14:textId="77777777" w:rsidR="0061489F" w:rsidRDefault="0061489F" w:rsidP="00FC4128">
      <w:pPr>
        <w:spacing w:after="0" w:line="240" w:lineRule="auto"/>
      </w:pPr>
      <w:r>
        <w:separator/>
      </w:r>
    </w:p>
  </w:footnote>
  <w:footnote w:type="continuationSeparator" w:id="0">
    <w:p w14:paraId="06220184" w14:textId="77777777" w:rsidR="0061489F" w:rsidRDefault="0061489F" w:rsidP="00FC4128">
      <w:pPr>
        <w:spacing w:after="0" w:line="240" w:lineRule="auto"/>
      </w:pPr>
      <w:r>
        <w:continuationSeparator/>
      </w:r>
    </w:p>
  </w:footnote>
  <w:footnote w:id="1">
    <w:p w14:paraId="3FC94ED1" w14:textId="77777777" w:rsidR="00FC4128" w:rsidRPr="00514D70" w:rsidRDefault="00FC4128" w:rsidP="00FC4128">
      <w:pPr>
        <w:pStyle w:val="FootnoteText"/>
        <w:rPr>
          <w:rFonts w:asciiTheme="majorHAnsi" w:hAnsiTheme="majorHAnsi"/>
          <w:sz w:val="18"/>
          <w:szCs w:val="18"/>
          <w:lang w:val="en-US"/>
        </w:rPr>
      </w:pPr>
      <w:r w:rsidRPr="00514D70">
        <w:rPr>
          <w:rStyle w:val="FootnoteReference"/>
          <w:rFonts w:asciiTheme="majorHAnsi" w:hAnsiTheme="majorHAnsi"/>
          <w:sz w:val="18"/>
          <w:szCs w:val="18"/>
        </w:rPr>
        <w:footnoteRef/>
      </w:r>
      <w:r w:rsidRPr="00514D70">
        <w:rPr>
          <w:rFonts w:asciiTheme="majorHAnsi" w:hAnsiTheme="majorHAnsi"/>
          <w:sz w:val="18"/>
          <w:szCs w:val="18"/>
        </w:rPr>
        <w:t xml:space="preserve"> PwC, 2020. Global Economy Watch - Predictions for 2020. https://www.pwc.com/gx/en/issues/economy/global-economy-watch/assets/pdfs/predictions-2020.pdf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54F7D"/>
    <w:multiLevelType w:val="hybridMultilevel"/>
    <w:tmpl w:val="5576F92A"/>
    <w:lvl w:ilvl="0" w:tplc="CA141A2C">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54F740E8"/>
    <w:multiLevelType w:val="hybridMultilevel"/>
    <w:tmpl w:val="DF8C88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28"/>
    <w:rsid w:val="00435798"/>
    <w:rsid w:val="005A3118"/>
    <w:rsid w:val="0061489F"/>
    <w:rsid w:val="00FC41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5402"/>
  <w15:chartTrackingRefBased/>
  <w15:docId w15:val="{D3905F5A-1390-47EC-A5E0-138D4338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4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28"/>
    <w:pPr>
      <w:ind w:left="720"/>
      <w:contextualSpacing/>
    </w:pPr>
  </w:style>
  <w:style w:type="paragraph" w:styleId="FootnoteText">
    <w:name w:val="footnote text"/>
    <w:basedOn w:val="Normal"/>
    <w:link w:val="FootnoteTextChar"/>
    <w:uiPriority w:val="99"/>
    <w:semiHidden/>
    <w:unhideWhenUsed/>
    <w:rsid w:val="00FC4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128"/>
    <w:rPr>
      <w:sz w:val="20"/>
      <w:szCs w:val="20"/>
    </w:rPr>
  </w:style>
  <w:style w:type="character" w:styleId="FootnoteReference">
    <w:name w:val="footnote reference"/>
    <w:basedOn w:val="DefaultParagraphFont"/>
    <w:uiPriority w:val="99"/>
    <w:semiHidden/>
    <w:unhideWhenUsed/>
    <w:rsid w:val="00FC4128"/>
    <w:rPr>
      <w:vertAlign w:val="superscript"/>
    </w:rPr>
  </w:style>
  <w:style w:type="character" w:styleId="Hyperlink">
    <w:name w:val="Hyperlink"/>
    <w:basedOn w:val="DefaultParagraphFont"/>
    <w:uiPriority w:val="99"/>
    <w:unhideWhenUsed/>
    <w:rsid w:val="00FC4128"/>
    <w:rPr>
      <w:color w:val="0000FF"/>
      <w:u w:val="single"/>
    </w:rPr>
  </w:style>
  <w:style w:type="character" w:styleId="UnresolvedMention">
    <w:name w:val="Unresolved Mention"/>
    <w:basedOn w:val="DefaultParagraphFont"/>
    <w:uiPriority w:val="99"/>
    <w:semiHidden/>
    <w:unhideWhenUsed/>
    <w:rsid w:val="00FC4128"/>
    <w:rPr>
      <w:color w:val="605E5C"/>
      <w:shd w:val="clear" w:color="auto" w:fill="E1DFDD"/>
    </w:rPr>
  </w:style>
  <w:style w:type="paragraph" w:styleId="NormalWeb">
    <w:name w:val="Normal (Web)"/>
    <w:basedOn w:val="Normal"/>
    <w:uiPriority w:val="99"/>
    <w:semiHidden/>
    <w:unhideWhenUsed/>
    <w:rsid w:val="00FC412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wc.co.za/en/press-room/23rd-annual-ceo-survey-2020.html"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mailto:christie.viljoen@pwc.com" TargetMode="External"/><Relationship Id="rId2" Type="http://schemas.openxmlformats.org/officeDocument/2006/relationships/styles" Target="styles.xml"/><Relationship Id="rId16" Type="http://schemas.openxmlformats.org/officeDocument/2006/relationships/hyperlink" Target="http://www.pwc.com/struct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pwc.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2</cp:revision>
  <dcterms:created xsi:type="dcterms:W3CDTF">2020-02-04T12:52:00Z</dcterms:created>
  <dcterms:modified xsi:type="dcterms:W3CDTF">2020-02-04T13:02:00Z</dcterms:modified>
</cp:coreProperties>
</file>