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856A1" w14:textId="77777777" w:rsidR="00461265" w:rsidRPr="00461265" w:rsidRDefault="00461265" w:rsidP="00461265">
      <w:pPr>
        <w:spacing w:before="100" w:beforeAutospacing="1" w:after="100" w:afterAutospacing="1" w:line="540" w:lineRule="atLeast"/>
        <w:jc w:val="center"/>
        <w:outlineLvl w:val="0"/>
        <w:rPr>
          <w:rFonts w:ascii="Century Gothic" w:eastAsia="Times New Roman" w:hAnsi="Century Gothic" w:cs="Times New Roman"/>
          <w:b/>
          <w:bCs/>
          <w:color w:val="ED7D31" w:themeColor="accent2"/>
          <w:kern w:val="36"/>
          <w:sz w:val="28"/>
          <w:szCs w:val="28"/>
          <w:shd w:val="clear" w:color="auto" w:fill="FFFFFF"/>
          <w:lang w:eastAsia="en-ZA"/>
        </w:rPr>
      </w:pPr>
      <w:r w:rsidRPr="00461265">
        <w:rPr>
          <w:rFonts w:ascii="Century Gothic" w:eastAsia="Times New Roman" w:hAnsi="Century Gothic" w:cs="Times New Roman"/>
          <w:b/>
          <w:bCs/>
          <w:color w:val="ED7D31" w:themeColor="accent2"/>
          <w:kern w:val="36"/>
          <w:sz w:val="28"/>
          <w:szCs w:val="28"/>
          <w:shd w:val="clear" w:color="auto" w:fill="FFFFFF"/>
          <w:lang w:eastAsia="en-ZA"/>
        </w:rPr>
        <w:t>Covid-19: TERS - 5 important updates</w:t>
      </w:r>
    </w:p>
    <w:p w14:paraId="7AB03614" w14:textId="77777777" w:rsidR="00461265" w:rsidRPr="00461265" w:rsidRDefault="00461265" w:rsidP="00461265">
      <w:pPr>
        <w:spacing w:after="0" w:line="240" w:lineRule="auto"/>
        <w:rPr>
          <w:rFonts w:ascii="Century Gothic" w:eastAsia="Times New Roman" w:hAnsi="Century Gothic" w:cs="Times New Roman"/>
          <w:sz w:val="20"/>
          <w:szCs w:val="20"/>
          <w:shd w:val="clear" w:color="auto" w:fill="FFFFFF"/>
          <w:lang w:eastAsia="en-ZA"/>
        </w:rPr>
      </w:pPr>
      <w:r w:rsidRPr="00461265">
        <w:rPr>
          <w:rFonts w:ascii="Century Gothic" w:eastAsia="Times New Roman" w:hAnsi="Century Gothic" w:cs="Times New Roman"/>
          <w:sz w:val="20"/>
          <w:szCs w:val="20"/>
          <w:shd w:val="clear" w:color="auto" w:fill="FFFFFF"/>
          <w:lang w:eastAsia="en-ZA"/>
        </w:rPr>
        <w:t>by </w:t>
      </w:r>
      <w:hyperlink r:id="rId8" w:history="1">
        <w:r w:rsidRPr="00461265">
          <w:rPr>
            <w:rFonts w:ascii="Century Gothic" w:eastAsia="Times New Roman" w:hAnsi="Century Gothic" w:cs="Times New Roman"/>
            <w:sz w:val="20"/>
            <w:szCs w:val="20"/>
            <w:lang w:eastAsia="en-ZA"/>
          </w:rPr>
          <w:t>Joon Chong</w:t>
        </w:r>
      </w:hyperlink>
      <w:r w:rsidRPr="00461265">
        <w:rPr>
          <w:rFonts w:ascii="Century Gothic" w:eastAsia="Times New Roman" w:hAnsi="Century Gothic" w:cs="Times New Roman"/>
          <w:sz w:val="20"/>
          <w:szCs w:val="20"/>
          <w:shd w:val="clear" w:color="auto" w:fill="FFFFFF"/>
          <w:lang w:eastAsia="en-ZA"/>
        </w:rPr>
        <w:t>, </w:t>
      </w:r>
      <w:hyperlink r:id="rId9" w:history="1">
        <w:r w:rsidRPr="00461265">
          <w:rPr>
            <w:rFonts w:ascii="Century Gothic" w:eastAsia="Times New Roman" w:hAnsi="Century Gothic" w:cs="Times New Roman"/>
            <w:sz w:val="20"/>
            <w:szCs w:val="20"/>
            <w:lang w:eastAsia="en-ZA"/>
          </w:rPr>
          <w:t>Dhevarsha Ramjettan</w:t>
        </w:r>
      </w:hyperlink>
      <w:r w:rsidRPr="00461265">
        <w:rPr>
          <w:rFonts w:ascii="Century Gothic" w:eastAsia="Times New Roman" w:hAnsi="Century Gothic" w:cs="Times New Roman"/>
          <w:sz w:val="20"/>
          <w:szCs w:val="20"/>
          <w:shd w:val="clear" w:color="auto" w:fill="FFFFFF"/>
          <w:lang w:eastAsia="en-ZA"/>
        </w:rPr>
        <w:t>, </w:t>
      </w:r>
      <w:hyperlink r:id="rId10" w:history="1">
        <w:r w:rsidRPr="00461265">
          <w:rPr>
            <w:rFonts w:ascii="Century Gothic" w:eastAsia="Times New Roman" w:hAnsi="Century Gothic" w:cs="Times New Roman"/>
            <w:sz w:val="20"/>
            <w:szCs w:val="20"/>
            <w:lang w:eastAsia="en-ZA"/>
          </w:rPr>
          <w:t>Johan Olivier</w:t>
        </w:r>
      </w:hyperlink>
      <w:r w:rsidRPr="00461265">
        <w:rPr>
          <w:rFonts w:ascii="Century Gothic" w:eastAsia="Times New Roman" w:hAnsi="Century Gothic" w:cs="Times New Roman"/>
          <w:sz w:val="20"/>
          <w:szCs w:val="20"/>
          <w:shd w:val="clear" w:color="auto" w:fill="FFFFFF"/>
          <w:lang w:eastAsia="en-ZA"/>
        </w:rPr>
        <w:t>, </w:t>
      </w:r>
      <w:hyperlink r:id="rId11" w:history="1">
        <w:r w:rsidRPr="00461265">
          <w:rPr>
            <w:rFonts w:ascii="Century Gothic" w:eastAsia="Times New Roman" w:hAnsi="Century Gothic" w:cs="Times New Roman"/>
            <w:sz w:val="20"/>
            <w:szCs w:val="20"/>
            <w:lang w:eastAsia="en-ZA"/>
          </w:rPr>
          <w:t>Shane Johnson</w:t>
        </w:r>
      </w:hyperlink>
      <w:r w:rsidRPr="00461265">
        <w:rPr>
          <w:rFonts w:ascii="Century Gothic" w:eastAsia="Times New Roman" w:hAnsi="Century Gothic" w:cs="Times New Roman"/>
          <w:sz w:val="20"/>
          <w:szCs w:val="20"/>
          <w:shd w:val="clear" w:color="auto" w:fill="FFFFFF"/>
          <w:lang w:eastAsia="en-ZA"/>
        </w:rPr>
        <w:t>, </w:t>
      </w:r>
      <w:hyperlink r:id="rId12" w:history="1">
        <w:r w:rsidRPr="00461265">
          <w:rPr>
            <w:rFonts w:ascii="Century Gothic" w:eastAsia="Times New Roman" w:hAnsi="Century Gothic" w:cs="Times New Roman"/>
            <w:sz w:val="20"/>
            <w:szCs w:val="20"/>
            <w:lang w:eastAsia="en-ZA"/>
          </w:rPr>
          <w:t>Bianca Viljoen</w:t>
        </w:r>
      </w:hyperlink>
      <w:r w:rsidRPr="00461265">
        <w:rPr>
          <w:rFonts w:ascii="Century Gothic" w:eastAsia="Times New Roman" w:hAnsi="Century Gothic" w:cs="Times New Roman"/>
          <w:sz w:val="20"/>
          <w:szCs w:val="20"/>
          <w:shd w:val="clear" w:color="auto" w:fill="FFFFFF"/>
          <w:lang w:eastAsia="en-ZA"/>
        </w:rPr>
        <w:t>, </w:t>
      </w:r>
      <w:proofErr w:type="spellStart"/>
      <w:r w:rsidRPr="00461265">
        <w:rPr>
          <w:rFonts w:ascii="Century Gothic" w:eastAsia="Times New Roman" w:hAnsi="Century Gothic" w:cs="Times New Roman"/>
          <w:sz w:val="20"/>
          <w:szCs w:val="20"/>
          <w:shd w:val="clear" w:color="auto" w:fill="FFFFFF"/>
          <w:lang w:eastAsia="en-ZA"/>
        </w:rPr>
        <w:fldChar w:fldCharType="begin"/>
      </w:r>
      <w:r w:rsidRPr="00461265">
        <w:rPr>
          <w:rFonts w:ascii="Century Gothic" w:eastAsia="Times New Roman" w:hAnsi="Century Gothic" w:cs="Times New Roman"/>
          <w:sz w:val="20"/>
          <w:szCs w:val="20"/>
          <w:shd w:val="clear" w:color="auto" w:fill="FFFFFF"/>
          <w:lang w:eastAsia="en-ZA"/>
        </w:rPr>
        <w:instrText xml:space="preserve"> HYPERLINK "https://www.webberwentzel.com/Specialists/Pages/Zipho-Tile.aspx" </w:instrText>
      </w:r>
      <w:r w:rsidRPr="00461265">
        <w:rPr>
          <w:rFonts w:ascii="Century Gothic" w:eastAsia="Times New Roman" w:hAnsi="Century Gothic" w:cs="Times New Roman"/>
          <w:sz w:val="20"/>
          <w:szCs w:val="20"/>
          <w:shd w:val="clear" w:color="auto" w:fill="FFFFFF"/>
          <w:lang w:eastAsia="en-ZA"/>
        </w:rPr>
        <w:fldChar w:fldCharType="separate"/>
      </w:r>
      <w:r w:rsidRPr="00461265">
        <w:rPr>
          <w:rFonts w:ascii="Century Gothic" w:eastAsia="Times New Roman" w:hAnsi="Century Gothic" w:cs="Times New Roman"/>
          <w:sz w:val="20"/>
          <w:szCs w:val="20"/>
          <w:lang w:eastAsia="en-ZA"/>
        </w:rPr>
        <w:t>Zipho</w:t>
      </w:r>
      <w:proofErr w:type="spellEnd"/>
      <w:r w:rsidRPr="00461265">
        <w:rPr>
          <w:rFonts w:ascii="Century Gothic" w:eastAsia="Times New Roman" w:hAnsi="Century Gothic" w:cs="Times New Roman"/>
          <w:sz w:val="20"/>
          <w:szCs w:val="20"/>
          <w:lang w:eastAsia="en-ZA"/>
        </w:rPr>
        <w:t xml:space="preserve"> Tile</w:t>
      </w:r>
      <w:r w:rsidRPr="00461265">
        <w:rPr>
          <w:rFonts w:ascii="Century Gothic" w:eastAsia="Times New Roman" w:hAnsi="Century Gothic" w:cs="Times New Roman"/>
          <w:sz w:val="20"/>
          <w:szCs w:val="20"/>
          <w:shd w:val="clear" w:color="auto" w:fill="FFFFFF"/>
          <w:lang w:eastAsia="en-ZA"/>
        </w:rPr>
        <w:fldChar w:fldCharType="end"/>
      </w:r>
    </w:p>
    <w:p w14:paraId="5B73883B" w14:textId="77777777" w:rsidR="00DE2169" w:rsidRPr="00DE2169" w:rsidRDefault="00DE2169" w:rsidP="00461265">
      <w:pPr>
        <w:shd w:val="clear" w:color="auto" w:fill="FFFFFF"/>
        <w:spacing w:after="150" w:line="330" w:lineRule="atLeast"/>
        <w:jc w:val="both"/>
        <w:rPr>
          <w:rFonts w:ascii="Century Gothic" w:eastAsia="Times New Roman" w:hAnsi="Century Gothic" w:cs="Times New Roman"/>
          <w:sz w:val="20"/>
          <w:szCs w:val="20"/>
          <w:lang w:eastAsia="en-ZA"/>
        </w:rPr>
      </w:pPr>
    </w:p>
    <w:p w14:paraId="0232621C" w14:textId="24473972"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Since the launch of TERS, there has been (almost) daily changes introduced by the Unemployment Insurance Fund. Important amendments to TERS were gazetted on 8 April 2020. Following those amendments, the Minister of Employment &amp; Labour signed off on further amendments and corrections on 16 and 20 April 2020, respectively. In addition to these changes, the UIF has also publicly released the method of calculation for TERS benefits. We highlight 5 important updates on TERS for employers below.</w:t>
      </w:r>
    </w:p>
    <w:p w14:paraId="61EA8F28" w14:textId="77777777" w:rsidR="00461265" w:rsidRPr="00461265" w:rsidRDefault="00461265" w:rsidP="00461265">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1. New changes</w:t>
      </w:r>
    </w:p>
    <w:p w14:paraId="7E82DA34" w14:textId="77777777" w:rsidR="00461265" w:rsidRPr="00461265" w:rsidRDefault="00461265" w:rsidP="00461265">
      <w:pPr>
        <w:shd w:val="clear" w:color="auto" w:fill="FFFFFF"/>
        <w:spacing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Although not yet been gazetted, these changes do clarify various questions on TERS -</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505"/>
        <w:gridCol w:w="4505"/>
      </w:tblGrid>
      <w:tr w:rsidR="00DE2169" w:rsidRPr="00461265" w14:paraId="5C6450FB" w14:textId="77777777" w:rsidTr="00461265">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7CFA0A94"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16 April amendments</w:t>
            </w:r>
          </w:p>
        </w:tc>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1F74BC30"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20 April correction notice</w:t>
            </w:r>
          </w:p>
        </w:tc>
      </w:tr>
      <w:tr w:rsidR="00DE2169" w:rsidRPr="00461265" w14:paraId="31745C89" w14:textId="77777777" w:rsidTr="00461265">
        <w:tc>
          <w:tcPr>
            <w:tcW w:w="0" w:type="auto"/>
            <w:tcBorders>
              <w:top w:val="outset" w:sz="6" w:space="0" w:color="auto"/>
              <w:left w:val="outset" w:sz="6" w:space="0" w:color="auto"/>
              <w:bottom w:val="outset" w:sz="6" w:space="0" w:color="auto"/>
              <w:right w:val="outset" w:sz="6" w:space="0" w:color="auto"/>
            </w:tcBorders>
            <w:hideMark/>
          </w:tcPr>
          <w:p w14:paraId="0F839B55" w14:textId="77777777" w:rsidR="00461265" w:rsidRPr="00461265" w:rsidRDefault="00461265" w:rsidP="00461265">
            <w:pPr>
              <w:numPr>
                <w:ilvl w:val="0"/>
                <w:numId w:val="1"/>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Employees who were placed on forced annual leave during the lockdown period due to a temporary closure of employer operations may claim TERS benefits</w:t>
            </w:r>
          </w:p>
          <w:p w14:paraId="36CD16F5" w14:textId="77777777" w:rsidR="00461265" w:rsidRPr="00461265" w:rsidRDefault="00461265" w:rsidP="00461265">
            <w:pPr>
              <w:numPr>
                <w:ilvl w:val="0"/>
                <w:numId w:val="1"/>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Annual leave days will be regarded as no income days for purposes of the TERS benefit</w:t>
            </w:r>
          </w:p>
          <w:p w14:paraId="2E0CF198" w14:textId="77777777" w:rsidR="00461265" w:rsidRPr="00461265" w:rsidRDefault="00461265" w:rsidP="00461265">
            <w:pPr>
              <w:numPr>
                <w:ilvl w:val="0"/>
                <w:numId w:val="1"/>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Upon receipt of the TERS benefit, the employer must ensure that it credits its employees with the proportionate entitlement to annual leave</w:t>
            </w:r>
          </w:p>
        </w:tc>
        <w:tc>
          <w:tcPr>
            <w:tcW w:w="0" w:type="auto"/>
            <w:tcBorders>
              <w:top w:val="outset" w:sz="6" w:space="0" w:color="auto"/>
              <w:left w:val="outset" w:sz="6" w:space="0" w:color="auto"/>
              <w:bottom w:val="outset" w:sz="6" w:space="0" w:color="auto"/>
              <w:right w:val="outset" w:sz="6" w:space="0" w:color="auto"/>
            </w:tcBorders>
            <w:hideMark/>
          </w:tcPr>
          <w:p w14:paraId="419D315B" w14:textId="77777777" w:rsidR="00461265" w:rsidRPr="00461265" w:rsidRDefault="00461265" w:rsidP="00461265">
            <w:pPr>
              <w:numPr>
                <w:ilvl w:val="0"/>
                <w:numId w:val="2"/>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reference to section 12 of the Unemployment Insurance Act in clause 3.6 of the TERS Directive has been deleted</w:t>
            </w:r>
          </w:p>
          <w:p w14:paraId="0189FCD8" w14:textId="77777777" w:rsidR="00461265" w:rsidRPr="00461265" w:rsidRDefault="00461265" w:rsidP="00461265">
            <w:pPr>
              <w:numPr>
                <w:ilvl w:val="0"/>
                <w:numId w:val="2"/>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Prior to the deletion, if an employer applied a "top up" and the TERS benefit added to the total remuneration of the employee exceeded R17 712, the UIF determined that such an employee would not qualify for a TERS benefit</w:t>
            </w:r>
          </w:p>
          <w:p w14:paraId="18782847" w14:textId="0519D5E6" w:rsidR="00461265" w:rsidRPr="00461265" w:rsidRDefault="00461265" w:rsidP="003E3CFC">
            <w:pPr>
              <w:numPr>
                <w:ilvl w:val="0"/>
                <w:numId w:val="2"/>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deletion enables employees who earn remuneration above R17,712.00 per month and whose employers apply a "top up" to claim TERS benefits</w:t>
            </w:r>
          </w:p>
          <w:p w14:paraId="54ADFA9E" w14:textId="77777777" w:rsidR="00461265" w:rsidRPr="00461265" w:rsidRDefault="00461265" w:rsidP="00461265">
            <w:pPr>
              <w:numPr>
                <w:ilvl w:val="0"/>
                <w:numId w:val="2"/>
              </w:numPr>
              <w:spacing w:before="100" w:beforeAutospacing="1" w:after="100" w:afterAutospacing="1" w:line="360" w:lineRule="atLeast"/>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UIF will be recalculating TERS benefits for employees whose claims were unsuccessful</w:t>
            </w:r>
          </w:p>
        </w:tc>
      </w:tr>
    </w:tbl>
    <w:p w14:paraId="580EC524" w14:textId="77777777" w:rsidR="00461265" w:rsidRPr="00461265" w:rsidRDefault="00461265" w:rsidP="00461265">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2. Period of TERS cover</w:t>
      </w:r>
    </w:p>
    <w:p w14:paraId="49ADD9F5" w14:textId="0AB0B51D"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lastRenderedPageBreak/>
        <w:t>At this stage, employers can only apply for the current lockdown period (</w:t>
      </w:r>
      <w:proofErr w:type="spellStart"/>
      <w:r w:rsidRPr="00461265">
        <w:rPr>
          <w:rFonts w:ascii="Century Gothic" w:eastAsia="Times New Roman" w:hAnsi="Century Gothic" w:cs="Times New Roman"/>
          <w:sz w:val="20"/>
          <w:szCs w:val="20"/>
          <w:lang w:eastAsia="en-ZA"/>
        </w:rPr>
        <w:t>ie</w:t>
      </w:r>
      <w:proofErr w:type="spellEnd"/>
      <w:r w:rsidRPr="00461265">
        <w:rPr>
          <w:rFonts w:ascii="Century Gothic" w:eastAsia="Times New Roman" w:hAnsi="Century Gothic" w:cs="Times New Roman"/>
          <w:sz w:val="20"/>
          <w:szCs w:val="20"/>
          <w:lang w:eastAsia="en-ZA"/>
        </w:rPr>
        <w:t xml:space="preserve"> 35 days). However, with a possible extension of the lockdown for certain employers, it may be possible for employers to claim TERS benefits for that period (up to a maximum of 3 months). The UIF has confirmed that employers will be able to apply for TERS benefits for the current period of the national lockdown (</w:t>
      </w:r>
      <w:r w:rsidR="003E3CFC" w:rsidRPr="00461265">
        <w:rPr>
          <w:rFonts w:ascii="Century Gothic" w:eastAsia="Times New Roman" w:hAnsi="Century Gothic" w:cs="Times New Roman"/>
          <w:sz w:val="20"/>
          <w:szCs w:val="20"/>
          <w:lang w:eastAsia="en-ZA"/>
        </w:rPr>
        <w:t>i.e.</w:t>
      </w:r>
      <w:r w:rsidRPr="00461265">
        <w:rPr>
          <w:rFonts w:ascii="Century Gothic" w:eastAsia="Times New Roman" w:hAnsi="Century Gothic" w:cs="Times New Roman"/>
          <w:sz w:val="20"/>
          <w:szCs w:val="20"/>
          <w:lang w:eastAsia="en-ZA"/>
        </w:rPr>
        <w:t xml:space="preserve"> 35 days) after 30 April 2020.</w:t>
      </w:r>
    </w:p>
    <w:p w14:paraId="2D8F6AB7" w14:textId="77777777"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xml:space="preserve">Employers who are not able to operate during the level 4 lockdown may be entitled to claim TERS benefits for the extended period. However, it remains to be seen whether this will </w:t>
      </w:r>
      <w:proofErr w:type="gramStart"/>
      <w:r w:rsidRPr="00461265">
        <w:rPr>
          <w:rFonts w:ascii="Century Gothic" w:eastAsia="Times New Roman" w:hAnsi="Century Gothic" w:cs="Times New Roman"/>
          <w:sz w:val="20"/>
          <w:szCs w:val="20"/>
          <w:lang w:eastAsia="en-ZA"/>
        </w:rPr>
        <w:t>actually be</w:t>
      </w:r>
      <w:proofErr w:type="gramEnd"/>
      <w:r w:rsidRPr="00461265">
        <w:rPr>
          <w:rFonts w:ascii="Century Gothic" w:eastAsia="Times New Roman" w:hAnsi="Century Gothic" w:cs="Times New Roman"/>
          <w:sz w:val="20"/>
          <w:szCs w:val="20"/>
          <w:lang w:eastAsia="en-ZA"/>
        </w:rPr>
        <w:t xml:space="preserve"> the case as the online application process only allows for claims for the current lockdown period.</w:t>
      </w:r>
    </w:p>
    <w:p w14:paraId="71FDB8BB" w14:textId="77777777" w:rsidR="00461265" w:rsidRPr="00461265" w:rsidRDefault="00461265" w:rsidP="00461265">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3. Employers who pay full salaries of employees</w:t>
      </w:r>
    </w:p>
    <w:p w14:paraId="2DA4DE5D" w14:textId="77777777"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Employers who pay full salaries of employees during the lockdown period may qualify for TERS benefits provided that they have paid employees the equivalent of the TERS benefits </w:t>
      </w:r>
      <w:r w:rsidRPr="00461265">
        <w:rPr>
          <w:rFonts w:ascii="Century Gothic" w:eastAsia="Times New Roman" w:hAnsi="Century Gothic" w:cs="Times New Roman"/>
          <w:b/>
          <w:bCs/>
          <w:sz w:val="20"/>
          <w:szCs w:val="20"/>
          <w:lang w:eastAsia="en-ZA"/>
        </w:rPr>
        <w:t>in advance</w:t>
      </w:r>
      <w:r w:rsidRPr="00461265">
        <w:rPr>
          <w:rFonts w:ascii="Century Gothic" w:eastAsia="Times New Roman" w:hAnsi="Century Gothic" w:cs="Times New Roman"/>
          <w:sz w:val="20"/>
          <w:szCs w:val="20"/>
          <w:lang w:eastAsia="en-ZA"/>
        </w:rPr>
        <w:t> of receiving payment by the UIF.</w:t>
      </w:r>
    </w:p>
    <w:p w14:paraId="28F35626" w14:textId="77777777"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advance payment should be recorded by the employer in some manner (for example, on the payslips of employees or a recordal for internal purposes).</w:t>
      </w:r>
    </w:p>
    <w:p w14:paraId="1A3CCAC5" w14:textId="77777777" w:rsidR="00461265" w:rsidRPr="00461265" w:rsidRDefault="00461265" w:rsidP="00461265">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4. Method of calculation for TERS benefits</w:t>
      </w:r>
    </w:p>
    <w:p w14:paraId="293BAEAD" w14:textId="77777777" w:rsidR="00461265" w:rsidRPr="00461265" w:rsidRDefault="00461265" w:rsidP="00461265">
      <w:pPr>
        <w:shd w:val="clear" w:color="auto" w:fill="FFFFFF"/>
        <w:spacing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xml:space="preserve">The TERS benefit per employee will be calculated by the UIF in accordance with the rules of the scheme and by the UIF applying the Income Replacement Rate (IRR) to the employee's daily income. The IRR will range from 38% - 60% depending on the employee's daily income. </w:t>
      </w:r>
      <w:proofErr w:type="gramStart"/>
      <w:r w:rsidRPr="00461265">
        <w:rPr>
          <w:rFonts w:ascii="Century Gothic" w:eastAsia="Times New Roman" w:hAnsi="Century Gothic" w:cs="Times New Roman"/>
          <w:sz w:val="20"/>
          <w:szCs w:val="20"/>
          <w:lang w:eastAsia="en-ZA"/>
        </w:rPr>
        <w:t>In order to</w:t>
      </w:r>
      <w:proofErr w:type="gramEnd"/>
      <w:r w:rsidRPr="00461265">
        <w:rPr>
          <w:rFonts w:ascii="Century Gothic" w:eastAsia="Times New Roman" w:hAnsi="Century Gothic" w:cs="Times New Roman"/>
          <w:sz w:val="20"/>
          <w:szCs w:val="20"/>
          <w:lang w:eastAsia="en-ZA"/>
        </w:rPr>
        <w:t xml:space="preserve"> calculate the TERS benefit per employee, the table below should be used as a guide -</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505"/>
        <w:gridCol w:w="4505"/>
      </w:tblGrid>
      <w:tr w:rsidR="00DE2169" w:rsidRPr="00461265" w14:paraId="63A2F003" w14:textId="77777777" w:rsidTr="00461265">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71A8E4C8"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(1) Calculate daily income for the employee</w:t>
            </w:r>
          </w:p>
        </w:tc>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775DC6DC"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(2) Calculate IRR using UIF formula</w:t>
            </w:r>
          </w:p>
        </w:tc>
      </w:tr>
      <w:tr w:rsidR="00DE2169" w:rsidRPr="00461265" w14:paraId="4B123CB8" w14:textId="77777777" w:rsidTr="00461265">
        <w:tc>
          <w:tcPr>
            <w:tcW w:w="0" w:type="auto"/>
            <w:tcBorders>
              <w:top w:val="outset" w:sz="6" w:space="0" w:color="auto"/>
              <w:left w:val="outset" w:sz="6" w:space="0" w:color="auto"/>
              <w:bottom w:val="outset" w:sz="6" w:space="0" w:color="auto"/>
              <w:right w:val="outset" w:sz="6" w:space="0" w:color="auto"/>
            </w:tcBorders>
            <w:hideMark/>
          </w:tcPr>
          <w:p w14:paraId="7CDE9A4C"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proofErr w:type="gramStart"/>
            <w:r w:rsidRPr="00461265">
              <w:rPr>
                <w:rFonts w:ascii="Century Gothic" w:eastAsia="Times New Roman" w:hAnsi="Century Gothic" w:cs="Times New Roman"/>
                <w:sz w:val="20"/>
                <w:szCs w:val="20"/>
                <w:lang w:eastAsia="en-ZA"/>
              </w:rPr>
              <w:t>In order to</w:t>
            </w:r>
            <w:proofErr w:type="gramEnd"/>
            <w:r w:rsidRPr="00461265">
              <w:rPr>
                <w:rFonts w:ascii="Century Gothic" w:eastAsia="Times New Roman" w:hAnsi="Century Gothic" w:cs="Times New Roman"/>
                <w:sz w:val="20"/>
                <w:szCs w:val="20"/>
                <w:lang w:eastAsia="en-ZA"/>
              </w:rPr>
              <w:t xml:space="preserve"> calculate the daily income for the employee, use the formulae below depending on whether the employee is a weekly earner or monthly earner</w:t>
            </w:r>
          </w:p>
          <w:p w14:paraId="02D25571"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i/>
                <w:iCs/>
                <w:sz w:val="20"/>
                <w:szCs w:val="20"/>
                <w:lang w:eastAsia="en-ZA"/>
              </w:rPr>
              <w:t>Daily income for weekly earner</w:t>
            </w:r>
          </w:p>
          <w:p w14:paraId="5A247F08"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Weekly rate of employee x 52 ÷ 365 = daily income</w:t>
            </w:r>
          </w:p>
          <w:p w14:paraId="452A2B7A"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i/>
                <w:iCs/>
                <w:sz w:val="20"/>
                <w:szCs w:val="20"/>
                <w:lang w:eastAsia="en-ZA"/>
              </w:rPr>
              <w:t>Daily income for monthly earner</w:t>
            </w:r>
          </w:p>
          <w:p w14:paraId="7DD2C26E" w14:textId="77777777" w:rsidR="00461265" w:rsidRPr="00461265" w:rsidRDefault="00461265" w:rsidP="00461265">
            <w:pPr>
              <w:spacing w:after="0" w:line="240" w:lineRule="auto"/>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Monthly rate of employee x 12 ÷ 365 = daily income</w:t>
            </w:r>
          </w:p>
        </w:tc>
        <w:tc>
          <w:tcPr>
            <w:tcW w:w="0" w:type="auto"/>
            <w:tcBorders>
              <w:top w:val="outset" w:sz="6" w:space="0" w:color="auto"/>
              <w:left w:val="outset" w:sz="6" w:space="0" w:color="auto"/>
              <w:bottom w:val="outset" w:sz="6" w:space="0" w:color="auto"/>
              <w:right w:val="outset" w:sz="6" w:space="0" w:color="auto"/>
            </w:tcBorders>
            <w:hideMark/>
          </w:tcPr>
          <w:p w14:paraId="1979F15F"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proofErr w:type="gramStart"/>
            <w:r w:rsidRPr="00461265">
              <w:rPr>
                <w:rFonts w:ascii="Century Gothic" w:eastAsia="Times New Roman" w:hAnsi="Century Gothic" w:cs="Times New Roman"/>
                <w:sz w:val="20"/>
                <w:szCs w:val="20"/>
                <w:lang w:eastAsia="en-ZA"/>
              </w:rPr>
              <w:t>In order to</w:t>
            </w:r>
            <w:proofErr w:type="gramEnd"/>
            <w:r w:rsidRPr="00461265">
              <w:rPr>
                <w:rFonts w:ascii="Century Gothic" w:eastAsia="Times New Roman" w:hAnsi="Century Gothic" w:cs="Times New Roman"/>
                <w:sz w:val="20"/>
                <w:szCs w:val="20"/>
                <w:lang w:eastAsia="en-ZA"/>
              </w:rPr>
              <w:t xml:space="preserve"> calculate the IRR, use the formula below</w:t>
            </w:r>
          </w:p>
          <w:p w14:paraId="762D8347" w14:textId="77777777" w:rsidR="00461265" w:rsidRPr="00461265" w:rsidRDefault="00461265" w:rsidP="00461265">
            <w:pPr>
              <w:spacing w:after="0" w:line="240" w:lineRule="auto"/>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IRR = 29.2 + [7173.92 ÷ (232.92 + daily income)]</w:t>
            </w:r>
          </w:p>
        </w:tc>
      </w:tr>
      <w:tr w:rsidR="00DE2169" w:rsidRPr="00461265" w14:paraId="4834A306" w14:textId="77777777" w:rsidTr="00461265">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15B0377D"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(3) Calculate daily TERS benefit amount</w:t>
            </w:r>
          </w:p>
        </w:tc>
        <w:tc>
          <w:tcPr>
            <w:tcW w:w="2400" w:type="pct"/>
            <w:tcBorders>
              <w:top w:val="outset" w:sz="6" w:space="0" w:color="auto"/>
              <w:left w:val="outset" w:sz="6" w:space="0" w:color="auto"/>
              <w:bottom w:val="outset" w:sz="6" w:space="0" w:color="auto"/>
              <w:right w:val="outset" w:sz="6" w:space="0" w:color="auto"/>
            </w:tcBorders>
            <w:shd w:val="clear" w:color="auto" w:fill="F47321"/>
            <w:tcMar>
              <w:top w:w="150" w:type="dxa"/>
              <w:left w:w="150" w:type="dxa"/>
              <w:bottom w:w="150" w:type="dxa"/>
              <w:right w:w="150" w:type="dxa"/>
            </w:tcMar>
            <w:vAlign w:val="center"/>
            <w:hideMark/>
          </w:tcPr>
          <w:p w14:paraId="244D6551"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(4) Calculate total TERS benefit amount</w:t>
            </w:r>
          </w:p>
        </w:tc>
      </w:tr>
      <w:tr w:rsidR="00DE2169" w:rsidRPr="00461265" w14:paraId="4AAEC483" w14:textId="77777777" w:rsidTr="00461265">
        <w:tc>
          <w:tcPr>
            <w:tcW w:w="0" w:type="auto"/>
            <w:tcBorders>
              <w:top w:val="outset" w:sz="6" w:space="0" w:color="auto"/>
              <w:left w:val="outset" w:sz="6" w:space="0" w:color="auto"/>
              <w:bottom w:val="outset" w:sz="6" w:space="0" w:color="auto"/>
              <w:right w:val="outset" w:sz="6" w:space="0" w:color="auto"/>
            </w:tcBorders>
            <w:hideMark/>
          </w:tcPr>
          <w:p w14:paraId="265F0BC7"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lastRenderedPageBreak/>
              <w:t>(3) Calculate daily TERS benefit amount Daily income x IRR = Daily TERS benefit amount</w:t>
            </w:r>
          </w:p>
        </w:tc>
        <w:tc>
          <w:tcPr>
            <w:tcW w:w="0" w:type="auto"/>
            <w:tcBorders>
              <w:top w:val="outset" w:sz="6" w:space="0" w:color="auto"/>
              <w:left w:val="outset" w:sz="6" w:space="0" w:color="auto"/>
              <w:bottom w:val="outset" w:sz="6" w:space="0" w:color="auto"/>
              <w:right w:val="outset" w:sz="6" w:space="0" w:color="auto"/>
            </w:tcBorders>
            <w:hideMark/>
          </w:tcPr>
          <w:p w14:paraId="275388AB" w14:textId="77777777" w:rsidR="00461265" w:rsidRPr="00461265" w:rsidRDefault="00461265" w:rsidP="00461265">
            <w:pPr>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Daily TERS benefit amount x number of lockdown days = Total TERS benefit amount</w:t>
            </w:r>
          </w:p>
        </w:tc>
      </w:tr>
    </w:tbl>
    <w:p w14:paraId="2DB5BEDE" w14:textId="77777777" w:rsidR="00461265" w:rsidRPr="00461265" w:rsidRDefault="00461265" w:rsidP="00461265">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61265">
        <w:rPr>
          <w:rFonts w:ascii="Arial" w:eastAsia="Times New Roman" w:hAnsi="Arial" w:cs="Arial"/>
          <w:sz w:val="20"/>
          <w:szCs w:val="20"/>
          <w:lang w:eastAsia="en-ZA"/>
        </w:rPr>
        <w:t>​</w:t>
      </w:r>
      <w:r w:rsidRPr="00461265">
        <w:rPr>
          <w:rFonts w:ascii="Century Gothic" w:eastAsia="Times New Roman" w:hAnsi="Century Gothic" w:cs="Times New Roman"/>
          <w:sz w:val="20"/>
          <w:szCs w:val="20"/>
          <w:lang w:eastAsia="en-ZA"/>
        </w:rPr>
        <w:t>5. Upgrades to online application process</w:t>
      </w:r>
    </w:p>
    <w:p w14:paraId="306805FE" w14:textId="77777777" w:rsidR="00461265" w:rsidRPr="00461265" w:rsidRDefault="00461265" w:rsidP="00461265">
      <w:pPr>
        <w:shd w:val="clear" w:color="auto" w:fill="FFFFFF"/>
        <w:spacing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UIF has recently introduced various upgrades to the online application process to make the process more efficient -</w:t>
      </w:r>
    </w:p>
    <w:tbl>
      <w:tblPr>
        <w:tblW w:w="5000" w:type="pct"/>
        <w:tblCellMar>
          <w:left w:w="0" w:type="dxa"/>
          <w:right w:w="0" w:type="dxa"/>
        </w:tblCellMar>
        <w:tblLook w:val="04A0" w:firstRow="1" w:lastRow="0" w:firstColumn="1" w:lastColumn="0" w:noHBand="0" w:noVBand="1"/>
      </w:tblPr>
      <w:tblGrid>
        <w:gridCol w:w="2118"/>
        <w:gridCol w:w="185"/>
        <w:gridCol w:w="2118"/>
        <w:gridCol w:w="185"/>
        <w:gridCol w:w="2118"/>
        <w:gridCol w:w="185"/>
        <w:gridCol w:w="2117"/>
      </w:tblGrid>
      <w:tr w:rsidR="00DE2169" w:rsidRPr="00461265" w14:paraId="5516D752" w14:textId="77777777" w:rsidTr="00461265">
        <w:tc>
          <w:tcPr>
            <w:tcW w:w="1150" w:type="pct"/>
            <w:shd w:val="clear" w:color="auto" w:fill="F47321"/>
            <w:tcMar>
              <w:top w:w="150" w:type="dxa"/>
              <w:left w:w="150" w:type="dxa"/>
              <w:bottom w:w="150" w:type="dxa"/>
              <w:right w:w="150" w:type="dxa"/>
            </w:tcMar>
            <w:vAlign w:val="center"/>
            <w:hideMark/>
          </w:tcPr>
          <w:p w14:paraId="21BAB5B8"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1</w:t>
            </w:r>
          </w:p>
        </w:tc>
        <w:tc>
          <w:tcPr>
            <w:tcW w:w="100" w:type="pct"/>
            <w:vAlign w:val="center"/>
            <w:hideMark/>
          </w:tcPr>
          <w:p w14:paraId="12DA2286"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1150" w:type="pct"/>
            <w:shd w:val="clear" w:color="auto" w:fill="F47321"/>
            <w:tcMar>
              <w:top w:w="150" w:type="dxa"/>
              <w:left w:w="150" w:type="dxa"/>
              <w:bottom w:w="150" w:type="dxa"/>
              <w:right w:w="150" w:type="dxa"/>
            </w:tcMar>
            <w:vAlign w:val="center"/>
            <w:hideMark/>
          </w:tcPr>
          <w:p w14:paraId="556B1784"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2</w:t>
            </w:r>
          </w:p>
        </w:tc>
        <w:tc>
          <w:tcPr>
            <w:tcW w:w="100" w:type="pct"/>
            <w:vAlign w:val="center"/>
            <w:hideMark/>
          </w:tcPr>
          <w:p w14:paraId="0871FC92"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1150" w:type="pct"/>
            <w:shd w:val="clear" w:color="auto" w:fill="F47321"/>
            <w:tcMar>
              <w:top w:w="150" w:type="dxa"/>
              <w:left w:w="150" w:type="dxa"/>
              <w:bottom w:w="150" w:type="dxa"/>
              <w:right w:w="150" w:type="dxa"/>
            </w:tcMar>
            <w:vAlign w:val="center"/>
            <w:hideMark/>
          </w:tcPr>
          <w:p w14:paraId="17F329CF"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3</w:t>
            </w:r>
          </w:p>
        </w:tc>
        <w:tc>
          <w:tcPr>
            <w:tcW w:w="100" w:type="pct"/>
            <w:vAlign w:val="center"/>
            <w:hideMark/>
          </w:tcPr>
          <w:p w14:paraId="6697A996"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1150" w:type="pct"/>
            <w:shd w:val="clear" w:color="auto" w:fill="F47321"/>
            <w:tcMar>
              <w:top w:w="150" w:type="dxa"/>
              <w:left w:w="150" w:type="dxa"/>
              <w:bottom w:w="150" w:type="dxa"/>
              <w:right w:w="150" w:type="dxa"/>
            </w:tcMar>
            <w:vAlign w:val="center"/>
            <w:hideMark/>
          </w:tcPr>
          <w:p w14:paraId="6351D2F4"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b/>
                <w:bCs/>
                <w:sz w:val="20"/>
                <w:szCs w:val="20"/>
                <w:lang w:eastAsia="en-ZA"/>
              </w:rPr>
              <w:t>4</w:t>
            </w:r>
          </w:p>
        </w:tc>
      </w:tr>
      <w:tr w:rsidR="00DE2169" w:rsidRPr="00461265" w14:paraId="7E1A75C4" w14:textId="77777777" w:rsidTr="00461265">
        <w:tc>
          <w:tcPr>
            <w:tcW w:w="0" w:type="auto"/>
            <w:hideMark/>
          </w:tcPr>
          <w:p w14:paraId="684F4837"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Increased transparency as employers, employees and labour organisations will now be able see which companies have been paid</w:t>
            </w:r>
          </w:p>
        </w:tc>
        <w:tc>
          <w:tcPr>
            <w:tcW w:w="0" w:type="auto"/>
            <w:hideMark/>
          </w:tcPr>
          <w:p w14:paraId="4492679B" w14:textId="77777777" w:rsidR="00461265" w:rsidRPr="00461265" w:rsidRDefault="00461265" w:rsidP="00461265">
            <w:pPr>
              <w:spacing w:after="0" w:line="240" w:lineRule="auto"/>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0" w:type="auto"/>
            <w:hideMark/>
          </w:tcPr>
          <w:p w14:paraId="3F9D884A"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Employers will be able to monitor the status of their claims</w:t>
            </w:r>
          </w:p>
        </w:tc>
        <w:tc>
          <w:tcPr>
            <w:tcW w:w="0" w:type="auto"/>
            <w:hideMark/>
          </w:tcPr>
          <w:p w14:paraId="198256B4" w14:textId="77777777" w:rsidR="00461265" w:rsidRPr="00461265" w:rsidRDefault="00461265" w:rsidP="00461265">
            <w:pPr>
              <w:spacing w:after="0" w:line="240" w:lineRule="auto"/>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0" w:type="auto"/>
            <w:hideMark/>
          </w:tcPr>
          <w:p w14:paraId="3844E65F"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Employers will be able to check the schedule of approved claims which</w:t>
            </w:r>
            <w:proofErr w:type="gramStart"/>
            <w:r w:rsidRPr="00461265">
              <w:rPr>
                <w:rFonts w:ascii="Century Gothic" w:eastAsia="Times New Roman" w:hAnsi="Century Gothic" w:cs="Times New Roman"/>
                <w:sz w:val="20"/>
                <w:szCs w:val="20"/>
                <w:lang w:eastAsia="en-ZA"/>
              </w:rPr>
              <w:t>, in essence, shows</w:t>
            </w:r>
            <w:proofErr w:type="gramEnd"/>
            <w:r w:rsidRPr="00461265">
              <w:rPr>
                <w:rFonts w:ascii="Century Gothic" w:eastAsia="Times New Roman" w:hAnsi="Century Gothic" w:cs="Times New Roman"/>
                <w:sz w:val="20"/>
                <w:szCs w:val="20"/>
                <w:lang w:eastAsia="en-ZA"/>
              </w:rPr>
              <w:t xml:space="preserve"> the amount due to each individual employee</w:t>
            </w:r>
          </w:p>
        </w:tc>
        <w:tc>
          <w:tcPr>
            <w:tcW w:w="0" w:type="auto"/>
            <w:hideMark/>
          </w:tcPr>
          <w:p w14:paraId="4646A014" w14:textId="77777777" w:rsidR="00461265" w:rsidRPr="00461265" w:rsidRDefault="00461265" w:rsidP="00461265">
            <w:pPr>
              <w:spacing w:after="0" w:line="240" w:lineRule="auto"/>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 </w:t>
            </w:r>
          </w:p>
        </w:tc>
        <w:tc>
          <w:tcPr>
            <w:tcW w:w="0" w:type="auto"/>
            <w:hideMark/>
          </w:tcPr>
          <w:p w14:paraId="1E7809BE" w14:textId="77777777" w:rsidR="00461265" w:rsidRPr="00461265" w:rsidRDefault="00461265" w:rsidP="00461265">
            <w:pPr>
              <w:spacing w:after="0" w:line="240" w:lineRule="auto"/>
              <w:jc w:val="center"/>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Employers who do not know their UIF number can now retrieve this number using their PAYE number</w:t>
            </w:r>
          </w:p>
        </w:tc>
      </w:tr>
    </w:tbl>
    <w:p w14:paraId="5DC1B99F" w14:textId="77777777" w:rsidR="003E3CFC" w:rsidRDefault="003E3CFC" w:rsidP="00461265">
      <w:pPr>
        <w:shd w:val="clear" w:color="auto" w:fill="FFFFFF"/>
        <w:spacing w:after="150" w:line="330" w:lineRule="atLeast"/>
        <w:jc w:val="both"/>
        <w:rPr>
          <w:rFonts w:ascii="Century Gothic" w:eastAsia="Times New Roman" w:hAnsi="Century Gothic" w:cs="Times New Roman"/>
          <w:sz w:val="20"/>
          <w:szCs w:val="20"/>
          <w:lang w:eastAsia="en-ZA"/>
        </w:rPr>
      </w:pPr>
    </w:p>
    <w:p w14:paraId="5824E5CD" w14:textId="3820CF69" w:rsidR="00461265" w:rsidRPr="00461265" w:rsidRDefault="00461265" w:rsidP="00461265">
      <w:pPr>
        <w:shd w:val="clear" w:color="auto" w:fill="FFFFFF"/>
        <w:spacing w:after="150"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The success of a TERS application depends on various factors including the format and date of your application and number of employees included in your application. The UIF is currently inundated with TERS applications. The UIF has said that for applications that meet the requirements, the employer should be paid within 10 business days.</w:t>
      </w:r>
    </w:p>
    <w:p w14:paraId="1A90BE38" w14:textId="77777777" w:rsidR="00461265" w:rsidRPr="00461265" w:rsidRDefault="00461265" w:rsidP="00461265">
      <w:pPr>
        <w:shd w:val="clear" w:color="auto" w:fill="FFFFFF"/>
        <w:spacing w:after="100" w:afterAutospacing="1" w:line="330" w:lineRule="atLeast"/>
        <w:jc w:val="both"/>
        <w:rPr>
          <w:rFonts w:ascii="Century Gothic" w:eastAsia="Times New Roman" w:hAnsi="Century Gothic" w:cs="Times New Roman"/>
          <w:b/>
          <w:bCs/>
          <w:sz w:val="20"/>
          <w:szCs w:val="20"/>
          <w:lang w:eastAsia="en-ZA"/>
        </w:rPr>
      </w:pPr>
      <w:r w:rsidRPr="00461265">
        <w:rPr>
          <w:rFonts w:ascii="Century Gothic" w:eastAsia="Times New Roman" w:hAnsi="Century Gothic" w:cs="Times New Roman"/>
          <w:b/>
          <w:bCs/>
          <w:sz w:val="20"/>
          <w:szCs w:val="20"/>
          <w:lang w:eastAsia="en-ZA"/>
        </w:rPr>
        <w:t>If employers would like to follow up on the status of their TERS application, they can contact the UIF as follows -</w:t>
      </w:r>
    </w:p>
    <w:p w14:paraId="3DDE2E87" w14:textId="77777777" w:rsidR="00461265" w:rsidRPr="00461265" w:rsidRDefault="00461265" w:rsidP="00461265">
      <w:pPr>
        <w:numPr>
          <w:ilvl w:val="0"/>
          <w:numId w:val="3"/>
        </w:numPr>
        <w:shd w:val="clear" w:color="auto" w:fill="FFFFFF"/>
        <w:spacing w:before="100" w:beforeAutospacing="1" w:after="100" w:afterAutospacing="1" w:line="360" w:lineRule="atLeast"/>
        <w:ind w:left="495"/>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TERS call centre: 0800 030 007</w:t>
      </w:r>
    </w:p>
    <w:p w14:paraId="0FABD620" w14:textId="77777777" w:rsidR="00461265" w:rsidRPr="00461265" w:rsidRDefault="00461265" w:rsidP="00461265">
      <w:pPr>
        <w:numPr>
          <w:ilvl w:val="0"/>
          <w:numId w:val="3"/>
        </w:numPr>
        <w:shd w:val="clear" w:color="auto" w:fill="FFFFFF"/>
        <w:spacing w:before="100" w:beforeAutospacing="1" w:after="100" w:afterAutospacing="1" w:line="360" w:lineRule="atLeast"/>
        <w:ind w:left="495"/>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Email: </w:t>
      </w:r>
      <w:hyperlink r:id="rId13" w:history="1">
        <w:r w:rsidRPr="00461265">
          <w:rPr>
            <w:rFonts w:ascii="Century Gothic" w:eastAsia="Times New Roman" w:hAnsi="Century Gothic" w:cs="Times New Roman"/>
            <w:sz w:val="20"/>
            <w:szCs w:val="20"/>
            <w:u w:val="single"/>
            <w:lang w:eastAsia="en-ZA"/>
          </w:rPr>
          <w:t>Covid19TersSupport@labour.gov.za</w:t>
        </w:r>
      </w:hyperlink>
    </w:p>
    <w:p w14:paraId="4E423E60" w14:textId="77777777" w:rsidR="00461265" w:rsidRPr="00461265" w:rsidRDefault="00461265" w:rsidP="00461265">
      <w:pPr>
        <w:numPr>
          <w:ilvl w:val="0"/>
          <w:numId w:val="3"/>
        </w:numPr>
        <w:shd w:val="clear" w:color="auto" w:fill="FFFFFF"/>
        <w:spacing w:before="100" w:beforeAutospacing="1" w:after="100" w:afterAutospacing="1" w:line="360" w:lineRule="atLeast"/>
        <w:ind w:left="495"/>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Website: </w:t>
      </w:r>
      <w:hyperlink r:id="rId14" w:history="1">
        <w:r w:rsidRPr="00461265">
          <w:rPr>
            <w:rFonts w:ascii="Century Gothic" w:eastAsia="Times New Roman" w:hAnsi="Century Gothic" w:cs="Times New Roman"/>
            <w:sz w:val="20"/>
            <w:szCs w:val="20"/>
            <w:u w:val="single"/>
            <w:lang w:eastAsia="en-ZA"/>
          </w:rPr>
          <w:t>www.uifecc.labour.gov.za/covid19</w:t>
        </w:r>
      </w:hyperlink>
    </w:p>
    <w:p w14:paraId="5E5FBDEB" w14:textId="77777777" w:rsidR="00461265" w:rsidRPr="00461265" w:rsidRDefault="00461265" w:rsidP="00461265">
      <w:pPr>
        <w:shd w:val="clear" w:color="auto" w:fill="FFFFFF"/>
        <w:spacing w:line="330" w:lineRule="atLeast"/>
        <w:jc w:val="both"/>
        <w:rPr>
          <w:rFonts w:ascii="Century Gothic" w:eastAsia="Times New Roman" w:hAnsi="Century Gothic" w:cs="Times New Roman"/>
          <w:sz w:val="20"/>
          <w:szCs w:val="20"/>
          <w:lang w:eastAsia="en-ZA"/>
        </w:rPr>
      </w:pPr>
      <w:r w:rsidRPr="00461265">
        <w:rPr>
          <w:rFonts w:ascii="Century Gothic" w:eastAsia="Times New Roman" w:hAnsi="Century Gothic" w:cs="Times New Roman"/>
          <w:sz w:val="20"/>
          <w:szCs w:val="20"/>
          <w:lang w:eastAsia="en-ZA"/>
        </w:rPr>
        <w:t>TERS continues to be ever evolving. Given that it is new fund established by the UIF on tight timelines, there were bound to be teething issues. Slowly but surely, we are starting to see that the fund is operating more accurately and efficiently and most importantly, in line with its overall purpose of helping employees to avoid losing income during this difficult time.</w:t>
      </w:r>
    </w:p>
    <w:p w14:paraId="66D72C54" w14:textId="77777777" w:rsidR="00474CAE" w:rsidRPr="00DE2169" w:rsidRDefault="00474CAE">
      <w:pPr>
        <w:rPr>
          <w:rFonts w:ascii="Century Gothic" w:hAnsi="Century Gothic"/>
          <w:sz w:val="20"/>
          <w:szCs w:val="20"/>
        </w:rPr>
      </w:pPr>
    </w:p>
    <w:sectPr w:rsidR="00474CAE" w:rsidRPr="00DE2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A4D1E"/>
    <w:multiLevelType w:val="multilevel"/>
    <w:tmpl w:val="9A68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44C09"/>
    <w:multiLevelType w:val="multilevel"/>
    <w:tmpl w:val="70F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22479"/>
    <w:multiLevelType w:val="multilevel"/>
    <w:tmpl w:val="B90C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65"/>
    <w:rsid w:val="003E3CFC"/>
    <w:rsid w:val="00461265"/>
    <w:rsid w:val="00474CAE"/>
    <w:rsid w:val="00DE21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8C85"/>
  <w15:chartTrackingRefBased/>
  <w15:docId w15:val="{395D1666-A95F-4247-937F-EAAE2470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2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3">
    <w:name w:val="heading 3"/>
    <w:basedOn w:val="Normal"/>
    <w:link w:val="Heading3Char"/>
    <w:uiPriority w:val="9"/>
    <w:qFormat/>
    <w:rsid w:val="00461265"/>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65"/>
    <w:rPr>
      <w:rFonts w:ascii="Times New Roman" w:eastAsia="Times New Roman" w:hAnsi="Times New Roman" w:cs="Times New Roman"/>
      <w:b/>
      <w:bCs/>
      <w:kern w:val="36"/>
      <w:sz w:val="48"/>
      <w:szCs w:val="48"/>
      <w:lang w:eastAsia="en-ZA"/>
    </w:rPr>
  </w:style>
  <w:style w:type="character" w:customStyle="1" w:styleId="Heading3Char">
    <w:name w:val="Heading 3 Char"/>
    <w:basedOn w:val="DefaultParagraphFont"/>
    <w:link w:val="Heading3"/>
    <w:uiPriority w:val="9"/>
    <w:rsid w:val="00461265"/>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semiHidden/>
    <w:unhideWhenUsed/>
    <w:rsid w:val="00461265"/>
    <w:rPr>
      <w:color w:val="0000FF"/>
      <w:u w:val="single"/>
    </w:rPr>
  </w:style>
  <w:style w:type="paragraph" w:styleId="NormalWeb">
    <w:name w:val="Normal (Web)"/>
    <w:basedOn w:val="Normal"/>
    <w:uiPriority w:val="99"/>
    <w:semiHidden/>
    <w:unhideWhenUsed/>
    <w:rsid w:val="0046126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461265"/>
    <w:rPr>
      <w:b/>
      <w:bCs/>
    </w:rPr>
  </w:style>
  <w:style w:type="character" w:styleId="Emphasis">
    <w:name w:val="Emphasis"/>
    <w:basedOn w:val="DefaultParagraphFont"/>
    <w:uiPriority w:val="20"/>
    <w:qFormat/>
    <w:rsid w:val="00461265"/>
    <w:rPr>
      <w:i/>
      <w:iCs/>
    </w:rPr>
  </w:style>
  <w:style w:type="paragraph" w:customStyle="1" w:styleId="insightsubheading">
    <w:name w:val="insightsubheading"/>
    <w:basedOn w:val="Normal"/>
    <w:rsid w:val="0046126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76687">
      <w:bodyDiv w:val="1"/>
      <w:marLeft w:val="0"/>
      <w:marRight w:val="0"/>
      <w:marTop w:val="0"/>
      <w:marBottom w:val="0"/>
      <w:divBdr>
        <w:top w:val="none" w:sz="0" w:space="0" w:color="auto"/>
        <w:left w:val="none" w:sz="0" w:space="0" w:color="auto"/>
        <w:bottom w:val="none" w:sz="0" w:space="0" w:color="auto"/>
        <w:right w:val="none" w:sz="0" w:space="0" w:color="auto"/>
      </w:divBdr>
      <w:divsChild>
        <w:div w:id="848832834">
          <w:marLeft w:val="0"/>
          <w:marRight w:val="0"/>
          <w:marTop w:val="0"/>
          <w:marBottom w:val="0"/>
          <w:divBdr>
            <w:top w:val="none" w:sz="0" w:space="0" w:color="auto"/>
            <w:left w:val="none" w:sz="0" w:space="0" w:color="auto"/>
            <w:bottom w:val="none" w:sz="0" w:space="0" w:color="auto"/>
            <w:right w:val="none" w:sz="0" w:space="0" w:color="auto"/>
          </w:divBdr>
          <w:divsChild>
            <w:div w:id="1111701072">
              <w:marLeft w:val="-225"/>
              <w:marRight w:val="-225"/>
              <w:marTop w:val="0"/>
              <w:marBottom w:val="0"/>
              <w:divBdr>
                <w:top w:val="none" w:sz="0" w:space="0" w:color="auto"/>
                <w:left w:val="none" w:sz="0" w:space="0" w:color="auto"/>
                <w:bottom w:val="none" w:sz="0" w:space="0" w:color="auto"/>
                <w:right w:val="none" w:sz="0" w:space="0" w:color="auto"/>
              </w:divBdr>
              <w:divsChild>
                <w:div w:id="1032196329">
                  <w:marLeft w:val="0"/>
                  <w:marRight w:val="0"/>
                  <w:marTop w:val="0"/>
                  <w:marBottom w:val="0"/>
                  <w:divBdr>
                    <w:top w:val="none" w:sz="0" w:space="0" w:color="auto"/>
                    <w:left w:val="none" w:sz="0" w:space="0" w:color="auto"/>
                    <w:bottom w:val="none" w:sz="0" w:space="0" w:color="auto"/>
                    <w:right w:val="none" w:sz="0" w:space="0" w:color="auto"/>
                  </w:divBdr>
                  <w:divsChild>
                    <w:div w:id="1422675146">
                      <w:marLeft w:val="0"/>
                      <w:marRight w:val="0"/>
                      <w:marTop w:val="0"/>
                      <w:marBottom w:val="0"/>
                      <w:divBdr>
                        <w:top w:val="none" w:sz="0" w:space="0" w:color="auto"/>
                        <w:left w:val="none" w:sz="0" w:space="0" w:color="auto"/>
                        <w:bottom w:val="none" w:sz="0" w:space="0" w:color="auto"/>
                        <w:right w:val="none" w:sz="0" w:space="0" w:color="auto"/>
                      </w:divBdr>
                    </w:div>
                    <w:div w:id="1219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1683">
          <w:marLeft w:val="-225"/>
          <w:marRight w:val="-225"/>
          <w:marTop w:val="0"/>
          <w:marBottom w:val="0"/>
          <w:divBdr>
            <w:top w:val="none" w:sz="0" w:space="0" w:color="auto"/>
            <w:left w:val="none" w:sz="0" w:space="0" w:color="auto"/>
            <w:bottom w:val="none" w:sz="0" w:space="0" w:color="auto"/>
            <w:right w:val="none" w:sz="0" w:space="0" w:color="auto"/>
          </w:divBdr>
          <w:divsChild>
            <w:div w:id="1723169480">
              <w:marLeft w:val="0"/>
              <w:marRight w:val="0"/>
              <w:marTop w:val="0"/>
              <w:marBottom w:val="0"/>
              <w:divBdr>
                <w:top w:val="none" w:sz="0" w:space="0" w:color="auto"/>
                <w:left w:val="none" w:sz="0" w:space="0" w:color="auto"/>
                <w:bottom w:val="none" w:sz="0" w:space="0" w:color="auto"/>
                <w:right w:val="none" w:sz="0" w:space="0" w:color="auto"/>
              </w:divBdr>
              <w:divsChild>
                <w:div w:id="749423394">
                  <w:marLeft w:val="0"/>
                  <w:marRight w:val="0"/>
                  <w:marTop w:val="0"/>
                  <w:marBottom w:val="450"/>
                  <w:divBdr>
                    <w:top w:val="none" w:sz="0" w:space="0" w:color="auto"/>
                    <w:left w:val="none" w:sz="0" w:space="0" w:color="auto"/>
                    <w:bottom w:val="none" w:sz="0" w:space="0" w:color="auto"/>
                    <w:right w:val="none" w:sz="0" w:space="0" w:color="auto"/>
                  </w:divBdr>
                  <w:divsChild>
                    <w:div w:id="1640720199">
                      <w:marLeft w:val="0"/>
                      <w:marRight w:val="0"/>
                      <w:marTop w:val="0"/>
                      <w:marBottom w:val="0"/>
                      <w:divBdr>
                        <w:top w:val="none" w:sz="0" w:space="0" w:color="auto"/>
                        <w:left w:val="none" w:sz="0" w:space="0" w:color="auto"/>
                        <w:bottom w:val="none" w:sz="0" w:space="0" w:color="auto"/>
                        <w:right w:val="none" w:sz="0" w:space="0" w:color="auto"/>
                      </w:divBdr>
                      <w:divsChild>
                        <w:div w:id="2019304518">
                          <w:marLeft w:val="0"/>
                          <w:marRight w:val="0"/>
                          <w:marTop w:val="0"/>
                          <w:marBottom w:val="0"/>
                          <w:divBdr>
                            <w:top w:val="none" w:sz="0" w:space="0" w:color="auto"/>
                            <w:left w:val="none" w:sz="0" w:space="0" w:color="auto"/>
                            <w:bottom w:val="none" w:sz="0" w:space="0" w:color="auto"/>
                            <w:right w:val="none" w:sz="0" w:space="0" w:color="auto"/>
                          </w:divBdr>
                        </w:div>
                        <w:div w:id="1919559346">
                          <w:marLeft w:val="0"/>
                          <w:marRight w:val="0"/>
                          <w:marTop w:val="0"/>
                          <w:marBottom w:val="0"/>
                          <w:divBdr>
                            <w:top w:val="none" w:sz="0" w:space="0" w:color="auto"/>
                            <w:left w:val="none" w:sz="0" w:space="0" w:color="auto"/>
                            <w:bottom w:val="none" w:sz="0" w:space="0" w:color="auto"/>
                            <w:right w:val="none" w:sz="0" w:space="0" w:color="auto"/>
                          </w:divBdr>
                        </w:div>
                        <w:div w:id="294264005">
                          <w:marLeft w:val="0"/>
                          <w:marRight w:val="0"/>
                          <w:marTop w:val="0"/>
                          <w:marBottom w:val="0"/>
                          <w:divBdr>
                            <w:top w:val="none" w:sz="0" w:space="0" w:color="auto"/>
                            <w:left w:val="none" w:sz="0" w:space="0" w:color="auto"/>
                            <w:bottom w:val="none" w:sz="0" w:space="0" w:color="auto"/>
                            <w:right w:val="none" w:sz="0" w:space="0" w:color="auto"/>
                          </w:divBdr>
                        </w:div>
                        <w:div w:id="1343631018">
                          <w:marLeft w:val="0"/>
                          <w:marRight w:val="0"/>
                          <w:marTop w:val="0"/>
                          <w:marBottom w:val="0"/>
                          <w:divBdr>
                            <w:top w:val="none" w:sz="0" w:space="0" w:color="auto"/>
                            <w:left w:val="none" w:sz="0" w:space="0" w:color="auto"/>
                            <w:bottom w:val="none" w:sz="0" w:space="0" w:color="auto"/>
                            <w:right w:val="none" w:sz="0" w:space="0" w:color="auto"/>
                          </w:divBdr>
                        </w:div>
                        <w:div w:id="1207764565">
                          <w:marLeft w:val="0"/>
                          <w:marRight w:val="0"/>
                          <w:marTop w:val="0"/>
                          <w:marBottom w:val="0"/>
                          <w:divBdr>
                            <w:top w:val="none" w:sz="0" w:space="0" w:color="auto"/>
                            <w:left w:val="none" w:sz="0" w:space="0" w:color="auto"/>
                            <w:bottom w:val="none" w:sz="0" w:space="0" w:color="auto"/>
                            <w:right w:val="none" w:sz="0" w:space="0" w:color="auto"/>
                          </w:divBdr>
                        </w:div>
                        <w:div w:id="1980064280">
                          <w:marLeft w:val="0"/>
                          <w:marRight w:val="0"/>
                          <w:marTop w:val="0"/>
                          <w:marBottom w:val="0"/>
                          <w:divBdr>
                            <w:top w:val="none" w:sz="0" w:space="0" w:color="auto"/>
                            <w:left w:val="none" w:sz="0" w:space="0" w:color="auto"/>
                            <w:bottom w:val="none" w:sz="0" w:space="0" w:color="auto"/>
                            <w:right w:val="none" w:sz="0" w:space="0" w:color="auto"/>
                          </w:divBdr>
                        </w:div>
                        <w:div w:id="1112824787">
                          <w:marLeft w:val="0"/>
                          <w:marRight w:val="0"/>
                          <w:marTop w:val="0"/>
                          <w:marBottom w:val="0"/>
                          <w:divBdr>
                            <w:top w:val="none" w:sz="0" w:space="0" w:color="auto"/>
                            <w:left w:val="none" w:sz="0" w:space="0" w:color="auto"/>
                            <w:bottom w:val="none" w:sz="0" w:space="0" w:color="auto"/>
                            <w:right w:val="none" w:sz="0" w:space="0" w:color="auto"/>
                          </w:divBdr>
                          <w:divsChild>
                            <w:div w:id="1262106136">
                              <w:marLeft w:val="0"/>
                              <w:marRight w:val="0"/>
                              <w:marTop w:val="0"/>
                              <w:marBottom w:val="0"/>
                              <w:divBdr>
                                <w:top w:val="none" w:sz="0" w:space="0" w:color="auto"/>
                                <w:left w:val="none" w:sz="0" w:space="0" w:color="auto"/>
                                <w:bottom w:val="none" w:sz="0" w:space="0" w:color="auto"/>
                                <w:right w:val="none" w:sz="0" w:space="0" w:color="auto"/>
                              </w:divBdr>
                            </w:div>
                          </w:divsChild>
                        </w:div>
                        <w:div w:id="441799195">
                          <w:marLeft w:val="0"/>
                          <w:marRight w:val="0"/>
                          <w:marTop w:val="0"/>
                          <w:marBottom w:val="0"/>
                          <w:divBdr>
                            <w:top w:val="none" w:sz="0" w:space="0" w:color="auto"/>
                            <w:left w:val="none" w:sz="0" w:space="0" w:color="auto"/>
                            <w:bottom w:val="none" w:sz="0" w:space="0" w:color="auto"/>
                            <w:right w:val="none" w:sz="0" w:space="0" w:color="auto"/>
                          </w:divBdr>
                          <w:divsChild>
                            <w:div w:id="1252662114">
                              <w:marLeft w:val="0"/>
                              <w:marRight w:val="0"/>
                              <w:marTop w:val="0"/>
                              <w:marBottom w:val="0"/>
                              <w:divBdr>
                                <w:top w:val="none" w:sz="0" w:space="0" w:color="auto"/>
                                <w:left w:val="none" w:sz="0" w:space="0" w:color="auto"/>
                                <w:bottom w:val="none" w:sz="0" w:space="0" w:color="auto"/>
                                <w:right w:val="none" w:sz="0" w:space="0" w:color="auto"/>
                              </w:divBdr>
                            </w:div>
                          </w:divsChild>
                        </w:div>
                        <w:div w:id="1678265272">
                          <w:marLeft w:val="0"/>
                          <w:marRight w:val="0"/>
                          <w:marTop w:val="0"/>
                          <w:marBottom w:val="0"/>
                          <w:divBdr>
                            <w:top w:val="none" w:sz="0" w:space="0" w:color="auto"/>
                            <w:left w:val="none" w:sz="0" w:space="0" w:color="auto"/>
                            <w:bottom w:val="none" w:sz="0" w:space="0" w:color="auto"/>
                            <w:right w:val="none" w:sz="0" w:space="0" w:color="auto"/>
                          </w:divBdr>
                          <w:divsChild>
                            <w:div w:id="2003971081">
                              <w:marLeft w:val="0"/>
                              <w:marRight w:val="0"/>
                              <w:marTop w:val="0"/>
                              <w:marBottom w:val="0"/>
                              <w:divBdr>
                                <w:top w:val="none" w:sz="0" w:space="0" w:color="auto"/>
                                <w:left w:val="none" w:sz="0" w:space="0" w:color="auto"/>
                                <w:bottom w:val="none" w:sz="0" w:space="0" w:color="auto"/>
                                <w:right w:val="none" w:sz="0" w:space="0" w:color="auto"/>
                              </w:divBdr>
                            </w:div>
                          </w:divsChild>
                        </w:div>
                        <w:div w:id="1806653667">
                          <w:marLeft w:val="0"/>
                          <w:marRight w:val="0"/>
                          <w:marTop w:val="0"/>
                          <w:marBottom w:val="0"/>
                          <w:divBdr>
                            <w:top w:val="none" w:sz="0" w:space="0" w:color="auto"/>
                            <w:left w:val="none" w:sz="0" w:space="0" w:color="auto"/>
                            <w:bottom w:val="none" w:sz="0" w:space="0" w:color="auto"/>
                            <w:right w:val="none" w:sz="0" w:space="0" w:color="auto"/>
                          </w:divBdr>
                          <w:divsChild>
                            <w:div w:id="19653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berwentzel.com/Specialists/Pages/Joon-Chong.aspx" TargetMode="External"/><Relationship Id="rId13" Type="http://schemas.openxmlformats.org/officeDocument/2006/relationships/hyperlink" Target="mailto:Covid19TersSupport@labour.gov.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bberwentzel.com/Specialists/Pages/Bianca-Viljoe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bberwentzel.com/Specialists/Pages/Shane-Johnson.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ebberwentzel.com/Specialists/Pages/Johan-Olivier.aspx" TargetMode="External"/><Relationship Id="rId4" Type="http://schemas.openxmlformats.org/officeDocument/2006/relationships/numbering" Target="numbering.xml"/><Relationship Id="rId9" Type="http://schemas.openxmlformats.org/officeDocument/2006/relationships/hyperlink" Target="https://www.webberwentzel.com/Specialists/Pages/Dhevarsha-Ramjettan.aspx" TargetMode="External"/><Relationship Id="rId14" Type="http://schemas.openxmlformats.org/officeDocument/2006/relationships/hyperlink" Target="http://www.uifecc.labour.gov.z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A112F8E1C1B469A077E70BE5FBDC2" ma:contentTypeVersion="12" ma:contentTypeDescription="Create a new document." ma:contentTypeScope="" ma:versionID="a2a84b9953fc7dfd827a85f1c2d2ba87">
  <xsd:schema xmlns:xsd="http://www.w3.org/2001/XMLSchema" xmlns:xs="http://www.w3.org/2001/XMLSchema" xmlns:p="http://schemas.microsoft.com/office/2006/metadata/properties" xmlns:ns2="2f222a02-09f2-478d-a526-360da6e97956" xmlns:ns3="65e7802e-76db-4dee-adfa-a54b9c29ee9c" targetNamespace="http://schemas.microsoft.com/office/2006/metadata/properties" ma:root="true" ma:fieldsID="ee4bfe78e6501741fd7bed28f0a98022" ns2:_="" ns3:_="">
    <xsd:import namespace="2f222a02-09f2-478d-a526-360da6e97956"/>
    <xsd:import namespace="65e7802e-76db-4dee-adfa-a54b9c29ee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2a02-09f2-478d-a526-360da6e97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7802e-76db-4dee-adfa-a54b9c29ee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1346B-A7F3-4A2F-A06E-D38E9896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22a02-09f2-478d-a526-360da6e97956"/>
    <ds:schemaRef ds:uri="65e7802e-76db-4dee-adfa-a54b9c29e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2C135-4367-495B-A7B7-27D963C3A8C0}">
  <ds:schemaRefs>
    <ds:schemaRef ds:uri="http://schemas.microsoft.com/sharepoint/v3/contenttype/forms"/>
  </ds:schemaRefs>
</ds:datastoreItem>
</file>

<file path=customXml/itemProps3.xml><?xml version="1.0" encoding="utf-8"?>
<ds:datastoreItem xmlns:ds="http://schemas.openxmlformats.org/officeDocument/2006/customXml" ds:itemID="{46B2EAC8-F840-4B2E-B540-5EF3B33CF9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5e7802e-76db-4dee-adfa-a54b9c29ee9c"/>
    <ds:schemaRef ds:uri="http://purl.org/dc/terms/"/>
    <ds:schemaRef ds:uri="http://schemas.openxmlformats.org/package/2006/metadata/core-properties"/>
    <ds:schemaRef ds:uri="2f222a02-09f2-478d-a526-360da6e979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Van Tonder</dc:creator>
  <cp:keywords/>
  <dc:description/>
  <cp:lastModifiedBy>Nadine Van Tonder</cp:lastModifiedBy>
  <cp:revision>3</cp:revision>
  <dcterms:created xsi:type="dcterms:W3CDTF">2020-05-04T09:39:00Z</dcterms:created>
  <dcterms:modified xsi:type="dcterms:W3CDTF">2020-05-04T09:42:00Z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0x01010064BA112F8E1C1B469A077E70BE5FBDC2</vt:lpwstr>
  </property>
</Properties>
</file>