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A43E5" w14:textId="77777777" w:rsidR="0090384D" w:rsidRPr="00407B2C" w:rsidRDefault="0090384D" w:rsidP="0090384D">
      <w:pPr>
        <w:spacing w:line="240" w:lineRule="auto"/>
        <w:jc w:val="center"/>
        <w:rPr>
          <w:rFonts w:ascii="Georgia" w:hAnsi="Georgia" w:cs="Arial"/>
          <w:b/>
          <w:sz w:val="28"/>
          <w:szCs w:val="28"/>
          <w:lang w:eastAsia="en-ZA"/>
        </w:rPr>
      </w:pPr>
      <w:r w:rsidRPr="00407B2C">
        <w:rPr>
          <w:rFonts w:ascii="Georgia" w:hAnsi="Georgia" w:cs="Arial"/>
          <w:b/>
          <w:sz w:val="28"/>
          <w:szCs w:val="28"/>
        </w:rPr>
        <w:t>MEDIA STATEMENT</w:t>
      </w:r>
    </w:p>
    <w:p w14:paraId="21AB65DC" w14:textId="77777777" w:rsidR="0090384D" w:rsidRPr="00407B2C" w:rsidRDefault="0090384D" w:rsidP="0090384D">
      <w:pPr>
        <w:pBdr>
          <w:bottom w:val="single" w:sz="12" w:space="1" w:color="auto"/>
        </w:pBdr>
        <w:spacing w:line="240" w:lineRule="auto"/>
        <w:jc w:val="center"/>
        <w:rPr>
          <w:rFonts w:ascii="Georgia" w:hAnsi="Georgia" w:cs="Arial"/>
          <w:b/>
          <w:sz w:val="28"/>
          <w:szCs w:val="28"/>
        </w:rPr>
      </w:pPr>
      <w:r>
        <w:rPr>
          <w:rFonts w:ascii="Georgia" w:hAnsi="Georgia" w:cs="Arial"/>
          <w:b/>
          <w:sz w:val="28"/>
          <w:szCs w:val="28"/>
        </w:rPr>
        <w:t>For immediate release: 26</w:t>
      </w:r>
      <w:r w:rsidRPr="00407B2C">
        <w:rPr>
          <w:rFonts w:ascii="Georgia" w:hAnsi="Georgia" w:cs="Arial"/>
          <w:b/>
          <w:sz w:val="28"/>
          <w:szCs w:val="28"/>
        </w:rPr>
        <w:t xml:space="preserve"> February 2018</w:t>
      </w:r>
    </w:p>
    <w:p w14:paraId="4C9D4DF2" w14:textId="77777777" w:rsidR="004B3911" w:rsidRDefault="00187E8F" w:rsidP="00187E8F">
      <w:pPr>
        <w:rPr>
          <w:rFonts w:asciiTheme="majorHAnsi" w:hAnsiTheme="majorHAnsi" w:cstheme="minorHAnsi"/>
          <w:b/>
          <w:i/>
          <w:color w:val="DC6900" w:themeColor="accent1"/>
          <w:sz w:val="44"/>
          <w:szCs w:val="38"/>
        </w:rPr>
      </w:pPr>
      <w:r>
        <w:rPr>
          <w:rFonts w:asciiTheme="majorHAnsi" w:hAnsiTheme="majorHAnsi" w:cstheme="minorHAnsi"/>
          <w:b/>
          <w:i/>
          <w:color w:val="DC6900" w:themeColor="accent1"/>
          <w:sz w:val="44"/>
          <w:szCs w:val="38"/>
        </w:rPr>
        <w:t xml:space="preserve">Budget 2020: </w:t>
      </w:r>
      <w:r w:rsidR="00724578">
        <w:rPr>
          <w:rFonts w:asciiTheme="majorHAnsi" w:hAnsiTheme="majorHAnsi" w:cstheme="minorHAnsi"/>
          <w:b/>
          <w:i/>
          <w:color w:val="DC6900" w:themeColor="accent1"/>
          <w:sz w:val="44"/>
          <w:szCs w:val="38"/>
        </w:rPr>
        <w:t>High Noon</w:t>
      </w:r>
    </w:p>
    <w:p w14:paraId="05B74171" w14:textId="225D7C3B" w:rsidR="00187E8F" w:rsidRDefault="00187E8F" w:rsidP="00187E8F">
      <w:pPr>
        <w:rPr>
          <w:rFonts w:ascii="Georgia" w:hAnsi="Georgia"/>
          <w:b/>
          <w:szCs w:val="20"/>
        </w:rPr>
      </w:pPr>
      <w:r>
        <w:rPr>
          <w:rFonts w:ascii="Georgia" w:hAnsi="Georgia"/>
          <w:b/>
          <w:szCs w:val="20"/>
        </w:rPr>
        <w:t xml:space="preserve">It’s high noon and </w:t>
      </w:r>
      <w:r w:rsidR="00724578">
        <w:rPr>
          <w:rFonts w:ascii="Georgia" w:hAnsi="Georgia"/>
          <w:b/>
          <w:szCs w:val="20"/>
        </w:rPr>
        <w:t xml:space="preserve">South Africa </w:t>
      </w:r>
      <w:r w:rsidR="00362281">
        <w:rPr>
          <w:rFonts w:ascii="Georgia" w:hAnsi="Georgia"/>
          <w:b/>
          <w:szCs w:val="20"/>
        </w:rPr>
        <w:t xml:space="preserve">is </w:t>
      </w:r>
      <w:r>
        <w:rPr>
          <w:rFonts w:ascii="Georgia" w:hAnsi="Georgia"/>
          <w:b/>
          <w:szCs w:val="20"/>
        </w:rPr>
        <w:t>facing off with the ratings agencies</w:t>
      </w:r>
    </w:p>
    <w:p w14:paraId="6256370F" w14:textId="77777777" w:rsidR="00187E8F" w:rsidRPr="00191597" w:rsidRDefault="00187E8F" w:rsidP="00187E8F">
      <w:pPr>
        <w:jc w:val="right"/>
        <w:rPr>
          <w:rFonts w:ascii="Georgia" w:hAnsi="Georgia"/>
          <w:sz w:val="20"/>
          <w:szCs w:val="20"/>
        </w:rPr>
      </w:pPr>
      <w:r>
        <w:rPr>
          <w:rFonts w:ascii="Georgia" w:hAnsi="Georgia"/>
          <w:sz w:val="20"/>
          <w:szCs w:val="20"/>
        </w:rPr>
        <w:t>26 February 2020</w:t>
      </w:r>
    </w:p>
    <w:p w14:paraId="1836299E" w14:textId="77777777" w:rsidR="00187E8F" w:rsidRPr="00541CBF" w:rsidRDefault="00187E8F" w:rsidP="00187E8F">
      <w:pPr>
        <w:jc w:val="right"/>
        <w:rPr>
          <w:rFonts w:asciiTheme="majorHAnsi" w:hAnsiTheme="majorHAnsi" w:cstheme="minorHAnsi"/>
          <w:i/>
          <w:sz w:val="20"/>
          <w:szCs w:val="20"/>
        </w:rPr>
      </w:pPr>
      <w:r w:rsidRPr="00541CBF">
        <w:rPr>
          <w:rFonts w:asciiTheme="majorHAnsi" w:hAnsiTheme="majorHAnsi" w:cstheme="minorHAnsi"/>
          <w:i/>
          <w:sz w:val="20"/>
          <w:szCs w:val="20"/>
        </w:rPr>
        <w:t>By PwC Strategy&amp; economists Lullu Krugel &amp; Christie Viljoen</w:t>
      </w:r>
    </w:p>
    <w:p w14:paraId="208B1E55" w14:textId="2A430DB8" w:rsidR="00187E8F" w:rsidRDefault="00187E8F" w:rsidP="00187E8F">
      <w:pPr>
        <w:rPr>
          <w:rFonts w:ascii="Georgia" w:hAnsi="Georgia"/>
          <w:sz w:val="20"/>
          <w:szCs w:val="20"/>
        </w:rPr>
      </w:pPr>
    </w:p>
    <w:p w14:paraId="5F138A53" w14:textId="77777777" w:rsidR="00187E8F" w:rsidRPr="00191597" w:rsidRDefault="00187E8F" w:rsidP="00187E8F">
      <w:pPr>
        <w:rPr>
          <w:rFonts w:ascii="Georgia" w:hAnsi="Georgia"/>
          <w:b/>
          <w:bCs/>
          <w:sz w:val="20"/>
          <w:szCs w:val="20"/>
        </w:rPr>
      </w:pPr>
      <w:r w:rsidRPr="00191597">
        <w:rPr>
          <w:rFonts w:ascii="Georgia" w:hAnsi="Georgia"/>
          <w:b/>
          <w:bCs/>
          <w:sz w:val="20"/>
          <w:szCs w:val="20"/>
        </w:rPr>
        <w:t>Key points</w:t>
      </w:r>
    </w:p>
    <w:p w14:paraId="3DE76AD0" w14:textId="77777777"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Finance Minister Tito Mboweni delivered his Budget Speech 2020 to Parliament on February 26. </w:t>
      </w:r>
    </w:p>
    <w:p w14:paraId="1C597ED7" w14:textId="1B77C6F7"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National Treasury now expects real GDP growth of only 0.9% this year and 1.3% in 2020, compared to forecasts of 1.2% and 1.6%, respectively, announced in October 2019</w:t>
      </w:r>
      <w:r>
        <w:rPr>
          <w:rFonts w:ascii="Georgia" w:hAnsi="Georgia"/>
          <w:sz w:val="20"/>
          <w:szCs w:val="20"/>
        </w:rPr>
        <w:t>.</w:t>
      </w:r>
    </w:p>
    <w:p w14:paraId="3063BDDF" w14:textId="0AA4C68C"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A downside scenario with mounting distress at State-Owned Enterprises (SOEs) could result in a recession in 20</w:t>
      </w:r>
      <w:r w:rsidR="00D6686A">
        <w:rPr>
          <w:rFonts w:ascii="Georgia" w:hAnsi="Georgia"/>
          <w:sz w:val="20"/>
          <w:szCs w:val="20"/>
        </w:rPr>
        <w:t>20</w:t>
      </w:r>
      <w:r w:rsidRPr="00652D65">
        <w:rPr>
          <w:rFonts w:ascii="Georgia" w:hAnsi="Georgia"/>
          <w:sz w:val="20"/>
          <w:szCs w:val="20"/>
        </w:rPr>
        <w:t xml:space="preserve">. </w:t>
      </w:r>
    </w:p>
    <w:p w14:paraId="7D77DD96" w14:textId="25852B14"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Suggestions </w:t>
      </w:r>
      <w:r w:rsidR="001D5D96">
        <w:rPr>
          <w:rFonts w:ascii="Georgia" w:hAnsi="Georgia"/>
          <w:sz w:val="20"/>
          <w:szCs w:val="20"/>
        </w:rPr>
        <w:t xml:space="preserve">for </w:t>
      </w:r>
      <w:r w:rsidR="001D5D96" w:rsidRPr="00652D65">
        <w:rPr>
          <w:rFonts w:ascii="Georgia" w:hAnsi="Georgia"/>
          <w:sz w:val="20"/>
          <w:szCs w:val="20"/>
        </w:rPr>
        <w:t>growth</w:t>
      </w:r>
      <w:r w:rsidRPr="00652D65">
        <w:rPr>
          <w:rFonts w:ascii="Georgia" w:hAnsi="Georgia"/>
          <w:sz w:val="20"/>
          <w:szCs w:val="20"/>
        </w:rPr>
        <w:t>-boosting reforms include resolving the electricity issue and changes to benefit small business, amongst others.</w:t>
      </w:r>
    </w:p>
    <w:p w14:paraId="7A7CD1ED" w14:textId="394A6087"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Fiscal revenues will be R63.3 billion less in 2019/2020 compared to </w:t>
      </w:r>
      <w:r w:rsidR="00D6686A">
        <w:rPr>
          <w:rFonts w:ascii="Georgia" w:hAnsi="Georgia"/>
          <w:sz w:val="20"/>
          <w:szCs w:val="20"/>
        </w:rPr>
        <w:t xml:space="preserve">the </w:t>
      </w:r>
      <w:r w:rsidRPr="00652D65">
        <w:rPr>
          <w:rFonts w:ascii="Georgia" w:hAnsi="Georgia"/>
          <w:sz w:val="20"/>
          <w:szCs w:val="20"/>
        </w:rPr>
        <w:t xml:space="preserve">forecast </w:t>
      </w:r>
      <w:proofErr w:type="spellStart"/>
      <w:r w:rsidR="00D6686A">
        <w:rPr>
          <w:rFonts w:ascii="Georgia" w:hAnsi="Georgia"/>
          <w:sz w:val="20"/>
          <w:szCs w:val="20"/>
        </w:rPr>
        <w:t>of</w:t>
      </w:r>
      <w:r w:rsidRPr="00652D65">
        <w:rPr>
          <w:rFonts w:ascii="Georgia" w:hAnsi="Georgia"/>
          <w:sz w:val="20"/>
          <w:szCs w:val="20"/>
        </w:rPr>
        <w:t>February</w:t>
      </w:r>
      <w:proofErr w:type="spellEnd"/>
      <w:r w:rsidRPr="00652D65">
        <w:rPr>
          <w:rFonts w:ascii="Georgia" w:hAnsi="Georgia"/>
          <w:sz w:val="20"/>
          <w:szCs w:val="20"/>
        </w:rPr>
        <w:t xml:space="preserve"> 2019</w:t>
      </w:r>
      <w:r>
        <w:rPr>
          <w:rFonts w:ascii="Georgia" w:hAnsi="Georgia"/>
          <w:sz w:val="20"/>
          <w:szCs w:val="20"/>
        </w:rPr>
        <w:t>.</w:t>
      </w:r>
    </w:p>
    <w:p w14:paraId="218E7CD7" w14:textId="10327391"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Apart from the usual adjustments to fuel and sin taxes, National Treasury is looking at increased efficiencies as the South African Revenue Service (SARS) to boost revenue in the medium term.</w:t>
      </w:r>
    </w:p>
    <w:p w14:paraId="725814CD" w14:textId="3ADFE928"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No changes were announced to tax rates despite widespread expectation of an increase in value-added tax (VAT)</w:t>
      </w:r>
      <w:r>
        <w:rPr>
          <w:rFonts w:ascii="Georgia" w:hAnsi="Georgia"/>
          <w:sz w:val="20"/>
          <w:szCs w:val="20"/>
        </w:rPr>
        <w:t>.</w:t>
      </w:r>
    </w:p>
    <w:p w14:paraId="3822EE5D" w14:textId="7C08BBE0"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The government to discuss with labour unions what options are available to reduce staff costs and move the public sector wage bill towards a more sustainable trajectory</w:t>
      </w:r>
      <w:r>
        <w:rPr>
          <w:rFonts w:ascii="Georgia" w:hAnsi="Georgia"/>
          <w:sz w:val="20"/>
          <w:szCs w:val="20"/>
        </w:rPr>
        <w:t>.</w:t>
      </w:r>
    </w:p>
    <w:p w14:paraId="2F1F4339" w14:textId="6A167EBB"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National Treasury is planning for R160 billion in staff savings over the medium term, thought this still needs to be negotiated with labour unions</w:t>
      </w:r>
      <w:r>
        <w:rPr>
          <w:rFonts w:ascii="Georgia" w:hAnsi="Georgia"/>
          <w:sz w:val="20"/>
          <w:szCs w:val="20"/>
        </w:rPr>
        <w:t>.</w:t>
      </w:r>
    </w:p>
    <w:p w14:paraId="5D62A896" w14:textId="6A54EA7A"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Consolidated government spending will grow by an average of 5.1% over the medium term largely as a result of fast-rising debt service costs. </w:t>
      </w:r>
    </w:p>
    <w:p w14:paraId="5975948B" w14:textId="77777777" w:rsidR="007E4C7C"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There is no immediate detail </w:t>
      </w:r>
      <w:r w:rsidR="007E4C7C">
        <w:rPr>
          <w:rFonts w:ascii="Georgia" w:hAnsi="Georgia"/>
          <w:sz w:val="20"/>
          <w:szCs w:val="20"/>
        </w:rPr>
        <w:t xml:space="preserve">on funding for the </w:t>
      </w:r>
      <w:r w:rsidRPr="00652D65">
        <w:rPr>
          <w:rFonts w:ascii="Georgia" w:hAnsi="Georgia"/>
          <w:sz w:val="20"/>
          <w:szCs w:val="20"/>
        </w:rPr>
        <w:t>state bank and sovereign wealth fund</w:t>
      </w:r>
      <w:r w:rsidR="007E4C7C">
        <w:rPr>
          <w:rFonts w:ascii="Georgia" w:hAnsi="Georgia"/>
          <w:sz w:val="20"/>
          <w:szCs w:val="20"/>
        </w:rPr>
        <w:t xml:space="preserve">. </w:t>
      </w:r>
    </w:p>
    <w:p w14:paraId="3AAD8375" w14:textId="5490AA4D"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Fiscal budget deficit will widen to 6.8% of GDP in 2020/2021 – the largest shortfall since </w:t>
      </w:r>
      <w:r>
        <w:rPr>
          <w:rFonts w:ascii="Georgia" w:hAnsi="Georgia"/>
          <w:sz w:val="20"/>
          <w:szCs w:val="20"/>
        </w:rPr>
        <w:t>1992.</w:t>
      </w:r>
    </w:p>
    <w:p w14:paraId="2D990209" w14:textId="00D2592A"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Public debt will breach 70</w:t>
      </w:r>
      <w:r w:rsidR="00D6686A">
        <w:rPr>
          <w:rFonts w:ascii="Georgia" w:hAnsi="Georgia"/>
          <w:sz w:val="20"/>
          <w:szCs w:val="20"/>
        </w:rPr>
        <w:t>%</w:t>
      </w:r>
      <w:r w:rsidRPr="00652D65">
        <w:rPr>
          <w:rFonts w:ascii="Georgia" w:hAnsi="Georgia"/>
          <w:sz w:val="20"/>
          <w:szCs w:val="20"/>
        </w:rPr>
        <w:t xml:space="preserve"> of GDP</w:t>
      </w:r>
      <w:r>
        <w:rPr>
          <w:rFonts w:ascii="Georgia" w:hAnsi="Georgia"/>
          <w:sz w:val="20"/>
          <w:szCs w:val="20"/>
        </w:rPr>
        <w:t>.</w:t>
      </w:r>
    </w:p>
    <w:p w14:paraId="61EFE7A3" w14:textId="384253E3" w:rsidR="00652D65"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The risk </w:t>
      </w:r>
      <w:r w:rsidR="00D6686A">
        <w:rPr>
          <w:rFonts w:ascii="Georgia" w:hAnsi="Georgia"/>
          <w:sz w:val="20"/>
          <w:szCs w:val="20"/>
        </w:rPr>
        <w:t xml:space="preserve">of </w:t>
      </w:r>
      <w:r w:rsidRPr="00652D65">
        <w:rPr>
          <w:rFonts w:ascii="Georgia" w:hAnsi="Georgia"/>
          <w:sz w:val="20"/>
          <w:szCs w:val="20"/>
        </w:rPr>
        <w:t>South Africa</w:t>
      </w:r>
      <w:r w:rsidR="00D6686A">
        <w:rPr>
          <w:rFonts w:ascii="Georgia" w:hAnsi="Georgia"/>
          <w:sz w:val="20"/>
          <w:szCs w:val="20"/>
        </w:rPr>
        <w:t xml:space="preserve"> losing its </w:t>
      </w:r>
      <w:r w:rsidRPr="00652D65">
        <w:rPr>
          <w:rFonts w:ascii="Georgia" w:hAnsi="Georgia"/>
          <w:sz w:val="20"/>
          <w:szCs w:val="20"/>
        </w:rPr>
        <w:t xml:space="preserve">investment-grade credit rating has become more pronounced. </w:t>
      </w:r>
    </w:p>
    <w:p w14:paraId="376F952D" w14:textId="6399027E" w:rsid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 xml:space="preserve">While Moody’s Investors Service will find some good news in </w:t>
      </w:r>
      <w:r w:rsidR="00D6686A">
        <w:rPr>
          <w:rFonts w:ascii="Georgia" w:hAnsi="Georgia"/>
          <w:sz w:val="20"/>
          <w:szCs w:val="20"/>
        </w:rPr>
        <w:t xml:space="preserve">the </w:t>
      </w:r>
      <w:r w:rsidRPr="00652D65">
        <w:rPr>
          <w:rFonts w:ascii="Georgia" w:hAnsi="Georgia"/>
          <w:sz w:val="20"/>
          <w:szCs w:val="20"/>
        </w:rPr>
        <w:t>Budget</w:t>
      </w:r>
      <w:r w:rsidR="00D6686A">
        <w:rPr>
          <w:rFonts w:ascii="Georgia" w:hAnsi="Georgia"/>
          <w:sz w:val="20"/>
          <w:szCs w:val="20"/>
        </w:rPr>
        <w:t xml:space="preserve"> Review</w:t>
      </w:r>
      <w:r w:rsidRPr="00652D65">
        <w:rPr>
          <w:rFonts w:ascii="Georgia" w:hAnsi="Georgia"/>
          <w:sz w:val="20"/>
          <w:szCs w:val="20"/>
        </w:rPr>
        <w:t xml:space="preserve"> 20</w:t>
      </w:r>
      <w:r w:rsidR="00D6686A">
        <w:rPr>
          <w:rFonts w:ascii="Georgia" w:hAnsi="Georgia"/>
          <w:sz w:val="20"/>
          <w:szCs w:val="20"/>
        </w:rPr>
        <w:t>20</w:t>
      </w:r>
      <w:r w:rsidRPr="00652D65">
        <w:rPr>
          <w:rFonts w:ascii="Georgia" w:hAnsi="Georgia"/>
          <w:sz w:val="20"/>
          <w:szCs w:val="20"/>
        </w:rPr>
        <w:t>, mo</w:t>
      </w:r>
      <w:r>
        <w:rPr>
          <w:rFonts w:ascii="Georgia" w:hAnsi="Georgia"/>
          <w:sz w:val="20"/>
          <w:szCs w:val="20"/>
        </w:rPr>
        <w:t>s</w:t>
      </w:r>
      <w:r w:rsidRPr="00652D65">
        <w:rPr>
          <w:rFonts w:ascii="Georgia" w:hAnsi="Georgia"/>
          <w:sz w:val="20"/>
          <w:szCs w:val="20"/>
        </w:rPr>
        <w:t>t of the key ratings-related elements remain very negative</w:t>
      </w:r>
      <w:r>
        <w:rPr>
          <w:rFonts w:ascii="Georgia" w:hAnsi="Georgia"/>
          <w:sz w:val="20"/>
          <w:szCs w:val="20"/>
        </w:rPr>
        <w:t>.</w:t>
      </w:r>
    </w:p>
    <w:p w14:paraId="0BAE6C38" w14:textId="6A1A923B" w:rsidR="00187E8F" w:rsidRPr="00652D65" w:rsidRDefault="00652D65" w:rsidP="00652D65">
      <w:pPr>
        <w:pStyle w:val="ListParagraph"/>
        <w:numPr>
          <w:ilvl w:val="0"/>
          <w:numId w:val="5"/>
        </w:numPr>
        <w:rPr>
          <w:rFonts w:ascii="Georgia" w:hAnsi="Georgia"/>
          <w:sz w:val="20"/>
          <w:szCs w:val="20"/>
        </w:rPr>
      </w:pPr>
      <w:r w:rsidRPr="00652D65">
        <w:rPr>
          <w:rFonts w:ascii="Georgia" w:hAnsi="Georgia"/>
          <w:sz w:val="20"/>
          <w:szCs w:val="20"/>
        </w:rPr>
        <w:t>Action is needed to right the fiscal ship – and don’t count on a bailout</w:t>
      </w:r>
      <w:r>
        <w:rPr>
          <w:rFonts w:ascii="Georgia" w:hAnsi="Georgia"/>
          <w:sz w:val="20"/>
          <w:szCs w:val="20"/>
        </w:rPr>
        <w:t>.</w:t>
      </w:r>
    </w:p>
    <w:p w14:paraId="3D7A608F" w14:textId="77777777" w:rsidR="00187E8F" w:rsidRDefault="00187E8F" w:rsidP="00187E8F">
      <w:pPr>
        <w:rPr>
          <w:rFonts w:ascii="Georgia" w:hAnsi="Georgia"/>
          <w:sz w:val="20"/>
          <w:szCs w:val="20"/>
        </w:rPr>
      </w:pPr>
    </w:p>
    <w:p w14:paraId="7D75122E" w14:textId="77777777" w:rsidR="00187E8F" w:rsidRDefault="00187E8F" w:rsidP="00187E8F">
      <w:pPr>
        <w:rPr>
          <w:rFonts w:ascii="Georgia" w:hAnsi="Georgia"/>
          <w:sz w:val="20"/>
          <w:szCs w:val="20"/>
        </w:rPr>
      </w:pPr>
    </w:p>
    <w:p w14:paraId="0F47663A" w14:textId="0260A9BD" w:rsidR="00187E8F" w:rsidRDefault="00187E8F">
      <w:pPr>
        <w:rPr>
          <w:rFonts w:ascii="Georgia" w:hAnsi="Georgia"/>
          <w:sz w:val="20"/>
          <w:szCs w:val="20"/>
        </w:rPr>
      </w:pPr>
      <w:r>
        <w:rPr>
          <w:rFonts w:ascii="Georgia" w:hAnsi="Georgia"/>
          <w:sz w:val="20"/>
          <w:szCs w:val="20"/>
        </w:rPr>
        <w:br w:type="page"/>
      </w:r>
    </w:p>
    <w:p w14:paraId="7D4AE1BA" w14:textId="3B375120" w:rsidR="00187E8F" w:rsidRPr="00505340" w:rsidRDefault="00187E8F" w:rsidP="00187E8F">
      <w:pPr>
        <w:rPr>
          <w:rFonts w:ascii="Georgia" w:hAnsi="Georgia"/>
          <w:b/>
          <w:bCs/>
        </w:rPr>
      </w:pPr>
      <w:bookmarkStart w:id="0" w:name="_Hlk33616629"/>
      <w:bookmarkStart w:id="1" w:name="_Hlk33621614"/>
      <w:r w:rsidRPr="00505340">
        <w:rPr>
          <w:noProof/>
          <w:sz w:val="24"/>
          <w:szCs w:val="24"/>
        </w:rPr>
        <w:lastRenderedPageBreak/>
        <w:drawing>
          <wp:anchor distT="0" distB="0" distL="114300" distR="114300" simplePos="0" relativeHeight="251665408" behindDoc="0" locked="0" layoutInCell="1" allowOverlap="1" wp14:anchorId="7F7B38F5" wp14:editId="35450D09">
            <wp:simplePos x="0" y="0"/>
            <wp:positionH relativeFrom="margin">
              <wp:align>left</wp:align>
            </wp:positionH>
            <wp:positionV relativeFrom="paragraph">
              <wp:posOffset>2653</wp:posOffset>
            </wp:positionV>
            <wp:extent cx="1382395" cy="1079500"/>
            <wp:effectExtent l="0" t="0" r="8255" b="6350"/>
            <wp:wrapSquare wrapText="bothSides"/>
            <wp:docPr id="2" name="Picture 2" descr="PwC_Pictograms_Downtrend.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wC_Pictograms_Downtrend.z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39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3BE" w:rsidRPr="00505340">
        <w:rPr>
          <w:rFonts w:ascii="Georgia" w:hAnsi="Georgia"/>
          <w:b/>
          <w:bCs/>
        </w:rPr>
        <w:t xml:space="preserve">Weak </w:t>
      </w:r>
      <w:r w:rsidR="00B15490" w:rsidRPr="00505340">
        <w:rPr>
          <w:rFonts w:ascii="Georgia" w:hAnsi="Georgia"/>
          <w:b/>
          <w:bCs/>
        </w:rPr>
        <w:t>economic growth</w:t>
      </w:r>
      <w:r w:rsidR="001D33BE" w:rsidRPr="00505340">
        <w:rPr>
          <w:rFonts w:ascii="Georgia" w:hAnsi="Georgia"/>
          <w:b/>
          <w:bCs/>
        </w:rPr>
        <w:t xml:space="preserve"> scenarios, as expected</w:t>
      </w:r>
    </w:p>
    <w:p w14:paraId="5B00D51A" w14:textId="7468FE97" w:rsidR="00E92966" w:rsidRDefault="00E92966" w:rsidP="00187E8F">
      <w:pPr>
        <w:rPr>
          <w:rFonts w:ascii="Georgia" w:hAnsi="Georgia"/>
          <w:sz w:val="20"/>
          <w:szCs w:val="20"/>
        </w:rPr>
      </w:pPr>
      <w:r>
        <w:rPr>
          <w:rFonts w:ascii="Georgia" w:hAnsi="Georgia"/>
          <w:sz w:val="20"/>
          <w:szCs w:val="20"/>
        </w:rPr>
        <w:t xml:space="preserve">Budget statements have in recent years perennially made downward revisions in economic growth projections. Disappointing growth outcomes compared to official forecasts is </w:t>
      </w:r>
      <w:r w:rsidR="0055708F">
        <w:rPr>
          <w:rFonts w:ascii="Georgia" w:hAnsi="Georgia"/>
          <w:sz w:val="20"/>
          <w:szCs w:val="20"/>
        </w:rPr>
        <w:t>partly</w:t>
      </w:r>
      <w:r>
        <w:rPr>
          <w:rFonts w:ascii="Georgia" w:hAnsi="Georgia"/>
          <w:sz w:val="20"/>
          <w:szCs w:val="20"/>
        </w:rPr>
        <w:t xml:space="preserve"> attributed to the inability to implement planned structural reforms that would have delivered improved growth outcomes. </w:t>
      </w:r>
    </w:p>
    <w:p w14:paraId="58CE5FF2" w14:textId="68C85193" w:rsidR="001D33BE" w:rsidRDefault="00E92966" w:rsidP="00187E8F">
      <w:pPr>
        <w:rPr>
          <w:rFonts w:ascii="Georgia" w:hAnsi="Georgia"/>
          <w:sz w:val="20"/>
          <w:szCs w:val="20"/>
        </w:rPr>
      </w:pPr>
      <w:r>
        <w:rPr>
          <w:rFonts w:ascii="Georgia" w:hAnsi="Georgia"/>
          <w:sz w:val="20"/>
          <w:szCs w:val="20"/>
        </w:rPr>
        <w:t xml:space="preserve">As such, it was unsurprising that the Budget Review 2020 again cut growth projections. The National Treasury now expects real GDP growth of only 0.9% this year and </w:t>
      </w:r>
      <w:r w:rsidR="0055708F">
        <w:rPr>
          <w:rFonts w:ascii="Georgia" w:hAnsi="Georgia"/>
          <w:sz w:val="20"/>
          <w:szCs w:val="20"/>
        </w:rPr>
        <w:t>1.3% in 202</w:t>
      </w:r>
      <w:r w:rsidR="00B15490">
        <w:rPr>
          <w:rFonts w:ascii="Georgia" w:hAnsi="Georgia"/>
          <w:sz w:val="20"/>
          <w:szCs w:val="20"/>
        </w:rPr>
        <w:t>0</w:t>
      </w:r>
      <w:r w:rsidR="0055708F">
        <w:rPr>
          <w:rFonts w:ascii="Georgia" w:hAnsi="Georgia"/>
          <w:sz w:val="20"/>
          <w:szCs w:val="20"/>
        </w:rPr>
        <w:t>, compared to forecasts of 1.2% and 1.6%, respectively, indicated in the Medium-Term Budget Policy Statement (MTBPS) presented less than four months ago</w:t>
      </w:r>
      <w:r w:rsidR="00D6686A">
        <w:rPr>
          <w:rFonts w:ascii="Georgia" w:hAnsi="Georgia"/>
          <w:sz w:val="20"/>
          <w:szCs w:val="20"/>
        </w:rPr>
        <w:t xml:space="preserve"> and lower than the 1.2% for 2020 projected by the SARB in January of this year</w:t>
      </w:r>
      <w:r w:rsidR="0055708F">
        <w:rPr>
          <w:rFonts w:ascii="Georgia" w:hAnsi="Georgia"/>
          <w:sz w:val="20"/>
          <w:szCs w:val="20"/>
        </w:rPr>
        <w:t xml:space="preserve">. Electricity loadshedding was </w:t>
      </w:r>
      <w:r w:rsidR="00D6686A">
        <w:rPr>
          <w:rFonts w:ascii="Georgia" w:hAnsi="Georgia"/>
          <w:sz w:val="20"/>
          <w:szCs w:val="20"/>
        </w:rPr>
        <w:t xml:space="preserve">provided </w:t>
      </w:r>
      <w:r w:rsidR="0055708F">
        <w:rPr>
          <w:rFonts w:ascii="Georgia" w:hAnsi="Georgia"/>
          <w:sz w:val="20"/>
          <w:szCs w:val="20"/>
        </w:rPr>
        <w:t xml:space="preserve">as a key reason for the disappointing growth environment. </w:t>
      </w:r>
    </w:p>
    <w:p w14:paraId="0C62FD32" w14:textId="33574ACE" w:rsidR="0055708F" w:rsidRDefault="0055708F" w:rsidP="00187E8F">
      <w:pPr>
        <w:rPr>
          <w:rFonts w:ascii="Georgia" w:hAnsi="Georgia"/>
          <w:sz w:val="20"/>
          <w:szCs w:val="20"/>
        </w:rPr>
      </w:pPr>
      <w:r>
        <w:rPr>
          <w:rFonts w:ascii="Georgia" w:hAnsi="Georgia"/>
          <w:sz w:val="20"/>
          <w:szCs w:val="20"/>
        </w:rPr>
        <w:t xml:space="preserve">As always, the National Treasury provided its views on what is needed to improve the state of the local economy. This includes resolving the electricity issue, increasing access to rail and broadband spectrum, reforms to benefit small business, modernising the foreign exchange control system to attract </w:t>
      </w:r>
      <w:r w:rsidR="00B15490">
        <w:rPr>
          <w:rFonts w:ascii="Georgia" w:hAnsi="Georgia"/>
          <w:sz w:val="20"/>
          <w:szCs w:val="20"/>
        </w:rPr>
        <w:t xml:space="preserve">more </w:t>
      </w:r>
      <w:r>
        <w:rPr>
          <w:rFonts w:ascii="Georgia" w:hAnsi="Georgia"/>
          <w:sz w:val="20"/>
          <w:szCs w:val="20"/>
        </w:rPr>
        <w:t xml:space="preserve">investment, </w:t>
      </w:r>
      <w:r w:rsidR="00B15490">
        <w:rPr>
          <w:rFonts w:ascii="Georgia" w:hAnsi="Georgia"/>
          <w:sz w:val="20"/>
          <w:szCs w:val="20"/>
        </w:rPr>
        <w:t xml:space="preserve">and improving the composition of fiscal spending. </w:t>
      </w:r>
    </w:p>
    <w:p w14:paraId="467557D4" w14:textId="67EE5ECC" w:rsidR="00B15490" w:rsidRDefault="00B15490" w:rsidP="00187E8F">
      <w:pPr>
        <w:rPr>
          <w:rFonts w:ascii="Georgia" w:hAnsi="Georgia"/>
          <w:sz w:val="20"/>
          <w:szCs w:val="20"/>
        </w:rPr>
      </w:pPr>
      <w:r>
        <w:rPr>
          <w:rFonts w:ascii="Georgia" w:hAnsi="Georgia"/>
          <w:sz w:val="20"/>
          <w:szCs w:val="20"/>
        </w:rPr>
        <w:t xml:space="preserve">The National Treasury considered what the impact would be of opposing forces – stressed State-Owned Enterprises (SOEs) and planned structural reforms – on the economic growth outlook. Under a scenario where reforms </w:t>
      </w:r>
      <w:r w:rsidR="00D6686A">
        <w:rPr>
          <w:rFonts w:ascii="Georgia" w:hAnsi="Georgia"/>
          <w:sz w:val="20"/>
          <w:szCs w:val="20"/>
        </w:rPr>
        <w:t>a</w:t>
      </w:r>
      <w:r>
        <w:rPr>
          <w:rFonts w:ascii="Georgia" w:hAnsi="Georgia"/>
          <w:sz w:val="20"/>
          <w:szCs w:val="20"/>
        </w:rPr>
        <w:t>re implemented at a moderate pace, economic growth would move closer to the 2</w:t>
      </w:r>
      <w:r w:rsidR="00275900">
        <w:rPr>
          <w:rFonts w:ascii="Georgia" w:hAnsi="Georgia"/>
          <w:sz w:val="20"/>
          <w:szCs w:val="20"/>
        </w:rPr>
        <w:t>.0</w:t>
      </w:r>
      <w:r>
        <w:rPr>
          <w:rFonts w:ascii="Georgia" w:hAnsi="Georgia"/>
          <w:sz w:val="20"/>
          <w:szCs w:val="20"/>
        </w:rPr>
        <w:t>% level in 202</w:t>
      </w:r>
      <w:r w:rsidR="00D6686A">
        <w:rPr>
          <w:rFonts w:ascii="Georgia" w:hAnsi="Georgia"/>
          <w:sz w:val="20"/>
          <w:szCs w:val="20"/>
        </w:rPr>
        <w:t>1</w:t>
      </w:r>
      <w:r>
        <w:rPr>
          <w:rFonts w:ascii="Georgia" w:hAnsi="Georgia"/>
          <w:sz w:val="20"/>
          <w:szCs w:val="20"/>
        </w:rPr>
        <w:t xml:space="preserve"> compared to the currently projected 1.6%. </w:t>
      </w:r>
    </w:p>
    <w:p w14:paraId="583A770D" w14:textId="77777777" w:rsidR="00D6686A" w:rsidRDefault="00B15490" w:rsidP="00187E8F">
      <w:pPr>
        <w:rPr>
          <w:rFonts w:ascii="Georgia" w:hAnsi="Georgia"/>
          <w:sz w:val="20"/>
          <w:szCs w:val="20"/>
        </w:rPr>
      </w:pPr>
      <w:r>
        <w:rPr>
          <w:rFonts w:ascii="Georgia" w:hAnsi="Georgia"/>
          <w:sz w:val="20"/>
          <w:szCs w:val="20"/>
        </w:rPr>
        <w:t xml:space="preserve">Slow implementation of reforms was highlighted as a serious risk to the growth outlook. A scenario where mounting distress at SOEs further erode the fiscal position, and global growth falters due to trade disruption, a recession could materialise in 2020. </w:t>
      </w:r>
    </w:p>
    <w:p w14:paraId="3C149269" w14:textId="5523C49C" w:rsidR="00B15490" w:rsidRDefault="00B15490" w:rsidP="00187E8F">
      <w:pPr>
        <w:rPr>
          <w:rFonts w:ascii="Georgia" w:hAnsi="Georgia"/>
          <w:sz w:val="20"/>
          <w:szCs w:val="20"/>
        </w:rPr>
      </w:pPr>
      <w:r>
        <w:rPr>
          <w:rFonts w:ascii="Georgia" w:hAnsi="Georgia"/>
          <w:sz w:val="20"/>
          <w:szCs w:val="20"/>
        </w:rPr>
        <w:t xml:space="preserve">The global outlook is clouded by the adverse effect on trade of US-China tensions, the impact on supply chains of the COVID-19 situation, and a weakened outlook for economic growth in South Africa’s largest trading partners. </w:t>
      </w:r>
    </w:p>
    <w:p w14:paraId="65D83E4B" w14:textId="25084EAB" w:rsidR="001D33BE" w:rsidRPr="00A11ABB" w:rsidRDefault="001D33BE" w:rsidP="00187E8F">
      <w:pPr>
        <w:rPr>
          <w:rFonts w:ascii="Georgia" w:hAnsi="Georgia"/>
          <w:i/>
          <w:iCs/>
          <w:sz w:val="20"/>
          <w:szCs w:val="20"/>
        </w:rPr>
      </w:pPr>
      <w:r w:rsidRPr="00A11ABB">
        <w:rPr>
          <w:rFonts w:ascii="Georgia" w:hAnsi="Georgia"/>
          <w:i/>
          <w:iCs/>
          <w:sz w:val="20"/>
          <w:szCs w:val="20"/>
        </w:rPr>
        <w:t>Figure 1: Real GDP growth (%) projections revised lower</w:t>
      </w:r>
    </w:p>
    <w:p w14:paraId="104D31F5" w14:textId="3B683DA1" w:rsidR="00187E8F" w:rsidRDefault="001D33BE" w:rsidP="00187E8F">
      <w:pPr>
        <w:rPr>
          <w:rFonts w:ascii="Georgia" w:hAnsi="Georgia"/>
          <w:sz w:val="20"/>
          <w:szCs w:val="20"/>
        </w:rPr>
      </w:pPr>
      <w:r>
        <w:rPr>
          <w:noProof/>
        </w:rPr>
        <w:drawing>
          <wp:inline distT="0" distB="0" distL="0" distR="0" wp14:anchorId="291114DE" wp14:editId="035704DD">
            <wp:extent cx="5939790" cy="1656000"/>
            <wp:effectExtent l="0" t="0" r="3810" b="1905"/>
            <wp:docPr id="1" name="Chart 1">
              <a:extLst xmlns:a="http://schemas.openxmlformats.org/drawingml/2006/main">
                <a:ext uri="{FF2B5EF4-FFF2-40B4-BE49-F238E27FC236}">
                  <a16:creationId xmlns:a16="http://schemas.microsoft.com/office/drawing/2014/main" id="{3E921CE8-80DA-45A5-8F66-A04D73B180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969A06" w14:textId="37699915" w:rsidR="001D33BE" w:rsidRDefault="001D33BE" w:rsidP="00187E8F">
      <w:pPr>
        <w:rPr>
          <w:rFonts w:ascii="Georgia" w:hAnsi="Georgia"/>
          <w:i/>
          <w:iCs/>
          <w:sz w:val="20"/>
          <w:szCs w:val="20"/>
        </w:rPr>
      </w:pPr>
      <w:r w:rsidRPr="00A11ABB">
        <w:rPr>
          <w:rFonts w:ascii="Georgia" w:hAnsi="Georgia"/>
          <w:i/>
          <w:iCs/>
          <w:sz w:val="20"/>
          <w:szCs w:val="20"/>
        </w:rPr>
        <w:t>Source: National Treasury</w:t>
      </w:r>
    </w:p>
    <w:p w14:paraId="69227D03" w14:textId="77777777" w:rsidR="00505340" w:rsidRPr="00A11ABB" w:rsidRDefault="00505340" w:rsidP="00187E8F">
      <w:pPr>
        <w:rPr>
          <w:rFonts w:ascii="Georgia" w:hAnsi="Georgia"/>
          <w:i/>
          <w:iCs/>
          <w:sz w:val="20"/>
          <w:szCs w:val="20"/>
        </w:rPr>
      </w:pPr>
    </w:p>
    <w:bookmarkEnd w:id="1"/>
    <w:p w14:paraId="0E037E2F" w14:textId="66D9FA29" w:rsidR="00187E8F" w:rsidRPr="00505340" w:rsidRDefault="00187E8F" w:rsidP="00187E8F">
      <w:pPr>
        <w:rPr>
          <w:rFonts w:ascii="Georgia" w:hAnsi="Georgia"/>
          <w:b/>
          <w:bCs/>
        </w:rPr>
      </w:pPr>
      <w:r w:rsidRPr="00505340">
        <w:rPr>
          <w:noProof/>
          <w:sz w:val="24"/>
          <w:szCs w:val="24"/>
        </w:rPr>
        <w:lastRenderedPageBreak/>
        <w:drawing>
          <wp:anchor distT="0" distB="0" distL="114300" distR="114300" simplePos="0" relativeHeight="251666432" behindDoc="0" locked="0" layoutInCell="1" allowOverlap="1" wp14:anchorId="3511D9D4" wp14:editId="08DE5F67">
            <wp:simplePos x="0" y="0"/>
            <wp:positionH relativeFrom="margin">
              <wp:align>left</wp:align>
            </wp:positionH>
            <wp:positionV relativeFrom="paragraph">
              <wp:posOffset>4313</wp:posOffset>
            </wp:positionV>
            <wp:extent cx="1382116" cy="1080000"/>
            <wp:effectExtent l="0" t="0" r="8890" b="6350"/>
            <wp:wrapSquare wrapText="bothSides"/>
            <wp:docPr id="3" name="Picture 3" descr="PwC_Pictograms_Stewardship.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wC_Pictograms_Stewardship.z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211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340">
        <w:rPr>
          <w:rFonts w:ascii="Georgia" w:hAnsi="Georgia"/>
          <w:b/>
          <w:bCs/>
        </w:rPr>
        <w:t>Revenues</w:t>
      </w:r>
      <w:r w:rsidR="0046387E" w:rsidRPr="00505340">
        <w:rPr>
          <w:rFonts w:ascii="Georgia" w:hAnsi="Georgia"/>
          <w:b/>
          <w:bCs/>
        </w:rPr>
        <w:t xml:space="preserve"> disappoint – but luckily no VAT hike</w:t>
      </w:r>
    </w:p>
    <w:p w14:paraId="65874B39" w14:textId="55F61A84" w:rsidR="004A5016" w:rsidRDefault="001D33BE" w:rsidP="00187E8F">
      <w:pPr>
        <w:rPr>
          <w:rFonts w:ascii="Georgia" w:hAnsi="Georgia"/>
          <w:sz w:val="20"/>
          <w:szCs w:val="20"/>
        </w:rPr>
      </w:pPr>
      <w:r>
        <w:rPr>
          <w:rFonts w:ascii="Georgia" w:hAnsi="Georgia"/>
          <w:sz w:val="20"/>
          <w:szCs w:val="20"/>
        </w:rPr>
        <w:t xml:space="preserve">There is a strong relationship between (nominal) economic growth and fiscal revenues. As such, the weaker economic outlook translates into a deteriorated income outlook for the state. </w:t>
      </w:r>
      <w:r w:rsidR="0078267F">
        <w:rPr>
          <w:rFonts w:ascii="Georgia" w:hAnsi="Georgia"/>
          <w:sz w:val="20"/>
          <w:szCs w:val="20"/>
        </w:rPr>
        <w:t>PwC expected revenues in the 2019/2020 to be as much as R65 billion lower than planned in February 2019. The National Treasury reported this figure at R63.3 billion</w:t>
      </w:r>
      <w:r w:rsidR="004A5016">
        <w:rPr>
          <w:rFonts w:ascii="Georgia" w:hAnsi="Georgia"/>
          <w:sz w:val="20"/>
          <w:szCs w:val="20"/>
        </w:rPr>
        <w:t xml:space="preserve"> – a number exceeding the under-collection in 2009/2010</w:t>
      </w:r>
      <w:r w:rsidR="00D6686A">
        <w:rPr>
          <w:rFonts w:ascii="Georgia" w:hAnsi="Georgia"/>
          <w:sz w:val="20"/>
          <w:szCs w:val="20"/>
        </w:rPr>
        <w:t>,</w:t>
      </w:r>
      <w:r w:rsidR="004A5016">
        <w:rPr>
          <w:rFonts w:ascii="Georgia" w:hAnsi="Georgia"/>
          <w:sz w:val="20"/>
          <w:szCs w:val="20"/>
        </w:rPr>
        <w:t xml:space="preserve"> in the wake of the global financial crisis. </w:t>
      </w:r>
    </w:p>
    <w:p w14:paraId="004436C3" w14:textId="3799B8C9" w:rsidR="001D5D96" w:rsidRDefault="004A5016" w:rsidP="00187E8F">
      <w:pPr>
        <w:rPr>
          <w:rFonts w:ascii="Georgia" w:hAnsi="Georgia"/>
          <w:sz w:val="20"/>
          <w:szCs w:val="20"/>
        </w:rPr>
      </w:pPr>
      <w:r>
        <w:rPr>
          <w:rFonts w:ascii="Georgia" w:hAnsi="Georgia"/>
          <w:sz w:val="20"/>
          <w:szCs w:val="20"/>
        </w:rPr>
        <w:t>Slow nominal income growth and a rising unemployment rate have adversely affected personal income tax receipts. Growth in value-added tax has slowed since the one percentage point increase in the VAT rate in 20</w:t>
      </w:r>
      <w:r w:rsidR="006074F5">
        <w:rPr>
          <w:rFonts w:ascii="Georgia" w:hAnsi="Georgia"/>
          <w:sz w:val="20"/>
          <w:szCs w:val="20"/>
        </w:rPr>
        <w:t>1</w:t>
      </w:r>
      <w:r>
        <w:rPr>
          <w:rFonts w:ascii="Georgia" w:hAnsi="Georgia"/>
          <w:sz w:val="20"/>
          <w:szCs w:val="20"/>
        </w:rPr>
        <w:t xml:space="preserve">8 while VAT refunds have also been higher than expected. Corporate tax collections – historically a volatile component of state income – is expected to underperform significantly </w:t>
      </w:r>
      <w:r w:rsidR="001D5D96">
        <w:rPr>
          <w:rFonts w:ascii="Georgia" w:hAnsi="Georgia"/>
          <w:sz w:val="20"/>
          <w:szCs w:val="20"/>
        </w:rPr>
        <w:t xml:space="preserve">in 2019/2020. </w:t>
      </w:r>
    </w:p>
    <w:p w14:paraId="1633CFBE" w14:textId="4A9572C6" w:rsidR="00BB7811" w:rsidRDefault="00BB7811" w:rsidP="00187E8F">
      <w:pPr>
        <w:rPr>
          <w:rFonts w:ascii="Georgia" w:hAnsi="Georgia"/>
          <w:sz w:val="20"/>
          <w:szCs w:val="20"/>
        </w:rPr>
      </w:pPr>
      <w:r>
        <w:rPr>
          <w:rFonts w:ascii="Georgia" w:hAnsi="Georgia"/>
          <w:sz w:val="20"/>
          <w:szCs w:val="20"/>
        </w:rPr>
        <w:t>Local fuel prices will increase by 25c/litre from April this year to adjust for inflation. The plastic bag levy will almost double from 12c to 25c from April. As always, taxes on tobacco products and alcoholic beverages will increase – many by more than inflation</w:t>
      </w:r>
      <w:r w:rsidR="00015FC6">
        <w:rPr>
          <w:rFonts w:ascii="Georgia" w:hAnsi="Georgia"/>
          <w:sz w:val="20"/>
          <w:szCs w:val="20"/>
        </w:rPr>
        <w:t>,</w:t>
      </w:r>
      <w:r>
        <w:rPr>
          <w:rFonts w:ascii="Georgia" w:hAnsi="Georgia"/>
          <w:sz w:val="20"/>
          <w:szCs w:val="20"/>
        </w:rPr>
        <w:t xml:space="preserve"> as is the norm. Heated tobacco products and e-cigarettes will also be taxed from 2021. </w:t>
      </w:r>
    </w:p>
    <w:p w14:paraId="69C20AED" w14:textId="77777777" w:rsidR="00BB7811" w:rsidRDefault="00BB7811" w:rsidP="00BB7811">
      <w:pPr>
        <w:rPr>
          <w:rFonts w:ascii="Georgia" w:hAnsi="Georgia"/>
          <w:sz w:val="20"/>
          <w:szCs w:val="20"/>
        </w:rPr>
      </w:pPr>
      <w:r>
        <w:rPr>
          <w:rFonts w:ascii="Georgia" w:hAnsi="Georgia"/>
          <w:sz w:val="20"/>
          <w:szCs w:val="20"/>
        </w:rPr>
        <w:t xml:space="preserve">To boost tax revenues over the medium term, the National Treasury is pinning its hopes on a revitalised South African Revenue Service (SARS). The government is looking at re-establishing integrity and compliance function, restoring public trust and employees’ confidence in the entity, creating a new office focussed on HNWIs, and getting support from the re-established Davis Tax Committee to reduce tax leakages, customs fraud and trade mispricing. SARS is also reviewing its procurement processes. </w:t>
      </w:r>
    </w:p>
    <w:p w14:paraId="6EBB6265" w14:textId="512EB521" w:rsidR="00DF355F" w:rsidRDefault="004A5016" w:rsidP="004A5016">
      <w:pPr>
        <w:rPr>
          <w:rFonts w:ascii="Georgia" w:hAnsi="Georgia"/>
          <w:sz w:val="20"/>
          <w:szCs w:val="20"/>
        </w:rPr>
      </w:pPr>
      <w:r>
        <w:rPr>
          <w:rFonts w:ascii="Georgia" w:hAnsi="Georgia"/>
          <w:sz w:val="20"/>
          <w:szCs w:val="20"/>
        </w:rPr>
        <w:t xml:space="preserve">On </w:t>
      </w:r>
      <w:r w:rsidR="00BB7811">
        <w:rPr>
          <w:rFonts w:ascii="Georgia" w:hAnsi="Georgia"/>
          <w:sz w:val="20"/>
          <w:szCs w:val="20"/>
        </w:rPr>
        <w:t xml:space="preserve">another </w:t>
      </w:r>
      <w:r>
        <w:rPr>
          <w:rFonts w:ascii="Georgia" w:hAnsi="Georgia"/>
          <w:sz w:val="20"/>
          <w:szCs w:val="20"/>
        </w:rPr>
        <w:t xml:space="preserve">positive note, no changes to current tax rates are envisaged over the medium term. </w:t>
      </w:r>
      <w:proofErr w:type="gramStart"/>
      <w:r>
        <w:rPr>
          <w:rFonts w:ascii="Georgia" w:hAnsi="Georgia"/>
          <w:sz w:val="20"/>
          <w:szCs w:val="20"/>
        </w:rPr>
        <w:t>In light of</w:t>
      </w:r>
      <w:proofErr w:type="gramEnd"/>
      <w:r>
        <w:rPr>
          <w:rFonts w:ascii="Georgia" w:hAnsi="Georgia"/>
          <w:sz w:val="20"/>
          <w:szCs w:val="20"/>
        </w:rPr>
        <w:t xml:space="preserve"> a warning on October 2019 that increases in tax rates could be used the address the fiscal (</w:t>
      </w:r>
      <w:proofErr w:type="spellStart"/>
      <w:r>
        <w:rPr>
          <w:rFonts w:ascii="Georgia" w:hAnsi="Georgia"/>
          <w:sz w:val="20"/>
          <w:szCs w:val="20"/>
        </w:rPr>
        <w:t>im</w:t>
      </w:r>
      <w:proofErr w:type="spellEnd"/>
      <w:r>
        <w:rPr>
          <w:rFonts w:ascii="Georgia" w:hAnsi="Georgia"/>
          <w:sz w:val="20"/>
          <w:szCs w:val="20"/>
        </w:rPr>
        <w:t xml:space="preserve">)balance, many analysts warned that an increase in the value-added tax (VAT) rate was on the cards for the 2020/2021 fiscal year. Nonetheless, despite wide expectation of higher tax rates, the finance minister </w:t>
      </w:r>
      <w:r w:rsidR="009D09E2">
        <w:rPr>
          <w:rFonts w:ascii="Georgia" w:hAnsi="Georgia"/>
          <w:sz w:val="20"/>
          <w:szCs w:val="20"/>
        </w:rPr>
        <w:t xml:space="preserve">announced no tax increases in the interest of supporting economic growth. </w:t>
      </w:r>
    </w:p>
    <w:p w14:paraId="1A91D1B8" w14:textId="7DFB47C0" w:rsidR="009D09E2" w:rsidRDefault="004A5016" w:rsidP="009D09E2">
      <w:pPr>
        <w:rPr>
          <w:rFonts w:ascii="Georgia" w:hAnsi="Georgia"/>
          <w:sz w:val="20"/>
          <w:szCs w:val="20"/>
        </w:rPr>
      </w:pPr>
      <w:r>
        <w:rPr>
          <w:rFonts w:ascii="Georgia" w:hAnsi="Georgia"/>
          <w:sz w:val="20"/>
          <w:szCs w:val="20"/>
        </w:rPr>
        <w:t xml:space="preserve">Furthermore, the National Treasury is implementing </w:t>
      </w:r>
      <w:r w:rsidR="00DF355F">
        <w:rPr>
          <w:rFonts w:ascii="Georgia" w:hAnsi="Georgia"/>
          <w:sz w:val="20"/>
          <w:szCs w:val="20"/>
        </w:rPr>
        <w:t xml:space="preserve">above-inflation relief on personal income taxes. Tax brackets and rebates will be increased by 5.2% compared to forecast inflation of 4.4%. </w:t>
      </w:r>
      <w:r w:rsidR="009D09E2">
        <w:rPr>
          <w:rFonts w:ascii="Georgia" w:hAnsi="Georgia"/>
          <w:sz w:val="20"/>
          <w:szCs w:val="20"/>
        </w:rPr>
        <w:t xml:space="preserve">Someone earning </w:t>
      </w:r>
      <w:r w:rsidR="009D09E2" w:rsidRPr="009D09E2">
        <w:rPr>
          <w:rFonts w:ascii="Georgia" w:hAnsi="Georgia"/>
          <w:sz w:val="20"/>
          <w:szCs w:val="20"/>
        </w:rPr>
        <w:t>R265</w:t>
      </w:r>
      <w:r w:rsidR="009D09E2">
        <w:rPr>
          <w:rFonts w:ascii="Georgia" w:hAnsi="Georgia"/>
          <w:sz w:val="20"/>
          <w:szCs w:val="20"/>
        </w:rPr>
        <w:t>,</w:t>
      </w:r>
      <w:r w:rsidR="009D09E2" w:rsidRPr="009D09E2">
        <w:rPr>
          <w:rFonts w:ascii="Georgia" w:hAnsi="Georgia"/>
          <w:sz w:val="20"/>
          <w:szCs w:val="20"/>
        </w:rPr>
        <w:t xml:space="preserve">000 </w:t>
      </w:r>
      <w:r w:rsidR="009D09E2">
        <w:rPr>
          <w:rFonts w:ascii="Georgia" w:hAnsi="Georgia"/>
          <w:sz w:val="20"/>
          <w:szCs w:val="20"/>
        </w:rPr>
        <w:t xml:space="preserve">per annum </w:t>
      </w:r>
      <w:r w:rsidR="009D09E2" w:rsidRPr="009D09E2">
        <w:rPr>
          <w:rFonts w:ascii="Georgia" w:hAnsi="Georgia"/>
          <w:sz w:val="20"/>
          <w:szCs w:val="20"/>
        </w:rPr>
        <w:t>will see their income tax reduced by over R1</w:t>
      </w:r>
      <w:r w:rsidR="009D09E2">
        <w:rPr>
          <w:rFonts w:ascii="Georgia" w:hAnsi="Georgia"/>
          <w:sz w:val="20"/>
          <w:szCs w:val="20"/>
        </w:rPr>
        <w:t>,</w:t>
      </w:r>
      <w:r w:rsidR="009D09E2" w:rsidRPr="009D09E2">
        <w:rPr>
          <w:rFonts w:ascii="Georgia" w:hAnsi="Georgia"/>
          <w:sz w:val="20"/>
          <w:szCs w:val="20"/>
        </w:rPr>
        <w:t>500 a year.</w:t>
      </w:r>
      <w:r w:rsidR="009D09E2">
        <w:rPr>
          <w:rFonts w:ascii="Georgia" w:hAnsi="Georgia"/>
          <w:sz w:val="20"/>
          <w:szCs w:val="20"/>
        </w:rPr>
        <w:t xml:space="preserve"> Lower income earners will receive the bulk of this progressive benefit: someone earning </w:t>
      </w:r>
      <w:r w:rsidR="009D09E2" w:rsidRPr="009D09E2">
        <w:rPr>
          <w:rFonts w:ascii="Georgia" w:hAnsi="Georgia"/>
          <w:sz w:val="20"/>
          <w:szCs w:val="20"/>
        </w:rPr>
        <w:t>R10</w:t>
      </w:r>
      <w:r w:rsidR="009D09E2">
        <w:rPr>
          <w:rFonts w:ascii="Georgia" w:hAnsi="Georgia"/>
          <w:sz w:val="20"/>
          <w:szCs w:val="20"/>
        </w:rPr>
        <w:t>,</w:t>
      </w:r>
      <w:r w:rsidR="009D09E2" w:rsidRPr="009D09E2">
        <w:rPr>
          <w:rFonts w:ascii="Georgia" w:hAnsi="Georgia"/>
          <w:sz w:val="20"/>
          <w:szCs w:val="20"/>
        </w:rPr>
        <w:t>000 a month will pay 10</w:t>
      </w:r>
      <w:r w:rsidR="009D09E2">
        <w:rPr>
          <w:rFonts w:ascii="Georgia" w:hAnsi="Georgia"/>
          <w:sz w:val="20"/>
          <w:szCs w:val="20"/>
        </w:rPr>
        <w:t xml:space="preserve">% less tax while someone </w:t>
      </w:r>
      <w:r w:rsidR="009D09E2" w:rsidRPr="009D09E2">
        <w:rPr>
          <w:rFonts w:ascii="Georgia" w:hAnsi="Georgia"/>
          <w:sz w:val="20"/>
          <w:szCs w:val="20"/>
        </w:rPr>
        <w:t>earning R100</w:t>
      </w:r>
      <w:r w:rsidR="009D09E2">
        <w:rPr>
          <w:rFonts w:ascii="Georgia" w:hAnsi="Georgia"/>
          <w:sz w:val="20"/>
          <w:szCs w:val="20"/>
        </w:rPr>
        <w:t>,</w:t>
      </w:r>
      <w:r w:rsidR="009D09E2" w:rsidRPr="009D09E2">
        <w:rPr>
          <w:rFonts w:ascii="Georgia" w:hAnsi="Georgia"/>
          <w:sz w:val="20"/>
          <w:szCs w:val="20"/>
        </w:rPr>
        <w:t>000 a month will pay about 1.5</w:t>
      </w:r>
      <w:r w:rsidR="009D09E2">
        <w:rPr>
          <w:rFonts w:ascii="Georgia" w:hAnsi="Georgia"/>
          <w:sz w:val="20"/>
          <w:szCs w:val="20"/>
        </w:rPr>
        <w:t xml:space="preserve">% less. </w:t>
      </w:r>
    </w:p>
    <w:p w14:paraId="103B35E1" w14:textId="20263824" w:rsidR="002520C2" w:rsidRPr="00621AE0" w:rsidRDefault="002520C2" w:rsidP="002520C2">
      <w:pPr>
        <w:rPr>
          <w:rFonts w:ascii="Georgia" w:hAnsi="Georgia"/>
          <w:i/>
          <w:sz w:val="20"/>
          <w:szCs w:val="20"/>
        </w:rPr>
      </w:pPr>
      <w:r w:rsidRPr="00621AE0">
        <w:rPr>
          <w:rFonts w:ascii="Georgia" w:hAnsi="Georgia"/>
          <w:i/>
          <w:sz w:val="20"/>
          <w:szCs w:val="20"/>
        </w:rPr>
        <w:t xml:space="preserve">Table 1: </w:t>
      </w:r>
      <w:r>
        <w:rPr>
          <w:rFonts w:ascii="Georgia" w:hAnsi="Georgia"/>
          <w:i/>
          <w:sz w:val="20"/>
          <w:szCs w:val="20"/>
        </w:rPr>
        <w:t>Revenues rising slowly, expenditure reaching R2 trillion in 2021/2011</w:t>
      </w:r>
    </w:p>
    <w:tbl>
      <w:tblPr>
        <w:tblStyle w:val="TableGrid"/>
        <w:tblW w:w="0" w:type="auto"/>
        <w:tblLook w:val="04A0" w:firstRow="1" w:lastRow="0" w:firstColumn="1" w:lastColumn="0" w:noHBand="0" w:noVBand="1"/>
      </w:tblPr>
      <w:tblGrid>
        <w:gridCol w:w="2887"/>
        <w:gridCol w:w="1269"/>
        <w:gridCol w:w="1326"/>
        <w:gridCol w:w="1290"/>
        <w:gridCol w:w="1277"/>
        <w:gridCol w:w="1301"/>
      </w:tblGrid>
      <w:tr w:rsidR="002520C2" w:rsidRPr="00352FF9" w14:paraId="78F0BFAF" w14:textId="77777777" w:rsidTr="00F265C3">
        <w:tc>
          <w:tcPr>
            <w:tcW w:w="2972" w:type="dxa"/>
            <w:shd w:val="clear" w:color="auto" w:fill="E27588" w:themeFill="accent4"/>
          </w:tcPr>
          <w:p w14:paraId="4A8EC085" w14:textId="77777777" w:rsidR="002520C2" w:rsidRPr="00352FF9" w:rsidRDefault="002520C2" w:rsidP="00F265C3">
            <w:pPr>
              <w:rPr>
                <w:rFonts w:asciiTheme="majorHAnsi" w:hAnsiTheme="majorHAnsi" w:cs="Calibri"/>
                <w:bCs/>
                <w:color w:val="FFFFFF" w:themeColor="background1"/>
                <w:sz w:val="18"/>
                <w:szCs w:val="18"/>
              </w:rPr>
            </w:pPr>
            <w:r w:rsidRPr="00352FF9">
              <w:rPr>
                <w:rFonts w:asciiTheme="majorHAnsi" w:hAnsiTheme="majorHAnsi" w:cs="Calibri"/>
                <w:bCs/>
                <w:color w:val="FFFFFF" w:themeColor="background1"/>
                <w:sz w:val="18"/>
                <w:szCs w:val="18"/>
                <w:lang w:val="en-US"/>
              </w:rPr>
              <w:t>R trillion/</w:t>
            </w:r>
            <w:r w:rsidRPr="00352FF9">
              <w:rPr>
                <w:rFonts w:asciiTheme="majorHAnsi" w:hAnsiTheme="majorHAnsi" w:cs="Calibri"/>
                <w:bCs/>
                <w:i/>
                <w:color w:val="FFFFFF" w:themeColor="background1"/>
                <w:sz w:val="18"/>
                <w:szCs w:val="18"/>
                <w:lang w:val="en-US"/>
              </w:rPr>
              <w:t>percentage of GDP</w:t>
            </w:r>
          </w:p>
        </w:tc>
        <w:tc>
          <w:tcPr>
            <w:tcW w:w="1275" w:type="dxa"/>
            <w:shd w:val="clear" w:color="auto" w:fill="E27588" w:themeFill="accent4"/>
            <w:vAlign w:val="center"/>
          </w:tcPr>
          <w:p w14:paraId="617C889A" w14:textId="77777777" w:rsidR="002520C2" w:rsidRPr="00352FF9" w:rsidRDefault="002520C2" w:rsidP="00F265C3">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2018/</w:t>
            </w:r>
            <w:r>
              <w:rPr>
                <w:rFonts w:asciiTheme="majorHAnsi" w:hAnsiTheme="majorHAnsi" w:cs="Calibri"/>
                <w:b/>
                <w:bCs/>
                <w:color w:val="FFFFFF" w:themeColor="background1"/>
                <w:sz w:val="18"/>
                <w:szCs w:val="18"/>
                <w:lang w:val="en-US"/>
              </w:rPr>
              <w:t>20</w:t>
            </w:r>
            <w:r w:rsidRPr="00352FF9">
              <w:rPr>
                <w:rFonts w:asciiTheme="majorHAnsi" w:hAnsiTheme="majorHAnsi" w:cs="Calibri"/>
                <w:b/>
                <w:bCs/>
                <w:color w:val="FFFFFF" w:themeColor="background1"/>
                <w:sz w:val="18"/>
                <w:szCs w:val="18"/>
                <w:lang w:val="en-US"/>
              </w:rPr>
              <w:t>19</w:t>
            </w:r>
          </w:p>
        </w:tc>
        <w:tc>
          <w:tcPr>
            <w:tcW w:w="1276" w:type="dxa"/>
            <w:shd w:val="clear" w:color="auto" w:fill="E27588" w:themeFill="accent4"/>
            <w:vAlign w:val="center"/>
          </w:tcPr>
          <w:p w14:paraId="0191776E" w14:textId="77777777" w:rsidR="002520C2" w:rsidRPr="00352FF9" w:rsidRDefault="002520C2" w:rsidP="00F265C3">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2019/</w:t>
            </w:r>
            <w:r>
              <w:rPr>
                <w:rFonts w:asciiTheme="majorHAnsi" w:hAnsiTheme="majorHAnsi" w:cs="Calibri"/>
                <w:b/>
                <w:bCs/>
                <w:color w:val="FFFFFF" w:themeColor="background1"/>
                <w:sz w:val="18"/>
                <w:szCs w:val="18"/>
                <w:lang w:val="en-US"/>
              </w:rPr>
              <w:t>20</w:t>
            </w:r>
            <w:r w:rsidRPr="00352FF9">
              <w:rPr>
                <w:rFonts w:asciiTheme="majorHAnsi" w:hAnsiTheme="majorHAnsi" w:cs="Calibri"/>
                <w:b/>
                <w:bCs/>
                <w:color w:val="FFFFFF" w:themeColor="background1"/>
                <w:sz w:val="18"/>
                <w:szCs w:val="18"/>
                <w:lang w:val="en-US"/>
              </w:rPr>
              <w:t>20</w:t>
            </w:r>
            <w:r>
              <w:rPr>
                <w:rFonts w:asciiTheme="majorHAnsi" w:hAnsiTheme="majorHAnsi" w:cs="Calibri"/>
                <w:b/>
                <w:bCs/>
                <w:color w:val="FFFFFF" w:themeColor="background1"/>
                <w:sz w:val="18"/>
                <w:szCs w:val="18"/>
                <w:lang w:val="en-US"/>
              </w:rPr>
              <w:t>e</w:t>
            </w:r>
          </w:p>
        </w:tc>
        <w:tc>
          <w:tcPr>
            <w:tcW w:w="1275" w:type="dxa"/>
            <w:shd w:val="clear" w:color="auto" w:fill="E27588" w:themeFill="accent4"/>
            <w:vAlign w:val="center"/>
          </w:tcPr>
          <w:p w14:paraId="449F77A0" w14:textId="77777777" w:rsidR="002520C2" w:rsidRPr="00352FF9" w:rsidRDefault="002520C2" w:rsidP="00F265C3">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2020/</w:t>
            </w:r>
            <w:r>
              <w:rPr>
                <w:rFonts w:asciiTheme="majorHAnsi" w:hAnsiTheme="majorHAnsi" w:cs="Calibri"/>
                <w:b/>
                <w:bCs/>
                <w:color w:val="FFFFFF" w:themeColor="background1"/>
                <w:sz w:val="18"/>
                <w:szCs w:val="18"/>
                <w:lang w:val="en-US"/>
              </w:rPr>
              <w:t>20</w:t>
            </w:r>
            <w:r w:rsidRPr="00352FF9">
              <w:rPr>
                <w:rFonts w:asciiTheme="majorHAnsi" w:hAnsiTheme="majorHAnsi" w:cs="Calibri"/>
                <w:b/>
                <w:bCs/>
                <w:color w:val="FFFFFF" w:themeColor="background1"/>
                <w:sz w:val="18"/>
                <w:szCs w:val="18"/>
                <w:lang w:val="en-US"/>
              </w:rPr>
              <w:t>21f</w:t>
            </w:r>
          </w:p>
        </w:tc>
        <w:tc>
          <w:tcPr>
            <w:tcW w:w="1276" w:type="dxa"/>
            <w:shd w:val="clear" w:color="auto" w:fill="E27588" w:themeFill="accent4"/>
            <w:vAlign w:val="center"/>
          </w:tcPr>
          <w:p w14:paraId="34BD059A" w14:textId="77777777" w:rsidR="002520C2" w:rsidRPr="00352FF9" w:rsidRDefault="002520C2" w:rsidP="00F265C3">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2021/</w:t>
            </w:r>
            <w:r>
              <w:rPr>
                <w:rFonts w:asciiTheme="majorHAnsi" w:hAnsiTheme="majorHAnsi" w:cs="Calibri"/>
                <w:b/>
                <w:bCs/>
                <w:color w:val="FFFFFF" w:themeColor="background1"/>
                <w:sz w:val="18"/>
                <w:szCs w:val="18"/>
                <w:lang w:val="en-US"/>
              </w:rPr>
              <w:t>20</w:t>
            </w:r>
            <w:r w:rsidRPr="00352FF9">
              <w:rPr>
                <w:rFonts w:asciiTheme="majorHAnsi" w:hAnsiTheme="majorHAnsi" w:cs="Calibri"/>
                <w:b/>
                <w:bCs/>
                <w:color w:val="FFFFFF" w:themeColor="background1"/>
                <w:sz w:val="18"/>
                <w:szCs w:val="18"/>
                <w:lang w:val="en-US"/>
              </w:rPr>
              <w:t>22f</w:t>
            </w:r>
          </w:p>
        </w:tc>
        <w:tc>
          <w:tcPr>
            <w:tcW w:w="1276" w:type="dxa"/>
            <w:shd w:val="clear" w:color="auto" w:fill="E27588" w:themeFill="accent4"/>
            <w:vAlign w:val="center"/>
          </w:tcPr>
          <w:p w14:paraId="528CA708" w14:textId="77777777" w:rsidR="002520C2" w:rsidRPr="00352FF9" w:rsidRDefault="002520C2" w:rsidP="00F265C3">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rPr>
              <w:t>2022/</w:t>
            </w:r>
            <w:r>
              <w:rPr>
                <w:rFonts w:asciiTheme="majorHAnsi" w:hAnsiTheme="majorHAnsi" w:cs="Calibri"/>
                <w:b/>
                <w:bCs/>
                <w:color w:val="FFFFFF" w:themeColor="background1"/>
                <w:sz w:val="18"/>
                <w:szCs w:val="18"/>
              </w:rPr>
              <w:t>20</w:t>
            </w:r>
            <w:r w:rsidRPr="00352FF9">
              <w:rPr>
                <w:rFonts w:asciiTheme="majorHAnsi" w:hAnsiTheme="majorHAnsi" w:cs="Calibri"/>
                <w:b/>
                <w:bCs/>
                <w:color w:val="FFFFFF" w:themeColor="background1"/>
                <w:sz w:val="18"/>
                <w:szCs w:val="18"/>
              </w:rPr>
              <w:t>23f</w:t>
            </w:r>
          </w:p>
        </w:tc>
      </w:tr>
      <w:tr w:rsidR="002520C2" w:rsidRPr="00352FF9" w14:paraId="1FF96B68" w14:textId="77777777" w:rsidTr="00F265C3">
        <w:tc>
          <w:tcPr>
            <w:tcW w:w="2972" w:type="dxa"/>
            <w:vMerge w:val="restart"/>
            <w:vAlign w:val="center"/>
          </w:tcPr>
          <w:p w14:paraId="46F69E5A" w14:textId="77777777" w:rsidR="002520C2" w:rsidRPr="00352FF9" w:rsidRDefault="002520C2" w:rsidP="00F265C3">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Revenue</w:t>
            </w:r>
          </w:p>
        </w:tc>
        <w:tc>
          <w:tcPr>
            <w:tcW w:w="1275" w:type="dxa"/>
            <w:vAlign w:val="center"/>
          </w:tcPr>
          <w:p w14:paraId="7E25AD3F"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1.45</w:t>
            </w:r>
          </w:p>
        </w:tc>
        <w:tc>
          <w:tcPr>
            <w:tcW w:w="1276" w:type="dxa"/>
            <w:vAlign w:val="center"/>
          </w:tcPr>
          <w:p w14:paraId="06743FD4"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1.52</w:t>
            </w:r>
          </w:p>
        </w:tc>
        <w:tc>
          <w:tcPr>
            <w:tcW w:w="1275" w:type="dxa"/>
            <w:vAlign w:val="center"/>
          </w:tcPr>
          <w:p w14:paraId="34C157E5"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1.58</w:t>
            </w:r>
          </w:p>
        </w:tc>
        <w:tc>
          <w:tcPr>
            <w:tcW w:w="1276" w:type="dxa"/>
            <w:vAlign w:val="center"/>
          </w:tcPr>
          <w:p w14:paraId="7855C8A6"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1.68</w:t>
            </w:r>
          </w:p>
        </w:tc>
        <w:tc>
          <w:tcPr>
            <w:tcW w:w="1276" w:type="dxa"/>
            <w:vAlign w:val="center"/>
          </w:tcPr>
          <w:p w14:paraId="0DFF8E0E"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1.79</w:t>
            </w:r>
          </w:p>
        </w:tc>
      </w:tr>
      <w:tr w:rsidR="002520C2" w:rsidRPr="00352FF9" w14:paraId="60096825" w14:textId="77777777" w:rsidTr="00F265C3">
        <w:tc>
          <w:tcPr>
            <w:tcW w:w="2972" w:type="dxa"/>
            <w:vMerge/>
            <w:vAlign w:val="center"/>
          </w:tcPr>
          <w:p w14:paraId="3E9A30B9" w14:textId="77777777" w:rsidR="002520C2" w:rsidRPr="00352FF9" w:rsidRDefault="002520C2" w:rsidP="00F265C3">
            <w:pPr>
              <w:rPr>
                <w:rFonts w:asciiTheme="majorHAnsi" w:hAnsiTheme="majorHAnsi"/>
                <w:color w:val="D32D4A" w:themeColor="accent4" w:themeShade="BF"/>
                <w:sz w:val="18"/>
                <w:szCs w:val="18"/>
              </w:rPr>
            </w:pPr>
          </w:p>
        </w:tc>
        <w:tc>
          <w:tcPr>
            <w:tcW w:w="1275" w:type="dxa"/>
            <w:vAlign w:val="center"/>
          </w:tcPr>
          <w:p w14:paraId="3C4C0F09"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29.4</w:t>
            </w:r>
          </w:p>
        </w:tc>
        <w:tc>
          <w:tcPr>
            <w:tcW w:w="1276" w:type="dxa"/>
            <w:vAlign w:val="center"/>
          </w:tcPr>
          <w:p w14:paraId="4CE9A057"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29.4</w:t>
            </w:r>
          </w:p>
        </w:tc>
        <w:tc>
          <w:tcPr>
            <w:tcW w:w="1275" w:type="dxa"/>
            <w:vAlign w:val="center"/>
          </w:tcPr>
          <w:p w14:paraId="39B8FBCD"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29.2</w:t>
            </w:r>
          </w:p>
        </w:tc>
        <w:tc>
          <w:tcPr>
            <w:tcW w:w="1276" w:type="dxa"/>
            <w:vAlign w:val="center"/>
          </w:tcPr>
          <w:p w14:paraId="08A0CB48"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29.2</w:t>
            </w:r>
          </w:p>
        </w:tc>
        <w:tc>
          <w:tcPr>
            <w:tcW w:w="1276" w:type="dxa"/>
            <w:vAlign w:val="center"/>
          </w:tcPr>
          <w:p w14:paraId="1BA33A89"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29.2</w:t>
            </w:r>
          </w:p>
        </w:tc>
      </w:tr>
      <w:tr w:rsidR="002520C2" w:rsidRPr="00352FF9" w14:paraId="130573F9" w14:textId="77777777" w:rsidTr="00F265C3">
        <w:tc>
          <w:tcPr>
            <w:tcW w:w="2972" w:type="dxa"/>
            <w:vMerge w:val="restart"/>
            <w:vAlign w:val="center"/>
          </w:tcPr>
          <w:p w14:paraId="63ED2D21" w14:textId="77777777" w:rsidR="002520C2" w:rsidRPr="00352FF9" w:rsidRDefault="002520C2" w:rsidP="00F265C3">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Expenditure</w:t>
            </w:r>
          </w:p>
        </w:tc>
        <w:tc>
          <w:tcPr>
            <w:tcW w:w="1275" w:type="dxa"/>
            <w:vAlign w:val="center"/>
          </w:tcPr>
          <w:p w14:paraId="1CE93517"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1.64</w:t>
            </w:r>
          </w:p>
        </w:tc>
        <w:tc>
          <w:tcPr>
            <w:tcW w:w="1276" w:type="dxa"/>
            <w:vAlign w:val="center"/>
          </w:tcPr>
          <w:p w14:paraId="39A66EA0"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1.84</w:t>
            </w:r>
          </w:p>
        </w:tc>
        <w:tc>
          <w:tcPr>
            <w:tcW w:w="1275" w:type="dxa"/>
            <w:vAlign w:val="center"/>
          </w:tcPr>
          <w:p w14:paraId="40EEBD9A"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1.95</w:t>
            </w:r>
          </w:p>
        </w:tc>
        <w:tc>
          <w:tcPr>
            <w:tcW w:w="1276" w:type="dxa"/>
            <w:vAlign w:val="center"/>
          </w:tcPr>
          <w:p w14:paraId="21EC8FBE"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2.04</w:t>
            </w:r>
          </w:p>
        </w:tc>
        <w:tc>
          <w:tcPr>
            <w:tcW w:w="1276" w:type="dxa"/>
            <w:vAlign w:val="center"/>
          </w:tcPr>
          <w:p w14:paraId="0B533ADA"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2.14</w:t>
            </w:r>
          </w:p>
        </w:tc>
      </w:tr>
      <w:tr w:rsidR="002520C2" w:rsidRPr="00352FF9" w14:paraId="4E1FA206" w14:textId="77777777" w:rsidTr="00F265C3">
        <w:tc>
          <w:tcPr>
            <w:tcW w:w="2972" w:type="dxa"/>
            <w:vMerge/>
            <w:vAlign w:val="center"/>
          </w:tcPr>
          <w:p w14:paraId="533EC277" w14:textId="77777777" w:rsidR="002520C2" w:rsidRPr="00352FF9" w:rsidRDefault="002520C2" w:rsidP="00F265C3">
            <w:pPr>
              <w:rPr>
                <w:rFonts w:asciiTheme="majorHAnsi" w:hAnsiTheme="majorHAnsi"/>
                <w:color w:val="D32D4A" w:themeColor="accent4" w:themeShade="BF"/>
                <w:sz w:val="18"/>
                <w:szCs w:val="18"/>
              </w:rPr>
            </w:pPr>
          </w:p>
        </w:tc>
        <w:tc>
          <w:tcPr>
            <w:tcW w:w="1275" w:type="dxa"/>
            <w:vAlign w:val="center"/>
          </w:tcPr>
          <w:p w14:paraId="29B7331D"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33.4</w:t>
            </w:r>
          </w:p>
        </w:tc>
        <w:tc>
          <w:tcPr>
            <w:tcW w:w="1276" w:type="dxa"/>
            <w:vAlign w:val="center"/>
          </w:tcPr>
          <w:p w14:paraId="743097E1"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35.7</w:t>
            </w:r>
          </w:p>
        </w:tc>
        <w:tc>
          <w:tcPr>
            <w:tcW w:w="1275" w:type="dxa"/>
            <w:vAlign w:val="center"/>
          </w:tcPr>
          <w:p w14:paraId="073F835C"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36.0</w:t>
            </w:r>
          </w:p>
        </w:tc>
        <w:tc>
          <w:tcPr>
            <w:tcW w:w="1276" w:type="dxa"/>
            <w:vAlign w:val="center"/>
          </w:tcPr>
          <w:p w14:paraId="2A9F1433"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35.4</w:t>
            </w:r>
          </w:p>
        </w:tc>
        <w:tc>
          <w:tcPr>
            <w:tcW w:w="1276" w:type="dxa"/>
            <w:vAlign w:val="center"/>
          </w:tcPr>
          <w:p w14:paraId="33D6AFB6"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34.9</w:t>
            </w:r>
          </w:p>
        </w:tc>
      </w:tr>
      <w:tr w:rsidR="002520C2" w:rsidRPr="00352FF9" w14:paraId="7E6CCDE1" w14:textId="77777777" w:rsidTr="00F265C3">
        <w:tc>
          <w:tcPr>
            <w:tcW w:w="2972" w:type="dxa"/>
            <w:vMerge w:val="restart"/>
            <w:vAlign w:val="center"/>
          </w:tcPr>
          <w:p w14:paraId="2E978FE8" w14:textId="77777777" w:rsidR="002520C2" w:rsidRPr="00352FF9" w:rsidRDefault="002520C2" w:rsidP="00F265C3">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 xml:space="preserve">Budget balance </w:t>
            </w:r>
          </w:p>
        </w:tc>
        <w:tc>
          <w:tcPr>
            <w:tcW w:w="1275" w:type="dxa"/>
            <w:vAlign w:val="center"/>
          </w:tcPr>
          <w:p w14:paraId="077874F3"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-0.197</w:t>
            </w:r>
          </w:p>
        </w:tc>
        <w:tc>
          <w:tcPr>
            <w:tcW w:w="1276" w:type="dxa"/>
            <w:vAlign w:val="center"/>
          </w:tcPr>
          <w:p w14:paraId="332B5490"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-0.33</w:t>
            </w:r>
          </w:p>
        </w:tc>
        <w:tc>
          <w:tcPr>
            <w:tcW w:w="1275" w:type="dxa"/>
            <w:vAlign w:val="center"/>
          </w:tcPr>
          <w:p w14:paraId="2057DA54"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-0.37</w:t>
            </w:r>
          </w:p>
        </w:tc>
        <w:tc>
          <w:tcPr>
            <w:tcW w:w="1276" w:type="dxa"/>
            <w:vAlign w:val="center"/>
          </w:tcPr>
          <w:p w14:paraId="655F7CF7"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-0.36</w:t>
            </w:r>
          </w:p>
        </w:tc>
        <w:tc>
          <w:tcPr>
            <w:tcW w:w="1276" w:type="dxa"/>
            <w:vAlign w:val="center"/>
          </w:tcPr>
          <w:p w14:paraId="1B49EF44"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-0.35</w:t>
            </w:r>
          </w:p>
        </w:tc>
      </w:tr>
      <w:tr w:rsidR="002520C2" w:rsidRPr="00352FF9" w14:paraId="5A5654C9" w14:textId="77777777" w:rsidTr="00F265C3">
        <w:tc>
          <w:tcPr>
            <w:tcW w:w="2972" w:type="dxa"/>
            <w:vMerge/>
            <w:vAlign w:val="center"/>
          </w:tcPr>
          <w:p w14:paraId="2F232A33" w14:textId="77777777" w:rsidR="002520C2" w:rsidRPr="00352FF9" w:rsidRDefault="002520C2" w:rsidP="00F265C3">
            <w:pPr>
              <w:rPr>
                <w:rFonts w:asciiTheme="majorHAnsi" w:hAnsiTheme="majorHAnsi"/>
                <w:color w:val="D32D4A" w:themeColor="accent4" w:themeShade="BF"/>
                <w:sz w:val="18"/>
                <w:szCs w:val="18"/>
              </w:rPr>
            </w:pPr>
          </w:p>
        </w:tc>
        <w:tc>
          <w:tcPr>
            <w:tcW w:w="1275" w:type="dxa"/>
            <w:vAlign w:val="center"/>
          </w:tcPr>
          <w:p w14:paraId="7316AAEF"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-4.0</w:t>
            </w:r>
          </w:p>
        </w:tc>
        <w:tc>
          <w:tcPr>
            <w:tcW w:w="1276" w:type="dxa"/>
            <w:vAlign w:val="center"/>
          </w:tcPr>
          <w:p w14:paraId="47A88CCF"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-6.3</w:t>
            </w:r>
          </w:p>
        </w:tc>
        <w:tc>
          <w:tcPr>
            <w:tcW w:w="1275" w:type="dxa"/>
            <w:vAlign w:val="center"/>
          </w:tcPr>
          <w:p w14:paraId="282EAFF3"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-6.8</w:t>
            </w:r>
          </w:p>
        </w:tc>
        <w:tc>
          <w:tcPr>
            <w:tcW w:w="1276" w:type="dxa"/>
            <w:vAlign w:val="center"/>
          </w:tcPr>
          <w:p w14:paraId="2220D372"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-6.2</w:t>
            </w:r>
          </w:p>
        </w:tc>
        <w:tc>
          <w:tcPr>
            <w:tcW w:w="1276" w:type="dxa"/>
            <w:vAlign w:val="center"/>
          </w:tcPr>
          <w:p w14:paraId="605C91E8"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-5.7</w:t>
            </w:r>
          </w:p>
        </w:tc>
      </w:tr>
      <w:tr w:rsidR="002520C2" w:rsidRPr="00352FF9" w14:paraId="3D990B08" w14:textId="77777777" w:rsidTr="00F265C3">
        <w:tc>
          <w:tcPr>
            <w:tcW w:w="2972" w:type="dxa"/>
            <w:vMerge w:val="restart"/>
            <w:vAlign w:val="center"/>
          </w:tcPr>
          <w:p w14:paraId="3CFF8540" w14:textId="77777777" w:rsidR="002520C2" w:rsidRPr="00352FF9" w:rsidRDefault="002520C2" w:rsidP="00F265C3">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Total gross loan debt</w:t>
            </w:r>
          </w:p>
        </w:tc>
        <w:tc>
          <w:tcPr>
            <w:tcW w:w="1275" w:type="dxa"/>
            <w:vAlign w:val="center"/>
          </w:tcPr>
          <w:p w14:paraId="31A7C71C"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2.78</w:t>
            </w:r>
          </w:p>
        </w:tc>
        <w:tc>
          <w:tcPr>
            <w:tcW w:w="1276" w:type="dxa"/>
            <w:vAlign w:val="center"/>
          </w:tcPr>
          <w:p w14:paraId="0C8E555E"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2.94</w:t>
            </w:r>
          </w:p>
        </w:tc>
        <w:tc>
          <w:tcPr>
            <w:tcW w:w="1275" w:type="dxa"/>
            <w:vAlign w:val="center"/>
          </w:tcPr>
          <w:p w14:paraId="4B6DA29B"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3.56</w:t>
            </w:r>
          </w:p>
        </w:tc>
        <w:tc>
          <w:tcPr>
            <w:tcW w:w="1276" w:type="dxa"/>
            <w:vAlign w:val="center"/>
          </w:tcPr>
          <w:p w14:paraId="4803FBA2"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4.00</w:t>
            </w:r>
          </w:p>
        </w:tc>
        <w:tc>
          <w:tcPr>
            <w:tcW w:w="1276" w:type="dxa"/>
            <w:vAlign w:val="center"/>
          </w:tcPr>
          <w:p w14:paraId="5BD96232" w14:textId="77777777" w:rsidR="002520C2" w:rsidRPr="00657EEA" w:rsidRDefault="002520C2" w:rsidP="00F265C3">
            <w:pPr>
              <w:jc w:val="center"/>
              <w:rPr>
                <w:rFonts w:asciiTheme="majorHAnsi" w:hAnsiTheme="majorHAnsi"/>
                <w:sz w:val="18"/>
                <w:szCs w:val="18"/>
              </w:rPr>
            </w:pPr>
            <w:r w:rsidRPr="00657EEA">
              <w:rPr>
                <w:rFonts w:asciiTheme="majorHAnsi" w:hAnsiTheme="majorHAnsi"/>
                <w:sz w:val="18"/>
                <w:szCs w:val="18"/>
              </w:rPr>
              <w:t>4.38</w:t>
            </w:r>
          </w:p>
        </w:tc>
      </w:tr>
      <w:tr w:rsidR="002520C2" w:rsidRPr="00352FF9" w14:paraId="321DF2CE" w14:textId="77777777" w:rsidTr="00F265C3">
        <w:tc>
          <w:tcPr>
            <w:tcW w:w="2972" w:type="dxa"/>
            <w:vMerge/>
          </w:tcPr>
          <w:p w14:paraId="3348F6D7" w14:textId="77777777" w:rsidR="002520C2" w:rsidRPr="00352FF9" w:rsidRDefault="002520C2" w:rsidP="00F265C3">
            <w:pPr>
              <w:rPr>
                <w:rFonts w:asciiTheme="majorHAnsi" w:hAnsiTheme="majorHAnsi"/>
                <w:sz w:val="18"/>
                <w:szCs w:val="18"/>
              </w:rPr>
            </w:pPr>
          </w:p>
        </w:tc>
        <w:tc>
          <w:tcPr>
            <w:tcW w:w="1275" w:type="dxa"/>
            <w:vAlign w:val="center"/>
          </w:tcPr>
          <w:p w14:paraId="11327425"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56.7</w:t>
            </w:r>
          </w:p>
        </w:tc>
        <w:tc>
          <w:tcPr>
            <w:tcW w:w="1276" w:type="dxa"/>
            <w:vAlign w:val="center"/>
          </w:tcPr>
          <w:p w14:paraId="579E6158"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61.6</w:t>
            </w:r>
          </w:p>
        </w:tc>
        <w:tc>
          <w:tcPr>
            <w:tcW w:w="1275" w:type="dxa"/>
            <w:vAlign w:val="center"/>
          </w:tcPr>
          <w:p w14:paraId="720945C2"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65.6</w:t>
            </w:r>
          </w:p>
        </w:tc>
        <w:tc>
          <w:tcPr>
            <w:tcW w:w="1276" w:type="dxa"/>
            <w:vAlign w:val="center"/>
          </w:tcPr>
          <w:p w14:paraId="68C606AE"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69.1</w:t>
            </w:r>
          </w:p>
        </w:tc>
        <w:tc>
          <w:tcPr>
            <w:tcW w:w="1276" w:type="dxa"/>
            <w:vAlign w:val="center"/>
          </w:tcPr>
          <w:p w14:paraId="0FFB2DEF" w14:textId="77777777" w:rsidR="002520C2" w:rsidRPr="00657EEA" w:rsidRDefault="002520C2" w:rsidP="00F265C3">
            <w:pPr>
              <w:jc w:val="center"/>
              <w:rPr>
                <w:rFonts w:asciiTheme="majorHAnsi" w:hAnsiTheme="majorHAnsi"/>
                <w:i/>
                <w:sz w:val="18"/>
                <w:szCs w:val="18"/>
              </w:rPr>
            </w:pPr>
            <w:r w:rsidRPr="00657EEA">
              <w:rPr>
                <w:rFonts w:asciiTheme="majorHAnsi" w:hAnsiTheme="majorHAnsi"/>
                <w:i/>
                <w:sz w:val="18"/>
                <w:szCs w:val="18"/>
              </w:rPr>
              <w:t>71.6</w:t>
            </w:r>
          </w:p>
        </w:tc>
      </w:tr>
    </w:tbl>
    <w:p w14:paraId="41F89F87" w14:textId="73EFBA61" w:rsidR="002520C2" w:rsidRDefault="002520C2" w:rsidP="002520C2">
      <w:pPr>
        <w:rPr>
          <w:rFonts w:ascii="Georgia" w:hAnsi="Georgia"/>
          <w:i/>
          <w:sz w:val="20"/>
          <w:szCs w:val="20"/>
        </w:rPr>
      </w:pPr>
      <w:r w:rsidRPr="00621AE0">
        <w:rPr>
          <w:rFonts w:ascii="Georgia" w:hAnsi="Georgia"/>
          <w:i/>
          <w:sz w:val="20"/>
          <w:szCs w:val="20"/>
        </w:rPr>
        <w:t>Source: National Treasury</w:t>
      </w:r>
    </w:p>
    <w:p w14:paraId="6CBA9730" w14:textId="4D470E23" w:rsidR="00E208B6" w:rsidRDefault="00E208B6" w:rsidP="002520C2">
      <w:pPr>
        <w:rPr>
          <w:rFonts w:ascii="Georgia" w:hAnsi="Georgia"/>
          <w:i/>
          <w:sz w:val="20"/>
          <w:szCs w:val="20"/>
        </w:rPr>
      </w:pPr>
    </w:p>
    <w:p w14:paraId="5272B677" w14:textId="6BC46A77" w:rsidR="003C617E" w:rsidRDefault="00E208B6" w:rsidP="00187E8F">
      <w:pPr>
        <w:rPr>
          <w:rFonts w:ascii="Georgia" w:hAnsi="Georgia"/>
          <w:b/>
          <w:bCs/>
        </w:rPr>
      </w:pPr>
      <w:r>
        <w:rPr>
          <w:noProof/>
        </w:rPr>
        <w:lastRenderedPageBreak/>
        <w:drawing>
          <wp:anchor distT="0" distB="0" distL="114300" distR="114300" simplePos="0" relativeHeight="251670528" behindDoc="0" locked="0" layoutInCell="1" allowOverlap="1" wp14:anchorId="657293D7" wp14:editId="1F25A099">
            <wp:simplePos x="0" y="0"/>
            <wp:positionH relativeFrom="column">
              <wp:posOffset>0</wp:posOffset>
            </wp:positionH>
            <wp:positionV relativeFrom="paragraph">
              <wp:posOffset>272</wp:posOffset>
            </wp:positionV>
            <wp:extent cx="1383630" cy="1080000"/>
            <wp:effectExtent l="0" t="0" r="7620" b="6350"/>
            <wp:wrapSquare wrapText="bothSides"/>
            <wp:docPr id="11" name="Picture 11" descr="PwC_Pictograms_Dashboard.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C_Pictograms_Dashboard.z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3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17E">
        <w:rPr>
          <w:rFonts w:ascii="Georgia" w:hAnsi="Georgia"/>
          <w:b/>
          <w:bCs/>
        </w:rPr>
        <w:t>Plans for some saving on the public sector wage bill</w:t>
      </w:r>
    </w:p>
    <w:p w14:paraId="4AEFDBB5" w14:textId="72AAE879" w:rsidR="00275900" w:rsidRDefault="0046387E" w:rsidP="00187E8F">
      <w:pPr>
        <w:rPr>
          <w:rFonts w:ascii="Georgia" w:hAnsi="Georgia"/>
          <w:sz w:val="20"/>
          <w:szCs w:val="20"/>
        </w:rPr>
      </w:pPr>
      <w:r>
        <w:rPr>
          <w:rFonts w:ascii="Georgia" w:hAnsi="Georgia"/>
          <w:sz w:val="20"/>
          <w:szCs w:val="20"/>
        </w:rPr>
        <w:t>Less money to spend means making changes to expenditure. Spending has moved away from capital investment towards consumption spending</w:t>
      </w:r>
      <w:r w:rsidR="001D5D96">
        <w:rPr>
          <w:rFonts w:ascii="Georgia" w:hAnsi="Georgia"/>
          <w:sz w:val="20"/>
          <w:szCs w:val="20"/>
        </w:rPr>
        <w:t xml:space="preserve"> over time</w:t>
      </w:r>
      <w:r>
        <w:rPr>
          <w:rFonts w:ascii="Georgia" w:hAnsi="Georgia"/>
          <w:sz w:val="20"/>
          <w:szCs w:val="20"/>
        </w:rPr>
        <w:t xml:space="preserve">. One </w:t>
      </w:r>
      <w:r w:rsidR="001D5D96">
        <w:rPr>
          <w:rFonts w:ascii="Georgia" w:hAnsi="Georgia"/>
          <w:sz w:val="20"/>
          <w:szCs w:val="20"/>
        </w:rPr>
        <w:t>key challenge</w:t>
      </w:r>
      <w:r>
        <w:rPr>
          <w:rFonts w:ascii="Georgia" w:hAnsi="Georgia"/>
          <w:sz w:val="20"/>
          <w:szCs w:val="20"/>
        </w:rPr>
        <w:t xml:space="preserve"> on the consumption side is the public sector wage bill. The National Treasury reported that real (i.e. inflation-adjusted) public sector salaries have increased by 40% over the past 12 years “</w:t>
      </w:r>
      <w:r w:rsidRPr="001D5D96">
        <w:rPr>
          <w:rFonts w:ascii="Georgia" w:hAnsi="Georgia"/>
          <w:i/>
          <w:iCs/>
          <w:sz w:val="20"/>
          <w:szCs w:val="20"/>
        </w:rPr>
        <w:t>without equivalent increases in productivity</w:t>
      </w:r>
      <w:r>
        <w:rPr>
          <w:rFonts w:ascii="Georgia" w:hAnsi="Georgia"/>
          <w:sz w:val="20"/>
          <w:szCs w:val="20"/>
        </w:rPr>
        <w:t xml:space="preserve">”. </w:t>
      </w:r>
      <w:r w:rsidR="00275900">
        <w:rPr>
          <w:rFonts w:ascii="Georgia" w:hAnsi="Georgia"/>
          <w:sz w:val="20"/>
          <w:szCs w:val="20"/>
        </w:rPr>
        <w:t>The remuneration growth has been “</w:t>
      </w:r>
      <w:r w:rsidR="00275900" w:rsidRPr="001D5D96">
        <w:rPr>
          <w:rFonts w:ascii="Georgia" w:hAnsi="Georgia"/>
          <w:i/>
          <w:iCs/>
          <w:sz w:val="20"/>
          <w:szCs w:val="20"/>
        </w:rPr>
        <w:t>increasingly out of line with the rest of the economy</w:t>
      </w:r>
      <w:r w:rsidR="00275900">
        <w:rPr>
          <w:rFonts w:ascii="Georgia" w:hAnsi="Georgia"/>
          <w:sz w:val="20"/>
          <w:szCs w:val="20"/>
        </w:rPr>
        <w:t xml:space="preserve">”. </w:t>
      </w:r>
    </w:p>
    <w:p w14:paraId="1555CBC9" w14:textId="4DA3C86B" w:rsidR="00015FC6" w:rsidRDefault="0046387E" w:rsidP="00187E8F">
      <w:pPr>
        <w:rPr>
          <w:rFonts w:ascii="Georgia" w:hAnsi="Georgia"/>
          <w:sz w:val="20"/>
          <w:szCs w:val="20"/>
        </w:rPr>
      </w:pPr>
      <w:r>
        <w:rPr>
          <w:rFonts w:ascii="Georgia" w:hAnsi="Georgia"/>
          <w:sz w:val="20"/>
          <w:szCs w:val="20"/>
        </w:rPr>
        <w:t>The government – who is currently locked into a three-year wage agreement with its workers – plans t</w:t>
      </w:r>
      <w:r w:rsidR="00275900">
        <w:rPr>
          <w:rFonts w:ascii="Georgia" w:hAnsi="Georgia"/>
          <w:sz w:val="20"/>
          <w:szCs w:val="20"/>
        </w:rPr>
        <w:t>o</w:t>
      </w:r>
      <w:r>
        <w:rPr>
          <w:rFonts w:ascii="Georgia" w:hAnsi="Georgia"/>
          <w:sz w:val="20"/>
          <w:szCs w:val="20"/>
        </w:rPr>
        <w:t xml:space="preserve"> discuss with labour unions what options are available to reduce staff costs and move the public sector wage bill towards a more sustainable trajectory. Options include changes in cost-of-living allowances, pay progression and other benefits. The Budget Review 2020 did not refer to the possibility of reducing staff </w:t>
      </w:r>
      <w:proofErr w:type="spellStart"/>
      <w:proofErr w:type="gramStart"/>
      <w:r>
        <w:rPr>
          <w:rFonts w:ascii="Georgia" w:hAnsi="Georgia"/>
          <w:sz w:val="20"/>
          <w:szCs w:val="20"/>
        </w:rPr>
        <w:t>numbers</w:t>
      </w:r>
      <w:r w:rsidR="0089052F">
        <w:rPr>
          <w:rFonts w:ascii="Georgia" w:hAnsi="Georgia"/>
          <w:sz w:val="20"/>
          <w:szCs w:val="20"/>
        </w:rPr>
        <w:t>.T</w:t>
      </w:r>
      <w:r w:rsidR="00015FC6">
        <w:rPr>
          <w:rFonts w:ascii="Georgia" w:hAnsi="Georgia"/>
          <w:sz w:val="20"/>
          <w:szCs w:val="20"/>
        </w:rPr>
        <w:t>he</w:t>
      </w:r>
      <w:proofErr w:type="spellEnd"/>
      <w:proofErr w:type="gramEnd"/>
      <w:r w:rsidR="00015FC6">
        <w:rPr>
          <w:rFonts w:ascii="Georgia" w:hAnsi="Georgia"/>
          <w:sz w:val="20"/>
          <w:szCs w:val="20"/>
        </w:rPr>
        <w:t xml:space="preserve"> finance minister instead indicated a need to increase staff in important areas like education, police and healthcare.</w:t>
      </w:r>
    </w:p>
    <w:p w14:paraId="2EC02A04" w14:textId="6D569E88" w:rsidR="000E451C" w:rsidRDefault="0046387E" w:rsidP="00187E8F">
      <w:pPr>
        <w:rPr>
          <w:rFonts w:ascii="Georgia" w:hAnsi="Georgia"/>
          <w:sz w:val="20"/>
          <w:szCs w:val="20"/>
        </w:rPr>
      </w:pPr>
      <w:r>
        <w:rPr>
          <w:rFonts w:ascii="Georgia" w:hAnsi="Georgia"/>
          <w:sz w:val="20"/>
          <w:szCs w:val="20"/>
        </w:rPr>
        <w:t>If the pr</w:t>
      </w:r>
      <w:r w:rsidR="00275900">
        <w:rPr>
          <w:rFonts w:ascii="Georgia" w:hAnsi="Georgia"/>
          <w:sz w:val="20"/>
          <w:szCs w:val="20"/>
        </w:rPr>
        <w:t>o</w:t>
      </w:r>
      <w:r>
        <w:rPr>
          <w:rFonts w:ascii="Georgia" w:hAnsi="Georgia"/>
          <w:sz w:val="20"/>
          <w:szCs w:val="20"/>
        </w:rPr>
        <w:t xml:space="preserve">posed wage reductions can be implemented, </w:t>
      </w:r>
      <w:r w:rsidR="001D5D96">
        <w:rPr>
          <w:rFonts w:ascii="Georgia" w:hAnsi="Georgia"/>
          <w:sz w:val="20"/>
          <w:szCs w:val="20"/>
        </w:rPr>
        <w:t xml:space="preserve">real </w:t>
      </w:r>
      <w:r>
        <w:rPr>
          <w:rFonts w:ascii="Georgia" w:hAnsi="Georgia"/>
          <w:sz w:val="20"/>
          <w:szCs w:val="20"/>
        </w:rPr>
        <w:t>consolidat</w:t>
      </w:r>
      <w:r w:rsidR="001D5D96">
        <w:rPr>
          <w:rFonts w:ascii="Georgia" w:hAnsi="Georgia"/>
          <w:sz w:val="20"/>
          <w:szCs w:val="20"/>
        </w:rPr>
        <w:t xml:space="preserve">ed </w:t>
      </w:r>
      <w:r>
        <w:rPr>
          <w:rFonts w:ascii="Georgia" w:hAnsi="Georgia"/>
          <w:sz w:val="20"/>
          <w:szCs w:val="20"/>
        </w:rPr>
        <w:t xml:space="preserve">compensation spending could decline by </w:t>
      </w:r>
      <w:r w:rsidR="001D5D96">
        <w:rPr>
          <w:rFonts w:ascii="Georgia" w:hAnsi="Georgia"/>
          <w:sz w:val="20"/>
          <w:szCs w:val="20"/>
        </w:rPr>
        <w:t xml:space="preserve">one percentage point an average of </w:t>
      </w:r>
      <w:r w:rsidR="00275900">
        <w:rPr>
          <w:rFonts w:ascii="Georgia" w:hAnsi="Georgia"/>
          <w:sz w:val="20"/>
          <w:szCs w:val="20"/>
        </w:rPr>
        <w:t xml:space="preserve">over the medium term. National and provincial governments are proposed to receive R37.8 billion less for </w:t>
      </w:r>
      <w:r w:rsidR="0089052F">
        <w:rPr>
          <w:rFonts w:ascii="Georgia" w:hAnsi="Georgia"/>
          <w:sz w:val="20"/>
          <w:szCs w:val="20"/>
        </w:rPr>
        <w:t xml:space="preserve">the </w:t>
      </w:r>
      <w:r w:rsidR="00275900">
        <w:rPr>
          <w:rFonts w:ascii="Georgia" w:hAnsi="Georgia"/>
          <w:sz w:val="20"/>
          <w:szCs w:val="20"/>
        </w:rPr>
        <w:t xml:space="preserve">compensation budget in 2020/2021 and a total of R160 billion </w:t>
      </w:r>
      <w:r w:rsidR="001D5D96">
        <w:rPr>
          <w:rFonts w:ascii="Georgia" w:hAnsi="Georgia"/>
          <w:sz w:val="20"/>
          <w:szCs w:val="20"/>
        </w:rPr>
        <w:t>over the</w:t>
      </w:r>
      <w:r w:rsidR="00275900">
        <w:rPr>
          <w:rFonts w:ascii="Georgia" w:hAnsi="Georgia"/>
          <w:sz w:val="20"/>
          <w:szCs w:val="20"/>
        </w:rPr>
        <w:t xml:space="preserve"> three-year budget period. </w:t>
      </w:r>
      <w:r w:rsidR="00BB7811">
        <w:rPr>
          <w:rFonts w:ascii="Georgia" w:hAnsi="Georgia"/>
          <w:sz w:val="20"/>
          <w:szCs w:val="20"/>
        </w:rPr>
        <w:t xml:space="preserve">If this materialises, it will support in </w:t>
      </w:r>
      <w:r w:rsidR="00724578">
        <w:rPr>
          <w:rFonts w:ascii="Georgia" w:hAnsi="Georgia"/>
          <w:sz w:val="20"/>
          <w:szCs w:val="20"/>
        </w:rPr>
        <w:t>limiting</w:t>
      </w:r>
      <w:r w:rsidR="00BB7811">
        <w:rPr>
          <w:rFonts w:ascii="Georgia" w:hAnsi="Georgia"/>
          <w:sz w:val="20"/>
          <w:szCs w:val="20"/>
        </w:rPr>
        <w:t xml:space="preserve"> expenditure growth. </w:t>
      </w:r>
      <w:r w:rsidR="000E451C">
        <w:rPr>
          <w:rFonts w:ascii="Georgia" w:hAnsi="Georgia"/>
          <w:sz w:val="20"/>
          <w:szCs w:val="20"/>
        </w:rPr>
        <w:t>The details still need to be negotiated with labour unions</w:t>
      </w:r>
      <w:r w:rsidR="0089052F">
        <w:rPr>
          <w:rFonts w:ascii="Georgia" w:hAnsi="Georgia"/>
          <w:sz w:val="20"/>
          <w:szCs w:val="20"/>
        </w:rPr>
        <w:t>,</w:t>
      </w:r>
      <w:r w:rsidR="001D5D96">
        <w:rPr>
          <w:rFonts w:ascii="Georgia" w:hAnsi="Georgia"/>
          <w:sz w:val="20"/>
          <w:szCs w:val="20"/>
        </w:rPr>
        <w:t xml:space="preserve"> </w:t>
      </w:r>
      <w:r w:rsidR="000E451C">
        <w:rPr>
          <w:rFonts w:ascii="Georgia" w:hAnsi="Georgia"/>
          <w:sz w:val="20"/>
          <w:szCs w:val="20"/>
        </w:rPr>
        <w:t xml:space="preserve">so the entire R160 million will probably not be secured. </w:t>
      </w:r>
    </w:p>
    <w:p w14:paraId="5A22BA8D" w14:textId="74798CEC" w:rsidR="00701ACA" w:rsidRDefault="00015FC6" w:rsidP="00187E8F">
      <w:pPr>
        <w:rPr>
          <w:rFonts w:ascii="Georgia" w:hAnsi="Georgia"/>
          <w:sz w:val="20"/>
          <w:szCs w:val="20"/>
        </w:rPr>
      </w:pPr>
      <w:r w:rsidRPr="00015FC6">
        <w:rPr>
          <w:rFonts w:ascii="Georgia" w:hAnsi="Georgia"/>
          <w:sz w:val="20"/>
          <w:szCs w:val="20"/>
        </w:rPr>
        <w:t xml:space="preserve">Total consolidated government spending </w:t>
      </w:r>
      <w:r>
        <w:rPr>
          <w:rFonts w:ascii="Georgia" w:hAnsi="Georgia"/>
          <w:sz w:val="20"/>
          <w:szCs w:val="20"/>
        </w:rPr>
        <w:t>will grow by an average of 5.1% over the medium term largely as a result of fast-rising debt service costs.</w:t>
      </w:r>
      <w:r w:rsidR="002520C2">
        <w:rPr>
          <w:rFonts w:ascii="Georgia" w:hAnsi="Georgia"/>
          <w:sz w:val="20"/>
          <w:szCs w:val="20"/>
        </w:rPr>
        <w:t xml:space="preserve"> </w:t>
      </w:r>
      <w:r w:rsidR="00701ACA">
        <w:rPr>
          <w:rFonts w:ascii="Georgia" w:hAnsi="Georgia"/>
          <w:sz w:val="20"/>
          <w:szCs w:val="20"/>
        </w:rPr>
        <w:t xml:space="preserve">This growth rate </w:t>
      </w:r>
      <w:proofErr w:type="gramStart"/>
      <w:r w:rsidR="00701ACA">
        <w:rPr>
          <w:rFonts w:ascii="Georgia" w:hAnsi="Georgia"/>
          <w:sz w:val="20"/>
          <w:szCs w:val="20"/>
        </w:rPr>
        <w:t>takes into account</w:t>
      </w:r>
      <w:proofErr w:type="gramEnd"/>
      <w:r w:rsidR="00701ACA">
        <w:rPr>
          <w:rFonts w:ascii="Georgia" w:hAnsi="Georgia"/>
          <w:sz w:val="20"/>
          <w:szCs w:val="20"/>
        </w:rPr>
        <w:t xml:space="preserve"> R261 billion in programme and wage bill spending reductions., At the same time, R111 billion in additional allocations have been made, including R60 billion towards the financial needs of Eskom and South African airways. </w:t>
      </w:r>
    </w:p>
    <w:p w14:paraId="141C42C7" w14:textId="4ADBF4F7" w:rsidR="00701ACA" w:rsidRDefault="00701ACA" w:rsidP="00187E8F">
      <w:pPr>
        <w:rPr>
          <w:rFonts w:ascii="Georgia" w:hAnsi="Georgia"/>
          <w:sz w:val="20"/>
          <w:szCs w:val="20"/>
        </w:rPr>
      </w:pPr>
      <w:r>
        <w:rPr>
          <w:rFonts w:ascii="Georgia" w:hAnsi="Georgia"/>
          <w:sz w:val="20"/>
          <w:szCs w:val="20"/>
        </w:rPr>
        <w:t>There is no immediate detail on how a proposed state bank and sovereign wealth fund will be financed. President Cyril Ramaphosa indicate</w:t>
      </w:r>
      <w:r w:rsidR="0089052F">
        <w:rPr>
          <w:rFonts w:ascii="Georgia" w:hAnsi="Georgia"/>
          <w:sz w:val="20"/>
          <w:szCs w:val="20"/>
        </w:rPr>
        <w:t>d</w:t>
      </w:r>
      <w:r>
        <w:rPr>
          <w:rFonts w:ascii="Georgia" w:hAnsi="Georgia"/>
          <w:sz w:val="20"/>
          <w:szCs w:val="20"/>
        </w:rPr>
        <w:t xml:space="preserve"> recently that the finance minister would give more information on these two entities in his speech. The state bank was billed as a state-owned financial institution that will be operated as a commercial bank. The sovereign wealth fund could be financed by a </w:t>
      </w:r>
      <w:r w:rsidRPr="00701ACA">
        <w:rPr>
          <w:rFonts w:ascii="Georgia" w:hAnsi="Georgia"/>
          <w:sz w:val="20"/>
          <w:szCs w:val="20"/>
        </w:rPr>
        <w:t>variety of possible funding sources</w:t>
      </w:r>
      <w:r>
        <w:rPr>
          <w:rFonts w:ascii="Georgia" w:hAnsi="Georgia"/>
          <w:sz w:val="20"/>
          <w:szCs w:val="20"/>
        </w:rPr>
        <w:t xml:space="preserve">, with more to be announced in the MTBPS 2020. </w:t>
      </w:r>
    </w:p>
    <w:p w14:paraId="0F079EBD" w14:textId="77777777" w:rsidR="0046387E" w:rsidRPr="00191597" w:rsidRDefault="0046387E" w:rsidP="00187E8F">
      <w:pPr>
        <w:rPr>
          <w:rFonts w:ascii="Georgia" w:hAnsi="Georgia"/>
          <w:sz w:val="20"/>
          <w:szCs w:val="20"/>
        </w:rPr>
      </w:pPr>
    </w:p>
    <w:p w14:paraId="3A3CD2BC" w14:textId="77777777" w:rsidR="00D50F3B" w:rsidRDefault="00187E8F" w:rsidP="00187E8F">
      <w:pPr>
        <w:rPr>
          <w:rFonts w:ascii="Georgia" w:hAnsi="Georgia"/>
          <w:b/>
          <w:bCs/>
        </w:rPr>
      </w:pPr>
      <w:r w:rsidRPr="00505340">
        <w:rPr>
          <w:noProof/>
          <w:sz w:val="24"/>
          <w:szCs w:val="24"/>
        </w:rPr>
        <w:drawing>
          <wp:anchor distT="0" distB="0" distL="114300" distR="114300" simplePos="0" relativeHeight="251667456" behindDoc="0" locked="0" layoutInCell="1" allowOverlap="1" wp14:anchorId="55FEAD89" wp14:editId="265446AD">
            <wp:simplePos x="0" y="0"/>
            <wp:positionH relativeFrom="margin">
              <wp:align>left</wp:align>
            </wp:positionH>
            <wp:positionV relativeFrom="paragraph">
              <wp:posOffset>4313</wp:posOffset>
            </wp:positionV>
            <wp:extent cx="1382116" cy="1080000"/>
            <wp:effectExtent l="0" t="0" r="8890" b="6350"/>
            <wp:wrapSquare wrapText="bothSides"/>
            <wp:docPr id="4" name="Picture 4" descr="PwC_Pictograms_CalculatorTax.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wC_Pictograms_CalculatorTax.zi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211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17E">
        <w:rPr>
          <w:rFonts w:ascii="Georgia" w:hAnsi="Georgia"/>
          <w:b/>
          <w:bCs/>
        </w:rPr>
        <w:t xml:space="preserve">Little impact on budget balance from MTBPS </w:t>
      </w:r>
      <w:r w:rsidR="00D50F3B">
        <w:rPr>
          <w:rFonts w:ascii="Georgia" w:hAnsi="Georgia"/>
          <w:b/>
          <w:bCs/>
        </w:rPr>
        <w:t>warnings</w:t>
      </w:r>
    </w:p>
    <w:p w14:paraId="7252F0F0" w14:textId="77777777" w:rsidR="00505340" w:rsidRDefault="001D33BE" w:rsidP="00187E8F">
      <w:pPr>
        <w:rPr>
          <w:rFonts w:ascii="Georgia" w:hAnsi="Georgia"/>
          <w:sz w:val="20"/>
          <w:szCs w:val="20"/>
        </w:rPr>
      </w:pPr>
      <w:r w:rsidRPr="001D33BE">
        <w:rPr>
          <w:rFonts w:ascii="Georgia" w:hAnsi="Georgia"/>
          <w:sz w:val="20"/>
          <w:szCs w:val="20"/>
        </w:rPr>
        <w:t xml:space="preserve">The MTBPS </w:t>
      </w:r>
      <w:r w:rsidR="00336D62">
        <w:rPr>
          <w:rFonts w:ascii="Georgia" w:hAnsi="Georgia"/>
          <w:sz w:val="20"/>
          <w:szCs w:val="20"/>
        </w:rPr>
        <w:t xml:space="preserve">2019 </w:t>
      </w:r>
      <w:r w:rsidRPr="001D33BE">
        <w:rPr>
          <w:rFonts w:ascii="Georgia" w:hAnsi="Georgia"/>
          <w:sz w:val="20"/>
          <w:szCs w:val="20"/>
        </w:rPr>
        <w:t xml:space="preserve">set out plans for the </w:t>
      </w:r>
      <w:r>
        <w:rPr>
          <w:rFonts w:ascii="Georgia" w:hAnsi="Georgia"/>
          <w:sz w:val="20"/>
          <w:szCs w:val="20"/>
        </w:rPr>
        <w:t xml:space="preserve">central government to achieve a </w:t>
      </w:r>
      <w:r w:rsidRPr="001D33BE">
        <w:rPr>
          <w:rFonts w:ascii="Georgia" w:hAnsi="Georgia"/>
          <w:sz w:val="20"/>
          <w:szCs w:val="20"/>
        </w:rPr>
        <w:t>main budget primary balance – i.e. revenue equal to non-interest expenditure – by 2022/23</w:t>
      </w:r>
      <w:r>
        <w:rPr>
          <w:rFonts w:ascii="Georgia" w:hAnsi="Georgia"/>
          <w:sz w:val="20"/>
          <w:szCs w:val="20"/>
        </w:rPr>
        <w:t xml:space="preserve">. Given the above, the National Treasury had to admit that this aim is now out of reach. </w:t>
      </w:r>
      <w:r w:rsidR="00505340">
        <w:rPr>
          <w:rFonts w:ascii="Georgia" w:hAnsi="Georgia"/>
          <w:sz w:val="20"/>
          <w:szCs w:val="20"/>
        </w:rPr>
        <w:t xml:space="preserve">The departure point for their goal is turning out to be a bad starting point, with the fiscal deficit set to widen to </w:t>
      </w:r>
      <w:r w:rsidR="00505340" w:rsidRPr="00505340">
        <w:rPr>
          <w:rFonts w:ascii="Georgia" w:hAnsi="Georgia"/>
          <w:sz w:val="20"/>
          <w:szCs w:val="20"/>
        </w:rPr>
        <w:t>6.3% of GDP – in line with PwC expectations</w:t>
      </w:r>
      <w:r w:rsidR="00505340">
        <w:rPr>
          <w:rFonts w:ascii="Georgia" w:hAnsi="Georgia"/>
          <w:sz w:val="20"/>
          <w:szCs w:val="20"/>
        </w:rPr>
        <w:t xml:space="preserve"> – in the current financial year.</w:t>
      </w:r>
    </w:p>
    <w:p w14:paraId="49151797" w14:textId="7AFC7713" w:rsidR="00A11ABB" w:rsidRDefault="00505340" w:rsidP="00187E8F">
      <w:pPr>
        <w:rPr>
          <w:rFonts w:ascii="Georgia" w:hAnsi="Georgia"/>
          <w:b/>
          <w:bCs/>
          <w:sz w:val="20"/>
          <w:szCs w:val="20"/>
        </w:rPr>
      </w:pPr>
      <w:proofErr w:type="gramStart"/>
      <w:r>
        <w:rPr>
          <w:rFonts w:ascii="Georgia" w:hAnsi="Georgia"/>
          <w:sz w:val="20"/>
          <w:szCs w:val="20"/>
        </w:rPr>
        <w:t>Taking into account</w:t>
      </w:r>
      <w:proofErr w:type="gramEnd"/>
      <w:r>
        <w:rPr>
          <w:rFonts w:ascii="Georgia" w:hAnsi="Georgia"/>
          <w:sz w:val="20"/>
          <w:szCs w:val="20"/>
        </w:rPr>
        <w:t xml:space="preserve"> the above information in income and expenditure, the National Treasury estimates that the fiscal budget deficit will widen to 6.8% of GDP in 2020/2021. This is a massive departure from a figure of 4.3% presented a year ago. The proposed fiscal deficit will be the largest since </w:t>
      </w:r>
      <w:r w:rsidR="00652D65">
        <w:rPr>
          <w:rFonts w:ascii="Georgia" w:hAnsi="Georgia"/>
          <w:sz w:val="20"/>
          <w:szCs w:val="20"/>
        </w:rPr>
        <w:t>1992</w:t>
      </w:r>
      <w:r>
        <w:rPr>
          <w:rFonts w:ascii="Georgia" w:hAnsi="Georgia"/>
          <w:sz w:val="20"/>
          <w:szCs w:val="20"/>
        </w:rPr>
        <w:t xml:space="preserve">. The reality of this situation is that the dire MTBPS 2019 – aimed at scaring </w:t>
      </w:r>
      <w:r w:rsidR="007E4C7C">
        <w:rPr>
          <w:rFonts w:ascii="Georgia" w:hAnsi="Georgia"/>
          <w:sz w:val="20"/>
          <w:szCs w:val="20"/>
        </w:rPr>
        <w:t xml:space="preserve">key people </w:t>
      </w:r>
      <w:r>
        <w:rPr>
          <w:rFonts w:ascii="Georgia" w:hAnsi="Georgia"/>
          <w:sz w:val="20"/>
          <w:szCs w:val="20"/>
        </w:rPr>
        <w:t xml:space="preserve">into realising how desperately </w:t>
      </w:r>
      <w:r w:rsidR="007E4C7C">
        <w:rPr>
          <w:rFonts w:ascii="Georgia" w:hAnsi="Georgia"/>
          <w:sz w:val="20"/>
          <w:szCs w:val="20"/>
        </w:rPr>
        <w:t xml:space="preserve">the country needs to </w:t>
      </w:r>
      <w:r>
        <w:rPr>
          <w:rFonts w:ascii="Georgia" w:hAnsi="Georgia"/>
          <w:sz w:val="20"/>
          <w:szCs w:val="20"/>
        </w:rPr>
        <w:t xml:space="preserve">make changes to the economy and fiscal scenario – has largely fallen on deaf ears. </w:t>
      </w:r>
    </w:p>
    <w:p w14:paraId="0CD172D4" w14:textId="77777777" w:rsidR="0089052F" w:rsidRDefault="0089052F" w:rsidP="00187E8F">
      <w:pPr>
        <w:rPr>
          <w:rFonts w:ascii="Georgia" w:hAnsi="Georgia"/>
          <w:i/>
          <w:iCs/>
          <w:sz w:val="20"/>
          <w:szCs w:val="20"/>
        </w:rPr>
      </w:pPr>
    </w:p>
    <w:p w14:paraId="55E73419" w14:textId="77777777" w:rsidR="0089052F" w:rsidRDefault="0089052F" w:rsidP="00187E8F">
      <w:pPr>
        <w:rPr>
          <w:rFonts w:ascii="Georgia" w:hAnsi="Georgia"/>
          <w:i/>
          <w:iCs/>
          <w:sz w:val="20"/>
          <w:szCs w:val="20"/>
        </w:rPr>
      </w:pPr>
    </w:p>
    <w:p w14:paraId="760567A9" w14:textId="5A2EF12D" w:rsidR="00A11ABB" w:rsidRPr="00A11ABB" w:rsidRDefault="00A11ABB" w:rsidP="00187E8F">
      <w:pPr>
        <w:rPr>
          <w:rFonts w:ascii="Georgia" w:hAnsi="Georgia"/>
          <w:i/>
          <w:iCs/>
          <w:sz w:val="20"/>
          <w:szCs w:val="20"/>
        </w:rPr>
      </w:pPr>
      <w:r w:rsidRPr="00A11ABB">
        <w:rPr>
          <w:rFonts w:ascii="Georgia" w:hAnsi="Georgia"/>
          <w:i/>
          <w:iCs/>
          <w:sz w:val="20"/>
          <w:szCs w:val="20"/>
        </w:rPr>
        <w:lastRenderedPageBreak/>
        <w:t xml:space="preserve">Figure 2: </w:t>
      </w:r>
      <w:r>
        <w:rPr>
          <w:rFonts w:ascii="Georgia" w:hAnsi="Georgia"/>
          <w:i/>
          <w:iCs/>
          <w:sz w:val="20"/>
          <w:szCs w:val="20"/>
        </w:rPr>
        <w:t>Budget deficit (% of GDP) widen</w:t>
      </w:r>
      <w:r w:rsidR="00505340">
        <w:rPr>
          <w:rFonts w:ascii="Georgia" w:hAnsi="Georgia"/>
          <w:i/>
          <w:iCs/>
          <w:sz w:val="20"/>
          <w:szCs w:val="20"/>
        </w:rPr>
        <w:t xml:space="preserve">ing </w:t>
      </w:r>
      <w:r>
        <w:rPr>
          <w:rFonts w:ascii="Georgia" w:hAnsi="Georgia"/>
          <w:i/>
          <w:iCs/>
          <w:sz w:val="20"/>
          <w:szCs w:val="20"/>
        </w:rPr>
        <w:t xml:space="preserve">to largest in </w:t>
      </w:r>
      <w:r w:rsidR="007E4C7C">
        <w:rPr>
          <w:rFonts w:ascii="Georgia" w:hAnsi="Georgia"/>
          <w:i/>
          <w:iCs/>
          <w:sz w:val="20"/>
          <w:szCs w:val="20"/>
        </w:rPr>
        <w:t>almost three decades</w:t>
      </w:r>
    </w:p>
    <w:p w14:paraId="2799B18B" w14:textId="30AC5000" w:rsidR="00A11ABB" w:rsidRDefault="00A11ABB" w:rsidP="00187E8F">
      <w:pPr>
        <w:rPr>
          <w:rFonts w:ascii="Georgia" w:hAnsi="Georgia"/>
          <w:b/>
          <w:bCs/>
          <w:sz w:val="20"/>
          <w:szCs w:val="20"/>
        </w:rPr>
      </w:pPr>
      <w:r>
        <w:rPr>
          <w:noProof/>
        </w:rPr>
        <w:drawing>
          <wp:inline distT="0" distB="0" distL="0" distR="0" wp14:anchorId="5D85D981" wp14:editId="52164CBD">
            <wp:extent cx="5893806" cy="1655445"/>
            <wp:effectExtent l="0" t="0" r="12065" b="1905"/>
            <wp:docPr id="9" name="Chart 9">
              <a:extLst xmlns:a="http://schemas.openxmlformats.org/drawingml/2006/main">
                <a:ext uri="{FF2B5EF4-FFF2-40B4-BE49-F238E27FC236}">
                  <a16:creationId xmlns:a16="http://schemas.microsoft.com/office/drawing/2014/main" id="{D1F943CD-C95B-45CE-87D4-59405AFBF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E4D560" w14:textId="62BD9B64" w:rsidR="00187E8F" w:rsidRDefault="00A11ABB" w:rsidP="00187E8F">
      <w:pPr>
        <w:rPr>
          <w:rFonts w:ascii="Georgia" w:hAnsi="Georgia"/>
          <w:sz w:val="20"/>
          <w:szCs w:val="20"/>
        </w:rPr>
      </w:pPr>
      <w:r w:rsidRPr="00A11ABB">
        <w:rPr>
          <w:rFonts w:ascii="Georgia" w:hAnsi="Georgia"/>
          <w:i/>
          <w:iCs/>
          <w:sz w:val="20"/>
          <w:szCs w:val="20"/>
        </w:rPr>
        <w:t>Source: National Treasury</w:t>
      </w:r>
    </w:p>
    <w:p w14:paraId="228EE6BE" w14:textId="0C492459" w:rsidR="00505340" w:rsidRDefault="00505340" w:rsidP="00187E8F">
      <w:pPr>
        <w:rPr>
          <w:rFonts w:ascii="Georgia" w:hAnsi="Georgia"/>
          <w:sz w:val="20"/>
          <w:szCs w:val="20"/>
        </w:rPr>
      </w:pPr>
      <w:r>
        <w:rPr>
          <w:rFonts w:ascii="Georgia" w:hAnsi="Georgia"/>
          <w:sz w:val="20"/>
          <w:szCs w:val="20"/>
        </w:rPr>
        <w:t xml:space="preserve">Budget Review 2020 also listed some risks to this already bleak outlook. These include insufficient progress in righting the ship at Eskom, an underwhelming outcome with the renegotiation of public sector remuneration, and a lack of clarity on a solution to the fiscus-draining e-tolls. </w:t>
      </w:r>
      <w:r w:rsidR="003C617E">
        <w:rPr>
          <w:rFonts w:ascii="Georgia" w:hAnsi="Georgia"/>
          <w:sz w:val="20"/>
          <w:szCs w:val="20"/>
        </w:rPr>
        <w:t xml:space="preserve">Progress on all three of these points have been slower than required to reduce their impact on the fiscal situation. </w:t>
      </w:r>
    </w:p>
    <w:p w14:paraId="45D988D7" w14:textId="6F7AA72D" w:rsidR="00505340" w:rsidRPr="00505340" w:rsidRDefault="00505340" w:rsidP="00187E8F">
      <w:pPr>
        <w:rPr>
          <w:rFonts w:ascii="Georgia" w:hAnsi="Georgia"/>
          <w:sz w:val="20"/>
          <w:szCs w:val="20"/>
        </w:rPr>
      </w:pPr>
    </w:p>
    <w:p w14:paraId="299F8F89" w14:textId="29ADB800" w:rsidR="00187E8F" w:rsidRPr="003C617E" w:rsidRDefault="00B27011" w:rsidP="00187E8F">
      <w:pPr>
        <w:rPr>
          <w:rFonts w:ascii="Georgia" w:hAnsi="Georgia"/>
          <w:b/>
          <w:bCs/>
        </w:rPr>
      </w:pPr>
      <w:r w:rsidRPr="003C617E">
        <w:rPr>
          <w:noProof/>
          <w:sz w:val="24"/>
          <w:szCs w:val="24"/>
        </w:rPr>
        <w:drawing>
          <wp:anchor distT="0" distB="0" distL="114300" distR="114300" simplePos="0" relativeHeight="251668480" behindDoc="0" locked="0" layoutInCell="1" allowOverlap="1" wp14:anchorId="0A280F87" wp14:editId="25D9618B">
            <wp:simplePos x="0" y="0"/>
            <wp:positionH relativeFrom="margin">
              <wp:align>left</wp:align>
            </wp:positionH>
            <wp:positionV relativeFrom="paragraph">
              <wp:posOffset>3810</wp:posOffset>
            </wp:positionV>
            <wp:extent cx="1381760" cy="1079500"/>
            <wp:effectExtent l="0" t="0" r="8890" b="6350"/>
            <wp:wrapSquare wrapText="bothSides"/>
            <wp:docPr id="5" name="Picture 5" descr="PwC_Pictograms_Presentation.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wC_Pictograms_Presentation.z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76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bCs/>
        </w:rPr>
        <w:t>Public debt heading only one way: up</w:t>
      </w:r>
    </w:p>
    <w:p w14:paraId="6AFAD39B" w14:textId="67518A27" w:rsidR="003C617E" w:rsidRDefault="00DF355F" w:rsidP="00DF355F">
      <w:pPr>
        <w:rPr>
          <w:rFonts w:ascii="Georgia" w:hAnsi="Georgia"/>
          <w:sz w:val="20"/>
          <w:szCs w:val="20"/>
        </w:rPr>
      </w:pPr>
      <w:r>
        <w:rPr>
          <w:rFonts w:ascii="Georgia" w:hAnsi="Georgia"/>
          <w:sz w:val="20"/>
          <w:szCs w:val="20"/>
        </w:rPr>
        <w:t>It is important to note</w:t>
      </w:r>
      <w:r w:rsidR="003C617E">
        <w:rPr>
          <w:rFonts w:ascii="Georgia" w:hAnsi="Georgia"/>
          <w:sz w:val="20"/>
          <w:szCs w:val="20"/>
        </w:rPr>
        <w:t xml:space="preserve"> that the </w:t>
      </w:r>
      <w:r>
        <w:rPr>
          <w:rFonts w:ascii="Georgia" w:hAnsi="Georgia"/>
          <w:sz w:val="20"/>
          <w:szCs w:val="20"/>
        </w:rPr>
        <w:t xml:space="preserve">pro-consumer </w:t>
      </w:r>
      <w:r w:rsidR="003C617E">
        <w:rPr>
          <w:rFonts w:ascii="Georgia" w:hAnsi="Georgia"/>
          <w:sz w:val="20"/>
          <w:szCs w:val="20"/>
        </w:rPr>
        <w:t xml:space="preserve">fiscal </w:t>
      </w:r>
      <w:r>
        <w:rPr>
          <w:rFonts w:ascii="Georgia" w:hAnsi="Georgia"/>
          <w:sz w:val="20"/>
          <w:szCs w:val="20"/>
        </w:rPr>
        <w:t xml:space="preserve">stance – not </w:t>
      </w:r>
      <w:r w:rsidR="001D5D96">
        <w:rPr>
          <w:rFonts w:ascii="Georgia" w:hAnsi="Georgia"/>
          <w:sz w:val="20"/>
          <w:szCs w:val="20"/>
        </w:rPr>
        <w:t>increasing VAT</w:t>
      </w:r>
      <w:r>
        <w:rPr>
          <w:rFonts w:ascii="Georgia" w:hAnsi="Georgia"/>
          <w:sz w:val="20"/>
          <w:szCs w:val="20"/>
        </w:rPr>
        <w:t xml:space="preserve"> and above-inflation PIT relief – is a short-term boost to the economy with long-term implications. Easing the household tax burden today requires increased government borrowing tomorrow, and a higher debt burden for taxpayers to carry in the future. </w:t>
      </w:r>
      <w:r w:rsidR="003C617E">
        <w:rPr>
          <w:rFonts w:ascii="Georgia" w:hAnsi="Georgia"/>
          <w:sz w:val="20"/>
          <w:szCs w:val="20"/>
        </w:rPr>
        <w:t xml:space="preserve">By not </w:t>
      </w:r>
      <w:r w:rsidR="0089052F">
        <w:rPr>
          <w:rFonts w:ascii="Georgia" w:hAnsi="Georgia"/>
          <w:sz w:val="20"/>
          <w:szCs w:val="20"/>
        </w:rPr>
        <w:t xml:space="preserve">further </w:t>
      </w:r>
      <w:r w:rsidR="003C617E">
        <w:rPr>
          <w:rFonts w:ascii="Georgia" w:hAnsi="Georgia"/>
          <w:sz w:val="20"/>
          <w:szCs w:val="20"/>
        </w:rPr>
        <w:t>cutting spending</w:t>
      </w:r>
      <w:r w:rsidR="0089052F">
        <w:rPr>
          <w:rFonts w:ascii="Georgia" w:hAnsi="Georgia"/>
          <w:sz w:val="20"/>
          <w:szCs w:val="20"/>
        </w:rPr>
        <w:t xml:space="preserve"> (over and above the ones discussed above)</w:t>
      </w:r>
      <w:r w:rsidR="003C617E">
        <w:rPr>
          <w:rFonts w:ascii="Georgia" w:hAnsi="Georgia"/>
          <w:sz w:val="20"/>
          <w:szCs w:val="20"/>
        </w:rPr>
        <w:t xml:space="preserve"> and/or lifting tax rates, the National Treasury has kept the budget deficit very wide. </w:t>
      </w:r>
    </w:p>
    <w:p w14:paraId="72068B79" w14:textId="7F9DFA11" w:rsidR="003C617E" w:rsidRDefault="003C617E" w:rsidP="00DF355F">
      <w:pPr>
        <w:rPr>
          <w:rFonts w:ascii="Georgia" w:hAnsi="Georgia"/>
          <w:sz w:val="20"/>
          <w:szCs w:val="20"/>
        </w:rPr>
      </w:pPr>
      <w:r>
        <w:rPr>
          <w:rFonts w:ascii="Georgia" w:hAnsi="Georgia"/>
          <w:sz w:val="20"/>
          <w:szCs w:val="20"/>
        </w:rPr>
        <w:t xml:space="preserve">Current deficit </w:t>
      </w:r>
      <w:r w:rsidR="00F265C3">
        <w:rPr>
          <w:rFonts w:ascii="Georgia" w:hAnsi="Georgia"/>
          <w:sz w:val="20"/>
          <w:szCs w:val="20"/>
        </w:rPr>
        <w:t>projections</w:t>
      </w:r>
      <w:r>
        <w:rPr>
          <w:rFonts w:ascii="Georgia" w:hAnsi="Georgia"/>
          <w:sz w:val="20"/>
          <w:szCs w:val="20"/>
        </w:rPr>
        <w:t xml:space="preserve"> are not </w:t>
      </w:r>
      <w:r w:rsidR="00F265C3">
        <w:rPr>
          <w:rFonts w:ascii="Georgia" w:hAnsi="Georgia"/>
          <w:sz w:val="20"/>
          <w:szCs w:val="20"/>
        </w:rPr>
        <w:t>significantly</w:t>
      </w:r>
      <w:r>
        <w:rPr>
          <w:rFonts w:ascii="Georgia" w:hAnsi="Georgia"/>
          <w:sz w:val="20"/>
          <w:szCs w:val="20"/>
        </w:rPr>
        <w:t xml:space="preserve"> different form </w:t>
      </w:r>
      <w:r w:rsidR="00F265C3">
        <w:rPr>
          <w:rFonts w:ascii="Georgia" w:hAnsi="Georgia"/>
          <w:sz w:val="20"/>
          <w:szCs w:val="20"/>
        </w:rPr>
        <w:t>those</w:t>
      </w:r>
      <w:r>
        <w:rPr>
          <w:rFonts w:ascii="Georgia" w:hAnsi="Georgia"/>
          <w:sz w:val="20"/>
          <w:szCs w:val="20"/>
        </w:rPr>
        <w:t xml:space="preserve"> presented in the MTBPS 2019. As such, the public debt </w:t>
      </w:r>
      <w:r w:rsidR="00F265C3">
        <w:rPr>
          <w:rFonts w:ascii="Georgia" w:hAnsi="Georgia"/>
          <w:sz w:val="20"/>
          <w:szCs w:val="20"/>
        </w:rPr>
        <w:t xml:space="preserve">trajectory </w:t>
      </w:r>
      <w:r>
        <w:rPr>
          <w:rFonts w:ascii="Georgia" w:hAnsi="Georgia"/>
          <w:sz w:val="20"/>
          <w:szCs w:val="20"/>
        </w:rPr>
        <w:t xml:space="preserve">is also not much different from that </w:t>
      </w:r>
      <w:r w:rsidR="00F265C3">
        <w:rPr>
          <w:rFonts w:ascii="Georgia" w:hAnsi="Georgia"/>
          <w:sz w:val="20"/>
          <w:szCs w:val="20"/>
        </w:rPr>
        <w:t>envisioned</w:t>
      </w:r>
      <w:r>
        <w:rPr>
          <w:rFonts w:ascii="Georgia" w:hAnsi="Georgia"/>
          <w:sz w:val="20"/>
          <w:szCs w:val="20"/>
        </w:rPr>
        <w:t xml:space="preserve"> some four months ago. Nonetheless, the outlook is much worse than it was a year ago, and public debt is rising to</w:t>
      </w:r>
      <w:r w:rsidR="00F265C3">
        <w:rPr>
          <w:rFonts w:ascii="Georgia" w:hAnsi="Georgia"/>
          <w:sz w:val="20"/>
          <w:szCs w:val="20"/>
        </w:rPr>
        <w:t xml:space="preserve"> above 70% of GDP.</w:t>
      </w:r>
      <w:r>
        <w:rPr>
          <w:rFonts w:ascii="Georgia" w:hAnsi="Georgia"/>
          <w:sz w:val="20"/>
          <w:szCs w:val="20"/>
        </w:rPr>
        <w:t xml:space="preserve"> </w:t>
      </w:r>
      <w:r w:rsidR="00F265C3">
        <w:rPr>
          <w:rFonts w:ascii="Georgia" w:hAnsi="Georgia"/>
          <w:sz w:val="20"/>
          <w:szCs w:val="20"/>
        </w:rPr>
        <w:t xml:space="preserve">This is already notably higher than a level of 60% of GDP which the International Monetary Fund 9IMF) has in the past referred to as “uncomfortable”. </w:t>
      </w:r>
    </w:p>
    <w:p w14:paraId="7B145D98" w14:textId="5039519A" w:rsidR="003C617E" w:rsidRPr="003C617E" w:rsidRDefault="003C617E" w:rsidP="00DF355F">
      <w:pPr>
        <w:rPr>
          <w:rFonts w:ascii="Georgia" w:hAnsi="Georgia"/>
          <w:i/>
          <w:iCs/>
          <w:sz w:val="20"/>
          <w:szCs w:val="20"/>
        </w:rPr>
      </w:pPr>
      <w:r w:rsidRPr="003C617E">
        <w:rPr>
          <w:rFonts w:ascii="Georgia" w:hAnsi="Georgia"/>
          <w:i/>
          <w:iCs/>
          <w:sz w:val="20"/>
          <w:szCs w:val="20"/>
        </w:rPr>
        <w:t xml:space="preserve">Figure 3: Public debt (% of GDP) </w:t>
      </w:r>
      <w:r>
        <w:rPr>
          <w:rFonts w:ascii="Georgia" w:hAnsi="Georgia"/>
          <w:i/>
          <w:iCs/>
          <w:sz w:val="20"/>
          <w:szCs w:val="20"/>
        </w:rPr>
        <w:t>outlook keeps deteriorating</w:t>
      </w:r>
    </w:p>
    <w:p w14:paraId="69523FB4" w14:textId="37FC2255" w:rsidR="00187E8F" w:rsidRDefault="003C617E" w:rsidP="00187E8F">
      <w:pPr>
        <w:rPr>
          <w:rFonts w:ascii="Georgia" w:hAnsi="Georgia"/>
          <w:sz w:val="20"/>
          <w:szCs w:val="20"/>
        </w:rPr>
      </w:pPr>
      <w:r>
        <w:rPr>
          <w:noProof/>
        </w:rPr>
        <w:drawing>
          <wp:inline distT="0" distB="0" distL="0" distR="0" wp14:anchorId="5EBDF73C" wp14:editId="4E330230">
            <wp:extent cx="5940000" cy="1656000"/>
            <wp:effectExtent l="0" t="0" r="3810" b="1905"/>
            <wp:docPr id="10" name="Chart 10">
              <a:extLst xmlns:a="http://schemas.openxmlformats.org/drawingml/2006/main">
                <a:ext uri="{FF2B5EF4-FFF2-40B4-BE49-F238E27FC236}">
                  <a16:creationId xmlns:a16="http://schemas.microsoft.com/office/drawing/2014/main" id="{3D972ECC-20CE-43B3-8DFF-368BF5549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62BA6E" w14:textId="69355A0E" w:rsidR="00187E8F" w:rsidRDefault="003C617E" w:rsidP="00187E8F">
      <w:pPr>
        <w:rPr>
          <w:rFonts w:ascii="Georgia" w:hAnsi="Georgia"/>
          <w:i/>
          <w:iCs/>
          <w:sz w:val="20"/>
          <w:szCs w:val="20"/>
        </w:rPr>
      </w:pPr>
      <w:r w:rsidRPr="00B27011">
        <w:rPr>
          <w:rFonts w:ascii="Georgia" w:hAnsi="Georgia"/>
          <w:i/>
          <w:iCs/>
          <w:sz w:val="20"/>
          <w:szCs w:val="20"/>
        </w:rPr>
        <w:t>Source: National Treasury</w:t>
      </w:r>
    </w:p>
    <w:p w14:paraId="63332903" w14:textId="77777777" w:rsidR="00187E8F" w:rsidRDefault="00187E8F" w:rsidP="00187E8F">
      <w:pPr>
        <w:rPr>
          <w:rFonts w:ascii="Georgia" w:hAnsi="Georgia"/>
          <w:b/>
          <w:bCs/>
          <w:sz w:val="20"/>
          <w:szCs w:val="20"/>
        </w:rPr>
      </w:pPr>
      <w:r>
        <w:rPr>
          <w:noProof/>
        </w:rPr>
        <w:lastRenderedPageBreak/>
        <w:drawing>
          <wp:anchor distT="0" distB="0" distL="114300" distR="114300" simplePos="0" relativeHeight="251669504" behindDoc="0" locked="0" layoutInCell="1" allowOverlap="1" wp14:anchorId="152EB14C" wp14:editId="3B545E77">
            <wp:simplePos x="0" y="0"/>
            <wp:positionH relativeFrom="margin">
              <wp:align>left</wp:align>
            </wp:positionH>
            <wp:positionV relativeFrom="paragraph">
              <wp:posOffset>3810</wp:posOffset>
            </wp:positionV>
            <wp:extent cx="1381760" cy="1079500"/>
            <wp:effectExtent l="0" t="0" r="8890" b="6350"/>
            <wp:wrapSquare wrapText="bothSides"/>
            <wp:docPr id="6" name="Picture 6" descr="PwC_Pictograms_Infrastructure.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wC_Pictograms_Infrastructure.zi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76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bCs/>
          <w:sz w:val="20"/>
          <w:szCs w:val="20"/>
        </w:rPr>
        <w:t>High noon: ratings and bailouts</w:t>
      </w:r>
    </w:p>
    <w:p w14:paraId="3CB94C14" w14:textId="13B69D1D" w:rsidR="00187E8F" w:rsidRDefault="00E92966" w:rsidP="00187E8F">
      <w:pPr>
        <w:rPr>
          <w:rFonts w:ascii="Georgia" w:hAnsi="Georgia"/>
          <w:sz w:val="20"/>
          <w:szCs w:val="20"/>
        </w:rPr>
      </w:pPr>
      <w:r>
        <w:rPr>
          <w:rFonts w:ascii="Georgia" w:hAnsi="Georgia"/>
          <w:sz w:val="20"/>
          <w:szCs w:val="20"/>
        </w:rPr>
        <w:t>The Budget Review 202</w:t>
      </w:r>
      <w:r w:rsidR="00724578">
        <w:rPr>
          <w:rFonts w:ascii="Georgia" w:hAnsi="Georgia"/>
          <w:sz w:val="20"/>
          <w:szCs w:val="20"/>
        </w:rPr>
        <w:t>0</w:t>
      </w:r>
      <w:r>
        <w:rPr>
          <w:rFonts w:ascii="Georgia" w:hAnsi="Georgia"/>
          <w:sz w:val="20"/>
          <w:szCs w:val="20"/>
        </w:rPr>
        <w:t xml:space="preserve"> acknowledges that </w:t>
      </w:r>
      <w:r w:rsidRPr="001D5D96">
        <w:rPr>
          <w:rFonts w:ascii="Georgia" w:hAnsi="Georgia"/>
          <w:i/>
          <w:iCs/>
          <w:sz w:val="20"/>
          <w:szCs w:val="20"/>
        </w:rPr>
        <w:t xml:space="preserve">“[t]he </w:t>
      </w:r>
      <w:proofErr w:type="gramStart"/>
      <w:r w:rsidRPr="001D5D96">
        <w:rPr>
          <w:rFonts w:ascii="Georgia" w:hAnsi="Georgia"/>
          <w:i/>
          <w:iCs/>
          <w:sz w:val="20"/>
          <w:szCs w:val="20"/>
        </w:rPr>
        <w:t>risk</w:t>
      </w:r>
      <w:proofErr w:type="gramEnd"/>
      <w:r w:rsidRPr="001D5D96">
        <w:rPr>
          <w:rFonts w:ascii="Georgia" w:hAnsi="Georgia"/>
          <w:i/>
          <w:iCs/>
          <w:sz w:val="20"/>
          <w:szCs w:val="20"/>
        </w:rPr>
        <w:t xml:space="preserve"> to South Africa’s remaining </w:t>
      </w:r>
      <w:r w:rsidR="00F265C3" w:rsidRPr="001D5D96">
        <w:rPr>
          <w:rFonts w:ascii="Georgia" w:hAnsi="Georgia"/>
          <w:i/>
          <w:iCs/>
          <w:sz w:val="20"/>
          <w:szCs w:val="20"/>
        </w:rPr>
        <w:t>i</w:t>
      </w:r>
      <w:r w:rsidRPr="001D5D96">
        <w:rPr>
          <w:rFonts w:ascii="Georgia" w:hAnsi="Georgia"/>
          <w:i/>
          <w:iCs/>
          <w:sz w:val="20"/>
          <w:szCs w:val="20"/>
        </w:rPr>
        <w:t xml:space="preserve">nvestment-grade credit ratings has become more pronounced. </w:t>
      </w:r>
      <w:r w:rsidR="00F265C3" w:rsidRPr="001D5D96">
        <w:rPr>
          <w:rFonts w:ascii="Georgia" w:hAnsi="Georgia"/>
          <w:i/>
          <w:iCs/>
          <w:sz w:val="20"/>
          <w:szCs w:val="20"/>
        </w:rPr>
        <w:t>Indeed, the road ahead for the country’s sovereign ratings is all but rosy</w:t>
      </w:r>
      <w:r w:rsidR="00F265C3">
        <w:rPr>
          <w:rFonts w:ascii="Georgia" w:hAnsi="Georgia"/>
          <w:sz w:val="20"/>
          <w:szCs w:val="20"/>
        </w:rPr>
        <w:t>.</w:t>
      </w:r>
      <w:r w:rsidR="0089052F">
        <w:rPr>
          <w:rFonts w:ascii="Georgia" w:hAnsi="Georgia"/>
          <w:sz w:val="20"/>
          <w:szCs w:val="20"/>
        </w:rPr>
        <w:t>”</w:t>
      </w:r>
      <w:r w:rsidR="00F265C3">
        <w:rPr>
          <w:rFonts w:ascii="Georgia" w:hAnsi="Georgia"/>
          <w:sz w:val="20"/>
          <w:szCs w:val="20"/>
        </w:rPr>
        <w:t xml:space="preserve"> Moody’s Investors Service – the only rating agency still providing South Africa with an investment-grade rating – already has the country on a negative outlook. </w:t>
      </w:r>
    </w:p>
    <w:p w14:paraId="753DF21B" w14:textId="3E2DF055" w:rsidR="00F265C3" w:rsidRDefault="00F265C3" w:rsidP="00187E8F">
      <w:pPr>
        <w:rPr>
          <w:rFonts w:ascii="Georgia" w:hAnsi="Georgia"/>
          <w:sz w:val="20"/>
          <w:szCs w:val="20"/>
        </w:rPr>
      </w:pPr>
      <w:r>
        <w:rPr>
          <w:rFonts w:ascii="Georgia" w:hAnsi="Georgia"/>
          <w:sz w:val="20"/>
          <w:szCs w:val="20"/>
        </w:rPr>
        <w:t>Was there good news for rating agencies in Budget Speech 2020? Yes, but not a lot. Efforts to address the public sector wage bill will be a positive</w:t>
      </w:r>
      <w:r w:rsidR="0089052F">
        <w:rPr>
          <w:rFonts w:ascii="Georgia" w:hAnsi="Georgia"/>
          <w:sz w:val="20"/>
          <w:szCs w:val="20"/>
        </w:rPr>
        <w:t>, if it is indeed implemented</w:t>
      </w:r>
      <w:r>
        <w:rPr>
          <w:rFonts w:ascii="Georgia" w:hAnsi="Georgia"/>
          <w:sz w:val="20"/>
          <w:szCs w:val="20"/>
        </w:rPr>
        <w:t>. So too all the intentions for reforms going forward – this has been an important downgrade buffer for Moody’s for some time. However, the realities are that economic growth forecasts have been revised lower, expenditure has not been trimmed</w:t>
      </w:r>
      <w:r w:rsidR="0089052F">
        <w:rPr>
          <w:rFonts w:ascii="Georgia" w:hAnsi="Georgia"/>
          <w:sz w:val="20"/>
          <w:szCs w:val="20"/>
        </w:rPr>
        <w:t xml:space="preserve"> significantly</w:t>
      </w:r>
      <w:r>
        <w:rPr>
          <w:rFonts w:ascii="Georgia" w:hAnsi="Georgia"/>
          <w:sz w:val="20"/>
          <w:szCs w:val="20"/>
        </w:rPr>
        <w:t>, and the budget deficit is ballooning. As a result, public debt is rising rapidly</w:t>
      </w:r>
      <w:r w:rsidR="0089052F">
        <w:rPr>
          <w:rFonts w:ascii="Georgia" w:hAnsi="Georgia"/>
          <w:sz w:val="20"/>
          <w:szCs w:val="20"/>
        </w:rPr>
        <w:t>,</w:t>
      </w:r>
      <w:r w:rsidR="001D5D96">
        <w:rPr>
          <w:rFonts w:ascii="Georgia" w:hAnsi="Georgia"/>
          <w:sz w:val="20"/>
          <w:szCs w:val="20"/>
        </w:rPr>
        <w:t xml:space="preserve"> </w:t>
      </w:r>
      <w:r>
        <w:rPr>
          <w:rFonts w:ascii="Georgia" w:hAnsi="Georgia"/>
          <w:sz w:val="20"/>
          <w:szCs w:val="20"/>
        </w:rPr>
        <w:t xml:space="preserve">with little prospect of the trajectory looking any better come MTBPS 2020. </w:t>
      </w:r>
    </w:p>
    <w:p w14:paraId="2AA79BC5" w14:textId="36BE21B2" w:rsidR="00F265C3" w:rsidRDefault="00F265C3" w:rsidP="00187E8F">
      <w:pPr>
        <w:rPr>
          <w:rFonts w:ascii="Georgia" w:hAnsi="Georgia"/>
          <w:sz w:val="20"/>
          <w:szCs w:val="20"/>
        </w:rPr>
      </w:pPr>
      <w:r>
        <w:rPr>
          <w:rFonts w:ascii="Georgia" w:hAnsi="Georgia"/>
          <w:sz w:val="20"/>
          <w:szCs w:val="20"/>
        </w:rPr>
        <w:t xml:space="preserve">Moody’s is scheduled to publish its next ratings review of South Africa during March 2020. </w:t>
      </w:r>
      <w:r w:rsidR="00B27011">
        <w:rPr>
          <w:rFonts w:ascii="Georgia" w:hAnsi="Georgia"/>
          <w:sz w:val="20"/>
          <w:szCs w:val="20"/>
        </w:rPr>
        <w:t xml:space="preserve">There is a widely held view amongst economists that the agency will downgrade South Africa this year, with some suggesting that it could happen next month already. Irrespective of the exact timing, the loss of South Africa’s last investment-grade rating is quite certain to happen. </w:t>
      </w:r>
      <w:r>
        <w:rPr>
          <w:rFonts w:ascii="Georgia" w:hAnsi="Georgia"/>
          <w:sz w:val="20"/>
          <w:szCs w:val="20"/>
        </w:rPr>
        <w:t xml:space="preserve">Something needs to be done, and </w:t>
      </w:r>
      <w:r w:rsidR="00B27011">
        <w:rPr>
          <w:rFonts w:ascii="Georgia" w:hAnsi="Georgia"/>
          <w:sz w:val="20"/>
          <w:szCs w:val="20"/>
        </w:rPr>
        <w:t xml:space="preserve">very </w:t>
      </w:r>
      <w:r>
        <w:rPr>
          <w:rFonts w:ascii="Georgia" w:hAnsi="Georgia"/>
          <w:sz w:val="20"/>
          <w:szCs w:val="20"/>
        </w:rPr>
        <w:t xml:space="preserve">quickly, to avoid this. </w:t>
      </w:r>
      <w:r w:rsidR="006B034F">
        <w:rPr>
          <w:rFonts w:ascii="Georgia" w:hAnsi="Georgia"/>
          <w:sz w:val="20"/>
          <w:szCs w:val="20"/>
        </w:rPr>
        <w:t>It is High Noon a</w:t>
      </w:r>
      <w:r w:rsidR="00135EBB">
        <w:rPr>
          <w:rFonts w:ascii="Georgia" w:hAnsi="Georgia"/>
          <w:sz w:val="20"/>
          <w:szCs w:val="20"/>
        </w:rPr>
        <w:t>t</w:t>
      </w:r>
      <w:r w:rsidR="006B034F">
        <w:rPr>
          <w:rFonts w:ascii="Georgia" w:hAnsi="Georgia"/>
          <w:sz w:val="20"/>
          <w:szCs w:val="20"/>
        </w:rPr>
        <w:t xml:space="preserve"> the Last Chance Saloon.</w:t>
      </w:r>
    </w:p>
    <w:p w14:paraId="63F0FA1A" w14:textId="2C14364C" w:rsidR="00724578" w:rsidRDefault="00F265C3" w:rsidP="00187E8F">
      <w:pPr>
        <w:rPr>
          <w:rFonts w:ascii="Georgia" w:hAnsi="Georgia"/>
          <w:sz w:val="20"/>
          <w:szCs w:val="20"/>
        </w:rPr>
      </w:pPr>
      <w:r>
        <w:rPr>
          <w:rFonts w:ascii="Georgia" w:hAnsi="Georgia"/>
          <w:sz w:val="20"/>
          <w:szCs w:val="20"/>
        </w:rPr>
        <w:t xml:space="preserve">But don’t count on a bailout. </w:t>
      </w:r>
      <w:r w:rsidR="00724578">
        <w:rPr>
          <w:rFonts w:ascii="Georgia" w:hAnsi="Georgia"/>
          <w:sz w:val="20"/>
          <w:szCs w:val="20"/>
        </w:rPr>
        <w:t xml:space="preserve">Every few months, local media reports on comments and speculation about an IMF bailout for South Africa to cope with its fiscal, debt and ratings malaise. </w:t>
      </w:r>
      <w:r w:rsidR="00724578" w:rsidRPr="00724578">
        <w:rPr>
          <w:rFonts w:ascii="Georgia" w:hAnsi="Georgia"/>
          <w:sz w:val="20"/>
          <w:szCs w:val="20"/>
        </w:rPr>
        <w:t xml:space="preserve">Sovereign states like South Africa </w:t>
      </w:r>
      <w:proofErr w:type="gramStart"/>
      <w:r w:rsidR="00724578" w:rsidRPr="00724578">
        <w:rPr>
          <w:rFonts w:ascii="Georgia" w:hAnsi="Georgia"/>
          <w:sz w:val="20"/>
          <w:szCs w:val="20"/>
        </w:rPr>
        <w:t>are able to</w:t>
      </w:r>
      <w:proofErr w:type="gramEnd"/>
      <w:r w:rsidR="00724578" w:rsidRPr="00724578">
        <w:rPr>
          <w:rFonts w:ascii="Georgia" w:hAnsi="Georgia"/>
          <w:sz w:val="20"/>
          <w:szCs w:val="20"/>
        </w:rPr>
        <w:t xml:space="preserve"> approach the IMF for financial and technical (non-financial) support during both calm and stormy conditions. In troubled times, the IMF can consider </w:t>
      </w:r>
      <w:r w:rsidR="00724578">
        <w:rPr>
          <w:rFonts w:ascii="Georgia" w:hAnsi="Georgia"/>
          <w:sz w:val="20"/>
          <w:szCs w:val="20"/>
        </w:rPr>
        <w:t xml:space="preserve">a bailout, or what the multilateral organisation </w:t>
      </w:r>
      <w:r w:rsidR="00724578" w:rsidRPr="00724578">
        <w:rPr>
          <w:rFonts w:ascii="Georgia" w:hAnsi="Georgia"/>
          <w:sz w:val="20"/>
          <w:szCs w:val="20"/>
        </w:rPr>
        <w:t>calls "crisis lending"</w:t>
      </w:r>
      <w:r w:rsidR="00724578">
        <w:rPr>
          <w:rFonts w:ascii="Georgia" w:hAnsi="Georgia"/>
          <w:sz w:val="20"/>
          <w:szCs w:val="20"/>
        </w:rPr>
        <w:t xml:space="preserve">. </w:t>
      </w:r>
    </w:p>
    <w:p w14:paraId="7B4AEB76" w14:textId="62ED7701" w:rsidR="00724578" w:rsidRDefault="00724578" w:rsidP="00724578">
      <w:pPr>
        <w:rPr>
          <w:rFonts w:ascii="Georgia" w:hAnsi="Georgia"/>
          <w:sz w:val="20"/>
          <w:szCs w:val="20"/>
        </w:rPr>
      </w:pPr>
      <w:r>
        <w:rPr>
          <w:rFonts w:ascii="Georgia" w:hAnsi="Georgia"/>
          <w:sz w:val="20"/>
          <w:szCs w:val="20"/>
        </w:rPr>
        <w:t xml:space="preserve">It is important to note that South Africa is not in crisis lending territory. The country is not experiencing any of the major risks that would let it quality: a natural disaster, </w:t>
      </w:r>
      <w:r w:rsidRPr="00724578">
        <w:rPr>
          <w:rFonts w:ascii="Georgia" w:hAnsi="Georgia"/>
          <w:sz w:val="20"/>
          <w:szCs w:val="20"/>
        </w:rPr>
        <w:t>large swings in commodity prices, capital-flow volatility</w:t>
      </w:r>
      <w:r>
        <w:rPr>
          <w:rFonts w:ascii="Georgia" w:hAnsi="Georgia"/>
          <w:sz w:val="20"/>
          <w:szCs w:val="20"/>
        </w:rPr>
        <w:t xml:space="preserve">, or a </w:t>
      </w:r>
      <w:r w:rsidRPr="00724578">
        <w:rPr>
          <w:rFonts w:ascii="Georgia" w:hAnsi="Georgia"/>
          <w:sz w:val="20"/>
          <w:szCs w:val="20"/>
        </w:rPr>
        <w:t xml:space="preserve">balance of payments </w:t>
      </w:r>
      <w:r>
        <w:rPr>
          <w:rFonts w:ascii="Georgia" w:hAnsi="Georgia"/>
          <w:sz w:val="20"/>
          <w:szCs w:val="20"/>
        </w:rPr>
        <w:t xml:space="preserve">crisis. Furthermore, crisis lending is only provided upon </w:t>
      </w:r>
      <w:proofErr w:type="gramStart"/>
      <w:r>
        <w:rPr>
          <w:rFonts w:ascii="Georgia" w:hAnsi="Georgia"/>
          <w:sz w:val="20"/>
          <w:szCs w:val="20"/>
        </w:rPr>
        <w:t>request  and</w:t>
      </w:r>
      <w:proofErr w:type="gramEnd"/>
      <w:r>
        <w:rPr>
          <w:rFonts w:ascii="Georgia" w:hAnsi="Georgia"/>
          <w:sz w:val="20"/>
          <w:szCs w:val="20"/>
        </w:rPr>
        <w:t xml:space="preserve"> South Africa has not asked for a bailout. </w:t>
      </w:r>
      <w:r w:rsidR="00135EBB">
        <w:rPr>
          <w:rFonts w:ascii="Georgia" w:hAnsi="Georgia"/>
          <w:sz w:val="20"/>
          <w:szCs w:val="20"/>
        </w:rPr>
        <w:t>Even</w:t>
      </w:r>
      <w:r>
        <w:rPr>
          <w:rFonts w:ascii="Georgia" w:hAnsi="Georgia"/>
          <w:sz w:val="20"/>
          <w:szCs w:val="20"/>
        </w:rPr>
        <w:t xml:space="preserve"> if the country does make such a request, a bailout is not a cash gift</w:t>
      </w:r>
      <w:r w:rsidR="00135EBB">
        <w:rPr>
          <w:rFonts w:ascii="Georgia" w:hAnsi="Georgia"/>
          <w:sz w:val="20"/>
          <w:szCs w:val="20"/>
        </w:rPr>
        <w:t>,</w:t>
      </w:r>
      <w:r>
        <w:rPr>
          <w:rFonts w:ascii="Georgia" w:hAnsi="Georgia"/>
          <w:sz w:val="20"/>
          <w:szCs w:val="20"/>
        </w:rPr>
        <w:t xml:space="preserve"> it is a loan and increases public debt. </w:t>
      </w:r>
    </w:p>
    <w:p w14:paraId="7849FBAE" w14:textId="77777777" w:rsidR="0090384D" w:rsidRDefault="0090384D" w:rsidP="00724578">
      <w:pPr>
        <w:rPr>
          <w:rFonts w:ascii="Georgia" w:hAnsi="Georgia"/>
          <w:sz w:val="20"/>
          <w:szCs w:val="20"/>
        </w:rPr>
      </w:pPr>
    </w:p>
    <w:p w14:paraId="42D8473A" w14:textId="302530BC" w:rsidR="00A5726F" w:rsidRPr="002E6430" w:rsidRDefault="0090384D" w:rsidP="00A5726F">
      <w:pPr>
        <w:rPr>
          <w:rFonts w:ascii="Georgia" w:hAnsi="Georgia"/>
          <w:b/>
          <w:i/>
          <w:color w:val="DC6900" w:themeColor="accent1"/>
          <w:szCs w:val="20"/>
        </w:rPr>
      </w:pPr>
      <w:bookmarkStart w:id="2" w:name="_GoBack"/>
      <w:bookmarkEnd w:id="0"/>
      <w:bookmarkEnd w:id="2"/>
      <w:r>
        <w:rPr>
          <w:rFonts w:ascii="Georgia" w:hAnsi="Georgia"/>
          <w:b/>
          <w:i/>
          <w:color w:val="DC6900" w:themeColor="accent1"/>
          <w:szCs w:val="20"/>
        </w:rPr>
        <w:t>PwC Strategy&amp; c</w:t>
      </w:r>
      <w:r w:rsidR="00A5726F" w:rsidRPr="002E6430">
        <w:rPr>
          <w:rFonts w:ascii="Georgia" w:hAnsi="Georgia"/>
          <w:b/>
          <w:i/>
          <w:color w:val="DC6900" w:themeColor="accent1"/>
          <w:szCs w:val="20"/>
        </w:rPr>
        <w:t>ontacts</w:t>
      </w:r>
    </w:p>
    <w:p w14:paraId="7E3149B1" w14:textId="77777777" w:rsidR="00A5726F" w:rsidRPr="004B3D04" w:rsidRDefault="00A5726F" w:rsidP="00A5726F">
      <w:pPr>
        <w:rPr>
          <w:rFonts w:asciiTheme="majorHAnsi" w:hAnsiTheme="majorHAnsi" w:cstheme="minorHAnsi"/>
          <w:sz w:val="2"/>
          <w:szCs w:val="2"/>
        </w:rPr>
      </w:pPr>
    </w:p>
    <w:p w14:paraId="43E51266" w14:textId="77777777" w:rsidR="004B3D04" w:rsidRDefault="004B3D04" w:rsidP="00A5726F">
      <w:pPr>
        <w:rPr>
          <w:rFonts w:asciiTheme="majorHAnsi" w:hAnsiTheme="majorHAnsi" w:cstheme="minorHAnsi"/>
          <w:b/>
          <w:sz w:val="20"/>
          <w:szCs w:val="20"/>
        </w:rPr>
        <w:sectPr w:rsidR="004B3D04" w:rsidSect="007D547E">
          <w:headerReference w:type="default" r:id="rId17"/>
          <w:footerReference w:type="default" r:id="rId18"/>
          <w:pgSz w:w="12240" w:h="15840"/>
          <w:pgMar w:top="1817" w:right="1440" w:bottom="1440" w:left="1440" w:header="720" w:footer="720" w:gutter="0"/>
          <w:cols w:space="720"/>
          <w:docGrid w:linePitch="360"/>
        </w:sectPr>
      </w:pPr>
    </w:p>
    <w:p w14:paraId="45FF99B6" w14:textId="77777777" w:rsidR="00A5726F" w:rsidRPr="00541CBF" w:rsidRDefault="00A5726F" w:rsidP="00A5726F">
      <w:pPr>
        <w:rPr>
          <w:rFonts w:asciiTheme="majorHAnsi" w:hAnsiTheme="majorHAnsi" w:cstheme="minorHAnsi"/>
          <w:b/>
          <w:sz w:val="20"/>
          <w:szCs w:val="20"/>
        </w:rPr>
      </w:pPr>
      <w:r w:rsidRPr="00541CBF">
        <w:rPr>
          <w:rFonts w:asciiTheme="majorHAnsi" w:hAnsiTheme="majorHAnsi" w:cstheme="minorHAnsi"/>
          <w:b/>
          <w:sz w:val="20"/>
          <w:szCs w:val="20"/>
        </w:rPr>
        <w:t>Lullu Krugel</w:t>
      </w:r>
    </w:p>
    <w:p w14:paraId="79B8BFF8" w14:textId="77777777" w:rsidR="00A5726F" w:rsidRPr="00541CBF" w:rsidRDefault="00A5726F" w:rsidP="00A5726F">
      <w:pPr>
        <w:rPr>
          <w:rFonts w:asciiTheme="majorHAnsi" w:hAnsiTheme="majorHAnsi" w:cstheme="minorHAnsi"/>
          <w:sz w:val="20"/>
          <w:szCs w:val="20"/>
        </w:rPr>
      </w:pPr>
      <w:r w:rsidRPr="00541CBF">
        <w:rPr>
          <w:rFonts w:asciiTheme="majorHAnsi" w:hAnsiTheme="majorHAnsi" w:cstheme="minorHAnsi"/>
          <w:sz w:val="20"/>
          <w:szCs w:val="20"/>
        </w:rPr>
        <w:t>Chief Economist and Partner, Strategy&amp;</w:t>
      </w:r>
    </w:p>
    <w:p w14:paraId="3FA979AA" w14:textId="77777777" w:rsidR="00A5726F" w:rsidRPr="00541CBF" w:rsidRDefault="00A5726F" w:rsidP="00A5726F">
      <w:pPr>
        <w:rPr>
          <w:rFonts w:asciiTheme="majorHAnsi" w:hAnsiTheme="majorHAnsi" w:cstheme="minorHAnsi"/>
          <w:sz w:val="20"/>
          <w:szCs w:val="20"/>
        </w:rPr>
      </w:pPr>
      <w:r w:rsidRPr="00541CBF">
        <w:rPr>
          <w:rFonts w:asciiTheme="majorHAnsi" w:hAnsiTheme="majorHAnsi" w:cstheme="minorHAnsi"/>
          <w:sz w:val="20"/>
          <w:szCs w:val="20"/>
        </w:rPr>
        <w:t>lullu.krugel@pwc.com</w:t>
      </w:r>
    </w:p>
    <w:p w14:paraId="63AD503D" w14:textId="77777777" w:rsidR="00A5726F" w:rsidRPr="00541CBF" w:rsidRDefault="00A5726F" w:rsidP="00A5726F">
      <w:pPr>
        <w:rPr>
          <w:rFonts w:asciiTheme="majorHAnsi" w:hAnsiTheme="majorHAnsi" w:cstheme="minorHAnsi"/>
          <w:sz w:val="20"/>
          <w:szCs w:val="20"/>
        </w:rPr>
      </w:pPr>
      <w:r w:rsidRPr="00541CBF">
        <w:rPr>
          <w:rFonts w:asciiTheme="majorHAnsi" w:hAnsiTheme="majorHAnsi" w:cstheme="minorHAnsi"/>
          <w:sz w:val="20"/>
          <w:szCs w:val="20"/>
        </w:rPr>
        <w:t>+27 (0) 11 797 4929</w:t>
      </w:r>
    </w:p>
    <w:p w14:paraId="0AEC1A11" w14:textId="77777777" w:rsidR="00A5726F" w:rsidRPr="00541CBF" w:rsidRDefault="00A5726F" w:rsidP="00A5726F">
      <w:pPr>
        <w:rPr>
          <w:rFonts w:asciiTheme="majorHAnsi" w:hAnsiTheme="majorHAnsi"/>
          <w:noProof/>
          <w:sz w:val="20"/>
          <w:szCs w:val="20"/>
          <w:lang w:eastAsia="en-GB"/>
        </w:rPr>
      </w:pPr>
    </w:p>
    <w:p w14:paraId="1EB0B2DA" w14:textId="77777777" w:rsidR="00A5726F" w:rsidRPr="00541CBF" w:rsidRDefault="00A5726F" w:rsidP="00A5726F">
      <w:pPr>
        <w:rPr>
          <w:rFonts w:asciiTheme="majorHAnsi" w:hAnsiTheme="majorHAnsi"/>
          <w:b/>
          <w:noProof/>
          <w:sz w:val="20"/>
          <w:szCs w:val="20"/>
          <w:lang w:eastAsia="en-GB"/>
        </w:rPr>
      </w:pPr>
      <w:r w:rsidRPr="00541CBF">
        <w:rPr>
          <w:rFonts w:asciiTheme="majorHAnsi" w:hAnsiTheme="majorHAnsi"/>
          <w:b/>
          <w:noProof/>
          <w:sz w:val="20"/>
          <w:szCs w:val="20"/>
          <w:lang w:eastAsia="en-GB"/>
        </w:rPr>
        <w:t>Christie Viljoen</w:t>
      </w:r>
    </w:p>
    <w:p w14:paraId="7BCA2344" w14:textId="710DFD65" w:rsidR="00A5726F" w:rsidRPr="00541CBF" w:rsidRDefault="00A5726F" w:rsidP="00A5726F">
      <w:pPr>
        <w:rPr>
          <w:rFonts w:asciiTheme="majorHAnsi" w:hAnsiTheme="majorHAnsi"/>
          <w:noProof/>
          <w:sz w:val="20"/>
          <w:szCs w:val="20"/>
          <w:lang w:eastAsia="en-GB"/>
        </w:rPr>
      </w:pPr>
      <w:r w:rsidRPr="00541CBF">
        <w:rPr>
          <w:rFonts w:asciiTheme="majorHAnsi" w:hAnsiTheme="majorHAnsi"/>
          <w:noProof/>
          <w:sz w:val="20"/>
          <w:szCs w:val="20"/>
          <w:lang w:eastAsia="en-GB"/>
        </w:rPr>
        <w:t>Economist</w:t>
      </w:r>
      <w:r w:rsidR="006B034F">
        <w:rPr>
          <w:rFonts w:asciiTheme="majorHAnsi" w:hAnsiTheme="majorHAnsi"/>
          <w:noProof/>
          <w:sz w:val="20"/>
          <w:szCs w:val="20"/>
          <w:lang w:eastAsia="en-GB"/>
        </w:rPr>
        <w:t xml:space="preserve"> and Manager</w:t>
      </w:r>
      <w:r w:rsidRPr="00541CBF">
        <w:rPr>
          <w:rFonts w:asciiTheme="majorHAnsi" w:hAnsiTheme="majorHAnsi"/>
          <w:noProof/>
          <w:sz w:val="20"/>
          <w:szCs w:val="20"/>
          <w:lang w:eastAsia="en-GB"/>
        </w:rPr>
        <w:t>, Strategy&amp;</w:t>
      </w:r>
    </w:p>
    <w:p w14:paraId="14B7F240" w14:textId="77777777" w:rsidR="00A5726F" w:rsidRPr="00541CBF" w:rsidRDefault="00A5726F" w:rsidP="00A5726F">
      <w:pPr>
        <w:rPr>
          <w:rFonts w:asciiTheme="majorHAnsi" w:hAnsiTheme="majorHAnsi"/>
          <w:noProof/>
          <w:sz w:val="20"/>
          <w:szCs w:val="20"/>
          <w:lang w:eastAsia="en-GB"/>
        </w:rPr>
      </w:pPr>
      <w:r w:rsidRPr="00541CBF">
        <w:rPr>
          <w:rFonts w:asciiTheme="majorHAnsi" w:hAnsiTheme="majorHAnsi"/>
          <w:noProof/>
          <w:sz w:val="20"/>
          <w:szCs w:val="20"/>
          <w:lang w:eastAsia="en-GB"/>
        </w:rPr>
        <w:t>christie.viljoen@pwc.com</w:t>
      </w:r>
    </w:p>
    <w:p w14:paraId="6FD52F2E" w14:textId="77777777" w:rsidR="00A5726F" w:rsidRPr="00541CBF" w:rsidRDefault="00A5726F" w:rsidP="00A5726F">
      <w:pPr>
        <w:rPr>
          <w:rFonts w:asciiTheme="majorHAnsi" w:hAnsiTheme="majorHAnsi"/>
          <w:noProof/>
          <w:sz w:val="20"/>
          <w:szCs w:val="20"/>
          <w:lang w:eastAsia="en-GB"/>
        </w:rPr>
      </w:pPr>
      <w:r w:rsidRPr="00541CBF">
        <w:rPr>
          <w:rFonts w:asciiTheme="majorHAnsi" w:hAnsiTheme="majorHAnsi"/>
          <w:noProof/>
          <w:sz w:val="20"/>
          <w:szCs w:val="20"/>
          <w:lang w:eastAsia="en-GB"/>
        </w:rPr>
        <w:t>+27 (0) 21 529 2595</w:t>
      </w:r>
    </w:p>
    <w:p w14:paraId="607FDED0" w14:textId="77777777" w:rsidR="00A5726F" w:rsidRDefault="00A5726F">
      <w:pPr>
        <w:rPr>
          <w:rFonts w:asciiTheme="majorHAnsi" w:hAnsiTheme="majorHAnsi"/>
          <w:sz w:val="20"/>
          <w:szCs w:val="20"/>
        </w:rPr>
      </w:pPr>
    </w:p>
    <w:p w14:paraId="2493A901" w14:textId="77777777" w:rsidR="004B3D04" w:rsidRDefault="004B3D04">
      <w:pPr>
        <w:rPr>
          <w:rFonts w:asciiTheme="majorHAnsi" w:hAnsiTheme="majorHAnsi"/>
          <w:sz w:val="20"/>
          <w:szCs w:val="20"/>
        </w:rPr>
        <w:sectPr w:rsidR="004B3D04" w:rsidSect="004B3D04">
          <w:type w:val="continuous"/>
          <w:pgSz w:w="12240" w:h="15840"/>
          <w:pgMar w:top="1973" w:right="1440" w:bottom="1440" w:left="1440" w:header="720" w:footer="720" w:gutter="0"/>
          <w:cols w:num="2" w:space="720"/>
          <w:docGrid w:linePitch="360"/>
        </w:sectPr>
      </w:pPr>
    </w:p>
    <w:p w14:paraId="4FC7643A" w14:textId="77777777" w:rsidR="004B3D04" w:rsidRDefault="00621AE0">
      <w:pPr>
        <w:rPr>
          <w:rFonts w:asciiTheme="majorHAnsi" w:hAnsiTheme="majorHAnsi"/>
          <w:sz w:val="20"/>
          <w:szCs w:val="20"/>
        </w:rPr>
      </w:pPr>
      <w:r>
        <w:rPr>
          <w:noProof/>
        </w:rPr>
        <w:drawing>
          <wp:anchor distT="0" distB="0" distL="114300" distR="114300" simplePos="0" relativeHeight="251663360" behindDoc="1" locked="0" layoutInCell="1" allowOverlap="1" wp14:anchorId="6B1A2D3D" wp14:editId="3A5E3375">
            <wp:simplePos x="0" y="0"/>
            <wp:positionH relativeFrom="page">
              <wp:align>left</wp:align>
            </wp:positionH>
            <wp:positionV relativeFrom="paragraph">
              <wp:posOffset>284675</wp:posOffset>
            </wp:positionV>
            <wp:extent cx="7776149" cy="5585988"/>
            <wp:effectExtent l="0" t="0" r="0" b="0"/>
            <wp:wrapNone/>
            <wp:docPr id="33" name="Picture 33" descr="PwC_Geom_Illus_27.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wC_Geom_Illus_27.zip"/>
                    <pic:cNvPicPr>
                      <a:picLocks noChangeAspect="1" noChangeArrowheads="1"/>
                    </pic:cNvPicPr>
                  </pic:nvPicPr>
                  <pic:blipFill>
                    <a:blip r:embed="rId19">
                      <a:alphaModFix amt="20000"/>
                      <a:extLst>
                        <a:ext uri="{28A0092B-C50C-407E-A947-70E740481C1C}">
                          <a14:useLocalDpi xmlns:a14="http://schemas.microsoft.com/office/drawing/2010/main" val="0"/>
                        </a:ext>
                      </a:extLst>
                    </a:blip>
                    <a:srcRect/>
                    <a:stretch>
                      <a:fillRect/>
                    </a:stretch>
                  </pic:blipFill>
                  <pic:spPr bwMode="auto">
                    <a:xfrm>
                      <a:off x="0" y="0"/>
                      <a:ext cx="7782360" cy="55904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CEF3F" w14:textId="77777777" w:rsidR="004B3D04" w:rsidRDefault="004B3D04">
      <w:pPr>
        <w:rPr>
          <w:rFonts w:asciiTheme="majorHAnsi" w:hAnsiTheme="majorHAnsi"/>
          <w:sz w:val="20"/>
          <w:szCs w:val="20"/>
        </w:rPr>
      </w:pPr>
    </w:p>
    <w:p w14:paraId="1B530620" w14:textId="77777777" w:rsidR="007960C9" w:rsidRDefault="007960C9">
      <w:pPr>
        <w:rPr>
          <w:rFonts w:asciiTheme="majorHAnsi" w:hAnsiTheme="majorHAnsi"/>
          <w:sz w:val="20"/>
          <w:szCs w:val="20"/>
        </w:rPr>
      </w:pPr>
    </w:p>
    <w:p w14:paraId="462AEA5B" w14:textId="77777777" w:rsidR="007960C9" w:rsidRPr="00541CBF" w:rsidRDefault="007960C9">
      <w:pPr>
        <w:rPr>
          <w:rFonts w:asciiTheme="majorHAnsi" w:hAnsiTheme="majorHAnsi"/>
          <w:sz w:val="20"/>
          <w:szCs w:val="20"/>
        </w:rPr>
      </w:pPr>
    </w:p>
    <w:sectPr w:rsidR="007960C9" w:rsidRPr="00541CBF" w:rsidSect="004B3D04">
      <w:type w:val="continuous"/>
      <w:pgSz w:w="12240" w:h="15840"/>
      <w:pgMar w:top="19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5734A" w14:textId="77777777" w:rsidR="00716138" w:rsidRDefault="00716138" w:rsidP="00A5726F">
      <w:pPr>
        <w:spacing w:after="0" w:line="240" w:lineRule="auto"/>
      </w:pPr>
      <w:r>
        <w:separator/>
      </w:r>
    </w:p>
  </w:endnote>
  <w:endnote w:type="continuationSeparator" w:id="0">
    <w:p w14:paraId="3BCB1881" w14:textId="77777777" w:rsidR="00716138" w:rsidRDefault="00716138" w:rsidP="00A5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D98E" w14:textId="2922A078" w:rsidR="00F265C3" w:rsidRPr="00A5726F" w:rsidRDefault="00F265C3">
    <w:pPr>
      <w:pStyle w:val="Footer"/>
      <w:rPr>
        <w:rFonts w:asciiTheme="majorHAnsi" w:hAnsiTheme="majorHAnsi"/>
        <w:sz w:val="16"/>
        <w:szCs w:val="16"/>
      </w:rPr>
    </w:pPr>
    <w:r w:rsidRPr="00A5726F">
      <w:rPr>
        <w:rFonts w:asciiTheme="majorHAnsi" w:hAnsiTheme="majorHAnsi" w:cs="Arial"/>
        <w:color w:val="263238"/>
        <w:sz w:val="16"/>
        <w:szCs w:val="16"/>
      </w:rPr>
      <w:t>© 20</w:t>
    </w:r>
    <w:r>
      <w:rPr>
        <w:rFonts w:asciiTheme="majorHAnsi" w:hAnsiTheme="majorHAnsi" w:cs="Arial"/>
        <w:color w:val="263238"/>
        <w:sz w:val="16"/>
        <w:szCs w:val="16"/>
      </w:rPr>
      <w:t>20</w:t>
    </w:r>
    <w:r w:rsidRPr="00A5726F">
      <w:rPr>
        <w:rFonts w:asciiTheme="majorHAnsi" w:hAnsiTheme="majorHAnsi" w:cs="Arial"/>
        <w:color w:val="263238"/>
        <w:sz w:val="16"/>
        <w:szCs w:val="16"/>
      </w:rPr>
      <w:t xml:space="preserve"> PwC. All rights reserved. PwC refers to the PwC network and/or one or more of its member firms, each of which is a separate legal entity. Please see </w:t>
    </w:r>
    <w:hyperlink r:id="rId1" w:tgtFrame="_blank" w:history="1">
      <w:r w:rsidRPr="00A5726F">
        <w:rPr>
          <w:rStyle w:val="Hyperlink"/>
          <w:rFonts w:asciiTheme="majorHAnsi" w:hAnsiTheme="majorHAnsi" w:cs="Arial"/>
          <w:color w:val="263238"/>
          <w:sz w:val="16"/>
          <w:szCs w:val="16"/>
        </w:rPr>
        <w:t>www.pwc.com/structure</w:t>
      </w:r>
    </w:hyperlink>
    <w:r w:rsidRPr="00A5726F">
      <w:rPr>
        <w:rFonts w:asciiTheme="majorHAnsi" w:hAnsiTheme="majorHAnsi" w:cs="Arial"/>
        <w:color w:val="263238"/>
        <w:sz w:val="16"/>
        <w:szCs w:val="16"/>
      </w:rPr>
      <w:t> for further details. This content is for general information purposes only and should not be used as a substitute for consultation with professional advisors.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B194F" w14:textId="77777777" w:rsidR="00716138" w:rsidRDefault="00716138" w:rsidP="00A5726F">
      <w:pPr>
        <w:spacing w:after="0" w:line="240" w:lineRule="auto"/>
      </w:pPr>
      <w:r>
        <w:separator/>
      </w:r>
    </w:p>
  </w:footnote>
  <w:footnote w:type="continuationSeparator" w:id="0">
    <w:p w14:paraId="7FEE26B7" w14:textId="77777777" w:rsidR="00716138" w:rsidRDefault="00716138" w:rsidP="00A5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EB648" w14:textId="77777777" w:rsidR="00F265C3" w:rsidRDefault="00F265C3">
    <w:pPr>
      <w:pStyle w:val="Header"/>
    </w:pPr>
    <w:bookmarkStart w:id="3" w:name="PrimaryHeader"/>
    <w:bookmarkEnd w:id="3"/>
    <w:r>
      <w:rPr>
        <w:noProof/>
        <w:lang w:val="en-US"/>
      </w:rPr>
      <w:drawing>
        <wp:anchor distT="0" distB="0" distL="114300" distR="114300" simplePos="0" relativeHeight="251659264" behindDoc="0" locked="1" layoutInCell="1" allowOverlap="1" wp14:anchorId="50B9D803" wp14:editId="04A0C5C2">
          <wp:simplePos x="0" y="0"/>
          <wp:positionH relativeFrom="page">
            <wp:posOffset>59055</wp:posOffset>
          </wp:positionH>
          <wp:positionV relativeFrom="page">
            <wp:posOffset>38100</wp:posOffset>
          </wp:positionV>
          <wp:extent cx="1188000" cy="1080000"/>
          <wp:effectExtent l="0" t="0" r="0" b="0"/>
          <wp:wrapNone/>
          <wp:docPr id="36"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82307"/>
    <w:multiLevelType w:val="hybridMultilevel"/>
    <w:tmpl w:val="038A0B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DE12A2E"/>
    <w:multiLevelType w:val="hybridMultilevel"/>
    <w:tmpl w:val="D03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4E2B13"/>
    <w:multiLevelType w:val="hybridMultilevel"/>
    <w:tmpl w:val="7DFA50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CD409D6"/>
    <w:multiLevelType w:val="hybridMultilevel"/>
    <w:tmpl w:val="30A0E0A4"/>
    <w:lvl w:ilvl="0" w:tplc="1AE4E25C">
      <w:numFmt w:val="bullet"/>
      <w:lvlText w:val="•"/>
      <w:lvlJc w:val="left"/>
      <w:pPr>
        <w:ind w:left="720" w:hanging="720"/>
      </w:pPr>
      <w:rPr>
        <w:rFonts w:ascii="Georgia" w:eastAsiaTheme="minorHAnsi" w:hAnsi="Georgia" w:cstheme="minorBid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7E6A0B3D"/>
    <w:multiLevelType w:val="hybridMultilevel"/>
    <w:tmpl w:val="B4F22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6F"/>
    <w:rsid w:val="00015FC6"/>
    <w:rsid w:val="00020BAD"/>
    <w:rsid w:val="0003712B"/>
    <w:rsid w:val="0009414C"/>
    <w:rsid w:val="000B4CAD"/>
    <w:rsid w:val="000C1B12"/>
    <w:rsid w:val="000E451C"/>
    <w:rsid w:val="0010604B"/>
    <w:rsid w:val="00133515"/>
    <w:rsid w:val="00135EBB"/>
    <w:rsid w:val="00185405"/>
    <w:rsid w:val="00187E8F"/>
    <w:rsid w:val="001A2459"/>
    <w:rsid w:val="001C4618"/>
    <w:rsid w:val="001D33BE"/>
    <w:rsid w:val="001D5D96"/>
    <w:rsid w:val="002203D2"/>
    <w:rsid w:val="002520C2"/>
    <w:rsid w:val="002653ED"/>
    <w:rsid w:val="00275900"/>
    <w:rsid w:val="002B1AA1"/>
    <w:rsid w:val="002E6430"/>
    <w:rsid w:val="00336D62"/>
    <w:rsid w:val="00347168"/>
    <w:rsid w:val="00352FF9"/>
    <w:rsid w:val="00362281"/>
    <w:rsid w:val="003B2536"/>
    <w:rsid w:val="003B2BFE"/>
    <w:rsid w:val="003C48F8"/>
    <w:rsid w:val="003C617E"/>
    <w:rsid w:val="003C6D4E"/>
    <w:rsid w:val="00411B8C"/>
    <w:rsid w:val="0046387E"/>
    <w:rsid w:val="00487CA7"/>
    <w:rsid w:val="004A5016"/>
    <w:rsid w:val="004B3911"/>
    <w:rsid w:val="004B3D04"/>
    <w:rsid w:val="00505340"/>
    <w:rsid w:val="005228D3"/>
    <w:rsid w:val="00541CBF"/>
    <w:rsid w:val="0055708F"/>
    <w:rsid w:val="005575E4"/>
    <w:rsid w:val="00564140"/>
    <w:rsid w:val="006074F5"/>
    <w:rsid w:val="00621AE0"/>
    <w:rsid w:val="006422BB"/>
    <w:rsid w:val="00652D65"/>
    <w:rsid w:val="00657EEA"/>
    <w:rsid w:val="006608E5"/>
    <w:rsid w:val="006631BA"/>
    <w:rsid w:val="006652BF"/>
    <w:rsid w:val="006957FB"/>
    <w:rsid w:val="006B034F"/>
    <w:rsid w:val="00701ACA"/>
    <w:rsid w:val="00716138"/>
    <w:rsid w:val="00724578"/>
    <w:rsid w:val="007552DE"/>
    <w:rsid w:val="0078267F"/>
    <w:rsid w:val="007960C9"/>
    <w:rsid w:val="007A5916"/>
    <w:rsid w:val="007D547E"/>
    <w:rsid w:val="007E4C7C"/>
    <w:rsid w:val="00815BE4"/>
    <w:rsid w:val="00845046"/>
    <w:rsid w:val="0089052F"/>
    <w:rsid w:val="008B5C62"/>
    <w:rsid w:val="0090384D"/>
    <w:rsid w:val="00974ED6"/>
    <w:rsid w:val="00982454"/>
    <w:rsid w:val="00991023"/>
    <w:rsid w:val="009B64FB"/>
    <w:rsid w:val="009D09E2"/>
    <w:rsid w:val="00A11ABB"/>
    <w:rsid w:val="00A164D7"/>
    <w:rsid w:val="00A52B04"/>
    <w:rsid w:val="00A5726F"/>
    <w:rsid w:val="00AF2F64"/>
    <w:rsid w:val="00AF524C"/>
    <w:rsid w:val="00B15490"/>
    <w:rsid w:val="00B27011"/>
    <w:rsid w:val="00B50DBA"/>
    <w:rsid w:val="00B62E80"/>
    <w:rsid w:val="00B74858"/>
    <w:rsid w:val="00BB7811"/>
    <w:rsid w:val="00D50F3B"/>
    <w:rsid w:val="00D6686A"/>
    <w:rsid w:val="00D94374"/>
    <w:rsid w:val="00DA5D45"/>
    <w:rsid w:val="00DF355F"/>
    <w:rsid w:val="00E208B6"/>
    <w:rsid w:val="00E92966"/>
    <w:rsid w:val="00EC30BE"/>
    <w:rsid w:val="00F14B19"/>
    <w:rsid w:val="00F265C3"/>
    <w:rsid w:val="00F41826"/>
    <w:rsid w:val="00F57BB3"/>
    <w:rsid w:val="00F66F02"/>
    <w:rsid w:val="00F76C6E"/>
    <w:rsid w:val="00FB579F"/>
    <w:rsid w:val="00FB64FC"/>
    <w:rsid w:val="00FD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6E89"/>
  <w15:chartTrackingRefBased/>
  <w15:docId w15:val="{36076767-5117-44C6-9B2F-FFAACFC5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26F"/>
    <w:rPr>
      <w:lang w:val="en-ZA"/>
    </w:rPr>
  </w:style>
  <w:style w:type="paragraph" w:styleId="Footer">
    <w:name w:val="footer"/>
    <w:basedOn w:val="Normal"/>
    <w:link w:val="FooterChar"/>
    <w:uiPriority w:val="99"/>
    <w:unhideWhenUsed/>
    <w:rsid w:val="00A57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26F"/>
    <w:rPr>
      <w:lang w:val="en-ZA"/>
    </w:rPr>
  </w:style>
  <w:style w:type="character" w:styleId="Hyperlink">
    <w:name w:val="Hyperlink"/>
    <w:basedOn w:val="DefaultParagraphFont"/>
    <w:uiPriority w:val="99"/>
    <w:semiHidden/>
    <w:unhideWhenUsed/>
    <w:rsid w:val="00A5726F"/>
    <w:rPr>
      <w:color w:val="0000FF"/>
      <w:u w:val="single"/>
    </w:rPr>
  </w:style>
  <w:style w:type="paragraph" w:styleId="ListParagraph">
    <w:name w:val="List Paragraph"/>
    <w:basedOn w:val="Normal"/>
    <w:uiPriority w:val="34"/>
    <w:qFormat/>
    <w:rsid w:val="00A5726F"/>
    <w:pPr>
      <w:spacing w:line="256" w:lineRule="auto"/>
      <w:ind w:left="720"/>
      <w:contextualSpacing/>
    </w:pPr>
  </w:style>
  <w:style w:type="paragraph" w:styleId="BalloonText">
    <w:name w:val="Balloon Text"/>
    <w:basedOn w:val="Normal"/>
    <w:link w:val="BalloonTextChar"/>
    <w:uiPriority w:val="99"/>
    <w:semiHidden/>
    <w:unhideWhenUsed/>
    <w:rsid w:val="00FB5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9F"/>
    <w:rPr>
      <w:rFonts w:ascii="Segoe UI" w:hAnsi="Segoe UI" w:cs="Segoe UI"/>
      <w:sz w:val="18"/>
      <w:szCs w:val="18"/>
      <w:lang w:val="en-ZA"/>
    </w:rPr>
  </w:style>
  <w:style w:type="table" w:styleId="TableGrid">
    <w:name w:val="Table Grid"/>
    <w:basedOn w:val="TableNormal"/>
    <w:uiPriority w:val="39"/>
    <w:rsid w:val="0035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2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FF9"/>
    <w:rPr>
      <w:sz w:val="20"/>
      <w:szCs w:val="20"/>
      <w:lang w:val="en-ZA"/>
    </w:rPr>
  </w:style>
  <w:style w:type="character" w:styleId="FootnoteReference">
    <w:name w:val="footnote reference"/>
    <w:basedOn w:val="DefaultParagraphFont"/>
    <w:uiPriority w:val="99"/>
    <w:semiHidden/>
    <w:unhideWhenUsed/>
    <w:rsid w:val="00352FF9"/>
    <w:rPr>
      <w:vertAlign w:val="superscript"/>
    </w:rPr>
  </w:style>
  <w:style w:type="character" w:styleId="CommentReference">
    <w:name w:val="annotation reference"/>
    <w:basedOn w:val="DefaultParagraphFont"/>
    <w:uiPriority w:val="99"/>
    <w:semiHidden/>
    <w:unhideWhenUsed/>
    <w:rsid w:val="00B50DBA"/>
    <w:rPr>
      <w:sz w:val="16"/>
      <w:szCs w:val="16"/>
    </w:rPr>
  </w:style>
  <w:style w:type="paragraph" w:styleId="CommentText">
    <w:name w:val="annotation text"/>
    <w:basedOn w:val="Normal"/>
    <w:link w:val="CommentTextChar"/>
    <w:uiPriority w:val="99"/>
    <w:semiHidden/>
    <w:unhideWhenUsed/>
    <w:rsid w:val="00B50DBA"/>
    <w:pPr>
      <w:spacing w:line="240" w:lineRule="auto"/>
    </w:pPr>
    <w:rPr>
      <w:sz w:val="20"/>
      <w:szCs w:val="20"/>
    </w:rPr>
  </w:style>
  <w:style w:type="character" w:customStyle="1" w:styleId="CommentTextChar">
    <w:name w:val="Comment Text Char"/>
    <w:basedOn w:val="DefaultParagraphFont"/>
    <w:link w:val="CommentText"/>
    <w:uiPriority w:val="99"/>
    <w:semiHidden/>
    <w:rsid w:val="00B50DBA"/>
    <w:rPr>
      <w:sz w:val="20"/>
      <w:szCs w:val="20"/>
      <w:lang w:val="en-ZA"/>
    </w:rPr>
  </w:style>
  <w:style w:type="paragraph" w:styleId="CommentSubject">
    <w:name w:val="annotation subject"/>
    <w:basedOn w:val="CommentText"/>
    <w:next w:val="CommentText"/>
    <w:link w:val="CommentSubjectChar"/>
    <w:uiPriority w:val="99"/>
    <w:semiHidden/>
    <w:unhideWhenUsed/>
    <w:rsid w:val="00B50DBA"/>
    <w:rPr>
      <w:b/>
      <w:bCs/>
    </w:rPr>
  </w:style>
  <w:style w:type="character" w:customStyle="1" w:styleId="CommentSubjectChar">
    <w:name w:val="Comment Subject Char"/>
    <w:basedOn w:val="CommentTextChar"/>
    <w:link w:val="CommentSubject"/>
    <w:uiPriority w:val="99"/>
    <w:semiHidden/>
    <w:rsid w:val="00B50DBA"/>
    <w:rPr>
      <w:b/>
      <w:bCs/>
      <w:sz w:val="20"/>
      <w:szCs w:val="20"/>
      <w:lang w:val="en-ZA"/>
    </w:rPr>
  </w:style>
  <w:style w:type="paragraph" w:styleId="NormalWeb">
    <w:name w:val="Normal (Web)"/>
    <w:basedOn w:val="Normal"/>
    <w:uiPriority w:val="99"/>
    <w:unhideWhenUsed/>
    <w:rsid w:val="0090384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90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84064">
      <w:bodyDiv w:val="1"/>
      <w:marLeft w:val="0"/>
      <w:marRight w:val="0"/>
      <w:marTop w:val="0"/>
      <w:marBottom w:val="0"/>
      <w:divBdr>
        <w:top w:val="none" w:sz="0" w:space="0" w:color="auto"/>
        <w:left w:val="none" w:sz="0" w:space="0" w:color="auto"/>
        <w:bottom w:val="none" w:sz="0" w:space="0" w:color="auto"/>
        <w:right w:val="none" w:sz="0" w:space="0" w:color="auto"/>
      </w:divBdr>
    </w:div>
    <w:div w:id="18499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s://www.google.com/url?q=http://www.pwc.com/structure&amp;sa=D&amp;source=hangouts&amp;ust=1542185495358000&amp;usg=AFQjCNHDraIMDDg3ighG5MApYtk1yyhHG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ZATPDCFPRPWV001\Common$\Consulting\Strategy&amp;\06_The%20News\Presentations\Budget%202020\Budget%202020%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ZATPDCFPRPWV001\Common$\Consulting\Strategy&amp;\06_The%20News\Presentations\Budget%202020\Budget%202020%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ZATPDCFPRPWV001\Common$\Consulting\Strategy&amp;\06_The%20News\Presentations\Budget%202020\Budget%202020%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18966327633654E-2"/>
          <c:y val="8.2304526748971193E-2"/>
          <c:w val="0.95338103367236637"/>
          <c:h val="0.58900465724612705"/>
        </c:manualLayout>
      </c:layout>
      <c:lineChart>
        <c:grouping val="standard"/>
        <c:varyColors val="0"/>
        <c:ser>
          <c:idx val="0"/>
          <c:order val="0"/>
          <c:tx>
            <c:strRef>
              <c:f>'GDP growth'!$E$17</c:f>
              <c:strCache>
                <c:ptCount val="1"/>
                <c:pt idx="0">
                  <c:v>MTBPS 2019</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'GDP growth'!$F$16:$J$16</c:f>
              <c:strCache>
                <c:ptCount val="5"/>
                <c:pt idx="0">
                  <c:v>2018</c:v>
                </c:pt>
                <c:pt idx="1">
                  <c:v>2019e</c:v>
                </c:pt>
                <c:pt idx="2">
                  <c:v>2020f</c:v>
                </c:pt>
                <c:pt idx="3">
                  <c:v>2021f</c:v>
                </c:pt>
                <c:pt idx="4">
                  <c:v>2022f</c:v>
                </c:pt>
              </c:strCache>
            </c:strRef>
          </c:cat>
          <c:val>
            <c:numRef>
              <c:f>'GDP growth'!$F$17:$J$17</c:f>
              <c:numCache>
                <c:formatCode>General</c:formatCode>
                <c:ptCount val="5"/>
                <c:pt idx="0">
                  <c:v>0.8</c:v>
                </c:pt>
                <c:pt idx="1">
                  <c:v>0.4</c:v>
                </c:pt>
                <c:pt idx="2">
                  <c:v>1.3</c:v>
                </c:pt>
                <c:pt idx="3">
                  <c:v>1.6</c:v>
                </c:pt>
                <c:pt idx="4">
                  <c:v>1.7</c:v>
                </c:pt>
              </c:numCache>
            </c:numRef>
          </c:val>
          <c:smooth val="0"/>
          <c:extLst>
            <c:ext xmlns:c16="http://schemas.microsoft.com/office/drawing/2014/chart" uri="{C3380CC4-5D6E-409C-BE32-E72D297353CC}">
              <c16:uniqueId val="{00000000-D796-43F7-9D22-4710E2FDC77B}"/>
            </c:ext>
          </c:extLst>
        </c:ser>
        <c:ser>
          <c:idx val="1"/>
          <c:order val="1"/>
          <c:tx>
            <c:strRef>
              <c:f>'GDP growth'!$E$18</c:f>
              <c:strCache>
                <c:ptCount val="1"/>
                <c:pt idx="0">
                  <c:v>Budget 2020</c:v>
                </c:pt>
              </c:strCache>
            </c:strRef>
          </c:tx>
          <c:spPr>
            <a:ln w="28575" cap="rnd">
              <a:solidFill>
                <a:schemeClr val="accent2"/>
              </a:solidFill>
              <a:round/>
            </a:ln>
            <a:effectLst/>
          </c:spPr>
          <c:marker>
            <c:symbol val="none"/>
          </c:marker>
          <c:dLbls>
            <c:dLbl>
              <c:idx val="1"/>
              <c:layout>
                <c:manualLayout>
                  <c:x val="-3.1625847969303914E-2"/>
                  <c:y val="6.11486695476196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96-43F7-9D22-4710E2FDC7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'GDP growth'!$F$16:$J$16</c:f>
              <c:strCache>
                <c:ptCount val="5"/>
                <c:pt idx="0">
                  <c:v>2018</c:v>
                </c:pt>
                <c:pt idx="1">
                  <c:v>2019e</c:v>
                </c:pt>
                <c:pt idx="2">
                  <c:v>2020f</c:v>
                </c:pt>
                <c:pt idx="3">
                  <c:v>2021f</c:v>
                </c:pt>
                <c:pt idx="4">
                  <c:v>2022f</c:v>
                </c:pt>
              </c:strCache>
            </c:strRef>
          </c:cat>
          <c:val>
            <c:numRef>
              <c:f>'GDP growth'!$F$18:$J$18</c:f>
              <c:numCache>
                <c:formatCode>General</c:formatCode>
                <c:ptCount val="5"/>
                <c:pt idx="0">
                  <c:v>0.8</c:v>
                </c:pt>
                <c:pt idx="1">
                  <c:v>0.3</c:v>
                </c:pt>
                <c:pt idx="2" formatCode="0.0">
                  <c:v>0.9</c:v>
                </c:pt>
                <c:pt idx="3">
                  <c:v>1.3</c:v>
                </c:pt>
                <c:pt idx="4">
                  <c:v>1.6</c:v>
                </c:pt>
              </c:numCache>
            </c:numRef>
          </c:val>
          <c:smooth val="0"/>
          <c:extLst>
            <c:ext xmlns:c16="http://schemas.microsoft.com/office/drawing/2014/chart" uri="{C3380CC4-5D6E-409C-BE32-E72D297353CC}">
              <c16:uniqueId val="{00000001-D796-43F7-9D22-4710E2FDC77B}"/>
            </c:ext>
          </c:extLst>
        </c:ser>
        <c:dLbls>
          <c:showLegendKey val="0"/>
          <c:showVal val="0"/>
          <c:showCatName val="0"/>
          <c:showSerName val="0"/>
          <c:showPercent val="0"/>
          <c:showBubbleSize val="0"/>
        </c:dLbls>
        <c:smooth val="0"/>
        <c:axId val="259223487"/>
        <c:axId val="632360575"/>
      </c:lineChart>
      <c:catAx>
        <c:axId val="25922348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360575"/>
        <c:crosses val="autoZero"/>
        <c:auto val="1"/>
        <c:lblAlgn val="ctr"/>
        <c:lblOffset val="100"/>
        <c:noMultiLvlLbl val="0"/>
      </c:catAx>
      <c:valAx>
        <c:axId val="632360575"/>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25922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Balance!$E$6</c:f>
              <c:strCache>
                <c:ptCount val="1"/>
                <c:pt idx="0">
                  <c:v>Budget 2019</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Balance!$F$5:$J$5</c:f>
              <c:strCache>
                <c:ptCount val="5"/>
                <c:pt idx="0">
                  <c:v>2018/19</c:v>
                </c:pt>
                <c:pt idx="1">
                  <c:v>2019/20e</c:v>
                </c:pt>
                <c:pt idx="2">
                  <c:v>2020/21f</c:v>
                </c:pt>
                <c:pt idx="3">
                  <c:v>2021/22f</c:v>
                </c:pt>
                <c:pt idx="4">
                  <c:v>2022/23f</c:v>
                </c:pt>
              </c:strCache>
            </c:strRef>
          </c:cat>
          <c:val>
            <c:numRef>
              <c:f>Balance!$F$6:$J$6</c:f>
              <c:numCache>
                <c:formatCode>General</c:formatCode>
                <c:ptCount val="5"/>
                <c:pt idx="0">
                  <c:v>-4.2</c:v>
                </c:pt>
                <c:pt idx="1">
                  <c:v>-4.5</c:v>
                </c:pt>
                <c:pt idx="2">
                  <c:v>-4.3</c:v>
                </c:pt>
                <c:pt idx="3" formatCode="0.0">
                  <c:v>-4</c:v>
                </c:pt>
              </c:numCache>
            </c:numRef>
          </c:val>
          <c:smooth val="0"/>
          <c:extLst>
            <c:ext xmlns:c16="http://schemas.microsoft.com/office/drawing/2014/chart" uri="{C3380CC4-5D6E-409C-BE32-E72D297353CC}">
              <c16:uniqueId val="{00000000-E358-47DE-BFA7-4DEA311E6653}"/>
            </c:ext>
          </c:extLst>
        </c:ser>
        <c:ser>
          <c:idx val="1"/>
          <c:order val="1"/>
          <c:tx>
            <c:strRef>
              <c:f>Balance!$E$7</c:f>
              <c:strCache>
                <c:ptCount val="1"/>
                <c:pt idx="0">
                  <c:v>MTBPS 2019</c:v>
                </c:pt>
              </c:strCache>
            </c:strRef>
          </c:tx>
          <c:spPr>
            <a:ln w="28575" cap="rnd">
              <a:solidFill>
                <a:schemeClr val="accent2"/>
              </a:solidFill>
              <a:round/>
            </a:ln>
            <a:effectLst/>
          </c:spPr>
          <c:marker>
            <c:symbol val="none"/>
          </c:marker>
          <c:dLbls>
            <c:dLbl>
              <c:idx val="4"/>
              <c:layout>
                <c:manualLayout>
                  <c:x val="-3.4923605673092176E-2"/>
                  <c:y val="4.19029324441464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58-47DE-BFA7-4DEA311E66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Balance!$F$5:$J$5</c:f>
              <c:strCache>
                <c:ptCount val="5"/>
                <c:pt idx="0">
                  <c:v>2018/19</c:v>
                </c:pt>
                <c:pt idx="1">
                  <c:v>2019/20e</c:v>
                </c:pt>
                <c:pt idx="2">
                  <c:v>2020/21f</c:v>
                </c:pt>
                <c:pt idx="3">
                  <c:v>2021/22f</c:v>
                </c:pt>
                <c:pt idx="4">
                  <c:v>2022/23f</c:v>
                </c:pt>
              </c:strCache>
            </c:strRef>
          </c:cat>
          <c:val>
            <c:numRef>
              <c:f>Balance!$F$7:$J$7</c:f>
              <c:numCache>
                <c:formatCode>General</c:formatCode>
                <c:ptCount val="5"/>
                <c:pt idx="0">
                  <c:v>-4.2</c:v>
                </c:pt>
                <c:pt idx="1">
                  <c:v>-5.9</c:v>
                </c:pt>
                <c:pt idx="2">
                  <c:v>-6.5</c:v>
                </c:pt>
                <c:pt idx="3">
                  <c:v>-6.2</c:v>
                </c:pt>
                <c:pt idx="4">
                  <c:v>-5.9</c:v>
                </c:pt>
              </c:numCache>
            </c:numRef>
          </c:val>
          <c:smooth val="0"/>
          <c:extLst>
            <c:ext xmlns:c16="http://schemas.microsoft.com/office/drawing/2014/chart" uri="{C3380CC4-5D6E-409C-BE32-E72D297353CC}">
              <c16:uniqueId val="{00000002-E358-47DE-BFA7-4DEA311E6653}"/>
            </c:ext>
          </c:extLst>
        </c:ser>
        <c:ser>
          <c:idx val="2"/>
          <c:order val="2"/>
          <c:tx>
            <c:strRef>
              <c:f>Balance!$E$8</c:f>
              <c:strCache>
                <c:ptCount val="1"/>
                <c:pt idx="0">
                  <c:v>Budget 2020</c:v>
                </c:pt>
              </c:strCache>
            </c:strRef>
          </c:tx>
          <c:spPr>
            <a:ln w="28575" cap="rnd">
              <a:solidFill>
                <a:schemeClr val="accent3"/>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3-E358-47DE-BFA7-4DEA311E6653}"/>
                </c:ext>
              </c:extLst>
            </c:dLbl>
            <c:dLbl>
              <c:idx val="2"/>
              <c:layout>
                <c:manualLayout>
                  <c:x val="-1.5479257852169484E-2"/>
                  <c:y val="3.92752401922141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58-47DE-BFA7-4DEA311E6653}"/>
                </c:ext>
              </c:extLst>
            </c:dLbl>
            <c:dLbl>
              <c:idx val="4"/>
              <c:layout>
                <c:manualLayout>
                  <c:x val="-4.8812226596675515E-2"/>
                  <c:y val="-5.051494336928796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5.5958223972003493E-2"/>
                      <c:h val="7.8634441528142307E-2"/>
                    </c:manualLayout>
                  </c15:layout>
                </c:ext>
                <c:ext xmlns:c16="http://schemas.microsoft.com/office/drawing/2014/chart" uri="{C3380CC4-5D6E-409C-BE32-E72D297353CC}">
                  <c16:uniqueId val="{00000005-E358-47DE-BFA7-4DEA311E66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Balance!$F$5:$J$5</c:f>
              <c:strCache>
                <c:ptCount val="5"/>
                <c:pt idx="0">
                  <c:v>2018/19</c:v>
                </c:pt>
                <c:pt idx="1">
                  <c:v>2019/20e</c:v>
                </c:pt>
                <c:pt idx="2">
                  <c:v>2020/21f</c:v>
                </c:pt>
                <c:pt idx="3">
                  <c:v>2021/22f</c:v>
                </c:pt>
                <c:pt idx="4">
                  <c:v>2022/23f</c:v>
                </c:pt>
              </c:strCache>
            </c:strRef>
          </c:cat>
          <c:val>
            <c:numRef>
              <c:f>Balance!$F$8:$J$8</c:f>
              <c:numCache>
                <c:formatCode>General</c:formatCode>
                <c:ptCount val="5"/>
                <c:pt idx="0">
                  <c:v>-4.2</c:v>
                </c:pt>
                <c:pt idx="1">
                  <c:v>-6.3</c:v>
                </c:pt>
                <c:pt idx="2">
                  <c:v>-6.8</c:v>
                </c:pt>
                <c:pt idx="3">
                  <c:v>-6.2</c:v>
                </c:pt>
                <c:pt idx="4">
                  <c:v>-5.7</c:v>
                </c:pt>
              </c:numCache>
            </c:numRef>
          </c:val>
          <c:smooth val="0"/>
          <c:extLst>
            <c:ext xmlns:c16="http://schemas.microsoft.com/office/drawing/2014/chart" uri="{C3380CC4-5D6E-409C-BE32-E72D297353CC}">
              <c16:uniqueId val="{00000006-E358-47DE-BFA7-4DEA311E6653}"/>
            </c:ext>
          </c:extLst>
        </c:ser>
        <c:dLbls>
          <c:showLegendKey val="0"/>
          <c:showVal val="0"/>
          <c:showCatName val="0"/>
          <c:showSerName val="0"/>
          <c:showPercent val="0"/>
          <c:showBubbleSize val="0"/>
        </c:dLbls>
        <c:smooth val="0"/>
        <c:axId val="248274335"/>
        <c:axId val="765234031"/>
      </c:lineChart>
      <c:catAx>
        <c:axId val="248274335"/>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234031"/>
        <c:crosses val="autoZero"/>
        <c:auto val="1"/>
        <c:lblAlgn val="ctr"/>
        <c:lblOffset val="100"/>
        <c:noMultiLvlLbl val="0"/>
      </c:catAx>
      <c:valAx>
        <c:axId val="765234031"/>
        <c:scaling>
          <c:orientation val="minMax"/>
          <c:max val="-3.5"/>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248274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Debt!$A$9</c:f>
              <c:strCache>
                <c:ptCount val="1"/>
                <c:pt idx="0">
                  <c:v>Budget 2019</c:v>
                </c:pt>
              </c:strCache>
            </c:strRef>
          </c:tx>
          <c:spPr>
            <a:ln w="28575" cap="rnd">
              <a:solidFill>
                <a:schemeClr val="accent1"/>
              </a:solidFill>
              <a:round/>
            </a:ln>
            <a:effectLst/>
          </c:spPr>
          <c:marker>
            <c:symbol val="none"/>
          </c:marker>
          <c:cat>
            <c:strRef>
              <c:f>Debt!$B$8:$I$8</c:f>
              <c:strCache>
                <c:ptCount val="8"/>
                <c:pt idx="0">
                  <c:v>2015/16</c:v>
                </c:pt>
                <c:pt idx="1">
                  <c:v>2016/17</c:v>
                </c:pt>
                <c:pt idx="2">
                  <c:v>2017/18</c:v>
                </c:pt>
                <c:pt idx="3">
                  <c:v>2018/19</c:v>
                </c:pt>
                <c:pt idx="4">
                  <c:v>2019/20e</c:v>
                </c:pt>
                <c:pt idx="5">
                  <c:v>2020/21f</c:v>
                </c:pt>
                <c:pt idx="6">
                  <c:v>2021/22f</c:v>
                </c:pt>
                <c:pt idx="7">
                  <c:v>2022/23f</c:v>
                </c:pt>
              </c:strCache>
            </c:strRef>
          </c:cat>
          <c:val>
            <c:numRef>
              <c:f>Debt!$B$9:$I$9</c:f>
              <c:numCache>
                <c:formatCode>0.0</c:formatCode>
                <c:ptCount val="8"/>
                <c:pt idx="0">
                  <c:v>48.9</c:v>
                </c:pt>
                <c:pt idx="1">
                  <c:v>50.5</c:v>
                </c:pt>
                <c:pt idx="2">
                  <c:v>53</c:v>
                </c:pt>
                <c:pt idx="3">
                  <c:v>55.629364971667627</c:v>
                </c:pt>
                <c:pt idx="4">
                  <c:v>56.206692712097642</c:v>
                </c:pt>
                <c:pt idx="5">
                  <c:v>57.770000033029859</c:v>
                </c:pt>
                <c:pt idx="6">
                  <c:v>58.946870062593391</c:v>
                </c:pt>
                <c:pt idx="7">
                  <c:v>59.714876246604931</c:v>
                </c:pt>
              </c:numCache>
            </c:numRef>
          </c:val>
          <c:smooth val="0"/>
          <c:extLst>
            <c:ext xmlns:c16="http://schemas.microsoft.com/office/drawing/2014/chart" uri="{C3380CC4-5D6E-409C-BE32-E72D297353CC}">
              <c16:uniqueId val="{00000000-692B-4ACE-A838-9CCCB496EBAE}"/>
            </c:ext>
          </c:extLst>
        </c:ser>
        <c:ser>
          <c:idx val="1"/>
          <c:order val="1"/>
          <c:tx>
            <c:strRef>
              <c:f>Debt!$A$10</c:f>
              <c:strCache>
                <c:ptCount val="1"/>
                <c:pt idx="0">
                  <c:v>MTBPS 2019</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692B-4ACE-A838-9CCCB496EBAE}"/>
                </c:ext>
              </c:extLst>
            </c:dLbl>
            <c:dLbl>
              <c:idx val="1"/>
              <c:delete val="1"/>
              <c:extLst>
                <c:ext xmlns:c15="http://schemas.microsoft.com/office/drawing/2012/chart" uri="{CE6537A1-D6FC-4f65-9D91-7224C49458BB}"/>
                <c:ext xmlns:c16="http://schemas.microsoft.com/office/drawing/2014/chart" uri="{C3380CC4-5D6E-409C-BE32-E72D297353CC}">
                  <c16:uniqueId val="{00000002-692B-4ACE-A838-9CCCB496EBAE}"/>
                </c:ext>
              </c:extLst>
            </c:dLbl>
            <c:dLbl>
              <c:idx val="2"/>
              <c:delete val="1"/>
              <c:extLst>
                <c:ext xmlns:c15="http://schemas.microsoft.com/office/drawing/2012/chart" uri="{CE6537A1-D6FC-4f65-9D91-7224C49458BB}"/>
                <c:ext xmlns:c16="http://schemas.microsoft.com/office/drawing/2014/chart" uri="{C3380CC4-5D6E-409C-BE32-E72D297353CC}">
                  <c16:uniqueId val="{00000003-692B-4ACE-A838-9CCCB496EBAE}"/>
                </c:ext>
              </c:extLst>
            </c:dLbl>
            <c:dLbl>
              <c:idx val="3"/>
              <c:delete val="1"/>
              <c:extLst>
                <c:ext xmlns:c15="http://schemas.microsoft.com/office/drawing/2012/chart" uri="{CE6537A1-D6FC-4f65-9D91-7224C49458BB}"/>
                <c:ext xmlns:c16="http://schemas.microsoft.com/office/drawing/2014/chart" uri="{C3380CC4-5D6E-409C-BE32-E72D297353CC}">
                  <c16:uniqueId val="{00000004-692B-4ACE-A838-9CCCB496EBAE}"/>
                </c:ext>
              </c:extLst>
            </c:dLbl>
            <c:dLbl>
              <c:idx val="4"/>
              <c:layout>
                <c:manualLayout>
                  <c:x val="6.414368184733725E-3"/>
                  <c:y val="2.3014959723820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92B-4ACE-A838-9CCCB496EBAE}"/>
                </c:ext>
              </c:extLst>
            </c:dLbl>
            <c:dLbl>
              <c:idx val="5"/>
              <c:layout>
                <c:manualLayout>
                  <c:x val="4.2762454564892029E-3"/>
                  <c:y val="3.0686612965093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92B-4ACE-A838-9CCCB496EBAE}"/>
                </c:ext>
              </c:extLst>
            </c:dLbl>
            <c:dLbl>
              <c:idx val="6"/>
              <c:layout>
                <c:manualLayout>
                  <c:x val="-1.5679385544193963E-16"/>
                  <c:y val="3.8358266206367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2B-4ACE-A838-9CCCB496EB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Debt!$B$8:$I$8</c:f>
              <c:strCache>
                <c:ptCount val="8"/>
                <c:pt idx="0">
                  <c:v>2015/16</c:v>
                </c:pt>
                <c:pt idx="1">
                  <c:v>2016/17</c:v>
                </c:pt>
                <c:pt idx="2">
                  <c:v>2017/18</c:v>
                </c:pt>
                <c:pt idx="3">
                  <c:v>2018/19</c:v>
                </c:pt>
                <c:pt idx="4">
                  <c:v>2019/20e</c:v>
                </c:pt>
                <c:pt idx="5">
                  <c:v>2020/21f</c:v>
                </c:pt>
                <c:pt idx="6">
                  <c:v>2021/22f</c:v>
                </c:pt>
                <c:pt idx="7">
                  <c:v>2022/23f</c:v>
                </c:pt>
              </c:strCache>
            </c:strRef>
          </c:cat>
          <c:val>
            <c:numRef>
              <c:f>Debt!$B$10:$I$10</c:f>
              <c:numCache>
                <c:formatCode>0.0</c:formatCode>
                <c:ptCount val="8"/>
                <c:pt idx="0">
                  <c:v>48.9</c:v>
                </c:pt>
                <c:pt idx="1">
                  <c:v>50.5</c:v>
                </c:pt>
                <c:pt idx="2">
                  <c:v>53</c:v>
                </c:pt>
                <c:pt idx="3">
                  <c:v>56.654768720172029</c:v>
                </c:pt>
                <c:pt idx="4">
                  <c:v>60.788721831250328</c:v>
                </c:pt>
                <c:pt idx="5">
                  <c:v>64.930185212086045</c:v>
                </c:pt>
                <c:pt idx="6">
                  <c:v>68.482488368054717</c:v>
                </c:pt>
                <c:pt idx="7">
                  <c:v>71.266608035311236</c:v>
                </c:pt>
              </c:numCache>
            </c:numRef>
          </c:val>
          <c:smooth val="0"/>
          <c:extLst>
            <c:ext xmlns:c16="http://schemas.microsoft.com/office/drawing/2014/chart" uri="{C3380CC4-5D6E-409C-BE32-E72D297353CC}">
              <c16:uniqueId val="{00000005-692B-4ACE-A838-9CCCB496EBAE}"/>
            </c:ext>
          </c:extLst>
        </c:ser>
        <c:ser>
          <c:idx val="2"/>
          <c:order val="2"/>
          <c:tx>
            <c:strRef>
              <c:f>Debt!$A$11</c:f>
              <c:strCache>
                <c:ptCount val="1"/>
                <c:pt idx="0">
                  <c:v>Budget 2020</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Debt!$B$8:$I$8</c:f>
              <c:strCache>
                <c:ptCount val="8"/>
                <c:pt idx="0">
                  <c:v>2015/16</c:v>
                </c:pt>
                <c:pt idx="1">
                  <c:v>2016/17</c:v>
                </c:pt>
                <c:pt idx="2">
                  <c:v>2017/18</c:v>
                </c:pt>
                <c:pt idx="3">
                  <c:v>2018/19</c:v>
                </c:pt>
                <c:pt idx="4">
                  <c:v>2019/20e</c:v>
                </c:pt>
                <c:pt idx="5">
                  <c:v>2020/21f</c:v>
                </c:pt>
                <c:pt idx="6">
                  <c:v>2021/22f</c:v>
                </c:pt>
                <c:pt idx="7">
                  <c:v>2022/23f</c:v>
                </c:pt>
              </c:strCache>
            </c:strRef>
          </c:cat>
          <c:val>
            <c:numRef>
              <c:f>Debt!$B$11:$I$11</c:f>
              <c:numCache>
                <c:formatCode>0.0</c:formatCode>
                <c:ptCount val="8"/>
                <c:pt idx="0">
                  <c:v>48.9</c:v>
                </c:pt>
                <c:pt idx="1">
                  <c:v>50.5</c:v>
                </c:pt>
                <c:pt idx="2">
                  <c:v>53</c:v>
                </c:pt>
                <c:pt idx="3" formatCode="General">
                  <c:v>56.7</c:v>
                </c:pt>
                <c:pt idx="4" formatCode="General">
                  <c:v>61.6</c:v>
                </c:pt>
                <c:pt idx="5" formatCode="General">
                  <c:v>65.599999999999994</c:v>
                </c:pt>
                <c:pt idx="6" formatCode="General">
                  <c:v>69.099999999999994</c:v>
                </c:pt>
                <c:pt idx="7" formatCode="General">
                  <c:v>71.599999999999994</c:v>
                </c:pt>
              </c:numCache>
            </c:numRef>
          </c:val>
          <c:smooth val="0"/>
          <c:extLst>
            <c:ext xmlns:c16="http://schemas.microsoft.com/office/drawing/2014/chart" uri="{C3380CC4-5D6E-409C-BE32-E72D297353CC}">
              <c16:uniqueId val="{00000006-692B-4ACE-A838-9CCCB496EBAE}"/>
            </c:ext>
          </c:extLst>
        </c:ser>
        <c:dLbls>
          <c:showLegendKey val="0"/>
          <c:showVal val="0"/>
          <c:showCatName val="0"/>
          <c:showSerName val="0"/>
          <c:showPercent val="0"/>
          <c:showBubbleSize val="0"/>
        </c:dLbls>
        <c:smooth val="0"/>
        <c:axId val="258443999"/>
        <c:axId val="235018863"/>
      </c:lineChart>
      <c:catAx>
        <c:axId val="258443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018863"/>
        <c:crosses val="autoZero"/>
        <c:auto val="1"/>
        <c:lblAlgn val="ctr"/>
        <c:lblOffset val="100"/>
        <c:noMultiLvlLbl val="0"/>
      </c:catAx>
      <c:valAx>
        <c:axId val="235018863"/>
        <c:scaling>
          <c:orientation val="minMax"/>
          <c:min val="45"/>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258443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9C02-7087-41EB-875F-CB509F9F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Viljoen</dc:creator>
  <cp:keywords/>
  <dc:description/>
  <cp:lastModifiedBy>Sanchia Temkin</cp:lastModifiedBy>
  <cp:revision>2</cp:revision>
  <dcterms:created xsi:type="dcterms:W3CDTF">2020-02-26T13:00:00Z</dcterms:created>
  <dcterms:modified xsi:type="dcterms:W3CDTF">2020-02-26T13:00:00Z</dcterms:modified>
</cp:coreProperties>
</file>