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47EE1" w14:textId="655A650F" w:rsidR="007B3589" w:rsidRDefault="007B3589" w:rsidP="007B3589">
      <w:pPr>
        <w:pStyle w:val="Heading1"/>
        <w:spacing w:after="0"/>
        <w:rPr>
          <w:sz w:val="44"/>
        </w:rPr>
      </w:pPr>
      <w:r>
        <w:rPr>
          <w:sz w:val="44"/>
        </w:rPr>
        <w:t>PwC focus on CPI – 22 April 2020</w:t>
      </w:r>
    </w:p>
    <w:p w14:paraId="57E3CEB5" w14:textId="43004D34" w:rsidR="007B3589" w:rsidRDefault="007B3589" w:rsidP="007B3589">
      <w:pPr>
        <w:pStyle w:val="Heading1"/>
        <w:spacing w:after="0"/>
        <w:rPr>
          <w:sz w:val="44"/>
        </w:rPr>
      </w:pPr>
    </w:p>
    <w:p w14:paraId="7D9E93B0" w14:textId="4794C8F0" w:rsidR="007B3589" w:rsidRDefault="007B3589" w:rsidP="007B3589">
      <w:pPr>
        <w:pStyle w:val="Heading1"/>
        <w:spacing w:after="0"/>
        <w:rPr>
          <w:sz w:val="44"/>
        </w:rPr>
      </w:pPr>
      <w:r w:rsidRPr="007A7B59">
        <w:rPr>
          <w:b w:val="0"/>
          <w:noProof/>
          <w:color w:val="990000"/>
        </w:rPr>
        <w:drawing>
          <wp:inline distT="0" distB="0" distL="0" distR="0" wp14:anchorId="31ED7EB9" wp14:editId="7F234962">
            <wp:extent cx="2238375" cy="18630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0853F270" w14:textId="77777777" w:rsidR="007B3589" w:rsidRDefault="007B3589" w:rsidP="007B3589">
      <w:pPr>
        <w:pStyle w:val="Heading1"/>
        <w:spacing w:after="0"/>
        <w:rPr>
          <w:sz w:val="44"/>
        </w:rPr>
      </w:pPr>
    </w:p>
    <w:p w14:paraId="7E40BF79" w14:textId="20D43723" w:rsidR="007B3589" w:rsidRDefault="007B3589" w:rsidP="007B3589">
      <w:pPr>
        <w:pStyle w:val="Heading1"/>
        <w:spacing w:after="0"/>
        <w:rPr>
          <w:sz w:val="44"/>
        </w:rPr>
      </w:pPr>
      <w:r w:rsidRPr="00560DC0">
        <w:rPr>
          <w:sz w:val="44"/>
        </w:rPr>
        <w:t>Inflation</w:t>
      </w:r>
      <w:r>
        <w:rPr>
          <w:sz w:val="44"/>
        </w:rPr>
        <w:t xml:space="preserve"> declines to 4.1% in March</w:t>
      </w:r>
    </w:p>
    <w:p w14:paraId="14FE7547" w14:textId="77777777" w:rsidR="007B3589" w:rsidRDefault="007B3589" w:rsidP="007B3589">
      <w:pPr>
        <w:pStyle w:val="Heading1"/>
        <w:spacing w:after="0"/>
        <w:rPr>
          <w:color w:val="5B9BD5" w:themeColor="accent5"/>
          <w:sz w:val="28"/>
          <w:szCs w:val="26"/>
          <w:lang w:val="en-US"/>
        </w:rPr>
      </w:pPr>
      <w:r>
        <w:rPr>
          <w:color w:val="5B9BD5" w:themeColor="accent5"/>
          <w:sz w:val="28"/>
          <w:szCs w:val="26"/>
          <w:lang w:val="en-US"/>
        </w:rPr>
        <w:t>Room for more interest rate cuts in the short term</w:t>
      </w:r>
    </w:p>
    <w:p w14:paraId="00E5E310" w14:textId="77777777" w:rsidR="007B3589" w:rsidRDefault="007B3589" w:rsidP="007B3589">
      <w:pPr>
        <w:rPr>
          <w:rFonts w:ascii="Georgia" w:hAnsi="Georgia"/>
          <w:sz w:val="20"/>
          <w:szCs w:val="20"/>
        </w:rPr>
      </w:pPr>
    </w:p>
    <w:p w14:paraId="0E448E1E" w14:textId="77777777" w:rsidR="007B3589" w:rsidRDefault="007B3589" w:rsidP="007B3589">
      <w:pPr>
        <w:rPr>
          <w:rFonts w:ascii="Georgia" w:hAnsi="Georgia"/>
          <w:sz w:val="20"/>
          <w:szCs w:val="20"/>
        </w:rPr>
      </w:pPr>
      <w:r w:rsidRPr="00067194">
        <w:rPr>
          <w:rFonts w:ascii="Georgia" w:hAnsi="Georgia"/>
          <w:sz w:val="20"/>
          <w:szCs w:val="20"/>
        </w:rPr>
        <w:t xml:space="preserve">Statistics South Africa (Stats SA) reported on </w:t>
      </w:r>
      <w:r>
        <w:rPr>
          <w:rFonts w:ascii="Georgia" w:hAnsi="Georgia"/>
          <w:sz w:val="20"/>
          <w:szCs w:val="20"/>
        </w:rPr>
        <w:t xml:space="preserve">April 22 </w:t>
      </w:r>
      <w:r w:rsidRPr="00067194">
        <w:rPr>
          <w:rFonts w:ascii="Georgia" w:hAnsi="Georgia"/>
          <w:sz w:val="20"/>
          <w:szCs w:val="20"/>
        </w:rPr>
        <w:t xml:space="preserve">that </w:t>
      </w:r>
      <w:r w:rsidRPr="00067194">
        <w:rPr>
          <w:rFonts w:asciiTheme="majorHAnsi" w:hAnsiTheme="majorHAnsi"/>
          <w:b/>
          <w:color w:val="4472C4" w:themeColor="accent1"/>
          <w:sz w:val="20"/>
          <w:szCs w:val="20"/>
          <w:shd w:val="clear" w:color="auto" w:fill="FFFFFF"/>
        </w:rPr>
        <w:t xml:space="preserve">consumer price inflation </w:t>
      </w:r>
      <w:r>
        <w:rPr>
          <w:rFonts w:asciiTheme="majorHAnsi" w:hAnsiTheme="majorHAnsi"/>
          <w:b/>
          <w:color w:val="4472C4" w:themeColor="accent1"/>
          <w:sz w:val="20"/>
          <w:szCs w:val="20"/>
          <w:shd w:val="clear" w:color="auto" w:fill="FFFFFF"/>
        </w:rPr>
        <w:t>de</w:t>
      </w:r>
      <w:r w:rsidRPr="00067194">
        <w:rPr>
          <w:rFonts w:asciiTheme="majorHAnsi" w:hAnsiTheme="majorHAnsi"/>
          <w:b/>
          <w:color w:val="4472C4" w:themeColor="accent1"/>
          <w:sz w:val="20"/>
          <w:szCs w:val="20"/>
          <w:shd w:val="clear" w:color="auto" w:fill="FFFFFF"/>
        </w:rPr>
        <w:t xml:space="preserve">creased from </w:t>
      </w:r>
      <w:r>
        <w:rPr>
          <w:rFonts w:asciiTheme="majorHAnsi" w:hAnsiTheme="majorHAnsi"/>
          <w:b/>
          <w:color w:val="4472C4" w:themeColor="accent1"/>
          <w:sz w:val="20"/>
          <w:szCs w:val="20"/>
          <w:shd w:val="clear" w:color="auto" w:fill="FFFFFF"/>
        </w:rPr>
        <w:t>4.6% y</w:t>
      </w:r>
      <w:r w:rsidRPr="00067194">
        <w:rPr>
          <w:rFonts w:asciiTheme="majorHAnsi" w:hAnsiTheme="majorHAnsi"/>
          <w:b/>
          <w:color w:val="4472C4" w:themeColor="accent1"/>
          <w:sz w:val="20"/>
          <w:szCs w:val="20"/>
          <w:shd w:val="clear" w:color="auto" w:fill="FFFFFF"/>
        </w:rPr>
        <w:t xml:space="preserve">ear-on-year (y-o-y) in </w:t>
      </w:r>
      <w:r>
        <w:rPr>
          <w:rFonts w:asciiTheme="majorHAnsi" w:hAnsiTheme="majorHAnsi"/>
          <w:b/>
          <w:color w:val="4472C4" w:themeColor="accent1"/>
          <w:sz w:val="20"/>
          <w:szCs w:val="20"/>
          <w:shd w:val="clear" w:color="auto" w:fill="FFFFFF"/>
        </w:rPr>
        <w:t xml:space="preserve">February to 4.1% y-o-y in March 2020. </w:t>
      </w:r>
      <w:r w:rsidRPr="000B5284">
        <w:rPr>
          <w:rFonts w:ascii="Georgia" w:hAnsi="Georgia"/>
          <w:sz w:val="20"/>
          <w:szCs w:val="20"/>
        </w:rPr>
        <w:t xml:space="preserve">Inflation averaged </w:t>
      </w:r>
      <w:r>
        <w:rPr>
          <w:rFonts w:ascii="Georgia" w:hAnsi="Georgia"/>
          <w:sz w:val="20"/>
          <w:szCs w:val="20"/>
        </w:rPr>
        <w:t>4.4% during the first quarter compared to a South African Reserve Bank (SARB) forecast of 4.5%.</w:t>
      </w:r>
      <w:bookmarkStart w:id="0" w:name="_Hlk33002326"/>
      <w:r>
        <w:rPr>
          <w:rFonts w:ascii="Georgia" w:hAnsi="Georgia"/>
          <w:sz w:val="20"/>
          <w:szCs w:val="20"/>
        </w:rPr>
        <w:t xml:space="preserve"> Inflation is not a prominent point of analysis in South Africa </w:t>
      </w:r>
      <w:proofErr w:type="gramStart"/>
      <w:r>
        <w:rPr>
          <w:rFonts w:ascii="Georgia" w:hAnsi="Georgia"/>
          <w:sz w:val="20"/>
          <w:szCs w:val="20"/>
        </w:rPr>
        <w:t>at the moment</w:t>
      </w:r>
      <w:proofErr w:type="gramEnd"/>
      <w:r>
        <w:rPr>
          <w:rFonts w:ascii="Georgia" w:hAnsi="Georgia"/>
          <w:sz w:val="20"/>
          <w:szCs w:val="20"/>
        </w:rPr>
        <w:t xml:space="preserve"> </w:t>
      </w:r>
      <w:proofErr w:type="spellStart"/>
      <w:r>
        <w:rPr>
          <w:rFonts w:ascii="Georgia" w:hAnsi="Georgia"/>
          <w:sz w:val="20"/>
          <w:szCs w:val="20"/>
        </w:rPr>
        <w:t>wit</w:t>
      </w:r>
      <w:proofErr w:type="spellEnd"/>
      <w:r>
        <w:rPr>
          <w:rFonts w:ascii="Georgia" w:hAnsi="Georgia"/>
          <w:sz w:val="20"/>
          <w:szCs w:val="20"/>
        </w:rPr>
        <w:t xml:space="preserve"> greater emphasis on the outlook for the economy and employment. However, consumer price dynamics are still being considered by the central bank as it looks at monetary policy tools to support the local economy. </w:t>
      </w:r>
    </w:p>
    <w:p w14:paraId="770CDC4E" w14:textId="77777777" w:rsidR="007B3589" w:rsidRPr="000B5284" w:rsidRDefault="007B3589" w:rsidP="007B3589">
      <w:pPr>
        <w:rPr>
          <w:rFonts w:ascii="Georgia" w:hAnsi="Georgia"/>
          <w:sz w:val="20"/>
          <w:szCs w:val="20"/>
        </w:rPr>
      </w:pPr>
      <w:r>
        <w:rPr>
          <w:rFonts w:asciiTheme="majorHAnsi" w:hAnsiTheme="majorHAnsi"/>
          <w:b/>
          <w:color w:val="4472C4" w:themeColor="accent1"/>
          <w:sz w:val="20"/>
          <w:szCs w:val="20"/>
          <w:shd w:val="clear" w:color="auto" w:fill="FFFFFF"/>
        </w:rPr>
        <w:t xml:space="preserve">A </w:t>
      </w:r>
      <w:r w:rsidRPr="00067194">
        <w:rPr>
          <w:rFonts w:asciiTheme="majorHAnsi" w:hAnsiTheme="majorHAnsi"/>
          <w:b/>
          <w:color w:val="4472C4" w:themeColor="accent1"/>
          <w:sz w:val="20"/>
          <w:szCs w:val="20"/>
          <w:shd w:val="clear" w:color="auto" w:fill="FFFFFF"/>
        </w:rPr>
        <w:t xml:space="preserve">major driver behind the </w:t>
      </w:r>
      <w:r>
        <w:rPr>
          <w:rFonts w:asciiTheme="majorHAnsi" w:hAnsiTheme="majorHAnsi"/>
          <w:b/>
          <w:color w:val="4472C4" w:themeColor="accent1"/>
          <w:sz w:val="20"/>
          <w:szCs w:val="20"/>
          <w:shd w:val="clear" w:color="auto" w:fill="FFFFFF"/>
        </w:rPr>
        <w:t xml:space="preserve">decrease </w:t>
      </w:r>
      <w:r w:rsidRPr="00067194">
        <w:rPr>
          <w:rFonts w:asciiTheme="majorHAnsi" w:hAnsiTheme="majorHAnsi"/>
          <w:b/>
          <w:color w:val="4472C4" w:themeColor="accent1"/>
          <w:sz w:val="20"/>
          <w:szCs w:val="20"/>
          <w:shd w:val="clear" w:color="auto" w:fill="FFFFFF"/>
        </w:rPr>
        <w:t xml:space="preserve">in </w:t>
      </w:r>
      <w:r>
        <w:rPr>
          <w:rFonts w:asciiTheme="majorHAnsi" w:hAnsiTheme="majorHAnsi"/>
          <w:b/>
          <w:color w:val="4472C4" w:themeColor="accent1"/>
          <w:sz w:val="20"/>
          <w:szCs w:val="20"/>
          <w:shd w:val="clear" w:color="auto" w:fill="FFFFFF"/>
        </w:rPr>
        <w:t xml:space="preserve">March’s headline </w:t>
      </w:r>
      <w:r w:rsidRPr="00067194">
        <w:rPr>
          <w:rFonts w:asciiTheme="majorHAnsi" w:hAnsiTheme="majorHAnsi"/>
          <w:b/>
          <w:color w:val="4472C4" w:themeColor="accent1"/>
          <w:sz w:val="20"/>
          <w:szCs w:val="20"/>
          <w:shd w:val="clear" w:color="auto" w:fill="FFFFFF"/>
        </w:rPr>
        <w:t>inflation was</w:t>
      </w:r>
      <w:r>
        <w:rPr>
          <w:rFonts w:asciiTheme="majorHAnsi" w:hAnsiTheme="majorHAnsi"/>
          <w:b/>
          <w:color w:val="4472C4" w:themeColor="accent1"/>
          <w:sz w:val="20"/>
          <w:szCs w:val="20"/>
          <w:shd w:val="clear" w:color="auto" w:fill="FFFFFF"/>
        </w:rPr>
        <w:t xml:space="preserve"> disinflation in the transport component of the consumer basket. </w:t>
      </w:r>
      <w:r w:rsidRPr="000B5284">
        <w:rPr>
          <w:rFonts w:ascii="Georgia" w:hAnsi="Georgia"/>
          <w:sz w:val="20"/>
          <w:szCs w:val="20"/>
        </w:rPr>
        <w:t xml:space="preserve">Fuel costs </w:t>
      </w:r>
      <w:r>
        <w:rPr>
          <w:rFonts w:ascii="Georgia" w:hAnsi="Georgia"/>
          <w:sz w:val="20"/>
          <w:szCs w:val="20"/>
        </w:rPr>
        <w:t xml:space="preserve">were </w:t>
      </w:r>
      <w:r w:rsidRPr="000B5284">
        <w:rPr>
          <w:rFonts w:ascii="Georgia" w:hAnsi="Georgia"/>
          <w:sz w:val="20"/>
          <w:szCs w:val="20"/>
        </w:rPr>
        <w:t>1.6% month-on-month (m-o-m)</w:t>
      </w:r>
      <w:r>
        <w:rPr>
          <w:rFonts w:ascii="Georgia" w:hAnsi="Georgia"/>
          <w:sz w:val="20"/>
          <w:szCs w:val="20"/>
        </w:rPr>
        <w:t xml:space="preserve"> lower</w:t>
      </w:r>
      <w:r w:rsidRPr="000B5284">
        <w:rPr>
          <w:rFonts w:ascii="Georgia" w:hAnsi="Georgia"/>
          <w:sz w:val="20"/>
          <w:szCs w:val="20"/>
        </w:rPr>
        <w:t xml:space="preserve">, resulting in a 1.7% m-o-m decline in the overall cost of transportation. </w:t>
      </w:r>
      <w:r>
        <w:rPr>
          <w:rFonts w:ascii="Georgia" w:hAnsi="Georgia"/>
          <w:sz w:val="20"/>
          <w:szCs w:val="20"/>
        </w:rPr>
        <w:t xml:space="preserve">Petrol and diesel prices declined by 19c/litre and 5c/litre, respectively, on March 4. This was largely as a result of lower international products prices, with a weaker rand eroding some of the potential benefit to motorists. </w:t>
      </w:r>
      <w:r w:rsidRPr="000B5284">
        <w:rPr>
          <w:rFonts w:ascii="Georgia" w:hAnsi="Georgia"/>
          <w:sz w:val="20"/>
          <w:szCs w:val="20"/>
        </w:rPr>
        <w:t>As a result</w:t>
      </w:r>
      <w:r>
        <w:rPr>
          <w:rFonts w:ascii="Georgia" w:hAnsi="Georgia"/>
          <w:sz w:val="20"/>
          <w:szCs w:val="20"/>
        </w:rPr>
        <w:t xml:space="preserve"> of lower fuel prices, </w:t>
      </w:r>
      <w:r w:rsidRPr="000B5284">
        <w:rPr>
          <w:rFonts w:ascii="Georgia" w:hAnsi="Georgia"/>
          <w:sz w:val="20"/>
          <w:szCs w:val="20"/>
        </w:rPr>
        <w:t xml:space="preserve">transport was only 3.4% y-o-y more expensive in March compared to a reading of 6.2% y-o-y in the preceding month. </w:t>
      </w:r>
    </w:p>
    <w:p w14:paraId="436C85A6" w14:textId="77777777" w:rsidR="007B3589" w:rsidRPr="000B5284" w:rsidRDefault="007B3589" w:rsidP="007B3589">
      <w:pPr>
        <w:jc w:val="center"/>
        <w:rPr>
          <w:rFonts w:ascii="Georgia" w:hAnsi="Georgia"/>
          <w:sz w:val="20"/>
          <w:szCs w:val="20"/>
        </w:rPr>
      </w:pPr>
      <w:r>
        <w:rPr>
          <w:noProof/>
        </w:rPr>
        <w:drawing>
          <wp:inline distT="0" distB="0" distL="0" distR="0" wp14:anchorId="18F1CC88" wp14:editId="0F404411">
            <wp:extent cx="3599363" cy="2162272"/>
            <wp:effectExtent l="0" t="0" r="0" b="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bookmarkEnd w:id="0"/>
    <w:p w14:paraId="3550035A" w14:textId="77777777" w:rsidR="007B3589" w:rsidRPr="00B1605C" w:rsidRDefault="007B3589" w:rsidP="007B3589">
      <w:pPr>
        <w:rPr>
          <w:rFonts w:ascii="Georgia" w:hAnsi="Georgia"/>
          <w:i/>
          <w:sz w:val="20"/>
          <w:szCs w:val="20"/>
        </w:rPr>
      </w:pPr>
      <w:r w:rsidRPr="00B1605C">
        <w:rPr>
          <w:rFonts w:ascii="Georgia" w:hAnsi="Georgia"/>
          <w:i/>
          <w:sz w:val="20"/>
          <w:szCs w:val="20"/>
        </w:rPr>
        <w:lastRenderedPageBreak/>
        <w:t>Source</w:t>
      </w:r>
      <w:r>
        <w:rPr>
          <w:rFonts w:ascii="Georgia" w:hAnsi="Georgia"/>
          <w:i/>
          <w:sz w:val="20"/>
          <w:szCs w:val="20"/>
        </w:rPr>
        <w:t>s</w:t>
      </w:r>
      <w:r w:rsidRPr="00B1605C">
        <w:rPr>
          <w:rFonts w:ascii="Georgia" w:hAnsi="Georgia"/>
          <w:i/>
          <w:sz w:val="20"/>
          <w:szCs w:val="20"/>
        </w:rPr>
        <w:t>: Stats SA, SARB</w:t>
      </w:r>
    </w:p>
    <w:p w14:paraId="599D6990" w14:textId="77777777" w:rsidR="007B3589" w:rsidRDefault="007B3589" w:rsidP="007B3589">
      <w:pPr>
        <w:rPr>
          <w:rFonts w:ascii="Georgia" w:hAnsi="Georgia"/>
          <w:sz w:val="20"/>
          <w:szCs w:val="20"/>
        </w:rPr>
      </w:pPr>
      <w:r w:rsidRPr="00341FA2">
        <w:rPr>
          <w:rFonts w:asciiTheme="majorHAnsi" w:hAnsiTheme="majorHAnsi"/>
          <w:b/>
          <w:color w:val="4472C4" w:themeColor="accent1"/>
          <w:sz w:val="20"/>
          <w:szCs w:val="20"/>
          <w:shd w:val="clear" w:color="auto" w:fill="FFFFFF"/>
        </w:rPr>
        <w:t xml:space="preserve">The SARB Monetary Policy Committee (MPC) announced on April 14 it had reduced interest rates by another 100 basis points, following an identical move on March 19. </w:t>
      </w:r>
      <w:r>
        <w:rPr>
          <w:rFonts w:ascii="Georgia" w:hAnsi="Georgia"/>
          <w:sz w:val="20"/>
          <w:szCs w:val="20"/>
        </w:rPr>
        <w:t xml:space="preserve">The central bank commented that the extension of the national lockdown (until April 30) will result in a greater economic contraction in the short term as </w:t>
      </w:r>
      <w:r w:rsidRPr="00656075">
        <w:rPr>
          <w:rFonts w:ascii="Georgia" w:hAnsi="Georgia"/>
          <w:sz w:val="20"/>
          <w:szCs w:val="20"/>
        </w:rPr>
        <w:t>businesses stay shut for longer and</w:t>
      </w:r>
      <w:r>
        <w:rPr>
          <w:rFonts w:ascii="Georgia" w:hAnsi="Georgia"/>
          <w:sz w:val="20"/>
          <w:szCs w:val="20"/>
        </w:rPr>
        <w:t xml:space="preserve"> </w:t>
      </w:r>
      <w:r w:rsidRPr="00656075">
        <w:rPr>
          <w:rFonts w:ascii="Georgia" w:hAnsi="Georgia"/>
          <w:sz w:val="20"/>
          <w:szCs w:val="20"/>
        </w:rPr>
        <w:t>households spend less.</w:t>
      </w:r>
      <w:r>
        <w:rPr>
          <w:rFonts w:ascii="Georgia" w:hAnsi="Georgia"/>
          <w:sz w:val="20"/>
          <w:szCs w:val="20"/>
        </w:rPr>
        <w:t xml:space="preserve"> The central bank now expects the South African economy to contract by 6.1% in 2020 – a sharp deterioration from the 0.2% decline forecast just three weeks ago. </w:t>
      </w:r>
    </w:p>
    <w:p w14:paraId="06E7994D" w14:textId="77777777" w:rsidR="007B3589" w:rsidRDefault="007B3589" w:rsidP="007B3589">
      <w:pPr>
        <w:rPr>
          <w:rFonts w:ascii="Georgia" w:hAnsi="Georgia"/>
          <w:sz w:val="20"/>
          <w:szCs w:val="20"/>
        </w:rPr>
      </w:pPr>
      <w:r w:rsidRPr="00341FA2">
        <w:rPr>
          <w:rFonts w:asciiTheme="majorHAnsi" w:hAnsiTheme="majorHAnsi"/>
          <w:b/>
          <w:color w:val="4472C4" w:themeColor="accent1"/>
          <w:sz w:val="20"/>
          <w:szCs w:val="20"/>
          <w:shd w:val="clear" w:color="auto" w:fill="FFFFFF"/>
        </w:rPr>
        <w:t xml:space="preserve">On the inflation front, the SARB commented that the much weaker economic growth outlook coupled with low oil prices have resulted in a downward revision in </w:t>
      </w:r>
      <w:r>
        <w:rPr>
          <w:rFonts w:asciiTheme="majorHAnsi" w:hAnsiTheme="majorHAnsi"/>
          <w:b/>
          <w:color w:val="4472C4" w:themeColor="accent1"/>
          <w:sz w:val="20"/>
          <w:szCs w:val="20"/>
          <w:shd w:val="clear" w:color="auto" w:fill="FFFFFF"/>
        </w:rPr>
        <w:t xml:space="preserve">its </w:t>
      </w:r>
      <w:r w:rsidRPr="00341FA2">
        <w:rPr>
          <w:rFonts w:asciiTheme="majorHAnsi" w:hAnsiTheme="majorHAnsi"/>
          <w:b/>
          <w:color w:val="4472C4" w:themeColor="accent1"/>
          <w:sz w:val="20"/>
          <w:szCs w:val="20"/>
          <w:shd w:val="clear" w:color="auto" w:fill="FFFFFF"/>
        </w:rPr>
        <w:t>inflation forecasts.</w:t>
      </w:r>
      <w:r>
        <w:rPr>
          <w:rFonts w:ascii="Georgia" w:hAnsi="Georgia"/>
          <w:sz w:val="20"/>
          <w:szCs w:val="20"/>
        </w:rPr>
        <w:t xml:space="preserve"> (The central bank expects Brent oil to average $42 per barrel this year.) Consumer price inflation is forecast by the SARB to average 3.6% in 2020; this is close to the bottom end of the 3%-6% target range. Combined with the weak economic outlook, this low inflation outlook makes room for significant monetary stimulus to the broader economy. The MPC commented that the </w:t>
      </w:r>
      <w:r w:rsidRPr="00B823D0">
        <w:rPr>
          <w:rFonts w:ascii="Georgia" w:hAnsi="Georgia"/>
          <w:sz w:val="20"/>
          <w:szCs w:val="20"/>
        </w:rPr>
        <w:t>overall risks to the inflation outlook appear to be to the downside</w:t>
      </w:r>
      <w:r>
        <w:rPr>
          <w:rFonts w:ascii="Georgia" w:hAnsi="Georgia"/>
          <w:sz w:val="20"/>
          <w:szCs w:val="20"/>
        </w:rPr>
        <w:t xml:space="preserve"> at present. </w:t>
      </w:r>
    </w:p>
    <w:p w14:paraId="7DF0C63B" w14:textId="17C5D57D" w:rsidR="007B3589" w:rsidRDefault="007B3589" w:rsidP="007B3589">
      <w:pPr>
        <w:rPr>
          <w:rFonts w:ascii="Georgia" w:hAnsi="Georgia"/>
          <w:sz w:val="20"/>
          <w:szCs w:val="20"/>
        </w:rPr>
      </w:pPr>
      <w:r w:rsidRPr="00341FA2">
        <w:rPr>
          <w:rFonts w:asciiTheme="majorHAnsi" w:hAnsiTheme="majorHAnsi"/>
          <w:b/>
          <w:color w:val="4472C4" w:themeColor="accent1"/>
          <w:sz w:val="20"/>
          <w:szCs w:val="20"/>
          <w:shd w:val="clear" w:color="auto" w:fill="FFFFFF"/>
        </w:rPr>
        <w:t>Looking ahead, the MPC statement indicated that the central bank’s internal modelling suggests room for a further five interest rates cuts of 25 basis points each over the coming 12 months.</w:t>
      </w:r>
      <w:r>
        <w:rPr>
          <w:rFonts w:ascii="Georgia" w:hAnsi="Georgia"/>
          <w:sz w:val="20"/>
          <w:szCs w:val="20"/>
        </w:rPr>
        <w:t xml:space="preserve"> However, given the speed at which the local and global environment is changing at present, it is not impossible for the SARB to make another big (i.e. larger than 25 basis point) rate cut </w:t>
      </w:r>
      <w:proofErr w:type="gramStart"/>
      <w:r>
        <w:rPr>
          <w:rFonts w:ascii="Georgia" w:hAnsi="Georgia"/>
          <w:sz w:val="20"/>
          <w:szCs w:val="20"/>
        </w:rPr>
        <w:t>in the near future</w:t>
      </w:r>
      <w:proofErr w:type="gramEnd"/>
      <w:r>
        <w:rPr>
          <w:rFonts w:ascii="Georgia" w:hAnsi="Georgia"/>
          <w:sz w:val="20"/>
          <w:szCs w:val="20"/>
        </w:rPr>
        <w:t xml:space="preserve">. Of course, as policymakers always warn, the outlook and current rate cut suggestions are highly dependent on economic data. The exchange rate, for example, is one of the factors that could pressure the cost of imported inflation in coming quarters. </w:t>
      </w:r>
    </w:p>
    <w:p w14:paraId="4F6C2E63" w14:textId="77777777" w:rsidR="007B3589" w:rsidRPr="007B3589" w:rsidRDefault="007B3589" w:rsidP="007B3589">
      <w:pPr>
        <w:pBdr>
          <w:bottom w:val="single" w:sz="12" w:space="1" w:color="auto"/>
        </w:pBdr>
        <w:spacing w:before="240" w:after="240"/>
        <w:rPr>
          <w:rFonts w:ascii="Georgia" w:hAnsi="Georgia" w:cstheme="minorHAnsi"/>
          <w:b/>
          <w:i/>
          <w:sz w:val="24"/>
          <w:szCs w:val="24"/>
        </w:rPr>
      </w:pPr>
      <w:r w:rsidRPr="007B3589">
        <w:rPr>
          <w:rFonts w:ascii="Georgia" w:hAnsi="Georgia" w:cstheme="minorHAnsi"/>
          <w:b/>
          <w:i/>
          <w:sz w:val="24"/>
          <w:szCs w:val="24"/>
        </w:rPr>
        <w:t xml:space="preserve">Article by </w:t>
      </w:r>
      <w:proofErr w:type="spellStart"/>
      <w:r w:rsidRPr="007B3589">
        <w:rPr>
          <w:rFonts w:ascii="Georgia" w:hAnsi="Georgia" w:cstheme="minorHAnsi"/>
          <w:b/>
          <w:i/>
          <w:sz w:val="24"/>
          <w:szCs w:val="24"/>
        </w:rPr>
        <w:t>Lullu</w:t>
      </w:r>
      <w:proofErr w:type="spellEnd"/>
      <w:r w:rsidRPr="007B3589">
        <w:rPr>
          <w:rFonts w:ascii="Georgia" w:hAnsi="Georgia" w:cstheme="minorHAnsi"/>
          <w:b/>
          <w:i/>
          <w:sz w:val="24"/>
          <w:szCs w:val="24"/>
        </w:rPr>
        <w:t xml:space="preserve"> </w:t>
      </w:r>
      <w:proofErr w:type="spellStart"/>
      <w:r w:rsidRPr="007B3589">
        <w:rPr>
          <w:rFonts w:ascii="Georgia" w:hAnsi="Georgia" w:cstheme="minorHAnsi"/>
          <w:b/>
          <w:i/>
          <w:sz w:val="24"/>
          <w:szCs w:val="24"/>
        </w:rPr>
        <w:t>Krugel</w:t>
      </w:r>
      <w:proofErr w:type="spellEnd"/>
      <w:r w:rsidRPr="007B3589">
        <w:rPr>
          <w:rFonts w:ascii="Georgia" w:hAnsi="Georgia" w:cstheme="minorHAnsi"/>
          <w:b/>
          <w:i/>
          <w:sz w:val="24"/>
          <w:szCs w:val="24"/>
        </w:rPr>
        <w:t xml:space="preserve"> Chief Economist for PwC Strategy&amp;, and Dr Christie Viljoen, PwC Strategy&amp; Economist</w:t>
      </w:r>
    </w:p>
    <w:p w14:paraId="1EEEC0EC" w14:textId="75B61DDA" w:rsidR="007B3589" w:rsidRPr="007B3589" w:rsidRDefault="007B3589" w:rsidP="007B3589">
      <w:pPr>
        <w:spacing w:before="240" w:after="240"/>
        <w:rPr>
          <w:rFonts w:ascii="Georgia" w:hAnsi="Georgia" w:cstheme="minorHAnsi"/>
          <w:b/>
          <w:i/>
          <w:sz w:val="24"/>
          <w:szCs w:val="24"/>
        </w:rPr>
      </w:pPr>
      <w:r w:rsidRPr="007B3589">
        <w:rPr>
          <w:rFonts w:ascii="Georgia" w:eastAsia="Times New Roman" w:hAnsi="Georgia" w:cstheme="minorHAnsi"/>
          <w:i/>
          <w:iCs/>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6" w:tgtFrame="_blank" w:history="1">
        <w:r w:rsidRPr="007B3589">
          <w:rPr>
            <w:rFonts w:ascii="Georgia" w:eastAsia="Times New Roman" w:hAnsi="Georgia" w:cstheme="minorHAnsi"/>
            <w:i/>
            <w:iCs/>
            <w:color w:val="1155CC"/>
            <w:u w:val="single"/>
          </w:rPr>
          <w:t>www.pwc.com</w:t>
        </w:r>
      </w:hyperlink>
      <w:r w:rsidRPr="007B3589">
        <w:rPr>
          <w:rFonts w:ascii="Georgia" w:eastAsia="Times New Roman" w:hAnsi="Georgia" w:cstheme="minorHAnsi"/>
          <w:i/>
          <w:iCs/>
          <w:color w:val="222222"/>
        </w:rPr>
        <w:t>.</w:t>
      </w:r>
    </w:p>
    <w:p w14:paraId="486BCE10" w14:textId="77777777" w:rsidR="007B3589" w:rsidRPr="007B3589" w:rsidRDefault="007B3589" w:rsidP="007B3589">
      <w:pPr>
        <w:pStyle w:val="NormalWeb"/>
        <w:shd w:val="clear" w:color="auto" w:fill="FFFFFF"/>
        <w:rPr>
          <w:rFonts w:ascii="Georgia" w:hAnsi="Georgia" w:cstheme="minorHAnsi"/>
          <w:i/>
          <w:color w:val="000000" w:themeColor="text1"/>
          <w:sz w:val="22"/>
          <w:szCs w:val="22"/>
          <w:lang w:val="en"/>
        </w:rPr>
      </w:pPr>
      <w:r w:rsidRPr="007B3589">
        <w:rPr>
          <w:rFonts w:ascii="Georgia" w:hAnsi="Georgia" w:cstheme="minorHAnsi"/>
          <w:i/>
          <w:color w:val="000000" w:themeColor="text1"/>
          <w:sz w:val="22"/>
          <w:szCs w:val="22"/>
          <w:lang w:val="en"/>
        </w:rPr>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6ACD1BB8" w14:textId="77777777" w:rsidR="007B3589" w:rsidRPr="007B3589" w:rsidRDefault="007B3589" w:rsidP="007B3589">
      <w:pPr>
        <w:spacing w:line="240" w:lineRule="auto"/>
        <w:rPr>
          <w:rFonts w:ascii="Georgia" w:eastAsia="Times New Roman" w:hAnsi="Georgia" w:cstheme="minorHAnsi"/>
        </w:rPr>
      </w:pPr>
      <w:r w:rsidRPr="007B3589">
        <w:rPr>
          <w:rFonts w:ascii="Georgia" w:eastAsia="Times New Roman" w:hAnsi="Georgia" w:cstheme="minorHAnsi"/>
          <w:i/>
          <w:iCs/>
          <w:color w:val="222222"/>
        </w:rPr>
        <w:t xml:space="preserve">PwC refers to the PwC network and/or one or more of its member firms, each of which is a separate legal entity. Please see </w:t>
      </w:r>
      <w:hyperlink r:id="rId7" w:tgtFrame="_blank" w:history="1">
        <w:r w:rsidRPr="007B3589">
          <w:rPr>
            <w:rFonts w:ascii="Georgia" w:eastAsia="Times New Roman" w:hAnsi="Georgia" w:cstheme="minorHAnsi"/>
            <w:i/>
            <w:iCs/>
            <w:color w:val="1155CC"/>
            <w:u w:val="single"/>
          </w:rPr>
          <w:t>www.pwc.com/structure</w:t>
        </w:r>
      </w:hyperlink>
      <w:r w:rsidRPr="007B3589">
        <w:rPr>
          <w:rFonts w:ascii="Georgia" w:eastAsia="Times New Roman" w:hAnsi="Georgia" w:cstheme="minorHAnsi"/>
          <w:i/>
          <w:iCs/>
          <w:color w:val="222222"/>
        </w:rPr>
        <w:t xml:space="preserve"> for further details.</w:t>
      </w:r>
    </w:p>
    <w:p w14:paraId="68B75936" w14:textId="21438808" w:rsidR="007B3589" w:rsidRPr="007B3589" w:rsidRDefault="007B3589" w:rsidP="007B3589">
      <w:pPr>
        <w:spacing w:line="240" w:lineRule="auto"/>
        <w:rPr>
          <w:rFonts w:ascii="Georgia" w:eastAsia="Times New Roman" w:hAnsi="Georgia" w:cstheme="minorHAnsi"/>
        </w:rPr>
      </w:pPr>
      <w:r w:rsidRPr="007B3589">
        <w:rPr>
          <w:rFonts w:ascii="Georgia" w:eastAsia="Times New Roman" w:hAnsi="Georgia" w:cstheme="minorHAnsi"/>
          <w:color w:val="222222"/>
        </w:rPr>
        <w:br/>
      </w:r>
      <w:r w:rsidRPr="007B3589">
        <w:rPr>
          <w:rFonts w:ascii="Georgia" w:eastAsia="Times New Roman" w:hAnsi="Georgia" w:cstheme="minorHAnsi"/>
          <w:i/>
          <w:iCs/>
          <w:color w:val="222222"/>
        </w:rPr>
        <w:t>© 2018 PwC. All rights reserved</w:t>
      </w:r>
    </w:p>
    <w:p w14:paraId="0D03BBD2" w14:textId="77777777" w:rsidR="007B3589" w:rsidRPr="007B3589" w:rsidRDefault="007B3589" w:rsidP="007B3589">
      <w:pPr>
        <w:rPr>
          <w:rFonts w:ascii="Georgia" w:hAnsi="Georgia" w:cstheme="minorHAnsi"/>
          <w:b/>
        </w:rPr>
      </w:pPr>
      <w:r w:rsidRPr="007B3589">
        <w:rPr>
          <w:rFonts w:ascii="Georgia" w:hAnsi="Georgia" w:cstheme="minorHAnsi"/>
          <w:b/>
        </w:rPr>
        <w:t>Media contacts</w:t>
      </w:r>
    </w:p>
    <w:p w14:paraId="6349203C" w14:textId="77777777" w:rsidR="007B3589" w:rsidRPr="007B3589" w:rsidRDefault="007B3589" w:rsidP="007B3589">
      <w:pPr>
        <w:spacing w:line="240" w:lineRule="auto"/>
        <w:rPr>
          <w:rFonts w:ascii="Georgia" w:hAnsi="Georgia" w:cstheme="minorHAnsi"/>
        </w:rPr>
      </w:pPr>
      <w:proofErr w:type="spellStart"/>
      <w:r w:rsidRPr="007B3589">
        <w:rPr>
          <w:rFonts w:ascii="Georgia" w:hAnsi="Georgia" w:cstheme="minorHAnsi"/>
        </w:rPr>
        <w:t>Bontle</w:t>
      </w:r>
      <w:proofErr w:type="spellEnd"/>
      <w:r w:rsidRPr="007B3589">
        <w:rPr>
          <w:rFonts w:ascii="Georgia" w:hAnsi="Georgia" w:cstheme="minorHAnsi"/>
        </w:rPr>
        <w:t xml:space="preserve"> Mnisi: Account Executive, Change the Conversation, South Africa</w:t>
      </w:r>
    </w:p>
    <w:p w14:paraId="07667970" w14:textId="6BA8FD2A" w:rsidR="007B3589" w:rsidRPr="007B3589" w:rsidRDefault="007B3589" w:rsidP="007B3589">
      <w:pPr>
        <w:spacing w:line="240" w:lineRule="auto"/>
        <w:rPr>
          <w:rFonts w:ascii="Georgia" w:hAnsi="Georgia" w:cstheme="minorHAnsi"/>
        </w:rPr>
      </w:pPr>
      <w:r w:rsidRPr="007B3589">
        <w:rPr>
          <w:rFonts w:ascii="Georgia" w:hAnsi="Georgia" w:cstheme="minorHAnsi"/>
        </w:rPr>
        <w:t>M</w:t>
      </w:r>
      <w:r w:rsidRPr="007B3589">
        <w:rPr>
          <w:rFonts w:ascii="Georgia" w:hAnsi="Georgia" w:cstheme="minorHAnsi"/>
        </w:rPr>
        <w:t>obile: 076 2283796</w:t>
      </w:r>
    </w:p>
    <w:p w14:paraId="014D76C9" w14:textId="77777777" w:rsidR="007B3589" w:rsidRPr="007B3589" w:rsidRDefault="007B3589" w:rsidP="007B3589">
      <w:pPr>
        <w:spacing w:line="240" w:lineRule="auto"/>
        <w:rPr>
          <w:rFonts w:ascii="Georgia" w:hAnsi="Georgia" w:cstheme="minorHAnsi"/>
        </w:rPr>
      </w:pPr>
      <w:r w:rsidRPr="007B3589">
        <w:rPr>
          <w:rFonts w:ascii="Georgia" w:hAnsi="Georgia" w:cstheme="minorHAnsi"/>
        </w:rPr>
        <w:t xml:space="preserve">Email: </w:t>
      </w:r>
      <w:hyperlink r:id="rId8" w:history="1">
        <w:r w:rsidRPr="007B3589">
          <w:rPr>
            <w:rStyle w:val="Hyperlink"/>
            <w:rFonts w:ascii="Georgia" w:hAnsi="Georgia" w:cstheme="minorHAnsi"/>
          </w:rPr>
          <w:t>bontle@changetc.co.za</w:t>
        </w:r>
      </w:hyperlink>
    </w:p>
    <w:p w14:paraId="17256EA7" w14:textId="77777777" w:rsidR="007B3589" w:rsidRPr="007B3589" w:rsidRDefault="007B3589" w:rsidP="007B3589">
      <w:pPr>
        <w:spacing w:line="240" w:lineRule="auto"/>
        <w:rPr>
          <w:rFonts w:ascii="Georgia" w:hAnsi="Georgia" w:cstheme="minorHAnsi"/>
        </w:rPr>
      </w:pPr>
      <w:r w:rsidRPr="007B3589">
        <w:rPr>
          <w:rFonts w:ascii="Georgia" w:hAnsi="Georgia" w:cstheme="minorHAnsi"/>
        </w:rPr>
        <w:t>Or</w:t>
      </w:r>
    </w:p>
    <w:p w14:paraId="1212CC22" w14:textId="77777777" w:rsidR="007B3589" w:rsidRPr="007B3589" w:rsidRDefault="007B3589" w:rsidP="007B3589">
      <w:pPr>
        <w:spacing w:line="240" w:lineRule="auto"/>
        <w:rPr>
          <w:rFonts w:ascii="Georgia" w:hAnsi="Georgia" w:cstheme="minorHAnsi"/>
        </w:rPr>
      </w:pPr>
      <w:r w:rsidRPr="007B3589">
        <w:rPr>
          <w:rFonts w:ascii="Georgia" w:hAnsi="Georgia" w:cstheme="minorHAnsi"/>
          <w:color w:val="000000" w:themeColor="text1"/>
        </w:rPr>
        <w:t>Sanchia Temkin: Media Relations, PwC Africa</w:t>
      </w:r>
    </w:p>
    <w:p w14:paraId="762DECCF" w14:textId="2590F5EF" w:rsidR="007B3589" w:rsidRPr="007B3589" w:rsidRDefault="007B3589" w:rsidP="007B3589">
      <w:pPr>
        <w:spacing w:line="240" w:lineRule="auto"/>
        <w:rPr>
          <w:rFonts w:ascii="Georgia" w:hAnsi="Georgia" w:cstheme="minorHAnsi"/>
          <w:color w:val="000000" w:themeColor="text1"/>
        </w:rPr>
      </w:pPr>
      <w:r w:rsidRPr="007B3589">
        <w:rPr>
          <w:rFonts w:ascii="Georgia" w:hAnsi="Georgia" w:cstheme="minorHAnsi"/>
          <w:color w:val="000000" w:themeColor="text1"/>
        </w:rPr>
        <w:t>Mobile: 082 5505146</w:t>
      </w:r>
      <w:bookmarkStart w:id="1" w:name="_GoBack"/>
      <w:bookmarkEnd w:id="1"/>
    </w:p>
    <w:p w14:paraId="5AE2A916" w14:textId="77777777" w:rsidR="007B3589" w:rsidRPr="007B3589" w:rsidRDefault="007B3589" w:rsidP="007B3589">
      <w:pPr>
        <w:spacing w:line="240" w:lineRule="auto"/>
        <w:rPr>
          <w:rFonts w:ascii="Georgia" w:hAnsi="Georgia" w:cstheme="minorHAnsi"/>
          <w:color w:val="000000" w:themeColor="text1"/>
        </w:rPr>
      </w:pPr>
      <w:r w:rsidRPr="007B3589">
        <w:rPr>
          <w:rFonts w:ascii="Georgia" w:hAnsi="Georgia" w:cstheme="minorHAnsi"/>
          <w:color w:val="000000" w:themeColor="text1"/>
        </w:rPr>
        <w:lastRenderedPageBreak/>
        <w:t>Email: sanchia.temkin@pwc.com</w:t>
      </w:r>
    </w:p>
    <w:p w14:paraId="447D982B" w14:textId="77777777" w:rsidR="007B3589" w:rsidRPr="007B3589" w:rsidRDefault="007B3589" w:rsidP="007B3589">
      <w:pPr>
        <w:rPr>
          <w:rFonts w:ascii="Georgia" w:hAnsi="Georgia"/>
        </w:rPr>
      </w:pPr>
    </w:p>
    <w:p w14:paraId="346986FC" w14:textId="77777777" w:rsidR="007B3589" w:rsidRPr="007B3589" w:rsidRDefault="007B3589" w:rsidP="007B3589">
      <w:pPr>
        <w:rPr>
          <w:rFonts w:ascii="Georgia" w:hAnsi="Georgia"/>
          <w:sz w:val="20"/>
          <w:szCs w:val="20"/>
        </w:rPr>
      </w:pPr>
    </w:p>
    <w:p w14:paraId="7594C8FE" w14:textId="77777777" w:rsidR="00E71235" w:rsidRDefault="00E71235"/>
    <w:sectPr w:rsidR="00E71235" w:rsidSect="003E0432">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89"/>
    <w:rsid w:val="007B3589"/>
    <w:rsid w:val="00E712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E183"/>
  <w15:chartTrackingRefBased/>
  <w15:docId w15:val="{6AF7C027-FCB3-41B0-89B6-24B5DB44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3589"/>
  </w:style>
  <w:style w:type="paragraph" w:styleId="Heading1">
    <w:name w:val="heading 1"/>
    <w:link w:val="Heading1Char"/>
    <w:uiPriority w:val="9"/>
    <w:qFormat/>
    <w:rsid w:val="007B3589"/>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589"/>
    <w:rPr>
      <w:rFonts w:ascii="Georgia" w:eastAsiaTheme="majorEastAsia" w:hAnsi="Georgia" w:cstheme="majorBidi"/>
      <w:b/>
      <w:bCs/>
      <w:i/>
      <w:color w:val="000000" w:themeColor="text1"/>
      <w:sz w:val="56"/>
      <w:szCs w:val="28"/>
      <w:lang w:val="en-GB"/>
    </w:rPr>
  </w:style>
  <w:style w:type="character" w:styleId="Hyperlink">
    <w:name w:val="Hyperlink"/>
    <w:basedOn w:val="DefaultParagraphFont"/>
    <w:uiPriority w:val="99"/>
    <w:unhideWhenUsed/>
    <w:rsid w:val="007B3589"/>
    <w:rPr>
      <w:color w:val="0563C1" w:themeColor="hyperlink"/>
      <w:u w:val="single"/>
    </w:rPr>
  </w:style>
  <w:style w:type="paragraph" w:styleId="NormalWeb">
    <w:name w:val="Normal (Web)"/>
    <w:basedOn w:val="Normal"/>
    <w:uiPriority w:val="99"/>
    <w:semiHidden/>
    <w:unhideWhenUsed/>
    <w:rsid w:val="007B35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ntle@changetc.co.za" TargetMode="External"/><Relationship Id="rId3" Type="http://schemas.openxmlformats.org/officeDocument/2006/relationships/webSettings" Target="webSettings.xml"/><Relationship Id="rId7" Type="http://schemas.openxmlformats.org/officeDocument/2006/relationships/hyperlink" Target="http://www.pwc.com/struc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wc.com/" TargetMode="Externa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ZATPDCFPRPWV001\Common$\Consulting\Strategy&amp;\06_The%20News\Media%20articles\Inflation\Inflatio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ZA" b="1"/>
              <a:t>South African inflation and interest rates</a:t>
            </a:r>
          </a:p>
        </c:rich>
      </c:tx>
      <c:layout>
        <c:manualLayout>
          <c:xMode val="edge"/>
          <c:yMode val="edge"/>
          <c:x val="0.12999116597920435"/>
          <c:y val="8.5776206227900086E-5"/>
        </c:manualLayout>
      </c:layout>
      <c:overlay val="0"/>
    </c:title>
    <c:autoTitleDeleted val="0"/>
    <c:plotArea>
      <c:layout>
        <c:manualLayout>
          <c:layoutTarget val="inner"/>
          <c:xMode val="edge"/>
          <c:yMode val="edge"/>
          <c:x val="8.2953694932872205E-2"/>
          <c:y val="8.82638876967516E-2"/>
          <c:w val="0.87319672953242"/>
          <c:h val="0.59396418387133565"/>
        </c:manualLayout>
      </c:layout>
      <c:lineChart>
        <c:grouping val="standard"/>
        <c:varyColors val="0"/>
        <c:ser>
          <c:idx val="0"/>
          <c:order val="0"/>
          <c:tx>
            <c:strRef>
              <c:f>Sheet1!$B$4</c:f>
              <c:strCache>
                <c:ptCount val="1"/>
                <c:pt idx="0">
                  <c:v>Prime lending rate (%)</c:v>
                </c:pt>
              </c:strCache>
            </c:strRef>
          </c:tx>
          <c:spPr>
            <a:ln w="38100">
              <a:solidFill>
                <a:srgbClr val="E0301E"/>
              </a:solidFill>
              <a:prstDash val="solid"/>
            </a:ln>
          </c:spPr>
          <c:marker>
            <c:symbol val="none"/>
          </c:marker>
          <c:cat>
            <c:numRef>
              <c:f>Sheet1!$A$6:$A$92</c:f>
              <c:numCache>
                <c:formatCode>mmm\-yy</c:formatCode>
                <c:ptCount val="87"/>
                <c:pt idx="0">
                  <c:v>41306</c:v>
                </c:pt>
                <c:pt idx="1">
                  <c:v>41334</c:v>
                </c:pt>
                <c:pt idx="2">
                  <c:v>41365</c:v>
                </c:pt>
                <c:pt idx="3">
                  <c:v>41395</c:v>
                </c:pt>
                <c:pt idx="4">
                  <c:v>41426</c:v>
                </c:pt>
                <c:pt idx="5">
                  <c:v>41456</c:v>
                </c:pt>
                <c:pt idx="6">
                  <c:v>41487</c:v>
                </c:pt>
                <c:pt idx="7">
                  <c:v>41518</c:v>
                </c:pt>
                <c:pt idx="8">
                  <c:v>41548</c:v>
                </c:pt>
                <c:pt idx="9">
                  <c:v>41579</c:v>
                </c:pt>
                <c:pt idx="10">
                  <c:v>41609</c:v>
                </c:pt>
                <c:pt idx="11">
                  <c:v>41640</c:v>
                </c:pt>
                <c:pt idx="12">
                  <c:v>41671</c:v>
                </c:pt>
                <c:pt idx="13">
                  <c:v>41699</c:v>
                </c:pt>
                <c:pt idx="14">
                  <c:v>41730</c:v>
                </c:pt>
                <c:pt idx="15">
                  <c:v>41760</c:v>
                </c:pt>
                <c:pt idx="16">
                  <c:v>41791</c:v>
                </c:pt>
                <c:pt idx="17">
                  <c:v>41821</c:v>
                </c:pt>
                <c:pt idx="18">
                  <c:v>41852</c:v>
                </c:pt>
                <c:pt idx="19">
                  <c:v>41883</c:v>
                </c:pt>
                <c:pt idx="20">
                  <c:v>41913</c:v>
                </c:pt>
                <c:pt idx="21">
                  <c:v>41944</c:v>
                </c:pt>
                <c:pt idx="22">
                  <c:v>41974</c:v>
                </c:pt>
                <c:pt idx="23">
                  <c:v>42005</c:v>
                </c:pt>
                <c:pt idx="24">
                  <c:v>42036</c:v>
                </c:pt>
                <c:pt idx="25">
                  <c:v>42064</c:v>
                </c:pt>
                <c:pt idx="26">
                  <c:v>42095</c:v>
                </c:pt>
                <c:pt idx="27">
                  <c:v>42125</c:v>
                </c:pt>
                <c:pt idx="28">
                  <c:v>42156</c:v>
                </c:pt>
                <c:pt idx="29">
                  <c:v>42186</c:v>
                </c:pt>
                <c:pt idx="30">
                  <c:v>42217</c:v>
                </c:pt>
                <c:pt idx="31">
                  <c:v>42248</c:v>
                </c:pt>
                <c:pt idx="32">
                  <c:v>42278</c:v>
                </c:pt>
                <c:pt idx="33">
                  <c:v>42309</c:v>
                </c:pt>
                <c:pt idx="34">
                  <c:v>42339</c:v>
                </c:pt>
                <c:pt idx="35">
                  <c:v>42370</c:v>
                </c:pt>
                <c:pt idx="36">
                  <c:v>42401</c:v>
                </c:pt>
                <c:pt idx="37">
                  <c:v>42430</c:v>
                </c:pt>
                <c:pt idx="38">
                  <c:v>42461</c:v>
                </c:pt>
                <c:pt idx="39">
                  <c:v>42491</c:v>
                </c:pt>
                <c:pt idx="40">
                  <c:v>42522</c:v>
                </c:pt>
                <c:pt idx="41">
                  <c:v>42552</c:v>
                </c:pt>
                <c:pt idx="42">
                  <c:v>42583</c:v>
                </c:pt>
                <c:pt idx="43">
                  <c:v>42614</c:v>
                </c:pt>
                <c:pt idx="44">
                  <c:v>42644</c:v>
                </c:pt>
                <c:pt idx="45">
                  <c:v>42675</c:v>
                </c:pt>
                <c:pt idx="46">
                  <c:v>42705</c:v>
                </c:pt>
                <c:pt idx="47">
                  <c:v>42736</c:v>
                </c:pt>
                <c:pt idx="48">
                  <c:v>42767</c:v>
                </c:pt>
                <c:pt idx="49">
                  <c:v>42795</c:v>
                </c:pt>
                <c:pt idx="50">
                  <c:v>42826</c:v>
                </c:pt>
                <c:pt idx="51">
                  <c:v>42856</c:v>
                </c:pt>
                <c:pt idx="52">
                  <c:v>42887</c:v>
                </c:pt>
                <c:pt idx="53">
                  <c:v>42917</c:v>
                </c:pt>
                <c:pt idx="54">
                  <c:v>42948</c:v>
                </c:pt>
                <c:pt idx="55">
                  <c:v>42979</c:v>
                </c:pt>
                <c:pt idx="56">
                  <c:v>43009</c:v>
                </c:pt>
                <c:pt idx="57">
                  <c:v>43040</c:v>
                </c:pt>
                <c:pt idx="58">
                  <c:v>43070</c:v>
                </c:pt>
                <c:pt idx="59">
                  <c:v>43101</c:v>
                </c:pt>
                <c:pt idx="60">
                  <c:v>43132</c:v>
                </c:pt>
                <c:pt idx="61">
                  <c:v>43160</c:v>
                </c:pt>
                <c:pt idx="62">
                  <c:v>43191</c:v>
                </c:pt>
                <c:pt idx="63">
                  <c:v>43221</c:v>
                </c:pt>
                <c:pt idx="64">
                  <c:v>43252</c:v>
                </c:pt>
                <c:pt idx="65">
                  <c:v>43282</c:v>
                </c:pt>
                <c:pt idx="66">
                  <c:v>43313</c:v>
                </c:pt>
                <c:pt idx="67">
                  <c:v>43344</c:v>
                </c:pt>
                <c:pt idx="68">
                  <c:v>43374</c:v>
                </c:pt>
                <c:pt idx="69">
                  <c:v>43405</c:v>
                </c:pt>
                <c:pt idx="70">
                  <c:v>43435</c:v>
                </c:pt>
                <c:pt idx="71">
                  <c:v>43466</c:v>
                </c:pt>
                <c:pt idx="72">
                  <c:v>43497</c:v>
                </c:pt>
                <c:pt idx="73">
                  <c:v>43525</c:v>
                </c:pt>
                <c:pt idx="74">
                  <c:v>43556</c:v>
                </c:pt>
                <c:pt idx="75">
                  <c:v>43586</c:v>
                </c:pt>
                <c:pt idx="76">
                  <c:v>43617</c:v>
                </c:pt>
                <c:pt idx="77">
                  <c:v>43647</c:v>
                </c:pt>
                <c:pt idx="78">
                  <c:v>43678</c:v>
                </c:pt>
                <c:pt idx="79">
                  <c:v>43709</c:v>
                </c:pt>
                <c:pt idx="80">
                  <c:v>43739</c:v>
                </c:pt>
                <c:pt idx="81">
                  <c:v>43770</c:v>
                </c:pt>
                <c:pt idx="82">
                  <c:v>43800</c:v>
                </c:pt>
                <c:pt idx="83">
                  <c:v>43831</c:v>
                </c:pt>
                <c:pt idx="84">
                  <c:v>43862</c:v>
                </c:pt>
                <c:pt idx="85">
                  <c:v>43891</c:v>
                </c:pt>
                <c:pt idx="86">
                  <c:v>43922</c:v>
                </c:pt>
              </c:numCache>
            </c:numRef>
          </c:cat>
          <c:val>
            <c:numRef>
              <c:f>Sheet1!$B$6:$B$92</c:f>
              <c:numCache>
                <c:formatCode>General</c:formatCode>
                <c:ptCount val="87"/>
                <c:pt idx="0">
                  <c:v>8.5</c:v>
                </c:pt>
                <c:pt idx="1">
                  <c:v>8.5</c:v>
                </c:pt>
                <c:pt idx="2">
                  <c:v>8.5</c:v>
                </c:pt>
                <c:pt idx="3">
                  <c:v>8.5</c:v>
                </c:pt>
                <c:pt idx="4">
                  <c:v>8.5</c:v>
                </c:pt>
                <c:pt idx="5">
                  <c:v>8.5</c:v>
                </c:pt>
                <c:pt idx="6">
                  <c:v>8.5</c:v>
                </c:pt>
                <c:pt idx="7">
                  <c:v>8.5</c:v>
                </c:pt>
                <c:pt idx="8">
                  <c:v>8.5</c:v>
                </c:pt>
                <c:pt idx="9">
                  <c:v>8.5</c:v>
                </c:pt>
                <c:pt idx="10">
                  <c:v>8.5</c:v>
                </c:pt>
                <c:pt idx="11">
                  <c:v>9</c:v>
                </c:pt>
                <c:pt idx="12">
                  <c:v>9</c:v>
                </c:pt>
                <c:pt idx="13">
                  <c:v>9</c:v>
                </c:pt>
                <c:pt idx="14">
                  <c:v>9</c:v>
                </c:pt>
                <c:pt idx="15">
                  <c:v>9</c:v>
                </c:pt>
                <c:pt idx="16">
                  <c:v>9</c:v>
                </c:pt>
                <c:pt idx="17">
                  <c:v>9.25</c:v>
                </c:pt>
                <c:pt idx="18">
                  <c:v>9.25</c:v>
                </c:pt>
                <c:pt idx="19">
                  <c:v>9.25</c:v>
                </c:pt>
                <c:pt idx="20">
                  <c:v>9.25</c:v>
                </c:pt>
                <c:pt idx="21">
                  <c:v>9.25</c:v>
                </c:pt>
                <c:pt idx="22">
                  <c:v>9.25</c:v>
                </c:pt>
                <c:pt idx="23">
                  <c:v>9.25</c:v>
                </c:pt>
                <c:pt idx="24">
                  <c:v>9.25</c:v>
                </c:pt>
                <c:pt idx="25">
                  <c:v>9.25</c:v>
                </c:pt>
                <c:pt idx="26">
                  <c:v>9.25</c:v>
                </c:pt>
                <c:pt idx="27">
                  <c:v>9.25</c:v>
                </c:pt>
                <c:pt idx="28">
                  <c:v>9.25</c:v>
                </c:pt>
                <c:pt idx="29">
                  <c:v>9.5</c:v>
                </c:pt>
                <c:pt idx="30">
                  <c:v>9.5</c:v>
                </c:pt>
                <c:pt idx="31">
                  <c:v>9.5</c:v>
                </c:pt>
                <c:pt idx="32">
                  <c:v>9.5</c:v>
                </c:pt>
                <c:pt idx="33">
                  <c:v>9.75</c:v>
                </c:pt>
                <c:pt idx="34">
                  <c:v>9.75</c:v>
                </c:pt>
                <c:pt idx="35">
                  <c:v>10.25</c:v>
                </c:pt>
                <c:pt idx="36">
                  <c:v>10.25</c:v>
                </c:pt>
                <c:pt idx="37">
                  <c:v>10.5</c:v>
                </c:pt>
                <c:pt idx="38">
                  <c:v>10.5</c:v>
                </c:pt>
                <c:pt idx="39">
                  <c:v>10.5</c:v>
                </c:pt>
                <c:pt idx="40">
                  <c:v>10.5</c:v>
                </c:pt>
                <c:pt idx="41">
                  <c:v>10.5</c:v>
                </c:pt>
                <c:pt idx="42">
                  <c:v>10.5</c:v>
                </c:pt>
                <c:pt idx="43">
                  <c:v>10.5</c:v>
                </c:pt>
                <c:pt idx="44">
                  <c:v>10.5</c:v>
                </c:pt>
                <c:pt idx="45">
                  <c:v>10.5</c:v>
                </c:pt>
                <c:pt idx="46">
                  <c:v>10.5</c:v>
                </c:pt>
                <c:pt idx="47">
                  <c:v>10.5</c:v>
                </c:pt>
                <c:pt idx="48">
                  <c:v>10.5</c:v>
                </c:pt>
                <c:pt idx="49">
                  <c:v>10.5</c:v>
                </c:pt>
                <c:pt idx="50">
                  <c:v>10.5</c:v>
                </c:pt>
                <c:pt idx="51">
                  <c:v>10.5</c:v>
                </c:pt>
                <c:pt idx="52">
                  <c:v>10.5</c:v>
                </c:pt>
                <c:pt idx="53">
                  <c:v>10.25</c:v>
                </c:pt>
                <c:pt idx="54">
                  <c:v>10.25</c:v>
                </c:pt>
                <c:pt idx="55">
                  <c:v>10.25</c:v>
                </c:pt>
                <c:pt idx="56">
                  <c:v>10.25</c:v>
                </c:pt>
                <c:pt idx="57">
                  <c:v>10.25</c:v>
                </c:pt>
                <c:pt idx="58">
                  <c:v>10.25</c:v>
                </c:pt>
                <c:pt idx="59">
                  <c:v>10.25</c:v>
                </c:pt>
                <c:pt idx="60">
                  <c:v>10.25</c:v>
                </c:pt>
                <c:pt idx="61" formatCode="0.00">
                  <c:v>10</c:v>
                </c:pt>
                <c:pt idx="62" formatCode="0.00">
                  <c:v>10</c:v>
                </c:pt>
                <c:pt idx="63" formatCode="0.00">
                  <c:v>10</c:v>
                </c:pt>
                <c:pt idx="64" formatCode="0.00">
                  <c:v>10</c:v>
                </c:pt>
                <c:pt idx="65" formatCode="0.00">
                  <c:v>10</c:v>
                </c:pt>
                <c:pt idx="66" formatCode="0.00">
                  <c:v>10</c:v>
                </c:pt>
                <c:pt idx="67" formatCode="0.00">
                  <c:v>10</c:v>
                </c:pt>
                <c:pt idx="68" formatCode="0.00">
                  <c:v>10</c:v>
                </c:pt>
                <c:pt idx="69" formatCode="0.00">
                  <c:v>10.25</c:v>
                </c:pt>
                <c:pt idx="70" formatCode="0.00">
                  <c:v>10.25</c:v>
                </c:pt>
                <c:pt idx="71" formatCode="0.00">
                  <c:v>10.25</c:v>
                </c:pt>
                <c:pt idx="72" formatCode="0.00">
                  <c:v>10.25</c:v>
                </c:pt>
                <c:pt idx="73" formatCode="0.00">
                  <c:v>10.25</c:v>
                </c:pt>
                <c:pt idx="74" formatCode="0.00">
                  <c:v>10.25</c:v>
                </c:pt>
                <c:pt idx="75" formatCode="0.00">
                  <c:v>10.25</c:v>
                </c:pt>
                <c:pt idx="76" formatCode="0.00">
                  <c:v>10.25</c:v>
                </c:pt>
                <c:pt idx="77" formatCode="0.00">
                  <c:v>10</c:v>
                </c:pt>
                <c:pt idx="78" formatCode="0.00">
                  <c:v>10</c:v>
                </c:pt>
                <c:pt idx="79" formatCode="0.00">
                  <c:v>10</c:v>
                </c:pt>
                <c:pt idx="80" formatCode="0.00">
                  <c:v>10</c:v>
                </c:pt>
                <c:pt idx="81" formatCode="0.00">
                  <c:v>10</c:v>
                </c:pt>
                <c:pt idx="82" formatCode="0.00">
                  <c:v>10</c:v>
                </c:pt>
                <c:pt idx="83" formatCode="0.00">
                  <c:v>9.75</c:v>
                </c:pt>
                <c:pt idx="84" formatCode="0.00">
                  <c:v>9.75</c:v>
                </c:pt>
                <c:pt idx="85" formatCode="0.00">
                  <c:v>8.75</c:v>
                </c:pt>
                <c:pt idx="86" formatCode="0.00">
                  <c:v>7.75</c:v>
                </c:pt>
              </c:numCache>
            </c:numRef>
          </c:val>
          <c:smooth val="0"/>
          <c:extLst>
            <c:ext xmlns:c16="http://schemas.microsoft.com/office/drawing/2014/chart" uri="{C3380CC4-5D6E-409C-BE32-E72D297353CC}">
              <c16:uniqueId val="{00000000-4CD1-404B-B718-F61681344E62}"/>
            </c:ext>
          </c:extLst>
        </c:ser>
        <c:ser>
          <c:idx val="2"/>
          <c:order val="1"/>
          <c:tx>
            <c:strRef>
              <c:f>Sheet1!$D$4</c:f>
              <c:strCache>
                <c:ptCount val="1"/>
                <c:pt idx="0">
                  <c:v>Food price inflation (%, y-o-y)</c:v>
                </c:pt>
              </c:strCache>
            </c:strRef>
          </c:tx>
          <c:spPr>
            <a:ln w="38100">
              <a:solidFill>
                <a:srgbClr val="EB8C00"/>
              </a:solidFill>
            </a:ln>
          </c:spPr>
          <c:marker>
            <c:symbol val="none"/>
          </c:marker>
          <c:cat>
            <c:numRef>
              <c:f>Sheet1!$A$6:$A$92</c:f>
              <c:numCache>
                <c:formatCode>mmm\-yy</c:formatCode>
                <c:ptCount val="87"/>
                <c:pt idx="0">
                  <c:v>41306</c:v>
                </c:pt>
                <c:pt idx="1">
                  <c:v>41334</c:v>
                </c:pt>
                <c:pt idx="2">
                  <c:v>41365</c:v>
                </c:pt>
                <c:pt idx="3">
                  <c:v>41395</c:v>
                </c:pt>
                <c:pt idx="4">
                  <c:v>41426</c:v>
                </c:pt>
                <c:pt idx="5">
                  <c:v>41456</c:v>
                </c:pt>
                <c:pt idx="6">
                  <c:v>41487</c:v>
                </c:pt>
                <c:pt idx="7">
                  <c:v>41518</c:v>
                </c:pt>
                <c:pt idx="8">
                  <c:v>41548</c:v>
                </c:pt>
                <c:pt idx="9">
                  <c:v>41579</c:v>
                </c:pt>
                <c:pt idx="10">
                  <c:v>41609</c:v>
                </c:pt>
                <c:pt idx="11">
                  <c:v>41640</c:v>
                </c:pt>
                <c:pt idx="12">
                  <c:v>41671</c:v>
                </c:pt>
                <c:pt idx="13">
                  <c:v>41699</c:v>
                </c:pt>
                <c:pt idx="14">
                  <c:v>41730</c:v>
                </c:pt>
                <c:pt idx="15">
                  <c:v>41760</c:v>
                </c:pt>
                <c:pt idx="16">
                  <c:v>41791</c:v>
                </c:pt>
                <c:pt idx="17">
                  <c:v>41821</c:v>
                </c:pt>
                <c:pt idx="18">
                  <c:v>41852</c:v>
                </c:pt>
                <c:pt idx="19">
                  <c:v>41883</c:v>
                </c:pt>
                <c:pt idx="20">
                  <c:v>41913</c:v>
                </c:pt>
                <c:pt idx="21">
                  <c:v>41944</c:v>
                </c:pt>
                <c:pt idx="22">
                  <c:v>41974</c:v>
                </c:pt>
                <c:pt idx="23">
                  <c:v>42005</c:v>
                </c:pt>
                <c:pt idx="24">
                  <c:v>42036</c:v>
                </c:pt>
                <c:pt idx="25">
                  <c:v>42064</c:v>
                </c:pt>
                <c:pt idx="26">
                  <c:v>42095</c:v>
                </c:pt>
                <c:pt idx="27">
                  <c:v>42125</c:v>
                </c:pt>
                <c:pt idx="28">
                  <c:v>42156</c:v>
                </c:pt>
                <c:pt idx="29">
                  <c:v>42186</c:v>
                </c:pt>
                <c:pt idx="30">
                  <c:v>42217</c:v>
                </c:pt>
                <c:pt idx="31">
                  <c:v>42248</c:v>
                </c:pt>
                <c:pt idx="32">
                  <c:v>42278</c:v>
                </c:pt>
                <c:pt idx="33">
                  <c:v>42309</c:v>
                </c:pt>
                <c:pt idx="34">
                  <c:v>42339</c:v>
                </c:pt>
                <c:pt idx="35">
                  <c:v>42370</c:v>
                </c:pt>
                <c:pt idx="36">
                  <c:v>42401</c:v>
                </c:pt>
                <c:pt idx="37">
                  <c:v>42430</c:v>
                </c:pt>
                <c:pt idx="38">
                  <c:v>42461</c:v>
                </c:pt>
                <c:pt idx="39">
                  <c:v>42491</c:v>
                </c:pt>
                <c:pt idx="40">
                  <c:v>42522</c:v>
                </c:pt>
                <c:pt idx="41">
                  <c:v>42552</c:v>
                </c:pt>
                <c:pt idx="42">
                  <c:v>42583</c:v>
                </c:pt>
                <c:pt idx="43">
                  <c:v>42614</c:v>
                </c:pt>
                <c:pt idx="44">
                  <c:v>42644</c:v>
                </c:pt>
                <c:pt idx="45">
                  <c:v>42675</c:v>
                </c:pt>
                <c:pt idx="46">
                  <c:v>42705</c:v>
                </c:pt>
                <c:pt idx="47">
                  <c:v>42736</c:v>
                </c:pt>
                <c:pt idx="48">
                  <c:v>42767</c:v>
                </c:pt>
                <c:pt idx="49">
                  <c:v>42795</c:v>
                </c:pt>
                <c:pt idx="50">
                  <c:v>42826</c:v>
                </c:pt>
                <c:pt idx="51">
                  <c:v>42856</c:v>
                </c:pt>
                <c:pt idx="52">
                  <c:v>42887</c:v>
                </c:pt>
                <c:pt idx="53">
                  <c:v>42917</c:v>
                </c:pt>
                <c:pt idx="54">
                  <c:v>42948</c:v>
                </c:pt>
                <c:pt idx="55">
                  <c:v>42979</c:v>
                </c:pt>
                <c:pt idx="56">
                  <c:v>43009</c:v>
                </c:pt>
                <c:pt idx="57">
                  <c:v>43040</c:v>
                </c:pt>
                <c:pt idx="58">
                  <c:v>43070</c:v>
                </c:pt>
                <c:pt idx="59">
                  <c:v>43101</c:v>
                </c:pt>
                <c:pt idx="60">
                  <c:v>43132</c:v>
                </c:pt>
                <c:pt idx="61">
                  <c:v>43160</c:v>
                </c:pt>
                <c:pt idx="62">
                  <c:v>43191</c:v>
                </c:pt>
                <c:pt idx="63">
                  <c:v>43221</c:v>
                </c:pt>
                <c:pt idx="64">
                  <c:v>43252</c:v>
                </c:pt>
                <c:pt idx="65">
                  <c:v>43282</c:v>
                </c:pt>
                <c:pt idx="66">
                  <c:v>43313</c:v>
                </c:pt>
                <c:pt idx="67">
                  <c:v>43344</c:v>
                </c:pt>
                <c:pt idx="68">
                  <c:v>43374</c:v>
                </c:pt>
                <c:pt idx="69">
                  <c:v>43405</c:v>
                </c:pt>
                <c:pt idx="70">
                  <c:v>43435</c:v>
                </c:pt>
                <c:pt idx="71">
                  <c:v>43466</c:v>
                </c:pt>
                <c:pt idx="72">
                  <c:v>43497</c:v>
                </c:pt>
                <c:pt idx="73">
                  <c:v>43525</c:v>
                </c:pt>
                <c:pt idx="74">
                  <c:v>43556</c:v>
                </c:pt>
                <c:pt idx="75">
                  <c:v>43586</c:v>
                </c:pt>
                <c:pt idx="76">
                  <c:v>43617</c:v>
                </c:pt>
                <c:pt idx="77">
                  <c:v>43647</c:v>
                </c:pt>
                <c:pt idx="78">
                  <c:v>43678</c:v>
                </c:pt>
                <c:pt idx="79">
                  <c:v>43709</c:v>
                </c:pt>
                <c:pt idx="80">
                  <c:v>43739</c:v>
                </c:pt>
                <c:pt idx="81">
                  <c:v>43770</c:v>
                </c:pt>
                <c:pt idx="82">
                  <c:v>43800</c:v>
                </c:pt>
                <c:pt idx="83">
                  <c:v>43831</c:v>
                </c:pt>
                <c:pt idx="84">
                  <c:v>43862</c:v>
                </c:pt>
                <c:pt idx="85">
                  <c:v>43891</c:v>
                </c:pt>
                <c:pt idx="86">
                  <c:v>43922</c:v>
                </c:pt>
              </c:numCache>
            </c:numRef>
          </c:cat>
          <c:val>
            <c:numRef>
              <c:f>Sheet1!$D$6:$D$92</c:f>
              <c:numCache>
                <c:formatCode>0.0</c:formatCode>
                <c:ptCount val="87"/>
                <c:pt idx="0">
                  <c:v>6.2566277836691473</c:v>
                </c:pt>
                <c:pt idx="1">
                  <c:v>5.9259259259259203</c:v>
                </c:pt>
                <c:pt idx="2">
                  <c:v>6.3424947145877386</c:v>
                </c:pt>
                <c:pt idx="3">
                  <c:v>6.6808059384941654</c:v>
                </c:pt>
                <c:pt idx="4">
                  <c:v>7.0212765957446743</c:v>
                </c:pt>
                <c:pt idx="5">
                  <c:v>7.1276595744680886</c:v>
                </c:pt>
                <c:pt idx="6">
                  <c:v>7.4468085106382977</c:v>
                </c:pt>
                <c:pt idx="7">
                  <c:v>6.0416666666666643</c:v>
                </c:pt>
                <c:pt idx="8">
                  <c:v>4.1582150101419968</c:v>
                </c:pt>
                <c:pt idx="9">
                  <c:v>3.7037037037036926</c:v>
                </c:pt>
                <c:pt idx="10">
                  <c:v>3.5000000000000004</c:v>
                </c:pt>
                <c:pt idx="11">
                  <c:v>4.2616451932606516</c:v>
                </c:pt>
                <c:pt idx="12">
                  <c:v>5.5888223552894152</c:v>
                </c:pt>
                <c:pt idx="13">
                  <c:v>7.1928071928071962</c:v>
                </c:pt>
                <c:pt idx="14">
                  <c:v>8.1510934393638195</c:v>
                </c:pt>
                <c:pt idx="15">
                  <c:v>9.1451292246520897</c:v>
                </c:pt>
                <c:pt idx="16">
                  <c:v>9.2445328031809257</c:v>
                </c:pt>
                <c:pt idx="17">
                  <c:v>9.0367428003972137</c:v>
                </c:pt>
                <c:pt idx="18">
                  <c:v>9.5049504950494992</c:v>
                </c:pt>
                <c:pt idx="19">
                  <c:v>8.7426326129666077</c:v>
                </c:pt>
                <c:pt idx="20">
                  <c:v>7.9844206426484927</c:v>
                </c:pt>
                <c:pt idx="21">
                  <c:v>7.7220077220077217</c:v>
                </c:pt>
                <c:pt idx="22">
                  <c:v>7.4396135265700503</c:v>
                </c:pt>
                <c:pt idx="23">
                  <c:v>6.5589353612167223</c:v>
                </c:pt>
                <c:pt idx="24">
                  <c:v>6.5217391304347876</c:v>
                </c:pt>
                <c:pt idx="25">
                  <c:v>5.8713886300093172</c:v>
                </c:pt>
                <c:pt idx="26">
                  <c:v>4.9632352941176521</c:v>
                </c:pt>
                <c:pt idx="27">
                  <c:v>4.6448087431694072</c:v>
                </c:pt>
                <c:pt idx="28">
                  <c:v>4.2766151046405714</c:v>
                </c:pt>
                <c:pt idx="29">
                  <c:v>4.3715846994535488</c:v>
                </c:pt>
                <c:pt idx="30">
                  <c:v>4.4303797468354489</c:v>
                </c:pt>
                <c:pt idx="31">
                  <c:v>4.4263775971092967</c:v>
                </c:pt>
                <c:pt idx="32">
                  <c:v>4.8692515779981882</c:v>
                </c:pt>
                <c:pt idx="33">
                  <c:v>4.8387096774193603</c:v>
                </c:pt>
                <c:pt idx="34">
                  <c:v>5.8453237410071939</c:v>
                </c:pt>
                <c:pt idx="35">
                  <c:v>7.0472792149866255</c:v>
                </c:pt>
                <c:pt idx="36">
                  <c:v>8.7843833185448013</c:v>
                </c:pt>
                <c:pt idx="37">
                  <c:v>9.7711267605633889</c:v>
                </c:pt>
                <c:pt idx="38">
                  <c:v>11.29597197898423</c:v>
                </c:pt>
                <c:pt idx="39">
                  <c:v>10.8</c:v>
                </c:pt>
                <c:pt idx="40">
                  <c:v>11</c:v>
                </c:pt>
                <c:pt idx="41">
                  <c:v>11.5</c:v>
                </c:pt>
                <c:pt idx="42">
                  <c:v>11.6</c:v>
                </c:pt>
                <c:pt idx="43">
                  <c:v>11.6</c:v>
                </c:pt>
                <c:pt idx="44">
                  <c:v>12</c:v>
                </c:pt>
                <c:pt idx="45">
                  <c:v>11.8</c:v>
                </c:pt>
                <c:pt idx="46">
                  <c:v>12</c:v>
                </c:pt>
                <c:pt idx="47">
                  <c:v>11.8</c:v>
                </c:pt>
                <c:pt idx="48">
                  <c:v>10</c:v>
                </c:pt>
                <c:pt idx="49">
                  <c:v>8.6999999999999993</c:v>
                </c:pt>
                <c:pt idx="50">
                  <c:v>6.6</c:v>
                </c:pt>
                <c:pt idx="51">
                  <c:v>7</c:v>
                </c:pt>
                <c:pt idx="52">
                  <c:v>7</c:v>
                </c:pt>
                <c:pt idx="53">
                  <c:v>6.8</c:v>
                </c:pt>
                <c:pt idx="54">
                  <c:v>5.7</c:v>
                </c:pt>
                <c:pt idx="55">
                  <c:v>5.4</c:v>
                </c:pt>
                <c:pt idx="56">
                  <c:v>5.3</c:v>
                </c:pt>
                <c:pt idx="57">
                  <c:v>5.2</c:v>
                </c:pt>
                <c:pt idx="58" formatCode="General">
                  <c:v>4.9000000000000004</c:v>
                </c:pt>
                <c:pt idx="59" formatCode="General">
                  <c:v>4.5999999999999996</c:v>
                </c:pt>
                <c:pt idx="60">
                  <c:v>4</c:v>
                </c:pt>
                <c:pt idx="61" formatCode="General">
                  <c:v>3.6</c:v>
                </c:pt>
                <c:pt idx="62" formatCode="General">
                  <c:v>3.7</c:v>
                </c:pt>
                <c:pt idx="63">
                  <c:v>3</c:v>
                </c:pt>
                <c:pt idx="64" formatCode="General">
                  <c:v>3.1</c:v>
                </c:pt>
                <c:pt idx="65">
                  <c:v>3</c:v>
                </c:pt>
                <c:pt idx="66" formatCode="General">
                  <c:v>2.9</c:v>
                </c:pt>
                <c:pt idx="67" formatCode="General">
                  <c:v>3.4</c:v>
                </c:pt>
                <c:pt idx="68" formatCode="General">
                  <c:v>2.9</c:v>
                </c:pt>
                <c:pt idx="69" formatCode="General">
                  <c:v>2.8</c:v>
                </c:pt>
                <c:pt idx="70" formatCode="General">
                  <c:v>2.4</c:v>
                </c:pt>
                <c:pt idx="71" formatCode="General">
                  <c:v>2.2999999999999998</c:v>
                </c:pt>
                <c:pt idx="72" formatCode="General">
                  <c:v>2.2999999999999998</c:v>
                </c:pt>
                <c:pt idx="73" formatCode="General">
                  <c:v>2.2999999999999998</c:v>
                </c:pt>
                <c:pt idx="74" formatCode="General">
                  <c:v>2.2999999999999998</c:v>
                </c:pt>
                <c:pt idx="75" formatCode="General">
                  <c:v>2.8</c:v>
                </c:pt>
                <c:pt idx="76" formatCode="General">
                  <c:v>3.2</c:v>
                </c:pt>
                <c:pt idx="77" formatCode="General">
                  <c:v>3</c:v>
                </c:pt>
                <c:pt idx="78" formatCode="General">
                  <c:v>3.8</c:v>
                </c:pt>
                <c:pt idx="79" formatCode="General">
                  <c:v>3.7</c:v>
                </c:pt>
                <c:pt idx="80" formatCode="General">
                  <c:v>3.5</c:v>
                </c:pt>
                <c:pt idx="81" formatCode="General">
                  <c:v>3.5</c:v>
                </c:pt>
                <c:pt idx="82" formatCode="General">
                  <c:v>3.8</c:v>
                </c:pt>
                <c:pt idx="83" formatCode="General">
                  <c:v>3.7</c:v>
                </c:pt>
                <c:pt idx="84" formatCode="General">
                  <c:v>4.2</c:v>
                </c:pt>
                <c:pt idx="85" formatCode="General">
                  <c:v>4.4000000000000004</c:v>
                </c:pt>
              </c:numCache>
            </c:numRef>
          </c:val>
          <c:smooth val="0"/>
          <c:extLst>
            <c:ext xmlns:c16="http://schemas.microsoft.com/office/drawing/2014/chart" uri="{C3380CC4-5D6E-409C-BE32-E72D297353CC}">
              <c16:uniqueId val="{00000001-4CD1-404B-B718-F61681344E62}"/>
            </c:ext>
          </c:extLst>
        </c:ser>
        <c:ser>
          <c:idx val="1"/>
          <c:order val="2"/>
          <c:tx>
            <c:strRef>
              <c:f>Sheet1!$C$4</c:f>
              <c:strCache>
                <c:ptCount val="1"/>
                <c:pt idx="0">
                  <c:v>Consumer price inflation (%, y-o-y)</c:v>
                </c:pt>
              </c:strCache>
            </c:strRef>
          </c:tx>
          <c:spPr>
            <a:ln w="38100">
              <a:solidFill>
                <a:srgbClr val="FFB600"/>
              </a:solidFill>
              <a:prstDash val="solid"/>
            </a:ln>
          </c:spPr>
          <c:marker>
            <c:symbol val="none"/>
          </c:marker>
          <c:cat>
            <c:numRef>
              <c:f>Sheet1!$A$6:$A$92</c:f>
              <c:numCache>
                <c:formatCode>mmm\-yy</c:formatCode>
                <c:ptCount val="87"/>
                <c:pt idx="0">
                  <c:v>41306</c:v>
                </c:pt>
                <c:pt idx="1">
                  <c:v>41334</c:v>
                </c:pt>
                <c:pt idx="2">
                  <c:v>41365</c:v>
                </c:pt>
                <c:pt idx="3">
                  <c:v>41395</c:v>
                </c:pt>
                <c:pt idx="4">
                  <c:v>41426</c:v>
                </c:pt>
                <c:pt idx="5">
                  <c:v>41456</c:v>
                </c:pt>
                <c:pt idx="6">
                  <c:v>41487</c:v>
                </c:pt>
                <c:pt idx="7">
                  <c:v>41518</c:v>
                </c:pt>
                <c:pt idx="8">
                  <c:v>41548</c:v>
                </c:pt>
                <c:pt idx="9">
                  <c:v>41579</c:v>
                </c:pt>
                <c:pt idx="10">
                  <c:v>41609</c:v>
                </c:pt>
                <c:pt idx="11">
                  <c:v>41640</c:v>
                </c:pt>
                <c:pt idx="12">
                  <c:v>41671</c:v>
                </c:pt>
                <c:pt idx="13">
                  <c:v>41699</c:v>
                </c:pt>
                <c:pt idx="14">
                  <c:v>41730</c:v>
                </c:pt>
                <c:pt idx="15">
                  <c:v>41760</c:v>
                </c:pt>
                <c:pt idx="16">
                  <c:v>41791</c:v>
                </c:pt>
                <c:pt idx="17">
                  <c:v>41821</c:v>
                </c:pt>
                <c:pt idx="18">
                  <c:v>41852</c:v>
                </c:pt>
                <c:pt idx="19">
                  <c:v>41883</c:v>
                </c:pt>
                <c:pt idx="20">
                  <c:v>41913</c:v>
                </c:pt>
                <c:pt idx="21">
                  <c:v>41944</c:v>
                </c:pt>
                <c:pt idx="22">
                  <c:v>41974</c:v>
                </c:pt>
                <c:pt idx="23">
                  <c:v>42005</c:v>
                </c:pt>
                <c:pt idx="24">
                  <c:v>42036</c:v>
                </c:pt>
                <c:pt idx="25">
                  <c:v>42064</c:v>
                </c:pt>
                <c:pt idx="26">
                  <c:v>42095</c:v>
                </c:pt>
                <c:pt idx="27">
                  <c:v>42125</c:v>
                </c:pt>
                <c:pt idx="28">
                  <c:v>42156</c:v>
                </c:pt>
                <c:pt idx="29">
                  <c:v>42186</c:v>
                </c:pt>
                <c:pt idx="30">
                  <c:v>42217</c:v>
                </c:pt>
                <c:pt idx="31">
                  <c:v>42248</c:v>
                </c:pt>
                <c:pt idx="32">
                  <c:v>42278</c:v>
                </c:pt>
                <c:pt idx="33">
                  <c:v>42309</c:v>
                </c:pt>
                <c:pt idx="34">
                  <c:v>42339</c:v>
                </c:pt>
                <c:pt idx="35">
                  <c:v>42370</c:v>
                </c:pt>
                <c:pt idx="36">
                  <c:v>42401</c:v>
                </c:pt>
                <c:pt idx="37">
                  <c:v>42430</c:v>
                </c:pt>
                <c:pt idx="38">
                  <c:v>42461</c:v>
                </c:pt>
                <c:pt idx="39">
                  <c:v>42491</c:v>
                </c:pt>
                <c:pt idx="40">
                  <c:v>42522</c:v>
                </c:pt>
                <c:pt idx="41">
                  <c:v>42552</c:v>
                </c:pt>
                <c:pt idx="42">
                  <c:v>42583</c:v>
                </c:pt>
                <c:pt idx="43">
                  <c:v>42614</c:v>
                </c:pt>
                <c:pt idx="44">
                  <c:v>42644</c:v>
                </c:pt>
                <c:pt idx="45">
                  <c:v>42675</c:v>
                </c:pt>
                <c:pt idx="46">
                  <c:v>42705</c:v>
                </c:pt>
                <c:pt idx="47">
                  <c:v>42736</c:v>
                </c:pt>
                <c:pt idx="48">
                  <c:v>42767</c:v>
                </c:pt>
                <c:pt idx="49">
                  <c:v>42795</c:v>
                </c:pt>
                <c:pt idx="50">
                  <c:v>42826</c:v>
                </c:pt>
                <c:pt idx="51">
                  <c:v>42856</c:v>
                </c:pt>
                <c:pt idx="52">
                  <c:v>42887</c:v>
                </c:pt>
                <c:pt idx="53">
                  <c:v>42917</c:v>
                </c:pt>
                <c:pt idx="54">
                  <c:v>42948</c:v>
                </c:pt>
                <c:pt idx="55">
                  <c:v>42979</c:v>
                </c:pt>
                <c:pt idx="56">
                  <c:v>43009</c:v>
                </c:pt>
                <c:pt idx="57">
                  <c:v>43040</c:v>
                </c:pt>
                <c:pt idx="58">
                  <c:v>43070</c:v>
                </c:pt>
                <c:pt idx="59">
                  <c:v>43101</c:v>
                </c:pt>
                <c:pt idx="60">
                  <c:v>43132</c:v>
                </c:pt>
                <c:pt idx="61">
                  <c:v>43160</c:v>
                </c:pt>
                <c:pt idx="62">
                  <c:v>43191</c:v>
                </c:pt>
                <c:pt idx="63">
                  <c:v>43221</c:v>
                </c:pt>
                <c:pt idx="64">
                  <c:v>43252</c:v>
                </c:pt>
                <c:pt idx="65">
                  <c:v>43282</c:v>
                </c:pt>
                <c:pt idx="66">
                  <c:v>43313</c:v>
                </c:pt>
                <c:pt idx="67">
                  <c:v>43344</c:v>
                </c:pt>
                <c:pt idx="68">
                  <c:v>43374</c:v>
                </c:pt>
                <c:pt idx="69">
                  <c:v>43405</c:v>
                </c:pt>
                <c:pt idx="70">
                  <c:v>43435</c:v>
                </c:pt>
                <c:pt idx="71">
                  <c:v>43466</c:v>
                </c:pt>
                <c:pt idx="72">
                  <c:v>43497</c:v>
                </c:pt>
                <c:pt idx="73">
                  <c:v>43525</c:v>
                </c:pt>
                <c:pt idx="74">
                  <c:v>43556</c:v>
                </c:pt>
                <c:pt idx="75">
                  <c:v>43586</c:v>
                </c:pt>
                <c:pt idx="76">
                  <c:v>43617</c:v>
                </c:pt>
                <c:pt idx="77">
                  <c:v>43647</c:v>
                </c:pt>
                <c:pt idx="78">
                  <c:v>43678</c:v>
                </c:pt>
                <c:pt idx="79">
                  <c:v>43709</c:v>
                </c:pt>
                <c:pt idx="80">
                  <c:v>43739</c:v>
                </c:pt>
                <c:pt idx="81">
                  <c:v>43770</c:v>
                </c:pt>
                <c:pt idx="82">
                  <c:v>43800</c:v>
                </c:pt>
                <c:pt idx="83">
                  <c:v>43831</c:v>
                </c:pt>
                <c:pt idx="84">
                  <c:v>43862</c:v>
                </c:pt>
                <c:pt idx="85">
                  <c:v>43891</c:v>
                </c:pt>
                <c:pt idx="86">
                  <c:v>43922</c:v>
                </c:pt>
              </c:numCache>
            </c:numRef>
          </c:cat>
          <c:val>
            <c:numRef>
              <c:f>Sheet1!$C$6:$C$92</c:f>
              <c:numCache>
                <c:formatCode>General</c:formatCode>
                <c:ptCount val="87"/>
                <c:pt idx="0" formatCode="0.0">
                  <c:v>5</c:v>
                </c:pt>
                <c:pt idx="1">
                  <c:v>5.2</c:v>
                </c:pt>
                <c:pt idx="2">
                  <c:v>5.0999999999999996</c:v>
                </c:pt>
                <c:pt idx="3">
                  <c:v>4.2</c:v>
                </c:pt>
                <c:pt idx="4">
                  <c:v>4.5</c:v>
                </c:pt>
                <c:pt idx="5">
                  <c:v>6.3</c:v>
                </c:pt>
                <c:pt idx="6">
                  <c:v>6.5</c:v>
                </c:pt>
                <c:pt idx="7">
                  <c:v>5.7</c:v>
                </c:pt>
                <c:pt idx="8">
                  <c:v>4.9000000000000004</c:v>
                </c:pt>
                <c:pt idx="9">
                  <c:v>4.5999999999999996</c:v>
                </c:pt>
                <c:pt idx="10">
                  <c:v>4.8</c:v>
                </c:pt>
                <c:pt idx="11">
                  <c:v>5.7</c:v>
                </c:pt>
                <c:pt idx="12">
                  <c:v>6.1</c:v>
                </c:pt>
                <c:pt idx="13">
                  <c:v>6.2</c:v>
                </c:pt>
                <c:pt idx="14">
                  <c:v>6.3</c:v>
                </c:pt>
                <c:pt idx="15">
                  <c:v>7.5</c:v>
                </c:pt>
                <c:pt idx="16">
                  <c:v>7.4</c:v>
                </c:pt>
                <c:pt idx="17">
                  <c:v>6.8</c:v>
                </c:pt>
                <c:pt idx="18">
                  <c:v>6.8</c:v>
                </c:pt>
                <c:pt idx="19">
                  <c:v>5.8</c:v>
                </c:pt>
                <c:pt idx="20">
                  <c:v>5.6</c:v>
                </c:pt>
                <c:pt idx="21">
                  <c:v>5.6</c:v>
                </c:pt>
                <c:pt idx="22">
                  <c:v>4.8</c:v>
                </c:pt>
                <c:pt idx="23" formatCode="0.0">
                  <c:v>3</c:v>
                </c:pt>
                <c:pt idx="24">
                  <c:v>1.9</c:v>
                </c:pt>
                <c:pt idx="25">
                  <c:v>2.1</c:v>
                </c:pt>
                <c:pt idx="26">
                  <c:v>3.2</c:v>
                </c:pt>
                <c:pt idx="27">
                  <c:v>3.2</c:v>
                </c:pt>
                <c:pt idx="28">
                  <c:v>3.8</c:v>
                </c:pt>
                <c:pt idx="29">
                  <c:v>4.0999999999999996</c:v>
                </c:pt>
                <c:pt idx="30">
                  <c:v>3.6</c:v>
                </c:pt>
                <c:pt idx="31">
                  <c:v>3.6</c:v>
                </c:pt>
                <c:pt idx="32">
                  <c:v>3.7</c:v>
                </c:pt>
                <c:pt idx="33">
                  <c:v>3.8</c:v>
                </c:pt>
                <c:pt idx="34">
                  <c:v>4.5999999999999996</c:v>
                </c:pt>
                <c:pt idx="35">
                  <c:v>6.5</c:v>
                </c:pt>
                <c:pt idx="36" formatCode="0.0">
                  <c:v>7</c:v>
                </c:pt>
                <c:pt idx="37" formatCode="0.0">
                  <c:v>6.3</c:v>
                </c:pt>
                <c:pt idx="38" formatCode="0.0">
                  <c:v>6.2</c:v>
                </c:pt>
                <c:pt idx="39" formatCode="0.0">
                  <c:v>6.1</c:v>
                </c:pt>
                <c:pt idx="40" formatCode="0.0">
                  <c:v>6.3</c:v>
                </c:pt>
                <c:pt idx="41" formatCode="0.0">
                  <c:v>6</c:v>
                </c:pt>
                <c:pt idx="42" formatCode="0.0">
                  <c:v>5.9</c:v>
                </c:pt>
                <c:pt idx="43" formatCode="0.0">
                  <c:v>6.1</c:v>
                </c:pt>
                <c:pt idx="44" formatCode="0.0">
                  <c:v>6.4</c:v>
                </c:pt>
                <c:pt idx="45" formatCode="0.0">
                  <c:v>6.6</c:v>
                </c:pt>
                <c:pt idx="46" formatCode="0.0">
                  <c:v>6.8</c:v>
                </c:pt>
                <c:pt idx="47" formatCode="0.0">
                  <c:v>6.6</c:v>
                </c:pt>
                <c:pt idx="48" formatCode="0.0">
                  <c:v>6.3</c:v>
                </c:pt>
                <c:pt idx="49" formatCode="0.0">
                  <c:v>6.1</c:v>
                </c:pt>
                <c:pt idx="50" formatCode="0.0">
                  <c:v>5.3</c:v>
                </c:pt>
                <c:pt idx="51" formatCode="0.0">
                  <c:v>5.4</c:v>
                </c:pt>
                <c:pt idx="52" formatCode="0.0">
                  <c:v>5.0999999999999996</c:v>
                </c:pt>
                <c:pt idx="53" formatCode="0.0">
                  <c:v>4.5999999999999996</c:v>
                </c:pt>
                <c:pt idx="54" formatCode="0.0">
                  <c:v>4.8</c:v>
                </c:pt>
                <c:pt idx="55" formatCode="0.0">
                  <c:v>5.0999999999999996</c:v>
                </c:pt>
                <c:pt idx="56" formatCode="0.0">
                  <c:v>4.8</c:v>
                </c:pt>
                <c:pt idx="57" formatCode="0.0">
                  <c:v>4.5999999999999996</c:v>
                </c:pt>
                <c:pt idx="58">
                  <c:v>4.7</c:v>
                </c:pt>
                <c:pt idx="59">
                  <c:v>4.4000000000000004</c:v>
                </c:pt>
                <c:pt idx="60" formatCode="0.0">
                  <c:v>4</c:v>
                </c:pt>
                <c:pt idx="61">
                  <c:v>3.8</c:v>
                </c:pt>
                <c:pt idx="62">
                  <c:v>4.5</c:v>
                </c:pt>
                <c:pt idx="63">
                  <c:v>4.4000000000000004</c:v>
                </c:pt>
                <c:pt idx="64">
                  <c:v>4.5999999999999996</c:v>
                </c:pt>
                <c:pt idx="65">
                  <c:v>5.0999999999999996</c:v>
                </c:pt>
                <c:pt idx="66">
                  <c:v>4.9000000000000004</c:v>
                </c:pt>
                <c:pt idx="67">
                  <c:v>4.9000000000000004</c:v>
                </c:pt>
                <c:pt idx="68">
                  <c:v>5.0999999999999996</c:v>
                </c:pt>
                <c:pt idx="69">
                  <c:v>5.2</c:v>
                </c:pt>
                <c:pt idx="70">
                  <c:v>4.5</c:v>
                </c:pt>
                <c:pt idx="71" formatCode="0.0">
                  <c:v>4</c:v>
                </c:pt>
                <c:pt idx="72">
                  <c:v>4.3</c:v>
                </c:pt>
                <c:pt idx="73">
                  <c:v>4.5</c:v>
                </c:pt>
                <c:pt idx="74">
                  <c:v>4.4000000000000004</c:v>
                </c:pt>
                <c:pt idx="75">
                  <c:v>4.5</c:v>
                </c:pt>
                <c:pt idx="76">
                  <c:v>4.5</c:v>
                </c:pt>
                <c:pt idx="77">
                  <c:v>4</c:v>
                </c:pt>
                <c:pt idx="78">
                  <c:v>4.3</c:v>
                </c:pt>
                <c:pt idx="79">
                  <c:v>4.0999999999999996</c:v>
                </c:pt>
                <c:pt idx="80">
                  <c:v>3.7</c:v>
                </c:pt>
                <c:pt idx="81">
                  <c:v>3.5</c:v>
                </c:pt>
                <c:pt idx="82" formatCode="0.0">
                  <c:v>4</c:v>
                </c:pt>
                <c:pt idx="83">
                  <c:v>4.5</c:v>
                </c:pt>
                <c:pt idx="84">
                  <c:v>4.5999999999999996</c:v>
                </c:pt>
                <c:pt idx="85">
                  <c:v>4.0999999999999996</c:v>
                </c:pt>
              </c:numCache>
            </c:numRef>
          </c:val>
          <c:smooth val="0"/>
          <c:extLst>
            <c:ext xmlns:c16="http://schemas.microsoft.com/office/drawing/2014/chart" uri="{C3380CC4-5D6E-409C-BE32-E72D297353CC}">
              <c16:uniqueId val="{00000002-4CD1-404B-B718-F61681344E62}"/>
            </c:ext>
          </c:extLst>
        </c:ser>
        <c:ser>
          <c:idx val="3"/>
          <c:order val="3"/>
          <c:tx>
            <c:strRef>
              <c:f>Sheet1!$E$4</c:f>
              <c:strCache>
                <c:ptCount val="1"/>
                <c:pt idx="0">
                  <c:v>Fuel price inflation (%, y-o-y)</c:v>
                </c:pt>
              </c:strCache>
            </c:strRef>
          </c:tx>
          <c:spPr>
            <a:ln w="38100">
              <a:solidFill>
                <a:schemeClr val="accent2"/>
              </a:solidFill>
            </a:ln>
          </c:spPr>
          <c:marker>
            <c:symbol val="none"/>
          </c:marker>
          <c:cat>
            <c:numRef>
              <c:f>Sheet1!$A$6:$A$92</c:f>
              <c:numCache>
                <c:formatCode>mmm\-yy</c:formatCode>
                <c:ptCount val="87"/>
                <c:pt idx="0">
                  <c:v>41306</c:v>
                </c:pt>
                <c:pt idx="1">
                  <c:v>41334</c:v>
                </c:pt>
                <c:pt idx="2">
                  <c:v>41365</c:v>
                </c:pt>
                <c:pt idx="3">
                  <c:v>41395</c:v>
                </c:pt>
                <c:pt idx="4">
                  <c:v>41426</c:v>
                </c:pt>
                <c:pt idx="5">
                  <c:v>41456</c:v>
                </c:pt>
                <c:pt idx="6">
                  <c:v>41487</c:v>
                </c:pt>
                <c:pt idx="7">
                  <c:v>41518</c:v>
                </c:pt>
                <c:pt idx="8">
                  <c:v>41548</c:v>
                </c:pt>
                <c:pt idx="9">
                  <c:v>41579</c:v>
                </c:pt>
                <c:pt idx="10">
                  <c:v>41609</c:v>
                </c:pt>
                <c:pt idx="11">
                  <c:v>41640</c:v>
                </c:pt>
                <c:pt idx="12">
                  <c:v>41671</c:v>
                </c:pt>
                <c:pt idx="13">
                  <c:v>41699</c:v>
                </c:pt>
                <c:pt idx="14">
                  <c:v>41730</c:v>
                </c:pt>
                <c:pt idx="15">
                  <c:v>41760</c:v>
                </c:pt>
                <c:pt idx="16">
                  <c:v>41791</c:v>
                </c:pt>
                <c:pt idx="17">
                  <c:v>41821</c:v>
                </c:pt>
                <c:pt idx="18">
                  <c:v>41852</c:v>
                </c:pt>
                <c:pt idx="19">
                  <c:v>41883</c:v>
                </c:pt>
                <c:pt idx="20">
                  <c:v>41913</c:v>
                </c:pt>
                <c:pt idx="21">
                  <c:v>41944</c:v>
                </c:pt>
                <c:pt idx="22">
                  <c:v>41974</c:v>
                </c:pt>
                <c:pt idx="23">
                  <c:v>42005</c:v>
                </c:pt>
                <c:pt idx="24">
                  <c:v>42036</c:v>
                </c:pt>
                <c:pt idx="25">
                  <c:v>42064</c:v>
                </c:pt>
                <c:pt idx="26">
                  <c:v>42095</c:v>
                </c:pt>
                <c:pt idx="27">
                  <c:v>42125</c:v>
                </c:pt>
                <c:pt idx="28">
                  <c:v>42156</c:v>
                </c:pt>
                <c:pt idx="29">
                  <c:v>42186</c:v>
                </c:pt>
                <c:pt idx="30">
                  <c:v>42217</c:v>
                </c:pt>
                <c:pt idx="31">
                  <c:v>42248</c:v>
                </c:pt>
                <c:pt idx="32">
                  <c:v>42278</c:v>
                </c:pt>
                <c:pt idx="33">
                  <c:v>42309</c:v>
                </c:pt>
                <c:pt idx="34">
                  <c:v>42339</c:v>
                </c:pt>
                <c:pt idx="35">
                  <c:v>42370</c:v>
                </c:pt>
                <c:pt idx="36">
                  <c:v>42401</c:v>
                </c:pt>
                <c:pt idx="37">
                  <c:v>42430</c:v>
                </c:pt>
                <c:pt idx="38">
                  <c:v>42461</c:v>
                </c:pt>
                <c:pt idx="39">
                  <c:v>42491</c:v>
                </c:pt>
                <c:pt idx="40">
                  <c:v>42522</c:v>
                </c:pt>
                <c:pt idx="41">
                  <c:v>42552</c:v>
                </c:pt>
                <c:pt idx="42">
                  <c:v>42583</c:v>
                </c:pt>
                <c:pt idx="43">
                  <c:v>42614</c:v>
                </c:pt>
                <c:pt idx="44">
                  <c:v>42644</c:v>
                </c:pt>
                <c:pt idx="45">
                  <c:v>42675</c:v>
                </c:pt>
                <c:pt idx="46">
                  <c:v>42705</c:v>
                </c:pt>
                <c:pt idx="47">
                  <c:v>42736</c:v>
                </c:pt>
                <c:pt idx="48">
                  <c:v>42767</c:v>
                </c:pt>
                <c:pt idx="49">
                  <c:v>42795</c:v>
                </c:pt>
                <c:pt idx="50">
                  <c:v>42826</c:v>
                </c:pt>
                <c:pt idx="51">
                  <c:v>42856</c:v>
                </c:pt>
                <c:pt idx="52">
                  <c:v>42887</c:v>
                </c:pt>
                <c:pt idx="53">
                  <c:v>42917</c:v>
                </c:pt>
                <c:pt idx="54">
                  <c:v>42948</c:v>
                </c:pt>
                <c:pt idx="55">
                  <c:v>42979</c:v>
                </c:pt>
                <c:pt idx="56">
                  <c:v>43009</c:v>
                </c:pt>
                <c:pt idx="57">
                  <c:v>43040</c:v>
                </c:pt>
                <c:pt idx="58">
                  <c:v>43070</c:v>
                </c:pt>
                <c:pt idx="59">
                  <c:v>43101</c:v>
                </c:pt>
                <c:pt idx="60">
                  <c:v>43132</c:v>
                </c:pt>
                <c:pt idx="61">
                  <c:v>43160</c:v>
                </c:pt>
                <c:pt idx="62">
                  <c:v>43191</c:v>
                </c:pt>
                <c:pt idx="63">
                  <c:v>43221</c:v>
                </c:pt>
                <c:pt idx="64">
                  <c:v>43252</c:v>
                </c:pt>
                <c:pt idx="65">
                  <c:v>43282</c:v>
                </c:pt>
                <c:pt idx="66">
                  <c:v>43313</c:v>
                </c:pt>
                <c:pt idx="67">
                  <c:v>43344</c:v>
                </c:pt>
                <c:pt idx="68">
                  <c:v>43374</c:v>
                </c:pt>
                <c:pt idx="69">
                  <c:v>43405</c:v>
                </c:pt>
                <c:pt idx="70">
                  <c:v>43435</c:v>
                </c:pt>
                <c:pt idx="71">
                  <c:v>43466</c:v>
                </c:pt>
                <c:pt idx="72">
                  <c:v>43497</c:v>
                </c:pt>
                <c:pt idx="73">
                  <c:v>43525</c:v>
                </c:pt>
                <c:pt idx="74">
                  <c:v>43556</c:v>
                </c:pt>
                <c:pt idx="75">
                  <c:v>43586</c:v>
                </c:pt>
                <c:pt idx="76">
                  <c:v>43617</c:v>
                </c:pt>
                <c:pt idx="77">
                  <c:v>43647</c:v>
                </c:pt>
                <c:pt idx="78">
                  <c:v>43678</c:v>
                </c:pt>
                <c:pt idx="79">
                  <c:v>43709</c:v>
                </c:pt>
                <c:pt idx="80">
                  <c:v>43739</c:v>
                </c:pt>
                <c:pt idx="81">
                  <c:v>43770</c:v>
                </c:pt>
                <c:pt idx="82">
                  <c:v>43800</c:v>
                </c:pt>
                <c:pt idx="83">
                  <c:v>43831</c:v>
                </c:pt>
                <c:pt idx="84">
                  <c:v>43862</c:v>
                </c:pt>
                <c:pt idx="85">
                  <c:v>43891</c:v>
                </c:pt>
                <c:pt idx="86">
                  <c:v>43922</c:v>
                </c:pt>
              </c:numCache>
            </c:numRef>
          </c:cat>
          <c:val>
            <c:numRef>
              <c:f>Sheet1!$E$6:$E$92</c:f>
              <c:numCache>
                <c:formatCode>0.0</c:formatCode>
                <c:ptCount val="87"/>
                <c:pt idx="0">
                  <c:v>11.901983663943994</c:v>
                </c:pt>
                <c:pt idx="1">
                  <c:v>16.38225255972695</c:v>
                </c:pt>
                <c:pt idx="2">
                  <c:v>10.492505353319054</c:v>
                </c:pt>
                <c:pt idx="3">
                  <c:v>1.7763845350052276</c:v>
                </c:pt>
                <c:pt idx="4">
                  <c:v>5.9145673603504996</c:v>
                </c:pt>
                <c:pt idx="5">
                  <c:v>22.657176749703449</c:v>
                </c:pt>
                <c:pt idx="6">
                  <c:v>22.996515679442524</c:v>
                </c:pt>
                <c:pt idx="7">
                  <c:v>12.834224598930483</c:v>
                </c:pt>
                <c:pt idx="8">
                  <c:v>9.2436974789915922</c:v>
                </c:pt>
                <c:pt idx="9">
                  <c:v>7.724867724867722</c:v>
                </c:pt>
                <c:pt idx="10">
                  <c:v>10.032017075773735</c:v>
                </c:pt>
                <c:pt idx="11">
                  <c:v>14.686825053995692</c:v>
                </c:pt>
                <c:pt idx="12">
                  <c:v>13.972888425443161</c:v>
                </c:pt>
                <c:pt idx="13">
                  <c:v>9.57966764418377</c:v>
                </c:pt>
                <c:pt idx="14">
                  <c:v>9.108527131782937</c:v>
                </c:pt>
                <c:pt idx="15">
                  <c:v>14.271047227926067</c:v>
                </c:pt>
                <c:pt idx="16">
                  <c:v>13.340227507755936</c:v>
                </c:pt>
                <c:pt idx="17">
                  <c:v>8.3172147001934178</c:v>
                </c:pt>
                <c:pt idx="18">
                  <c:v>5.7601510859301177</c:v>
                </c:pt>
                <c:pt idx="19">
                  <c:v>1.1374407582938415</c:v>
                </c:pt>
                <c:pt idx="20">
                  <c:v>2.4999999999999947</c:v>
                </c:pt>
                <c:pt idx="21">
                  <c:v>1.1787819253438141</c:v>
                </c:pt>
                <c:pt idx="22">
                  <c:v>-5.4316197866149318</c:v>
                </c:pt>
                <c:pt idx="23">
                  <c:v>-17.608286252354052</c:v>
                </c:pt>
                <c:pt idx="24">
                  <c:v>-26.715462031107045</c:v>
                </c:pt>
                <c:pt idx="25">
                  <c:v>-21.677074041034789</c:v>
                </c:pt>
                <c:pt idx="26">
                  <c:v>-10.83481349911189</c:v>
                </c:pt>
                <c:pt idx="27">
                  <c:v>-9.7933513027852577</c:v>
                </c:pt>
                <c:pt idx="28">
                  <c:v>-5.0182481751824817</c:v>
                </c:pt>
                <c:pt idx="29">
                  <c:v>-4.0178571428571432</c:v>
                </c:pt>
                <c:pt idx="30">
                  <c:v>-7.5892857142857135</c:v>
                </c:pt>
                <c:pt idx="31">
                  <c:v>-8.2474226804123685</c:v>
                </c:pt>
                <c:pt idx="32">
                  <c:v>-8.067542213883673</c:v>
                </c:pt>
                <c:pt idx="33">
                  <c:v>-6.5048543689320422</c:v>
                </c:pt>
                <c:pt idx="34">
                  <c:v>-1.2307692307692337</c:v>
                </c:pt>
                <c:pt idx="35">
                  <c:v>10.057142857142853</c:v>
                </c:pt>
                <c:pt idx="36">
                  <c:v>20.724094881398265</c:v>
                </c:pt>
                <c:pt idx="37">
                  <c:v>3.8724373576309858</c:v>
                </c:pt>
                <c:pt idx="38">
                  <c:v>-2.3904382470119576</c:v>
                </c:pt>
                <c:pt idx="39">
                  <c:v>-1.3944223107569775</c:v>
                </c:pt>
                <c:pt idx="40">
                  <c:v>-0.96061479346781953</c:v>
                </c:pt>
                <c:pt idx="41">
                  <c:v>-3.4418604651162816</c:v>
                </c:pt>
                <c:pt idx="42">
                  <c:v>-7.2463768115942031</c:v>
                </c:pt>
                <c:pt idx="43">
                  <c:v>-3.3707865168539444</c:v>
                </c:pt>
                <c:pt idx="44">
                  <c:v>0</c:v>
                </c:pt>
                <c:pt idx="45">
                  <c:v>5.5036344755970896</c:v>
                </c:pt>
                <c:pt idx="46">
                  <c:v>3.842159916926275</c:v>
                </c:pt>
                <c:pt idx="47">
                  <c:v>7.2689511941848393</c:v>
                </c:pt>
                <c:pt idx="48">
                  <c:v>8.8934850051706249</c:v>
                </c:pt>
                <c:pt idx="49">
                  <c:v>15.021929824561406</c:v>
                </c:pt>
                <c:pt idx="50">
                  <c:v>5.6122448979591839</c:v>
                </c:pt>
                <c:pt idx="51">
                  <c:v>7.9797979797979854</c:v>
                </c:pt>
                <c:pt idx="52">
                  <c:v>2.0368574199806098</c:v>
                </c:pt>
                <c:pt idx="53">
                  <c:v>-3.564547206165706</c:v>
                </c:pt>
                <c:pt idx="54">
                  <c:v>5.7291666666666661</c:v>
                </c:pt>
                <c:pt idx="55">
                  <c:v>12.156448202959831</c:v>
                </c:pt>
                <c:pt idx="56">
                  <c:v>10.816326530612239</c:v>
                </c:pt>
                <c:pt idx="57">
                  <c:v>7.8740157480314963</c:v>
                </c:pt>
                <c:pt idx="58">
                  <c:v>14.200000000000001</c:v>
                </c:pt>
                <c:pt idx="59">
                  <c:v>9.0997095837366953</c:v>
                </c:pt>
                <c:pt idx="60">
                  <c:v>5.128205128205134</c:v>
                </c:pt>
                <c:pt idx="61">
                  <c:v>2.8598665395614868</c:v>
                </c:pt>
                <c:pt idx="62">
                  <c:v>8.9855072463768089</c:v>
                </c:pt>
                <c:pt idx="63">
                  <c:v>9.3545369504209539</c:v>
                </c:pt>
                <c:pt idx="64">
                  <c:v>16.34980988593156</c:v>
                </c:pt>
                <c:pt idx="65">
                  <c:v>25.274725274725299</c:v>
                </c:pt>
                <c:pt idx="66" formatCode="General">
                  <c:v>23.6</c:v>
                </c:pt>
                <c:pt idx="67" formatCode="General">
                  <c:v>18.5</c:v>
                </c:pt>
                <c:pt idx="68" formatCode="General">
                  <c:v>22.8</c:v>
                </c:pt>
                <c:pt idx="69" formatCode="General">
                  <c:v>23.1</c:v>
                </c:pt>
                <c:pt idx="70" formatCode="General">
                  <c:v>8.6999999999999993</c:v>
                </c:pt>
                <c:pt idx="71" formatCode="General">
                  <c:v>-1.2</c:v>
                </c:pt>
                <c:pt idx="72" formatCode="General">
                  <c:v>0.9</c:v>
                </c:pt>
                <c:pt idx="73" formatCode="General">
                  <c:v>8.8000000000000007</c:v>
                </c:pt>
                <c:pt idx="74" formatCode="General">
                  <c:v>12</c:v>
                </c:pt>
                <c:pt idx="75" formatCode="General">
                  <c:v>11.6</c:v>
                </c:pt>
                <c:pt idx="76" formatCode="General">
                  <c:v>7.4</c:v>
                </c:pt>
                <c:pt idx="77" formatCode="General">
                  <c:v>-0.5</c:v>
                </c:pt>
                <c:pt idx="78" formatCode="General">
                  <c:v>-0.5</c:v>
                </c:pt>
                <c:pt idx="79" formatCode="General">
                  <c:v>0.2</c:v>
                </c:pt>
                <c:pt idx="80" formatCode="General">
                  <c:v>-4.9000000000000004</c:v>
                </c:pt>
                <c:pt idx="81" formatCode="General">
                  <c:v>-6.6</c:v>
                </c:pt>
                <c:pt idx="82" formatCode="General">
                  <c:v>2.4</c:v>
                </c:pt>
                <c:pt idx="83" formatCode="General">
                  <c:v>13.7</c:v>
                </c:pt>
                <c:pt idx="84" formatCode="General">
                  <c:v>12.7</c:v>
                </c:pt>
                <c:pt idx="85" formatCode="General">
                  <c:v>5.5</c:v>
                </c:pt>
              </c:numCache>
            </c:numRef>
          </c:val>
          <c:smooth val="0"/>
          <c:extLst>
            <c:ext xmlns:c16="http://schemas.microsoft.com/office/drawing/2014/chart" uri="{C3380CC4-5D6E-409C-BE32-E72D297353CC}">
              <c16:uniqueId val="{00000003-4CD1-404B-B718-F61681344E62}"/>
            </c:ext>
          </c:extLst>
        </c:ser>
        <c:dLbls>
          <c:showLegendKey val="0"/>
          <c:showVal val="0"/>
          <c:showCatName val="0"/>
          <c:showSerName val="0"/>
          <c:showPercent val="0"/>
          <c:showBubbleSize val="0"/>
        </c:dLbls>
        <c:smooth val="0"/>
        <c:axId val="356310208"/>
        <c:axId val="356306288"/>
      </c:lineChart>
      <c:dateAx>
        <c:axId val="356310208"/>
        <c:scaling>
          <c:orientation val="minMax"/>
          <c:max val="43922"/>
          <c:min val="42826"/>
        </c:scaling>
        <c:delete val="0"/>
        <c:axPos val="b"/>
        <c:numFmt formatCode="mmm\-yy" sourceLinked="1"/>
        <c:majorTickMark val="out"/>
        <c:minorTickMark val="out"/>
        <c:tickLblPos val="low"/>
        <c:spPr>
          <a:ln w="3175">
            <a:solidFill>
              <a:srgbClr val="000000"/>
            </a:solidFill>
            <a:prstDash val="solid"/>
          </a:ln>
        </c:spPr>
        <c:crossAx val="356306288"/>
        <c:crosses val="autoZero"/>
        <c:auto val="1"/>
        <c:lblOffset val="100"/>
        <c:baseTimeUnit val="months"/>
        <c:majorUnit val="6"/>
        <c:majorTimeUnit val="months"/>
        <c:minorUnit val="1"/>
        <c:minorTimeUnit val="months"/>
      </c:dateAx>
      <c:valAx>
        <c:axId val="356306288"/>
        <c:scaling>
          <c:orientation val="minMax"/>
          <c:min val="-8"/>
        </c:scaling>
        <c:delete val="0"/>
        <c:axPos val="l"/>
        <c:numFmt formatCode="General" sourceLinked="1"/>
        <c:majorTickMark val="out"/>
        <c:minorTickMark val="out"/>
        <c:tickLblPos val="nextTo"/>
        <c:spPr>
          <a:ln w="3175">
            <a:solidFill>
              <a:srgbClr val="000000"/>
            </a:solidFill>
            <a:prstDash val="solid"/>
          </a:ln>
        </c:spPr>
        <c:crossAx val="356310208"/>
        <c:crosses val="autoZero"/>
        <c:crossBetween val="midCat"/>
        <c:majorUnit val="4"/>
        <c:minorUnit val="1"/>
      </c:valAx>
      <c:spPr>
        <a:noFill/>
        <a:ln w="25400">
          <a:noFill/>
        </a:ln>
      </c:spPr>
    </c:plotArea>
    <c:legend>
      <c:legendPos val="b"/>
      <c:layout>
        <c:manualLayout>
          <c:xMode val="edge"/>
          <c:yMode val="edge"/>
          <c:x val="6.9010353535353536E-2"/>
          <c:y val="0.78693193620606083"/>
          <c:w val="0.93098951071571179"/>
          <c:h val="0.21306806379393908"/>
        </c:manualLayout>
      </c:layout>
      <c:overlay val="0"/>
      <c:spPr>
        <a:noFill/>
        <a:ln w="25400">
          <a:noFill/>
        </a:ln>
      </c:spPr>
    </c:legend>
    <c:plotVisOnly val="1"/>
    <c:dispBlanksAs val="gap"/>
    <c:showDLblsOverMax val="0"/>
  </c:chart>
  <c:spPr>
    <a:noFill/>
    <a:ln w="6350">
      <a:noFill/>
    </a:ln>
  </c:spPr>
  <c:txPr>
    <a:bodyPr/>
    <a:lstStyle/>
    <a:p>
      <a:pPr>
        <a:defRPr sz="800" b="0" i="0">
          <a:solidFill>
            <a:srgbClr val="000000"/>
          </a:solidFill>
          <a:latin typeface="Georgia" panose="02040502050405020303" pitchFamily="18" charset="0"/>
          <a:ea typeface="Arial"/>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dc:creator>
  <cp:keywords/>
  <dc:description/>
  <cp:lastModifiedBy>Sanchia Temkin</cp:lastModifiedBy>
  <cp:revision>1</cp:revision>
  <dcterms:created xsi:type="dcterms:W3CDTF">2020-04-22T11:49:00Z</dcterms:created>
  <dcterms:modified xsi:type="dcterms:W3CDTF">2020-04-22T11:52:00Z</dcterms:modified>
</cp:coreProperties>
</file>