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41762" w14:textId="77777777" w:rsidR="00382ADA" w:rsidRDefault="00AB5637">
      <w:r>
        <w:rPr>
          <w:rFonts w:ascii="Verdana" w:hAnsi="Verdana"/>
          <w:noProof/>
          <w:lang w:eastAsia="en-ZA"/>
        </w:rPr>
        <w:drawing>
          <wp:inline distT="0" distB="0" distL="0" distR="0" wp14:anchorId="540417E4" wp14:editId="540417E5">
            <wp:extent cx="3562350" cy="752475"/>
            <wp:effectExtent l="0" t="0" r="0" b="9525"/>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2350" cy="752475"/>
                    </a:xfrm>
                    <a:prstGeom prst="rect">
                      <a:avLst/>
                    </a:prstGeom>
                    <a:noFill/>
                    <a:ln>
                      <a:noFill/>
                    </a:ln>
                  </pic:spPr>
                </pic:pic>
              </a:graphicData>
            </a:graphic>
          </wp:inline>
        </w:drawing>
      </w:r>
    </w:p>
    <w:p w14:paraId="54041764" w14:textId="1E72965A" w:rsidR="00AB5637" w:rsidRPr="00A06583" w:rsidRDefault="008C19C4" w:rsidP="001976A7">
      <w:pPr>
        <w:pStyle w:val="Heading1"/>
        <w:spacing w:before="0" w:after="0" w:line="320" w:lineRule="atLeast"/>
        <w:rPr>
          <w:rFonts w:ascii="Verdana" w:hAnsi="Verdana"/>
          <w:sz w:val="24"/>
          <w:szCs w:val="24"/>
        </w:rPr>
      </w:pPr>
      <w:r>
        <w:rPr>
          <w:rFonts w:ascii="Verdana" w:hAnsi="Verdana"/>
          <w:sz w:val="24"/>
          <w:szCs w:val="24"/>
        </w:rPr>
        <w:t xml:space="preserve">State of the </w:t>
      </w:r>
      <w:r w:rsidR="00FC15C7">
        <w:rPr>
          <w:rFonts w:ascii="Verdana" w:hAnsi="Verdana"/>
          <w:sz w:val="24"/>
          <w:szCs w:val="24"/>
        </w:rPr>
        <w:t>S</w:t>
      </w:r>
      <w:r w:rsidR="00834896">
        <w:rPr>
          <w:rFonts w:ascii="Verdana" w:hAnsi="Verdana"/>
          <w:sz w:val="24"/>
          <w:szCs w:val="24"/>
        </w:rPr>
        <w:t xml:space="preserve">outh </w:t>
      </w:r>
      <w:r w:rsidR="00FC15C7">
        <w:rPr>
          <w:rFonts w:ascii="Verdana" w:hAnsi="Verdana"/>
          <w:sz w:val="24"/>
          <w:szCs w:val="24"/>
        </w:rPr>
        <w:t>A</w:t>
      </w:r>
      <w:r w:rsidR="00834896">
        <w:rPr>
          <w:rFonts w:ascii="Verdana" w:hAnsi="Verdana"/>
          <w:sz w:val="24"/>
          <w:szCs w:val="24"/>
        </w:rPr>
        <w:t>frican</w:t>
      </w:r>
      <w:r w:rsidR="00FC15C7">
        <w:rPr>
          <w:rFonts w:ascii="Verdana" w:hAnsi="Verdana"/>
          <w:sz w:val="24"/>
          <w:szCs w:val="24"/>
        </w:rPr>
        <w:t xml:space="preserve"> </w:t>
      </w:r>
      <w:r w:rsidR="00D3426D">
        <w:rPr>
          <w:rFonts w:ascii="Verdana" w:hAnsi="Verdana"/>
          <w:sz w:val="24"/>
          <w:szCs w:val="24"/>
        </w:rPr>
        <w:t>E</w:t>
      </w:r>
      <w:r w:rsidR="00834896">
        <w:rPr>
          <w:rFonts w:ascii="Verdana" w:hAnsi="Verdana"/>
          <w:sz w:val="24"/>
          <w:szCs w:val="24"/>
        </w:rPr>
        <w:t xml:space="preserve">xchange </w:t>
      </w:r>
      <w:r w:rsidR="00D3426D">
        <w:rPr>
          <w:rFonts w:ascii="Verdana" w:hAnsi="Verdana"/>
          <w:sz w:val="24"/>
          <w:szCs w:val="24"/>
        </w:rPr>
        <w:t>T</w:t>
      </w:r>
      <w:r w:rsidR="00834896">
        <w:rPr>
          <w:rFonts w:ascii="Verdana" w:hAnsi="Verdana"/>
          <w:sz w:val="24"/>
          <w:szCs w:val="24"/>
        </w:rPr>
        <w:t xml:space="preserve">raded </w:t>
      </w:r>
      <w:r w:rsidR="00D3426D">
        <w:rPr>
          <w:rFonts w:ascii="Verdana" w:hAnsi="Verdana"/>
          <w:sz w:val="24"/>
          <w:szCs w:val="24"/>
        </w:rPr>
        <w:t>P</w:t>
      </w:r>
      <w:r w:rsidR="00834896">
        <w:rPr>
          <w:rFonts w:ascii="Verdana" w:hAnsi="Verdana"/>
          <w:sz w:val="24"/>
          <w:szCs w:val="24"/>
        </w:rPr>
        <w:t>roduct (ETP)</w:t>
      </w:r>
      <w:r>
        <w:rPr>
          <w:rFonts w:ascii="Verdana" w:hAnsi="Verdana"/>
          <w:sz w:val="24"/>
          <w:szCs w:val="24"/>
        </w:rPr>
        <w:t xml:space="preserve"> Industry </w:t>
      </w:r>
      <w:r w:rsidR="00FC15C7">
        <w:rPr>
          <w:rFonts w:ascii="Verdana" w:hAnsi="Verdana"/>
          <w:sz w:val="24"/>
          <w:szCs w:val="24"/>
        </w:rPr>
        <w:t xml:space="preserve">– </w:t>
      </w:r>
      <w:r w:rsidR="00DB291B">
        <w:rPr>
          <w:rFonts w:ascii="Verdana" w:hAnsi="Verdana"/>
          <w:sz w:val="24"/>
          <w:szCs w:val="24"/>
        </w:rPr>
        <w:t>a</w:t>
      </w:r>
      <w:r w:rsidR="00441724">
        <w:rPr>
          <w:rFonts w:ascii="Verdana" w:hAnsi="Verdana"/>
          <w:sz w:val="24"/>
          <w:szCs w:val="24"/>
        </w:rPr>
        <w:t xml:space="preserve">s </w:t>
      </w:r>
      <w:r w:rsidR="00B6448D">
        <w:rPr>
          <w:rFonts w:ascii="Verdana" w:hAnsi="Verdana"/>
          <w:sz w:val="24"/>
          <w:szCs w:val="24"/>
        </w:rPr>
        <w:t>a</w:t>
      </w:r>
      <w:r w:rsidR="00441724">
        <w:rPr>
          <w:rFonts w:ascii="Verdana" w:hAnsi="Verdana"/>
          <w:sz w:val="24"/>
          <w:szCs w:val="24"/>
        </w:rPr>
        <w:t xml:space="preserve">t </w:t>
      </w:r>
      <w:r w:rsidR="003C6031">
        <w:rPr>
          <w:rFonts w:ascii="Verdana" w:hAnsi="Verdana"/>
          <w:sz w:val="24"/>
          <w:szCs w:val="24"/>
        </w:rPr>
        <w:t>3</w:t>
      </w:r>
      <w:r w:rsidR="009D63BC">
        <w:rPr>
          <w:rFonts w:ascii="Verdana" w:hAnsi="Verdana"/>
          <w:sz w:val="24"/>
          <w:szCs w:val="24"/>
        </w:rPr>
        <w:t>1</w:t>
      </w:r>
      <w:r w:rsidR="003C6031">
        <w:rPr>
          <w:rFonts w:ascii="Verdana" w:hAnsi="Verdana"/>
          <w:sz w:val="24"/>
          <w:szCs w:val="24"/>
        </w:rPr>
        <w:t xml:space="preserve"> </w:t>
      </w:r>
      <w:r w:rsidR="009D63BC">
        <w:rPr>
          <w:rFonts w:ascii="Verdana" w:hAnsi="Verdana"/>
          <w:sz w:val="24"/>
          <w:szCs w:val="24"/>
        </w:rPr>
        <w:t>Dec</w:t>
      </w:r>
      <w:r w:rsidR="004C1102">
        <w:rPr>
          <w:rFonts w:ascii="Verdana" w:hAnsi="Verdana"/>
          <w:sz w:val="24"/>
          <w:szCs w:val="24"/>
        </w:rPr>
        <w:t>ember</w:t>
      </w:r>
      <w:r w:rsidR="00870751">
        <w:rPr>
          <w:rFonts w:ascii="Verdana" w:hAnsi="Verdana"/>
          <w:sz w:val="24"/>
          <w:szCs w:val="24"/>
        </w:rPr>
        <w:t xml:space="preserve"> 201</w:t>
      </w:r>
      <w:r w:rsidR="007017CF">
        <w:rPr>
          <w:rFonts w:ascii="Verdana" w:hAnsi="Verdana"/>
          <w:sz w:val="24"/>
          <w:szCs w:val="24"/>
        </w:rPr>
        <w:t>9</w:t>
      </w:r>
    </w:p>
    <w:p w14:paraId="54041766" w14:textId="77777777" w:rsidR="00AB5637" w:rsidRPr="00F7786F" w:rsidRDefault="00AB5637" w:rsidP="001976A7">
      <w:pPr>
        <w:pStyle w:val="Heading1"/>
        <w:spacing w:before="0" w:after="0" w:line="320" w:lineRule="atLeast"/>
        <w:rPr>
          <w:rFonts w:ascii="Verdana" w:hAnsi="Verdana"/>
          <w:b w:val="0"/>
          <w:sz w:val="22"/>
          <w:szCs w:val="22"/>
        </w:rPr>
      </w:pPr>
      <w:r w:rsidRPr="00F7786F">
        <w:rPr>
          <w:rFonts w:ascii="Verdana" w:hAnsi="Verdana"/>
          <w:sz w:val="22"/>
          <w:szCs w:val="22"/>
        </w:rPr>
        <w:t>Mike Brown, Managing Director, etfSA.co.za</w:t>
      </w:r>
    </w:p>
    <w:p w14:paraId="1B1021F2" w14:textId="77777777" w:rsidR="005D7F9E" w:rsidRDefault="005D7F9E" w:rsidP="001976A7">
      <w:pPr>
        <w:spacing w:after="0" w:line="320" w:lineRule="atLeast"/>
        <w:jc w:val="both"/>
        <w:rPr>
          <w:rFonts w:ascii="Verdana" w:hAnsi="Verdana"/>
          <w:sz w:val="21"/>
          <w:szCs w:val="21"/>
        </w:rPr>
      </w:pPr>
    </w:p>
    <w:p w14:paraId="02968165" w14:textId="03B3257E" w:rsidR="007D1C48" w:rsidRDefault="00511FB5" w:rsidP="00FC62D1">
      <w:pPr>
        <w:spacing w:after="0" w:line="300" w:lineRule="atLeast"/>
        <w:jc w:val="both"/>
        <w:rPr>
          <w:rFonts w:ascii="Verdana" w:hAnsi="Verdana"/>
          <w:b/>
          <w:color w:val="C00000"/>
          <w:sz w:val="24"/>
          <w:szCs w:val="24"/>
        </w:rPr>
      </w:pPr>
      <w:r w:rsidRPr="003A3D19">
        <w:rPr>
          <w:rFonts w:ascii="Verdana" w:hAnsi="Verdana"/>
          <w:b/>
          <w:color w:val="C00000"/>
          <w:sz w:val="24"/>
          <w:szCs w:val="24"/>
        </w:rPr>
        <w:t>Market Capitalisation</w:t>
      </w:r>
    </w:p>
    <w:p w14:paraId="55BE0BF4" w14:textId="32090ACC" w:rsidR="00D72BC0" w:rsidRDefault="004C1102" w:rsidP="00CD37BB">
      <w:pPr>
        <w:spacing w:after="0" w:line="320" w:lineRule="atLeast"/>
        <w:jc w:val="both"/>
        <w:rPr>
          <w:rFonts w:ascii="Verdana" w:hAnsi="Verdana"/>
          <w:color w:val="000000" w:themeColor="text1"/>
          <w:sz w:val="21"/>
          <w:szCs w:val="21"/>
        </w:rPr>
      </w:pPr>
      <w:r>
        <w:rPr>
          <w:rFonts w:ascii="Verdana" w:hAnsi="Verdana"/>
          <w:color w:val="000000" w:themeColor="text1"/>
          <w:sz w:val="21"/>
          <w:szCs w:val="21"/>
        </w:rPr>
        <w:t xml:space="preserve">The </w:t>
      </w:r>
      <w:r w:rsidR="00AE720D">
        <w:rPr>
          <w:rFonts w:ascii="Verdana" w:hAnsi="Verdana"/>
          <w:color w:val="000000" w:themeColor="text1"/>
          <w:sz w:val="21"/>
          <w:szCs w:val="21"/>
        </w:rPr>
        <w:t xml:space="preserve">total </w:t>
      </w:r>
      <w:r>
        <w:rPr>
          <w:rFonts w:ascii="Verdana" w:hAnsi="Verdana"/>
          <w:color w:val="000000" w:themeColor="text1"/>
          <w:sz w:val="21"/>
          <w:szCs w:val="21"/>
        </w:rPr>
        <w:t xml:space="preserve">market capitalisation of the </w:t>
      </w:r>
      <w:r w:rsidR="00AE720D">
        <w:rPr>
          <w:rFonts w:ascii="Verdana" w:hAnsi="Verdana"/>
          <w:color w:val="000000" w:themeColor="text1"/>
          <w:sz w:val="21"/>
          <w:szCs w:val="21"/>
        </w:rPr>
        <w:t>all</w:t>
      </w:r>
      <w:r>
        <w:rPr>
          <w:rFonts w:ascii="Verdana" w:hAnsi="Verdana"/>
          <w:color w:val="000000" w:themeColor="text1"/>
          <w:sz w:val="21"/>
          <w:szCs w:val="21"/>
        </w:rPr>
        <w:t xml:space="preserve"> E</w:t>
      </w:r>
      <w:r w:rsidR="003C6031">
        <w:rPr>
          <w:rFonts w:ascii="Verdana" w:hAnsi="Verdana"/>
          <w:color w:val="000000" w:themeColor="text1"/>
          <w:sz w:val="21"/>
          <w:szCs w:val="21"/>
        </w:rPr>
        <w:t xml:space="preserve">xchange Traded </w:t>
      </w:r>
      <w:r w:rsidR="00AE720D">
        <w:rPr>
          <w:rFonts w:ascii="Verdana" w:hAnsi="Verdana"/>
          <w:color w:val="000000" w:themeColor="text1"/>
          <w:sz w:val="21"/>
          <w:szCs w:val="21"/>
        </w:rPr>
        <w:t xml:space="preserve">Funds (ETFs) and Exchange Traded Notes (ETNs), listed on the JSE, rose to over R100 billion by the end of 2019.  This amounted to an increase of 29,6% </w:t>
      </w:r>
      <w:r w:rsidR="00C70110">
        <w:rPr>
          <w:rFonts w:ascii="Verdana" w:hAnsi="Verdana"/>
          <w:color w:val="000000" w:themeColor="text1"/>
          <w:sz w:val="21"/>
          <w:szCs w:val="21"/>
        </w:rPr>
        <w:t>i</w:t>
      </w:r>
      <w:r w:rsidR="00AE720D">
        <w:rPr>
          <w:rFonts w:ascii="Verdana" w:hAnsi="Verdana"/>
          <w:color w:val="000000" w:themeColor="text1"/>
          <w:sz w:val="21"/>
          <w:szCs w:val="21"/>
        </w:rPr>
        <w:t xml:space="preserve">n the total value of listed ETPs at the end of </w:t>
      </w:r>
      <w:r>
        <w:rPr>
          <w:rFonts w:ascii="Verdana" w:hAnsi="Verdana"/>
          <w:color w:val="000000" w:themeColor="text1"/>
          <w:sz w:val="21"/>
          <w:szCs w:val="21"/>
        </w:rPr>
        <w:t xml:space="preserve">2018.  </w:t>
      </w:r>
    </w:p>
    <w:p w14:paraId="07AF6E62" w14:textId="702A6942" w:rsidR="00D826DB" w:rsidRDefault="00D826DB" w:rsidP="00137500">
      <w:pPr>
        <w:spacing w:after="0" w:line="340" w:lineRule="atLeast"/>
        <w:jc w:val="both"/>
        <w:rPr>
          <w:rFonts w:ascii="Verdana" w:hAnsi="Verdana"/>
          <w:color w:val="000000" w:themeColor="text1"/>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7236"/>
      </w:tblGrid>
      <w:tr w:rsidR="00F411F7" w14:paraId="02D18F07" w14:textId="77777777" w:rsidTr="00FB21A9">
        <w:tc>
          <w:tcPr>
            <w:tcW w:w="2685" w:type="dxa"/>
            <w:vAlign w:val="center"/>
          </w:tcPr>
          <w:p w14:paraId="765B88C9" w14:textId="67951B40" w:rsidR="00D826DB" w:rsidRDefault="00C70110" w:rsidP="00CD37BB">
            <w:pPr>
              <w:spacing w:line="320" w:lineRule="atLeast"/>
              <w:rPr>
                <w:rFonts w:ascii="Verdana" w:hAnsi="Verdana"/>
                <w:color w:val="000000" w:themeColor="text1"/>
                <w:sz w:val="21"/>
                <w:szCs w:val="21"/>
              </w:rPr>
            </w:pPr>
            <w:r>
              <w:rPr>
                <w:rFonts w:ascii="Verdana" w:hAnsi="Verdana"/>
                <w:color w:val="000000" w:themeColor="text1"/>
                <w:sz w:val="21"/>
                <w:szCs w:val="21"/>
              </w:rPr>
              <w:t>This is the first time the overall assets under management (AUM) of all ETPs, listed on the JSE, has climbed above R100 billion, which is a watershed for the ETP industry</w:t>
            </w:r>
            <w:r w:rsidR="00AE720D">
              <w:rPr>
                <w:rFonts w:ascii="Verdana" w:hAnsi="Verdana"/>
                <w:color w:val="000000" w:themeColor="text1"/>
                <w:sz w:val="21"/>
                <w:szCs w:val="21"/>
              </w:rPr>
              <w:t xml:space="preserve">.  </w:t>
            </w:r>
          </w:p>
          <w:p w14:paraId="567A8BAA" w14:textId="77777777" w:rsidR="00AE720D" w:rsidRDefault="00AE720D" w:rsidP="00CD37BB">
            <w:pPr>
              <w:spacing w:line="320" w:lineRule="atLeast"/>
              <w:rPr>
                <w:rFonts w:ascii="Verdana" w:hAnsi="Verdana"/>
                <w:color w:val="000000" w:themeColor="text1"/>
                <w:sz w:val="21"/>
                <w:szCs w:val="21"/>
              </w:rPr>
            </w:pPr>
          </w:p>
          <w:p w14:paraId="1EC26A6C" w14:textId="55001231" w:rsidR="00185009" w:rsidRPr="00FB21A9" w:rsidRDefault="00AE720D" w:rsidP="00FB21A9">
            <w:pPr>
              <w:spacing w:line="320" w:lineRule="atLeast"/>
              <w:rPr>
                <w:rFonts w:ascii="Verdana" w:hAnsi="Verdana"/>
                <w:color w:val="000000" w:themeColor="text1"/>
                <w:sz w:val="21"/>
                <w:szCs w:val="21"/>
              </w:rPr>
            </w:pPr>
            <w:r>
              <w:rPr>
                <w:rFonts w:ascii="Verdana" w:hAnsi="Verdana"/>
                <w:color w:val="000000" w:themeColor="text1"/>
                <w:sz w:val="21"/>
                <w:szCs w:val="21"/>
              </w:rPr>
              <w:t xml:space="preserve">Behind this </w:t>
            </w:r>
            <w:r w:rsidR="00C70110">
              <w:rPr>
                <w:rFonts w:ascii="Verdana" w:hAnsi="Verdana"/>
                <w:color w:val="000000" w:themeColor="text1"/>
                <w:sz w:val="21"/>
                <w:szCs w:val="21"/>
              </w:rPr>
              <w:t>growth</w:t>
            </w:r>
            <w:r>
              <w:rPr>
                <w:rFonts w:ascii="Verdana" w:hAnsi="Verdana"/>
                <w:color w:val="000000" w:themeColor="text1"/>
                <w:sz w:val="21"/>
                <w:szCs w:val="21"/>
              </w:rPr>
              <w:t xml:space="preserve"> were the following contributors:</w:t>
            </w:r>
          </w:p>
        </w:tc>
        <w:tc>
          <w:tcPr>
            <w:tcW w:w="7236" w:type="dxa"/>
            <w:vAlign w:val="center"/>
          </w:tcPr>
          <w:p w14:paraId="237962D7" w14:textId="2DF01364" w:rsidR="00D826DB" w:rsidRDefault="00FB21A9" w:rsidP="00F411F7">
            <w:pPr>
              <w:spacing w:line="340" w:lineRule="atLeast"/>
              <w:jc w:val="right"/>
              <w:rPr>
                <w:rFonts w:ascii="Verdana" w:hAnsi="Verdana"/>
                <w:color w:val="000000" w:themeColor="text1"/>
                <w:sz w:val="21"/>
                <w:szCs w:val="21"/>
              </w:rPr>
            </w:pPr>
            <w:r>
              <w:rPr>
                <w:noProof/>
              </w:rPr>
              <w:drawing>
                <wp:inline distT="0" distB="0" distL="0" distR="0" wp14:anchorId="6E24AB55" wp14:editId="435FF644">
                  <wp:extent cx="4451351" cy="2860676"/>
                  <wp:effectExtent l="0" t="0" r="6350" b="15875"/>
                  <wp:docPr id="3" name="Chart 3">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62B80B93" w14:textId="3CE0A4A9" w:rsidR="00AE720D" w:rsidRDefault="00FB21A9" w:rsidP="00FB21A9">
      <w:pPr>
        <w:pStyle w:val="ListParagraph"/>
        <w:numPr>
          <w:ilvl w:val="0"/>
          <w:numId w:val="14"/>
        </w:numPr>
        <w:spacing w:before="120" w:after="0" w:line="320" w:lineRule="atLeast"/>
        <w:ind w:left="470" w:hanging="357"/>
        <w:jc w:val="both"/>
        <w:rPr>
          <w:rFonts w:ascii="Verdana" w:hAnsi="Verdana"/>
          <w:color w:val="000000" w:themeColor="text1"/>
          <w:sz w:val="21"/>
          <w:szCs w:val="21"/>
        </w:rPr>
      </w:pPr>
      <w:r w:rsidRPr="00AE720D">
        <w:rPr>
          <w:rFonts w:ascii="Verdana" w:hAnsi="Verdana"/>
          <w:b/>
          <w:bCs/>
          <w:i/>
          <w:iCs/>
          <w:color w:val="000000" w:themeColor="text1"/>
          <w:sz w:val="21"/>
          <w:szCs w:val="21"/>
        </w:rPr>
        <w:t>General market trends were favourable in 2019</w:t>
      </w:r>
      <w:r>
        <w:rPr>
          <w:rFonts w:ascii="Verdana" w:hAnsi="Verdana"/>
          <w:color w:val="000000" w:themeColor="text1"/>
          <w:sz w:val="21"/>
          <w:szCs w:val="21"/>
        </w:rPr>
        <w:t>.  The JSE All Share index was up by 12,05%</w:t>
      </w:r>
      <w:r>
        <w:rPr>
          <w:rFonts w:ascii="Verdana" w:hAnsi="Verdana"/>
          <w:color w:val="000000" w:themeColor="text1"/>
          <w:sz w:val="21"/>
          <w:szCs w:val="21"/>
        </w:rPr>
        <w:t xml:space="preserve"> </w:t>
      </w:r>
      <w:r w:rsidR="00AE720D">
        <w:rPr>
          <w:rFonts w:ascii="Verdana" w:hAnsi="Verdana"/>
          <w:color w:val="000000" w:themeColor="text1"/>
          <w:sz w:val="21"/>
          <w:szCs w:val="21"/>
        </w:rPr>
        <w:t>(</w:t>
      </w:r>
      <w:r w:rsidR="00C11C7B">
        <w:rPr>
          <w:rFonts w:ascii="Verdana" w:hAnsi="Verdana"/>
          <w:color w:val="000000" w:themeColor="text1"/>
          <w:sz w:val="21"/>
          <w:szCs w:val="21"/>
        </w:rPr>
        <w:t xml:space="preserve">including </w:t>
      </w:r>
      <w:r w:rsidR="00AE720D">
        <w:rPr>
          <w:rFonts w:ascii="Verdana" w:hAnsi="Verdana"/>
          <w:color w:val="000000" w:themeColor="text1"/>
          <w:sz w:val="21"/>
          <w:szCs w:val="21"/>
        </w:rPr>
        <w:t xml:space="preserve">dividends reinvested) for the year; the MSCI World index rose by 21,65% (in rands); certain commodity prices, particularly platinum group metals, rose sharply during the year. </w:t>
      </w:r>
    </w:p>
    <w:p w14:paraId="527A30BC" w14:textId="77777777" w:rsidR="00AE720D" w:rsidRDefault="00AE720D" w:rsidP="00AE720D">
      <w:pPr>
        <w:pStyle w:val="ListParagraph"/>
        <w:spacing w:after="0" w:line="320" w:lineRule="atLeast"/>
        <w:ind w:left="357"/>
        <w:jc w:val="both"/>
        <w:rPr>
          <w:rFonts w:ascii="Verdana" w:hAnsi="Verdana"/>
          <w:color w:val="000000" w:themeColor="text1"/>
          <w:sz w:val="21"/>
          <w:szCs w:val="21"/>
        </w:rPr>
      </w:pPr>
    </w:p>
    <w:p w14:paraId="363A805E" w14:textId="63EEB976" w:rsidR="00AE720D" w:rsidRPr="00AE720D" w:rsidRDefault="00AE720D" w:rsidP="00185009">
      <w:pPr>
        <w:pStyle w:val="ListParagraph"/>
        <w:numPr>
          <w:ilvl w:val="0"/>
          <w:numId w:val="12"/>
        </w:numPr>
        <w:spacing w:after="0" w:line="320" w:lineRule="atLeast"/>
        <w:ind w:left="470" w:hanging="357"/>
        <w:jc w:val="both"/>
        <w:rPr>
          <w:rFonts w:ascii="Verdana" w:hAnsi="Verdana"/>
          <w:color w:val="000000" w:themeColor="text1"/>
          <w:sz w:val="21"/>
          <w:szCs w:val="21"/>
        </w:rPr>
      </w:pPr>
      <w:r w:rsidRPr="00AE720D">
        <w:rPr>
          <w:rFonts w:ascii="Verdana" w:hAnsi="Verdana"/>
          <w:b/>
          <w:bCs/>
          <w:i/>
          <w:iCs/>
          <w:color w:val="000000" w:themeColor="text1"/>
          <w:sz w:val="21"/>
          <w:szCs w:val="21"/>
        </w:rPr>
        <w:t>New capital raised</w:t>
      </w:r>
      <w:r>
        <w:rPr>
          <w:rFonts w:ascii="Verdana" w:hAnsi="Verdana"/>
          <w:color w:val="000000" w:themeColor="text1"/>
          <w:sz w:val="21"/>
          <w:szCs w:val="21"/>
        </w:rPr>
        <w:t xml:space="preserve"> by ETP issuers amounted to R10,5 billion over the year.  </w:t>
      </w:r>
    </w:p>
    <w:p w14:paraId="7C99C60C" w14:textId="584DDCCD" w:rsidR="005F72F5" w:rsidRDefault="005F72F5" w:rsidP="00CD37BB">
      <w:pPr>
        <w:spacing w:after="0" w:line="320" w:lineRule="atLeast"/>
        <w:jc w:val="both"/>
        <w:rPr>
          <w:rFonts w:ascii="Verdana" w:hAnsi="Verdana"/>
          <w:color w:val="000000" w:themeColor="text1"/>
          <w:sz w:val="21"/>
          <w:szCs w:val="21"/>
        </w:rPr>
      </w:pPr>
    </w:p>
    <w:p w14:paraId="3E1C84C2" w14:textId="41B5F0F4" w:rsidR="00AE720D" w:rsidRDefault="00AE720D" w:rsidP="00CD37BB">
      <w:pPr>
        <w:spacing w:after="0" w:line="320" w:lineRule="atLeast"/>
        <w:jc w:val="both"/>
        <w:rPr>
          <w:rFonts w:ascii="Verdana" w:hAnsi="Verdana"/>
          <w:color w:val="000000" w:themeColor="text1"/>
          <w:sz w:val="21"/>
          <w:szCs w:val="21"/>
        </w:rPr>
      </w:pPr>
      <w:r>
        <w:rPr>
          <w:rFonts w:ascii="Verdana" w:hAnsi="Verdana"/>
          <w:color w:val="000000" w:themeColor="text1"/>
          <w:sz w:val="21"/>
          <w:szCs w:val="21"/>
        </w:rPr>
        <w:t xml:space="preserve">In all, the overall increase in market capitalisation of the ETP industry by some R23 billion in 2019, bodes well for the future of listed index tracker products in South Africa.  </w:t>
      </w:r>
      <w:r w:rsidR="00185009">
        <w:rPr>
          <w:rFonts w:ascii="Verdana" w:hAnsi="Verdana"/>
          <w:color w:val="000000" w:themeColor="text1"/>
          <w:sz w:val="21"/>
          <w:szCs w:val="21"/>
        </w:rPr>
        <w:t xml:space="preserve"> </w:t>
      </w:r>
    </w:p>
    <w:p w14:paraId="7CCC5C48" w14:textId="77777777" w:rsidR="00AE720D" w:rsidRDefault="00AE720D" w:rsidP="00CD37BB">
      <w:pPr>
        <w:spacing w:after="0" w:line="320" w:lineRule="atLeast"/>
        <w:jc w:val="both"/>
        <w:rPr>
          <w:rFonts w:ascii="Verdana" w:hAnsi="Verdana"/>
          <w:color w:val="000000" w:themeColor="text1"/>
          <w:sz w:val="21"/>
          <w:szCs w:val="21"/>
        </w:rPr>
      </w:pPr>
    </w:p>
    <w:p w14:paraId="6B7A6171" w14:textId="31509AA9" w:rsidR="004B0713" w:rsidRPr="003A3D19" w:rsidRDefault="00B5062D" w:rsidP="00CD37BB">
      <w:pPr>
        <w:spacing w:after="0" w:line="320" w:lineRule="atLeast"/>
        <w:jc w:val="both"/>
        <w:rPr>
          <w:rFonts w:ascii="Verdana" w:hAnsi="Verdana"/>
          <w:b/>
          <w:color w:val="C00000"/>
          <w:sz w:val="24"/>
          <w:szCs w:val="24"/>
        </w:rPr>
      </w:pPr>
      <w:r>
        <w:rPr>
          <w:rFonts w:ascii="Verdana" w:hAnsi="Verdana"/>
          <w:b/>
          <w:color w:val="C00000"/>
          <w:sz w:val="24"/>
          <w:szCs w:val="24"/>
        </w:rPr>
        <w:t>New Capital Raised</w:t>
      </w:r>
    </w:p>
    <w:p w14:paraId="5B43E09A" w14:textId="15CC2881" w:rsidR="00D307D7" w:rsidRDefault="00D307D7" w:rsidP="007153E8">
      <w:pPr>
        <w:spacing w:after="0" w:line="320" w:lineRule="atLeast"/>
        <w:rPr>
          <w:rFonts w:ascii="Verdana" w:hAnsi="Verdana"/>
          <w:color w:val="000000"/>
          <w:sz w:val="21"/>
          <w:szCs w:val="21"/>
        </w:rPr>
      </w:pPr>
      <w:r>
        <w:rPr>
          <w:rFonts w:ascii="Verdana" w:hAnsi="Verdana"/>
          <w:color w:val="000000"/>
          <w:sz w:val="21"/>
          <w:szCs w:val="21"/>
        </w:rPr>
        <w:t xml:space="preserve">Total new capital raised in </w:t>
      </w:r>
      <w:r w:rsidR="00185009">
        <w:rPr>
          <w:rFonts w:ascii="Verdana" w:hAnsi="Verdana"/>
          <w:color w:val="000000"/>
          <w:sz w:val="21"/>
          <w:szCs w:val="21"/>
        </w:rPr>
        <w:t>2019 amounted to R10 521,7 million, R9 918,6 million ETFs and R603,1 million for E</w:t>
      </w:r>
      <w:r>
        <w:rPr>
          <w:rFonts w:ascii="Verdana" w:hAnsi="Verdana"/>
          <w:color w:val="000000"/>
          <w:sz w:val="21"/>
          <w:szCs w:val="21"/>
        </w:rPr>
        <w:t xml:space="preserve">TNs.  </w:t>
      </w:r>
    </w:p>
    <w:p w14:paraId="104E0345" w14:textId="1BE01ED9" w:rsidR="00D307D7" w:rsidRDefault="00D307D7" w:rsidP="007153E8">
      <w:pPr>
        <w:spacing w:after="0" w:line="320" w:lineRule="atLeast"/>
        <w:rPr>
          <w:rFonts w:ascii="Verdana" w:hAnsi="Verdana"/>
          <w:color w:val="000000"/>
          <w:sz w:val="21"/>
          <w:szCs w:val="21"/>
        </w:rPr>
      </w:pPr>
    </w:p>
    <w:p w14:paraId="5EF73E94" w14:textId="5A29D87A" w:rsidR="007640DF" w:rsidRDefault="00185009" w:rsidP="007153E8">
      <w:pPr>
        <w:spacing w:after="0" w:line="320" w:lineRule="atLeast"/>
        <w:rPr>
          <w:rFonts w:ascii="Verdana" w:hAnsi="Verdana"/>
          <w:color w:val="000000"/>
          <w:sz w:val="21"/>
          <w:szCs w:val="21"/>
        </w:rPr>
      </w:pPr>
      <w:r>
        <w:rPr>
          <w:rFonts w:ascii="Verdana" w:hAnsi="Verdana"/>
          <w:color w:val="000000"/>
          <w:sz w:val="21"/>
          <w:szCs w:val="21"/>
        </w:rPr>
        <w:t xml:space="preserve">New capital can </w:t>
      </w:r>
      <w:r w:rsidR="005B0C73">
        <w:rPr>
          <w:rFonts w:ascii="Verdana" w:hAnsi="Verdana"/>
          <w:color w:val="000000"/>
          <w:sz w:val="21"/>
          <w:szCs w:val="21"/>
        </w:rPr>
        <w:t>enter</w:t>
      </w:r>
      <w:r>
        <w:rPr>
          <w:rFonts w:ascii="Verdana" w:hAnsi="Verdana"/>
          <w:color w:val="000000"/>
          <w:sz w:val="21"/>
          <w:szCs w:val="21"/>
        </w:rPr>
        <w:t xml:space="preserve"> the ETF/ETN industry through the listing of new products, in which case IP</w:t>
      </w:r>
      <w:r w:rsidR="005B0C73">
        <w:rPr>
          <w:rFonts w:ascii="Verdana" w:hAnsi="Verdana"/>
          <w:color w:val="000000"/>
          <w:sz w:val="21"/>
          <w:szCs w:val="21"/>
        </w:rPr>
        <w:t>Os</w:t>
      </w:r>
      <w:r>
        <w:rPr>
          <w:rFonts w:ascii="Verdana" w:hAnsi="Verdana"/>
          <w:color w:val="000000"/>
          <w:sz w:val="21"/>
          <w:szCs w:val="21"/>
        </w:rPr>
        <w:t xml:space="preserve"> and other capital raising efforts can take place as part of the listing process.  In addition, the </w:t>
      </w:r>
      <w:r w:rsidR="005B0C73">
        <w:rPr>
          <w:rFonts w:ascii="Verdana" w:hAnsi="Verdana"/>
          <w:color w:val="000000"/>
          <w:sz w:val="21"/>
          <w:szCs w:val="21"/>
        </w:rPr>
        <w:t>providers</w:t>
      </w:r>
      <w:r>
        <w:rPr>
          <w:rFonts w:ascii="Verdana" w:hAnsi="Verdana"/>
          <w:color w:val="000000"/>
          <w:sz w:val="21"/>
          <w:szCs w:val="21"/>
        </w:rPr>
        <w:t xml:space="preserve"> of already listed ETP products can issue new securities to meet market demand, as ETFs and ETNs are open-ended and can accommodate new creations or redemptions at any time. </w:t>
      </w:r>
      <w:r w:rsidR="0075656E">
        <w:rPr>
          <w:rFonts w:ascii="Verdana" w:hAnsi="Verdana"/>
          <w:color w:val="000000"/>
          <w:sz w:val="21"/>
          <w:szCs w:val="21"/>
        </w:rPr>
        <w:t xml:space="preserve"> </w:t>
      </w:r>
    </w:p>
    <w:p w14:paraId="09BD3BDF" w14:textId="3E0D97CA" w:rsidR="00CD37BB" w:rsidRDefault="00CD37BB" w:rsidP="007153E8">
      <w:pPr>
        <w:spacing w:after="0" w:line="320" w:lineRule="atLeast"/>
        <w:rPr>
          <w:rFonts w:ascii="Verdana" w:hAnsi="Verdana"/>
          <w:color w:val="000000"/>
          <w:sz w:val="21"/>
          <w:szCs w:val="21"/>
        </w:rPr>
      </w:pPr>
      <w:r>
        <w:rPr>
          <w:rFonts w:ascii="Verdana" w:hAnsi="Verdana"/>
          <w:color w:val="000000"/>
          <w:sz w:val="21"/>
          <w:szCs w:val="21"/>
        </w:rPr>
        <w:br w:type="page"/>
      </w:r>
    </w:p>
    <w:p w14:paraId="2365AA1E" w14:textId="77777777" w:rsidR="00137500" w:rsidRDefault="00137500" w:rsidP="00E71803">
      <w:pPr>
        <w:spacing w:after="0" w:line="320" w:lineRule="atLeast"/>
        <w:rPr>
          <w:rFonts w:ascii="Verdana" w:hAnsi="Verdana"/>
          <w:color w:val="000000"/>
          <w:sz w:val="21"/>
          <w:szCs w:val="21"/>
        </w:rPr>
      </w:pPr>
    </w:p>
    <w:p w14:paraId="2B53E612" w14:textId="7C57E639" w:rsidR="007640DF" w:rsidRDefault="001113EA" w:rsidP="004038EE">
      <w:pPr>
        <w:spacing w:after="0" w:line="340" w:lineRule="atLeast"/>
        <w:rPr>
          <w:rFonts w:ascii="Verdana" w:hAnsi="Verdana"/>
          <w:color w:val="000000"/>
          <w:sz w:val="21"/>
          <w:szCs w:val="21"/>
        </w:rPr>
      </w:pPr>
      <w:r>
        <w:rPr>
          <w:rFonts w:ascii="Verdana" w:hAnsi="Verdana"/>
          <w:color w:val="000000"/>
          <w:sz w:val="21"/>
          <w:szCs w:val="21"/>
        </w:rPr>
        <w:t xml:space="preserve">In recent years, there has been a trend towards issuing or redeeming new securities in smaller amounts, 100 000 securities or less, whereas in the earlier days of the ETF industry, </w:t>
      </w:r>
      <w:r w:rsidR="00F44F89">
        <w:rPr>
          <w:rFonts w:ascii="Verdana" w:hAnsi="Verdana"/>
          <w:color w:val="000000"/>
          <w:sz w:val="21"/>
          <w:szCs w:val="21"/>
        </w:rPr>
        <w:t xml:space="preserve">creation/redemption </w:t>
      </w:r>
      <w:r>
        <w:rPr>
          <w:rFonts w:ascii="Verdana" w:hAnsi="Verdana"/>
          <w:color w:val="000000"/>
          <w:sz w:val="21"/>
          <w:szCs w:val="21"/>
        </w:rPr>
        <w:t>baskets o</w:t>
      </w:r>
      <w:r w:rsidR="00F44F89">
        <w:rPr>
          <w:rFonts w:ascii="Verdana" w:hAnsi="Verdana"/>
          <w:color w:val="000000"/>
          <w:sz w:val="21"/>
          <w:szCs w:val="21"/>
        </w:rPr>
        <w:t>f</w:t>
      </w:r>
      <w:r>
        <w:rPr>
          <w:rFonts w:ascii="Verdana" w:hAnsi="Verdana"/>
          <w:color w:val="000000"/>
          <w:sz w:val="21"/>
          <w:szCs w:val="21"/>
        </w:rPr>
        <w:t xml:space="preserve"> a minimum of 1 million securities was the practice.  </w:t>
      </w:r>
      <w:r w:rsidR="00F44F89">
        <w:rPr>
          <w:rFonts w:ascii="Verdana" w:hAnsi="Verdana"/>
          <w:color w:val="000000"/>
          <w:sz w:val="21"/>
          <w:szCs w:val="21"/>
        </w:rPr>
        <w:t>The m</w:t>
      </w:r>
      <w:r>
        <w:rPr>
          <w:rFonts w:ascii="Verdana" w:hAnsi="Verdana"/>
          <w:color w:val="000000"/>
          <w:sz w:val="21"/>
          <w:szCs w:val="21"/>
        </w:rPr>
        <w:t xml:space="preserve">uch more regular creations or redemptions </w:t>
      </w:r>
      <w:r w:rsidR="00F44F89">
        <w:rPr>
          <w:rFonts w:ascii="Verdana" w:hAnsi="Verdana"/>
          <w:color w:val="000000"/>
          <w:sz w:val="21"/>
          <w:szCs w:val="21"/>
        </w:rPr>
        <w:t xml:space="preserve">which now </w:t>
      </w:r>
      <w:r>
        <w:rPr>
          <w:rFonts w:ascii="Verdana" w:hAnsi="Verdana"/>
          <w:color w:val="000000"/>
          <w:sz w:val="21"/>
          <w:szCs w:val="21"/>
        </w:rPr>
        <w:t xml:space="preserve">take place in the market, assists the market makers who no longer have to </w:t>
      </w:r>
      <w:r w:rsidR="00F44F89">
        <w:rPr>
          <w:rFonts w:ascii="Verdana" w:hAnsi="Verdana"/>
          <w:color w:val="000000"/>
          <w:sz w:val="21"/>
          <w:szCs w:val="21"/>
        </w:rPr>
        <w:t xml:space="preserve">hold </w:t>
      </w:r>
      <w:r>
        <w:rPr>
          <w:rFonts w:ascii="Verdana" w:hAnsi="Verdana"/>
          <w:color w:val="000000"/>
          <w:sz w:val="21"/>
          <w:szCs w:val="21"/>
        </w:rPr>
        <w:t xml:space="preserve">open positions of </w:t>
      </w:r>
      <w:r w:rsidR="00F44F89">
        <w:rPr>
          <w:rFonts w:ascii="Verdana" w:hAnsi="Verdana"/>
          <w:color w:val="000000"/>
          <w:sz w:val="21"/>
          <w:szCs w:val="21"/>
        </w:rPr>
        <w:t xml:space="preserve">significant </w:t>
      </w:r>
      <w:r>
        <w:rPr>
          <w:rFonts w:ascii="Verdana" w:hAnsi="Verdana"/>
          <w:color w:val="000000"/>
          <w:sz w:val="21"/>
          <w:szCs w:val="21"/>
        </w:rPr>
        <w:t xml:space="preserve">size.  </w:t>
      </w:r>
    </w:p>
    <w:p w14:paraId="435AE3DC" w14:textId="10E44EAF" w:rsidR="001113EA" w:rsidRDefault="001113EA" w:rsidP="004038EE">
      <w:pPr>
        <w:spacing w:after="0" w:line="340" w:lineRule="atLeast"/>
        <w:rPr>
          <w:rFonts w:ascii="Verdana" w:hAnsi="Verdana"/>
          <w:color w:val="000000"/>
          <w:sz w:val="21"/>
          <w:szCs w:val="21"/>
        </w:rPr>
      </w:pPr>
    </w:p>
    <w:p w14:paraId="21AB484C" w14:textId="4FC1FEA9" w:rsidR="001113EA" w:rsidRDefault="001113EA" w:rsidP="004038EE">
      <w:pPr>
        <w:spacing w:after="0" w:line="340" w:lineRule="atLeast"/>
        <w:rPr>
          <w:rFonts w:ascii="Verdana" w:hAnsi="Verdana"/>
          <w:color w:val="000000"/>
          <w:sz w:val="21"/>
          <w:szCs w:val="21"/>
        </w:rPr>
      </w:pPr>
      <w:r>
        <w:rPr>
          <w:rFonts w:ascii="Verdana" w:hAnsi="Verdana"/>
          <w:color w:val="000000"/>
          <w:sz w:val="21"/>
          <w:szCs w:val="21"/>
        </w:rPr>
        <w:t xml:space="preserve">Delistings of ETPs, of which there were eight in 2019, can result in a repayment of capital to investors, unless the ETF is merged into a new listed product. </w:t>
      </w:r>
    </w:p>
    <w:p w14:paraId="605378C7" w14:textId="7D4D4CE5" w:rsidR="001113EA" w:rsidRDefault="001113EA" w:rsidP="004038EE">
      <w:pPr>
        <w:spacing w:after="0" w:line="340" w:lineRule="atLeast"/>
        <w:rPr>
          <w:rFonts w:ascii="Verdana" w:hAnsi="Verdana"/>
          <w:color w:val="000000"/>
          <w:sz w:val="21"/>
          <w:szCs w:val="21"/>
        </w:rPr>
      </w:pPr>
    </w:p>
    <w:p w14:paraId="198BEEE5" w14:textId="0D876F98" w:rsidR="001113EA" w:rsidRDefault="00F44F89" w:rsidP="004038EE">
      <w:pPr>
        <w:spacing w:after="0" w:line="340" w:lineRule="atLeast"/>
        <w:rPr>
          <w:rFonts w:ascii="Verdana" w:hAnsi="Verdana"/>
          <w:color w:val="000000"/>
          <w:sz w:val="21"/>
          <w:szCs w:val="21"/>
        </w:rPr>
      </w:pPr>
      <w:r>
        <w:rPr>
          <w:rFonts w:ascii="Verdana" w:hAnsi="Verdana"/>
          <w:color w:val="000000"/>
          <w:sz w:val="21"/>
          <w:szCs w:val="21"/>
        </w:rPr>
        <w:t xml:space="preserve">Noteworthy </w:t>
      </w:r>
      <w:r w:rsidR="001113EA">
        <w:rPr>
          <w:rFonts w:ascii="Verdana" w:hAnsi="Verdana"/>
          <w:color w:val="000000"/>
          <w:sz w:val="21"/>
          <w:szCs w:val="21"/>
        </w:rPr>
        <w:t xml:space="preserve">capital raising or redemptions in 2019 included: </w:t>
      </w:r>
    </w:p>
    <w:p w14:paraId="2E564C8C" w14:textId="1E873DA9" w:rsidR="00D040F4" w:rsidRDefault="00D040F4" w:rsidP="004038EE">
      <w:pPr>
        <w:spacing w:after="0" w:line="340" w:lineRule="atLeast"/>
        <w:rPr>
          <w:rFonts w:ascii="Verdana" w:hAnsi="Verdana"/>
          <w:color w:val="000000"/>
          <w:sz w:val="21"/>
          <w:szCs w:val="21"/>
        </w:rPr>
      </w:pPr>
    </w:p>
    <w:p w14:paraId="4555442D" w14:textId="7B696B3B" w:rsidR="001113EA" w:rsidRDefault="001113EA" w:rsidP="004038EE">
      <w:pPr>
        <w:spacing w:after="0" w:line="340" w:lineRule="atLeast"/>
        <w:rPr>
          <w:rFonts w:ascii="Verdana" w:hAnsi="Verdana"/>
          <w:color w:val="000000"/>
          <w:sz w:val="21"/>
          <w:szCs w:val="21"/>
        </w:rPr>
      </w:pPr>
      <w:r>
        <w:rPr>
          <w:rFonts w:ascii="Verdana" w:hAnsi="Verdana"/>
          <w:b/>
          <w:bCs/>
          <w:color w:val="000000"/>
          <w:sz w:val="21"/>
          <w:szCs w:val="21"/>
        </w:rPr>
        <w:t>NewFunds (Absa Capital)</w:t>
      </w:r>
    </w:p>
    <w:p w14:paraId="1643AC26" w14:textId="2D2E1105" w:rsidR="001113EA" w:rsidRDefault="001113EA" w:rsidP="004038EE">
      <w:pPr>
        <w:spacing w:after="0" w:line="340" w:lineRule="atLeast"/>
        <w:rPr>
          <w:rFonts w:ascii="Verdana" w:hAnsi="Verdana"/>
          <w:color w:val="000000"/>
          <w:sz w:val="21"/>
          <w:szCs w:val="21"/>
        </w:rPr>
      </w:pPr>
      <w:r>
        <w:rPr>
          <w:rFonts w:ascii="Verdana" w:hAnsi="Verdana"/>
          <w:color w:val="000000"/>
          <w:sz w:val="21"/>
          <w:szCs w:val="21"/>
        </w:rPr>
        <w:t xml:space="preserve">R5 780,5 million, or 55%, of all new capital raised in 2019, came from the ETP products issued under this brand.  The main capital raiser was the NewGold Platinum ETF, which issued a substantial number of new securities in the first quarter of 2019, as institutional investors saw opportunities in PGM metal markets. </w:t>
      </w:r>
    </w:p>
    <w:p w14:paraId="5B4FBB91" w14:textId="1CDB7FD9" w:rsidR="001113EA" w:rsidRDefault="001113EA" w:rsidP="004038EE">
      <w:pPr>
        <w:spacing w:after="0" w:line="340" w:lineRule="atLeast"/>
        <w:rPr>
          <w:rFonts w:ascii="Verdana" w:hAnsi="Verdana"/>
          <w:color w:val="000000"/>
          <w:sz w:val="21"/>
          <w:szCs w:val="21"/>
        </w:rPr>
      </w:pPr>
    </w:p>
    <w:p w14:paraId="2BC456F7" w14:textId="69C4686F" w:rsidR="001113EA" w:rsidRDefault="001113EA" w:rsidP="004038EE">
      <w:pPr>
        <w:spacing w:after="0" w:line="340" w:lineRule="atLeast"/>
        <w:rPr>
          <w:rFonts w:ascii="Verdana" w:hAnsi="Verdana"/>
          <w:color w:val="000000"/>
          <w:sz w:val="21"/>
          <w:szCs w:val="21"/>
        </w:rPr>
      </w:pPr>
      <w:r>
        <w:rPr>
          <w:rFonts w:ascii="Verdana" w:hAnsi="Verdana"/>
          <w:color w:val="000000"/>
          <w:sz w:val="21"/>
          <w:szCs w:val="21"/>
        </w:rPr>
        <w:t xml:space="preserve">Later in 2019, renewed interest in gold, as a defensive investment, saw R1 175 million additional NewGold securities issued on the JSE.  </w:t>
      </w:r>
    </w:p>
    <w:p w14:paraId="2EE75A6B" w14:textId="7C848A84" w:rsidR="001113EA" w:rsidRDefault="001113EA" w:rsidP="004038EE">
      <w:pPr>
        <w:spacing w:after="0" w:line="340" w:lineRule="atLeast"/>
        <w:rPr>
          <w:rFonts w:ascii="Verdana" w:hAnsi="Verdana"/>
          <w:color w:val="000000"/>
          <w:sz w:val="21"/>
          <w:szCs w:val="21"/>
        </w:rPr>
      </w:pPr>
    </w:p>
    <w:p w14:paraId="03C2ED62" w14:textId="291E0C90" w:rsidR="001113EA" w:rsidRDefault="001113EA" w:rsidP="004038EE">
      <w:pPr>
        <w:spacing w:after="0" w:line="340" w:lineRule="atLeast"/>
        <w:rPr>
          <w:rFonts w:ascii="Verdana" w:hAnsi="Verdana"/>
          <w:color w:val="000000"/>
          <w:sz w:val="21"/>
          <w:szCs w:val="21"/>
        </w:rPr>
      </w:pPr>
      <w:r>
        <w:rPr>
          <w:rFonts w:ascii="Verdana" w:hAnsi="Verdana"/>
          <w:color w:val="000000"/>
          <w:sz w:val="21"/>
          <w:szCs w:val="21"/>
        </w:rPr>
        <w:t>In the fourth quarter of 2019, NewFunds delisted a number of its “fundamental” ETFs, which used value se</w:t>
      </w:r>
      <w:r w:rsidR="004038EE">
        <w:rPr>
          <w:rFonts w:ascii="Verdana" w:hAnsi="Verdana"/>
          <w:color w:val="000000"/>
          <w:sz w:val="21"/>
          <w:szCs w:val="21"/>
        </w:rPr>
        <w:t>archi</w:t>
      </w:r>
      <w:r>
        <w:rPr>
          <w:rFonts w:ascii="Verdana" w:hAnsi="Verdana"/>
          <w:color w:val="000000"/>
          <w:sz w:val="21"/>
          <w:szCs w:val="21"/>
        </w:rPr>
        <w:t>ng technology to construct portfolios of under</w:t>
      </w:r>
      <w:r w:rsidR="00F44F89">
        <w:rPr>
          <w:rFonts w:ascii="Verdana" w:hAnsi="Verdana"/>
          <w:color w:val="000000"/>
          <w:sz w:val="21"/>
          <w:szCs w:val="21"/>
        </w:rPr>
        <w:t xml:space="preserve">valued </w:t>
      </w:r>
      <w:r>
        <w:rPr>
          <w:rFonts w:ascii="Verdana" w:hAnsi="Verdana"/>
          <w:color w:val="000000"/>
          <w:sz w:val="21"/>
          <w:szCs w:val="21"/>
        </w:rPr>
        <w:t xml:space="preserve">shares.  In all, five ETFs of this type were delisted, leading to a net capital redemption of R169 million.  </w:t>
      </w:r>
    </w:p>
    <w:p w14:paraId="0CA38A0A" w14:textId="78F36404" w:rsidR="001113EA" w:rsidRDefault="001113EA" w:rsidP="004038EE">
      <w:pPr>
        <w:spacing w:after="0" w:line="340" w:lineRule="atLeast"/>
        <w:rPr>
          <w:rFonts w:ascii="Verdana" w:hAnsi="Verdana"/>
          <w:color w:val="000000"/>
          <w:sz w:val="21"/>
          <w:szCs w:val="21"/>
        </w:rPr>
      </w:pPr>
    </w:p>
    <w:p w14:paraId="2C50EB1C" w14:textId="64DD6966" w:rsidR="001113EA" w:rsidRDefault="001113EA" w:rsidP="004038EE">
      <w:pPr>
        <w:spacing w:after="0" w:line="340" w:lineRule="atLeast"/>
        <w:rPr>
          <w:rFonts w:ascii="Verdana" w:hAnsi="Verdana"/>
          <w:color w:val="000000"/>
          <w:sz w:val="21"/>
          <w:szCs w:val="21"/>
        </w:rPr>
      </w:pPr>
      <w:r>
        <w:rPr>
          <w:rFonts w:ascii="Verdana" w:hAnsi="Verdana"/>
          <w:color w:val="000000"/>
          <w:sz w:val="21"/>
          <w:szCs w:val="21"/>
        </w:rPr>
        <w:t xml:space="preserve">NewFunds </w:t>
      </w:r>
      <w:r w:rsidR="00F44F89">
        <w:rPr>
          <w:rFonts w:ascii="Verdana" w:hAnsi="Verdana"/>
          <w:color w:val="000000"/>
          <w:sz w:val="21"/>
          <w:szCs w:val="21"/>
        </w:rPr>
        <w:t xml:space="preserve">also </w:t>
      </w:r>
      <w:r>
        <w:rPr>
          <w:rFonts w:ascii="Verdana" w:hAnsi="Verdana"/>
          <w:color w:val="000000"/>
          <w:sz w:val="21"/>
          <w:szCs w:val="21"/>
        </w:rPr>
        <w:t xml:space="preserve">issued three new smart beta products during the year, </w:t>
      </w:r>
      <w:r w:rsidR="002F19B0">
        <w:rPr>
          <w:rFonts w:ascii="Verdana" w:hAnsi="Verdana"/>
          <w:color w:val="000000"/>
          <w:sz w:val="21"/>
          <w:szCs w:val="21"/>
        </w:rPr>
        <w:t xml:space="preserve">the managed volatility ETFs, which use various </w:t>
      </w:r>
      <w:r w:rsidR="00F44F89">
        <w:rPr>
          <w:rFonts w:ascii="Verdana" w:hAnsi="Verdana"/>
          <w:color w:val="000000"/>
          <w:sz w:val="21"/>
          <w:szCs w:val="21"/>
        </w:rPr>
        <w:t>formulas</w:t>
      </w:r>
      <w:r w:rsidR="002F19B0">
        <w:rPr>
          <w:rFonts w:ascii="Verdana" w:hAnsi="Verdana"/>
          <w:color w:val="000000"/>
          <w:sz w:val="21"/>
          <w:szCs w:val="21"/>
        </w:rPr>
        <w:t xml:space="preserve"> involving momentum and percentage dra</w:t>
      </w:r>
      <w:r w:rsidR="00F44F89">
        <w:rPr>
          <w:rFonts w:ascii="Verdana" w:hAnsi="Verdana"/>
          <w:color w:val="000000"/>
          <w:sz w:val="21"/>
          <w:szCs w:val="21"/>
        </w:rPr>
        <w:t>wdowns</w:t>
      </w:r>
      <w:r w:rsidR="002F19B0">
        <w:rPr>
          <w:rFonts w:ascii="Verdana" w:hAnsi="Verdana"/>
          <w:color w:val="000000"/>
          <w:sz w:val="21"/>
          <w:szCs w:val="21"/>
        </w:rPr>
        <w:t xml:space="preserve"> to </w:t>
      </w:r>
      <w:r w:rsidR="00F44F89">
        <w:rPr>
          <w:rFonts w:ascii="Verdana" w:hAnsi="Verdana"/>
          <w:color w:val="000000"/>
          <w:sz w:val="21"/>
          <w:szCs w:val="21"/>
        </w:rPr>
        <w:t xml:space="preserve">trigger </w:t>
      </w:r>
      <w:r w:rsidR="002F19B0">
        <w:rPr>
          <w:rFonts w:ascii="Verdana" w:hAnsi="Verdana"/>
          <w:color w:val="000000"/>
          <w:sz w:val="21"/>
          <w:szCs w:val="21"/>
        </w:rPr>
        <w:t>shifts between cash and equities.  The</w:t>
      </w:r>
      <w:r w:rsidR="00F44F89">
        <w:rPr>
          <w:rFonts w:ascii="Verdana" w:hAnsi="Verdana"/>
          <w:color w:val="000000"/>
          <w:sz w:val="21"/>
          <w:szCs w:val="21"/>
        </w:rPr>
        <w:t>se partially</w:t>
      </w:r>
      <w:r w:rsidR="002F19B0">
        <w:rPr>
          <w:rFonts w:ascii="Verdana" w:hAnsi="Verdana"/>
          <w:color w:val="000000"/>
          <w:sz w:val="21"/>
          <w:szCs w:val="21"/>
        </w:rPr>
        <w:t xml:space="preserve"> actively managed parameters bridge the gap between purely passive and active manage</w:t>
      </w:r>
      <w:r w:rsidR="00F44F89">
        <w:rPr>
          <w:rFonts w:ascii="Verdana" w:hAnsi="Verdana"/>
          <w:color w:val="000000"/>
          <w:sz w:val="21"/>
          <w:szCs w:val="21"/>
        </w:rPr>
        <w:t>ment</w:t>
      </w:r>
      <w:r w:rsidR="002F19B0">
        <w:rPr>
          <w:rFonts w:ascii="Verdana" w:hAnsi="Verdana"/>
          <w:color w:val="000000"/>
          <w:sz w:val="21"/>
          <w:szCs w:val="21"/>
        </w:rPr>
        <w:t xml:space="preserve"> and they are an interesting addition to the choice of ETFs available in South Africa.  These three new “smart beta” products drew some institutional support and raised over R150 million in new capital</w:t>
      </w:r>
      <w:r w:rsidR="00F44F89">
        <w:rPr>
          <w:rFonts w:ascii="Verdana" w:hAnsi="Verdana"/>
          <w:color w:val="000000"/>
          <w:sz w:val="21"/>
          <w:szCs w:val="21"/>
        </w:rPr>
        <w:t xml:space="preserve"> in 2019</w:t>
      </w:r>
      <w:r w:rsidR="002F19B0">
        <w:rPr>
          <w:rFonts w:ascii="Verdana" w:hAnsi="Verdana"/>
          <w:color w:val="000000"/>
          <w:sz w:val="21"/>
          <w:szCs w:val="21"/>
        </w:rPr>
        <w:t xml:space="preserve">. </w:t>
      </w:r>
    </w:p>
    <w:p w14:paraId="5E95094C" w14:textId="16928E97" w:rsidR="002F19B0" w:rsidRDefault="002F19B0" w:rsidP="004038EE">
      <w:pPr>
        <w:spacing w:after="0" w:line="340" w:lineRule="atLeast"/>
        <w:rPr>
          <w:rFonts w:ascii="Verdana" w:hAnsi="Verdana"/>
          <w:color w:val="000000"/>
          <w:sz w:val="21"/>
          <w:szCs w:val="21"/>
        </w:rPr>
      </w:pPr>
    </w:p>
    <w:p w14:paraId="0F74F280" w14:textId="0F1175BC" w:rsidR="002F19B0" w:rsidRDefault="002F19B0" w:rsidP="004038EE">
      <w:pPr>
        <w:spacing w:after="0" w:line="340" w:lineRule="atLeast"/>
        <w:rPr>
          <w:rFonts w:ascii="Verdana" w:hAnsi="Verdana"/>
          <w:color w:val="000000"/>
          <w:sz w:val="21"/>
          <w:szCs w:val="21"/>
        </w:rPr>
      </w:pPr>
      <w:r>
        <w:rPr>
          <w:rFonts w:ascii="Verdana" w:hAnsi="Verdana"/>
          <w:color w:val="000000"/>
          <w:sz w:val="21"/>
          <w:szCs w:val="21"/>
        </w:rPr>
        <w:t xml:space="preserve">Later in the year, NewFunds listed a Namibian Bond ETF, which gives exposure to the Top 10 Sovereign Bonds issued by the Government of Namibia.  The product is listed on both the JSE and the Namibia Stock Exchanges.  This ETF offered a meaningful “yield sweetener” compared with South African Government bonds and R249 million new capital was raised.  </w:t>
      </w:r>
    </w:p>
    <w:p w14:paraId="432C36A1" w14:textId="1238A91D" w:rsidR="002F19B0" w:rsidRDefault="002F19B0" w:rsidP="004038EE">
      <w:pPr>
        <w:spacing w:after="0" w:line="340" w:lineRule="atLeast"/>
        <w:rPr>
          <w:rFonts w:ascii="Verdana" w:hAnsi="Verdana"/>
          <w:color w:val="000000"/>
          <w:sz w:val="21"/>
          <w:szCs w:val="21"/>
        </w:rPr>
      </w:pPr>
    </w:p>
    <w:p w14:paraId="22BC8338" w14:textId="19D48FB1" w:rsidR="002F19B0" w:rsidRDefault="002F19B0" w:rsidP="004038EE">
      <w:pPr>
        <w:spacing w:after="0" w:line="340" w:lineRule="atLeast"/>
        <w:rPr>
          <w:rFonts w:ascii="Verdana" w:hAnsi="Verdana"/>
          <w:color w:val="000000"/>
          <w:sz w:val="21"/>
          <w:szCs w:val="21"/>
        </w:rPr>
      </w:pPr>
      <w:r>
        <w:rPr>
          <w:rFonts w:ascii="Verdana" w:hAnsi="Verdana"/>
          <w:b/>
          <w:bCs/>
          <w:color w:val="000000"/>
          <w:sz w:val="21"/>
          <w:szCs w:val="21"/>
        </w:rPr>
        <w:t>Satrix Managers</w:t>
      </w:r>
    </w:p>
    <w:p w14:paraId="0A994309" w14:textId="67FD355A" w:rsidR="002F19B0" w:rsidRDefault="002F19B0" w:rsidP="004038EE">
      <w:pPr>
        <w:spacing w:after="0" w:line="340" w:lineRule="atLeast"/>
        <w:rPr>
          <w:rFonts w:ascii="Verdana" w:hAnsi="Verdana"/>
          <w:color w:val="000000"/>
          <w:sz w:val="21"/>
          <w:szCs w:val="21"/>
        </w:rPr>
      </w:pPr>
      <w:r>
        <w:rPr>
          <w:rFonts w:ascii="Verdana" w:hAnsi="Verdana"/>
          <w:color w:val="000000"/>
          <w:sz w:val="21"/>
          <w:szCs w:val="21"/>
        </w:rPr>
        <w:t xml:space="preserve">Satrix raised R2 973,1 million, or 27,3% of all new capital </w:t>
      </w:r>
      <w:r w:rsidR="00F44F89">
        <w:rPr>
          <w:rFonts w:ascii="Verdana" w:hAnsi="Verdana"/>
          <w:color w:val="000000"/>
          <w:sz w:val="21"/>
          <w:szCs w:val="21"/>
        </w:rPr>
        <w:t>raised by the ETP industry, from</w:t>
      </w:r>
      <w:r>
        <w:rPr>
          <w:rFonts w:ascii="Verdana" w:hAnsi="Verdana"/>
          <w:color w:val="000000"/>
          <w:sz w:val="21"/>
          <w:szCs w:val="21"/>
        </w:rPr>
        <w:t xml:space="preserve"> additional issues of securities in 2019.  Satrix issued no new ETFs in the past year, but saw good growth in demand for many of its existing products, which resulted in the listing of </w:t>
      </w:r>
      <w:r w:rsidR="00F44F89">
        <w:rPr>
          <w:rFonts w:ascii="Verdana" w:hAnsi="Verdana"/>
          <w:color w:val="000000"/>
          <w:sz w:val="21"/>
          <w:szCs w:val="21"/>
        </w:rPr>
        <w:t xml:space="preserve">additional </w:t>
      </w:r>
      <w:r>
        <w:rPr>
          <w:rFonts w:ascii="Verdana" w:hAnsi="Verdana"/>
          <w:color w:val="000000"/>
          <w:sz w:val="21"/>
          <w:szCs w:val="21"/>
        </w:rPr>
        <w:t xml:space="preserve">securities.  The standout product was the Satrix MSCI World ETF which listed new securities to the value of R1 691 million over the past year.  </w:t>
      </w:r>
    </w:p>
    <w:p w14:paraId="010F4A49" w14:textId="77777777" w:rsidR="00F44F89" w:rsidRDefault="00F44F89">
      <w:pPr>
        <w:rPr>
          <w:rFonts w:ascii="Verdana" w:hAnsi="Verdana"/>
          <w:color w:val="000000"/>
          <w:sz w:val="21"/>
          <w:szCs w:val="21"/>
        </w:rPr>
      </w:pPr>
    </w:p>
    <w:p w14:paraId="766E724D" w14:textId="77777777" w:rsidR="00F44F89" w:rsidRDefault="00F44F89">
      <w:pPr>
        <w:rPr>
          <w:rFonts w:ascii="Verdana" w:hAnsi="Verdana"/>
          <w:b/>
          <w:bCs/>
          <w:color w:val="000000"/>
          <w:sz w:val="21"/>
          <w:szCs w:val="21"/>
        </w:rPr>
      </w:pPr>
      <w:r>
        <w:rPr>
          <w:rFonts w:ascii="Verdana" w:hAnsi="Verdana"/>
          <w:b/>
          <w:bCs/>
          <w:color w:val="000000"/>
          <w:sz w:val="21"/>
          <w:szCs w:val="21"/>
        </w:rPr>
        <w:br w:type="page"/>
      </w:r>
    </w:p>
    <w:p w14:paraId="19BB09BA" w14:textId="49705B61" w:rsidR="002F19B0" w:rsidRDefault="002F19B0" w:rsidP="00E71803">
      <w:pPr>
        <w:spacing w:after="0" w:line="320" w:lineRule="atLeast"/>
        <w:rPr>
          <w:rFonts w:ascii="Verdana" w:hAnsi="Verdana"/>
          <w:color w:val="000000"/>
          <w:sz w:val="21"/>
          <w:szCs w:val="21"/>
        </w:rPr>
      </w:pPr>
      <w:r>
        <w:rPr>
          <w:rFonts w:ascii="Verdana" w:hAnsi="Verdana"/>
          <w:b/>
          <w:bCs/>
          <w:color w:val="000000"/>
          <w:sz w:val="21"/>
          <w:szCs w:val="21"/>
        </w:rPr>
        <w:lastRenderedPageBreak/>
        <w:t>Sygnia Itrix</w:t>
      </w:r>
    </w:p>
    <w:p w14:paraId="5E4D6969" w14:textId="17795A85" w:rsidR="002F19B0" w:rsidRDefault="002F19B0" w:rsidP="00E71803">
      <w:pPr>
        <w:spacing w:after="0" w:line="320" w:lineRule="atLeast"/>
        <w:rPr>
          <w:rFonts w:ascii="Verdana" w:hAnsi="Verdana"/>
          <w:color w:val="000000"/>
          <w:sz w:val="21"/>
          <w:szCs w:val="21"/>
        </w:rPr>
      </w:pPr>
      <w:r>
        <w:rPr>
          <w:rFonts w:ascii="Verdana" w:hAnsi="Verdana"/>
          <w:color w:val="000000"/>
          <w:sz w:val="21"/>
          <w:szCs w:val="21"/>
        </w:rPr>
        <w:t xml:space="preserve">Sygnia Itrix redeemed R1 006,8 capital in 2019, as </w:t>
      </w:r>
      <w:r w:rsidR="009732C5">
        <w:rPr>
          <w:rFonts w:ascii="Verdana" w:hAnsi="Verdana"/>
          <w:color w:val="000000"/>
          <w:sz w:val="21"/>
          <w:szCs w:val="21"/>
        </w:rPr>
        <w:t>investors</w:t>
      </w:r>
      <w:r>
        <w:rPr>
          <w:rFonts w:ascii="Verdana" w:hAnsi="Verdana"/>
          <w:color w:val="000000"/>
          <w:sz w:val="21"/>
          <w:szCs w:val="21"/>
        </w:rPr>
        <w:t xml:space="preserve"> moved out of s</w:t>
      </w:r>
      <w:r w:rsidR="00F44F89">
        <w:rPr>
          <w:rFonts w:ascii="Verdana" w:hAnsi="Verdana"/>
          <w:color w:val="000000"/>
          <w:sz w:val="21"/>
          <w:szCs w:val="21"/>
        </w:rPr>
        <w:t>om</w:t>
      </w:r>
      <w:r>
        <w:rPr>
          <w:rFonts w:ascii="Verdana" w:hAnsi="Verdana"/>
          <w:color w:val="000000"/>
          <w:sz w:val="21"/>
          <w:szCs w:val="21"/>
        </w:rPr>
        <w:t xml:space="preserve">e foreign asset based ETFs issued by this company.  It would appear that profit taking, probably by institutional investors, was the key factor.  </w:t>
      </w:r>
    </w:p>
    <w:p w14:paraId="2F07C6AD" w14:textId="585DAF97" w:rsidR="002F19B0" w:rsidRDefault="002F19B0" w:rsidP="00E71803">
      <w:pPr>
        <w:spacing w:after="0" w:line="320" w:lineRule="atLeast"/>
        <w:rPr>
          <w:rFonts w:ascii="Verdana" w:hAnsi="Verdana"/>
          <w:color w:val="000000"/>
          <w:sz w:val="21"/>
          <w:szCs w:val="21"/>
        </w:rPr>
      </w:pPr>
    </w:p>
    <w:p w14:paraId="1D261E68" w14:textId="2B19FC01" w:rsidR="002F19B0" w:rsidRDefault="002F19B0" w:rsidP="00E71803">
      <w:pPr>
        <w:spacing w:after="0" w:line="320" w:lineRule="atLeast"/>
        <w:rPr>
          <w:rFonts w:ascii="Verdana" w:hAnsi="Verdana"/>
          <w:color w:val="000000"/>
          <w:sz w:val="21"/>
          <w:szCs w:val="21"/>
        </w:rPr>
      </w:pPr>
      <w:r>
        <w:rPr>
          <w:rFonts w:ascii="Verdana" w:hAnsi="Verdana"/>
          <w:color w:val="000000"/>
          <w:sz w:val="21"/>
          <w:szCs w:val="21"/>
        </w:rPr>
        <w:t>The Eurostoxx 50 ETF and the 4</w:t>
      </w:r>
      <w:r w:rsidRPr="002F19B0">
        <w:rPr>
          <w:rFonts w:ascii="Verdana" w:hAnsi="Verdana"/>
          <w:color w:val="000000"/>
          <w:sz w:val="21"/>
          <w:szCs w:val="21"/>
          <w:vertAlign w:val="superscript"/>
        </w:rPr>
        <w:t>th</w:t>
      </w:r>
      <w:r>
        <w:rPr>
          <w:rFonts w:ascii="Verdana" w:hAnsi="Verdana"/>
          <w:color w:val="000000"/>
          <w:sz w:val="21"/>
          <w:szCs w:val="21"/>
        </w:rPr>
        <w:t xml:space="preserve"> Industrial Revolution ETFs, both raised new capital, indicating that </w:t>
      </w:r>
      <w:r w:rsidR="007A7050">
        <w:rPr>
          <w:rFonts w:ascii="Verdana" w:hAnsi="Verdana"/>
          <w:color w:val="000000"/>
          <w:sz w:val="21"/>
          <w:szCs w:val="21"/>
        </w:rPr>
        <w:t xml:space="preserve">selected investments still had </w:t>
      </w:r>
      <w:r w:rsidR="00F44F89">
        <w:rPr>
          <w:rFonts w:ascii="Verdana" w:hAnsi="Verdana"/>
          <w:color w:val="000000"/>
          <w:sz w:val="21"/>
          <w:szCs w:val="21"/>
        </w:rPr>
        <w:t xml:space="preserve">good </w:t>
      </w:r>
      <w:r w:rsidR="007A7050">
        <w:rPr>
          <w:rFonts w:ascii="Verdana" w:hAnsi="Verdana"/>
          <w:color w:val="000000"/>
          <w:sz w:val="21"/>
          <w:szCs w:val="21"/>
        </w:rPr>
        <w:t xml:space="preserve">investor support.  </w:t>
      </w:r>
    </w:p>
    <w:p w14:paraId="2EED398A" w14:textId="5DC52AD6" w:rsidR="007A7050" w:rsidRDefault="007A7050" w:rsidP="00E71803">
      <w:pPr>
        <w:spacing w:after="0" w:line="320" w:lineRule="atLeast"/>
        <w:rPr>
          <w:rFonts w:ascii="Verdana" w:hAnsi="Verdana"/>
          <w:color w:val="000000"/>
          <w:sz w:val="21"/>
          <w:szCs w:val="21"/>
        </w:rPr>
      </w:pPr>
    </w:p>
    <w:p w14:paraId="70094D6C" w14:textId="6CAE3CDA" w:rsidR="007A7050" w:rsidRDefault="007A7050" w:rsidP="00E71803">
      <w:pPr>
        <w:spacing w:after="0" w:line="320" w:lineRule="atLeast"/>
        <w:rPr>
          <w:rFonts w:ascii="Verdana" w:hAnsi="Verdana"/>
          <w:color w:val="000000"/>
          <w:sz w:val="21"/>
          <w:szCs w:val="21"/>
        </w:rPr>
      </w:pPr>
      <w:r>
        <w:rPr>
          <w:rFonts w:ascii="Verdana" w:hAnsi="Verdana"/>
          <w:b/>
          <w:bCs/>
          <w:color w:val="000000"/>
          <w:sz w:val="21"/>
          <w:szCs w:val="21"/>
        </w:rPr>
        <w:t>1nvest</w:t>
      </w:r>
    </w:p>
    <w:p w14:paraId="7361675C" w14:textId="46DF4D00" w:rsidR="007A7050" w:rsidRDefault="007A7050" w:rsidP="00E71803">
      <w:pPr>
        <w:spacing w:after="0" w:line="320" w:lineRule="atLeast"/>
        <w:rPr>
          <w:rFonts w:ascii="Verdana" w:hAnsi="Verdana"/>
          <w:color w:val="000000"/>
          <w:sz w:val="21"/>
          <w:szCs w:val="21"/>
        </w:rPr>
      </w:pPr>
      <w:r>
        <w:rPr>
          <w:rFonts w:ascii="Verdana" w:hAnsi="Verdana"/>
          <w:color w:val="000000"/>
          <w:sz w:val="21"/>
          <w:szCs w:val="21"/>
        </w:rPr>
        <w:t xml:space="preserve">During the course of the year, the Standard Bank ETFs and the Standard Liberty ETFs, merged under a single brand, 1nvest ETFs.  The amalgamation has moved 1nvest into a clear fourth spot in the rankings by size of ETF issuing companies.  In 2019, R1 850,3 million new capital was raised for additional listings of existing ETFs issued by 1nvest, of which 1nvestGold, with R1 357,1 million new capital raised, was the main contributor. </w:t>
      </w:r>
    </w:p>
    <w:p w14:paraId="7F99E438" w14:textId="4DD535C6" w:rsidR="007A7050" w:rsidRDefault="007A7050" w:rsidP="00E71803">
      <w:pPr>
        <w:spacing w:after="0" w:line="320" w:lineRule="atLeast"/>
        <w:rPr>
          <w:rFonts w:ascii="Verdana" w:hAnsi="Verdana"/>
          <w:color w:val="000000"/>
          <w:sz w:val="21"/>
          <w:szCs w:val="21"/>
        </w:rPr>
      </w:pPr>
    </w:p>
    <w:p w14:paraId="077CC978" w14:textId="6183F88E" w:rsidR="007A7050" w:rsidRPr="007A7050" w:rsidRDefault="007A7050" w:rsidP="00E71803">
      <w:pPr>
        <w:spacing w:after="0" w:line="320" w:lineRule="atLeast"/>
        <w:rPr>
          <w:rFonts w:ascii="Verdana" w:hAnsi="Verdana"/>
          <w:b/>
          <w:bCs/>
          <w:color w:val="C00000"/>
        </w:rPr>
      </w:pPr>
      <w:r w:rsidRPr="007A7050">
        <w:rPr>
          <w:rFonts w:ascii="Verdana" w:hAnsi="Verdana"/>
          <w:b/>
          <w:bCs/>
          <w:color w:val="C00000"/>
        </w:rPr>
        <w:t>Snapshot of the SA ETP Industry as at 31 December 2019</w:t>
      </w:r>
    </w:p>
    <w:p w14:paraId="574B99A3" w14:textId="6D224D37" w:rsidR="00340ED3" w:rsidRPr="00340ED3" w:rsidRDefault="00340ED3" w:rsidP="00083E17">
      <w:pPr>
        <w:spacing w:after="0" w:line="360" w:lineRule="atLeast"/>
        <w:rPr>
          <w:rFonts w:ascii="Verdana" w:hAnsi="Verdana"/>
          <w:b/>
          <w:color w:val="000000"/>
          <w:sz w:val="21"/>
          <w:szCs w:val="21"/>
        </w:rPr>
      </w:pPr>
      <w:r>
        <w:rPr>
          <w:rFonts w:ascii="Verdana" w:hAnsi="Verdana"/>
          <w:b/>
          <w:color w:val="000000"/>
          <w:sz w:val="21"/>
          <w:szCs w:val="21"/>
        </w:rPr>
        <w:t>Table A</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
        <w:gridCol w:w="1701"/>
        <w:gridCol w:w="993"/>
        <w:gridCol w:w="992"/>
        <w:gridCol w:w="1417"/>
        <w:gridCol w:w="1418"/>
        <w:gridCol w:w="1843"/>
      </w:tblGrid>
      <w:tr w:rsidR="00A029E7" w:rsidRPr="00AB6CBE" w14:paraId="6C58D851" w14:textId="77777777" w:rsidTr="00275FDA">
        <w:tc>
          <w:tcPr>
            <w:tcW w:w="9214" w:type="dxa"/>
            <w:gridSpan w:val="8"/>
            <w:shd w:val="clear" w:color="auto" w:fill="C00000"/>
            <w:vAlign w:val="center"/>
          </w:tcPr>
          <w:p w14:paraId="3570725C" w14:textId="77777777" w:rsidR="00A029E7" w:rsidRPr="003B4F95" w:rsidRDefault="00A029E7" w:rsidP="00A029E7">
            <w:pPr>
              <w:spacing w:before="20" w:after="20" w:line="28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35DFF8CE" w14:textId="76EEE5F6" w:rsidR="00A029E7" w:rsidRPr="003B4F95" w:rsidRDefault="00A029E7" w:rsidP="00A029E7">
            <w:pPr>
              <w:spacing w:before="20" w:after="20" w:line="280" w:lineRule="atLeast"/>
              <w:jc w:val="center"/>
              <w:rPr>
                <w:rFonts w:ascii="Verdana" w:hAnsi="Verdana"/>
                <w:b/>
                <w:color w:val="FFFFFF"/>
                <w:sz w:val="18"/>
                <w:szCs w:val="18"/>
              </w:rPr>
            </w:pPr>
            <w:r w:rsidRPr="003B4F95">
              <w:rPr>
                <w:rFonts w:ascii="Verdana" w:hAnsi="Verdana"/>
                <w:b/>
                <w:color w:val="FFFFFF"/>
                <w:sz w:val="18"/>
                <w:szCs w:val="18"/>
              </w:rPr>
              <w:t xml:space="preserve">(as at </w:t>
            </w:r>
            <w:r w:rsidR="00FE2ED4">
              <w:rPr>
                <w:rFonts w:ascii="Verdana" w:hAnsi="Verdana"/>
                <w:b/>
                <w:color w:val="FFFFFF"/>
                <w:sz w:val="18"/>
                <w:szCs w:val="18"/>
              </w:rPr>
              <w:t>3</w:t>
            </w:r>
            <w:r w:rsidR="007A7050">
              <w:rPr>
                <w:rFonts w:ascii="Verdana" w:hAnsi="Verdana"/>
                <w:b/>
                <w:color w:val="FFFFFF"/>
                <w:sz w:val="18"/>
                <w:szCs w:val="18"/>
              </w:rPr>
              <w:t>1</w:t>
            </w:r>
            <w:r w:rsidR="00FE2ED4">
              <w:rPr>
                <w:rFonts w:ascii="Verdana" w:hAnsi="Verdana"/>
                <w:b/>
                <w:color w:val="FFFFFF"/>
                <w:sz w:val="18"/>
                <w:szCs w:val="18"/>
              </w:rPr>
              <w:t xml:space="preserve"> </w:t>
            </w:r>
            <w:r w:rsidR="007A7050">
              <w:rPr>
                <w:rFonts w:ascii="Verdana" w:hAnsi="Verdana"/>
                <w:b/>
                <w:color w:val="FFFFFF"/>
                <w:sz w:val="18"/>
                <w:szCs w:val="18"/>
              </w:rPr>
              <w:t>Dec</w:t>
            </w:r>
            <w:r w:rsidR="007640DF">
              <w:rPr>
                <w:rFonts w:ascii="Verdana" w:hAnsi="Verdana"/>
                <w:b/>
                <w:color w:val="FFFFFF"/>
                <w:sz w:val="18"/>
                <w:szCs w:val="18"/>
              </w:rPr>
              <w:t>ember</w:t>
            </w:r>
            <w:r w:rsidRPr="003B4F95">
              <w:rPr>
                <w:rFonts w:ascii="Verdana" w:hAnsi="Verdana"/>
                <w:b/>
                <w:color w:val="FFFFFF"/>
                <w:sz w:val="18"/>
                <w:szCs w:val="18"/>
              </w:rPr>
              <w:t xml:space="preserve"> 201</w:t>
            </w:r>
            <w:r>
              <w:rPr>
                <w:rFonts w:ascii="Verdana" w:hAnsi="Verdana"/>
                <w:b/>
                <w:color w:val="FFFFFF"/>
                <w:sz w:val="18"/>
                <w:szCs w:val="18"/>
              </w:rPr>
              <w:t>9</w:t>
            </w:r>
            <w:r w:rsidRPr="003B4F95">
              <w:rPr>
                <w:rFonts w:ascii="Verdana" w:hAnsi="Verdana"/>
                <w:b/>
                <w:color w:val="FFFFFF"/>
                <w:sz w:val="18"/>
                <w:szCs w:val="18"/>
              </w:rPr>
              <w:t>)</w:t>
            </w:r>
          </w:p>
        </w:tc>
      </w:tr>
      <w:tr w:rsidR="00A029E7" w:rsidRPr="00AB6CBE" w14:paraId="16BE5CAE" w14:textId="77777777" w:rsidTr="00275FDA">
        <w:trPr>
          <w:trHeight w:val="311"/>
        </w:trPr>
        <w:tc>
          <w:tcPr>
            <w:tcW w:w="567" w:type="dxa"/>
            <w:vMerge w:val="restart"/>
            <w:shd w:val="clear" w:color="auto" w:fill="4C4C4C"/>
            <w:vAlign w:val="center"/>
          </w:tcPr>
          <w:p w14:paraId="276F8155" w14:textId="77777777" w:rsidR="00A029E7" w:rsidRPr="003B4F95" w:rsidRDefault="00A029E7" w:rsidP="00A029E7">
            <w:pPr>
              <w:spacing w:before="20" w:after="20" w:line="280" w:lineRule="atLeast"/>
              <w:rPr>
                <w:rFonts w:ascii="Verdana" w:hAnsi="Verdana"/>
                <w:b/>
                <w:color w:val="FFFFFF"/>
                <w:sz w:val="18"/>
                <w:szCs w:val="18"/>
              </w:rPr>
            </w:pPr>
          </w:p>
        </w:tc>
        <w:tc>
          <w:tcPr>
            <w:tcW w:w="1984" w:type="dxa"/>
            <w:gridSpan w:val="2"/>
            <w:vMerge w:val="restart"/>
            <w:shd w:val="clear" w:color="auto" w:fill="4C4C4C"/>
            <w:vAlign w:val="center"/>
          </w:tcPr>
          <w:p w14:paraId="7BC14E8D" w14:textId="49AE90E9" w:rsidR="00A029E7" w:rsidRPr="003B4F95" w:rsidRDefault="00A029E7" w:rsidP="00A029E7">
            <w:pPr>
              <w:spacing w:before="20" w:after="20" w:line="280" w:lineRule="atLeast"/>
              <w:rPr>
                <w:rFonts w:ascii="Verdana" w:hAnsi="Verdana"/>
                <w:b/>
                <w:color w:val="FFFFFF"/>
                <w:sz w:val="18"/>
                <w:szCs w:val="18"/>
              </w:rPr>
            </w:pPr>
            <w:r w:rsidRPr="003B4F95">
              <w:rPr>
                <w:rFonts w:ascii="Verdana" w:hAnsi="Verdana"/>
                <w:b/>
                <w:color w:val="FFFFFF"/>
                <w:sz w:val="18"/>
                <w:szCs w:val="18"/>
              </w:rPr>
              <w:t>Issuer</w:t>
            </w:r>
          </w:p>
        </w:tc>
        <w:tc>
          <w:tcPr>
            <w:tcW w:w="1985" w:type="dxa"/>
            <w:gridSpan w:val="2"/>
            <w:shd w:val="clear" w:color="auto" w:fill="4C4C4C"/>
            <w:vAlign w:val="center"/>
          </w:tcPr>
          <w:p w14:paraId="41EF6BA9" w14:textId="77777777" w:rsidR="00A029E7" w:rsidRPr="003B4F95" w:rsidRDefault="00A029E7" w:rsidP="00A029E7">
            <w:pPr>
              <w:spacing w:before="20" w:after="20" w:line="280" w:lineRule="atLeast"/>
              <w:jc w:val="center"/>
              <w:rPr>
                <w:rFonts w:ascii="Verdana" w:hAnsi="Verdana"/>
                <w:b/>
                <w:color w:val="FFFFFF"/>
                <w:sz w:val="18"/>
                <w:szCs w:val="18"/>
              </w:rPr>
            </w:pPr>
            <w:r>
              <w:rPr>
                <w:rFonts w:ascii="Verdana" w:hAnsi="Verdana"/>
                <w:b/>
                <w:color w:val="FFFFFF"/>
                <w:sz w:val="18"/>
                <w:szCs w:val="18"/>
              </w:rPr>
              <w:t>Number of Products</w:t>
            </w:r>
          </w:p>
        </w:tc>
        <w:tc>
          <w:tcPr>
            <w:tcW w:w="2835" w:type="dxa"/>
            <w:gridSpan w:val="2"/>
            <w:shd w:val="clear" w:color="auto" w:fill="4C4C4C"/>
            <w:vAlign w:val="center"/>
          </w:tcPr>
          <w:p w14:paraId="190216BA" w14:textId="77777777" w:rsidR="00A029E7" w:rsidRPr="003B4F95" w:rsidRDefault="00A029E7" w:rsidP="00A029E7">
            <w:pPr>
              <w:spacing w:before="20" w:after="20" w:line="280" w:lineRule="atLeast"/>
              <w:jc w:val="center"/>
              <w:rPr>
                <w:rFonts w:ascii="Verdana" w:hAnsi="Verdana"/>
                <w:b/>
                <w:color w:val="FFFFFF"/>
                <w:sz w:val="18"/>
                <w:szCs w:val="18"/>
              </w:rPr>
            </w:pPr>
            <w:r w:rsidRPr="003B4F95">
              <w:rPr>
                <w:rFonts w:ascii="Verdana" w:hAnsi="Verdana"/>
                <w:b/>
                <w:color w:val="FFFFFF"/>
                <w:sz w:val="18"/>
                <w:szCs w:val="18"/>
              </w:rPr>
              <w:t>Value (Market Cap) of Shares in Issue (Rm)</w:t>
            </w:r>
          </w:p>
        </w:tc>
        <w:tc>
          <w:tcPr>
            <w:tcW w:w="1843" w:type="dxa"/>
            <w:vMerge w:val="restart"/>
            <w:shd w:val="clear" w:color="auto" w:fill="4C4C4C"/>
            <w:vAlign w:val="center"/>
          </w:tcPr>
          <w:p w14:paraId="002E995E" w14:textId="77777777" w:rsidR="00A029E7" w:rsidRPr="003B4F95" w:rsidRDefault="00A029E7" w:rsidP="00275FDA">
            <w:pPr>
              <w:spacing w:before="20" w:after="60" w:line="280" w:lineRule="atLeast"/>
              <w:jc w:val="right"/>
              <w:rPr>
                <w:rFonts w:ascii="Verdana" w:hAnsi="Verdana"/>
                <w:b/>
                <w:color w:val="FFFFFF"/>
                <w:sz w:val="18"/>
                <w:szCs w:val="18"/>
              </w:rPr>
            </w:pPr>
            <w:r>
              <w:rPr>
                <w:rFonts w:ascii="Verdana" w:hAnsi="Verdana"/>
                <w:b/>
                <w:color w:val="FFFFFF"/>
                <w:sz w:val="18"/>
                <w:szCs w:val="18"/>
              </w:rPr>
              <w:t>Total Market Capitalisation</w:t>
            </w:r>
            <w:r w:rsidRPr="003B4F95">
              <w:rPr>
                <w:rFonts w:ascii="Verdana" w:hAnsi="Verdana"/>
                <w:b/>
                <w:color w:val="FFFFFF"/>
                <w:sz w:val="18"/>
                <w:szCs w:val="18"/>
              </w:rPr>
              <w:t xml:space="preserve"> (Rm)</w:t>
            </w:r>
          </w:p>
        </w:tc>
      </w:tr>
      <w:tr w:rsidR="00A029E7" w:rsidRPr="00AB6CBE" w14:paraId="2AB06EA7" w14:textId="77777777" w:rsidTr="00275FDA">
        <w:trPr>
          <w:trHeight w:val="311"/>
        </w:trPr>
        <w:tc>
          <w:tcPr>
            <w:tcW w:w="567" w:type="dxa"/>
            <w:vMerge/>
            <w:shd w:val="clear" w:color="auto" w:fill="4C4C4C"/>
            <w:vAlign w:val="center"/>
          </w:tcPr>
          <w:p w14:paraId="1FF6352A" w14:textId="77777777" w:rsidR="00A029E7" w:rsidRPr="003B4F95" w:rsidRDefault="00A029E7" w:rsidP="00A029E7">
            <w:pPr>
              <w:spacing w:before="20" w:after="20" w:line="280" w:lineRule="atLeast"/>
              <w:rPr>
                <w:rFonts w:ascii="Verdana" w:hAnsi="Verdana"/>
                <w:b/>
                <w:color w:val="FFFFFF"/>
                <w:sz w:val="18"/>
                <w:szCs w:val="18"/>
              </w:rPr>
            </w:pPr>
          </w:p>
        </w:tc>
        <w:tc>
          <w:tcPr>
            <w:tcW w:w="1984" w:type="dxa"/>
            <w:gridSpan w:val="2"/>
            <w:vMerge/>
            <w:shd w:val="clear" w:color="auto" w:fill="4C4C4C"/>
          </w:tcPr>
          <w:p w14:paraId="436245B6" w14:textId="49FB5311" w:rsidR="00A029E7" w:rsidRPr="003B4F95" w:rsidRDefault="00A029E7" w:rsidP="00A029E7">
            <w:pPr>
              <w:spacing w:before="20" w:after="20" w:line="280" w:lineRule="atLeast"/>
              <w:rPr>
                <w:rFonts w:ascii="Verdana" w:hAnsi="Verdana"/>
                <w:b/>
                <w:color w:val="FFFFFF"/>
                <w:sz w:val="18"/>
                <w:szCs w:val="18"/>
              </w:rPr>
            </w:pPr>
          </w:p>
        </w:tc>
        <w:tc>
          <w:tcPr>
            <w:tcW w:w="993" w:type="dxa"/>
            <w:shd w:val="clear" w:color="auto" w:fill="4C4C4C"/>
            <w:vAlign w:val="center"/>
          </w:tcPr>
          <w:p w14:paraId="2C191EAD" w14:textId="77777777" w:rsidR="00A029E7" w:rsidRPr="003B4F95" w:rsidRDefault="00A029E7" w:rsidP="00A029E7">
            <w:pPr>
              <w:spacing w:before="20" w:after="20" w:line="280" w:lineRule="atLeast"/>
              <w:jc w:val="center"/>
              <w:rPr>
                <w:rFonts w:ascii="Verdana" w:hAnsi="Verdana"/>
                <w:b/>
                <w:color w:val="FFFFFF"/>
                <w:sz w:val="18"/>
                <w:szCs w:val="18"/>
              </w:rPr>
            </w:pPr>
            <w:r w:rsidRPr="003B4F95">
              <w:rPr>
                <w:rFonts w:ascii="Verdana" w:hAnsi="Verdana"/>
                <w:b/>
                <w:color w:val="FFFFFF"/>
                <w:sz w:val="18"/>
                <w:szCs w:val="18"/>
              </w:rPr>
              <w:t>ETFs</w:t>
            </w:r>
          </w:p>
        </w:tc>
        <w:tc>
          <w:tcPr>
            <w:tcW w:w="992" w:type="dxa"/>
            <w:shd w:val="clear" w:color="auto" w:fill="4C4C4C"/>
            <w:vAlign w:val="center"/>
          </w:tcPr>
          <w:p w14:paraId="5ABA983B" w14:textId="77777777" w:rsidR="00A029E7" w:rsidRPr="003B4F95" w:rsidRDefault="00A029E7" w:rsidP="00A029E7">
            <w:pPr>
              <w:spacing w:before="20" w:after="20" w:line="280" w:lineRule="atLeast"/>
              <w:jc w:val="center"/>
              <w:rPr>
                <w:rFonts w:ascii="Verdana" w:hAnsi="Verdana"/>
                <w:b/>
                <w:color w:val="FFFFFF"/>
                <w:sz w:val="18"/>
                <w:szCs w:val="18"/>
              </w:rPr>
            </w:pPr>
            <w:r>
              <w:rPr>
                <w:rFonts w:ascii="Verdana" w:hAnsi="Verdana"/>
                <w:b/>
                <w:color w:val="FFFFFF"/>
                <w:sz w:val="18"/>
                <w:szCs w:val="18"/>
              </w:rPr>
              <w:t>ETN</w:t>
            </w:r>
            <w:r w:rsidRPr="003B4F95">
              <w:rPr>
                <w:rFonts w:ascii="Verdana" w:hAnsi="Verdana"/>
                <w:b/>
                <w:color w:val="FFFFFF"/>
                <w:sz w:val="18"/>
                <w:szCs w:val="18"/>
              </w:rPr>
              <w:t>s</w:t>
            </w:r>
          </w:p>
        </w:tc>
        <w:tc>
          <w:tcPr>
            <w:tcW w:w="1417" w:type="dxa"/>
            <w:shd w:val="clear" w:color="auto" w:fill="4C4C4C"/>
            <w:vAlign w:val="center"/>
          </w:tcPr>
          <w:p w14:paraId="436EF0EA" w14:textId="77777777" w:rsidR="00A029E7" w:rsidRPr="003B4F95" w:rsidRDefault="00A029E7" w:rsidP="00A029E7">
            <w:pPr>
              <w:spacing w:before="20" w:after="20" w:line="280" w:lineRule="atLeast"/>
              <w:jc w:val="right"/>
              <w:rPr>
                <w:rFonts w:ascii="Verdana" w:hAnsi="Verdana"/>
                <w:b/>
                <w:color w:val="FFFFFF"/>
                <w:sz w:val="18"/>
                <w:szCs w:val="18"/>
              </w:rPr>
            </w:pPr>
            <w:r w:rsidRPr="003B4F95">
              <w:rPr>
                <w:rFonts w:ascii="Verdana" w:hAnsi="Verdana"/>
                <w:b/>
                <w:color w:val="FFFFFF"/>
                <w:sz w:val="18"/>
                <w:szCs w:val="18"/>
              </w:rPr>
              <w:t>ETFs</w:t>
            </w:r>
          </w:p>
        </w:tc>
        <w:tc>
          <w:tcPr>
            <w:tcW w:w="1418" w:type="dxa"/>
            <w:shd w:val="clear" w:color="auto" w:fill="4C4C4C"/>
            <w:vAlign w:val="center"/>
          </w:tcPr>
          <w:p w14:paraId="121D26EA" w14:textId="77777777" w:rsidR="00A029E7" w:rsidRPr="003B4F95" w:rsidRDefault="00A029E7" w:rsidP="00A029E7">
            <w:pPr>
              <w:spacing w:before="20" w:after="20" w:line="280" w:lineRule="atLeast"/>
              <w:jc w:val="right"/>
              <w:rPr>
                <w:rFonts w:ascii="Verdana" w:hAnsi="Verdana"/>
                <w:b/>
                <w:color w:val="FFFFFF"/>
                <w:sz w:val="18"/>
                <w:szCs w:val="18"/>
              </w:rPr>
            </w:pPr>
            <w:r w:rsidRPr="003B4F95">
              <w:rPr>
                <w:rFonts w:ascii="Verdana" w:hAnsi="Verdana"/>
                <w:b/>
                <w:color w:val="FFFFFF"/>
                <w:sz w:val="18"/>
                <w:szCs w:val="18"/>
              </w:rPr>
              <w:t>ETNs</w:t>
            </w:r>
          </w:p>
        </w:tc>
        <w:tc>
          <w:tcPr>
            <w:tcW w:w="1843" w:type="dxa"/>
            <w:vMerge/>
            <w:shd w:val="clear" w:color="auto" w:fill="4C4C4C"/>
            <w:vAlign w:val="center"/>
          </w:tcPr>
          <w:p w14:paraId="036A93B0" w14:textId="77777777" w:rsidR="00A029E7" w:rsidRPr="003B4F95" w:rsidRDefault="00A029E7" w:rsidP="00275FDA">
            <w:pPr>
              <w:spacing w:before="60" w:after="60" w:line="300" w:lineRule="atLeast"/>
              <w:jc w:val="right"/>
              <w:rPr>
                <w:rFonts w:ascii="Verdana" w:hAnsi="Verdana"/>
                <w:b/>
                <w:color w:val="FFFFFF"/>
                <w:sz w:val="18"/>
                <w:szCs w:val="18"/>
              </w:rPr>
            </w:pPr>
          </w:p>
        </w:tc>
      </w:tr>
      <w:tr w:rsidR="00A029E7" w:rsidRPr="00AB6CBE" w14:paraId="223242D5" w14:textId="77777777" w:rsidTr="00275FDA">
        <w:tc>
          <w:tcPr>
            <w:tcW w:w="567" w:type="dxa"/>
            <w:shd w:val="clear" w:color="auto" w:fill="auto"/>
          </w:tcPr>
          <w:p w14:paraId="4D91BA7C" w14:textId="77777777" w:rsidR="00A029E7" w:rsidRPr="003B4F95" w:rsidRDefault="00A029E7" w:rsidP="0000086A">
            <w:pPr>
              <w:spacing w:before="40" w:after="20" w:line="280" w:lineRule="atLeast"/>
              <w:rPr>
                <w:rFonts w:ascii="Verdana" w:hAnsi="Verdana"/>
                <w:color w:val="000000"/>
                <w:sz w:val="18"/>
                <w:szCs w:val="18"/>
              </w:rPr>
            </w:pPr>
            <w:r w:rsidRPr="003B4F95">
              <w:rPr>
                <w:rFonts w:ascii="Verdana" w:hAnsi="Verdana"/>
                <w:color w:val="000000"/>
                <w:sz w:val="18"/>
                <w:szCs w:val="18"/>
              </w:rPr>
              <w:t>1.</w:t>
            </w:r>
          </w:p>
        </w:tc>
        <w:tc>
          <w:tcPr>
            <w:tcW w:w="1984" w:type="dxa"/>
            <w:gridSpan w:val="2"/>
            <w:shd w:val="clear" w:color="auto" w:fill="auto"/>
          </w:tcPr>
          <w:p w14:paraId="6AABFB44" w14:textId="77777777" w:rsidR="00A029E7" w:rsidRPr="003B4F95" w:rsidRDefault="00A029E7" w:rsidP="0000086A">
            <w:pPr>
              <w:spacing w:before="40" w:after="20" w:line="280" w:lineRule="atLeast"/>
              <w:rPr>
                <w:rFonts w:ascii="Verdana" w:hAnsi="Verdana"/>
                <w:color w:val="000000"/>
                <w:sz w:val="18"/>
                <w:szCs w:val="18"/>
              </w:rPr>
            </w:pPr>
            <w:r w:rsidRPr="003B4F95">
              <w:rPr>
                <w:rFonts w:ascii="Verdana" w:hAnsi="Verdana"/>
                <w:color w:val="000000"/>
                <w:sz w:val="18"/>
                <w:szCs w:val="18"/>
              </w:rPr>
              <w:t xml:space="preserve">Absa </w:t>
            </w:r>
            <w:r>
              <w:rPr>
                <w:rFonts w:ascii="Verdana" w:hAnsi="Verdana"/>
                <w:color w:val="000000"/>
                <w:sz w:val="18"/>
                <w:szCs w:val="18"/>
              </w:rPr>
              <w:t>Capital</w:t>
            </w:r>
          </w:p>
        </w:tc>
        <w:tc>
          <w:tcPr>
            <w:tcW w:w="993" w:type="dxa"/>
            <w:shd w:val="clear" w:color="auto" w:fill="auto"/>
            <w:vAlign w:val="center"/>
          </w:tcPr>
          <w:p w14:paraId="62D33FD6" w14:textId="17629130" w:rsidR="00A029E7" w:rsidRPr="003B4F95" w:rsidRDefault="00A029E7" w:rsidP="0000086A">
            <w:pPr>
              <w:spacing w:before="40" w:after="20" w:line="280" w:lineRule="atLeast"/>
              <w:jc w:val="center"/>
              <w:rPr>
                <w:rFonts w:ascii="Verdana" w:hAnsi="Verdana"/>
                <w:color w:val="000000"/>
                <w:sz w:val="18"/>
                <w:szCs w:val="18"/>
              </w:rPr>
            </w:pPr>
            <w:r>
              <w:rPr>
                <w:rFonts w:ascii="Verdana" w:hAnsi="Verdana"/>
                <w:color w:val="000000"/>
                <w:sz w:val="18"/>
                <w:szCs w:val="18"/>
              </w:rPr>
              <w:t>1</w:t>
            </w:r>
            <w:r w:rsidR="007A7050">
              <w:rPr>
                <w:rFonts w:ascii="Verdana" w:hAnsi="Verdana"/>
                <w:color w:val="000000"/>
                <w:sz w:val="18"/>
                <w:szCs w:val="18"/>
              </w:rPr>
              <w:t>7</w:t>
            </w:r>
          </w:p>
        </w:tc>
        <w:tc>
          <w:tcPr>
            <w:tcW w:w="992" w:type="dxa"/>
            <w:shd w:val="clear" w:color="auto" w:fill="auto"/>
            <w:vAlign w:val="center"/>
          </w:tcPr>
          <w:p w14:paraId="5D44D04E" w14:textId="77777777" w:rsidR="00A029E7" w:rsidRPr="003B4F95" w:rsidRDefault="00A029E7" w:rsidP="0000086A">
            <w:pPr>
              <w:spacing w:before="40" w:after="20" w:line="280" w:lineRule="atLeast"/>
              <w:jc w:val="center"/>
              <w:rPr>
                <w:rFonts w:ascii="Verdana" w:hAnsi="Verdana"/>
                <w:color w:val="000000"/>
                <w:sz w:val="18"/>
                <w:szCs w:val="18"/>
              </w:rPr>
            </w:pPr>
            <w:r>
              <w:rPr>
                <w:rFonts w:ascii="Verdana" w:hAnsi="Verdana"/>
                <w:color w:val="000000"/>
                <w:sz w:val="18"/>
                <w:szCs w:val="18"/>
              </w:rPr>
              <w:t>5</w:t>
            </w:r>
          </w:p>
        </w:tc>
        <w:tc>
          <w:tcPr>
            <w:tcW w:w="1417" w:type="dxa"/>
            <w:vAlign w:val="center"/>
          </w:tcPr>
          <w:p w14:paraId="33F818D4" w14:textId="1328FFEA" w:rsidR="00A029E7"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30 712,7</w:t>
            </w:r>
          </w:p>
        </w:tc>
        <w:tc>
          <w:tcPr>
            <w:tcW w:w="1418" w:type="dxa"/>
            <w:vAlign w:val="center"/>
          </w:tcPr>
          <w:p w14:paraId="4FDD4459" w14:textId="0C2724D7" w:rsidR="00A029E7"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531,5</w:t>
            </w:r>
          </w:p>
        </w:tc>
        <w:tc>
          <w:tcPr>
            <w:tcW w:w="1843" w:type="dxa"/>
            <w:vAlign w:val="center"/>
          </w:tcPr>
          <w:p w14:paraId="7693E12C" w14:textId="570DF75D" w:rsidR="00A029E7"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21 244,2</w:t>
            </w:r>
          </w:p>
        </w:tc>
      </w:tr>
      <w:tr w:rsidR="007A7050" w:rsidRPr="00AB6CBE" w14:paraId="1F3149AF" w14:textId="77777777" w:rsidTr="00275FDA">
        <w:tc>
          <w:tcPr>
            <w:tcW w:w="567" w:type="dxa"/>
            <w:shd w:val="clear" w:color="auto" w:fill="auto"/>
          </w:tcPr>
          <w:p w14:paraId="5394F4C7" w14:textId="0317AD34" w:rsidR="007A7050" w:rsidRDefault="007A7050" w:rsidP="0000086A">
            <w:pPr>
              <w:spacing w:before="40" w:after="20" w:line="280" w:lineRule="atLeast"/>
              <w:rPr>
                <w:rFonts w:ascii="Verdana" w:hAnsi="Verdana"/>
                <w:color w:val="000000"/>
                <w:sz w:val="18"/>
                <w:szCs w:val="18"/>
              </w:rPr>
            </w:pPr>
            <w:r>
              <w:rPr>
                <w:rFonts w:ascii="Verdana" w:hAnsi="Verdana"/>
                <w:color w:val="000000"/>
                <w:sz w:val="18"/>
                <w:szCs w:val="18"/>
              </w:rPr>
              <w:t>2.</w:t>
            </w:r>
          </w:p>
        </w:tc>
        <w:tc>
          <w:tcPr>
            <w:tcW w:w="1984" w:type="dxa"/>
            <w:gridSpan w:val="2"/>
            <w:shd w:val="clear" w:color="auto" w:fill="auto"/>
          </w:tcPr>
          <w:p w14:paraId="147F4F16" w14:textId="69C4315A" w:rsidR="007A7050" w:rsidRDefault="007A7050" w:rsidP="0000086A">
            <w:pPr>
              <w:spacing w:before="40" w:after="20" w:line="280" w:lineRule="atLeast"/>
              <w:rPr>
                <w:rFonts w:ascii="Verdana" w:hAnsi="Verdana"/>
                <w:color w:val="000000"/>
                <w:sz w:val="18"/>
                <w:szCs w:val="18"/>
              </w:rPr>
            </w:pPr>
            <w:r w:rsidRPr="003B4F95">
              <w:rPr>
                <w:rFonts w:ascii="Verdana" w:hAnsi="Verdana"/>
                <w:color w:val="000000"/>
                <w:sz w:val="18"/>
                <w:szCs w:val="18"/>
              </w:rPr>
              <w:t>Satrix Managers</w:t>
            </w:r>
          </w:p>
        </w:tc>
        <w:tc>
          <w:tcPr>
            <w:tcW w:w="993" w:type="dxa"/>
            <w:shd w:val="clear" w:color="auto" w:fill="auto"/>
            <w:vAlign w:val="center"/>
          </w:tcPr>
          <w:p w14:paraId="7309BBD5" w14:textId="26A63166" w:rsidR="007A7050"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15</w:t>
            </w:r>
          </w:p>
        </w:tc>
        <w:tc>
          <w:tcPr>
            <w:tcW w:w="992" w:type="dxa"/>
            <w:shd w:val="clear" w:color="auto" w:fill="auto"/>
            <w:vAlign w:val="center"/>
          </w:tcPr>
          <w:p w14:paraId="5777C719" w14:textId="50C1D884" w:rsidR="007A7050"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291DF981" w14:textId="228B2C4E" w:rsidR="007A7050"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19 904,0</w:t>
            </w:r>
          </w:p>
        </w:tc>
        <w:tc>
          <w:tcPr>
            <w:tcW w:w="1418" w:type="dxa"/>
            <w:vAlign w:val="center"/>
          </w:tcPr>
          <w:p w14:paraId="7DF98128" w14:textId="502F7AA3" w:rsidR="007A7050"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67DCDDAE" w14:textId="1D527F5A" w:rsidR="007A7050"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19 904,0</w:t>
            </w:r>
          </w:p>
        </w:tc>
      </w:tr>
      <w:tr w:rsidR="007A7050" w:rsidRPr="00AB6CBE" w14:paraId="31DF6B36" w14:textId="77777777" w:rsidTr="00275FDA">
        <w:tc>
          <w:tcPr>
            <w:tcW w:w="567" w:type="dxa"/>
            <w:shd w:val="clear" w:color="auto" w:fill="auto"/>
          </w:tcPr>
          <w:p w14:paraId="7D3AA3F1" w14:textId="7745C62F" w:rsidR="007A7050" w:rsidRPr="003B4F95" w:rsidRDefault="007A7050" w:rsidP="0000086A">
            <w:pPr>
              <w:spacing w:before="40" w:after="20" w:line="280" w:lineRule="atLeast"/>
              <w:rPr>
                <w:rFonts w:ascii="Verdana" w:hAnsi="Verdana"/>
                <w:color w:val="000000"/>
                <w:sz w:val="18"/>
                <w:szCs w:val="18"/>
              </w:rPr>
            </w:pPr>
            <w:r>
              <w:rPr>
                <w:rFonts w:ascii="Verdana" w:hAnsi="Verdana"/>
                <w:color w:val="000000"/>
                <w:sz w:val="18"/>
                <w:szCs w:val="18"/>
              </w:rPr>
              <w:t>3</w:t>
            </w:r>
            <w:r w:rsidRPr="003B4F95">
              <w:rPr>
                <w:rFonts w:ascii="Verdana" w:hAnsi="Verdana"/>
                <w:color w:val="000000"/>
                <w:sz w:val="18"/>
                <w:szCs w:val="18"/>
              </w:rPr>
              <w:t>.</w:t>
            </w:r>
          </w:p>
        </w:tc>
        <w:tc>
          <w:tcPr>
            <w:tcW w:w="1984" w:type="dxa"/>
            <w:gridSpan w:val="2"/>
            <w:shd w:val="clear" w:color="auto" w:fill="auto"/>
          </w:tcPr>
          <w:p w14:paraId="4DB04817" w14:textId="77777777" w:rsidR="007A7050" w:rsidRPr="003B4F95" w:rsidRDefault="007A7050" w:rsidP="0000086A">
            <w:pPr>
              <w:spacing w:before="40" w:after="20" w:line="280" w:lineRule="atLeast"/>
              <w:rPr>
                <w:rFonts w:ascii="Verdana" w:hAnsi="Verdana"/>
                <w:color w:val="000000"/>
                <w:sz w:val="18"/>
                <w:szCs w:val="18"/>
              </w:rPr>
            </w:pPr>
            <w:r>
              <w:rPr>
                <w:rFonts w:ascii="Verdana" w:hAnsi="Verdana"/>
                <w:color w:val="000000"/>
                <w:sz w:val="18"/>
                <w:szCs w:val="18"/>
              </w:rPr>
              <w:t>Sygnia/Itrix</w:t>
            </w:r>
          </w:p>
        </w:tc>
        <w:tc>
          <w:tcPr>
            <w:tcW w:w="993" w:type="dxa"/>
            <w:shd w:val="clear" w:color="auto" w:fill="auto"/>
            <w:vAlign w:val="center"/>
          </w:tcPr>
          <w:p w14:paraId="7ECA77CA" w14:textId="77777777" w:rsidR="007A7050" w:rsidRPr="003B4F95"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10</w:t>
            </w:r>
          </w:p>
        </w:tc>
        <w:tc>
          <w:tcPr>
            <w:tcW w:w="992" w:type="dxa"/>
            <w:shd w:val="clear" w:color="auto" w:fill="auto"/>
            <w:vAlign w:val="center"/>
          </w:tcPr>
          <w:p w14:paraId="38626DA1" w14:textId="77777777" w:rsidR="007A7050" w:rsidRPr="003B4F95"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33148D09" w14:textId="61972DDC" w:rsidR="007A7050"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19 674,3</w:t>
            </w:r>
          </w:p>
        </w:tc>
        <w:tc>
          <w:tcPr>
            <w:tcW w:w="1418" w:type="dxa"/>
            <w:vAlign w:val="center"/>
          </w:tcPr>
          <w:p w14:paraId="36735A0D" w14:textId="7FC72E5B" w:rsidR="007A7050"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02527F04" w14:textId="6E796C5A" w:rsidR="007A7050"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19 674,3</w:t>
            </w:r>
          </w:p>
        </w:tc>
      </w:tr>
      <w:tr w:rsidR="007A7050" w:rsidRPr="000435BE" w14:paraId="2C8E5907" w14:textId="77777777" w:rsidTr="00275FDA">
        <w:tc>
          <w:tcPr>
            <w:tcW w:w="567" w:type="dxa"/>
            <w:shd w:val="clear" w:color="auto" w:fill="auto"/>
          </w:tcPr>
          <w:p w14:paraId="29BD30B3" w14:textId="77777777" w:rsidR="007A7050" w:rsidRPr="003B4F95" w:rsidRDefault="007A7050" w:rsidP="0000086A">
            <w:pPr>
              <w:spacing w:before="40" w:after="20" w:line="280" w:lineRule="atLeast"/>
              <w:rPr>
                <w:rFonts w:ascii="Verdana" w:hAnsi="Verdana"/>
                <w:color w:val="000000"/>
                <w:sz w:val="18"/>
                <w:szCs w:val="18"/>
              </w:rPr>
            </w:pPr>
            <w:r w:rsidRPr="003B4F95">
              <w:rPr>
                <w:rFonts w:ascii="Verdana" w:hAnsi="Verdana"/>
                <w:color w:val="000000"/>
                <w:sz w:val="18"/>
                <w:szCs w:val="18"/>
              </w:rPr>
              <w:t>4.</w:t>
            </w:r>
          </w:p>
        </w:tc>
        <w:tc>
          <w:tcPr>
            <w:tcW w:w="1984" w:type="dxa"/>
            <w:gridSpan w:val="2"/>
            <w:shd w:val="clear" w:color="auto" w:fill="auto"/>
          </w:tcPr>
          <w:p w14:paraId="5A020CE8" w14:textId="5592F310" w:rsidR="007A7050" w:rsidRPr="003B4F95" w:rsidRDefault="007A7050" w:rsidP="0000086A">
            <w:pPr>
              <w:spacing w:before="40" w:after="20" w:line="280" w:lineRule="atLeast"/>
              <w:rPr>
                <w:rFonts w:ascii="Verdana" w:hAnsi="Verdana"/>
                <w:color w:val="000000"/>
                <w:sz w:val="18"/>
                <w:szCs w:val="18"/>
              </w:rPr>
            </w:pPr>
            <w:r>
              <w:rPr>
                <w:rFonts w:ascii="Verdana" w:hAnsi="Verdana"/>
                <w:color w:val="000000"/>
                <w:sz w:val="18"/>
                <w:szCs w:val="18"/>
              </w:rPr>
              <w:t>1nvest</w:t>
            </w:r>
          </w:p>
        </w:tc>
        <w:tc>
          <w:tcPr>
            <w:tcW w:w="993" w:type="dxa"/>
            <w:shd w:val="clear" w:color="auto" w:fill="auto"/>
            <w:vAlign w:val="center"/>
          </w:tcPr>
          <w:p w14:paraId="1BB5FDDF" w14:textId="527ED264" w:rsidR="007A7050" w:rsidRPr="003B4F95"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13</w:t>
            </w:r>
          </w:p>
        </w:tc>
        <w:tc>
          <w:tcPr>
            <w:tcW w:w="992" w:type="dxa"/>
            <w:shd w:val="clear" w:color="auto" w:fill="auto"/>
            <w:vAlign w:val="center"/>
          </w:tcPr>
          <w:p w14:paraId="2FD90278" w14:textId="5BFB8FEC" w:rsidR="007A7050" w:rsidRPr="003B4F95"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1</w:t>
            </w:r>
          </w:p>
        </w:tc>
        <w:tc>
          <w:tcPr>
            <w:tcW w:w="1417" w:type="dxa"/>
            <w:vAlign w:val="center"/>
          </w:tcPr>
          <w:p w14:paraId="334080BF" w14:textId="54EE7E4E" w:rsidR="007A7050"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11 237,0</w:t>
            </w:r>
          </w:p>
        </w:tc>
        <w:tc>
          <w:tcPr>
            <w:tcW w:w="1418" w:type="dxa"/>
            <w:vAlign w:val="center"/>
          </w:tcPr>
          <w:p w14:paraId="4C980058" w14:textId="5C706BE6" w:rsidR="007A7050"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7E520B74" w14:textId="5409D8C5" w:rsidR="007A7050"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11 237,0</w:t>
            </w:r>
          </w:p>
        </w:tc>
      </w:tr>
      <w:tr w:rsidR="007A7050" w:rsidRPr="000435BE" w14:paraId="1E2F3294" w14:textId="77777777" w:rsidTr="00275FDA">
        <w:tc>
          <w:tcPr>
            <w:tcW w:w="567" w:type="dxa"/>
            <w:shd w:val="clear" w:color="auto" w:fill="auto"/>
          </w:tcPr>
          <w:p w14:paraId="6BFA2CFE" w14:textId="77777777" w:rsidR="007A7050" w:rsidRPr="003B4F95" w:rsidRDefault="007A7050" w:rsidP="0000086A">
            <w:pPr>
              <w:spacing w:before="40" w:after="20" w:line="280" w:lineRule="atLeast"/>
              <w:rPr>
                <w:rFonts w:ascii="Verdana" w:hAnsi="Verdana"/>
                <w:color w:val="000000"/>
                <w:sz w:val="18"/>
                <w:szCs w:val="18"/>
              </w:rPr>
            </w:pPr>
            <w:r>
              <w:rPr>
                <w:rFonts w:ascii="Verdana" w:hAnsi="Verdana"/>
                <w:color w:val="000000"/>
                <w:sz w:val="18"/>
                <w:szCs w:val="18"/>
              </w:rPr>
              <w:t>5.</w:t>
            </w:r>
          </w:p>
        </w:tc>
        <w:tc>
          <w:tcPr>
            <w:tcW w:w="1984" w:type="dxa"/>
            <w:gridSpan w:val="2"/>
            <w:shd w:val="clear" w:color="auto" w:fill="auto"/>
          </w:tcPr>
          <w:p w14:paraId="779D091A" w14:textId="77777777" w:rsidR="007A7050" w:rsidRPr="003B4F95" w:rsidRDefault="007A7050" w:rsidP="0000086A">
            <w:pPr>
              <w:spacing w:before="40" w:after="20" w:line="280" w:lineRule="atLeast"/>
              <w:rPr>
                <w:rFonts w:ascii="Verdana" w:hAnsi="Verdana"/>
                <w:color w:val="000000"/>
                <w:sz w:val="18"/>
                <w:szCs w:val="18"/>
              </w:rPr>
            </w:pPr>
            <w:r>
              <w:rPr>
                <w:rFonts w:ascii="Verdana" w:hAnsi="Verdana"/>
                <w:color w:val="000000"/>
                <w:sz w:val="18"/>
                <w:szCs w:val="18"/>
              </w:rPr>
              <w:t>Deutsche Bank</w:t>
            </w:r>
          </w:p>
        </w:tc>
        <w:tc>
          <w:tcPr>
            <w:tcW w:w="993" w:type="dxa"/>
            <w:shd w:val="clear" w:color="auto" w:fill="auto"/>
            <w:vAlign w:val="center"/>
          </w:tcPr>
          <w:p w14:paraId="5E731BF6" w14:textId="77777777" w:rsidR="007A7050" w:rsidRPr="003B4F95"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01048D67" w14:textId="77777777" w:rsidR="007A7050" w:rsidRPr="003B4F95"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3</w:t>
            </w:r>
          </w:p>
        </w:tc>
        <w:tc>
          <w:tcPr>
            <w:tcW w:w="1417" w:type="dxa"/>
            <w:vAlign w:val="center"/>
          </w:tcPr>
          <w:p w14:paraId="26B16483" w14:textId="18CDCF9E" w:rsidR="007A7050"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7E69C2FD" w14:textId="79DA137A" w:rsidR="007A7050"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5 437,8</w:t>
            </w:r>
          </w:p>
        </w:tc>
        <w:tc>
          <w:tcPr>
            <w:tcW w:w="1843" w:type="dxa"/>
            <w:vAlign w:val="center"/>
          </w:tcPr>
          <w:p w14:paraId="3A6A619A" w14:textId="1D9AAB45" w:rsidR="007A7050"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5 437,8</w:t>
            </w:r>
          </w:p>
        </w:tc>
      </w:tr>
      <w:tr w:rsidR="007A7050" w:rsidRPr="000435BE" w14:paraId="4B0E4E93" w14:textId="77777777" w:rsidTr="00275FDA">
        <w:tc>
          <w:tcPr>
            <w:tcW w:w="567" w:type="dxa"/>
            <w:shd w:val="clear" w:color="auto" w:fill="auto"/>
          </w:tcPr>
          <w:p w14:paraId="13B4253F" w14:textId="0076E03D" w:rsidR="007A7050" w:rsidRDefault="007A7050" w:rsidP="0000086A">
            <w:pPr>
              <w:spacing w:before="40" w:after="20" w:line="280" w:lineRule="atLeast"/>
              <w:rPr>
                <w:rFonts w:ascii="Verdana" w:hAnsi="Verdana"/>
                <w:color w:val="000000"/>
                <w:sz w:val="18"/>
                <w:szCs w:val="18"/>
              </w:rPr>
            </w:pPr>
            <w:r>
              <w:rPr>
                <w:rFonts w:ascii="Verdana" w:hAnsi="Verdana"/>
                <w:color w:val="000000"/>
                <w:sz w:val="18"/>
                <w:szCs w:val="18"/>
              </w:rPr>
              <w:t>6</w:t>
            </w:r>
            <w:r w:rsidRPr="003B4F95">
              <w:rPr>
                <w:rFonts w:ascii="Verdana" w:hAnsi="Verdana"/>
                <w:color w:val="000000"/>
                <w:sz w:val="18"/>
                <w:szCs w:val="18"/>
              </w:rPr>
              <w:t>.</w:t>
            </w:r>
          </w:p>
        </w:tc>
        <w:tc>
          <w:tcPr>
            <w:tcW w:w="1984" w:type="dxa"/>
            <w:gridSpan w:val="2"/>
            <w:shd w:val="clear" w:color="auto" w:fill="auto"/>
          </w:tcPr>
          <w:p w14:paraId="01058E53" w14:textId="77777777" w:rsidR="007A7050" w:rsidRPr="003B4F95" w:rsidRDefault="007A7050" w:rsidP="0000086A">
            <w:pPr>
              <w:spacing w:before="40" w:after="20" w:line="280" w:lineRule="atLeast"/>
              <w:rPr>
                <w:rFonts w:ascii="Verdana" w:hAnsi="Verdana"/>
                <w:color w:val="000000"/>
                <w:sz w:val="18"/>
                <w:szCs w:val="18"/>
              </w:rPr>
            </w:pPr>
            <w:r w:rsidRPr="003B4F95">
              <w:rPr>
                <w:rFonts w:ascii="Verdana" w:hAnsi="Verdana"/>
                <w:color w:val="000000"/>
                <w:sz w:val="18"/>
                <w:szCs w:val="18"/>
              </w:rPr>
              <w:t>CoreShares</w:t>
            </w:r>
          </w:p>
        </w:tc>
        <w:tc>
          <w:tcPr>
            <w:tcW w:w="993" w:type="dxa"/>
            <w:shd w:val="clear" w:color="auto" w:fill="auto"/>
            <w:vAlign w:val="center"/>
          </w:tcPr>
          <w:p w14:paraId="4D31AE9D" w14:textId="63F310EA" w:rsidR="007A7050" w:rsidRPr="003B4F95"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8</w:t>
            </w:r>
          </w:p>
        </w:tc>
        <w:tc>
          <w:tcPr>
            <w:tcW w:w="992" w:type="dxa"/>
            <w:shd w:val="clear" w:color="auto" w:fill="auto"/>
            <w:vAlign w:val="center"/>
          </w:tcPr>
          <w:p w14:paraId="06049A2D" w14:textId="77777777" w:rsidR="007A7050" w:rsidRPr="003B4F95"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799B66D1" w14:textId="3C75470C" w:rsidR="007A7050"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4 440,5</w:t>
            </w:r>
          </w:p>
        </w:tc>
        <w:tc>
          <w:tcPr>
            <w:tcW w:w="1418" w:type="dxa"/>
            <w:vAlign w:val="center"/>
          </w:tcPr>
          <w:p w14:paraId="59C46226" w14:textId="7A336E20" w:rsidR="007A7050"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DF64051" w14:textId="1658706B" w:rsidR="007A7050"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4 440,5</w:t>
            </w:r>
          </w:p>
        </w:tc>
      </w:tr>
      <w:tr w:rsidR="007A7050" w:rsidRPr="000435BE" w14:paraId="5C2F6222" w14:textId="77777777" w:rsidTr="00275FDA">
        <w:tc>
          <w:tcPr>
            <w:tcW w:w="567" w:type="dxa"/>
            <w:shd w:val="clear" w:color="auto" w:fill="auto"/>
          </w:tcPr>
          <w:p w14:paraId="47C15A8F" w14:textId="104D5AF4" w:rsidR="007A7050" w:rsidRDefault="007A7050" w:rsidP="0000086A">
            <w:pPr>
              <w:spacing w:before="40" w:after="20" w:line="280" w:lineRule="atLeast"/>
              <w:rPr>
                <w:rFonts w:ascii="Verdana" w:hAnsi="Verdana"/>
                <w:color w:val="000000"/>
                <w:sz w:val="18"/>
                <w:szCs w:val="18"/>
              </w:rPr>
            </w:pPr>
            <w:r>
              <w:rPr>
                <w:rFonts w:ascii="Verdana" w:hAnsi="Verdana"/>
                <w:color w:val="000000"/>
                <w:sz w:val="18"/>
                <w:szCs w:val="18"/>
              </w:rPr>
              <w:t>7.</w:t>
            </w:r>
          </w:p>
        </w:tc>
        <w:tc>
          <w:tcPr>
            <w:tcW w:w="1984" w:type="dxa"/>
            <w:gridSpan w:val="2"/>
            <w:shd w:val="clear" w:color="auto" w:fill="auto"/>
          </w:tcPr>
          <w:p w14:paraId="5FBC040D" w14:textId="7EDBCA64" w:rsidR="007A7050" w:rsidRPr="003B4F95" w:rsidRDefault="007A7050" w:rsidP="0000086A">
            <w:pPr>
              <w:spacing w:before="40" w:after="20" w:line="280" w:lineRule="atLeast"/>
              <w:rPr>
                <w:rFonts w:ascii="Verdana" w:hAnsi="Verdana"/>
                <w:color w:val="000000"/>
                <w:sz w:val="18"/>
                <w:szCs w:val="18"/>
              </w:rPr>
            </w:pPr>
            <w:r w:rsidRPr="003B4F95">
              <w:rPr>
                <w:rFonts w:ascii="Verdana" w:hAnsi="Verdana"/>
                <w:color w:val="000000"/>
                <w:sz w:val="18"/>
                <w:szCs w:val="18"/>
              </w:rPr>
              <w:t>Ashburton</w:t>
            </w:r>
          </w:p>
        </w:tc>
        <w:tc>
          <w:tcPr>
            <w:tcW w:w="993" w:type="dxa"/>
            <w:shd w:val="clear" w:color="auto" w:fill="auto"/>
            <w:vAlign w:val="center"/>
          </w:tcPr>
          <w:p w14:paraId="4AF45A56" w14:textId="50F04966" w:rsidR="007A7050"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5</w:t>
            </w:r>
          </w:p>
        </w:tc>
        <w:tc>
          <w:tcPr>
            <w:tcW w:w="992" w:type="dxa"/>
            <w:shd w:val="clear" w:color="auto" w:fill="auto"/>
            <w:vAlign w:val="center"/>
          </w:tcPr>
          <w:p w14:paraId="1B3A7980" w14:textId="2D3CBDA0" w:rsidR="007A7050"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2D53D853" w14:textId="41C020F2" w:rsidR="007A7050"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2 961,9</w:t>
            </w:r>
          </w:p>
        </w:tc>
        <w:tc>
          <w:tcPr>
            <w:tcW w:w="1418" w:type="dxa"/>
            <w:vAlign w:val="center"/>
          </w:tcPr>
          <w:p w14:paraId="049EC42B" w14:textId="02BCBB5C" w:rsidR="007A7050"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9D85B32" w14:textId="2465741F" w:rsidR="007A7050"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2 961,9</w:t>
            </w:r>
          </w:p>
        </w:tc>
      </w:tr>
      <w:tr w:rsidR="007A7050" w:rsidRPr="000435BE" w14:paraId="4EE9F78B" w14:textId="77777777" w:rsidTr="00275FDA">
        <w:tc>
          <w:tcPr>
            <w:tcW w:w="567" w:type="dxa"/>
            <w:shd w:val="clear" w:color="auto" w:fill="auto"/>
          </w:tcPr>
          <w:p w14:paraId="605E81FD" w14:textId="5D41EBC8" w:rsidR="007A7050" w:rsidRDefault="007A7050" w:rsidP="0000086A">
            <w:pPr>
              <w:spacing w:before="40" w:after="20" w:line="280" w:lineRule="atLeast"/>
              <w:rPr>
                <w:rFonts w:ascii="Verdana" w:hAnsi="Verdana"/>
                <w:color w:val="000000"/>
                <w:sz w:val="18"/>
                <w:szCs w:val="18"/>
              </w:rPr>
            </w:pPr>
            <w:r>
              <w:rPr>
                <w:rFonts w:ascii="Verdana" w:hAnsi="Verdana"/>
                <w:color w:val="000000"/>
                <w:sz w:val="18"/>
                <w:szCs w:val="18"/>
              </w:rPr>
              <w:t>8.</w:t>
            </w:r>
          </w:p>
        </w:tc>
        <w:tc>
          <w:tcPr>
            <w:tcW w:w="1984" w:type="dxa"/>
            <w:gridSpan w:val="2"/>
            <w:shd w:val="clear" w:color="auto" w:fill="auto"/>
          </w:tcPr>
          <w:p w14:paraId="24ADBE20" w14:textId="7388795E" w:rsidR="007A7050" w:rsidRPr="003B4F95" w:rsidRDefault="007A7050" w:rsidP="0000086A">
            <w:pPr>
              <w:spacing w:before="40" w:after="20" w:line="280" w:lineRule="atLeast"/>
              <w:rPr>
                <w:rFonts w:ascii="Verdana" w:hAnsi="Verdana"/>
                <w:color w:val="000000"/>
                <w:sz w:val="18"/>
                <w:szCs w:val="18"/>
              </w:rPr>
            </w:pPr>
            <w:r w:rsidRPr="003B4F95">
              <w:rPr>
                <w:rFonts w:ascii="Verdana" w:hAnsi="Verdana"/>
                <w:color w:val="000000"/>
                <w:sz w:val="18"/>
                <w:szCs w:val="18"/>
              </w:rPr>
              <w:t>Stan</w:t>
            </w:r>
            <w:r>
              <w:rPr>
                <w:rFonts w:ascii="Verdana" w:hAnsi="Verdana"/>
                <w:color w:val="000000"/>
                <w:sz w:val="18"/>
                <w:szCs w:val="18"/>
              </w:rPr>
              <w:t>dard Bank</w:t>
            </w:r>
          </w:p>
        </w:tc>
        <w:tc>
          <w:tcPr>
            <w:tcW w:w="993" w:type="dxa"/>
            <w:shd w:val="clear" w:color="auto" w:fill="auto"/>
            <w:vAlign w:val="center"/>
          </w:tcPr>
          <w:p w14:paraId="386384BA" w14:textId="0CE2ED08" w:rsidR="007A7050"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5CE7A8C3" w14:textId="7EF3DBCE" w:rsidR="007A7050"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10</w:t>
            </w:r>
          </w:p>
        </w:tc>
        <w:tc>
          <w:tcPr>
            <w:tcW w:w="1417" w:type="dxa"/>
            <w:vAlign w:val="center"/>
          </w:tcPr>
          <w:p w14:paraId="3E422ED6" w14:textId="6C447561" w:rsidR="007A7050"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0C0B9419" w14:textId="34A342C3" w:rsidR="007A7050"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1 939,3</w:t>
            </w:r>
          </w:p>
        </w:tc>
        <w:tc>
          <w:tcPr>
            <w:tcW w:w="1843" w:type="dxa"/>
            <w:vAlign w:val="center"/>
          </w:tcPr>
          <w:p w14:paraId="333D3A15" w14:textId="72699A2C" w:rsidR="007A7050"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1 939,2</w:t>
            </w:r>
          </w:p>
        </w:tc>
      </w:tr>
      <w:tr w:rsidR="007A7050" w:rsidRPr="000435BE" w14:paraId="5C40944C" w14:textId="77777777" w:rsidTr="00275FDA">
        <w:tc>
          <w:tcPr>
            <w:tcW w:w="567" w:type="dxa"/>
            <w:shd w:val="clear" w:color="auto" w:fill="auto"/>
          </w:tcPr>
          <w:p w14:paraId="7939F685" w14:textId="77777777" w:rsidR="007A7050" w:rsidRDefault="007A7050" w:rsidP="0000086A">
            <w:pPr>
              <w:spacing w:before="40" w:after="20" w:line="280" w:lineRule="atLeast"/>
              <w:rPr>
                <w:rFonts w:ascii="Verdana" w:hAnsi="Verdana"/>
                <w:color w:val="000000"/>
                <w:sz w:val="18"/>
                <w:szCs w:val="18"/>
              </w:rPr>
            </w:pPr>
            <w:r>
              <w:rPr>
                <w:rFonts w:ascii="Verdana" w:hAnsi="Verdana"/>
                <w:color w:val="000000"/>
                <w:sz w:val="18"/>
                <w:szCs w:val="18"/>
              </w:rPr>
              <w:t>9.</w:t>
            </w:r>
          </w:p>
        </w:tc>
        <w:tc>
          <w:tcPr>
            <w:tcW w:w="1984" w:type="dxa"/>
            <w:gridSpan w:val="2"/>
            <w:shd w:val="clear" w:color="auto" w:fill="auto"/>
          </w:tcPr>
          <w:p w14:paraId="3FB336DD" w14:textId="77777777" w:rsidR="007A7050" w:rsidRPr="003B4F95" w:rsidRDefault="007A7050" w:rsidP="0000086A">
            <w:pPr>
              <w:spacing w:before="40" w:after="20" w:line="280" w:lineRule="atLeast"/>
              <w:rPr>
                <w:rFonts w:ascii="Verdana" w:hAnsi="Verdana"/>
                <w:color w:val="000000"/>
                <w:sz w:val="18"/>
                <w:szCs w:val="18"/>
              </w:rPr>
            </w:pPr>
            <w:r w:rsidRPr="003B4F95">
              <w:rPr>
                <w:rFonts w:ascii="Verdana" w:hAnsi="Verdana"/>
                <w:color w:val="000000"/>
                <w:sz w:val="18"/>
                <w:szCs w:val="18"/>
              </w:rPr>
              <w:t>Investec</w:t>
            </w:r>
          </w:p>
        </w:tc>
        <w:tc>
          <w:tcPr>
            <w:tcW w:w="993" w:type="dxa"/>
            <w:shd w:val="clear" w:color="auto" w:fill="auto"/>
            <w:vAlign w:val="center"/>
          </w:tcPr>
          <w:p w14:paraId="594CA183" w14:textId="77777777" w:rsidR="007A7050"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6BDD07A3" w14:textId="77777777" w:rsidR="007A7050" w:rsidRPr="003B4F95"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197AEB62" w14:textId="584C8637" w:rsidR="007A7050"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1BA4C920" w14:textId="225F9872" w:rsidR="007A7050" w:rsidRPr="003B4F95"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1 925,6</w:t>
            </w:r>
          </w:p>
        </w:tc>
        <w:tc>
          <w:tcPr>
            <w:tcW w:w="1843" w:type="dxa"/>
            <w:vAlign w:val="center"/>
          </w:tcPr>
          <w:p w14:paraId="1BC47EC9" w14:textId="61D11740" w:rsidR="007A7050"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1 925,6</w:t>
            </w:r>
          </w:p>
        </w:tc>
      </w:tr>
      <w:tr w:rsidR="007A7050" w:rsidRPr="000435BE" w14:paraId="22FAB2F8" w14:textId="77777777" w:rsidTr="00275FDA">
        <w:tc>
          <w:tcPr>
            <w:tcW w:w="567" w:type="dxa"/>
            <w:shd w:val="clear" w:color="auto" w:fill="auto"/>
          </w:tcPr>
          <w:p w14:paraId="53FFE31A" w14:textId="1020A9FE" w:rsidR="007A7050" w:rsidRDefault="007A7050" w:rsidP="0000086A">
            <w:pPr>
              <w:spacing w:before="40" w:after="20" w:line="280" w:lineRule="atLeast"/>
              <w:rPr>
                <w:rFonts w:ascii="Verdana" w:hAnsi="Verdana"/>
                <w:color w:val="000000"/>
                <w:sz w:val="18"/>
                <w:szCs w:val="18"/>
              </w:rPr>
            </w:pPr>
            <w:r>
              <w:rPr>
                <w:rFonts w:ascii="Verdana" w:hAnsi="Verdana"/>
                <w:color w:val="000000"/>
                <w:sz w:val="18"/>
                <w:szCs w:val="18"/>
              </w:rPr>
              <w:t>10.</w:t>
            </w:r>
          </w:p>
        </w:tc>
        <w:tc>
          <w:tcPr>
            <w:tcW w:w="1984" w:type="dxa"/>
            <w:gridSpan w:val="2"/>
            <w:shd w:val="clear" w:color="auto" w:fill="auto"/>
          </w:tcPr>
          <w:p w14:paraId="1AB83CE1" w14:textId="0383801F" w:rsidR="007A7050" w:rsidRPr="003B4F95" w:rsidRDefault="007A7050" w:rsidP="0000086A">
            <w:pPr>
              <w:spacing w:before="40" w:after="20" w:line="280" w:lineRule="atLeast"/>
              <w:rPr>
                <w:rFonts w:ascii="Verdana" w:hAnsi="Verdana"/>
                <w:color w:val="000000"/>
                <w:sz w:val="18"/>
                <w:szCs w:val="18"/>
              </w:rPr>
            </w:pPr>
            <w:r>
              <w:rPr>
                <w:rFonts w:ascii="Verdana" w:hAnsi="Verdana"/>
                <w:color w:val="000000"/>
                <w:sz w:val="18"/>
                <w:szCs w:val="18"/>
              </w:rPr>
              <w:t>UBS</w:t>
            </w:r>
          </w:p>
        </w:tc>
        <w:tc>
          <w:tcPr>
            <w:tcW w:w="993" w:type="dxa"/>
            <w:shd w:val="clear" w:color="auto" w:fill="auto"/>
            <w:vAlign w:val="center"/>
          </w:tcPr>
          <w:p w14:paraId="290454D0" w14:textId="66D6CCBF" w:rsidR="007A7050"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26367792" w14:textId="6A9EEA60" w:rsidR="007A7050"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8</w:t>
            </w:r>
          </w:p>
        </w:tc>
        <w:tc>
          <w:tcPr>
            <w:tcW w:w="1417" w:type="dxa"/>
            <w:vAlign w:val="center"/>
          </w:tcPr>
          <w:p w14:paraId="1295E4DF" w14:textId="5D53F5E2" w:rsidR="007A7050"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1B7A07C5" w14:textId="573CDAE7" w:rsidR="007A7050"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1 075,6</w:t>
            </w:r>
          </w:p>
        </w:tc>
        <w:tc>
          <w:tcPr>
            <w:tcW w:w="1843" w:type="dxa"/>
            <w:vAlign w:val="center"/>
          </w:tcPr>
          <w:p w14:paraId="3388D25B" w14:textId="3C00C9DA" w:rsidR="007A7050" w:rsidRDefault="007A7050" w:rsidP="0000086A">
            <w:pPr>
              <w:spacing w:before="40" w:after="20" w:line="280" w:lineRule="atLeast"/>
              <w:jc w:val="right"/>
              <w:rPr>
                <w:rFonts w:ascii="Verdana" w:hAnsi="Verdana"/>
                <w:color w:val="000000"/>
                <w:sz w:val="18"/>
                <w:szCs w:val="18"/>
              </w:rPr>
            </w:pPr>
            <w:r>
              <w:rPr>
                <w:rFonts w:ascii="Verdana" w:hAnsi="Verdana"/>
                <w:color w:val="000000"/>
                <w:sz w:val="18"/>
                <w:szCs w:val="18"/>
              </w:rPr>
              <w:t>1 075,6</w:t>
            </w:r>
          </w:p>
        </w:tc>
      </w:tr>
      <w:tr w:rsidR="007A7050" w:rsidRPr="000435BE" w14:paraId="042A8F9F" w14:textId="77777777" w:rsidTr="00275FDA">
        <w:tc>
          <w:tcPr>
            <w:tcW w:w="567" w:type="dxa"/>
            <w:shd w:val="clear" w:color="auto" w:fill="auto"/>
          </w:tcPr>
          <w:p w14:paraId="3486190D" w14:textId="64ADEBA2" w:rsidR="007A7050" w:rsidRPr="003B4F95" w:rsidRDefault="007A7050" w:rsidP="0000086A">
            <w:pPr>
              <w:spacing w:before="40" w:after="20" w:line="280" w:lineRule="atLeast"/>
              <w:rPr>
                <w:rFonts w:ascii="Verdana" w:hAnsi="Verdana"/>
                <w:color w:val="000000"/>
                <w:sz w:val="18"/>
                <w:szCs w:val="18"/>
              </w:rPr>
            </w:pPr>
            <w:r>
              <w:rPr>
                <w:rFonts w:ascii="Verdana" w:hAnsi="Verdana"/>
                <w:color w:val="000000"/>
                <w:sz w:val="18"/>
                <w:szCs w:val="18"/>
              </w:rPr>
              <w:t>11</w:t>
            </w:r>
            <w:r w:rsidRPr="003B4F95">
              <w:rPr>
                <w:rFonts w:ascii="Verdana" w:hAnsi="Verdana"/>
                <w:color w:val="000000"/>
                <w:sz w:val="18"/>
                <w:szCs w:val="18"/>
              </w:rPr>
              <w:t>.</w:t>
            </w:r>
          </w:p>
        </w:tc>
        <w:tc>
          <w:tcPr>
            <w:tcW w:w="1984" w:type="dxa"/>
            <w:gridSpan w:val="2"/>
            <w:shd w:val="clear" w:color="auto" w:fill="auto"/>
          </w:tcPr>
          <w:p w14:paraId="177BE1B7" w14:textId="77777777" w:rsidR="007A7050" w:rsidRPr="003B4F95" w:rsidRDefault="007A7050" w:rsidP="0000086A">
            <w:pPr>
              <w:spacing w:before="40" w:after="20" w:line="280" w:lineRule="atLeast"/>
              <w:rPr>
                <w:rFonts w:ascii="Verdana" w:hAnsi="Verdana"/>
                <w:color w:val="000000"/>
                <w:sz w:val="18"/>
                <w:szCs w:val="18"/>
              </w:rPr>
            </w:pPr>
            <w:r w:rsidRPr="003B4F95">
              <w:rPr>
                <w:rFonts w:ascii="Verdana" w:hAnsi="Verdana"/>
                <w:color w:val="000000"/>
                <w:sz w:val="18"/>
                <w:szCs w:val="18"/>
              </w:rPr>
              <w:t>FirstRand</w:t>
            </w:r>
            <w:r>
              <w:rPr>
                <w:rFonts w:ascii="Verdana" w:hAnsi="Verdana"/>
                <w:color w:val="000000"/>
                <w:sz w:val="18"/>
                <w:szCs w:val="18"/>
              </w:rPr>
              <w:t xml:space="preserve"> (RMB)</w:t>
            </w:r>
          </w:p>
        </w:tc>
        <w:tc>
          <w:tcPr>
            <w:tcW w:w="993" w:type="dxa"/>
            <w:shd w:val="clear" w:color="auto" w:fill="auto"/>
            <w:vAlign w:val="center"/>
          </w:tcPr>
          <w:p w14:paraId="068EE2BB" w14:textId="77777777" w:rsidR="007A7050" w:rsidRPr="003B4F95"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3</w:t>
            </w:r>
          </w:p>
        </w:tc>
        <w:tc>
          <w:tcPr>
            <w:tcW w:w="992" w:type="dxa"/>
            <w:shd w:val="clear" w:color="auto" w:fill="auto"/>
            <w:vAlign w:val="center"/>
          </w:tcPr>
          <w:p w14:paraId="329CCAB8" w14:textId="77777777" w:rsidR="007A7050" w:rsidRPr="003B4F95"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4419C3D1" w14:textId="67B8CEC5" w:rsidR="007A7050" w:rsidRPr="003B4F95" w:rsidRDefault="00A34964" w:rsidP="0000086A">
            <w:pPr>
              <w:spacing w:before="40" w:after="20" w:line="280" w:lineRule="atLeast"/>
              <w:jc w:val="right"/>
              <w:rPr>
                <w:rFonts w:ascii="Verdana" w:hAnsi="Verdana"/>
                <w:color w:val="000000"/>
                <w:sz w:val="18"/>
                <w:szCs w:val="18"/>
              </w:rPr>
            </w:pPr>
            <w:r>
              <w:rPr>
                <w:rFonts w:ascii="Verdana" w:hAnsi="Verdana"/>
                <w:color w:val="000000"/>
                <w:sz w:val="18"/>
                <w:szCs w:val="18"/>
              </w:rPr>
              <w:t>917,6</w:t>
            </w:r>
          </w:p>
        </w:tc>
        <w:tc>
          <w:tcPr>
            <w:tcW w:w="1418" w:type="dxa"/>
            <w:vAlign w:val="center"/>
          </w:tcPr>
          <w:p w14:paraId="2B7A1400" w14:textId="37E14750" w:rsidR="007A7050" w:rsidRPr="003B4F95" w:rsidRDefault="00A34964" w:rsidP="0000086A">
            <w:pPr>
              <w:spacing w:before="40" w:after="2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055E0D22" w14:textId="483B3CED" w:rsidR="007A7050" w:rsidRPr="003B4F95" w:rsidRDefault="00A34964" w:rsidP="0000086A">
            <w:pPr>
              <w:spacing w:before="40" w:after="20" w:line="280" w:lineRule="atLeast"/>
              <w:jc w:val="right"/>
              <w:rPr>
                <w:rFonts w:ascii="Verdana" w:hAnsi="Verdana"/>
                <w:color w:val="000000"/>
                <w:sz w:val="18"/>
                <w:szCs w:val="18"/>
              </w:rPr>
            </w:pPr>
            <w:r>
              <w:rPr>
                <w:rFonts w:ascii="Verdana" w:hAnsi="Verdana"/>
                <w:color w:val="000000"/>
                <w:sz w:val="18"/>
                <w:szCs w:val="18"/>
              </w:rPr>
              <w:t>917,6</w:t>
            </w:r>
          </w:p>
        </w:tc>
      </w:tr>
      <w:tr w:rsidR="007A7050" w:rsidRPr="000435BE" w14:paraId="36A64B2A" w14:textId="77777777" w:rsidTr="00275FDA">
        <w:tc>
          <w:tcPr>
            <w:tcW w:w="567" w:type="dxa"/>
            <w:shd w:val="clear" w:color="auto" w:fill="auto"/>
          </w:tcPr>
          <w:p w14:paraId="2492D4CF" w14:textId="77777777" w:rsidR="007A7050" w:rsidRPr="003B4F95" w:rsidRDefault="007A7050" w:rsidP="0000086A">
            <w:pPr>
              <w:spacing w:before="40" w:after="20" w:line="280" w:lineRule="atLeast"/>
              <w:rPr>
                <w:rFonts w:ascii="Verdana" w:hAnsi="Verdana"/>
                <w:color w:val="000000"/>
                <w:sz w:val="18"/>
                <w:szCs w:val="18"/>
              </w:rPr>
            </w:pPr>
            <w:r>
              <w:rPr>
                <w:rFonts w:ascii="Verdana" w:hAnsi="Verdana"/>
                <w:color w:val="000000"/>
                <w:sz w:val="18"/>
                <w:szCs w:val="18"/>
              </w:rPr>
              <w:t>12</w:t>
            </w:r>
            <w:r w:rsidRPr="003B4F95">
              <w:rPr>
                <w:rFonts w:ascii="Verdana" w:hAnsi="Verdana"/>
                <w:color w:val="000000"/>
                <w:sz w:val="18"/>
                <w:szCs w:val="18"/>
              </w:rPr>
              <w:t>.</w:t>
            </w:r>
          </w:p>
        </w:tc>
        <w:tc>
          <w:tcPr>
            <w:tcW w:w="1984" w:type="dxa"/>
            <w:gridSpan w:val="2"/>
            <w:shd w:val="clear" w:color="auto" w:fill="auto"/>
          </w:tcPr>
          <w:p w14:paraId="2FFABF99" w14:textId="77777777" w:rsidR="007A7050" w:rsidRPr="003B4F95" w:rsidRDefault="007A7050" w:rsidP="0000086A">
            <w:pPr>
              <w:spacing w:before="40" w:after="20" w:line="280" w:lineRule="atLeast"/>
              <w:rPr>
                <w:rFonts w:ascii="Verdana" w:hAnsi="Verdana"/>
                <w:color w:val="000000"/>
                <w:sz w:val="18"/>
                <w:szCs w:val="18"/>
              </w:rPr>
            </w:pPr>
            <w:r w:rsidRPr="003B4F95">
              <w:rPr>
                <w:rFonts w:ascii="Verdana" w:hAnsi="Verdana"/>
                <w:color w:val="000000"/>
                <w:sz w:val="18"/>
                <w:szCs w:val="18"/>
              </w:rPr>
              <w:t>Cloud Atlas</w:t>
            </w:r>
          </w:p>
        </w:tc>
        <w:tc>
          <w:tcPr>
            <w:tcW w:w="993" w:type="dxa"/>
            <w:shd w:val="clear" w:color="auto" w:fill="auto"/>
            <w:vAlign w:val="center"/>
          </w:tcPr>
          <w:p w14:paraId="4195257A" w14:textId="77777777" w:rsidR="007A7050" w:rsidRPr="003B4F95"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2</w:t>
            </w:r>
          </w:p>
        </w:tc>
        <w:tc>
          <w:tcPr>
            <w:tcW w:w="992" w:type="dxa"/>
            <w:shd w:val="clear" w:color="auto" w:fill="auto"/>
            <w:vAlign w:val="center"/>
          </w:tcPr>
          <w:p w14:paraId="11CB8B72" w14:textId="77777777" w:rsidR="007A7050" w:rsidRPr="003B4F95" w:rsidRDefault="007A7050" w:rsidP="0000086A">
            <w:pPr>
              <w:spacing w:before="40" w:after="2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48B14AE3" w14:textId="2A770E15" w:rsidR="007A7050" w:rsidRPr="003B4F95" w:rsidRDefault="00A34964" w:rsidP="0000086A">
            <w:pPr>
              <w:spacing w:before="40" w:after="20" w:line="280" w:lineRule="atLeast"/>
              <w:jc w:val="right"/>
              <w:rPr>
                <w:rFonts w:ascii="Verdana" w:hAnsi="Verdana"/>
                <w:color w:val="000000"/>
                <w:sz w:val="18"/>
                <w:szCs w:val="18"/>
              </w:rPr>
            </w:pPr>
            <w:r>
              <w:rPr>
                <w:rFonts w:ascii="Verdana" w:hAnsi="Verdana"/>
                <w:color w:val="000000"/>
                <w:sz w:val="18"/>
                <w:szCs w:val="18"/>
              </w:rPr>
              <w:t>23,8</w:t>
            </w:r>
          </w:p>
        </w:tc>
        <w:tc>
          <w:tcPr>
            <w:tcW w:w="1418" w:type="dxa"/>
            <w:vAlign w:val="center"/>
          </w:tcPr>
          <w:p w14:paraId="5492C253" w14:textId="34640309" w:rsidR="007A7050" w:rsidRPr="003B4F95" w:rsidRDefault="00A34964" w:rsidP="0000086A">
            <w:pPr>
              <w:spacing w:before="40" w:after="2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1D35DE85" w14:textId="772108C3" w:rsidR="007A7050" w:rsidRPr="003B4F95" w:rsidRDefault="00A34964" w:rsidP="0000086A">
            <w:pPr>
              <w:spacing w:before="40" w:after="20" w:line="280" w:lineRule="atLeast"/>
              <w:jc w:val="right"/>
              <w:rPr>
                <w:rFonts w:ascii="Verdana" w:hAnsi="Verdana"/>
                <w:color w:val="000000"/>
                <w:sz w:val="18"/>
                <w:szCs w:val="18"/>
              </w:rPr>
            </w:pPr>
            <w:r>
              <w:rPr>
                <w:rFonts w:ascii="Verdana" w:hAnsi="Verdana"/>
                <w:color w:val="000000"/>
                <w:sz w:val="18"/>
                <w:szCs w:val="18"/>
              </w:rPr>
              <w:t>23,8</w:t>
            </w:r>
          </w:p>
        </w:tc>
      </w:tr>
      <w:tr w:rsidR="007A7050" w:rsidRPr="000435BE" w14:paraId="43496BCD" w14:textId="77777777" w:rsidTr="00275FDA">
        <w:tc>
          <w:tcPr>
            <w:tcW w:w="2551" w:type="dxa"/>
            <w:gridSpan w:val="3"/>
            <w:shd w:val="clear" w:color="auto" w:fill="auto"/>
          </w:tcPr>
          <w:p w14:paraId="249E629A" w14:textId="77777777" w:rsidR="007A7050" w:rsidRPr="003B4F95" w:rsidRDefault="007A7050" w:rsidP="0000086A">
            <w:pPr>
              <w:spacing w:before="40" w:after="20" w:line="280" w:lineRule="atLeast"/>
              <w:rPr>
                <w:rFonts w:ascii="Verdana" w:hAnsi="Verdana"/>
                <w:b/>
                <w:color w:val="000000"/>
                <w:sz w:val="18"/>
                <w:szCs w:val="18"/>
              </w:rPr>
            </w:pPr>
            <w:r w:rsidRPr="003B4F95">
              <w:rPr>
                <w:rFonts w:ascii="Verdana" w:hAnsi="Verdana"/>
                <w:b/>
                <w:color w:val="000000"/>
                <w:sz w:val="18"/>
                <w:szCs w:val="18"/>
              </w:rPr>
              <w:t>Totals</w:t>
            </w:r>
          </w:p>
        </w:tc>
        <w:tc>
          <w:tcPr>
            <w:tcW w:w="993" w:type="dxa"/>
            <w:shd w:val="clear" w:color="auto" w:fill="auto"/>
            <w:vAlign w:val="center"/>
          </w:tcPr>
          <w:p w14:paraId="6B396757" w14:textId="716BF852" w:rsidR="007A7050" w:rsidRPr="003B4F95" w:rsidRDefault="007A7050" w:rsidP="0000086A">
            <w:pPr>
              <w:spacing w:before="40" w:after="20" w:line="280" w:lineRule="atLeast"/>
              <w:jc w:val="center"/>
              <w:rPr>
                <w:rFonts w:ascii="Verdana" w:hAnsi="Verdana"/>
                <w:b/>
                <w:color w:val="000000"/>
                <w:sz w:val="18"/>
                <w:szCs w:val="18"/>
              </w:rPr>
            </w:pPr>
            <w:r>
              <w:rPr>
                <w:rFonts w:ascii="Verdana" w:hAnsi="Verdana"/>
                <w:b/>
                <w:color w:val="000000"/>
                <w:sz w:val="18"/>
                <w:szCs w:val="18"/>
              </w:rPr>
              <w:t>78</w:t>
            </w:r>
          </w:p>
        </w:tc>
        <w:tc>
          <w:tcPr>
            <w:tcW w:w="992" w:type="dxa"/>
            <w:shd w:val="clear" w:color="auto" w:fill="auto"/>
            <w:vAlign w:val="center"/>
          </w:tcPr>
          <w:p w14:paraId="143E53B1" w14:textId="24817ED6" w:rsidR="007A7050" w:rsidRPr="003B4F95" w:rsidRDefault="007A7050" w:rsidP="0000086A">
            <w:pPr>
              <w:spacing w:before="40" w:after="20" w:line="280" w:lineRule="atLeast"/>
              <w:jc w:val="center"/>
              <w:rPr>
                <w:rFonts w:ascii="Verdana" w:hAnsi="Verdana"/>
                <w:b/>
                <w:color w:val="000000"/>
                <w:sz w:val="18"/>
                <w:szCs w:val="18"/>
              </w:rPr>
            </w:pPr>
            <w:r>
              <w:rPr>
                <w:rFonts w:ascii="Verdana" w:hAnsi="Verdana"/>
                <w:b/>
                <w:color w:val="000000"/>
                <w:sz w:val="18"/>
                <w:szCs w:val="18"/>
              </w:rPr>
              <w:t>28</w:t>
            </w:r>
          </w:p>
        </w:tc>
        <w:tc>
          <w:tcPr>
            <w:tcW w:w="1417" w:type="dxa"/>
            <w:vAlign w:val="center"/>
          </w:tcPr>
          <w:p w14:paraId="361D741C" w14:textId="65BC3A66" w:rsidR="007A7050" w:rsidRPr="003B4F95" w:rsidRDefault="00A34964" w:rsidP="0000086A">
            <w:pPr>
              <w:spacing w:before="40" w:after="20" w:line="280" w:lineRule="atLeast"/>
              <w:jc w:val="right"/>
              <w:rPr>
                <w:rFonts w:ascii="Verdana" w:hAnsi="Verdana"/>
                <w:b/>
                <w:color w:val="000000"/>
                <w:sz w:val="18"/>
                <w:szCs w:val="18"/>
              </w:rPr>
            </w:pPr>
            <w:r>
              <w:rPr>
                <w:rFonts w:ascii="Verdana" w:hAnsi="Verdana"/>
                <w:b/>
                <w:color w:val="000000"/>
                <w:sz w:val="18"/>
                <w:szCs w:val="18"/>
              </w:rPr>
              <w:t>89 871,8</w:t>
            </w:r>
          </w:p>
        </w:tc>
        <w:tc>
          <w:tcPr>
            <w:tcW w:w="1418" w:type="dxa"/>
            <w:vAlign w:val="center"/>
          </w:tcPr>
          <w:p w14:paraId="22FC229A" w14:textId="1120FF1A" w:rsidR="007A7050" w:rsidRPr="003B4F95" w:rsidRDefault="00A34964" w:rsidP="0000086A">
            <w:pPr>
              <w:spacing w:before="40" w:after="20" w:line="280" w:lineRule="atLeast"/>
              <w:jc w:val="right"/>
              <w:rPr>
                <w:rFonts w:ascii="Verdana" w:hAnsi="Verdana"/>
                <w:b/>
                <w:color w:val="000000"/>
                <w:sz w:val="18"/>
                <w:szCs w:val="18"/>
              </w:rPr>
            </w:pPr>
            <w:r>
              <w:rPr>
                <w:rFonts w:ascii="Verdana" w:hAnsi="Verdana"/>
                <w:b/>
                <w:color w:val="000000"/>
                <w:sz w:val="18"/>
                <w:szCs w:val="18"/>
              </w:rPr>
              <w:t>10 909,8</w:t>
            </w:r>
          </w:p>
        </w:tc>
        <w:tc>
          <w:tcPr>
            <w:tcW w:w="1843" w:type="dxa"/>
            <w:vAlign w:val="center"/>
          </w:tcPr>
          <w:p w14:paraId="3DC82BE9" w14:textId="1C961CC5" w:rsidR="007A7050" w:rsidRPr="003B4F95" w:rsidRDefault="00A34964" w:rsidP="0000086A">
            <w:pPr>
              <w:spacing w:before="40" w:after="20" w:line="280" w:lineRule="atLeast"/>
              <w:jc w:val="right"/>
              <w:rPr>
                <w:rFonts w:ascii="Verdana" w:hAnsi="Verdana"/>
                <w:b/>
                <w:color w:val="000000"/>
                <w:sz w:val="18"/>
                <w:szCs w:val="18"/>
              </w:rPr>
            </w:pPr>
            <w:r>
              <w:rPr>
                <w:rFonts w:ascii="Verdana" w:hAnsi="Verdana"/>
                <w:b/>
                <w:color w:val="000000"/>
                <w:sz w:val="18"/>
                <w:szCs w:val="18"/>
              </w:rPr>
              <w:t>100 781,6</w:t>
            </w:r>
          </w:p>
        </w:tc>
      </w:tr>
      <w:tr w:rsidR="007A7050" w:rsidRPr="00AB6CBE" w14:paraId="399FD388" w14:textId="77777777" w:rsidTr="00275FDA">
        <w:trPr>
          <w:trHeight w:val="217"/>
        </w:trPr>
        <w:tc>
          <w:tcPr>
            <w:tcW w:w="850" w:type="dxa"/>
            <w:gridSpan w:val="2"/>
            <w:tcBorders>
              <w:right w:val="nil"/>
            </w:tcBorders>
            <w:shd w:val="clear" w:color="auto" w:fill="auto"/>
            <w:vAlign w:val="center"/>
          </w:tcPr>
          <w:p w14:paraId="72B96F5C" w14:textId="77777777" w:rsidR="007A7050" w:rsidRPr="000435BE" w:rsidRDefault="007A7050" w:rsidP="007A7050">
            <w:pPr>
              <w:spacing w:after="40" w:line="280" w:lineRule="atLeast"/>
              <w:rPr>
                <w:rFonts w:ascii="Verdana" w:hAnsi="Verdana"/>
                <w:i/>
                <w:color w:val="000000"/>
                <w:sz w:val="14"/>
                <w:szCs w:val="14"/>
              </w:rPr>
            </w:pPr>
            <w:r w:rsidRPr="000435BE">
              <w:rPr>
                <w:rFonts w:ascii="Verdana" w:hAnsi="Verdana"/>
                <w:i/>
                <w:color w:val="000000"/>
                <w:sz w:val="14"/>
                <w:szCs w:val="14"/>
              </w:rPr>
              <w:t>Source:</w:t>
            </w:r>
          </w:p>
        </w:tc>
        <w:tc>
          <w:tcPr>
            <w:tcW w:w="8364" w:type="dxa"/>
            <w:gridSpan w:val="6"/>
            <w:tcBorders>
              <w:left w:val="nil"/>
            </w:tcBorders>
            <w:shd w:val="clear" w:color="auto" w:fill="auto"/>
            <w:vAlign w:val="center"/>
          </w:tcPr>
          <w:p w14:paraId="4EF21F19" w14:textId="250188FA" w:rsidR="007A7050" w:rsidRPr="000435BE" w:rsidRDefault="007A7050" w:rsidP="007A7050">
            <w:pPr>
              <w:spacing w:after="40" w:line="280" w:lineRule="atLeast"/>
              <w:rPr>
                <w:rFonts w:ascii="Verdana" w:hAnsi="Verdana"/>
                <w:i/>
                <w:color w:val="000000"/>
                <w:sz w:val="14"/>
                <w:szCs w:val="14"/>
              </w:rPr>
            </w:pPr>
            <w:r w:rsidRPr="000435BE">
              <w:rPr>
                <w:rFonts w:ascii="Verdana" w:hAnsi="Verdana"/>
                <w:i/>
                <w:color w:val="000000"/>
                <w:sz w:val="14"/>
                <w:szCs w:val="14"/>
              </w:rPr>
              <w:t>etfSA.co.za / JSE / Profile Data (</w:t>
            </w:r>
            <w:r>
              <w:rPr>
                <w:rFonts w:ascii="Verdana" w:hAnsi="Verdana"/>
                <w:i/>
                <w:color w:val="000000"/>
                <w:sz w:val="14"/>
                <w:szCs w:val="14"/>
              </w:rPr>
              <w:t>31</w:t>
            </w:r>
            <w:r w:rsidRPr="000435BE">
              <w:rPr>
                <w:rFonts w:ascii="Verdana" w:hAnsi="Verdana"/>
                <w:i/>
                <w:color w:val="000000"/>
                <w:sz w:val="14"/>
                <w:szCs w:val="14"/>
              </w:rPr>
              <w:t>/</w:t>
            </w:r>
            <w:r>
              <w:rPr>
                <w:rFonts w:ascii="Verdana" w:hAnsi="Verdana"/>
                <w:i/>
                <w:color w:val="000000"/>
                <w:sz w:val="14"/>
                <w:szCs w:val="14"/>
              </w:rPr>
              <w:t>12</w:t>
            </w:r>
            <w:r w:rsidRPr="000435BE">
              <w:rPr>
                <w:rFonts w:ascii="Verdana" w:hAnsi="Verdana"/>
                <w:i/>
                <w:color w:val="000000"/>
                <w:sz w:val="14"/>
                <w:szCs w:val="14"/>
              </w:rPr>
              <w:t>/201</w:t>
            </w:r>
            <w:r>
              <w:rPr>
                <w:rFonts w:ascii="Verdana" w:hAnsi="Verdana"/>
                <w:i/>
                <w:color w:val="000000"/>
                <w:sz w:val="14"/>
                <w:szCs w:val="14"/>
              </w:rPr>
              <w:t>9</w:t>
            </w:r>
            <w:r w:rsidRPr="000435BE">
              <w:rPr>
                <w:rFonts w:ascii="Verdana" w:hAnsi="Verdana"/>
                <w:i/>
                <w:color w:val="000000"/>
                <w:sz w:val="14"/>
                <w:szCs w:val="14"/>
              </w:rPr>
              <w:t xml:space="preserve">). </w:t>
            </w:r>
          </w:p>
        </w:tc>
      </w:tr>
    </w:tbl>
    <w:p w14:paraId="6A300ADA" w14:textId="77777777" w:rsidR="00E71803" w:rsidRDefault="00E71803" w:rsidP="00E71803">
      <w:pPr>
        <w:spacing w:after="0" w:line="320" w:lineRule="atLeast"/>
        <w:rPr>
          <w:rFonts w:ascii="Verdana" w:hAnsi="Verdana"/>
          <w:color w:val="000000"/>
          <w:sz w:val="21"/>
          <w:szCs w:val="21"/>
        </w:rPr>
      </w:pPr>
    </w:p>
    <w:p w14:paraId="62EE3CC7" w14:textId="77777777" w:rsidR="005F5553" w:rsidRDefault="005F5553" w:rsidP="005F5553">
      <w:pPr>
        <w:spacing w:after="0" w:line="320" w:lineRule="atLeast"/>
        <w:rPr>
          <w:rFonts w:ascii="Verdana" w:hAnsi="Verdana"/>
          <w:color w:val="000000"/>
          <w:sz w:val="21"/>
          <w:szCs w:val="21"/>
        </w:rPr>
      </w:pPr>
    </w:p>
    <w:p w14:paraId="689E8AF0" w14:textId="4FE77317" w:rsidR="005F5553" w:rsidRPr="003A3D19" w:rsidRDefault="005F5553" w:rsidP="005F5553">
      <w:pPr>
        <w:spacing w:after="0" w:line="240" w:lineRule="auto"/>
        <w:jc w:val="both"/>
        <w:rPr>
          <w:rFonts w:ascii="Verdana" w:hAnsi="Verdana"/>
          <w:b/>
          <w:color w:val="C00000"/>
          <w:sz w:val="24"/>
          <w:szCs w:val="24"/>
        </w:rPr>
      </w:pPr>
      <w:r>
        <w:rPr>
          <w:rFonts w:ascii="Verdana" w:hAnsi="Verdana"/>
          <w:b/>
          <w:color w:val="C00000"/>
          <w:sz w:val="24"/>
          <w:szCs w:val="24"/>
        </w:rPr>
        <w:t>Product Issuers</w:t>
      </w:r>
    </w:p>
    <w:p w14:paraId="1534120A" w14:textId="5AD4F674" w:rsidR="0080262B" w:rsidRDefault="0074101D" w:rsidP="00014D0C">
      <w:pPr>
        <w:spacing w:after="0" w:line="340" w:lineRule="atLeast"/>
        <w:jc w:val="both"/>
        <w:rPr>
          <w:rFonts w:ascii="Verdana" w:hAnsi="Verdana"/>
          <w:sz w:val="21"/>
          <w:szCs w:val="21"/>
        </w:rPr>
      </w:pPr>
      <w:r>
        <w:rPr>
          <w:rFonts w:ascii="Verdana" w:hAnsi="Verdana"/>
          <w:b/>
          <w:sz w:val="21"/>
          <w:szCs w:val="21"/>
        </w:rPr>
        <w:t xml:space="preserve">Absa </w:t>
      </w:r>
      <w:r w:rsidR="00A34964">
        <w:rPr>
          <w:rFonts w:ascii="Verdana" w:hAnsi="Verdana"/>
          <w:b/>
          <w:sz w:val="21"/>
          <w:szCs w:val="21"/>
        </w:rPr>
        <w:t xml:space="preserve">Capital </w:t>
      </w:r>
      <w:r>
        <w:rPr>
          <w:rFonts w:ascii="Verdana" w:hAnsi="Verdana"/>
          <w:sz w:val="21"/>
          <w:szCs w:val="21"/>
        </w:rPr>
        <w:t xml:space="preserve">– </w:t>
      </w:r>
      <w:r w:rsidR="00A34964">
        <w:rPr>
          <w:rFonts w:ascii="Verdana" w:hAnsi="Verdana"/>
          <w:sz w:val="21"/>
          <w:szCs w:val="21"/>
        </w:rPr>
        <w:t xml:space="preserve">with their NewFunds and NewGold brands, </w:t>
      </w:r>
      <w:r w:rsidR="005F5553">
        <w:rPr>
          <w:rFonts w:ascii="Verdana" w:hAnsi="Verdana"/>
          <w:sz w:val="21"/>
          <w:szCs w:val="21"/>
        </w:rPr>
        <w:t xml:space="preserve">remains the dominant force in the </w:t>
      </w:r>
      <w:r w:rsidR="00A34964">
        <w:rPr>
          <w:rFonts w:ascii="Verdana" w:hAnsi="Verdana"/>
          <w:sz w:val="21"/>
          <w:szCs w:val="21"/>
        </w:rPr>
        <w:t>local ETP industry, both in number of products in issue and in the assets under management.  A key part of their success has been the commodity ETFs, the f</w:t>
      </w:r>
      <w:r w:rsidR="0000086A">
        <w:rPr>
          <w:rFonts w:ascii="Verdana" w:hAnsi="Verdana"/>
          <w:sz w:val="21"/>
          <w:szCs w:val="21"/>
        </w:rPr>
        <w:t>irst</w:t>
      </w:r>
      <w:r w:rsidR="00A34964">
        <w:rPr>
          <w:rFonts w:ascii="Verdana" w:hAnsi="Verdana"/>
          <w:sz w:val="21"/>
          <w:szCs w:val="21"/>
        </w:rPr>
        <w:t xml:space="preserve"> of which, NewGold ETF, was listed back in 2004.  The platinum and palladium tracking ETFs were listed in 20</w:t>
      </w:r>
      <w:r w:rsidR="0000086A">
        <w:rPr>
          <w:rFonts w:ascii="Verdana" w:hAnsi="Verdana"/>
          <w:sz w:val="21"/>
          <w:szCs w:val="21"/>
        </w:rPr>
        <w:t>1</w:t>
      </w:r>
      <w:r w:rsidR="00A34964">
        <w:rPr>
          <w:rFonts w:ascii="Verdana" w:hAnsi="Verdana"/>
          <w:sz w:val="21"/>
          <w:szCs w:val="21"/>
        </w:rPr>
        <w:t xml:space="preserve">3/20014.  </w:t>
      </w:r>
      <w:r w:rsidR="0000086A">
        <w:rPr>
          <w:rFonts w:ascii="Verdana" w:hAnsi="Verdana"/>
          <w:sz w:val="21"/>
          <w:szCs w:val="21"/>
        </w:rPr>
        <w:t xml:space="preserve">These </w:t>
      </w:r>
      <w:r w:rsidR="00A34964">
        <w:rPr>
          <w:rFonts w:ascii="Verdana" w:hAnsi="Verdana"/>
          <w:sz w:val="21"/>
          <w:szCs w:val="21"/>
        </w:rPr>
        <w:t xml:space="preserve">products track the price of </w:t>
      </w:r>
      <w:r w:rsidR="0000086A">
        <w:rPr>
          <w:rFonts w:ascii="Verdana" w:hAnsi="Verdana"/>
          <w:sz w:val="21"/>
          <w:szCs w:val="21"/>
        </w:rPr>
        <w:t>a</w:t>
      </w:r>
      <w:r w:rsidR="00A34964">
        <w:rPr>
          <w:rFonts w:ascii="Verdana" w:hAnsi="Verdana"/>
          <w:sz w:val="21"/>
          <w:szCs w:val="21"/>
        </w:rPr>
        <w:t xml:space="preserve"> precious metal and are 100% backed by the holding of the physical bullion.  These three commodity ETFs account for a market capitalisation of R28,3</w:t>
      </w:r>
      <w:r w:rsidR="005F5553">
        <w:rPr>
          <w:rFonts w:ascii="Verdana" w:hAnsi="Verdana"/>
          <w:sz w:val="21"/>
          <w:szCs w:val="21"/>
        </w:rPr>
        <w:t xml:space="preserve"> billion</w:t>
      </w:r>
      <w:r w:rsidR="00A34964">
        <w:rPr>
          <w:rFonts w:ascii="Verdana" w:hAnsi="Verdana"/>
          <w:sz w:val="21"/>
          <w:szCs w:val="21"/>
        </w:rPr>
        <w:t xml:space="preserve">, or 92% of the total AUM for Absa Capital ETFs.  </w:t>
      </w:r>
    </w:p>
    <w:p w14:paraId="330B61FC" w14:textId="7CA9497D" w:rsidR="00A34964" w:rsidRDefault="00A34964" w:rsidP="0000086A">
      <w:pPr>
        <w:spacing w:after="0" w:line="320" w:lineRule="atLeast"/>
        <w:jc w:val="both"/>
        <w:rPr>
          <w:rFonts w:ascii="Verdana" w:hAnsi="Verdana"/>
          <w:sz w:val="21"/>
          <w:szCs w:val="21"/>
        </w:rPr>
      </w:pPr>
      <w:r>
        <w:rPr>
          <w:rFonts w:ascii="Verdana" w:hAnsi="Verdana"/>
          <w:b/>
          <w:bCs/>
          <w:sz w:val="21"/>
          <w:szCs w:val="21"/>
        </w:rPr>
        <w:lastRenderedPageBreak/>
        <w:t>Satrix Managers</w:t>
      </w:r>
      <w:r>
        <w:rPr>
          <w:rFonts w:ascii="Verdana" w:hAnsi="Verdana"/>
          <w:sz w:val="21"/>
          <w:szCs w:val="21"/>
        </w:rPr>
        <w:t xml:space="preserve"> – have now overtaken Sygnia Itrix as the second largest issuer of ETP securities on the JSE.  Satrix’s introduction of ETFs tracking global indices in 2017/2018, using international ETPs as feeder funds, has been a success and accounts for much of the growth in demand for </w:t>
      </w:r>
      <w:r w:rsidR="0000086A">
        <w:rPr>
          <w:rFonts w:ascii="Verdana" w:hAnsi="Verdana"/>
          <w:sz w:val="21"/>
          <w:szCs w:val="21"/>
        </w:rPr>
        <w:t>Satrix</w:t>
      </w:r>
      <w:r>
        <w:rPr>
          <w:rFonts w:ascii="Verdana" w:hAnsi="Verdana"/>
          <w:sz w:val="21"/>
          <w:szCs w:val="21"/>
        </w:rPr>
        <w:t xml:space="preserve"> products in recent times.  </w:t>
      </w:r>
    </w:p>
    <w:p w14:paraId="57BAEC42" w14:textId="77777777" w:rsidR="00A34964" w:rsidRDefault="00A34964" w:rsidP="0000086A">
      <w:pPr>
        <w:spacing w:after="0" w:line="320" w:lineRule="atLeast"/>
        <w:jc w:val="both"/>
        <w:rPr>
          <w:rFonts w:ascii="Verdana" w:hAnsi="Verdana"/>
          <w:sz w:val="21"/>
          <w:szCs w:val="21"/>
        </w:rPr>
      </w:pPr>
    </w:p>
    <w:p w14:paraId="5D27105C" w14:textId="7151EB64" w:rsidR="00A34964" w:rsidRDefault="00A34964" w:rsidP="0000086A">
      <w:pPr>
        <w:spacing w:after="0" w:line="320" w:lineRule="atLeast"/>
        <w:jc w:val="both"/>
        <w:rPr>
          <w:rFonts w:ascii="Verdana" w:hAnsi="Verdana"/>
          <w:sz w:val="21"/>
          <w:szCs w:val="21"/>
        </w:rPr>
      </w:pPr>
      <w:r>
        <w:rPr>
          <w:rFonts w:ascii="Verdana" w:hAnsi="Verdana"/>
          <w:sz w:val="21"/>
          <w:szCs w:val="21"/>
        </w:rPr>
        <w:t xml:space="preserve">Satrix raised R2,87 billion in new capital from listings of additional securities in these ETF line-up in 2019.  By contrast, Sygnia Itrix, </w:t>
      </w:r>
      <w:r w:rsidR="0000086A">
        <w:rPr>
          <w:rFonts w:ascii="Verdana" w:hAnsi="Verdana"/>
          <w:sz w:val="21"/>
          <w:szCs w:val="21"/>
        </w:rPr>
        <w:t>returned</w:t>
      </w:r>
      <w:r>
        <w:rPr>
          <w:rFonts w:ascii="Verdana" w:hAnsi="Verdana"/>
          <w:sz w:val="21"/>
          <w:szCs w:val="21"/>
        </w:rPr>
        <w:t xml:space="preserve"> capital of R1,0 billion to investors in 2019 from redemptions of their ETFs.  This swing in capital f</w:t>
      </w:r>
      <w:r w:rsidR="0000086A">
        <w:rPr>
          <w:rFonts w:ascii="Verdana" w:hAnsi="Verdana"/>
          <w:sz w:val="21"/>
          <w:szCs w:val="21"/>
        </w:rPr>
        <w:t>ormation appears to be</w:t>
      </w:r>
      <w:r>
        <w:rPr>
          <w:rFonts w:ascii="Verdana" w:hAnsi="Verdana"/>
          <w:sz w:val="21"/>
          <w:szCs w:val="21"/>
        </w:rPr>
        <w:t xml:space="preserve"> the key factor</w:t>
      </w:r>
      <w:r w:rsidR="002A439C">
        <w:rPr>
          <w:rFonts w:ascii="Verdana" w:hAnsi="Verdana"/>
          <w:sz w:val="21"/>
          <w:szCs w:val="21"/>
        </w:rPr>
        <w:t xml:space="preserve"> in Satrix overtaking Sygnia Itrix in the rankings by size last year. </w:t>
      </w:r>
    </w:p>
    <w:p w14:paraId="2CD63EB6" w14:textId="77777777" w:rsidR="0074101D" w:rsidRDefault="0074101D" w:rsidP="0000086A">
      <w:pPr>
        <w:spacing w:after="0" w:line="320" w:lineRule="atLeast"/>
        <w:jc w:val="both"/>
        <w:rPr>
          <w:rFonts w:ascii="Verdana" w:hAnsi="Verdana"/>
          <w:b/>
          <w:sz w:val="21"/>
          <w:szCs w:val="21"/>
        </w:rPr>
      </w:pPr>
    </w:p>
    <w:p w14:paraId="0A24A4FC" w14:textId="6EC0559C" w:rsidR="002536F5" w:rsidRDefault="00AC5FC2" w:rsidP="0000086A">
      <w:pPr>
        <w:spacing w:after="0" w:line="320" w:lineRule="atLeast"/>
        <w:jc w:val="both"/>
        <w:rPr>
          <w:rFonts w:ascii="Verdana" w:hAnsi="Verdana"/>
          <w:sz w:val="21"/>
          <w:szCs w:val="21"/>
        </w:rPr>
      </w:pPr>
      <w:r>
        <w:rPr>
          <w:rFonts w:ascii="Verdana" w:hAnsi="Verdana"/>
          <w:b/>
          <w:sz w:val="21"/>
          <w:szCs w:val="21"/>
        </w:rPr>
        <w:t>Sygnia Itrix</w:t>
      </w:r>
      <w:r w:rsidR="00A97831" w:rsidRPr="00F56643">
        <w:rPr>
          <w:rFonts w:ascii="Verdana" w:hAnsi="Verdana"/>
          <w:sz w:val="21"/>
          <w:szCs w:val="21"/>
        </w:rPr>
        <w:t xml:space="preserve"> </w:t>
      </w:r>
      <w:r w:rsidR="009F66FE">
        <w:rPr>
          <w:rFonts w:ascii="Verdana" w:hAnsi="Verdana"/>
          <w:sz w:val="21"/>
          <w:szCs w:val="21"/>
        </w:rPr>
        <w:t>–</w:t>
      </w:r>
      <w:r w:rsidR="00A85AC4">
        <w:rPr>
          <w:rFonts w:ascii="Verdana" w:hAnsi="Verdana"/>
          <w:sz w:val="21"/>
          <w:szCs w:val="21"/>
        </w:rPr>
        <w:t xml:space="preserve"> </w:t>
      </w:r>
      <w:r w:rsidR="002A439C">
        <w:rPr>
          <w:rFonts w:ascii="Verdana" w:hAnsi="Verdana"/>
          <w:sz w:val="21"/>
          <w:szCs w:val="21"/>
        </w:rPr>
        <w:t>Remains closely behind Satrix as one of the top 3 issuers of ETFs in South Africa.  It continues to issue the biggest ETF</w:t>
      </w:r>
      <w:r w:rsidR="0000086A">
        <w:rPr>
          <w:rFonts w:ascii="Verdana" w:hAnsi="Verdana"/>
          <w:sz w:val="21"/>
          <w:szCs w:val="21"/>
        </w:rPr>
        <w:t>s</w:t>
      </w:r>
      <w:r w:rsidR="002A439C">
        <w:rPr>
          <w:rFonts w:ascii="Verdana" w:hAnsi="Verdana"/>
          <w:sz w:val="21"/>
          <w:szCs w:val="21"/>
        </w:rPr>
        <w:t xml:space="preserve">, by market capitalisation, in many of the foreign markets and has a strong institutional following. </w:t>
      </w:r>
    </w:p>
    <w:p w14:paraId="15AC6B51" w14:textId="4D569E1A" w:rsidR="00D65796" w:rsidRDefault="00D65796" w:rsidP="0000086A">
      <w:pPr>
        <w:spacing w:after="0" w:line="320" w:lineRule="atLeast"/>
        <w:jc w:val="both"/>
        <w:rPr>
          <w:rFonts w:ascii="Verdana" w:hAnsi="Verdana"/>
          <w:sz w:val="21"/>
          <w:szCs w:val="21"/>
        </w:rPr>
      </w:pPr>
    </w:p>
    <w:p w14:paraId="0EFC2CEF" w14:textId="7EF93665" w:rsidR="00715DF1" w:rsidRDefault="002A439C" w:rsidP="0000086A">
      <w:pPr>
        <w:spacing w:after="0" w:line="320" w:lineRule="atLeast"/>
        <w:jc w:val="both"/>
        <w:rPr>
          <w:rFonts w:ascii="Verdana" w:hAnsi="Verdana"/>
          <w:sz w:val="21"/>
          <w:szCs w:val="21"/>
        </w:rPr>
      </w:pPr>
      <w:r>
        <w:rPr>
          <w:rFonts w:ascii="Verdana" w:hAnsi="Verdana"/>
          <w:b/>
          <w:bCs/>
          <w:sz w:val="21"/>
          <w:szCs w:val="21"/>
        </w:rPr>
        <w:t>1nvest</w:t>
      </w:r>
      <w:r w:rsidR="00715DF1">
        <w:rPr>
          <w:rFonts w:ascii="Verdana" w:hAnsi="Verdana"/>
          <w:sz w:val="21"/>
          <w:szCs w:val="21"/>
        </w:rPr>
        <w:t xml:space="preserve"> – </w:t>
      </w:r>
      <w:r>
        <w:rPr>
          <w:rFonts w:ascii="Verdana" w:hAnsi="Verdana"/>
          <w:sz w:val="21"/>
          <w:szCs w:val="21"/>
        </w:rPr>
        <w:t xml:space="preserve">the merger of Standard Bank ETFs and Stanlib ETFs into a single brand, should bring efficiencies in </w:t>
      </w:r>
      <w:r w:rsidR="009732C5">
        <w:rPr>
          <w:rFonts w:ascii="Verdana" w:hAnsi="Verdana"/>
          <w:sz w:val="21"/>
          <w:szCs w:val="21"/>
        </w:rPr>
        <w:t>economies</w:t>
      </w:r>
      <w:r>
        <w:rPr>
          <w:rFonts w:ascii="Verdana" w:hAnsi="Verdana"/>
          <w:sz w:val="21"/>
          <w:szCs w:val="21"/>
        </w:rPr>
        <w:t xml:space="preserve"> of scale.  With R11,3 billion assets under management, the 1nvest stable of ETFs has both size and spread in its favour as it covers global markets, commodities and the key South African indices.  </w:t>
      </w:r>
    </w:p>
    <w:p w14:paraId="17D53087" w14:textId="68B37C90" w:rsidR="00715DF1" w:rsidRDefault="00715DF1" w:rsidP="0000086A">
      <w:pPr>
        <w:spacing w:after="0" w:line="320" w:lineRule="atLeast"/>
        <w:jc w:val="both"/>
        <w:rPr>
          <w:rFonts w:ascii="Verdana" w:hAnsi="Verdana"/>
          <w:sz w:val="21"/>
          <w:szCs w:val="21"/>
        </w:rPr>
      </w:pPr>
    </w:p>
    <w:p w14:paraId="1F30DC9C" w14:textId="440C61BC" w:rsidR="00B80A20" w:rsidRDefault="00B80A20" w:rsidP="0000086A">
      <w:pPr>
        <w:spacing w:after="0" w:line="320" w:lineRule="atLeast"/>
        <w:jc w:val="both"/>
        <w:rPr>
          <w:rFonts w:ascii="Verdana" w:hAnsi="Verdana"/>
          <w:sz w:val="21"/>
          <w:szCs w:val="21"/>
        </w:rPr>
      </w:pPr>
      <w:r>
        <w:rPr>
          <w:rFonts w:ascii="Verdana" w:hAnsi="Verdana"/>
          <w:b/>
          <w:sz w:val="21"/>
          <w:szCs w:val="21"/>
        </w:rPr>
        <w:t>CoreShares</w:t>
      </w:r>
      <w:r>
        <w:rPr>
          <w:rFonts w:ascii="Verdana" w:hAnsi="Verdana"/>
          <w:sz w:val="21"/>
          <w:szCs w:val="21"/>
        </w:rPr>
        <w:t xml:space="preserve"> –</w:t>
      </w:r>
      <w:r w:rsidR="002A439C">
        <w:rPr>
          <w:rFonts w:ascii="Verdana" w:hAnsi="Verdana"/>
          <w:sz w:val="21"/>
          <w:szCs w:val="21"/>
        </w:rPr>
        <w:t xml:space="preserve"> continues to consolidate their offerings of ETFs.  The Equally Weighted Top 40 ETF was replaced by the Sci Beta Multi Factor ETF in mid-year.  Later in 2019, the PropTrax Ten and PropTrax SAPY ETFs were merged into a new CoreShares SA Property Income ETF, which focuses on high yielding listed property counters. </w:t>
      </w:r>
    </w:p>
    <w:p w14:paraId="7D542102" w14:textId="1F834D61" w:rsidR="002A439C" w:rsidRDefault="002A439C" w:rsidP="0000086A">
      <w:pPr>
        <w:spacing w:after="0" w:line="320" w:lineRule="atLeast"/>
        <w:jc w:val="both"/>
        <w:rPr>
          <w:rFonts w:ascii="Verdana" w:hAnsi="Verdana"/>
          <w:sz w:val="21"/>
          <w:szCs w:val="21"/>
        </w:rPr>
      </w:pPr>
    </w:p>
    <w:p w14:paraId="0B3C3B43" w14:textId="5098FD07" w:rsidR="002A439C" w:rsidRDefault="002A439C" w:rsidP="0000086A">
      <w:pPr>
        <w:spacing w:after="0" w:line="320" w:lineRule="atLeast"/>
        <w:jc w:val="both"/>
        <w:rPr>
          <w:rFonts w:ascii="Verdana" w:hAnsi="Verdana"/>
          <w:sz w:val="21"/>
          <w:szCs w:val="21"/>
        </w:rPr>
      </w:pPr>
      <w:r>
        <w:rPr>
          <w:rFonts w:ascii="Verdana" w:hAnsi="Verdana"/>
          <w:sz w:val="21"/>
          <w:szCs w:val="21"/>
        </w:rPr>
        <w:t>The CoreShares family of ETFs h</w:t>
      </w:r>
      <w:r w:rsidR="00F019F8">
        <w:rPr>
          <w:rFonts w:ascii="Verdana" w:hAnsi="Verdana"/>
          <w:sz w:val="21"/>
          <w:szCs w:val="21"/>
        </w:rPr>
        <w:t>a</w:t>
      </w:r>
      <w:r>
        <w:rPr>
          <w:rFonts w:ascii="Verdana" w:hAnsi="Verdana"/>
          <w:sz w:val="21"/>
          <w:szCs w:val="21"/>
        </w:rPr>
        <w:t xml:space="preserve">s grown steadily over the past eight years and total AUM now amounts to R4,4 billion, with R791,5 new capital raised in 2019.  </w:t>
      </w:r>
    </w:p>
    <w:p w14:paraId="51A1B12C" w14:textId="4316B755" w:rsidR="005C6EDE" w:rsidRDefault="005C6EDE" w:rsidP="0000086A">
      <w:pPr>
        <w:spacing w:after="0" w:line="320" w:lineRule="atLeast"/>
        <w:jc w:val="both"/>
        <w:rPr>
          <w:rFonts w:ascii="Verdana" w:hAnsi="Verdana"/>
          <w:sz w:val="21"/>
          <w:szCs w:val="21"/>
        </w:rPr>
      </w:pPr>
    </w:p>
    <w:p w14:paraId="3A173928" w14:textId="6877CF51" w:rsidR="005F02F6" w:rsidRDefault="005F02F6" w:rsidP="0000086A">
      <w:pPr>
        <w:spacing w:after="0" w:line="320" w:lineRule="atLeast"/>
        <w:jc w:val="both"/>
        <w:rPr>
          <w:rFonts w:ascii="Verdana" w:hAnsi="Verdana"/>
          <w:sz w:val="21"/>
          <w:szCs w:val="21"/>
        </w:rPr>
      </w:pPr>
      <w:r>
        <w:rPr>
          <w:rFonts w:ascii="Verdana" w:hAnsi="Verdana"/>
          <w:b/>
          <w:sz w:val="21"/>
          <w:szCs w:val="21"/>
        </w:rPr>
        <w:t>Union Bank of Switzerland (UBS) Actively Managed ETNs</w:t>
      </w:r>
      <w:r w:rsidR="00AE6B7A">
        <w:rPr>
          <w:rFonts w:ascii="Verdana" w:hAnsi="Verdana"/>
          <w:sz w:val="21"/>
          <w:szCs w:val="21"/>
        </w:rPr>
        <w:t xml:space="preserve"> </w:t>
      </w:r>
      <w:r w:rsidR="00AC5FC2">
        <w:rPr>
          <w:rFonts w:ascii="Verdana" w:hAnsi="Verdana"/>
          <w:sz w:val="21"/>
          <w:szCs w:val="21"/>
        </w:rPr>
        <w:t>–</w:t>
      </w:r>
      <w:r>
        <w:rPr>
          <w:rFonts w:ascii="Verdana" w:hAnsi="Verdana"/>
          <w:sz w:val="21"/>
          <w:szCs w:val="21"/>
        </w:rPr>
        <w:t xml:space="preserve"> in August 2018, UBS launched a programme of issuing </w:t>
      </w:r>
      <w:r w:rsidR="009732C5">
        <w:rPr>
          <w:rFonts w:ascii="Verdana" w:hAnsi="Verdana"/>
          <w:sz w:val="21"/>
          <w:szCs w:val="21"/>
        </w:rPr>
        <w:t>Portfolio</w:t>
      </w:r>
      <w:r>
        <w:rPr>
          <w:rFonts w:ascii="Verdana" w:hAnsi="Verdana"/>
          <w:sz w:val="21"/>
          <w:szCs w:val="21"/>
        </w:rPr>
        <w:t xml:space="preserve"> Notes, under the JSE ETN Listing Rules, giving access to a series of local and international </w:t>
      </w:r>
      <w:r w:rsidR="009732C5">
        <w:rPr>
          <w:rFonts w:ascii="Verdana" w:hAnsi="Verdana"/>
          <w:sz w:val="21"/>
          <w:szCs w:val="21"/>
        </w:rPr>
        <w:t>portfolios</w:t>
      </w:r>
      <w:r>
        <w:rPr>
          <w:rFonts w:ascii="Verdana" w:hAnsi="Verdana"/>
          <w:sz w:val="21"/>
          <w:szCs w:val="21"/>
        </w:rPr>
        <w:t xml:space="preserve"> operated by </w:t>
      </w:r>
      <w:r w:rsidR="009732C5">
        <w:rPr>
          <w:rFonts w:ascii="Verdana" w:hAnsi="Verdana"/>
          <w:sz w:val="21"/>
          <w:szCs w:val="21"/>
        </w:rPr>
        <w:t>various</w:t>
      </w:r>
      <w:r>
        <w:rPr>
          <w:rFonts w:ascii="Verdana" w:hAnsi="Verdana"/>
          <w:sz w:val="21"/>
          <w:szCs w:val="21"/>
        </w:rPr>
        <w:t xml:space="preserve"> asset managers.  This programme has now expanded to eight ETNs, of which the most recent listing was the Momentum Securities Global </w:t>
      </w:r>
      <w:r w:rsidR="009732C5">
        <w:rPr>
          <w:rFonts w:ascii="Verdana" w:hAnsi="Verdana"/>
          <w:sz w:val="21"/>
          <w:szCs w:val="21"/>
        </w:rPr>
        <w:t>Shari’ah</w:t>
      </w:r>
      <w:r>
        <w:rPr>
          <w:rFonts w:ascii="Verdana" w:hAnsi="Verdana"/>
          <w:sz w:val="21"/>
          <w:szCs w:val="21"/>
        </w:rPr>
        <w:t xml:space="preserve"> </w:t>
      </w:r>
      <w:r w:rsidR="009732C5">
        <w:rPr>
          <w:rFonts w:ascii="Verdana" w:hAnsi="Verdana"/>
          <w:sz w:val="21"/>
          <w:szCs w:val="21"/>
        </w:rPr>
        <w:t>Portfolio</w:t>
      </w:r>
      <w:r>
        <w:rPr>
          <w:rFonts w:ascii="Verdana" w:hAnsi="Verdana"/>
          <w:sz w:val="21"/>
          <w:szCs w:val="21"/>
        </w:rPr>
        <w:t xml:space="preserve"> ETN, </w:t>
      </w:r>
      <w:r w:rsidR="0000086A">
        <w:rPr>
          <w:rFonts w:ascii="Verdana" w:hAnsi="Verdana"/>
          <w:sz w:val="21"/>
          <w:szCs w:val="21"/>
        </w:rPr>
        <w:t xml:space="preserve">targeted at </w:t>
      </w:r>
      <w:r>
        <w:rPr>
          <w:rFonts w:ascii="Verdana" w:hAnsi="Verdana"/>
          <w:sz w:val="21"/>
          <w:szCs w:val="21"/>
        </w:rPr>
        <w:t xml:space="preserve"> Islamic investors.  </w:t>
      </w:r>
    </w:p>
    <w:p w14:paraId="6B7A512A" w14:textId="77777777" w:rsidR="005F02F6" w:rsidRDefault="005F02F6" w:rsidP="0000086A">
      <w:pPr>
        <w:spacing w:after="0" w:line="320" w:lineRule="atLeast"/>
        <w:jc w:val="both"/>
        <w:rPr>
          <w:rFonts w:ascii="Verdana" w:hAnsi="Verdana"/>
          <w:sz w:val="21"/>
          <w:szCs w:val="21"/>
        </w:rPr>
      </w:pPr>
    </w:p>
    <w:p w14:paraId="3B8F64D8" w14:textId="7284221F" w:rsidR="00B80A20" w:rsidRDefault="005F02F6" w:rsidP="00F019F8">
      <w:pPr>
        <w:spacing w:after="120" w:line="320" w:lineRule="atLeast"/>
        <w:jc w:val="both"/>
        <w:rPr>
          <w:rFonts w:ascii="Verdana" w:hAnsi="Verdana"/>
          <w:sz w:val="21"/>
          <w:szCs w:val="21"/>
        </w:rPr>
      </w:pPr>
      <w:r>
        <w:rPr>
          <w:rFonts w:ascii="Verdana" w:hAnsi="Verdana"/>
          <w:sz w:val="21"/>
          <w:szCs w:val="21"/>
        </w:rPr>
        <w:t xml:space="preserve">The </w:t>
      </w:r>
      <w:r w:rsidR="0000086A">
        <w:rPr>
          <w:rFonts w:ascii="Verdana" w:hAnsi="Verdana"/>
          <w:sz w:val="21"/>
          <w:szCs w:val="21"/>
        </w:rPr>
        <w:t>listing</w:t>
      </w:r>
      <w:r>
        <w:rPr>
          <w:rFonts w:ascii="Verdana" w:hAnsi="Verdana"/>
          <w:sz w:val="21"/>
          <w:szCs w:val="21"/>
        </w:rPr>
        <w:t xml:space="preserve"> of actively managed portfolios under ETN not</w:t>
      </w:r>
      <w:r w:rsidR="0000086A">
        <w:rPr>
          <w:rFonts w:ascii="Verdana" w:hAnsi="Verdana"/>
          <w:sz w:val="21"/>
          <w:szCs w:val="21"/>
        </w:rPr>
        <w:t>e</w:t>
      </w:r>
      <w:r>
        <w:rPr>
          <w:rFonts w:ascii="Verdana" w:hAnsi="Verdana"/>
          <w:sz w:val="21"/>
          <w:szCs w:val="21"/>
        </w:rPr>
        <w:t xml:space="preserve"> programmes, underwritte</w:t>
      </w:r>
      <w:r w:rsidR="009732C5">
        <w:rPr>
          <w:rFonts w:ascii="Verdana" w:hAnsi="Verdana"/>
          <w:sz w:val="21"/>
          <w:szCs w:val="21"/>
        </w:rPr>
        <w:t>n</w:t>
      </w:r>
      <w:r>
        <w:rPr>
          <w:rFonts w:ascii="Verdana" w:hAnsi="Verdana"/>
          <w:sz w:val="21"/>
          <w:szCs w:val="21"/>
        </w:rPr>
        <w:t xml:space="preserve"> by investment grade banks, is a structu</w:t>
      </w:r>
      <w:r w:rsidR="009732C5">
        <w:rPr>
          <w:rFonts w:ascii="Verdana" w:hAnsi="Verdana"/>
          <w:sz w:val="21"/>
          <w:szCs w:val="21"/>
        </w:rPr>
        <w:t>r</w:t>
      </w:r>
      <w:r>
        <w:rPr>
          <w:rFonts w:ascii="Verdana" w:hAnsi="Verdana"/>
          <w:sz w:val="21"/>
          <w:szCs w:val="21"/>
        </w:rPr>
        <w:t>e which cou</w:t>
      </w:r>
      <w:r w:rsidR="009732C5">
        <w:rPr>
          <w:rFonts w:ascii="Verdana" w:hAnsi="Verdana"/>
          <w:sz w:val="21"/>
          <w:szCs w:val="21"/>
        </w:rPr>
        <w:t>l</w:t>
      </w:r>
      <w:r>
        <w:rPr>
          <w:rFonts w:ascii="Verdana" w:hAnsi="Verdana"/>
          <w:sz w:val="21"/>
          <w:szCs w:val="21"/>
        </w:rPr>
        <w:t xml:space="preserve">d lead to further </w:t>
      </w:r>
      <w:r w:rsidR="0000086A">
        <w:rPr>
          <w:rFonts w:ascii="Verdana" w:hAnsi="Verdana"/>
          <w:sz w:val="21"/>
          <w:szCs w:val="21"/>
        </w:rPr>
        <w:t>growth in the</w:t>
      </w:r>
      <w:r>
        <w:rPr>
          <w:rFonts w:ascii="Verdana" w:hAnsi="Verdana"/>
          <w:sz w:val="21"/>
          <w:szCs w:val="21"/>
        </w:rPr>
        <w:t xml:space="preserve"> listing </w:t>
      </w:r>
      <w:r w:rsidR="0000086A">
        <w:rPr>
          <w:rFonts w:ascii="Verdana" w:hAnsi="Verdana"/>
          <w:sz w:val="21"/>
          <w:szCs w:val="21"/>
        </w:rPr>
        <w:t xml:space="preserve">of </w:t>
      </w:r>
      <w:r>
        <w:rPr>
          <w:rFonts w:ascii="Verdana" w:hAnsi="Verdana"/>
          <w:sz w:val="21"/>
          <w:szCs w:val="21"/>
        </w:rPr>
        <w:t xml:space="preserve">actively managed portfolios.  </w:t>
      </w:r>
      <w:r w:rsidR="00AC54A6">
        <w:rPr>
          <w:rFonts w:ascii="Verdana" w:hAnsi="Verdana"/>
          <w:sz w:val="21"/>
          <w:szCs w:val="21"/>
        </w:rPr>
        <w:t xml:space="preserve">  </w:t>
      </w:r>
      <w:bookmarkStart w:id="0" w:name="_GoBack"/>
      <w:bookmarkEnd w:id="0"/>
    </w:p>
    <w:p w14:paraId="348057A5" w14:textId="77777777" w:rsidR="00C6212D" w:rsidRPr="0000086A" w:rsidRDefault="00C6212D" w:rsidP="0000086A">
      <w:pPr>
        <w:pBdr>
          <w:top w:val="single" w:sz="4" w:space="1" w:color="auto"/>
        </w:pBdr>
        <w:spacing w:after="0" w:line="240" w:lineRule="auto"/>
        <w:rPr>
          <w:sz w:val="15"/>
          <w:szCs w:val="15"/>
          <w:lang w:eastAsia="en-ZA"/>
        </w:rPr>
      </w:pPr>
      <w:r w:rsidRPr="0000086A">
        <w:rPr>
          <w:rFonts w:ascii="Arial" w:hAnsi="Arial"/>
          <w:b/>
          <w:i/>
          <w:color w:val="0F0D35"/>
          <w:sz w:val="15"/>
          <w:szCs w:val="15"/>
        </w:rPr>
        <w:t xml:space="preserve">Disclaimer: </w:t>
      </w:r>
      <w:r w:rsidRPr="0000086A">
        <w:rPr>
          <w:rFonts w:ascii="Arial" w:hAnsi="Arial"/>
          <w:color w:val="000000"/>
          <w:sz w:val="15"/>
          <w:szCs w:val="15"/>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341D3584"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E9485D7" w14:textId="64A3D211" w:rsidR="00407678"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407678" w:rsidRPr="0000086A" w:rsidSect="00A572A0">
      <w:footerReference w:type="default" r:id="rId9"/>
      <w:pgSz w:w="11906" w:h="16838" w:code="9"/>
      <w:pgMar w:top="851" w:right="851"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76B43" w14:textId="77777777" w:rsidR="002F19B0" w:rsidRDefault="002F19B0" w:rsidP="001860C2">
      <w:pPr>
        <w:spacing w:after="0" w:line="240" w:lineRule="auto"/>
      </w:pPr>
      <w:r>
        <w:separator/>
      </w:r>
    </w:p>
  </w:endnote>
  <w:endnote w:type="continuationSeparator" w:id="0">
    <w:p w14:paraId="02F2D7FE" w14:textId="77777777" w:rsidR="002F19B0" w:rsidRDefault="002F19B0"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2F19B0" w:rsidRPr="001860C2" w:rsidRDefault="002F19B0"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63265" w14:textId="77777777" w:rsidR="002F19B0" w:rsidRDefault="002F19B0" w:rsidP="001860C2">
      <w:pPr>
        <w:spacing w:after="0" w:line="240" w:lineRule="auto"/>
      </w:pPr>
      <w:r>
        <w:separator/>
      </w:r>
    </w:p>
  </w:footnote>
  <w:footnote w:type="continuationSeparator" w:id="0">
    <w:p w14:paraId="444FB782" w14:textId="77777777" w:rsidR="002F19B0" w:rsidRDefault="002F19B0"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51D"/>
    <w:multiLevelType w:val="hybridMultilevel"/>
    <w:tmpl w:val="9504678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1"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E51D4C"/>
    <w:multiLevelType w:val="hybridMultilevel"/>
    <w:tmpl w:val="0AB07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8B1364"/>
    <w:multiLevelType w:val="hybridMultilevel"/>
    <w:tmpl w:val="FFE6E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7086E3A"/>
    <w:multiLevelType w:val="hybridMultilevel"/>
    <w:tmpl w:val="D7A8C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B5A29A1"/>
    <w:multiLevelType w:val="hybridMultilevel"/>
    <w:tmpl w:val="66A8A1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9A03C17"/>
    <w:multiLevelType w:val="hybridMultilevel"/>
    <w:tmpl w:val="FD4C19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91332C4"/>
    <w:multiLevelType w:val="hybridMultilevel"/>
    <w:tmpl w:val="74541E3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num w:numId="1">
    <w:abstractNumId w:val="11"/>
  </w:num>
  <w:num w:numId="2">
    <w:abstractNumId w:val="0"/>
  </w:num>
  <w:num w:numId="3">
    <w:abstractNumId w:val="7"/>
  </w:num>
  <w:num w:numId="4">
    <w:abstractNumId w:val="4"/>
  </w:num>
  <w:num w:numId="5">
    <w:abstractNumId w:val="1"/>
  </w:num>
  <w:num w:numId="6">
    <w:abstractNumId w:val="12"/>
  </w:num>
  <w:num w:numId="7">
    <w:abstractNumId w:val="3"/>
  </w:num>
  <w:num w:numId="8">
    <w:abstractNumId w:val="5"/>
  </w:num>
  <w:num w:numId="9">
    <w:abstractNumId w:val="2"/>
  </w:num>
  <w:num w:numId="10">
    <w:abstractNumId w:val="6"/>
  </w:num>
  <w:num w:numId="11">
    <w:abstractNumId w:val="8"/>
  </w:num>
  <w:num w:numId="12">
    <w:abstractNumId w:val="1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0086A"/>
    <w:rsid w:val="000144B3"/>
    <w:rsid w:val="00014D0C"/>
    <w:rsid w:val="00034E06"/>
    <w:rsid w:val="00042250"/>
    <w:rsid w:val="000435BE"/>
    <w:rsid w:val="0005247E"/>
    <w:rsid w:val="00063719"/>
    <w:rsid w:val="00064D86"/>
    <w:rsid w:val="00065FC4"/>
    <w:rsid w:val="00072FB5"/>
    <w:rsid w:val="000736A9"/>
    <w:rsid w:val="00083E17"/>
    <w:rsid w:val="00086ECE"/>
    <w:rsid w:val="000B189D"/>
    <w:rsid w:val="000C1ACB"/>
    <w:rsid w:val="000C2A04"/>
    <w:rsid w:val="000D0FF5"/>
    <w:rsid w:val="000F1A9D"/>
    <w:rsid w:val="000F2E19"/>
    <w:rsid w:val="000F4D11"/>
    <w:rsid w:val="000F676D"/>
    <w:rsid w:val="001011BA"/>
    <w:rsid w:val="001113DA"/>
    <w:rsid w:val="001113EA"/>
    <w:rsid w:val="00112914"/>
    <w:rsid w:val="001149F4"/>
    <w:rsid w:val="001161FE"/>
    <w:rsid w:val="001169ED"/>
    <w:rsid w:val="001255EF"/>
    <w:rsid w:val="0013147F"/>
    <w:rsid w:val="00137500"/>
    <w:rsid w:val="0016524A"/>
    <w:rsid w:val="001723F2"/>
    <w:rsid w:val="00175BD4"/>
    <w:rsid w:val="00185009"/>
    <w:rsid w:val="001860C2"/>
    <w:rsid w:val="0019419C"/>
    <w:rsid w:val="001951A8"/>
    <w:rsid w:val="001976A7"/>
    <w:rsid w:val="001A440E"/>
    <w:rsid w:val="001A6952"/>
    <w:rsid w:val="001B0CAA"/>
    <w:rsid w:val="001C426E"/>
    <w:rsid w:val="001C48EF"/>
    <w:rsid w:val="001D3AD8"/>
    <w:rsid w:val="001F12A9"/>
    <w:rsid w:val="001F6BD9"/>
    <w:rsid w:val="00211E65"/>
    <w:rsid w:val="00214624"/>
    <w:rsid w:val="00215EC5"/>
    <w:rsid w:val="00240106"/>
    <w:rsid w:val="0024764F"/>
    <w:rsid w:val="002536F5"/>
    <w:rsid w:val="00260037"/>
    <w:rsid w:val="00267A62"/>
    <w:rsid w:val="00270178"/>
    <w:rsid w:val="0027130E"/>
    <w:rsid w:val="00271472"/>
    <w:rsid w:val="00275FDA"/>
    <w:rsid w:val="002821C1"/>
    <w:rsid w:val="00283442"/>
    <w:rsid w:val="0028580C"/>
    <w:rsid w:val="00287580"/>
    <w:rsid w:val="002A439C"/>
    <w:rsid w:val="002A4EC3"/>
    <w:rsid w:val="002A6914"/>
    <w:rsid w:val="002D4D18"/>
    <w:rsid w:val="002E4F01"/>
    <w:rsid w:val="002E6A24"/>
    <w:rsid w:val="002F19B0"/>
    <w:rsid w:val="00321934"/>
    <w:rsid w:val="003230DF"/>
    <w:rsid w:val="00337675"/>
    <w:rsid w:val="00340ED3"/>
    <w:rsid w:val="00345103"/>
    <w:rsid w:val="00356055"/>
    <w:rsid w:val="00371A95"/>
    <w:rsid w:val="00380C83"/>
    <w:rsid w:val="00382ADA"/>
    <w:rsid w:val="003835A0"/>
    <w:rsid w:val="00383630"/>
    <w:rsid w:val="003935AB"/>
    <w:rsid w:val="00394359"/>
    <w:rsid w:val="003A0D8D"/>
    <w:rsid w:val="003A29FB"/>
    <w:rsid w:val="003A3D19"/>
    <w:rsid w:val="003A6075"/>
    <w:rsid w:val="003B10C9"/>
    <w:rsid w:val="003B4F95"/>
    <w:rsid w:val="003C278D"/>
    <w:rsid w:val="003C36D7"/>
    <w:rsid w:val="003C6031"/>
    <w:rsid w:val="003C700A"/>
    <w:rsid w:val="003D13C9"/>
    <w:rsid w:val="003D5B90"/>
    <w:rsid w:val="003E41CF"/>
    <w:rsid w:val="003F5A00"/>
    <w:rsid w:val="003F6A02"/>
    <w:rsid w:val="003F7712"/>
    <w:rsid w:val="004038EE"/>
    <w:rsid w:val="0040423E"/>
    <w:rsid w:val="00407678"/>
    <w:rsid w:val="00417CC4"/>
    <w:rsid w:val="00433C1B"/>
    <w:rsid w:val="00434DA5"/>
    <w:rsid w:val="00435E56"/>
    <w:rsid w:val="00441724"/>
    <w:rsid w:val="00451766"/>
    <w:rsid w:val="00486A17"/>
    <w:rsid w:val="004A1759"/>
    <w:rsid w:val="004B0713"/>
    <w:rsid w:val="004C1102"/>
    <w:rsid w:val="004C60DA"/>
    <w:rsid w:val="004D1524"/>
    <w:rsid w:val="004D6498"/>
    <w:rsid w:val="004E2922"/>
    <w:rsid w:val="004F0766"/>
    <w:rsid w:val="0050685E"/>
    <w:rsid w:val="00511FB5"/>
    <w:rsid w:val="005135D4"/>
    <w:rsid w:val="005248F6"/>
    <w:rsid w:val="005355B2"/>
    <w:rsid w:val="00557D80"/>
    <w:rsid w:val="00561C75"/>
    <w:rsid w:val="005628FE"/>
    <w:rsid w:val="00574800"/>
    <w:rsid w:val="00587E90"/>
    <w:rsid w:val="005923A8"/>
    <w:rsid w:val="005A16E0"/>
    <w:rsid w:val="005A21ED"/>
    <w:rsid w:val="005A77A2"/>
    <w:rsid w:val="005B0C73"/>
    <w:rsid w:val="005C6EDE"/>
    <w:rsid w:val="005D7F9E"/>
    <w:rsid w:val="005E6456"/>
    <w:rsid w:val="005F02F6"/>
    <w:rsid w:val="005F2A62"/>
    <w:rsid w:val="005F3B27"/>
    <w:rsid w:val="005F5553"/>
    <w:rsid w:val="005F72F5"/>
    <w:rsid w:val="006052EB"/>
    <w:rsid w:val="00605876"/>
    <w:rsid w:val="00606273"/>
    <w:rsid w:val="00607890"/>
    <w:rsid w:val="00610270"/>
    <w:rsid w:val="00611D35"/>
    <w:rsid w:val="006124A0"/>
    <w:rsid w:val="0062560E"/>
    <w:rsid w:val="00634A9D"/>
    <w:rsid w:val="00650F13"/>
    <w:rsid w:val="00653EAC"/>
    <w:rsid w:val="006557AA"/>
    <w:rsid w:val="00665208"/>
    <w:rsid w:val="00665C94"/>
    <w:rsid w:val="00667B94"/>
    <w:rsid w:val="00670E82"/>
    <w:rsid w:val="00690162"/>
    <w:rsid w:val="006924BC"/>
    <w:rsid w:val="006A0C56"/>
    <w:rsid w:val="006A24D6"/>
    <w:rsid w:val="006A6635"/>
    <w:rsid w:val="006B620E"/>
    <w:rsid w:val="006C3432"/>
    <w:rsid w:val="006D32E9"/>
    <w:rsid w:val="006D3930"/>
    <w:rsid w:val="006E70F6"/>
    <w:rsid w:val="007017CF"/>
    <w:rsid w:val="007028A0"/>
    <w:rsid w:val="00705212"/>
    <w:rsid w:val="007153E8"/>
    <w:rsid w:val="00715DF1"/>
    <w:rsid w:val="00727AC5"/>
    <w:rsid w:val="00737776"/>
    <w:rsid w:val="0074101D"/>
    <w:rsid w:val="0075135D"/>
    <w:rsid w:val="00752C5D"/>
    <w:rsid w:val="0075656E"/>
    <w:rsid w:val="007617B4"/>
    <w:rsid w:val="00761DC1"/>
    <w:rsid w:val="007640DF"/>
    <w:rsid w:val="00774D53"/>
    <w:rsid w:val="0078694D"/>
    <w:rsid w:val="00792524"/>
    <w:rsid w:val="007A7050"/>
    <w:rsid w:val="007B1D8E"/>
    <w:rsid w:val="007B3F08"/>
    <w:rsid w:val="007C2AC1"/>
    <w:rsid w:val="007C4EB1"/>
    <w:rsid w:val="007D1C48"/>
    <w:rsid w:val="007D3765"/>
    <w:rsid w:val="007E5C23"/>
    <w:rsid w:val="007F2E9B"/>
    <w:rsid w:val="007F4718"/>
    <w:rsid w:val="007F5E1E"/>
    <w:rsid w:val="0080262B"/>
    <w:rsid w:val="0080317E"/>
    <w:rsid w:val="008033A1"/>
    <w:rsid w:val="00810312"/>
    <w:rsid w:val="0082551A"/>
    <w:rsid w:val="00831695"/>
    <w:rsid w:val="00834896"/>
    <w:rsid w:val="008678CF"/>
    <w:rsid w:val="00870751"/>
    <w:rsid w:val="008723C3"/>
    <w:rsid w:val="00873A85"/>
    <w:rsid w:val="00874BC3"/>
    <w:rsid w:val="008767CE"/>
    <w:rsid w:val="008927A0"/>
    <w:rsid w:val="0089761A"/>
    <w:rsid w:val="008A7891"/>
    <w:rsid w:val="008B14A6"/>
    <w:rsid w:val="008B1AB4"/>
    <w:rsid w:val="008B4F73"/>
    <w:rsid w:val="008C19C4"/>
    <w:rsid w:val="008C2BE8"/>
    <w:rsid w:val="008C4FF1"/>
    <w:rsid w:val="008D5DE6"/>
    <w:rsid w:val="008E2FDF"/>
    <w:rsid w:val="008F5B96"/>
    <w:rsid w:val="00900106"/>
    <w:rsid w:val="00900795"/>
    <w:rsid w:val="00902C9D"/>
    <w:rsid w:val="00912273"/>
    <w:rsid w:val="0092766E"/>
    <w:rsid w:val="00932B35"/>
    <w:rsid w:val="00933922"/>
    <w:rsid w:val="00935C75"/>
    <w:rsid w:val="00967F07"/>
    <w:rsid w:val="009732C5"/>
    <w:rsid w:val="00976701"/>
    <w:rsid w:val="00976971"/>
    <w:rsid w:val="00990E6C"/>
    <w:rsid w:val="009A0517"/>
    <w:rsid w:val="009C3FDD"/>
    <w:rsid w:val="009D06A1"/>
    <w:rsid w:val="009D1D25"/>
    <w:rsid w:val="009D539F"/>
    <w:rsid w:val="009D63BC"/>
    <w:rsid w:val="009E06CC"/>
    <w:rsid w:val="009E19AA"/>
    <w:rsid w:val="009E4AA6"/>
    <w:rsid w:val="009F598B"/>
    <w:rsid w:val="009F66FE"/>
    <w:rsid w:val="009F7261"/>
    <w:rsid w:val="00A00FDB"/>
    <w:rsid w:val="00A018BA"/>
    <w:rsid w:val="00A01E0B"/>
    <w:rsid w:val="00A029E7"/>
    <w:rsid w:val="00A051FB"/>
    <w:rsid w:val="00A06583"/>
    <w:rsid w:val="00A24DE7"/>
    <w:rsid w:val="00A30C9E"/>
    <w:rsid w:val="00A32F36"/>
    <w:rsid w:val="00A34964"/>
    <w:rsid w:val="00A572A0"/>
    <w:rsid w:val="00A6703F"/>
    <w:rsid w:val="00A836BC"/>
    <w:rsid w:val="00A85AC4"/>
    <w:rsid w:val="00A933CB"/>
    <w:rsid w:val="00A94957"/>
    <w:rsid w:val="00A95B1E"/>
    <w:rsid w:val="00A96CC9"/>
    <w:rsid w:val="00A97831"/>
    <w:rsid w:val="00AA2591"/>
    <w:rsid w:val="00AA3690"/>
    <w:rsid w:val="00AB5637"/>
    <w:rsid w:val="00AB659F"/>
    <w:rsid w:val="00AB779B"/>
    <w:rsid w:val="00AC2C23"/>
    <w:rsid w:val="00AC54A6"/>
    <w:rsid w:val="00AC5A30"/>
    <w:rsid w:val="00AC5FC2"/>
    <w:rsid w:val="00AC615B"/>
    <w:rsid w:val="00AD0CE4"/>
    <w:rsid w:val="00AE12F4"/>
    <w:rsid w:val="00AE2E69"/>
    <w:rsid w:val="00AE3A0B"/>
    <w:rsid w:val="00AE6B7A"/>
    <w:rsid w:val="00AE720D"/>
    <w:rsid w:val="00AF734A"/>
    <w:rsid w:val="00AF7BAB"/>
    <w:rsid w:val="00B010F5"/>
    <w:rsid w:val="00B04A5D"/>
    <w:rsid w:val="00B0556F"/>
    <w:rsid w:val="00B11DFE"/>
    <w:rsid w:val="00B15601"/>
    <w:rsid w:val="00B228FA"/>
    <w:rsid w:val="00B238F4"/>
    <w:rsid w:val="00B352AB"/>
    <w:rsid w:val="00B43C70"/>
    <w:rsid w:val="00B5062D"/>
    <w:rsid w:val="00B53321"/>
    <w:rsid w:val="00B539B4"/>
    <w:rsid w:val="00B544F8"/>
    <w:rsid w:val="00B6448D"/>
    <w:rsid w:val="00B65933"/>
    <w:rsid w:val="00B7090D"/>
    <w:rsid w:val="00B7153C"/>
    <w:rsid w:val="00B76B5D"/>
    <w:rsid w:val="00B80A20"/>
    <w:rsid w:val="00B80B89"/>
    <w:rsid w:val="00B822A3"/>
    <w:rsid w:val="00B82C05"/>
    <w:rsid w:val="00B84B3B"/>
    <w:rsid w:val="00BA3DC2"/>
    <w:rsid w:val="00BB3618"/>
    <w:rsid w:val="00BC4EB7"/>
    <w:rsid w:val="00BC6FBB"/>
    <w:rsid w:val="00BD2909"/>
    <w:rsid w:val="00BD4AED"/>
    <w:rsid w:val="00BE106B"/>
    <w:rsid w:val="00BE1AB8"/>
    <w:rsid w:val="00BE387A"/>
    <w:rsid w:val="00BF214D"/>
    <w:rsid w:val="00C11C7B"/>
    <w:rsid w:val="00C16778"/>
    <w:rsid w:val="00C2040D"/>
    <w:rsid w:val="00C262C9"/>
    <w:rsid w:val="00C361AA"/>
    <w:rsid w:val="00C36D78"/>
    <w:rsid w:val="00C43586"/>
    <w:rsid w:val="00C6212D"/>
    <w:rsid w:val="00C648B8"/>
    <w:rsid w:val="00C67C90"/>
    <w:rsid w:val="00C70110"/>
    <w:rsid w:val="00C848CE"/>
    <w:rsid w:val="00C9155D"/>
    <w:rsid w:val="00C9721C"/>
    <w:rsid w:val="00C97248"/>
    <w:rsid w:val="00CA0977"/>
    <w:rsid w:val="00CA5F6B"/>
    <w:rsid w:val="00CD0246"/>
    <w:rsid w:val="00CD37BB"/>
    <w:rsid w:val="00CE0B76"/>
    <w:rsid w:val="00CE2B2F"/>
    <w:rsid w:val="00CE3BAE"/>
    <w:rsid w:val="00CF7569"/>
    <w:rsid w:val="00CF781A"/>
    <w:rsid w:val="00D040F4"/>
    <w:rsid w:val="00D11DEF"/>
    <w:rsid w:val="00D121D5"/>
    <w:rsid w:val="00D17A57"/>
    <w:rsid w:val="00D20525"/>
    <w:rsid w:val="00D22956"/>
    <w:rsid w:val="00D2618D"/>
    <w:rsid w:val="00D271F3"/>
    <w:rsid w:val="00D307D7"/>
    <w:rsid w:val="00D3426D"/>
    <w:rsid w:val="00D36A69"/>
    <w:rsid w:val="00D43D4C"/>
    <w:rsid w:val="00D5059A"/>
    <w:rsid w:val="00D5118F"/>
    <w:rsid w:val="00D515DF"/>
    <w:rsid w:val="00D52692"/>
    <w:rsid w:val="00D529C5"/>
    <w:rsid w:val="00D52C3B"/>
    <w:rsid w:val="00D53225"/>
    <w:rsid w:val="00D65796"/>
    <w:rsid w:val="00D72BC0"/>
    <w:rsid w:val="00D75B21"/>
    <w:rsid w:val="00D826DB"/>
    <w:rsid w:val="00DB291B"/>
    <w:rsid w:val="00DB6E1D"/>
    <w:rsid w:val="00DB6EB9"/>
    <w:rsid w:val="00DB71F9"/>
    <w:rsid w:val="00DC1373"/>
    <w:rsid w:val="00DD461D"/>
    <w:rsid w:val="00DE5C90"/>
    <w:rsid w:val="00DF7E2F"/>
    <w:rsid w:val="00E07C73"/>
    <w:rsid w:val="00E21946"/>
    <w:rsid w:val="00E23E04"/>
    <w:rsid w:val="00E24F85"/>
    <w:rsid w:val="00E30126"/>
    <w:rsid w:val="00E3031D"/>
    <w:rsid w:val="00E34CCA"/>
    <w:rsid w:val="00E54244"/>
    <w:rsid w:val="00E61D18"/>
    <w:rsid w:val="00E63CE0"/>
    <w:rsid w:val="00E67F46"/>
    <w:rsid w:val="00E71803"/>
    <w:rsid w:val="00E72DBE"/>
    <w:rsid w:val="00E742FD"/>
    <w:rsid w:val="00E761AB"/>
    <w:rsid w:val="00E7626C"/>
    <w:rsid w:val="00E93A18"/>
    <w:rsid w:val="00EA0580"/>
    <w:rsid w:val="00EC0455"/>
    <w:rsid w:val="00ED1C62"/>
    <w:rsid w:val="00EE0926"/>
    <w:rsid w:val="00EE7BDC"/>
    <w:rsid w:val="00EF38EC"/>
    <w:rsid w:val="00F00380"/>
    <w:rsid w:val="00F019F8"/>
    <w:rsid w:val="00F14ACA"/>
    <w:rsid w:val="00F246CA"/>
    <w:rsid w:val="00F32170"/>
    <w:rsid w:val="00F3655E"/>
    <w:rsid w:val="00F411F7"/>
    <w:rsid w:val="00F41953"/>
    <w:rsid w:val="00F44D41"/>
    <w:rsid w:val="00F44F89"/>
    <w:rsid w:val="00F52F55"/>
    <w:rsid w:val="00F565F3"/>
    <w:rsid w:val="00F56643"/>
    <w:rsid w:val="00F70495"/>
    <w:rsid w:val="00F7786F"/>
    <w:rsid w:val="00F822BF"/>
    <w:rsid w:val="00F83240"/>
    <w:rsid w:val="00F9104A"/>
    <w:rsid w:val="00F91371"/>
    <w:rsid w:val="00F94FB2"/>
    <w:rsid w:val="00FA0A82"/>
    <w:rsid w:val="00FB21A9"/>
    <w:rsid w:val="00FB4766"/>
    <w:rsid w:val="00FC15C7"/>
    <w:rsid w:val="00FC62D1"/>
    <w:rsid w:val="00FD20B5"/>
    <w:rsid w:val="00FD49C7"/>
    <w:rsid w:val="00FD7DBB"/>
    <w:rsid w:val="00FE0A9D"/>
    <w:rsid w:val="00FE2ED4"/>
    <w:rsid w:val="00FE4355"/>
    <w:rsid w:val="00FE4A84"/>
    <w:rsid w:val="00FE5ACF"/>
    <w:rsid w:val="00FE6BE9"/>
    <w:rsid w:val="00FE752C"/>
    <w:rsid w:val="00FE771E"/>
    <w:rsid w:val="00FF00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 w:type="paragraph" w:styleId="BodyText2">
    <w:name w:val="Body Text 2"/>
    <w:basedOn w:val="Normal"/>
    <w:link w:val="BodyText2Char"/>
    <w:rsid w:val="001D3AD8"/>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1D3AD8"/>
    <w:rPr>
      <w:rFonts w:ascii="Century Gothic" w:eastAsia="Times New Roman" w:hAnsi="Century Gothic"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809636148">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ETFSA-FS01\etfSA.co.za\SHERRYL\ETFSA\Website\WEB%20-%20News\2019\market%20cap%202008%20to%20Dec2019.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18670218184550896"/>
          <c:w val="0.86395859396080166"/>
          <c:h val="0.61430549177111082"/>
        </c:manualLayout>
      </c:layout>
      <c:bar3DChart>
        <c:barDir val="col"/>
        <c:grouping val="clustered"/>
        <c:varyColors val="0"/>
        <c:ser>
          <c:idx val="0"/>
          <c:order val="0"/>
          <c:tx>
            <c:strRef>
              <c:f>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6"/>
              <c:layout>
                <c:manualLayout>
                  <c:x val="4.9844236760124613E-3"/>
                  <c:y val="-1.696712619300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05-49D0-A025-6FA1B6A5D7DC}"/>
                </c:ext>
              </c:extLst>
            </c:dLbl>
            <c:dLbl>
              <c:idx val="7"/>
              <c:layout>
                <c:manualLayout>
                  <c:x val="1.2461059190031062E-2"/>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05-49D0-A025-6FA1B6A5D7DC}"/>
                </c:ext>
              </c:extLst>
            </c:dLbl>
            <c:dLbl>
              <c:idx val="8"/>
              <c:layout>
                <c:manualLayout>
                  <c:x val="9.1380045096816403E-17"/>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05-49D0-A025-6FA1B6A5D7DC}"/>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05-49D0-A025-6FA1B6A5D7DC}"/>
                </c:ext>
              </c:extLst>
            </c:dLbl>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Sheet1!$B$2:$B$13</c:f>
              <c:numCache>
                <c:formatCode>General</c:formatCode>
                <c:ptCount val="12"/>
                <c:pt idx="0">
                  <c:v>15806</c:v>
                </c:pt>
                <c:pt idx="1">
                  <c:v>26602</c:v>
                </c:pt>
                <c:pt idx="2">
                  <c:v>32273</c:v>
                </c:pt>
                <c:pt idx="3">
                  <c:v>38942</c:v>
                </c:pt>
                <c:pt idx="4">
                  <c:v>47616</c:v>
                </c:pt>
                <c:pt idx="5">
                  <c:v>62632</c:v>
                </c:pt>
                <c:pt idx="6">
                  <c:v>78890</c:v>
                </c:pt>
                <c:pt idx="7">
                  <c:v>77080</c:v>
                </c:pt>
                <c:pt idx="8">
                  <c:v>73515</c:v>
                </c:pt>
                <c:pt idx="9">
                  <c:v>85027</c:v>
                </c:pt>
                <c:pt idx="10">
                  <c:v>77786</c:v>
                </c:pt>
                <c:pt idx="11">
                  <c:v>100782</c:v>
                </c:pt>
              </c:numCache>
            </c:numRef>
          </c:val>
          <c:extLst>
            <c:ext xmlns:c16="http://schemas.microsoft.com/office/drawing/2014/chart" uri="{C3380CC4-5D6E-409C-BE32-E72D297353CC}">
              <c16:uniqueId val="{00000004-F905-49D0-A025-6FA1B6A5D7DC}"/>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0.19406</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1047763" y="27635"/>
          <a:ext cx="2771748" cy="5533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a:t>
          </a:r>
        </a:p>
      </cdr:txBody>
    </cdr:sp>
  </cdr:relSizeAnchor>
  <cdr:relSizeAnchor xmlns:cdr="http://schemas.openxmlformats.org/drawingml/2006/chartDrawing">
    <cdr:from>
      <cdr:x>0.00125</cdr:x>
      <cdr:y>0.10074</cdr:y>
    </cdr:from>
    <cdr:to>
      <cdr:x>0.18069</cdr:x>
      <cdr:y>0.19618</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6350" y="301626"/>
          <a:ext cx="91440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0.49221</cdr:x>
      <cdr:y>0.90668</cdr:y>
    </cdr:from>
    <cdr:to>
      <cdr:x>0.67165</cdr:x>
      <cdr:y>0.99152</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2508219" y="2714616"/>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0.02243</cdr:x>
      <cdr:y>0.91516</cdr:y>
    </cdr:from>
    <cdr:to>
      <cdr:x>0.20187</cdr:x>
      <cdr:y>1</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114300" y="2740012"/>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900" i="1"/>
            <a:t>Source:</a:t>
          </a:r>
          <a:r>
            <a:rPr lang="en-ZA" sz="900" i="1" baseline="0"/>
            <a:t> etfSA.co.za/Profile Data</a:t>
          </a:r>
          <a:endParaRPr lang="en-ZA"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10</cp:revision>
  <cp:lastPrinted>2020-01-10T08:41:00Z</cp:lastPrinted>
  <dcterms:created xsi:type="dcterms:W3CDTF">2020-01-09T11:38:00Z</dcterms:created>
  <dcterms:modified xsi:type="dcterms:W3CDTF">2020-01-10T11:17:00Z</dcterms:modified>
</cp:coreProperties>
</file>