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41762" w14:textId="08CF5B97" w:rsidR="00382ADA" w:rsidRDefault="00281835" w:rsidP="00A422C0">
      <w:pPr>
        <w:spacing w:after="360"/>
      </w:pPr>
      <w:r w:rsidRPr="00281835">
        <w:rPr>
          <w:noProof/>
        </w:rPr>
        <mc:AlternateContent>
          <mc:Choice Requires="wps">
            <w:drawing>
              <wp:anchor distT="0" distB="0" distL="114300" distR="114300" simplePos="0" relativeHeight="251683840" behindDoc="0" locked="0" layoutInCell="1" allowOverlap="1" wp14:anchorId="0D5126C6" wp14:editId="01EA22E0">
                <wp:simplePos x="0" y="0"/>
                <wp:positionH relativeFrom="column">
                  <wp:posOffset>37465</wp:posOffset>
                </wp:positionH>
                <wp:positionV relativeFrom="paragraph">
                  <wp:posOffset>24765</wp:posOffset>
                </wp:positionV>
                <wp:extent cx="4034790" cy="895350"/>
                <wp:effectExtent l="0" t="0" r="0" b="0"/>
                <wp:wrapNone/>
                <wp:docPr id="9"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4790" cy="895350"/>
                        </a:xfrm>
                        <a:prstGeom prst="rect">
                          <a:avLst/>
                        </a:prstGeom>
                        <a:noFill/>
                        <a:ln>
                          <a:noFill/>
                        </a:ln>
                      </wps:spPr>
                      <wps:txbx>
                        <w:txbxContent>
                          <w:p w14:paraId="4A219302" w14:textId="396074C0" w:rsidR="00281835" w:rsidRPr="00281835" w:rsidRDefault="00281835" w:rsidP="00281835">
                            <w:pPr>
                              <w:ind w:left="115"/>
                              <w:rPr>
                                <w:rFonts w:ascii="Arial" w:eastAsia="Verdana" w:hAnsi="Arial" w:cs="Arial"/>
                                <w:b/>
                                <w:bCs/>
                                <w:color w:val="FFFFFF" w:themeColor="background1"/>
                                <w:kern w:val="24"/>
                                <w:sz w:val="72"/>
                                <w:szCs w:val="72"/>
                                <w:lang w:val="en-US"/>
                              </w:rPr>
                            </w:pPr>
                            <w:r w:rsidRPr="00281835">
                              <w:rPr>
                                <w:rFonts w:ascii="Arial" w:eastAsia="Verdana" w:hAnsi="Arial" w:cs="Arial"/>
                                <w:b/>
                                <w:bCs/>
                                <w:color w:val="FFFFFF" w:themeColor="background1"/>
                                <w:kern w:val="24"/>
                                <w:sz w:val="72"/>
                                <w:szCs w:val="72"/>
                                <w:lang w:val="en-US"/>
                              </w:rPr>
                              <w:t>etfSA.co.za</w:t>
                            </w:r>
                            <w:r w:rsidRPr="00281835">
                              <w:rPr>
                                <w:rFonts w:ascii="Arial" w:eastAsia="Verdana" w:hAnsi="Arial" w:cs="Arial"/>
                                <w:b/>
                                <w:bCs/>
                                <w:color w:val="FFFFFF" w:themeColor="background1"/>
                                <w:kern w:val="24"/>
                                <w:sz w:val="72"/>
                                <w:szCs w:val="72"/>
                                <w:lang w:val="en-US"/>
                              </w:rPr>
                              <w:tab/>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0D5126C6" id="_x0000_t202" coordsize="21600,21600" o:spt="202" path="m,l,21600r21600,l21600,xe">
                <v:stroke joinstyle="miter"/>
                <v:path gradientshapeok="t" o:connecttype="rect"/>
              </v:shapetype>
              <v:shape id="Title 1" o:spid="_x0000_s1026" type="#_x0000_t202" style="position:absolute;margin-left:2.95pt;margin-top:1.95pt;width:317.7pt;height: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" filled="f" stroked="f">
                <v:textbox>
                  <w:txbxContent>
                    <w:p w14:paraId="4A219302" w14:textId="396074C0" w:rsidR="00281835" w:rsidRPr="00281835" w:rsidRDefault="00281835" w:rsidP="00281835">
                      <w:pPr>
                        <w:ind w:left="115"/>
                        <w:rPr>
                          <w:rFonts w:ascii="Arial" w:eastAsia="Verdana" w:hAnsi="Arial" w:cs="Arial"/>
                          <w:b/>
                          <w:bCs/>
                          <w:color w:val="FFFFFF" w:themeColor="background1"/>
                          <w:kern w:val="24"/>
                          <w:sz w:val="72"/>
                          <w:szCs w:val="72"/>
                          <w:lang w:val="en-US"/>
                        </w:rPr>
                      </w:pPr>
                      <w:r w:rsidRPr="00281835">
                        <w:rPr>
                          <w:rFonts w:ascii="Arial" w:eastAsia="Verdana" w:hAnsi="Arial" w:cs="Arial"/>
                          <w:b/>
                          <w:bCs/>
                          <w:color w:val="FFFFFF" w:themeColor="background1"/>
                          <w:kern w:val="24"/>
                          <w:sz w:val="72"/>
                          <w:szCs w:val="72"/>
                          <w:lang w:val="en-US"/>
                        </w:rPr>
                        <w:t>etfSA.co.za</w:t>
                      </w:r>
                      <w:r w:rsidRPr="00281835">
                        <w:rPr>
                          <w:rFonts w:ascii="Arial" w:eastAsia="Verdana" w:hAnsi="Arial" w:cs="Arial"/>
                          <w:b/>
                          <w:bCs/>
                          <w:color w:val="FFFFFF" w:themeColor="background1"/>
                          <w:kern w:val="24"/>
                          <w:sz w:val="72"/>
                          <w:szCs w:val="72"/>
                          <w:lang w:val="en-US"/>
                        </w:rPr>
                        <w:tab/>
                      </w:r>
                    </w:p>
                  </w:txbxContent>
                </v:textbox>
              </v:shape>
            </w:pict>
          </mc:Fallback>
        </mc:AlternateContent>
      </w:r>
      <w:r w:rsidRPr="00281835">
        <w:rPr>
          <w:noProof/>
        </w:rPr>
        <w:drawing>
          <wp:inline distT="0" distB="0" distL="0" distR="0" wp14:anchorId="2666B2A7" wp14:editId="453673B6">
            <wp:extent cx="6508750" cy="935355"/>
            <wp:effectExtent l="0" t="0" r="6350" b="0"/>
            <wp:docPr id="11" name="Picture 10" descr="Background pattern&#10;&#10;Description automatically generated">
              <a:extLst xmlns:a="http://schemas.openxmlformats.org/drawingml/2006/main">
                <a:ext uri="{FF2B5EF4-FFF2-40B4-BE49-F238E27FC236}">
                  <a16:creationId xmlns:a16="http://schemas.microsoft.com/office/drawing/2014/main" id="{9BB31A5B-233C-4D49-82FD-8217F3E497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Background pattern&#10;&#10;Description automatically generated">
                      <a:extLst>
                        <a:ext uri="{FF2B5EF4-FFF2-40B4-BE49-F238E27FC236}">
                          <a16:creationId xmlns:a16="http://schemas.microsoft.com/office/drawing/2014/main" id="{9BB31A5B-233C-4D49-82FD-8217F3E497E8}"/>
                        </a:ext>
                      </a:extLst>
                    </pic:cNvPr>
                    <pic:cNvPicPr>
                      <a:picLocks noChangeAspect="1"/>
                    </pic:cNvPicPr>
                  </pic:nvPicPr>
                  <pic:blipFill rotWithShape="1">
                    <a:blip r:embed="rId8"/>
                    <a:srcRect t="991" r="1495" b="57833"/>
                    <a:stretch/>
                  </pic:blipFill>
                  <pic:spPr>
                    <a:xfrm>
                      <a:off x="0" y="0"/>
                      <a:ext cx="6508750" cy="935355"/>
                    </a:xfrm>
                    <a:prstGeom prst="rect">
                      <a:avLst/>
                    </a:prstGeom>
                  </pic:spPr>
                </pic:pic>
              </a:graphicData>
            </a:graphic>
          </wp:inline>
        </w:drawing>
      </w:r>
    </w:p>
    <w:tbl>
      <w:tblPr>
        <w:tblStyle w:val="TableGrid"/>
        <w:tblW w:w="10201" w:type="dxa"/>
        <w:tblLook w:val="04A0" w:firstRow="1" w:lastRow="0" w:firstColumn="1" w:lastColumn="0" w:noHBand="0" w:noVBand="1"/>
      </w:tblPr>
      <w:tblGrid>
        <w:gridCol w:w="10201"/>
      </w:tblGrid>
      <w:tr w:rsidR="00281835" w14:paraId="5254EF6A" w14:textId="77777777" w:rsidTr="00EF5C86">
        <w:tc>
          <w:tcPr>
            <w:tcW w:w="10201" w:type="dxa"/>
            <w:tcBorders>
              <w:top w:val="nil"/>
              <w:left w:val="nil"/>
              <w:bottom w:val="nil"/>
              <w:right w:val="nil"/>
            </w:tcBorders>
            <w:shd w:val="clear" w:color="auto" w:fill="D9D9D9" w:themeFill="background1" w:themeFillShade="D9"/>
          </w:tcPr>
          <w:p w14:paraId="3BC82964" w14:textId="409E7A30" w:rsidR="00281835" w:rsidRPr="004E60C8" w:rsidRDefault="00281835" w:rsidP="00281835">
            <w:pPr>
              <w:pStyle w:val="Heading1"/>
              <w:spacing w:before="0" w:after="0" w:line="360" w:lineRule="atLeast"/>
              <w:rPr>
                <w:rFonts w:ascii="Verdana" w:hAnsi="Verdana"/>
                <w:color w:val="000000" w:themeColor="text1"/>
                <w:sz w:val="24"/>
                <w:szCs w:val="24"/>
              </w:rPr>
            </w:pPr>
            <w:r w:rsidRPr="004E60C8">
              <w:rPr>
                <w:rFonts w:ascii="Verdana" w:hAnsi="Verdana"/>
                <w:color w:val="000000" w:themeColor="text1"/>
                <w:sz w:val="24"/>
                <w:szCs w:val="24"/>
              </w:rPr>
              <w:t xml:space="preserve">State of the South African Exchange Traded Product (ETP) Industry – as at </w:t>
            </w:r>
            <w:r w:rsidR="00C63F43">
              <w:rPr>
                <w:rFonts w:ascii="Verdana" w:hAnsi="Verdana"/>
                <w:color w:val="000000" w:themeColor="text1"/>
                <w:sz w:val="24"/>
                <w:szCs w:val="24"/>
              </w:rPr>
              <w:t>29</w:t>
            </w:r>
            <w:r w:rsidRPr="004E60C8">
              <w:rPr>
                <w:rFonts w:ascii="Verdana" w:hAnsi="Verdana"/>
                <w:color w:val="000000" w:themeColor="text1"/>
                <w:sz w:val="24"/>
                <w:szCs w:val="24"/>
              </w:rPr>
              <w:t xml:space="preserve"> </w:t>
            </w:r>
            <w:r w:rsidR="00E72461">
              <w:rPr>
                <w:rFonts w:ascii="Verdana" w:hAnsi="Verdana"/>
                <w:color w:val="000000" w:themeColor="text1"/>
                <w:sz w:val="24"/>
                <w:szCs w:val="24"/>
              </w:rPr>
              <w:t>Dec</w:t>
            </w:r>
            <w:r w:rsidR="00C63F43">
              <w:rPr>
                <w:rFonts w:ascii="Verdana" w:hAnsi="Verdana"/>
                <w:color w:val="000000" w:themeColor="text1"/>
                <w:sz w:val="24"/>
                <w:szCs w:val="24"/>
              </w:rPr>
              <w:t>ember</w:t>
            </w:r>
            <w:r w:rsidR="006B41B5">
              <w:rPr>
                <w:rFonts w:ascii="Verdana" w:hAnsi="Verdana"/>
                <w:color w:val="000000" w:themeColor="text1"/>
                <w:sz w:val="24"/>
                <w:szCs w:val="24"/>
              </w:rPr>
              <w:t xml:space="preserve"> </w:t>
            </w:r>
            <w:r w:rsidRPr="004E60C8">
              <w:rPr>
                <w:rFonts w:ascii="Verdana" w:hAnsi="Verdana"/>
                <w:color w:val="000000" w:themeColor="text1"/>
                <w:sz w:val="24"/>
                <w:szCs w:val="24"/>
              </w:rPr>
              <w:t>202</w:t>
            </w:r>
            <w:r w:rsidR="00415026">
              <w:rPr>
                <w:rFonts w:ascii="Verdana" w:hAnsi="Verdana"/>
                <w:color w:val="000000" w:themeColor="text1"/>
                <w:sz w:val="24"/>
                <w:szCs w:val="24"/>
              </w:rPr>
              <w:t>3</w:t>
            </w:r>
          </w:p>
          <w:p w14:paraId="402E7BEC" w14:textId="2F6A4DD3" w:rsidR="00281835" w:rsidRDefault="00281835" w:rsidP="000A2715">
            <w:pPr>
              <w:pStyle w:val="Heading1"/>
              <w:spacing w:before="0" w:after="120" w:line="360" w:lineRule="atLeast"/>
              <w:rPr>
                <w:rFonts w:ascii="Verdana" w:hAnsi="Verdana"/>
                <w:sz w:val="22"/>
                <w:szCs w:val="22"/>
              </w:rPr>
            </w:pPr>
            <w:r w:rsidRPr="004E60C8">
              <w:rPr>
                <w:rFonts w:ascii="Verdana" w:hAnsi="Verdana"/>
                <w:color w:val="000000" w:themeColor="text1"/>
                <w:sz w:val="22"/>
                <w:szCs w:val="22"/>
              </w:rPr>
              <w:t>Mike Brown, Managing Director, etfSA.co.za</w:t>
            </w:r>
          </w:p>
        </w:tc>
      </w:tr>
    </w:tbl>
    <w:p w14:paraId="74CAE3E7" w14:textId="77777777" w:rsidR="00A422C0" w:rsidRDefault="00A422C0" w:rsidP="006666EF">
      <w:pPr>
        <w:spacing w:after="120" w:line="320" w:lineRule="atLeast"/>
        <w:jc w:val="center"/>
        <w:rPr>
          <w:rFonts w:ascii="Verdana" w:hAnsi="Verdana"/>
          <w:sz w:val="21"/>
          <w:szCs w:val="21"/>
        </w:rPr>
      </w:pPr>
    </w:p>
    <w:p w14:paraId="7CDBBA02" w14:textId="7CFC08F8" w:rsidR="00E159E7" w:rsidRPr="0012529E" w:rsidRDefault="00E159E7" w:rsidP="00960987">
      <w:pPr>
        <w:spacing w:after="120" w:line="320" w:lineRule="atLeast"/>
        <w:jc w:val="center"/>
        <w:rPr>
          <w:rFonts w:ascii="Verdana" w:hAnsi="Verdana"/>
          <w:b/>
          <w:bCs/>
          <w:color w:val="C00000"/>
        </w:rPr>
      </w:pPr>
      <w:r w:rsidRPr="0012529E">
        <w:rPr>
          <w:rFonts w:ascii="Verdana" w:hAnsi="Verdana"/>
          <w:b/>
          <w:bCs/>
          <w:color w:val="C00000"/>
        </w:rPr>
        <w:t>INDUSTRY OVERVIEW</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61"/>
        <w:gridCol w:w="6576"/>
      </w:tblGrid>
      <w:tr w:rsidR="00E159E7" w14:paraId="3415E687" w14:textId="77777777" w:rsidTr="00A73115">
        <w:tc>
          <w:tcPr>
            <w:tcW w:w="3369" w:type="dxa"/>
          </w:tcPr>
          <w:p w14:paraId="78595505" w14:textId="77777777" w:rsidR="004B1BB0" w:rsidRDefault="00415026" w:rsidP="00A73115">
            <w:pPr>
              <w:spacing w:line="320" w:lineRule="atLeast"/>
              <w:rPr>
                <w:rFonts w:ascii="Verdana" w:hAnsi="Verdana"/>
                <w:sz w:val="21"/>
                <w:szCs w:val="21"/>
              </w:rPr>
            </w:pPr>
            <w:r>
              <w:rPr>
                <w:rFonts w:ascii="Verdana" w:hAnsi="Verdana"/>
                <w:sz w:val="21"/>
                <w:szCs w:val="21"/>
              </w:rPr>
              <w:t xml:space="preserve">The total </w:t>
            </w:r>
            <w:r w:rsidR="00E72461">
              <w:rPr>
                <w:rFonts w:ascii="Verdana" w:hAnsi="Verdana"/>
                <w:sz w:val="21"/>
                <w:szCs w:val="21"/>
              </w:rPr>
              <w:t xml:space="preserve">market capitalisation of the ETP industry in </w:t>
            </w:r>
            <w:r w:rsidR="00C63F43">
              <w:rPr>
                <w:rFonts w:ascii="Verdana" w:hAnsi="Verdana"/>
                <w:sz w:val="21"/>
                <w:szCs w:val="21"/>
              </w:rPr>
              <w:t>South Africa</w:t>
            </w:r>
            <w:r w:rsidR="00E72461">
              <w:rPr>
                <w:rFonts w:ascii="Verdana" w:hAnsi="Verdana"/>
                <w:sz w:val="21"/>
                <w:szCs w:val="21"/>
              </w:rPr>
              <w:t>, as at end-December 2023, amounted to R165,4 billion, an increase of 28% on the market capitalisation at the end of 2022.</w:t>
            </w:r>
          </w:p>
          <w:p w14:paraId="49C2C795" w14:textId="77777777" w:rsidR="00A73115" w:rsidRDefault="00A73115" w:rsidP="00A73115">
            <w:pPr>
              <w:spacing w:line="320" w:lineRule="atLeast"/>
              <w:rPr>
                <w:rFonts w:ascii="Verdana" w:hAnsi="Verdana"/>
                <w:sz w:val="21"/>
                <w:szCs w:val="21"/>
              </w:rPr>
            </w:pPr>
          </w:p>
          <w:p w14:paraId="45ED3D42" w14:textId="7F3F1D62" w:rsidR="00A73115" w:rsidRPr="00E159E7" w:rsidRDefault="00A73115" w:rsidP="00A73115">
            <w:pPr>
              <w:spacing w:line="320" w:lineRule="atLeast"/>
              <w:rPr>
                <w:rFonts w:ascii="Verdana" w:hAnsi="Verdana"/>
                <w:sz w:val="21"/>
                <w:szCs w:val="21"/>
              </w:rPr>
            </w:pPr>
            <w:r>
              <w:rPr>
                <w:rFonts w:ascii="Verdana" w:hAnsi="Verdana"/>
                <w:sz w:val="21"/>
                <w:szCs w:val="21"/>
              </w:rPr>
              <w:t xml:space="preserve">This is a record figure for the index tracking Exchange Traded Products, listed on the JSE and the total increase of R36,1 billion during the course of last year, was the biggest </w:t>
            </w:r>
            <w:r w:rsidR="00281236">
              <w:rPr>
                <w:rFonts w:ascii="Verdana" w:hAnsi="Verdana"/>
                <w:sz w:val="21"/>
                <w:szCs w:val="21"/>
              </w:rPr>
              <w:t>realised</w:t>
            </w:r>
            <w:r>
              <w:rPr>
                <w:rFonts w:ascii="Verdana" w:hAnsi="Verdana"/>
                <w:sz w:val="21"/>
                <w:szCs w:val="21"/>
              </w:rPr>
              <w:t xml:space="preserve"> since the first ETF was listed in South Africa in 2000</w:t>
            </w:r>
            <w:r w:rsidR="001B0316">
              <w:rPr>
                <w:rFonts w:ascii="Verdana" w:hAnsi="Verdana"/>
                <w:sz w:val="21"/>
                <w:szCs w:val="21"/>
              </w:rPr>
              <w:t>.</w:t>
            </w:r>
          </w:p>
        </w:tc>
        <w:tc>
          <w:tcPr>
            <w:tcW w:w="261" w:type="dxa"/>
          </w:tcPr>
          <w:p w14:paraId="3953F9A0" w14:textId="265BA484" w:rsidR="00E159E7" w:rsidRDefault="005269C6" w:rsidP="00A422C0">
            <w:pPr>
              <w:spacing w:line="360" w:lineRule="atLeast"/>
              <w:rPr>
                <w:rFonts w:ascii="Verdana" w:hAnsi="Verdana"/>
                <w:sz w:val="21"/>
                <w:szCs w:val="21"/>
              </w:rPr>
            </w:pPr>
            <w:r w:rsidRPr="00C72345">
              <w:rPr>
                <w:rFonts w:ascii="Verdana" w:hAnsi="Verdana"/>
                <w:noProof/>
                <w:sz w:val="21"/>
                <w:szCs w:val="21"/>
              </w:rPr>
              <mc:AlternateContent>
                <mc:Choice Requires="wps">
                  <w:drawing>
                    <wp:anchor distT="0" distB="0" distL="114300" distR="114300" simplePos="0" relativeHeight="251687936" behindDoc="0" locked="0" layoutInCell="1" allowOverlap="1" wp14:anchorId="24C32DED" wp14:editId="320FCFB1">
                      <wp:simplePos x="0" y="0"/>
                      <wp:positionH relativeFrom="column">
                        <wp:posOffset>33020</wp:posOffset>
                      </wp:positionH>
                      <wp:positionV relativeFrom="paragraph">
                        <wp:posOffset>123825</wp:posOffset>
                      </wp:positionV>
                      <wp:extent cx="19050" cy="3702050"/>
                      <wp:effectExtent l="0" t="0" r="19050" b="31750"/>
                      <wp:wrapNone/>
                      <wp:docPr id="2" name="Straight Connector 2"/>
                      <wp:cNvGraphicFramePr/>
                      <a:graphic xmlns:a="http://schemas.openxmlformats.org/drawingml/2006/main">
                        <a:graphicData uri="http://schemas.microsoft.com/office/word/2010/wordprocessingShape">
                          <wps:wsp>
                            <wps:cNvCnPr/>
                            <wps:spPr>
                              <a:xfrm>
                                <a:off x="0" y="0"/>
                                <a:ext cx="19050" cy="370205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5D6B7" id="Straight Connector 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9.75pt" to="4.1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" strokecolor="#c00000" strokeweight=".5pt">
                      <v:stroke joinstyle="miter"/>
                    </v:line>
                  </w:pict>
                </mc:Fallback>
              </mc:AlternateContent>
            </w:r>
          </w:p>
        </w:tc>
        <w:tc>
          <w:tcPr>
            <w:tcW w:w="6576" w:type="dxa"/>
            <w:vAlign w:val="center"/>
          </w:tcPr>
          <w:p w14:paraId="659C3123" w14:textId="4489D0D8" w:rsidR="00A73115" w:rsidRDefault="00A73115" w:rsidP="00A73115">
            <w:pPr>
              <w:spacing w:after="120" w:line="360" w:lineRule="atLeast"/>
              <w:jc w:val="center"/>
              <w:rPr>
                <w:rFonts w:ascii="Verdana" w:hAnsi="Verdana"/>
                <w:sz w:val="21"/>
                <w:szCs w:val="21"/>
              </w:rPr>
            </w:pPr>
            <w:r>
              <w:rPr>
                <w:noProof/>
              </w:rPr>
              <w:drawing>
                <wp:inline distT="0" distB="0" distL="0" distR="0" wp14:anchorId="761DCB74" wp14:editId="4D1B77EA">
                  <wp:extent cx="4035425" cy="2698750"/>
                  <wp:effectExtent l="0" t="0" r="3175" b="6350"/>
                  <wp:docPr id="1432432198" name="Chart 1">
                    <a:extLst xmlns:a="http://schemas.openxmlformats.org/drawingml/2006/main">
                      <a:ext uri="{FF2B5EF4-FFF2-40B4-BE49-F238E27FC236}">
                        <a16:creationId xmlns:a16="http://schemas.microsoft.com/office/drawing/2014/main" id="{A6D53289-DBFE-40C9-AB8D-05167AAB5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6630C92" w14:textId="3539BCDE" w:rsidR="00A422C0" w:rsidRDefault="00A422C0" w:rsidP="004544E3">
      <w:pPr>
        <w:spacing w:after="0" w:line="320" w:lineRule="atLeast"/>
        <w:rPr>
          <w:rFonts w:ascii="Verdana" w:hAnsi="Verdana"/>
          <w:bCs/>
          <w:color w:val="000000" w:themeColor="text1"/>
          <w:sz w:val="21"/>
          <w:szCs w:val="21"/>
        </w:rPr>
      </w:pPr>
    </w:p>
    <w:p w14:paraId="333BAA01" w14:textId="5C2D5513" w:rsidR="003A5D8C" w:rsidRDefault="00A73115" w:rsidP="003A5D8C">
      <w:pPr>
        <w:spacing w:after="0" w:line="320" w:lineRule="atLeast"/>
        <w:rPr>
          <w:rFonts w:ascii="Verdana" w:hAnsi="Verdana"/>
          <w:bCs/>
          <w:color w:val="000000" w:themeColor="text1"/>
          <w:sz w:val="21"/>
          <w:szCs w:val="21"/>
        </w:rPr>
      </w:pPr>
      <w:r>
        <w:rPr>
          <w:rFonts w:ascii="Verdana" w:hAnsi="Verdana"/>
          <w:bCs/>
          <w:color w:val="000000" w:themeColor="text1"/>
          <w:sz w:val="21"/>
          <w:szCs w:val="21"/>
        </w:rPr>
        <w:t>Several features emerging during the course of the past</w:t>
      </w:r>
      <w:r w:rsidR="003A5D8C">
        <w:rPr>
          <w:rFonts w:ascii="Verdana" w:hAnsi="Verdana"/>
          <w:bCs/>
          <w:color w:val="000000" w:themeColor="text1"/>
          <w:sz w:val="21"/>
          <w:szCs w:val="21"/>
        </w:rPr>
        <w:t xml:space="preserve"> </w:t>
      </w:r>
      <w:r>
        <w:rPr>
          <w:rFonts w:ascii="Verdana" w:hAnsi="Verdana"/>
          <w:bCs/>
          <w:color w:val="000000" w:themeColor="text1"/>
          <w:sz w:val="21"/>
          <w:szCs w:val="21"/>
        </w:rPr>
        <w:t xml:space="preserve">year, that </w:t>
      </w:r>
      <w:r w:rsidR="003A5D8C">
        <w:rPr>
          <w:rFonts w:ascii="Verdana" w:hAnsi="Verdana"/>
          <w:bCs/>
          <w:color w:val="000000" w:themeColor="text1"/>
          <w:sz w:val="21"/>
          <w:szCs w:val="21"/>
        </w:rPr>
        <w:t xml:space="preserve">assisted in the sharp growth in the industry. </w:t>
      </w:r>
    </w:p>
    <w:p w14:paraId="084DFE6E" w14:textId="77777777" w:rsidR="003A5D8C" w:rsidRDefault="003A5D8C" w:rsidP="003A5D8C">
      <w:pPr>
        <w:spacing w:after="0" w:line="320" w:lineRule="atLeast"/>
        <w:rPr>
          <w:rFonts w:ascii="Verdana" w:hAnsi="Verdana"/>
          <w:bCs/>
          <w:color w:val="000000" w:themeColor="text1"/>
          <w:sz w:val="21"/>
          <w:szCs w:val="21"/>
        </w:rPr>
      </w:pPr>
    </w:p>
    <w:p w14:paraId="655A3C85" w14:textId="35C3CBC8" w:rsidR="003A5D8C" w:rsidRDefault="003A5D8C" w:rsidP="003A5D8C">
      <w:pPr>
        <w:pStyle w:val="ListParagraph"/>
        <w:numPr>
          <w:ilvl w:val="0"/>
          <w:numId w:val="29"/>
        </w:numPr>
        <w:spacing w:after="0" w:line="320" w:lineRule="atLeast"/>
        <w:ind w:left="357" w:hanging="357"/>
        <w:rPr>
          <w:rFonts w:ascii="Verdana" w:hAnsi="Verdana"/>
          <w:bCs/>
          <w:color w:val="000000" w:themeColor="text1"/>
          <w:sz w:val="21"/>
          <w:szCs w:val="21"/>
        </w:rPr>
      </w:pPr>
      <w:r>
        <w:rPr>
          <w:rFonts w:ascii="Verdana" w:hAnsi="Verdana"/>
          <w:bCs/>
          <w:color w:val="000000" w:themeColor="text1"/>
          <w:sz w:val="21"/>
          <w:szCs w:val="21"/>
        </w:rPr>
        <w:t xml:space="preserve">Actively managed exchange listed products became </w:t>
      </w:r>
      <w:r w:rsidR="001B0316">
        <w:rPr>
          <w:rFonts w:ascii="Verdana" w:hAnsi="Verdana"/>
          <w:bCs/>
          <w:color w:val="000000" w:themeColor="text1"/>
          <w:sz w:val="21"/>
          <w:szCs w:val="21"/>
        </w:rPr>
        <w:t xml:space="preserve">readily </w:t>
      </w:r>
      <w:r>
        <w:rPr>
          <w:rFonts w:ascii="Verdana" w:hAnsi="Verdana"/>
          <w:bCs/>
          <w:color w:val="000000" w:themeColor="text1"/>
          <w:sz w:val="21"/>
          <w:szCs w:val="21"/>
        </w:rPr>
        <w:t xml:space="preserve">available to investors.  By the end of the year, 44 Actively Managed Certificates (AMCs) and 5 Actively Managed ETFs (AMETFs) were listed on the JSE.  </w:t>
      </w:r>
    </w:p>
    <w:p w14:paraId="66409035" w14:textId="77777777" w:rsidR="003A5D8C" w:rsidRDefault="003A5D8C" w:rsidP="003A5D8C">
      <w:pPr>
        <w:pStyle w:val="ListParagraph"/>
        <w:spacing w:after="0" w:line="320" w:lineRule="atLeast"/>
        <w:ind w:left="357"/>
        <w:rPr>
          <w:rFonts w:ascii="Verdana" w:hAnsi="Verdana"/>
          <w:bCs/>
          <w:color w:val="000000" w:themeColor="text1"/>
          <w:sz w:val="21"/>
          <w:szCs w:val="21"/>
        </w:rPr>
      </w:pPr>
    </w:p>
    <w:p w14:paraId="70622BD9" w14:textId="302931E1" w:rsidR="003A5D8C" w:rsidRDefault="003A5D8C" w:rsidP="003A5D8C">
      <w:pPr>
        <w:pStyle w:val="ListParagraph"/>
        <w:numPr>
          <w:ilvl w:val="0"/>
          <w:numId w:val="29"/>
        </w:numPr>
        <w:spacing w:after="0" w:line="320" w:lineRule="atLeast"/>
        <w:ind w:left="357" w:hanging="357"/>
        <w:rPr>
          <w:rFonts w:ascii="Verdana" w:hAnsi="Verdana"/>
          <w:bCs/>
          <w:color w:val="000000" w:themeColor="text1"/>
          <w:sz w:val="21"/>
          <w:szCs w:val="21"/>
        </w:rPr>
      </w:pPr>
      <w:r>
        <w:rPr>
          <w:rFonts w:ascii="Verdana" w:hAnsi="Verdana"/>
          <w:bCs/>
          <w:color w:val="000000" w:themeColor="text1"/>
          <w:sz w:val="21"/>
          <w:szCs w:val="21"/>
        </w:rPr>
        <w:t>Demand for foreign referenced ETFs and ETNs increased significantly, as global equity markets recovered in the second half of last year  and rand depreciation pro</w:t>
      </w:r>
      <w:r w:rsidR="001B0316">
        <w:rPr>
          <w:rFonts w:ascii="Verdana" w:hAnsi="Verdana"/>
          <w:bCs/>
          <w:color w:val="000000" w:themeColor="text1"/>
          <w:sz w:val="21"/>
          <w:szCs w:val="21"/>
        </w:rPr>
        <w:t>mot</w:t>
      </w:r>
      <w:r>
        <w:rPr>
          <w:rFonts w:ascii="Verdana" w:hAnsi="Verdana"/>
          <w:bCs/>
          <w:color w:val="000000" w:themeColor="text1"/>
          <w:sz w:val="21"/>
          <w:szCs w:val="21"/>
        </w:rPr>
        <w:t xml:space="preserve">ed rand hedge strategies. </w:t>
      </w:r>
    </w:p>
    <w:p w14:paraId="6D451C6B" w14:textId="77777777" w:rsidR="003A5D8C" w:rsidRPr="003A5D8C" w:rsidRDefault="003A5D8C" w:rsidP="003A5D8C">
      <w:pPr>
        <w:spacing w:after="0" w:line="320" w:lineRule="atLeast"/>
        <w:rPr>
          <w:rFonts w:ascii="Verdana" w:hAnsi="Verdana"/>
          <w:bCs/>
          <w:color w:val="000000" w:themeColor="text1"/>
          <w:sz w:val="21"/>
          <w:szCs w:val="21"/>
        </w:rPr>
      </w:pPr>
    </w:p>
    <w:p w14:paraId="5CB73ED5" w14:textId="087525B8" w:rsidR="003A5D8C" w:rsidRDefault="003A5D8C" w:rsidP="003A5D8C">
      <w:pPr>
        <w:pStyle w:val="ListParagraph"/>
        <w:numPr>
          <w:ilvl w:val="0"/>
          <w:numId w:val="29"/>
        </w:numPr>
        <w:spacing w:after="0" w:line="320" w:lineRule="atLeast"/>
        <w:ind w:left="357" w:hanging="357"/>
        <w:rPr>
          <w:rFonts w:ascii="Verdana" w:hAnsi="Verdana"/>
          <w:bCs/>
          <w:color w:val="000000" w:themeColor="text1"/>
          <w:sz w:val="21"/>
          <w:szCs w:val="21"/>
        </w:rPr>
      </w:pPr>
      <w:r>
        <w:rPr>
          <w:rFonts w:ascii="Verdana" w:hAnsi="Verdana"/>
          <w:bCs/>
          <w:color w:val="000000" w:themeColor="text1"/>
          <w:sz w:val="21"/>
          <w:szCs w:val="21"/>
        </w:rPr>
        <w:t xml:space="preserve">Higher interest rates, particularly in long-dated bonds, both globally and locally, </w:t>
      </w:r>
      <w:r w:rsidR="001B0316">
        <w:rPr>
          <w:rFonts w:ascii="Verdana" w:hAnsi="Verdana"/>
          <w:bCs/>
          <w:color w:val="000000" w:themeColor="text1"/>
          <w:sz w:val="21"/>
          <w:szCs w:val="21"/>
        </w:rPr>
        <w:t xml:space="preserve">boosted </w:t>
      </w:r>
      <w:r>
        <w:rPr>
          <w:rFonts w:ascii="Verdana" w:hAnsi="Verdana"/>
          <w:bCs/>
          <w:color w:val="000000" w:themeColor="text1"/>
          <w:sz w:val="21"/>
          <w:szCs w:val="21"/>
        </w:rPr>
        <w:t xml:space="preserve">the use of ETFs offering </w:t>
      </w:r>
      <w:r w:rsidR="007A15D3">
        <w:rPr>
          <w:rFonts w:ascii="Verdana" w:hAnsi="Verdana"/>
          <w:bCs/>
          <w:color w:val="000000" w:themeColor="text1"/>
          <w:sz w:val="21"/>
          <w:szCs w:val="21"/>
        </w:rPr>
        <w:t>portfolios</w:t>
      </w:r>
      <w:r>
        <w:rPr>
          <w:rFonts w:ascii="Verdana" w:hAnsi="Verdana"/>
          <w:bCs/>
          <w:color w:val="000000" w:themeColor="text1"/>
          <w:sz w:val="21"/>
          <w:szCs w:val="21"/>
        </w:rPr>
        <w:t xml:space="preserve"> tracking the major bond indices. </w:t>
      </w:r>
    </w:p>
    <w:p w14:paraId="08EB379A" w14:textId="77777777" w:rsidR="003A5D8C" w:rsidRDefault="003A5D8C" w:rsidP="003A5D8C">
      <w:pPr>
        <w:spacing w:after="0" w:line="320" w:lineRule="atLeast"/>
        <w:rPr>
          <w:rFonts w:ascii="Verdana" w:hAnsi="Verdana"/>
          <w:bCs/>
          <w:color w:val="000000" w:themeColor="text1"/>
          <w:sz w:val="21"/>
          <w:szCs w:val="21"/>
        </w:rPr>
      </w:pPr>
    </w:p>
    <w:p w14:paraId="030F70EF" w14:textId="7FF41DE9" w:rsidR="00A422C0" w:rsidRDefault="003A5D8C" w:rsidP="003A5D8C">
      <w:pPr>
        <w:spacing w:after="0" w:line="320" w:lineRule="atLeast"/>
        <w:rPr>
          <w:rFonts w:ascii="Verdana" w:hAnsi="Verdana"/>
          <w:bCs/>
          <w:color w:val="000000" w:themeColor="text1"/>
          <w:sz w:val="21"/>
          <w:szCs w:val="21"/>
        </w:rPr>
      </w:pPr>
      <w:r>
        <w:rPr>
          <w:rFonts w:ascii="Verdana" w:hAnsi="Verdana"/>
          <w:bCs/>
          <w:color w:val="000000" w:themeColor="text1"/>
          <w:sz w:val="21"/>
          <w:szCs w:val="21"/>
        </w:rPr>
        <w:t xml:space="preserve">These trends are likely to continue in 2024. </w:t>
      </w:r>
      <w:r w:rsidR="00A422C0">
        <w:rPr>
          <w:rFonts w:ascii="Verdana" w:hAnsi="Verdana"/>
          <w:bCs/>
          <w:color w:val="000000" w:themeColor="text1"/>
          <w:sz w:val="21"/>
          <w:szCs w:val="21"/>
        </w:rPr>
        <w:br w:type="page"/>
      </w:r>
    </w:p>
    <w:p w14:paraId="7E506960" w14:textId="07F361D9" w:rsidR="00BC654E" w:rsidRPr="001B3A67" w:rsidRDefault="001B3A67" w:rsidP="00375ADA">
      <w:pPr>
        <w:spacing w:after="120" w:line="320" w:lineRule="atLeast"/>
        <w:ind w:left="357"/>
        <w:jc w:val="center"/>
        <w:rPr>
          <w:rFonts w:ascii="Verdana" w:hAnsi="Verdana"/>
          <w:b/>
          <w:bCs/>
          <w:color w:val="C00000"/>
        </w:rPr>
      </w:pPr>
      <w:r>
        <w:rPr>
          <w:rFonts w:ascii="Verdana" w:hAnsi="Verdana"/>
          <w:b/>
          <w:bCs/>
          <w:color w:val="C00000"/>
        </w:rPr>
        <w:lastRenderedPageBreak/>
        <w:t>N</w:t>
      </w:r>
      <w:r w:rsidR="004544E3" w:rsidRPr="001B3A67">
        <w:rPr>
          <w:rFonts w:ascii="Verdana" w:hAnsi="Verdana"/>
          <w:b/>
          <w:bCs/>
          <w:color w:val="C00000"/>
        </w:rPr>
        <w:t xml:space="preserve">UMBER OF ETPs IN </w:t>
      </w:r>
      <w:r w:rsidR="00BC654E" w:rsidRPr="001B3A67">
        <w:rPr>
          <w:rFonts w:ascii="Verdana" w:hAnsi="Verdana"/>
          <w:b/>
          <w:bCs/>
          <w:color w:val="C00000"/>
        </w:rPr>
        <w:t>ISSUE</w:t>
      </w:r>
    </w:p>
    <w:p w14:paraId="7C527D37" w14:textId="6D3E201F" w:rsidR="002C05CF" w:rsidRPr="002C05CF" w:rsidRDefault="002C05CF" w:rsidP="00580F19">
      <w:pPr>
        <w:spacing w:after="120" w:line="320" w:lineRule="atLeast"/>
        <w:rPr>
          <w:rFonts w:ascii="Verdana" w:hAnsi="Verdana"/>
          <w:b/>
          <w:bCs/>
          <w:sz w:val="21"/>
          <w:szCs w:val="21"/>
        </w:rPr>
      </w:pPr>
      <w:r>
        <w:rPr>
          <w:rFonts w:ascii="Verdana" w:hAnsi="Verdana"/>
          <w:b/>
          <w:bCs/>
          <w:sz w:val="21"/>
          <w:szCs w:val="21"/>
        </w:rPr>
        <w:t>Table A</w:t>
      </w:r>
    </w:p>
    <w:tbl>
      <w:tblPr>
        <w:tblW w:w="94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134"/>
        <w:gridCol w:w="993"/>
        <w:gridCol w:w="1275"/>
        <w:gridCol w:w="1275"/>
      </w:tblGrid>
      <w:tr w:rsidR="00B5674F" w:rsidRPr="003B4F95" w14:paraId="66DD5DCA" w14:textId="028A619E" w:rsidTr="00082439">
        <w:trPr>
          <w:trHeight w:val="360"/>
        </w:trPr>
        <w:tc>
          <w:tcPr>
            <w:tcW w:w="9496" w:type="dxa"/>
            <w:gridSpan w:val="6"/>
            <w:shd w:val="clear" w:color="auto" w:fill="C00000"/>
            <w:vAlign w:val="center"/>
          </w:tcPr>
          <w:p w14:paraId="528289EB" w14:textId="77777777" w:rsidR="00B5674F" w:rsidRDefault="00B5674F" w:rsidP="001B0316">
            <w:pPr>
              <w:spacing w:before="20" w:after="40" w:line="300" w:lineRule="atLeast"/>
              <w:jc w:val="center"/>
              <w:rPr>
                <w:rFonts w:ascii="Verdana" w:hAnsi="Verdana"/>
                <w:b/>
                <w:color w:val="FFFFFF"/>
                <w:sz w:val="18"/>
                <w:szCs w:val="18"/>
              </w:rPr>
            </w:pPr>
            <w:r>
              <w:rPr>
                <w:rFonts w:ascii="Verdana" w:hAnsi="Verdana"/>
                <w:b/>
                <w:color w:val="FFFFFF"/>
                <w:sz w:val="18"/>
                <w:szCs w:val="18"/>
              </w:rPr>
              <w:t>Number of Exchange Traded Products in Issue</w:t>
            </w:r>
          </w:p>
          <w:p w14:paraId="11CF91F7" w14:textId="74F1D383" w:rsidR="00B5674F" w:rsidRDefault="00B5674F" w:rsidP="001B0316">
            <w:pPr>
              <w:spacing w:before="20" w:after="40" w:line="300" w:lineRule="atLeast"/>
              <w:jc w:val="center"/>
              <w:rPr>
                <w:rFonts w:ascii="Verdana" w:hAnsi="Verdana"/>
                <w:b/>
                <w:color w:val="FFFFFF"/>
                <w:sz w:val="18"/>
                <w:szCs w:val="18"/>
              </w:rPr>
            </w:pPr>
            <w:r>
              <w:rPr>
                <w:rFonts w:ascii="Verdana" w:hAnsi="Verdana"/>
                <w:b/>
                <w:color w:val="FFFFFF"/>
                <w:sz w:val="18"/>
                <w:szCs w:val="18"/>
              </w:rPr>
              <w:t>(end of period)</w:t>
            </w:r>
          </w:p>
        </w:tc>
      </w:tr>
      <w:tr w:rsidR="00B5674F" w:rsidRPr="003B4F95" w14:paraId="1E959807" w14:textId="631F609C" w:rsidTr="00B5674F">
        <w:trPr>
          <w:trHeight w:val="360"/>
        </w:trPr>
        <w:tc>
          <w:tcPr>
            <w:tcW w:w="3685" w:type="dxa"/>
            <w:shd w:val="clear" w:color="auto" w:fill="4C4C4C"/>
          </w:tcPr>
          <w:p w14:paraId="2D3569C9" w14:textId="33720006" w:rsidR="00B5674F" w:rsidRPr="003B4F95" w:rsidRDefault="00B5674F" w:rsidP="001B0316">
            <w:pPr>
              <w:spacing w:before="20" w:after="40" w:line="300" w:lineRule="atLeast"/>
              <w:rPr>
                <w:rFonts w:ascii="Verdana" w:hAnsi="Verdana"/>
                <w:b/>
                <w:color w:val="FFFFFF"/>
                <w:sz w:val="18"/>
                <w:szCs w:val="18"/>
              </w:rPr>
            </w:pPr>
          </w:p>
        </w:tc>
        <w:tc>
          <w:tcPr>
            <w:tcW w:w="1134" w:type="dxa"/>
            <w:shd w:val="clear" w:color="auto" w:fill="4C4C4C"/>
            <w:vAlign w:val="center"/>
          </w:tcPr>
          <w:p w14:paraId="75281AB5" w14:textId="3AA1F13D" w:rsidR="00B5674F" w:rsidRPr="003B4F95" w:rsidRDefault="00B5674F" w:rsidP="001B0316">
            <w:pPr>
              <w:spacing w:before="20" w:after="40" w:line="300" w:lineRule="atLeast"/>
              <w:jc w:val="center"/>
              <w:rPr>
                <w:rFonts w:ascii="Verdana" w:hAnsi="Verdana"/>
                <w:b/>
                <w:color w:val="FFFFFF"/>
                <w:sz w:val="18"/>
                <w:szCs w:val="18"/>
              </w:rPr>
            </w:pPr>
            <w:r>
              <w:rPr>
                <w:rFonts w:ascii="Verdana" w:hAnsi="Verdana"/>
                <w:b/>
                <w:color w:val="FFFFFF"/>
                <w:sz w:val="18"/>
                <w:szCs w:val="18"/>
              </w:rPr>
              <w:t>2019</w:t>
            </w:r>
          </w:p>
        </w:tc>
        <w:tc>
          <w:tcPr>
            <w:tcW w:w="1134" w:type="dxa"/>
            <w:shd w:val="clear" w:color="auto" w:fill="4C4C4C"/>
            <w:vAlign w:val="center"/>
          </w:tcPr>
          <w:p w14:paraId="198B912A" w14:textId="5A12873B" w:rsidR="00B5674F" w:rsidRPr="003B4F95" w:rsidRDefault="00B5674F" w:rsidP="001B0316">
            <w:pPr>
              <w:spacing w:before="20" w:after="40" w:line="300" w:lineRule="atLeast"/>
              <w:jc w:val="center"/>
              <w:rPr>
                <w:rFonts w:ascii="Verdana" w:hAnsi="Verdana"/>
                <w:b/>
                <w:color w:val="FFFFFF"/>
                <w:sz w:val="18"/>
                <w:szCs w:val="18"/>
              </w:rPr>
            </w:pPr>
            <w:r>
              <w:rPr>
                <w:rFonts w:ascii="Verdana" w:hAnsi="Verdana"/>
                <w:b/>
                <w:color w:val="FFFFFF"/>
                <w:sz w:val="18"/>
                <w:szCs w:val="18"/>
              </w:rPr>
              <w:t>2020</w:t>
            </w:r>
          </w:p>
        </w:tc>
        <w:tc>
          <w:tcPr>
            <w:tcW w:w="993" w:type="dxa"/>
            <w:shd w:val="clear" w:color="auto" w:fill="4C4C4C"/>
            <w:vAlign w:val="center"/>
          </w:tcPr>
          <w:p w14:paraId="56E61AE9" w14:textId="2A923A34" w:rsidR="00B5674F" w:rsidRPr="003B4F95" w:rsidRDefault="00B5674F" w:rsidP="001B0316">
            <w:pPr>
              <w:spacing w:before="20" w:after="40" w:line="300" w:lineRule="atLeast"/>
              <w:jc w:val="center"/>
              <w:rPr>
                <w:rFonts w:ascii="Verdana" w:hAnsi="Verdana"/>
                <w:b/>
                <w:color w:val="FFFFFF"/>
                <w:sz w:val="18"/>
                <w:szCs w:val="18"/>
              </w:rPr>
            </w:pPr>
            <w:r>
              <w:rPr>
                <w:rFonts w:ascii="Verdana" w:hAnsi="Verdana"/>
                <w:b/>
                <w:color w:val="FFFFFF"/>
                <w:sz w:val="18"/>
                <w:szCs w:val="18"/>
              </w:rPr>
              <w:t>2021</w:t>
            </w:r>
          </w:p>
        </w:tc>
        <w:tc>
          <w:tcPr>
            <w:tcW w:w="1275" w:type="dxa"/>
            <w:shd w:val="clear" w:color="auto" w:fill="4C4C4C"/>
            <w:vAlign w:val="center"/>
          </w:tcPr>
          <w:p w14:paraId="22E3257A" w14:textId="2E86FB34" w:rsidR="00B5674F" w:rsidRPr="003B4F95" w:rsidRDefault="00B5674F" w:rsidP="001B0316">
            <w:pPr>
              <w:spacing w:before="20" w:after="40" w:line="300" w:lineRule="atLeast"/>
              <w:jc w:val="center"/>
              <w:rPr>
                <w:rFonts w:ascii="Verdana" w:hAnsi="Verdana"/>
                <w:b/>
                <w:color w:val="FFFFFF"/>
                <w:sz w:val="18"/>
                <w:szCs w:val="18"/>
              </w:rPr>
            </w:pPr>
            <w:r>
              <w:rPr>
                <w:rFonts w:ascii="Verdana" w:hAnsi="Verdana"/>
                <w:b/>
                <w:color w:val="FFFFFF"/>
                <w:sz w:val="18"/>
                <w:szCs w:val="18"/>
              </w:rPr>
              <w:t>2022</w:t>
            </w:r>
          </w:p>
        </w:tc>
        <w:tc>
          <w:tcPr>
            <w:tcW w:w="1275" w:type="dxa"/>
            <w:shd w:val="clear" w:color="auto" w:fill="4C4C4C"/>
          </w:tcPr>
          <w:p w14:paraId="45CA3423" w14:textId="74AB3055" w:rsidR="00B5674F" w:rsidRDefault="00B5674F" w:rsidP="001B0316">
            <w:pPr>
              <w:spacing w:before="20" w:after="40" w:line="300" w:lineRule="atLeast"/>
              <w:jc w:val="center"/>
              <w:rPr>
                <w:rFonts w:ascii="Verdana" w:hAnsi="Verdana"/>
                <w:b/>
                <w:color w:val="FFFFFF"/>
                <w:sz w:val="18"/>
                <w:szCs w:val="18"/>
              </w:rPr>
            </w:pPr>
            <w:r>
              <w:rPr>
                <w:rFonts w:ascii="Verdana" w:hAnsi="Verdana"/>
                <w:b/>
                <w:color w:val="FFFFFF"/>
                <w:sz w:val="18"/>
                <w:szCs w:val="18"/>
              </w:rPr>
              <w:t>2023</w:t>
            </w:r>
          </w:p>
        </w:tc>
      </w:tr>
      <w:tr w:rsidR="00B5674F" w14:paraId="1D34DDF6" w14:textId="793EF907" w:rsidTr="00B5674F">
        <w:tc>
          <w:tcPr>
            <w:tcW w:w="3685" w:type="dxa"/>
            <w:shd w:val="clear" w:color="auto" w:fill="auto"/>
          </w:tcPr>
          <w:p w14:paraId="6BF60B33" w14:textId="7EA8772B" w:rsidR="00B5674F" w:rsidRDefault="00B5674F" w:rsidP="001B0316">
            <w:pPr>
              <w:spacing w:before="20" w:after="40" w:line="300" w:lineRule="atLeast"/>
              <w:rPr>
                <w:rFonts w:ascii="Verdana" w:hAnsi="Verdana"/>
                <w:color w:val="000000"/>
                <w:sz w:val="18"/>
                <w:szCs w:val="18"/>
              </w:rPr>
            </w:pPr>
            <w:r>
              <w:rPr>
                <w:rFonts w:ascii="Verdana" w:hAnsi="Verdana"/>
                <w:color w:val="000000"/>
                <w:sz w:val="18"/>
                <w:szCs w:val="18"/>
              </w:rPr>
              <w:t>Exchange Traded Funds (ETFs)</w:t>
            </w:r>
          </w:p>
        </w:tc>
        <w:tc>
          <w:tcPr>
            <w:tcW w:w="1134" w:type="dxa"/>
            <w:vAlign w:val="center"/>
          </w:tcPr>
          <w:p w14:paraId="59188861" w14:textId="66A563AD" w:rsidR="00B5674F" w:rsidRDefault="00B5674F" w:rsidP="001B0316">
            <w:pPr>
              <w:spacing w:before="20" w:after="40" w:line="300" w:lineRule="atLeast"/>
              <w:jc w:val="center"/>
              <w:rPr>
                <w:rFonts w:ascii="Verdana" w:hAnsi="Verdana"/>
                <w:color w:val="000000"/>
                <w:sz w:val="18"/>
                <w:szCs w:val="18"/>
              </w:rPr>
            </w:pPr>
            <w:r>
              <w:rPr>
                <w:rFonts w:ascii="Verdana" w:hAnsi="Verdana"/>
                <w:color w:val="000000"/>
                <w:sz w:val="18"/>
                <w:szCs w:val="18"/>
              </w:rPr>
              <w:t>73</w:t>
            </w:r>
          </w:p>
        </w:tc>
        <w:tc>
          <w:tcPr>
            <w:tcW w:w="1134" w:type="dxa"/>
            <w:vAlign w:val="center"/>
          </w:tcPr>
          <w:p w14:paraId="0CB82234" w14:textId="2739B6F3" w:rsidR="00B5674F" w:rsidRDefault="00B5674F" w:rsidP="001B0316">
            <w:pPr>
              <w:spacing w:before="20" w:after="40" w:line="300" w:lineRule="atLeast"/>
              <w:jc w:val="center"/>
              <w:rPr>
                <w:rFonts w:ascii="Verdana" w:hAnsi="Verdana"/>
                <w:color w:val="000000"/>
                <w:sz w:val="18"/>
                <w:szCs w:val="18"/>
              </w:rPr>
            </w:pPr>
            <w:r>
              <w:rPr>
                <w:rFonts w:ascii="Verdana" w:hAnsi="Verdana"/>
                <w:color w:val="000000"/>
                <w:sz w:val="18"/>
                <w:szCs w:val="18"/>
              </w:rPr>
              <w:t>78</w:t>
            </w:r>
          </w:p>
        </w:tc>
        <w:tc>
          <w:tcPr>
            <w:tcW w:w="993" w:type="dxa"/>
            <w:vAlign w:val="center"/>
          </w:tcPr>
          <w:p w14:paraId="145425E3" w14:textId="4CFC9C43" w:rsidR="00B5674F" w:rsidRDefault="00B5674F" w:rsidP="001B0316">
            <w:pPr>
              <w:spacing w:before="20" w:after="40" w:line="300" w:lineRule="atLeast"/>
              <w:jc w:val="center"/>
              <w:rPr>
                <w:rFonts w:ascii="Verdana" w:hAnsi="Verdana"/>
                <w:color w:val="000000"/>
                <w:sz w:val="18"/>
                <w:szCs w:val="18"/>
              </w:rPr>
            </w:pPr>
            <w:r>
              <w:rPr>
                <w:rFonts w:ascii="Verdana" w:hAnsi="Verdana"/>
                <w:color w:val="000000"/>
                <w:sz w:val="18"/>
                <w:szCs w:val="18"/>
              </w:rPr>
              <w:t>86</w:t>
            </w:r>
          </w:p>
        </w:tc>
        <w:tc>
          <w:tcPr>
            <w:tcW w:w="1275" w:type="dxa"/>
            <w:vAlign w:val="center"/>
          </w:tcPr>
          <w:p w14:paraId="4029A1DA" w14:textId="1D3E510F" w:rsidR="00B5674F" w:rsidRDefault="00B5674F" w:rsidP="001B0316">
            <w:pPr>
              <w:spacing w:before="20" w:after="40" w:line="300" w:lineRule="atLeast"/>
              <w:jc w:val="center"/>
              <w:rPr>
                <w:rFonts w:ascii="Verdana" w:hAnsi="Verdana"/>
                <w:color w:val="000000"/>
                <w:sz w:val="18"/>
                <w:szCs w:val="18"/>
              </w:rPr>
            </w:pPr>
            <w:r>
              <w:rPr>
                <w:rFonts w:ascii="Verdana" w:hAnsi="Verdana"/>
                <w:color w:val="000000"/>
                <w:sz w:val="18"/>
                <w:szCs w:val="18"/>
              </w:rPr>
              <w:t>95</w:t>
            </w:r>
          </w:p>
        </w:tc>
        <w:tc>
          <w:tcPr>
            <w:tcW w:w="1275" w:type="dxa"/>
          </w:tcPr>
          <w:p w14:paraId="7FE48B55" w14:textId="0F92EFEF" w:rsidR="00B5674F" w:rsidRDefault="00B5674F" w:rsidP="001B0316">
            <w:pPr>
              <w:spacing w:before="20" w:after="40" w:line="300" w:lineRule="atLeast"/>
              <w:jc w:val="center"/>
              <w:rPr>
                <w:rFonts w:ascii="Verdana" w:hAnsi="Verdana"/>
                <w:color w:val="000000"/>
                <w:sz w:val="18"/>
                <w:szCs w:val="18"/>
              </w:rPr>
            </w:pPr>
            <w:r>
              <w:rPr>
                <w:rFonts w:ascii="Verdana" w:hAnsi="Verdana"/>
                <w:color w:val="000000"/>
                <w:sz w:val="18"/>
                <w:szCs w:val="18"/>
              </w:rPr>
              <w:t>9</w:t>
            </w:r>
            <w:r w:rsidR="003A5D8C">
              <w:rPr>
                <w:rFonts w:ascii="Verdana" w:hAnsi="Verdana"/>
                <w:color w:val="000000"/>
                <w:sz w:val="18"/>
                <w:szCs w:val="18"/>
              </w:rPr>
              <w:t>2</w:t>
            </w:r>
          </w:p>
        </w:tc>
      </w:tr>
      <w:tr w:rsidR="00B5674F" w14:paraId="2B4CE8AA" w14:textId="7DC23D94" w:rsidTr="00B5674F">
        <w:tc>
          <w:tcPr>
            <w:tcW w:w="3685" w:type="dxa"/>
            <w:shd w:val="clear" w:color="auto" w:fill="auto"/>
          </w:tcPr>
          <w:p w14:paraId="747A4394" w14:textId="10903854" w:rsidR="00B5674F" w:rsidRDefault="00B5674F" w:rsidP="001B0316">
            <w:pPr>
              <w:spacing w:before="20" w:after="40" w:line="300" w:lineRule="atLeast"/>
              <w:rPr>
                <w:rFonts w:ascii="Verdana" w:hAnsi="Verdana"/>
                <w:color w:val="000000"/>
                <w:sz w:val="18"/>
                <w:szCs w:val="18"/>
              </w:rPr>
            </w:pPr>
            <w:r>
              <w:rPr>
                <w:rFonts w:ascii="Verdana" w:hAnsi="Verdana"/>
                <w:color w:val="000000"/>
                <w:sz w:val="18"/>
                <w:szCs w:val="18"/>
              </w:rPr>
              <w:t>Exchange Traded Notes (ETNs)</w:t>
            </w:r>
          </w:p>
        </w:tc>
        <w:tc>
          <w:tcPr>
            <w:tcW w:w="1134" w:type="dxa"/>
            <w:vAlign w:val="center"/>
          </w:tcPr>
          <w:p w14:paraId="117F7B15" w14:textId="49D1EC41" w:rsidR="00B5674F" w:rsidRDefault="00B5674F" w:rsidP="001B0316">
            <w:pPr>
              <w:spacing w:before="20" w:after="40" w:line="300" w:lineRule="atLeast"/>
              <w:jc w:val="center"/>
              <w:rPr>
                <w:rFonts w:ascii="Verdana" w:hAnsi="Verdana"/>
                <w:color w:val="000000"/>
                <w:sz w:val="18"/>
                <w:szCs w:val="18"/>
              </w:rPr>
            </w:pPr>
            <w:r>
              <w:rPr>
                <w:rFonts w:ascii="Verdana" w:hAnsi="Verdana"/>
                <w:color w:val="000000"/>
                <w:sz w:val="18"/>
                <w:szCs w:val="18"/>
              </w:rPr>
              <w:t>29</w:t>
            </w:r>
          </w:p>
        </w:tc>
        <w:tc>
          <w:tcPr>
            <w:tcW w:w="1134" w:type="dxa"/>
            <w:vAlign w:val="center"/>
          </w:tcPr>
          <w:p w14:paraId="62A180E9" w14:textId="7A2AD3B1" w:rsidR="00B5674F" w:rsidRDefault="00B5674F" w:rsidP="001B0316">
            <w:pPr>
              <w:spacing w:before="20" w:after="40" w:line="300" w:lineRule="atLeast"/>
              <w:jc w:val="center"/>
              <w:rPr>
                <w:rFonts w:ascii="Verdana" w:hAnsi="Verdana"/>
                <w:color w:val="000000"/>
                <w:sz w:val="18"/>
                <w:szCs w:val="18"/>
              </w:rPr>
            </w:pPr>
            <w:r>
              <w:rPr>
                <w:rFonts w:ascii="Verdana" w:hAnsi="Verdana"/>
                <w:color w:val="000000"/>
                <w:sz w:val="18"/>
                <w:szCs w:val="18"/>
              </w:rPr>
              <w:t>59</w:t>
            </w:r>
          </w:p>
        </w:tc>
        <w:tc>
          <w:tcPr>
            <w:tcW w:w="993" w:type="dxa"/>
            <w:vAlign w:val="center"/>
          </w:tcPr>
          <w:p w14:paraId="68DB51E5" w14:textId="2C2C987D" w:rsidR="00B5674F" w:rsidRDefault="00B5674F" w:rsidP="001B0316">
            <w:pPr>
              <w:spacing w:before="20" w:after="40" w:line="300" w:lineRule="atLeast"/>
              <w:jc w:val="center"/>
              <w:rPr>
                <w:rFonts w:ascii="Verdana" w:hAnsi="Verdana"/>
                <w:color w:val="000000"/>
                <w:sz w:val="18"/>
                <w:szCs w:val="18"/>
              </w:rPr>
            </w:pPr>
            <w:r>
              <w:rPr>
                <w:rFonts w:ascii="Verdana" w:hAnsi="Verdana"/>
                <w:color w:val="000000"/>
                <w:sz w:val="18"/>
                <w:szCs w:val="18"/>
              </w:rPr>
              <w:t>82</w:t>
            </w:r>
          </w:p>
        </w:tc>
        <w:tc>
          <w:tcPr>
            <w:tcW w:w="1275" w:type="dxa"/>
            <w:vAlign w:val="center"/>
          </w:tcPr>
          <w:p w14:paraId="40E1A392" w14:textId="21B3852F" w:rsidR="00B5674F" w:rsidRDefault="00B5674F" w:rsidP="001B0316">
            <w:pPr>
              <w:spacing w:before="20" w:after="40" w:line="300" w:lineRule="atLeast"/>
              <w:jc w:val="center"/>
              <w:rPr>
                <w:rFonts w:ascii="Verdana" w:hAnsi="Verdana"/>
                <w:color w:val="000000"/>
                <w:sz w:val="18"/>
                <w:szCs w:val="18"/>
              </w:rPr>
            </w:pPr>
            <w:r>
              <w:rPr>
                <w:rFonts w:ascii="Verdana" w:hAnsi="Verdana"/>
                <w:color w:val="000000"/>
                <w:sz w:val="18"/>
                <w:szCs w:val="18"/>
              </w:rPr>
              <w:t>66</w:t>
            </w:r>
          </w:p>
        </w:tc>
        <w:tc>
          <w:tcPr>
            <w:tcW w:w="1275" w:type="dxa"/>
          </w:tcPr>
          <w:p w14:paraId="1FC140CB" w14:textId="25322FA5" w:rsidR="00B5674F" w:rsidRDefault="003A5D8C" w:rsidP="001B0316">
            <w:pPr>
              <w:spacing w:before="20" w:after="40" w:line="300" w:lineRule="atLeast"/>
              <w:jc w:val="center"/>
              <w:rPr>
                <w:rFonts w:ascii="Verdana" w:hAnsi="Verdana"/>
                <w:color w:val="000000"/>
                <w:sz w:val="18"/>
                <w:szCs w:val="18"/>
              </w:rPr>
            </w:pPr>
            <w:r>
              <w:rPr>
                <w:rFonts w:ascii="Verdana" w:hAnsi="Verdana"/>
                <w:color w:val="000000"/>
                <w:sz w:val="18"/>
                <w:szCs w:val="18"/>
              </w:rPr>
              <w:t>69</w:t>
            </w:r>
          </w:p>
        </w:tc>
      </w:tr>
      <w:tr w:rsidR="00B5674F" w14:paraId="4A92A83B" w14:textId="53DF601F" w:rsidTr="00B5674F">
        <w:tc>
          <w:tcPr>
            <w:tcW w:w="3685" w:type="dxa"/>
            <w:shd w:val="clear" w:color="auto" w:fill="auto"/>
          </w:tcPr>
          <w:p w14:paraId="53C939F8" w14:textId="4F494D8E" w:rsidR="00B5674F" w:rsidRDefault="00B5674F" w:rsidP="001B0316">
            <w:pPr>
              <w:spacing w:before="20" w:after="40" w:line="300" w:lineRule="atLeast"/>
              <w:rPr>
                <w:rFonts w:ascii="Verdana" w:hAnsi="Verdana"/>
                <w:color w:val="000000"/>
                <w:sz w:val="18"/>
                <w:szCs w:val="18"/>
              </w:rPr>
            </w:pPr>
            <w:r>
              <w:rPr>
                <w:rFonts w:ascii="Verdana" w:hAnsi="Verdana"/>
                <w:color w:val="000000"/>
                <w:sz w:val="18"/>
                <w:szCs w:val="18"/>
              </w:rPr>
              <w:t>Actively Managed Certificates (AMCs)</w:t>
            </w:r>
          </w:p>
        </w:tc>
        <w:tc>
          <w:tcPr>
            <w:tcW w:w="1134" w:type="dxa"/>
            <w:vAlign w:val="center"/>
          </w:tcPr>
          <w:p w14:paraId="69C1C2BF" w14:textId="7BC89627" w:rsidR="00B5674F" w:rsidRDefault="00B5674F" w:rsidP="001B0316">
            <w:pPr>
              <w:spacing w:before="20" w:after="40" w:line="300" w:lineRule="atLeast"/>
              <w:jc w:val="center"/>
              <w:rPr>
                <w:rFonts w:ascii="Verdana" w:hAnsi="Verdana"/>
                <w:color w:val="000000"/>
                <w:sz w:val="18"/>
                <w:szCs w:val="18"/>
              </w:rPr>
            </w:pPr>
            <w:r>
              <w:rPr>
                <w:rFonts w:ascii="Verdana" w:hAnsi="Verdana"/>
                <w:color w:val="000000"/>
                <w:sz w:val="18"/>
                <w:szCs w:val="18"/>
              </w:rPr>
              <w:t>-</w:t>
            </w:r>
          </w:p>
        </w:tc>
        <w:tc>
          <w:tcPr>
            <w:tcW w:w="1134" w:type="dxa"/>
            <w:vAlign w:val="center"/>
          </w:tcPr>
          <w:p w14:paraId="4959098E" w14:textId="593545F6" w:rsidR="00B5674F" w:rsidRDefault="00B5674F" w:rsidP="001B0316">
            <w:pPr>
              <w:spacing w:before="20" w:after="40" w:line="300" w:lineRule="atLeast"/>
              <w:jc w:val="center"/>
              <w:rPr>
                <w:rFonts w:ascii="Verdana" w:hAnsi="Verdana"/>
                <w:color w:val="000000"/>
                <w:sz w:val="18"/>
                <w:szCs w:val="18"/>
              </w:rPr>
            </w:pPr>
            <w:r>
              <w:rPr>
                <w:rFonts w:ascii="Verdana" w:hAnsi="Verdana"/>
                <w:color w:val="000000"/>
                <w:sz w:val="18"/>
                <w:szCs w:val="18"/>
              </w:rPr>
              <w:t>-</w:t>
            </w:r>
          </w:p>
        </w:tc>
        <w:tc>
          <w:tcPr>
            <w:tcW w:w="993" w:type="dxa"/>
            <w:vAlign w:val="center"/>
          </w:tcPr>
          <w:p w14:paraId="77D06333" w14:textId="6BC9C881" w:rsidR="00B5674F" w:rsidRDefault="00B5674F" w:rsidP="001B0316">
            <w:pPr>
              <w:spacing w:before="20" w:after="40" w:line="300" w:lineRule="atLeast"/>
              <w:jc w:val="center"/>
              <w:rPr>
                <w:rFonts w:ascii="Verdana" w:hAnsi="Verdana"/>
                <w:color w:val="000000"/>
                <w:sz w:val="18"/>
                <w:szCs w:val="18"/>
              </w:rPr>
            </w:pPr>
            <w:r>
              <w:rPr>
                <w:rFonts w:ascii="Verdana" w:hAnsi="Verdana"/>
                <w:color w:val="000000"/>
                <w:sz w:val="18"/>
                <w:szCs w:val="18"/>
              </w:rPr>
              <w:t>-</w:t>
            </w:r>
          </w:p>
        </w:tc>
        <w:tc>
          <w:tcPr>
            <w:tcW w:w="1275" w:type="dxa"/>
            <w:vAlign w:val="center"/>
          </w:tcPr>
          <w:p w14:paraId="107A9AD5" w14:textId="11B68734" w:rsidR="00B5674F" w:rsidRDefault="00B5674F" w:rsidP="001B0316">
            <w:pPr>
              <w:spacing w:before="20" w:after="40" w:line="300" w:lineRule="atLeast"/>
              <w:jc w:val="center"/>
              <w:rPr>
                <w:rFonts w:ascii="Verdana" w:hAnsi="Verdana"/>
                <w:color w:val="000000"/>
                <w:sz w:val="18"/>
                <w:szCs w:val="18"/>
              </w:rPr>
            </w:pPr>
            <w:r>
              <w:rPr>
                <w:rFonts w:ascii="Verdana" w:hAnsi="Verdana"/>
                <w:color w:val="000000"/>
                <w:sz w:val="18"/>
                <w:szCs w:val="18"/>
              </w:rPr>
              <w:t>22</w:t>
            </w:r>
          </w:p>
        </w:tc>
        <w:tc>
          <w:tcPr>
            <w:tcW w:w="1275" w:type="dxa"/>
          </w:tcPr>
          <w:p w14:paraId="3B775DD4" w14:textId="5C334A0B" w:rsidR="00B5674F" w:rsidRDefault="00C16C3A" w:rsidP="001B0316">
            <w:pPr>
              <w:spacing w:before="20" w:after="40" w:line="300" w:lineRule="atLeast"/>
              <w:jc w:val="center"/>
              <w:rPr>
                <w:rFonts w:ascii="Verdana" w:hAnsi="Verdana"/>
                <w:color w:val="000000"/>
                <w:sz w:val="18"/>
                <w:szCs w:val="18"/>
              </w:rPr>
            </w:pPr>
            <w:r>
              <w:rPr>
                <w:rFonts w:ascii="Verdana" w:hAnsi="Verdana"/>
                <w:color w:val="000000"/>
                <w:sz w:val="18"/>
                <w:szCs w:val="18"/>
              </w:rPr>
              <w:t>4</w:t>
            </w:r>
            <w:r w:rsidR="003A5D8C">
              <w:rPr>
                <w:rFonts w:ascii="Verdana" w:hAnsi="Verdana"/>
                <w:color w:val="000000"/>
                <w:sz w:val="18"/>
                <w:szCs w:val="18"/>
              </w:rPr>
              <w:t>4</w:t>
            </w:r>
          </w:p>
        </w:tc>
      </w:tr>
      <w:tr w:rsidR="004544E3" w14:paraId="2AFF8A4F" w14:textId="77777777" w:rsidTr="00B5674F">
        <w:tc>
          <w:tcPr>
            <w:tcW w:w="3685" w:type="dxa"/>
            <w:shd w:val="clear" w:color="auto" w:fill="auto"/>
          </w:tcPr>
          <w:p w14:paraId="183175D2" w14:textId="1C0A5EBF" w:rsidR="004544E3" w:rsidRDefault="004544E3" w:rsidP="001B0316">
            <w:pPr>
              <w:spacing w:before="20" w:after="40" w:line="300" w:lineRule="atLeast"/>
              <w:rPr>
                <w:rFonts w:ascii="Verdana" w:hAnsi="Verdana"/>
                <w:color w:val="000000"/>
                <w:sz w:val="18"/>
                <w:szCs w:val="18"/>
              </w:rPr>
            </w:pPr>
            <w:r>
              <w:rPr>
                <w:rFonts w:ascii="Verdana" w:hAnsi="Verdana"/>
                <w:color w:val="000000"/>
                <w:sz w:val="18"/>
                <w:szCs w:val="18"/>
              </w:rPr>
              <w:t>Actively Managed ETFs (AMETFs)</w:t>
            </w:r>
          </w:p>
        </w:tc>
        <w:tc>
          <w:tcPr>
            <w:tcW w:w="1134" w:type="dxa"/>
            <w:vAlign w:val="center"/>
          </w:tcPr>
          <w:p w14:paraId="3C81BB4D" w14:textId="54E19110" w:rsidR="004544E3" w:rsidRDefault="004544E3" w:rsidP="001B0316">
            <w:pPr>
              <w:spacing w:before="20" w:after="40" w:line="300" w:lineRule="atLeast"/>
              <w:jc w:val="center"/>
              <w:rPr>
                <w:rFonts w:ascii="Verdana" w:hAnsi="Verdana"/>
                <w:color w:val="000000"/>
                <w:sz w:val="18"/>
                <w:szCs w:val="18"/>
              </w:rPr>
            </w:pPr>
            <w:r>
              <w:rPr>
                <w:rFonts w:ascii="Verdana" w:hAnsi="Verdana"/>
                <w:color w:val="000000"/>
                <w:sz w:val="18"/>
                <w:szCs w:val="18"/>
              </w:rPr>
              <w:t>-</w:t>
            </w:r>
          </w:p>
        </w:tc>
        <w:tc>
          <w:tcPr>
            <w:tcW w:w="1134" w:type="dxa"/>
            <w:vAlign w:val="center"/>
          </w:tcPr>
          <w:p w14:paraId="57FB53C9" w14:textId="6C86FE2F" w:rsidR="004544E3" w:rsidRDefault="004544E3" w:rsidP="001B0316">
            <w:pPr>
              <w:spacing w:before="20" w:after="40" w:line="300" w:lineRule="atLeast"/>
              <w:jc w:val="center"/>
              <w:rPr>
                <w:rFonts w:ascii="Verdana" w:hAnsi="Verdana"/>
                <w:color w:val="000000"/>
                <w:sz w:val="18"/>
                <w:szCs w:val="18"/>
              </w:rPr>
            </w:pPr>
            <w:r>
              <w:rPr>
                <w:rFonts w:ascii="Verdana" w:hAnsi="Verdana"/>
                <w:color w:val="000000"/>
                <w:sz w:val="18"/>
                <w:szCs w:val="18"/>
              </w:rPr>
              <w:t>-</w:t>
            </w:r>
          </w:p>
        </w:tc>
        <w:tc>
          <w:tcPr>
            <w:tcW w:w="993" w:type="dxa"/>
            <w:vAlign w:val="center"/>
          </w:tcPr>
          <w:p w14:paraId="5FCA258D" w14:textId="4318A24F" w:rsidR="004544E3" w:rsidRDefault="004544E3" w:rsidP="001B0316">
            <w:pPr>
              <w:spacing w:before="20" w:after="40" w:line="300" w:lineRule="atLeast"/>
              <w:jc w:val="center"/>
              <w:rPr>
                <w:rFonts w:ascii="Verdana" w:hAnsi="Verdana"/>
                <w:color w:val="000000"/>
                <w:sz w:val="18"/>
                <w:szCs w:val="18"/>
              </w:rPr>
            </w:pPr>
            <w:r>
              <w:rPr>
                <w:rFonts w:ascii="Verdana" w:hAnsi="Verdana"/>
                <w:color w:val="000000"/>
                <w:sz w:val="18"/>
                <w:szCs w:val="18"/>
              </w:rPr>
              <w:t>-</w:t>
            </w:r>
          </w:p>
        </w:tc>
        <w:tc>
          <w:tcPr>
            <w:tcW w:w="1275" w:type="dxa"/>
            <w:vAlign w:val="center"/>
          </w:tcPr>
          <w:p w14:paraId="690F82C3" w14:textId="23179062" w:rsidR="004544E3" w:rsidRDefault="004544E3" w:rsidP="001B0316">
            <w:pPr>
              <w:spacing w:before="20" w:after="40" w:line="300" w:lineRule="atLeast"/>
              <w:jc w:val="center"/>
              <w:rPr>
                <w:rFonts w:ascii="Verdana" w:hAnsi="Verdana"/>
                <w:color w:val="000000"/>
                <w:sz w:val="18"/>
                <w:szCs w:val="18"/>
              </w:rPr>
            </w:pPr>
            <w:r>
              <w:rPr>
                <w:rFonts w:ascii="Verdana" w:hAnsi="Verdana"/>
                <w:color w:val="000000"/>
                <w:sz w:val="18"/>
                <w:szCs w:val="18"/>
              </w:rPr>
              <w:t>-</w:t>
            </w:r>
          </w:p>
        </w:tc>
        <w:tc>
          <w:tcPr>
            <w:tcW w:w="1275" w:type="dxa"/>
          </w:tcPr>
          <w:p w14:paraId="13186C4D" w14:textId="123FD1BB" w:rsidR="004544E3" w:rsidRDefault="003A5D8C" w:rsidP="001B0316">
            <w:pPr>
              <w:spacing w:before="20" w:after="40" w:line="300" w:lineRule="atLeast"/>
              <w:jc w:val="center"/>
              <w:rPr>
                <w:rFonts w:ascii="Verdana" w:hAnsi="Verdana"/>
                <w:color w:val="000000"/>
                <w:sz w:val="18"/>
                <w:szCs w:val="18"/>
              </w:rPr>
            </w:pPr>
            <w:r>
              <w:rPr>
                <w:rFonts w:ascii="Verdana" w:hAnsi="Verdana"/>
                <w:color w:val="000000"/>
                <w:sz w:val="18"/>
                <w:szCs w:val="18"/>
              </w:rPr>
              <w:t>6</w:t>
            </w:r>
          </w:p>
        </w:tc>
      </w:tr>
      <w:tr w:rsidR="00B5674F" w14:paraId="5E6C99D8" w14:textId="6D575C50" w:rsidTr="00B5674F">
        <w:tc>
          <w:tcPr>
            <w:tcW w:w="3685" w:type="dxa"/>
            <w:shd w:val="clear" w:color="auto" w:fill="auto"/>
          </w:tcPr>
          <w:p w14:paraId="3DCA2438" w14:textId="7BFD7FBF" w:rsidR="00B5674F" w:rsidRPr="00ED30AE" w:rsidRDefault="00B5674F" w:rsidP="001B0316">
            <w:pPr>
              <w:spacing w:before="20" w:after="40" w:line="300" w:lineRule="atLeast"/>
              <w:rPr>
                <w:rFonts w:ascii="Verdana" w:hAnsi="Verdana"/>
                <w:b/>
                <w:bCs/>
                <w:color w:val="000000"/>
                <w:sz w:val="18"/>
                <w:szCs w:val="18"/>
              </w:rPr>
            </w:pPr>
            <w:r w:rsidRPr="00ED30AE">
              <w:rPr>
                <w:rFonts w:ascii="Verdana" w:hAnsi="Verdana"/>
                <w:b/>
                <w:bCs/>
                <w:color w:val="000000"/>
                <w:sz w:val="18"/>
                <w:szCs w:val="18"/>
              </w:rPr>
              <w:t>Totals</w:t>
            </w:r>
          </w:p>
        </w:tc>
        <w:tc>
          <w:tcPr>
            <w:tcW w:w="1134" w:type="dxa"/>
            <w:vAlign w:val="center"/>
          </w:tcPr>
          <w:p w14:paraId="0EDC5E53" w14:textId="26C1C73D" w:rsidR="00B5674F" w:rsidRPr="00ED30AE" w:rsidRDefault="00B5674F" w:rsidP="001B0316">
            <w:pPr>
              <w:spacing w:before="20" w:after="40" w:line="300" w:lineRule="atLeast"/>
              <w:jc w:val="center"/>
              <w:rPr>
                <w:rFonts w:ascii="Verdana" w:hAnsi="Verdana"/>
                <w:b/>
                <w:bCs/>
                <w:color w:val="000000"/>
                <w:sz w:val="18"/>
                <w:szCs w:val="18"/>
              </w:rPr>
            </w:pPr>
            <w:r>
              <w:rPr>
                <w:rFonts w:ascii="Verdana" w:hAnsi="Verdana"/>
                <w:b/>
                <w:bCs/>
                <w:color w:val="000000"/>
                <w:sz w:val="18"/>
                <w:szCs w:val="18"/>
              </w:rPr>
              <w:t>102</w:t>
            </w:r>
          </w:p>
        </w:tc>
        <w:tc>
          <w:tcPr>
            <w:tcW w:w="1134" w:type="dxa"/>
            <w:vAlign w:val="center"/>
          </w:tcPr>
          <w:p w14:paraId="371B51CC" w14:textId="3301D3B9" w:rsidR="00B5674F" w:rsidRPr="00ED30AE" w:rsidRDefault="00B5674F" w:rsidP="001B0316">
            <w:pPr>
              <w:spacing w:before="20" w:after="40" w:line="300" w:lineRule="atLeast"/>
              <w:jc w:val="center"/>
              <w:rPr>
                <w:rFonts w:ascii="Verdana" w:hAnsi="Verdana"/>
                <w:b/>
                <w:bCs/>
                <w:color w:val="000000"/>
                <w:sz w:val="18"/>
                <w:szCs w:val="18"/>
              </w:rPr>
            </w:pPr>
            <w:r>
              <w:rPr>
                <w:rFonts w:ascii="Verdana" w:hAnsi="Verdana"/>
                <w:b/>
                <w:bCs/>
                <w:color w:val="000000"/>
                <w:sz w:val="18"/>
                <w:szCs w:val="18"/>
              </w:rPr>
              <w:t>137</w:t>
            </w:r>
          </w:p>
        </w:tc>
        <w:tc>
          <w:tcPr>
            <w:tcW w:w="993" w:type="dxa"/>
            <w:vAlign w:val="center"/>
          </w:tcPr>
          <w:p w14:paraId="2E1DC911" w14:textId="1109BE99" w:rsidR="00B5674F" w:rsidRPr="00ED30AE" w:rsidRDefault="00B5674F" w:rsidP="001B0316">
            <w:pPr>
              <w:spacing w:before="20" w:after="40" w:line="300" w:lineRule="atLeast"/>
              <w:jc w:val="center"/>
              <w:rPr>
                <w:rFonts w:ascii="Verdana" w:hAnsi="Verdana"/>
                <w:b/>
                <w:bCs/>
                <w:color w:val="000000"/>
                <w:sz w:val="18"/>
                <w:szCs w:val="18"/>
              </w:rPr>
            </w:pPr>
            <w:r>
              <w:rPr>
                <w:rFonts w:ascii="Verdana" w:hAnsi="Verdana"/>
                <w:b/>
                <w:bCs/>
                <w:color w:val="000000"/>
                <w:sz w:val="18"/>
                <w:szCs w:val="18"/>
              </w:rPr>
              <w:t>168</w:t>
            </w:r>
          </w:p>
        </w:tc>
        <w:tc>
          <w:tcPr>
            <w:tcW w:w="1275" w:type="dxa"/>
            <w:vAlign w:val="center"/>
          </w:tcPr>
          <w:p w14:paraId="47B74F5E" w14:textId="5E5054C7" w:rsidR="00B5674F" w:rsidRPr="00ED30AE" w:rsidRDefault="00B5674F" w:rsidP="001B0316">
            <w:pPr>
              <w:spacing w:before="20" w:after="40" w:line="300" w:lineRule="atLeast"/>
              <w:jc w:val="center"/>
              <w:rPr>
                <w:rFonts w:ascii="Verdana" w:hAnsi="Verdana"/>
                <w:b/>
                <w:bCs/>
                <w:color w:val="000000"/>
                <w:sz w:val="18"/>
                <w:szCs w:val="18"/>
              </w:rPr>
            </w:pPr>
            <w:r>
              <w:rPr>
                <w:rFonts w:ascii="Verdana" w:hAnsi="Verdana"/>
                <w:b/>
                <w:bCs/>
                <w:color w:val="000000"/>
                <w:sz w:val="18"/>
                <w:szCs w:val="18"/>
              </w:rPr>
              <w:t>183</w:t>
            </w:r>
          </w:p>
        </w:tc>
        <w:tc>
          <w:tcPr>
            <w:tcW w:w="1275" w:type="dxa"/>
          </w:tcPr>
          <w:p w14:paraId="4B7D6225" w14:textId="0074095A" w:rsidR="00B5674F" w:rsidRDefault="004544E3" w:rsidP="001B0316">
            <w:pPr>
              <w:spacing w:before="20" w:after="40" w:line="300" w:lineRule="atLeast"/>
              <w:jc w:val="center"/>
              <w:rPr>
                <w:rFonts w:ascii="Verdana" w:hAnsi="Verdana"/>
                <w:b/>
                <w:bCs/>
                <w:color w:val="000000"/>
                <w:sz w:val="18"/>
                <w:szCs w:val="18"/>
              </w:rPr>
            </w:pPr>
            <w:r>
              <w:rPr>
                <w:rFonts w:ascii="Verdana" w:hAnsi="Verdana"/>
                <w:b/>
                <w:bCs/>
                <w:color w:val="000000"/>
                <w:sz w:val="18"/>
                <w:szCs w:val="18"/>
              </w:rPr>
              <w:t>2</w:t>
            </w:r>
            <w:r w:rsidR="00B5674F">
              <w:rPr>
                <w:rFonts w:ascii="Verdana" w:hAnsi="Verdana"/>
                <w:b/>
                <w:bCs/>
                <w:color w:val="000000"/>
                <w:sz w:val="18"/>
                <w:szCs w:val="18"/>
              </w:rPr>
              <w:t>1</w:t>
            </w:r>
            <w:r w:rsidR="003A5D8C">
              <w:rPr>
                <w:rFonts w:ascii="Verdana" w:hAnsi="Verdana"/>
                <w:b/>
                <w:bCs/>
                <w:color w:val="000000"/>
                <w:sz w:val="18"/>
                <w:szCs w:val="18"/>
              </w:rPr>
              <w:t>1</w:t>
            </w:r>
          </w:p>
        </w:tc>
      </w:tr>
      <w:tr w:rsidR="00A422C0" w:rsidRPr="00D81B05" w14:paraId="5BD5C88F" w14:textId="242B13AA" w:rsidTr="00DB0A8A">
        <w:tc>
          <w:tcPr>
            <w:tcW w:w="9496" w:type="dxa"/>
            <w:gridSpan w:val="6"/>
            <w:shd w:val="clear" w:color="auto" w:fill="auto"/>
          </w:tcPr>
          <w:p w14:paraId="239E1BA7" w14:textId="29FCF43F" w:rsidR="00A422C0" w:rsidRPr="001B0316" w:rsidRDefault="00A422C0" w:rsidP="00BC654E">
            <w:pPr>
              <w:spacing w:before="40" w:after="40" w:line="240" w:lineRule="auto"/>
              <w:rPr>
                <w:rFonts w:ascii="Verdana" w:hAnsi="Verdana"/>
                <w:i/>
                <w:iCs/>
                <w:color w:val="000000"/>
                <w:sz w:val="16"/>
                <w:szCs w:val="16"/>
                <w:lang w:val="fr-FR"/>
              </w:rPr>
            </w:pPr>
            <w:r w:rsidRPr="001B0316">
              <w:rPr>
                <w:rFonts w:ascii="Verdana" w:hAnsi="Verdana"/>
                <w:i/>
                <w:iCs/>
                <w:color w:val="000000"/>
                <w:sz w:val="16"/>
                <w:szCs w:val="16"/>
                <w:lang w:val="fr-FR"/>
              </w:rPr>
              <w:t>Source: etfSA.co.za (</w:t>
            </w:r>
            <w:r w:rsidR="003A5D8C" w:rsidRPr="001B0316">
              <w:rPr>
                <w:rFonts w:ascii="Verdana" w:hAnsi="Verdana"/>
                <w:i/>
                <w:iCs/>
                <w:color w:val="000000"/>
                <w:sz w:val="16"/>
                <w:szCs w:val="16"/>
                <w:lang w:val="fr-FR"/>
              </w:rPr>
              <w:t>Dec</w:t>
            </w:r>
            <w:r w:rsidRPr="001B0316">
              <w:rPr>
                <w:rFonts w:ascii="Verdana" w:hAnsi="Verdana"/>
                <w:i/>
                <w:iCs/>
                <w:color w:val="000000"/>
                <w:sz w:val="16"/>
                <w:szCs w:val="16"/>
                <w:lang w:val="fr-FR"/>
              </w:rPr>
              <w:t xml:space="preserve"> 2023)</w:t>
            </w:r>
          </w:p>
        </w:tc>
      </w:tr>
    </w:tbl>
    <w:p w14:paraId="79A07EBE" w14:textId="4091970A" w:rsidR="000A6521" w:rsidRDefault="000A6521" w:rsidP="00DC256C">
      <w:pPr>
        <w:spacing w:after="0" w:line="240" w:lineRule="auto"/>
        <w:jc w:val="both"/>
        <w:rPr>
          <w:rFonts w:ascii="Verdana" w:hAnsi="Verdana"/>
          <w:bCs/>
          <w:color w:val="000000" w:themeColor="text1"/>
          <w:sz w:val="21"/>
          <w:szCs w:val="21"/>
          <w:lang w:val="fr-FR"/>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819"/>
      </w:tblGrid>
      <w:tr w:rsidR="00DC256C" w14:paraId="34747FD7" w14:textId="77777777" w:rsidTr="00A578EF">
        <w:tc>
          <w:tcPr>
            <w:tcW w:w="5103" w:type="dxa"/>
          </w:tcPr>
          <w:p w14:paraId="208CEB93" w14:textId="5FE58039" w:rsidR="00375ADA" w:rsidRDefault="003A5D8C" w:rsidP="001B0316">
            <w:pPr>
              <w:spacing w:line="300" w:lineRule="atLeast"/>
              <w:jc w:val="both"/>
              <w:rPr>
                <w:rFonts w:ascii="Verdana" w:hAnsi="Verdana"/>
                <w:sz w:val="21"/>
                <w:szCs w:val="21"/>
              </w:rPr>
            </w:pPr>
            <w:r>
              <w:rPr>
                <w:rFonts w:ascii="Verdana" w:hAnsi="Verdana"/>
                <w:sz w:val="21"/>
                <w:szCs w:val="21"/>
              </w:rPr>
              <w:t>The total number of Exchange Traded Products increased from 183 at the end of 2</w:t>
            </w:r>
            <w:r w:rsidR="001B0316">
              <w:rPr>
                <w:rFonts w:ascii="Verdana" w:hAnsi="Verdana"/>
                <w:sz w:val="21"/>
                <w:szCs w:val="21"/>
              </w:rPr>
              <w:t>0</w:t>
            </w:r>
            <w:r>
              <w:rPr>
                <w:rFonts w:ascii="Verdana" w:hAnsi="Verdana"/>
                <w:sz w:val="21"/>
                <w:szCs w:val="21"/>
              </w:rPr>
              <w:t>22, to 211 by end-December 2023.  The chief gain was in the number of Actively Managed Certificates (AMCs</w:t>
            </w:r>
            <w:r w:rsidR="001B0316">
              <w:rPr>
                <w:rFonts w:ascii="Verdana" w:hAnsi="Verdana"/>
                <w:sz w:val="21"/>
                <w:szCs w:val="21"/>
              </w:rPr>
              <w:t>)</w:t>
            </w:r>
            <w:r>
              <w:rPr>
                <w:rFonts w:ascii="Verdana" w:hAnsi="Verdana"/>
                <w:sz w:val="21"/>
                <w:szCs w:val="21"/>
              </w:rPr>
              <w:t xml:space="preserve"> issued on the JSE. </w:t>
            </w:r>
          </w:p>
          <w:p w14:paraId="0D070D58" w14:textId="77777777" w:rsidR="003A5D8C" w:rsidRDefault="003A5D8C" w:rsidP="001B0316">
            <w:pPr>
              <w:spacing w:line="300" w:lineRule="atLeast"/>
              <w:jc w:val="both"/>
              <w:rPr>
                <w:rFonts w:ascii="Verdana" w:hAnsi="Verdana"/>
                <w:sz w:val="21"/>
                <w:szCs w:val="21"/>
              </w:rPr>
            </w:pPr>
          </w:p>
          <w:p w14:paraId="241A631C" w14:textId="56B6A650" w:rsidR="003A5D8C" w:rsidRDefault="003A5D8C" w:rsidP="001B0316">
            <w:pPr>
              <w:spacing w:line="300" w:lineRule="atLeast"/>
              <w:jc w:val="both"/>
              <w:rPr>
                <w:rFonts w:ascii="Verdana" w:hAnsi="Verdana"/>
                <w:sz w:val="21"/>
                <w:szCs w:val="21"/>
              </w:rPr>
            </w:pPr>
            <w:r>
              <w:rPr>
                <w:rFonts w:ascii="Verdana" w:hAnsi="Verdana"/>
                <w:sz w:val="21"/>
                <w:szCs w:val="21"/>
              </w:rPr>
              <w:t>In October 2022, the JSE amended its Listing Requirements to introduce AMC</w:t>
            </w:r>
            <w:r w:rsidR="004058B3">
              <w:rPr>
                <w:rFonts w:ascii="Verdana" w:hAnsi="Verdana"/>
                <w:sz w:val="21"/>
                <w:szCs w:val="21"/>
              </w:rPr>
              <w:t>s as a new listing category.  The</w:t>
            </w:r>
            <w:r w:rsidR="001B0316">
              <w:rPr>
                <w:rFonts w:ascii="Verdana" w:hAnsi="Verdana"/>
                <w:sz w:val="21"/>
                <w:szCs w:val="21"/>
              </w:rPr>
              <w:t>se</w:t>
            </w:r>
            <w:r w:rsidR="004058B3">
              <w:rPr>
                <w:rFonts w:ascii="Verdana" w:hAnsi="Verdana"/>
                <w:sz w:val="21"/>
                <w:szCs w:val="21"/>
              </w:rPr>
              <w:t xml:space="preserve"> certificates allow for portfolios that benchmark indices to be listed, so opening the way for actively managed products to be traded on the open </w:t>
            </w:r>
            <w:r w:rsidR="001B0316">
              <w:rPr>
                <w:rFonts w:ascii="Verdana" w:hAnsi="Verdana"/>
                <w:sz w:val="21"/>
                <w:szCs w:val="21"/>
              </w:rPr>
              <w:t xml:space="preserve">secondary </w:t>
            </w:r>
            <w:r w:rsidR="004058B3">
              <w:rPr>
                <w:rFonts w:ascii="Verdana" w:hAnsi="Verdana"/>
                <w:sz w:val="21"/>
                <w:szCs w:val="21"/>
              </w:rPr>
              <w:t xml:space="preserve">market. </w:t>
            </w:r>
          </w:p>
          <w:p w14:paraId="23F2F405" w14:textId="77777777" w:rsidR="004058B3" w:rsidRDefault="004058B3" w:rsidP="001B0316">
            <w:pPr>
              <w:spacing w:line="280" w:lineRule="atLeast"/>
              <w:jc w:val="both"/>
              <w:rPr>
                <w:rFonts w:ascii="Verdana" w:hAnsi="Verdana"/>
                <w:sz w:val="21"/>
                <w:szCs w:val="21"/>
              </w:rPr>
            </w:pPr>
          </w:p>
          <w:p w14:paraId="3A8EFA21" w14:textId="60848D00" w:rsidR="004058B3" w:rsidRDefault="004058B3" w:rsidP="001B0316">
            <w:pPr>
              <w:spacing w:line="300" w:lineRule="atLeast"/>
              <w:jc w:val="both"/>
              <w:rPr>
                <w:rFonts w:ascii="Verdana" w:hAnsi="Verdana"/>
                <w:sz w:val="21"/>
                <w:szCs w:val="21"/>
              </w:rPr>
            </w:pPr>
            <w:r>
              <w:rPr>
                <w:rFonts w:ascii="Verdana" w:hAnsi="Verdana"/>
                <w:sz w:val="21"/>
                <w:szCs w:val="21"/>
              </w:rPr>
              <w:t>AMCs are debt-type instruments, so the</w:t>
            </w:r>
            <w:r w:rsidR="001B0316">
              <w:rPr>
                <w:rFonts w:ascii="Verdana" w:hAnsi="Verdana"/>
                <w:sz w:val="21"/>
                <w:szCs w:val="21"/>
              </w:rPr>
              <w:t>y</w:t>
            </w:r>
            <w:r>
              <w:rPr>
                <w:rFonts w:ascii="Verdana" w:hAnsi="Verdana"/>
                <w:sz w:val="21"/>
                <w:szCs w:val="21"/>
              </w:rPr>
              <w:t xml:space="preserve"> require the </w:t>
            </w:r>
            <w:r w:rsidR="001B0316">
              <w:rPr>
                <w:rFonts w:ascii="Verdana" w:hAnsi="Verdana"/>
                <w:sz w:val="21"/>
                <w:szCs w:val="21"/>
              </w:rPr>
              <w:t>b</w:t>
            </w:r>
            <w:r>
              <w:rPr>
                <w:rFonts w:ascii="Verdana" w:hAnsi="Verdana"/>
                <w:sz w:val="21"/>
                <w:szCs w:val="21"/>
              </w:rPr>
              <w:t xml:space="preserve">acking of an investment bank, or large asset manager, to ensure their creditworthiness.  To date, only the Union Bank of Switzerland (UBS) and Standard Bank of South Africa have issued AMCs, but other issuers are reported to be considering the listing of AMCs </w:t>
            </w:r>
          </w:p>
          <w:p w14:paraId="3F2E0229" w14:textId="77777777" w:rsidR="004058B3" w:rsidRDefault="004058B3" w:rsidP="001B0316">
            <w:pPr>
              <w:spacing w:line="280" w:lineRule="atLeast"/>
              <w:jc w:val="both"/>
              <w:rPr>
                <w:rFonts w:ascii="Verdana" w:hAnsi="Verdana"/>
                <w:sz w:val="21"/>
                <w:szCs w:val="21"/>
              </w:rPr>
            </w:pPr>
          </w:p>
          <w:p w14:paraId="3C11C630" w14:textId="5D825FE3" w:rsidR="004058B3" w:rsidRDefault="004058B3" w:rsidP="001B0316">
            <w:pPr>
              <w:spacing w:line="300" w:lineRule="atLeast"/>
              <w:jc w:val="both"/>
              <w:rPr>
                <w:rFonts w:ascii="Verdana" w:hAnsi="Verdana"/>
                <w:sz w:val="21"/>
                <w:szCs w:val="21"/>
              </w:rPr>
            </w:pPr>
            <w:r>
              <w:rPr>
                <w:rFonts w:ascii="Verdana" w:hAnsi="Verdana"/>
                <w:sz w:val="21"/>
                <w:szCs w:val="21"/>
              </w:rPr>
              <w:t xml:space="preserve">The AMC listing requirements require that “third party” asset managers be utilised by the issuer of the AMC notes.  This creates an opportunity for independent asset managers to list “white label” products, which can then trade on the JSE as actively managed portfolios. </w:t>
            </w:r>
          </w:p>
          <w:p w14:paraId="50745777" w14:textId="77777777" w:rsidR="004058B3" w:rsidRDefault="004058B3" w:rsidP="001B0316">
            <w:pPr>
              <w:spacing w:line="280" w:lineRule="atLeast"/>
              <w:jc w:val="both"/>
              <w:rPr>
                <w:rFonts w:ascii="Verdana" w:hAnsi="Verdana"/>
                <w:sz w:val="21"/>
                <w:szCs w:val="21"/>
              </w:rPr>
            </w:pPr>
          </w:p>
          <w:p w14:paraId="28C8A7FB" w14:textId="2404A1EA" w:rsidR="004058B3" w:rsidRPr="00E159E7" w:rsidRDefault="004058B3" w:rsidP="001B0316">
            <w:pPr>
              <w:spacing w:line="300" w:lineRule="atLeast"/>
              <w:jc w:val="both"/>
              <w:rPr>
                <w:rFonts w:ascii="Verdana" w:hAnsi="Verdana"/>
                <w:sz w:val="21"/>
                <w:szCs w:val="21"/>
              </w:rPr>
            </w:pPr>
            <w:r>
              <w:rPr>
                <w:rFonts w:ascii="Verdana" w:hAnsi="Verdana"/>
                <w:bCs/>
                <w:color w:val="000000" w:themeColor="text1"/>
                <w:sz w:val="21"/>
                <w:szCs w:val="21"/>
              </w:rPr>
              <w:t>The asset manager of the portfolio is accordingly able to use the JSE with its electronic trading, settlement and custodian systems, at a very low cost</w:t>
            </w:r>
            <w:r w:rsidR="007F321D">
              <w:rPr>
                <w:rFonts w:ascii="Verdana" w:hAnsi="Verdana"/>
                <w:bCs/>
                <w:color w:val="000000" w:themeColor="text1"/>
                <w:sz w:val="21"/>
                <w:szCs w:val="21"/>
              </w:rPr>
              <w:t>,</w:t>
            </w:r>
            <w:r>
              <w:rPr>
                <w:rFonts w:ascii="Verdana" w:hAnsi="Verdana"/>
                <w:bCs/>
                <w:color w:val="000000" w:themeColor="text1"/>
                <w:sz w:val="21"/>
                <w:szCs w:val="21"/>
              </w:rPr>
              <w:t xml:space="preserve"> to have these products traded on a secondary market.  </w:t>
            </w:r>
          </w:p>
        </w:tc>
        <w:tc>
          <w:tcPr>
            <w:tcW w:w="284" w:type="dxa"/>
          </w:tcPr>
          <w:p w14:paraId="34E11FDA" w14:textId="77777777" w:rsidR="00DC256C" w:rsidRDefault="00DC256C" w:rsidP="001B0316">
            <w:pPr>
              <w:spacing w:line="300" w:lineRule="atLeast"/>
              <w:jc w:val="both"/>
              <w:rPr>
                <w:rFonts w:ascii="Verdana" w:hAnsi="Verdana"/>
                <w:sz w:val="21"/>
                <w:szCs w:val="21"/>
              </w:rPr>
            </w:pPr>
            <w:r w:rsidRPr="00C72345">
              <w:rPr>
                <w:rFonts w:ascii="Verdana" w:hAnsi="Verdana"/>
                <w:noProof/>
                <w:sz w:val="21"/>
                <w:szCs w:val="21"/>
              </w:rPr>
              <mc:AlternateContent>
                <mc:Choice Requires="wps">
                  <w:drawing>
                    <wp:anchor distT="0" distB="0" distL="114300" distR="114300" simplePos="0" relativeHeight="251692032" behindDoc="0" locked="0" layoutInCell="1" allowOverlap="1" wp14:anchorId="745919E4" wp14:editId="1EE9C094">
                      <wp:simplePos x="0" y="0"/>
                      <wp:positionH relativeFrom="column">
                        <wp:posOffset>43180</wp:posOffset>
                      </wp:positionH>
                      <wp:positionV relativeFrom="paragraph">
                        <wp:posOffset>88265</wp:posOffset>
                      </wp:positionV>
                      <wp:extent cx="6350" cy="6680200"/>
                      <wp:effectExtent l="0" t="0" r="31750" b="25400"/>
                      <wp:wrapNone/>
                      <wp:docPr id="1428695245" name="Straight Connector 1428695245"/>
                      <wp:cNvGraphicFramePr/>
                      <a:graphic xmlns:a="http://schemas.openxmlformats.org/drawingml/2006/main">
                        <a:graphicData uri="http://schemas.microsoft.com/office/word/2010/wordprocessingShape">
                          <wps:wsp>
                            <wps:cNvCnPr/>
                            <wps:spPr>
                              <a:xfrm>
                                <a:off x="0" y="0"/>
                                <a:ext cx="6350" cy="66802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7387C" id="Straight Connector 142869524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6.95pt" to="3.9pt,5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" strokecolor="#c00000" strokeweight=".5pt">
                      <v:stroke joinstyle="miter"/>
                    </v:line>
                  </w:pict>
                </mc:Fallback>
              </mc:AlternateContent>
            </w:r>
          </w:p>
        </w:tc>
        <w:tc>
          <w:tcPr>
            <w:tcW w:w="4819" w:type="dxa"/>
          </w:tcPr>
          <w:p w14:paraId="7D8129C2" w14:textId="77777777" w:rsidR="004058B3" w:rsidRDefault="004058B3" w:rsidP="001B0316">
            <w:pPr>
              <w:spacing w:line="300" w:lineRule="atLeast"/>
              <w:jc w:val="both"/>
              <w:rPr>
                <w:rFonts w:ascii="Verdana" w:hAnsi="Verdana"/>
                <w:bCs/>
                <w:color w:val="000000" w:themeColor="text1"/>
                <w:sz w:val="21"/>
                <w:szCs w:val="21"/>
              </w:rPr>
            </w:pPr>
            <w:r>
              <w:rPr>
                <w:rFonts w:ascii="Verdana" w:hAnsi="Verdana"/>
                <w:bCs/>
                <w:color w:val="000000" w:themeColor="text1"/>
                <w:sz w:val="21"/>
                <w:szCs w:val="21"/>
              </w:rPr>
              <w:t xml:space="preserve">This provides an interesting alternative to white label unit trusts, which can only be traded through the primary issuer. </w:t>
            </w:r>
          </w:p>
          <w:p w14:paraId="35B5555B" w14:textId="77777777" w:rsidR="004058B3" w:rsidRDefault="004058B3" w:rsidP="001B0316">
            <w:pPr>
              <w:spacing w:line="300" w:lineRule="atLeast"/>
              <w:jc w:val="both"/>
              <w:rPr>
                <w:rFonts w:ascii="Verdana" w:hAnsi="Verdana"/>
                <w:bCs/>
                <w:color w:val="000000" w:themeColor="text1"/>
                <w:sz w:val="21"/>
                <w:szCs w:val="21"/>
              </w:rPr>
            </w:pPr>
          </w:p>
          <w:p w14:paraId="45ABC79B" w14:textId="79E9DB61" w:rsidR="004058B3" w:rsidRDefault="004058B3" w:rsidP="001B0316">
            <w:pPr>
              <w:spacing w:line="300" w:lineRule="atLeast"/>
              <w:jc w:val="both"/>
              <w:rPr>
                <w:rFonts w:ascii="Verdana" w:hAnsi="Verdana"/>
                <w:bCs/>
                <w:color w:val="000000" w:themeColor="text1"/>
                <w:sz w:val="21"/>
                <w:szCs w:val="21"/>
              </w:rPr>
            </w:pPr>
            <w:r>
              <w:rPr>
                <w:rFonts w:ascii="Verdana" w:hAnsi="Verdana"/>
                <w:bCs/>
                <w:color w:val="000000" w:themeColor="text1"/>
                <w:sz w:val="21"/>
                <w:szCs w:val="21"/>
              </w:rPr>
              <w:t xml:space="preserve">By end-2023, 44 AMCs were in issue and there appears to be a strong line-up of further AMC products in the pipeline. </w:t>
            </w:r>
          </w:p>
          <w:p w14:paraId="5137E33E" w14:textId="77777777" w:rsidR="004058B3" w:rsidRDefault="004058B3" w:rsidP="001B0316">
            <w:pPr>
              <w:spacing w:line="300" w:lineRule="atLeast"/>
              <w:jc w:val="both"/>
              <w:rPr>
                <w:rFonts w:ascii="Verdana" w:hAnsi="Verdana"/>
                <w:bCs/>
                <w:color w:val="000000" w:themeColor="text1"/>
                <w:sz w:val="21"/>
                <w:szCs w:val="21"/>
              </w:rPr>
            </w:pPr>
          </w:p>
          <w:p w14:paraId="545DCF8D" w14:textId="77777777" w:rsidR="00375ADA" w:rsidRPr="00C16C3A" w:rsidRDefault="00375ADA" w:rsidP="001B0316">
            <w:pPr>
              <w:spacing w:after="120" w:line="300" w:lineRule="atLeast"/>
              <w:jc w:val="both"/>
              <w:rPr>
                <w:rFonts w:ascii="Verdana" w:hAnsi="Verdana"/>
                <w:b/>
                <w:color w:val="C00000"/>
                <w:sz w:val="21"/>
                <w:szCs w:val="21"/>
              </w:rPr>
            </w:pPr>
            <w:r w:rsidRPr="00C16C3A">
              <w:rPr>
                <w:rFonts w:ascii="Verdana" w:hAnsi="Verdana"/>
                <w:b/>
                <w:color w:val="C00000"/>
                <w:sz w:val="21"/>
                <w:szCs w:val="21"/>
              </w:rPr>
              <w:t>Actively Man</w:t>
            </w:r>
            <w:r>
              <w:rPr>
                <w:rFonts w:ascii="Verdana" w:hAnsi="Verdana"/>
                <w:b/>
                <w:color w:val="C00000"/>
                <w:sz w:val="21"/>
                <w:szCs w:val="21"/>
              </w:rPr>
              <w:t>aged Exchange Traded Funds (AMETFs)</w:t>
            </w:r>
          </w:p>
          <w:p w14:paraId="0A8F7972" w14:textId="67B3DCD1" w:rsidR="00375ADA" w:rsidRDefault="00375ADA" w:rsidP="001B0316">
            <w:pPr>
              <w:spacing w:line="300" w:lineRule="atLeast"/>
              <w:jc w:val="both"/>
              <w:rPr>
                <w:rFonts w:ascii="Verdana" w:hAnsi="Verdana"/>
                <w:bCs/>
                <w:color w:val="000000" w:themeColor="text1"/>
                <w:sz w:val="21"/>
                <w:szCs w:val="21"/>
              </w:rPr>
            </w:pPr>
            <w:r>
              <w:rPr>
                <w:rFonts w:ascii="Verdana" w:hAnsi="Verdana"/>
                <w:bCs/>
                <w:color w:val="000000" w:themeColor="text1"/>
                <w:sz w:val="21"/>
                <w:szCs w:val="21"/>
              </w:rPr>
              <w:t>These products</w:t>
            </w:r>
            <w:r w:rsidR="004058B3">
              <w:rPr>
                <w:rFonts w:ascii="Verdana" w:hAnsi="Verdana"/>
                <w:bCs/>
                <w:color w:val="000000" w:themeColor="text1"/>
                <w:sz w:val="21"/>
                <w:szCs w:val="21"/>
              </w:rPr>
              <w:t xml:space="preserve"> have also been introduced </w:t>
            </w:r>
            <w:r w:rsidR="001B0316">
              <w:rPr>
                <w:rFonts w:ascii="Verdana" w:hAnsi="Verdana"/>
                <w:bCs/>
                <w:color w:val="000000" w:themeColor="text1"/>
                <w:sz w:val="21"/>
                <w:szCs w:val="21"/>
              </w:rPr>
              <w:t>from</w:t>
            </w:r>
            <w:r w:rsidR="004058B3">
              <w:rPr>
                <w:rFonts w:ascii="Verdana" w:hAnsi="Verdana"/>
                <w:bCs/>
                <w:color w:val="000000" w:themeColor="text1"/>
                <w:sz w:val="21"/>
                <w:szCs w:val="21"/>
              </w:rPr>
              <w:t xml:space="preserve"> October 2022</w:t>
            </w:r>
            <w:r w:rsidR="001B0316">
              <w:rPr>
                <w:rFonts w:ascii="Verdana" w:hAnsi="Verdana"/>
                <w:bCs/>
                <w:color w:val="000000" w:themeColor="text1"/>
                <w:sz w:val="21"/>
                <w:szCs w:val="21"/>
              </w:rPr>
              <w:t>, resulting from</w:t>
            </w:r>
            <w:r w:rsidR="004058B3">
              <w:rPr>
                <w:rFonts w:ascii="Verdana" w:hAnsi="Verdana"/>
                <w:bCs/>
                <w:color w:val="000000" w:themeColor="text1"/>
                <w:sz w:val="21"/>
                <w:szCs w:val="21"/>
              </w:rPr>
              <w:t xml:space="preserve"> the changes to the JSE listed requirements.  As ETFs, the products require that all holdings be physically held and that the underlying portfolio acts as the collateral for the </w:t>
            </w:r>
            <w:r w:rsidR="00DB2BB4">
              <w:rPr>
                <w:rFonts w:ascii="Verdana" w:hAnsi="Verdana"/>
                <w:bCs/>
                <w:color w:val="000000" w:themeColor="text1"/>
                <w:sz w:val="21"/>
                <w:szCs w:val="21"/>
              </w:rPr>
              <w:t>valuation of the portfolio, so an underwriter is not required.  The listing requirements for AMETFs are st</w:t>
            </w:r>
            <w:r w:rsidR="001B0316">
              <w:rPr>
                <w:rFonts w:ascii="Verdana" w:hAnsi="Verdana"/>
                <w:bCs/>
                <w:color w:val="000000" w:themeColor="text1"/>
                <w:sz w:val="21"/>
                <w:szCs w:val="21"/>
              </w:rPr>
              <w:t xml:space="preserve">ringent </w:t>
            </w:r>
            <w:r w:rsidR="00DB2BB4">
              <w:rPr>
                <w:rFonts w:ascii="Verdana" w:hAnsi="Verdana"/>
                <w:bCs/>
                <w:color w:val="000000" w:themeColor="text1"/>
                <w:sz w:val="21"/>
                <w:szCs w:val="21"/>
              </w:rPr>
              <w:t>and rigorously applied, so the product design and structure has to be</w:t>
            </w:r>
            <w:r w:rsidR="001B0316">
              <w:rPr>
                <w:rFonts w:ascii="Verdana" w:hAnsi="Verdana"/>
                <w:bCs/>
                <w:color w:val="000000" w:themeColor="text1"/>
                <w:sz w:val="21"/>
                <w:szCs w:val="21"/>
              </w:rPr>
              <w:t xml:space="preserve"> rigorous </w:t>
            </w:r>
            <w:r w:rsidR="00DB2BB4">
              <w:rPr>
                <w:rFonts w:ascii="Verdana" w:hAnsi="Verdana"/>
                <w:bCs/>
                <w:color w:val="000000" w:themeColor="text1"/>
                <w:sz w:val="21"/>
                <w:szCs w:val="21"/>
              </w:rPr>
              <w:t xml:space="preserve">to ensure that the NAV of the portfolio is known at all times and that AMETFs can trade at no premium or discount to their NAVs. </w:t>
            </w:r>
          </w:p>
          <w:p w14:paraId="172BE2FE" w14:textId="77777777" w:rsidR="00DB2BB4" w:rsidRDefault="00DB2BB4" w:rsidP="001B0316">
            <w:pPr>
              <w:spacing w:line="300" w:lineRule="atLeast"/>
              <w:jc w:val="both"/>
              <w:rPr>
                <w:rFonts w:ascii="Verdana" w:hAnsi="Verdana"/>
                <w:bCs/>
                <w:color w:val="000000" w:themeColor="text1"/>
                <w:sz w:val="21"/>
                <w:szCs w:val="21"/>
              </w:rPr>
            </w:pPr>
          </w:p>
          <w:p w14:paraId="1336B2C2" w14:textId="1E215840" w:rsidR="00375ADA" w:rsidRDefault="00DB2BB4" w:rsidP="001B0316">
            <w:pPr>
              <w:spacing w:line="300" w:lineRule="atLeast"/>
              <w:jc w:val="both"/>
              <w:rPr>
                <w:rFonts w:ascii="Verdana" w:hAnsi="Verdana"/>
                <w:sz w:val="21"/>
                <w:szCs w:val="21"/>
              </w:rPr>
            </w:pPr>
            <w:r>
              <w:rPr>
                <w:rFonts w:ascii="Verdana" w:hAnsi="Verdana"/>
                <w:sz w:val="21"/>
                <w:szCs w:val="21"/>
              </w:rPr>
              <w:t xml:space="preserve">Some specialised platforms have been developed to support the listing of Actively Managed ETFs and, although only 5 such products had been listed by the end of 2023, a number of new issues are expected during the course of the coming year. </w:t>
            </w:r>
          </w:p>
        </w:tc>
      </w:tr>
    </w:tbl>
    <w:p w14:paraId="795860E2" w14:textId="77777777" w:rsidR="00227D20" w:rsidRPr="00DC256C" w:rsidRDefault="00227D20" w:rsidP="00C72A43">
      <w:pPr>
        <w:spacing w:after="0" w:line="240" w:lineRule="auto"/>
        <w:jc w:val="both"/>
        <w:rPr>
          <w:rFonts w:ascii="Verdana" w:hAnsi="Verdana"/>
          <w:b/>
          <w:color w:val="C00000"/>
          <w:sz w:val="16"/>
          <w:szCs w:val="16"/>
        </w:rPr>
      </w:pPr>
    </w:p>
    <w:p w14:paraId="0F2A783F" w14:textId="76E100C0" w:rsidR="004F60D3" w:rsidRPr="001D0D90" w:rsidRDefault="004F60D3" w:rsidP="001D0D90">
      <w:pPr>
        <w:spacing w:after="120" w:line="240" w:lineRule="auto"/>
        <w:jc w:val="center"/>
        <w:rPr>
          <w:rFonts w:ascii="Verdana" w:hAnsi="Verdana"/>
          <w:b/>
          <w:caps/>
          <w:color w:val="C00000"/>
          <w:sz w:val="24"/>
          <w:szCs w:val="24"/>
        </w:rPr>
      </w:pPr>
      <w:r w:rsidRPr="001D0D90">
        <w:rPr>
          <w:rFonts w:ascii="Verdana" w:hAnsi="Verdana"/>
          <w:b/>
          <w:caps/>
          <w:color w:val="C00000"/>
          <w:sz w:val="24"/>
          <w:szCs w:val="24"/>
        </w:rPr>
        <w:t>New Capital Raised</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819"/>
      </w:tblGrid>
      <w:tr w:rsidR="00DC256C" w14:paraId="6A13F7AD" w14:textId="77777777" w:rsidTr="00A578EF">
        <w:tc>
          <w:tcPr>
            <w:tcW w:w="5103" w:type="dxa"/>
          </w:tcPr>
          <w:p w14:paraId="3E94B7C3" w14:textId="77777777" w:rsidR="008B346F" w:rsidRDefault="00DB2BB4" w:rsidP="009C65B3">
            <w:pPr>
              <w:spacing w:before="80" w:after="120" w:line="340" w:lineRule="atLeast"/>
              <w:jc w:val="both"/>
              <w:rPr>
                <w:rFonts w:ascii="Verdana" w:hAnsi="Verdana"/>
                <w:sz w:val="21"/>
                <w:szCs w:val="21"/>
              </w:rPr>
            </w:pPr>
            <w:r>
              <w:rPr>
                <w:rFonts w:ascii="Verdana" w:hAnsi="Verdana"/>
                <w:sz w:val="21"/>
                <w:szCs w:val="21"/>
              </w:rPr>
              <w:t xml:space="preserve">The R36 billion increase in the market capitalisation of the ETP industry in 2023, arose in two ways: </w:t>
            </w:r>
          </w:p>
          <w:p w14:paraId="0BD815AF" w14:textId="54D1B3AD" w:rsidR="00DB2BB4" w:rsidRPr="00DB2BB4" w:rsidRDefault="00DB2BB4" w:rsidP="00DB2BB4">
            <w:pPr>
              <w:pStyle w:val="ListParagraph"/>
              <w:numPr>
                <w:ilvl w:val="0"/>
                <w:numId w:val="30"/>
              </w:numPr>
              <w:spacing w:before="80" w:after="120" w:line="340" w:lineRule="atLeast"/>
              <w:ind w:left="357" w:hanging="357"/>
              <w:jc w:val="both"/>
              <w:rPr>
                <w:rFonts w:ascii="Verdana" w:hAnsi="Verdana"/>
                <w:sz w:val="21"/>
                <w:szCs w:val="21"/>
              </w:rPr>
            </w:pPr>
            <w:r>
              <w:rPr>
                <w:rFonts w:ascii="Verdana" w:hAnsi="Verdana"/>
                <w:sz w:val="21"/>
                <w:szCs w:val="21"/>
              </w:rPr>
              <w:t>Global equity indices recovered strongly in the second half of 2023 – the MSCI World Index (in rands), for instance, increased by 30,8%</w:t>
            </w:r>
            <w:r w:rsidR="001B0316">
              <w:rPr>
                <w:rFonts w:ascii="Verdana" w:hAnsi="Verdana"/>
                <w:sz w:val="21"/>
                <w:szCs w:val="21"/>
              </w:rPr>
              <w:t xml:space="preserve"> over 2023</w:t>
            </w:r>
            <w:r>
              <w:rPr>
                <w:rFonts w:ascii="Verdana" w:hAnsi="Verdana"/>
                <w:sz w:val="21"/>
                <w:szCs w:val="21"/>
              </w:rPr>
              <w:t xml:space="preserve">, so the market value of many of the ETFs listed on the local exchange benefitted </w:t>
            </w:r>
            <w:r w:rsidR="007A15D3">
              <w:rPr>
                <w:rFonts w:ascii="Verdana" w:hAnsi="Verdana"/>
                <w:sz w:val="21"/>
                <w:szCs w:val="21"/>
              </w:rPr>
              <w:t>significantly</w:t>
            </w:r>
            <w:r>
              <w:rPr>
                <w:rFonts w:ascii="Verdana" w:hAnsi="Verdana"/>
                <w:sz w:val="21"/>
                <w:szCs w:val="21"/>
              </w:rPr>
              <w:t xml:space="preserve"> from the market gains. </w:t>
            </w:r>
          </w:p>
        </w:tc>
        <w:tc>
          <w:tcPr>
            <w:tcW w:w="284" w:type="dxa"/>
          </w:tcPr>
          <w:p w14:paraId="7BC49EFB" w14:textId="77777777" w:rsidR="00DC256C" w:rsidRDefault="00DC256C" w:rsidP="00A578EF">
            <w:pPr>
              <w:spacing w:before="80" w:after="80" w:line="340" w:lineRule="atLeast"/>
              <w:jc w:val="both"/>
              <w:rPr>
                <w:rFonts w:ascii="Verdana" w:hAnsi="Verdana"/>
                <w:sz w:val="21"/>
                <w:szCs w:val="21"/>
              </w:rPr>
            </w:pPr>
            <w:r w:rsidRPr="00C72345">
              <w:rPr>
                <w:rFonts w:ascii="Verdana" w:hAnsi="Verdana"/>
                <w:noProof/>
                <w:sz w:val="21"/>
                <w:szCs w:val="21"/>
              </w:rPr>
              <mc:AlternateContent>
                <mc:Choice Requires="wps">
                  <w:drawing>
                    <wp:anchor distT="0" distB="0" distL="114300" distR="114300" simplePos="0" relativeHeight="251694080" behindDoc="0" locked="0" layoutInCell="1" allowOverlap="1" wp14:anchorId="1B11A3B5" wp14:editId="01C3BBD8">
                      <wp:simplePos x="0" y="0"/>
                      <wp:positionH relativeFrom="column">
                        <wp:posOffset>30480</wp:posOffset>
                      </wp:positionH>
                      <wp:positionV relativeFrom="paragraph">
                        <wp:posOffset>122555</wp:posOffset>
                      </wp:positionV>
                      <wp:extent cx="31750" cy="2038350"/>
                      <wp:effectExtent l="0" t="0" r="25400" b="19050"/>
                      <wp:wrapNone/>
                      <wp:docPr id="569539715" name="Straight Connector 569539715"/>
                      <wp:cNvGraphicFramePr/>
                      <a:graphic xmlns:a="http://schemas.openxmlformats.org/drawingml/2006/main">
                        <a:graphicData uri="http://schemas.microsoft.com/office/word/2010/wordprocessingShape">
                          <wps:wsp>
                            <wps:cNvCnPr/>
                            <wps:spPr>
                              <a:xfrm>
                                <a:off x="0" y="0"/>
                                <a:ext cx="31750" cy="203835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E0DD1" id="Straight Connector 56953971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9.65pt" to="4.9pt,1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" strokecolor="#c00000" strokeweight=".5pt">
                      <v:stroke joinstyle="miter"/>
                    </v:line>
                  </w:pict>
                </mc:Fallback>
              </mc:AlternateContent>
            </w:r>
          </w:p>
        </w:tc>
        <w:tc>
          <w:tcPr>
            <w:tcW w:w="4819" w:type="dxa"/>
          </w:tcPr>
          <w:p w14:paraId="36E4295F" w14:textId="26F18419" w:rsidR="00B555B1" w:rsidRPr="00B555B1" w:rsidRDefault="00DB2BB4" w:rsidP="00B555B1">
            <w:pPr>
              <w:pStyle w:val="ListParagraph"/>
              <w:numPr>
                <w:ilvl w:val="0"/>
                <w:numId w:val="30"/>
              </w:numPr>
              <w:spacing w:before="80" w:after="80" w:line="340" w:lineRule="atLeast"/>
              <w:ind w:left="357" w:hanging="357"/>
              <w:jc w:val="both"/>
              <w:rPr>
                <w:rFonts w:ascii="Verdana" w:hAnsi="Verdana"/>
                <w:sz w:val="21"/>
                <w:szCs w:val="21"/>
              </w:rPr>
            </w:pPr>
            <w:r>
              <w:rPr>
                <w:rFonts w:ascii="Verdana" w:hAnsi="Verdana"/>
                <w:sz w:val="21"/>
                <w:szCs w:val="21"/>
              </w:rPr>
              <w:t>New capital can be raised, or redeemed, for ETFs, which are open-ended and can create or delist</w:t>
            </w:r>
            <w:r w:rsidR="00B555B1">
              <w:rPr>
                <w:rFonts w:ascii="Verdana" w:hAnsi="Verdana"/>
                <w:sz w:val="21"/>
                <w:szCs w:val="21"/>
              </w:rPr>
              <w:t xml:space="preserve">, at any time.  Such listings actively raised R10,2 billion during the course of the year, a fact which is not always realised by critics of the JSE, who point to the consistent delistings </w:t>
            </w:r>
            <w:r w:rsidR="007F321D">
              <w:rPr>
                <w:rFonts w:ascii="Verdana" w:hAnsi="Verdana"/>
                <w:sz w:val="21"/>
                <w:szCs w:val="21"/>
              </w:rPr>
              <w:t>by</w:t>
            </w:r>
            <w:r w:rsidR="00B555B1">
              <w:rPr>
                <w:rFonts w:ascii="Verdana" w:hAnsi="Verdana"/>
                <w:sz w:val="21"/>
                <w:szCs w:val="21"/>
              </w:rPr>
              <w:t xml:space="preserve"> corporate issuers on the market. </w:t>
            </w:r>
          </w:p>
        </w:tc>
      </w:tr>
    </w:tbl>
    <w:p w14:paraId="520ED480" w14:textId="248C031C" w:rsidR="003622B9" w:rsidRDefault="003622B9" w:rsidP="003622B9">
      <w:pPr>
        <w:rPr>
          <w:rFonts w:ascii="Verdana" w:hAnsi="Verdana"/>
          <w:color w:val="000000"/>
          <w:sz w:val="21"/>
          <w:szCs w:val="21"/>
        </w:rPr>
      </w:pPr>
    </w:p>
    <w:p w14:paraId="4018B638" w14:textId="2C8927A0" w:rsidR="00B555B1" w:rsidRPr="00B555B1" w:rsidRDefault="00B555B1" w:rsidP="003622B9">
      <w:pPr>
        <w:rPr>
          <w:rFonts w:ascii="Verdana" w:hAnsi="Verdana"/>
          <w:color w:val="000000"/>
          <w:sz w:val="21"/>
          <w:szCs w:val="21"/>
        </w:rPr>
      </w:pPr>
      <w:r>
        <w:rPr>
          <w:rFonts w:ascii="Verdana" w:hAnsi="Verdana"/>
          <w:color w:val="000000"/>
          <w:sz w:val="21"/>
          <w:szCs w:val="21"/>
        </w:rPr>
        <w:t xml:space="preserve">Table B shows the total net new capital raised by the ETP issuing houses in 2024.  </w:t>
      </w:r>
    </w:p>
    <w:p w14:paraId="2C3C0373" w14:textId="07408A85" w:rsidR="00B42190" w:rsidRPr="00B42190" w:rsidRDefault="00B42190" w:rsidP="003622B9">
      <w:pPr>
        <w:rPr>
          <w:rFonts w:ascii="Verdana" w:hAnsi="Verdana"/>
          <w:b/>
          <w:bCs/>
          <w:color w:val="000000"/>
          <w:sz w:val="21"/>
          <w:szCs w:val="21"/>
        </w:rPr>
      </w:pPr>
      <w:r w:rsidRPr="00B42190">
        <w:rPr>
          <w:rFonts w:ascii="Verdana" w:hAnsi="Verdana"/>
          <w:b/>
          <w:bCs/>
          <w:color w:val="000000"/>
          <w:sz w:val="21"/>
          <w:szCs w:val="21"/>
        </w:rPr>
        <w:t xml:space="preserve">Table </w:t>
      </w:r>
      <w:r w:rsidR="00F8317A">
        <w:rPr>
          <w:rFonts w:ascii="Verdana" w:hAnsi="Verdana"/>
          <w:b/>
          <w:bCs/>
          <w:color w:val="000000"/>
          <w:sz w:val="21"/>
          <w:szCs w:val="21"/>
        </w:rPr>
        <w:t>B</w:t>
      </w: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387"/>
        <w:gridCol w:w="1843"/>
      </w:tblGrid>
      <w:tr w:rsidR="004F60D3" w:rsidRPr="00AB6CBE" w14:paraId="374698FD" w14:textId="77777777" w:rsidTr="00B555B1">
        <w:tc>
          <w:tcPr>
            <w:tcW w:w="8080" w:type="dxa"/>
            <w:gridSpan w:val="3"/>
            <w:shd w:val="clear" w:color="auto" w:fill="C00000"/>
          </w:tcPr>
          <w:p w14:paraId="56004C60" w14:textId="77777777" w:rsidR="00B555B1" w:rsidRDefault="00C72A43" w:rsidP="006B40F7">
            <w:pPr>
              <w:spacing w:before="40" w:after="40" w:line="320" w:lineRule="atLeast"/>
              <w:jc w:val="center"/>
              <w:rPr>
                <w:rFonts w:ascii="Verdana" w:hAnsi="Verdana"/>
                <w:b/>
                <w:color w:val="FFFFFF"/>
                <w:sz w:val="18"/>
                <w:szCs w:val="18"/>
              </w:rPr>
            </w:pPr>
            <w:r>
              <w:rPr>
                <w:rFonts w:ascii="Verdana" w:hAnsi="Verdana"/>
                <w:b/>
                <w:color w:val="FFFFFF"/>
                <w:sz w:val="18"/>
                <w:szCs w:val="18"/>
              </w:rPr>
              <w:t xml:space="preserve">Net </w:t>
            </w:r>
            <w:r w:rsidR="004F60D3">
              <w:rPr>
                <w:rFonts w:ascii="Verdana" w:hAnsi="Verdana"/>
                <w:b/>
                <w:color w:val="FFFFFF"/>
                <w:sz w:val="18"/>
                <w:szCs w:val="18"/>
              </w:rPr>
              <w:t xml:space="preserve">New Capital Raised / </w:t>
            </w:r>
            <w:r>
              <w:rPr>
                <w:rFonts w:ascii="Verdana" w:hAnsi="Verdana"/>
                <w:b/>
                <w:color w:val="FFFFFF"/>
                <w:sz w:val="18"/>
                <w:szCs w:val="18"/>
              </w:rPr>
              <w:t>(</w:t>
            </w:r>
            <w:r w:rsidR="004F60D3">
              <w:rPr>
                <w:rFonts w:ascii="Verdana" w:hAnsi="Verdana"/>
                <w:b/>
                <w:color w:val="FFFFFF"/>
                <w:sz w:val="18"/>
                <w:szCs w:val="18"/>
              </w:rPr>
              <w:t>Redeemed</w:t>
            </w:r>
            <w:r>
              <w:rPr>
                <w:rFonts w:ascii="Verdana" w:hAnsi="Verdana"/>
                <w:b/>
                <w:color w:val="FFFFFF"/>
                <w:sz w:val="18"/>
                <w:szCs w:val="18"/>
              </w:rPr>
              <w:t>)</w:t>
            </w:r>
            <w:r w:rsidR="001D53A8">
              <w:rPr>
                <w:rFonts w:ascii="Verdana" w:hAnsi="Verdana"/>
                <w:b/>
                <w:color w:val="FFFFFF"/>
                <w:sz w:val="18"/>
                <w:szCs w:val="18"/>
              </w:rPr>
              <w:t xml:space="preserve"> - South African ETP</w:t>
            </w:r>
            <w:r w:rsidR="004F60D3">
              <w:rPr>
                <w:rFonts w:ascii="Verdana" w:hAnsi="Verdana"/>
                <w:b/>
                <w:color w:val="FFFFFF"/>
                <w:sz w:val="18"/>
                <w:szCs w:val="18"/>
              </w:rPr>
              <w:t xml:space="preserve"> Issuing House</w:t>
            </w:r>
            <w:r w:rsidR="001D53A8">
              <w:rPr>
                <w:rFonts w:ascii="Verdana" w:hAnsi="Verdana"/>
                <w:b/>
                <w:color w:val="FFFFFF"/>
                <w:sz w:val="18"/>
                <w:szCs w:val="18"/>
              </w:rPr>
              <w:t>s</w:t>
            </w:r>
          </w:p>
          <w:p w14:paraId="5C8361AA" w14:textId="778F7820" w:rsidR="001D53A8" w:rsidRPr="003B4F95" w:rsidRDefault="00197B1E" w:rsidP="006B40F7">
            <w:pPr>
              <w:spacing w:before="40" w:after="40" w:line="320" w:lineRule="atLeast"/>
              <w:jc w:val="center"/>
              <w:rPr>
                <w:rFonts w:ascii="Verdana" w:hAnsi="Verdana"/>
                <w:b/>
                <w:color w:val="FFFFFF"/>
                <w:sz w:val="18"/>
                <w:szCs w:val="18"/>
              </w:rPr>
            </w:pPr>
            <w:r>
              <w:rPr>
                <w:rFonts w:ascii="Verdana" w:hAnsi="Verdana"/>
                <w:b/>
                <w:color w:val="FFFFFF"/>
                <w:sz w:val="18"/>
                <w:szCs w:val="18"/>
              </w:rPr>
              <w:t>2023</w:t>
            </w:r>
          </w:p>
        </w:tc>
      </w:tr>
      <w:tr w:rsidR="004F60D3" w:rsidRPr="00AB6CBE" w14:paraId="5703AD4C" w14:textId="77777777" w:rsidTr="00B555B1">
        <w:trPr>
          <w:trHeight w:val="360"/>
        </w:trPr>
        <w:tc>
          <w:tcPr>
            <w:tcW w:w="6237" w:type="dxa"/>
            <w:gridSpan w:val="2"/>
            <w:shd w:val="clear" w:color="auto" w:fill="4C4C4C"/>
          </w:tcPr>
          <w:p w14:paraId="2A6800C5" w14:textId="127D1062" w:rsidR="004F60D3" w:rsidRPr="003B4F95" w:rsidRDefault="004F60D3" w:rsidP="006B40F7">
            <w:pPr>
              <w:spacing w:before="40" w:after="40" w:line="320" w:lineRule="atLeast"/>
              <w:rPr>
                <w:rFonts w:ascii="Verdana" w:hAnsi="Verdana"/>
                <w:b/>
                <w:color w:val="FFFFFF"/>
                <w:sz w:val="18"/>
                <w:szCs w:val="18"/>
              </w:rPr>
            </w:pPr>
            <w:r>
              <w:rPr>
                <w:rFonts w:ascii="Verdana" w:hAnsi="Verdana"/>
                <w:b/>
                <w:color w:val="FFFFFF"/>
                <w:sz w:val="18"/>
                <w:szCs w:val="18"/>
              </w:rPr>
              <w:t xml:space="preserve">Issuing </w:t>
            </w:r>
            <w:r w:rsidR="001D53A8">
              <w:rPr>
                <w:rFonts w:ascii="Verdana" w:hAnsi="Verdana"/>
                <w:b/>
                <w:color w:val="FFFFFF"/>
                <w:sz w:val="18"/>
                <w:szCs w:val="18"/>
              </w:rPr>
              <w:t>House</w:t>
            </w:r>
          </w:p>
        </w:tc>
        <w:tc>
          <w:tcPr>
            <w:tcW w:w="1843" w:type="dxa"/>
            <w:shd w:val="clear" w:color="auto" w:fill="4C4C4C"/>
            <w:vAlign w:val="center"/>
          </w:tcPr>
          <w:p w14:paraId="72F25DC1" w14:textId="211D93B5" w:rsidR="004F60D3" w:rsidRPr="003B4F95" w:rsidRDefault="001D53A8" w:rsidP="006B40F7">
            <w:pPr>
              <w:spacing w:before="40" w:after="40" w:line="320" w:lineRule="atLeast"/>
              <w:jc w:val="right"/>
              <w:rPr>
                <w:rFonts w:ascii="Verdana" w:hAnsi="Verdana"/>
                <w:b/>
                <w:color w:val="FFFFFF"/>
                <w:sz w:val="18"/>
                <w:szCs w:val="18"/>
              </w:rPr>
            </w:pPr>
            <w:r>
              <w:rPr>
                <w:rFonts w:ascii="Verdana" w:hAnsi="Verdana"/>
                <w:b/>
                <w:color w:val="FFFFFF"/>
                <w:sz w:val="18"/>
                <w:szCs w:val="18"/>
              </w:rPr>
              <w:t xml:space="preserve">Total Capital </w:t>
            </w:r>
            <w:r w:rsidR="004F60D3">
              <w:rPr>
                <w:rFonts w:ascii="Verdana" w:hAnsi="Verdana"/>
                <w:b/>
                <w:color w:val="FFFFFF"/>
                <w:sz w:val="18"/>
                <w:szCs w:val="18"/>
              </w:rPr>
              <w:t>(R million)</w:t>
            </w:r>
          </w:p>
        </w:tc>
      </w:tr>
      <w:tr w:rsidR="00644501" w:rsidRPr="00AB6CBE" w14:paraId="4C194DC9" w14:textId="77777777" w:rsidTr="00B555B1">
        <w:tc>
          <w:tcPr>
            <w:tcW w:w="850" w:type="dxa"/>
            <w:shd w:val="clear" w:color="auto" w:fill="auto"/>
          </w:tcPr>
          <w:p w14:paraId="0691FC71" w14:textId="77777777" w:rsidR="00644501" w:rsidRPr="00DD1C15" w:rsidRDefault="00644501" w:rsidP="006B40F7">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298E3DAA" w14:textId="76BB0697" w:rsidR="00644501" w:rsidRDefault="00B555B1" w:rsidP="006B40F7">
            <w:pPr>
              <w:spacing w:before="40" w:after="40" w:line="320" w:lineRule="atLeast"/>
              <w:rPr>
                <w:rFonts w:ascii="Verdana" w:hAnsi="Verdana"/>
                <w:color w:val="000000"/>
                <w:sz w:val="18"/>
                <w:szCs w:val="18"/>
              </w:rPr>
            </w:pPr>
            <w:r>
              <w:rPr>
                <w:rFonts w:ascii="Verdana" w:hAnsi="Verdana"/>
                <w:color w:val="000000"/>
                <w:sz w:val="18"/>
                <w:szCs w:val="18"/>
              </w:rPr>
              <w:t>10X (</w:t>
            </w:r>
            <w:r w:rsidR="00644501">
              <w:rPr>
                <w:rFonts w:ascii="Verdana" w:hAnsi="Verdana"/>
                <w:color w:val="000000"/>
                <w:sz w:val="18"/>
                <w:szCs w:val="18"/>
              </w:rPr>
              <w:t>CoreShares</w:t>
            </w:r>
            <w:r>
              <w:rPr>
                <w:rFonts w:ascii="Verdana" w:hAnsi="Verdana"/>
                <w:color w:val="000000"/>
                <w:sz w:val="18"/>
                <w:szCs w:val="18"/>
              </w:rPr>
              <w:t>)</w:t>
            </w:r>
            <w:r w:rsidR="00644501">
              <w:rPr>
                <w:rFonts w:ascii="Verdana" w:hAnsi="Verdana"/>
                <w:color w:val="000000"/>
                <w:sz w:val="18"/>
                <w:szCs w:val="18"/>
              </w:rPr>
              <w:t xml:space="preserve"> (ETFs)</w:t>
            </w:r>
          </w:p>
        </w:tc>
        <w:tc>
          <w:tcPr>
            <w:tcW w:w="1843" w:type="dxa"/>
            <w:vAlign w:val="center"/>
          </w:tcPr>
          <w:p w14:paraId="50E06897" w14:textId="048AEC29" w:rsidR="00644501" w:rsidRDefault="00B555B1" w:rsidP="006B40F7">
            <w:pPr>
              <w:spacing w:before="40" w:after="40" w:line="320" w:lineRule="atLeast"/>
              <w:jc w:val="right"/>
              <w:rPr>
                <w:rFonts w:ascii="Verdana" w:hAnsi="Verdana"/>
                <w:color w:val="000000"/>
                <w:sz w:val="18"/>
                <w:szCs w:val="18"/>
              </w:rPr>
            </w:pPr>
            <w:r>
              <w:rPr>
                <w:rFonts w:ascii="Verdana" w:hAnsi="Verdana"/>
                <w:color w:val="000000"/>
                <w:sz w:val="18"/>
                <w:szCs w:val="18"/>
              </w:rPr>
              <w:t>5 </w:t>
            </w:r>
            <w:r w:rsidR="001B0316">
              <w:rPr>
                <w:rFonts w:ascii="Verdana" w:hAnsi="Verdana"/>
                <w:color w:val="000000"/>
                <w:sz w:val="18"/>
                <w:szCs w:val="18"/>
              </w:rPr>
              <w:t>314</w:t>
            </w:r>
            <w:r>
              <w:rPr>
                <w:rFonts w:ascii="Verdana" w:hAnsi="Verdana"/>
                <w:color w:val="000000"/>
                <w:sz w:val="18"/>
                <w:szCs w:val="18"/>
              </w:rPr>
              <w:t>,</w:t>
            </w:r>
            <w:r w:rsidR="001B0316">
              <w:rPr>
                <w:rFonts w:ascii="Verdana" w:hAnsi="Verdana"/>
                <w:color w:val="000000"/>
                <w:sz w:val="18"/>
                <w:szCs w:val="18"/>
              </w:rPr>
              <w:t>8</w:t>
            </w:r>
          </w:p>
        </w:tc>
      </w:tr>
      <w:tr w:rsidR="00644501" w:rsidRPr="00AB6CBE" w14:paraId="42A293BC" w14:textId="77777777" w:rsidTr="00B555B1">
        <w:tc>
          <w:tcPr>
            <w:tcW w:w="850" w:type="dxa"/>
            <w:shd w:val="clear" w:color="auto" w:fill="auto"/>
          </w:tcPr>
          <w:p w14:paraId="60D8317F" w14:textId="77777777" w:rsidR="00644501" w:rsidRPr="00DD1C15" w:rsidRDefault="00644501" w:rsidP="006B40F7">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60EFBDA9" w14:textId="07F0393A" w:rsidR="00644501" w:rsidRDefault="008B346F" w:rsidP="006B40F7">
            <w:pPr>
              <w:spacing w:before="40" w:after="40" w:line="320" w:lineRule="atLeast"/>
              <w:rPr>
                <w:rFonts w:ascii="Verdana" w:hAnsi="Verdana"/>
                <w:color w:val="000000"/>
                <w:sz w:val="18"/>
                <w:szCs w:val="18"/>
              </w:rPr>
            </w:pPr>
            <w:r>
              <w:rPr>
                <w:rFonts w:ascii="Verdana" w:hAnsi="Verdana"/>
                <w:color w:val="000000"/>
                <w:sz w:val="18"/>
                <w:szCs w:val="18"/>
              </w:rPr>
              <w:t>Satrix Managers (ETFs)</w:t>
            </w:r>
          </w:p>
        </w:tc>
        <w:tc>
          <w:tcPr>
            <w:tcW w:w="1843" w:type="dxa"/>
            <w:vAlign w:val="center"/>
          </w:tcPr>
          <w:p w14:paraId="684BE524" w14:textId="59A3E8BC" w:rsidR="00644501" w:rsidRDefault="00B555B1" w:rsidP="006B40F7">
            <w:pPr>
              <w:spacing w:before="40" w:after="40" w:line="320" w:lineRule="atLeast"/>
              <w:jc w:val="right"/>
              <w:rPr>
                <w:rFonts w:ascii="Verdana" w:hAnsi="Verdana"/>
                <w:color w:val="000000"/>
                <w:sz w:val="18"/>
                <w:szCs w:val="18"/>
              </w:rPr>
            </w:pPr>
            <w:r>
              <w:rPr>
                <w:rFonts w:ascii="Verdana" w:hAnsi="Verdana"/>
                <w:color w:val="000000"/>
                <w:sz w:val="18"/>
                <w:szCs w:val="18"/>
              </w:rPr>
              <w:t>3 250,4</w:t>
            </w:r>
          </w:p>
        </w:tc>
      </w:tr>
      <w:tr w:rsidR="008B346F" w:rsidRPr="00AB6CBE" w14:paraId="3223E5DF" w14:textId="77777777" w:rsidTr="00B555B1">
        <w:tc>
          <w:tcPr>
            <w:tcW w:w="850" w:type="dxa"/>
            <w:shd w:val="clear" w:color="auto" w:fill="auto"/>
          </w:tcPr>
          <w:p w14:paraId="18474ADB" w14:textId="77777777" w:rsidR="008B346F" w:rsidRPr="00DD1C15" w:rsidRDefault="008B346F" w:rsidP="008B346F">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020F720E" w14:textId="20841706" w:rsidR="008B346F" w:rsidRDefault="008B346F" w:rsidP="008B346F">
            <w:pPr>
              <w:spacing w:before="40" w:after="40" w:line="320" w:lineRule="atLeast"/>
              <w:rPr>
                <w:rFonts w:ascii="Verdana" w:hAnsi="Verdana"/>
                <w:color w:val="000000"/>
                <w:sz w:val="18"/>
                <w:szCs w:val="18"/>
              </w:rPr>
            </w:pPr>
            <w:r>
              <w:rPr>
                <w:rFonts w:ascii="Verdana" w:hAnsi="Verdana"/>
                <w:color w:val="000000"/>
                <w:sz w:val="18"/>
                <w:szCs w:val="18"/>
              </w:rPr>
              <w:t>Union Bank of Switzerland (AMCs)</w:t>
            </w:r>
          </w:p>
        </w:tc>
        <w:tc>
          <w:tcPr>
            <w:tcW w:w="1843" w:type="dxa"/>
            <w:vAlign w:val="center"/>
          </w:tcPr>
          <w:p w14:paraId="259722EF" w14:textId="7038A118" w:rsidR="008B346F" w:rsidRDefault="00B555B1" w:rsidP="008B346F">
            <w:pPr>
              <w:spacing w:before="40" w:after="40" w:line="320" w:lineRule="atLeast"/>
              <w:jc w:val="right"/>
              <w:rPr>
                <w:rFonts w:ascii="Verdana" w:hAnsi="Verdana"/>
                <w:color w:val="000000"/>
                <w:sz w:val="18"/>
                <w:szCs w:val="18"/>
              </w:rPr>
            </w:pPr>
            <w:r>
              <w:rPr>
                <w:rFonts w:ascii="Verdana" w:hAnsi="Verdana"/>
                <w:color w:val="000000"/>
                <w:sz w:val="18"/>
                <w:szCs w:val="18"/>
              </w:rPr>
              <w:t>1 990,7</w:t>
            </w:r>
          </w:p>
        </w:tc>
      </w:tr>
      <w:tr w:rsidR="00B555B1" w:rsidRPr="00AB6CBE" w14:paraId="596FDBAF" w14:textId="77777777" w:rsidTr="00B555B1">
        <w:tc>
          <w:tcPr>
            <w:tcW w:w="850" w:type="dxa"/>
            <w:shd w:val="clear" w:color="auto" w:fill="auto"/>
          </w:tcPr>
          <w:p w14:paraId="2BBF4F2D" w14:textId="77777777" w:rsidR="00B555B1" w:rsidRPr="00DD1C15" w:rsidRDefault="00B555B1" w:rsidP="008B346F">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654D46FD" w14:textId="40DC576F" w:rsidR="00B555B1" w:rsidRDefault="00B555B1" w:rsidP="008B346F">
            <w:pPr>
              <w:spacing w:before="40" w:after="40" w:line="320" w:lineRule="atLeast"/>
              <w:rPr>
                <w:rFonts w:ascii="Verdana" w:hAnsi="Verdana"/>
                <w:color w:val="000000"/>
                <w:sz w:val="18"/>
                <w:szCs w:val="18"/>
              </w:rPr>
            </w:pPr>
            <w:r>
              <w:rPr>
                <w:rFonts w:ascii="Verdana" w:hAnsi="Verdana"/>
                <w:color w:val="000000"/>
                <w:sz w:val="18"/>
                <w:szCs w:val="18"/>
              </w:rPr>
              <w:t>1nvest (ETFs)</w:t>
            </w:r>
          </w:p>
        </w:tc>
        <w:tc>
          <w:tcPr>
            <w:tcW w:w="1843" w:type="dxa"/>
            <w:vAlign w:val="center"/>
          </w:tcPr>
          <w:p w14:paraId="60A9495A" w14:textId="70679DB1" w:rsidR="00B555B1" w:rsidRDefault="00B555B1" w:rsidP="008B346F">
            <w:pPr>
              <w:spacing w:before="40" w:after="40" w:line="320" w:lineRule="atLeast"/>
              <w:jc w:val="right"/>
              <w:rPr>
                <w:rFonts w:ascii="Verdana" w:hAnsi="Verdana"/>
                <w:color w:val="000000"/>
                <w:sz w:val="18"/>
                <w:szCs w:val="18"/>
              </w:rPr>
            </w:pPr>
            <w:r>
              <w:rPr>
                <w:rFonts w:ascii="Verdana" w:hAnsi="Verdana"/>
                <w:color w:val="000000"/>
                <w:sz w:val="18"/>
                <w:szCs w:val="18"/>
              </w:rPr>
              <w:t>1 176,1</w:t>
            </w:r>
          </w:p>
        </w:tc>
      </w:tr>
      <w:tr w:rsidR="008B346F" w:rsidRPr="00AB6CBE" w14:paraId="4AE58FA3" w14:textId="77777777" w:rsidTr="00B555B1">
        <w:tc>
          <w:tcPr>
            <w:tcW w:w="850" w:type="dxa"/>
            <w:shd w:val="clear" w:color="auto" w:fill="auto"/>
          </w:tcPr>
          <w:p w14:paraId="701246EF" w14:textId="77777777" w:rsidR="008B346F" w:rsidRPr="00DD1C15" w:rsidRDefault="008B346F" w:rsidP="008B346F">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08382EFF" w14:textId="14A03B5D" w:rsidR="008B346F" w:rsidRDefault="008B346F" w:rsidP="008B346F">
            <w:pPr>
              <w:spacing w:before="40" w:after="40" w:line="320" w:lineRule="atLeast"/>
              <w:rPr>
                <w:rFonts w:ascii="Verdana" w:hAnsi="Verdana"/>
                <w:color w:val="000000"/>
                <w:sz w:val="18"/>
                <w:szCs w:val="18"/>
              </w:rPr>
            </w:pPr>
            <w:r>
              <w:rPr>
                <w:rFonts w:ascii="Verdana" w:hAnsi="Verdana"/>
                <w:color w:val="000000"/>
                <w:sz w:val="18"/>
                <w:szCs w:val="18"/>
              </w:rPr>
              <w:t>Standard Bank (AMCs)</w:t>
            </w:r>
          </w:p>
        </w:tc>
        <w:tc>
          <w:tcPr>
            <w:tcW w:w="1843" w:type="dxa"/>
            <w:vAlign w:val="center"/>
          </w:tcPr>
          <w:p w14:paraId="6E6F9CF7" w14:textId="066427DE" w:rsidR="008B346F" w:rsidRDefault="00B555B1" w:rsidP="008B346F">
            <w:pPr>
              <w:spacing w:before="40" w:after="40" w:line="320" w:lineRule="atLeast"/>
              <w:jc w:val="right"/>
              <w:rPr>
                <w:rFonts w:ascii="Verdana" w:hAnsi="Verdana"/>
                <w:color w:val="000000"/>
                <w:sz w:val="18"/>
                <w:szCs w:val="18"/>
              </w:rPr>
            </w:pPr>
            <w:r>
              <w:rPr>
                <w:rFonts w:ascii="Verdana" w:hAnsi="Verdana"/>
                <w:color w:val="000000"/>
                <w:sz w:val="18"/>
                <w:szCs w:val="18"/>
              </w:rPr>
              <w:t>950,0</w:t>
            </w:r>
          </w:p>
        </w:tc>
      </w:tr>
      <w:tr w:rsidR="008B346F" w:rsidRPr="00AB6CBE" w14:paraId="4E075996" w14:textId="77777777" w:rsidTr="00B555B1">
        <w:tc>
          <w:tcPr>
            <w:tcW w:w="850" w:type="dxa"/>
            <w:shd w:val="clear" w:color="auto" w:fill="auto"/>
          </w:tcPr>
          <w:p w14:paraId="1FAA5C65" w14:textId="77777777" w:rsidR="008B346F" w:rsidRPr="00DD1C15" w:rsidRDefault="008B346F" w:rsidP="008B346F">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65A75DD1" w14:textId="17783BD4" w:rsidR="008B346F" w:rsidRDefault="008B346F" w:rsidP="008B346F">
            <w:pPr>
              <w:spacing w:before="40" w:after="40" w:line="320" w:lineRule="atLeast"/>
              <w:rPr>
                <w:rFonts w:ascii="Verdana" w:hAnsi="Verdana"/>
                <w:color w:val="000000"/>
                <w:sz w:val="18"/>
                <w:szCs w:val="18"/>
              </w:rPr>
            </w:pPr>
            <w:r>
              <w:rPr>
                <w:rFonts w:ascii="Verdana" w:hAnsi="Verdana"/>
                <w:color w:val="000000"/>
                <w:sz w:val="18"/>
                <w:szCs w:val="18"/>
              </w:rPr>
              <w:t>FNB (ETFs)</w:t>
            </w:r>
          </w:p>
        </w:tc>
        <w:tc>
          <w:tcPr>
            <w:tcW w:w="1843" w:type="dxa"/>
            <w:vAlign w:val="center"/>
          </w:tcPr>
          <w:p w14:paraId="60C70493" w14:textId="4FCB2D16" w:rsidR="008B346F" w:rsidRDefault="00B555B1" w:rsidP="008B346F">
            <w:pPr>
              <w:spacing w:before="40" w:after="40" w:line="320" w:lineRule="atLeast"/>
              <w:jc w:val="right"/>
              <w:rPr>
                <w:rFonts w:ascii="Verdana" w:hAnsi="Verdana"/>
                <w:color w:val="000000"/>
                <w:sz w:val="18"/>
                <w:szCs w:val="18"/>
              </w:rPr>
            </w:pPr>
            <w:r>
              <w:rPr>
                <w:rFonts w:ascii="Verdana" w:hAnsi="Verdana"/>
                <w:color w:val="000000"/>
                <w:sz w:val="18"/>
                <w:szCs w:val="18"/>
              </w:rPr>
              <w:t>654,5</w:t>
            </w:r>
          </w:p>
        </w:tc>
      </w:tr>
      <w:tr w:rsidR="00B555B1" w:rsidRPr="00AB6CBE" w14:paraId="344B0170" w14:textId="77777777" w:rsidTr="00B555B1">
        <w:tc>
          <w:tcPr>
            <w:tcW w:w="850" w:type="dxa"/>
            <w:shd w:val="clear" w:color="auto" w:fill="auto"/>
          </w:tcPr>
          <w:p w14:paraId="075B660C" w14:textId="77777777" w:rsidR="00B555B1" w:rsidRPr="00DD1C15" w:rsidRDefault="00B555B1" w:rsidP="008B346F">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58669FF7" w14:textId="33C02425" w:rsidR="00B555B1" w:rsidRDefault="00B555B1" w:rsidP="008B346F">
            <w:pPr>
              <w:spacing w:before="40" w:after="40" w:line="320" w:lineRule="atLeast"/>
              <w:rPr>
                <w:rFonts w:ascii="Verdana" w:hAnsi="Verdana"/>
                <w:color w:val="000000"/>
                <w:sz w:val="18"/>
                <w:szCs w:val="18"/>
              </w:rPr>
            </w:pPr>
            <w:r>
              <w:rPr>
                <w:rFonts w:ascii="Verdana" w:hAnsi="Verdana"/>
                <w:color w:val="000000"/>
                <w:sz w:val="18"/>
                <w:szCs w:val="18"/>
              </w:rPr>
              <w:t>Prescient Management Company (ETFs)</w:t>
            </w:r>
          </w:p>
        </w:tc>
        <w:tc>
          <w:tcPr>
            <w:tcW w:w="1843" w:type="dxa"/>
            <w:vAlign w:val="center"/>
          </w:tcPr>
          <w:p w14:paraId="7413BD1D" w14:textId="30A4E26D" w:rsidR="00B555B1" w:rsidRDefault="00B555B1" w:rsidP="008B346F">
            <w:pPr>
              <w:spacing w:before="40" w:after="40" w:line="320" w:lineRule="atLeast"/>
              <w:jc w:val="right"/>
              <w:rPr>
                <w:rFonts w:ascii="Verdana" w:hAnsi="Verdana"/>
                <w:color w:val="000000"/>
                <w:sz w:val="18"/>
                <w:szCs w:val="18"/>
              </w:rPr>
            </w:pPr>
            <w:r>
              <w:rPr>
                <w:rFonts w:ascii="Verdana" w:hAnsi="Verdana"/>
                <w:color w:val="000000"/>
                <w:sz w:val="18"/>
                <w:szCs w:val="18"/>
              </w:rPr>
              <w:t>187,0</w:t>
            </w:r>
          </w:p>
        </w:tc>
      </w:tr>
      <w:tr w:rsidR="00B555B1" w:rsidRPr="00AB6CBE" w14:paraId="3BF6B186" w14:textId="77777777" w:rsidTr="00B555B1">
        <w:tc>
          <w:tcPr>
            <w:tcW w:w="850" w:type="dxa"/>
            <w:shd w:val="clear" w:color="auto" w:fill="auto"/>
          </w:tcPr>
          <w:p w14:paraId="362CB7BA" w14:textId="77777777" w:rsidR="00B555B1" w:rsidRPr="00DD1C15" w:rsidRDefault="00B555B1" w:rsidP="008B346F">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6C9128B8" w14:textId="269B49D3" w:rsidR="00B555B1" w:rsidRDefault="00B555B1" w:rsidP="008B346F">
            <w:pPr>
              <w:spacing w:before="40" w:after="40" w:line="320" w:lineRule="atLeast"/>
              <w:rPr>
                <w:rFonts w:ascii="Verdana" w:hAnsi="Verdana"/>
                <w:color w:val="000000"/>
                <w:sz w:val="18"/>
                <w:szCs w:val="18"/>
              </w:rPr>
            </w:pPr>
            <w:r>
              <w:rPr>
                <w:rFonts w:ascii="Verdana" w:hAnsi="Verdana"/>
                <w:color w:val="000000"/>
                <w:sz w:val="18"/>
                <w:szCs w:val="18"/>
              </w:rPr>
              <w:t>Union Bank of Switzerland (ETNs)</w:t>
            </w:r>
          </w:p>
        </w:tc>
        <w:tc>
          <w:tcPr>
            <w:tcW w:w="1843" w:type="dxa"/>
            <w:vAlign w:val="center"/>
          </w:tcPr>
          <w:p w14:paraId="17D405FE" w14:textId="679A93B3" w:rsidR="00B555B1" w:rsidRDefault="00B555B1" w:rsidP="008B346F">
            <w:pPr>
              <w:spacing w:before="40" w:after="40" w:line="320" w:lineRule="atLeast"/>
              <w:jc w:val="right"/>
              <w:rPr>
                <w:rFonts w:ascii="Verdana" w:hAnsi="Verdana"/>
                <w:color w:val="000000"/>
                <w:sz w:val="18"/>
                <w:szCs w:val="18"/>
              </w:rPr>
            </w:pPr>
            <w:r>
              <w:rPr>
                <w:rFonts w:ascii="Verdana" w:hAnsi="Verdana"/>
                <w:color w:val="000000"/>
                <w:sz w:val="18"/>
                <w:szCs w:val="18"/>
              </w:rPr>
              <w:t>125,0</w:t>
            </w:r>
          </w:p>
        </w:tc>
      </w:tr>
      <w:tr w:rsidR="00B555B1" w:rsidRPr="00AB6CBE" w14:paraId="403A8FCB" w14:textId="77777777" w:rsidTr="00B555B1">
        <w:tc>
          <w:tcPr>
            <w:tcW w:w="850" w:type="dxa"/>
            <w:shd w:val="clear" w:color="auto" w:fill="auto"/>
          </w:tcPr>
          <w:p w14:paraId="78B10863" w14:textId="77777777" w:rsidR="00B555B1" w:rsidRPr="00DD1C15" w:rsidRDefault="00B555B1" w:rsidP="008B346F">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3A9BAECF" w14:textId="692679DD" w:rsidR="00B555B1" w:rsidRDefault="00B555B1" w:rsidP="008B346F">
            <w:pPr>
              <w:spacing w:before="40" w:after="40" w:line="320" w:lineRule="atLeast"/>
              <w:rPr>
                <w:rFonts w:ascii="Verdana" w:hAnsi="Verdana"/>
                <w:color w:val="000000"/>
                <w:sz w:val="18"/>
                <w:szCs w:val="18"/>
              </w:rPr>
            </w:pPr>
            <w:r>
              <w:rPr>
                <w:rFonts w:ascii="Verdana" w:hAnsi="Verdana"/>
                <w:color w:val="000000"/>
                <w:sz w:val="18"/>
                <w:szCs w:val="18"/>
              </w:rPr>
              <w:t>FNB (ETNs)</w:t>
            </w:r>
          </w:p>
        </w:tc>
        <w:tc>
          <w:tcPr>
            <w:tcW w:w="1843" w:type="dxa"/>
            <w:vAlign w:val="center"/>
          </w:tcPr>
          <w:p w14:paraId="018E03F5" w14:textId="6BFF365D" w:rsidR="00B555B1" w:rsidRDefault="00B555B1" w:rsidP="008B346F">
            <w:pPr>
              <w:spacing w:before="40" w:after="40" w:line="320" w:lineRule="atLeast"/>
              <w:jc w:val="right"/>
              <w:rPr>
                <w:rFonts w:ascii="Verdana" w:hAnsi="Verdana"/>
                <w:color w:val="000000"/>
                <w:sz w:val="18"/>
                <w:szCs w:val="18"/>
              </w:rPr>
            </w:pPr>
            <w:r>
              <w:rPr>
                <w:rFonts w:ascii="Verdana" w:hAnsi="Verdana"/>
                <w:color w:val="000000"/>
                <w:sz w:val="18"/>
                <w:szCs w:val="18"/>
              </w:rPr>
              <w:t>(78,3)</w:t>
            </w:r>
          </w:p>
        </w:tc>
      </w:tr>
      <w:tr w:rsidR="008B346F" w:rsidRPr="00AB6CBE" w14:paraId="0FD2AD27" w14:textId="77777777" w:rsidTr="00B555B1">
        <w:tc>
          <w:tcPr>
            <w:tcW w:w="850" w:type="dxa"/>
            <w:shd w:val="clear" w:color="auto" w:fill="auto"/>
          </w:tcPr>
          <w:p w14:paraId="766293D2" w14:textId="77777777" w:rsidR="008B346F" w:rsidRPr="00DD1C15" w:rsidRDefault="008B346F" w:rsidP="008B346F">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3ECDD839" w14:textId="0E4A28A2" w:rsidR="008B346F" w:rsidRDefault="008B346F" w:rsidP="008B346F">
            <w:pPr>
              <w:spacing w:before="40" w:after="40" w:line="320" w:lineRule="atLeast"/>
              <w:rPr>
                <w:rFonts w:ascii="Verdana" w:hAnsi="Verdana"/>
                <w:color w:val="000000"/>
                <w:sz w:val="18"/>
                <w:szCs w:val="18"/>
              </w:rPr>
            </w:pPr>
            <w:r>
              <w:rPr>
                <w:rFonts w:ascii="Verdana" w:hAnsi="Verdana"/>
                <w:color w:val="000000"/>
                <w:sz w:val="18"/>
                <w:szCs w:val="18"/>
              </w:rPr>
              <w:t>Absa Capital (NewWave ETNs)</w:t>
            </w:r>
          </w:p>
        </w:tc>
        <w:tc>
          <w:tcPr>
            <w:tcW w:w="1843" w:type="dxa"/>
            <w:vAlign w:val="center"/>
          </w:tcPr>
          <w:p w14:paraId="79ECE323" w14:textId="6B9963AA" w:rsidR="008B346F" w:rsidRDefault="00B555B1" w:rsidP="008B346F">
            <w:pPr>
              <w:spacing w:before="40" w:after="40" w:line="320" w:lineRule="atLeast"/>
              <w:jc w:val="right"/>
              <w:rPr>
                <w:rFonts w:ascii="Verdana" w:hAnsi="Verdana"/>
                <w:color w:val="000000"/>
                <w:sz w:val="18"/>
                <w:szCs w:val="18"/>
              </w:rPr>
            </w:pPr>
            <w:r>
              <w:rPr>
                <w:rFonts w:ascii="Verdana" w:hAnsi="Verdana"/>
                <w:color w:val="000000"/>
                <w:sz w:val="18"/>
                <w:szCs w:val="18"/>
              </w:rPr>
              <w:t>(188,0)</w:t>
            </w:r>
          </w:p>
        </w:tc>
      </w:tr>
      <w:tr w:rsidR="008B346F" w:rsidRPr="00AB6CBE" w14:paraId="430DCB56" w14:textId="77777777" w:rsidTr="00B555B1">
        <w:tc>
          <w:tcPr>
            <w:tcW w:w="850" w:type="dxa"/>
            <w:shd w:val="clear" w:color="auto" w:fill="auto"/>
          </w:tcPr>
          <w:p w14:paraId="32EA4EFF" w14:textId="77777777" w:rsidR="008B346F" w:rsidRPr="00DD1C15" w:rsidRDefault="008B346F" w:rsidP="008B346F">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61E56B7F" w14:textId="4D031DC7" w:rsidR="008B346F" w:rsidRDefault="00BF6A40" w:rsidP="008B346F">
            <w:pPr>
              <w:spacing w:before="40" w:after="40" w:line="320" w:lineRule="atLeast"/>
              <w:rPr>
                <w:rFonts w:ascii="Verdana" w:hAnsi="Verdana"/>
                <w:color w:val="000000"/>
                <w:sz w:val="18"/>
                <w:szCs w:val="18"/>
              </w:rPr>
            </w:pPr>
            <w:r>
              <w:rPr>
                <w:rFonts w:ascii="Verdana" w:hAnsi="Verdana"/>
                <w:color w:val="000000"/>
                <w:sz w:val="18"/>
                <w:szCs w:val="18"/>
              </w:rPr>
              <w:t>Absa Capital (NewFunds ETFs, NewGold ETFs)</w:t>
            </w:r>
          </w:p>
        </w:tc>
        <w:tc>
          <w:tcPr>
            <w:tcW w:w="1843" w:type="dxa"/>
            <w:vAlign w:val="center"/>
          </w:tcPr>
          <w:p w14:paraId="3959BF54" w14:textId="61858B2C" w:rsidR="008B346F" w:rsidRDefault="00B555B1" w:rsidP="008B346F">
            <w:pPr>
              <w:spacing w:before="40" w:after="40" w:line="320" w:lineRule="atLeast"/>
              <w:jc w:val="right"/>
              <w:rPr>
                <w:rFonts w:ascii="Verdana" w:hAnsi="Verdana"/>
                <w:color w:val="000000"/>
                <w:sz w:val="18"/>
                <w:szCs w:val="18"/>
              </w:rPr>
            </w:pPr>
            <w:r>
              <w:rPr>
                <w:rFonts w:ascii="Verdana" w:hAnsi="Verdana"/>
                <w:color w:val="000000"/>
                <w:sz w:val="18"/>
                <w:szCs w:val="18"/>
              </w:rPr>
              <w:t>(1 585,1)</w:t>
            </w:r>
          </w:p>
        </w:tc>
      </w:tr>
      <w:tr w:rsidR="008B346F" w:rsidRPr="00AB6CBE" w14:paraId="3EB767D8" w14:textId="77777777" w:rsidTr="00B555B1">
        <w:tc>
          <w:tcPr>
            <w:tcW w:w="850" w:type="dxa"/>
            <w:shd w:val="clear" w:color="auto" w:fill="auto"/>
          </w:tcPr>
          <w:p w14:paraId="3E50F4FD" w14:textId="77777777" w:rsidR="008B346F" w:rsidRPr="00DD1C15" w:rsidRDefault="008B346F" w:rsidP="008B346F">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42D36C65" w14:textId="68E4268A" w:rsidR="008B346F" w:rsidRDefault="008B346F" w:rsidP="008B346F">
            <w:pPr>
              <w:spacing w:before="40" w:after="40" w:line="320" w:lineRule="atLeast"/>
              <w:rPr>
                <w:rFonts w:ascii="Verdana" w:hAnsi="Verdana"/>
                <w:color w:val="000000"/>
                <w:sz w:val="18"/>
                <w:szCs w:val="18"/>
              </w:rPr>
            </w:pPr>
            <w:r>
              <w:rPr>
                <w:rFonts w:ascii="Verdana" w:hAnsi="Verdana"/>
                <w:color w:val="000000"/>
                <w:sz w:val="18"/>
                <w:szCs w:val="18"/>
              </w:rPr>
              <w:t>Sygnia Itrix (ETFs)</w:t>
            </w:r>
          </w:p>
        </w:tc>
        <w:tc>
          <w:tcPr>
            <w:tcW w:w="1843" w:type="dxa"/>
            <w:vAlign w:val="center"/>
          </w:tcPr>
          <w:p w14:paraId="43F23A67" w14:textId="30B7C3AB" w:rsidR="008B346F" w:rsidRDefault="00B555B1" w:rsidP="008B346F">
            <w:pPr>
              <w:spacing w:before="40" w:after="40" w:line="320" w:lineRule="atLeast"/>
              <w:jc w:val="right"/>
              <w:rPr>
                <w:rFonts w:ascii="Verdana" w:hAnsi="Verdana"/>
                <w:color w:val="000000"/>
                <w:sz w:val="18"/>
                <w:szCs w:val="18"/>
              </w:rPr>
            </w:pPr>
            <w:r>
              <w:rPr>
                <w:rFonts w:ascii="Verdana" w:hAnsi="Verdana"/>
                <w:color w:val="000000"/>
                <w:sz w:val="18"/>
                <w:szCs w:val="18"/>
              </w:rPr>
              <w:t>(1 </w:t>
            </w:r>
            <w:r w:rsidR="001B0316">
              <w:rPr>
                <w:rFonts w:ascii="Verdana" w:hAnsi="Verdana"/>
                <w:color w:val="000000"/>
                <w:sz w:val="18"/>
                <w:szCs w:val="18"/>
              </w:rPr>
              <w:t>669</w:t>
            </w:r>
            <w:r>
              <w:rPr>
                <w:rFonts w:ascii="Verdana" w:hAnsi="Verdana"/>
                <w:color w:val="000000"/>
                <w:sz w:val="18"/>
                <w:szCs w:val="18"/>
              </w:rPr>
              <w:t>,</w:t>
            </w:r>
            <w:r w:rsidR="001B0316">
              <w:rPr>
                <w:rFonts w:ascii="Verdana" w:hAnsi="Verdana"/>
                <w:color w:val="000000"/>
                <w:sz w:val="18"/>
                <w:szCs w:val="18"/>
              </w:rPr>
              <w:t>6</w:t>
            </w:r>
            <w:r>
              <w:rPr>
                <w:rFonts w:ascii="Verdana" w:hAnsi="Verdana"/>
                <w:color w:val="000000"/>
                <w:sz w:val="18"/>
                <w:szCs w:val="18"/>
              </w:rPr>
              <w:t>)</w:t>
            </w:r>
          </w:p>
        </w:tc>
      </w:tr>
      <w:tr w:rsidR="008B346F" w:rsidRPr="00DD1C15" w14:paraId="37C1C93E" w14:textId="77777777" w:rsidTr="00B555B1">
        <w:tc>
          <w:tcPr>
            <w:tcW w:w="6237" w:type="dxa"/>
            <w:gridSpan w:val="2"/>
            <w:shd w:val="clear" w:color="auto" w:fill="auto"/>
          </w:tcPr>
          <w:p w14:paraId="0BD42997" w14:textId="77777777" w:rsidR="008B346F" w:rsidRPr="00DD1C15" w:rsidRDefault="008B346F" w:rsidP="008B346F">
            <w:pPr>
              <w:spacing w:before="40" w:after="40" w:line="320" w:lineRule="atLeast"/>
              <w:rPr>
                <w:rFonts w:ascii="Verdana" w:hAnsi="Verdana"/>
                <w:b/>
                <w:bCs/>
                <w:color w:val="000000"/>
                <w:sz w:val="18"/>
                <w:szCs w:val="18"/>
              </w:rPr>
            </w:pPr>
            <w:r>
              <w:rPr>
                <w:rFonts w:ascii="Verdana" w:hAnsi="Verdana"/>
                <w:b/>
                <w:bCs/>
                <w:color w:val="000000"/>
                <w:sz w:val="18"/>
                <w:szCs w:val="18"/>
              </w:rPr>
              <w:t>Total</w:t>
            </w:r>
          </w:p>
        </w:tc>
        <w:tc>
          <w:tcPr>
            <w:tcW w:w="1843" w:type="dxa"/>
            <w:vAlign w:val="center"/>
          </w:tcPr>
          <w:p w14:paraId="654C3608" w14:textId="3CBEBB85" w:rsidR="008B346F" w:rsidRPr="00DD1C15" w:rsidRDefault="00B555B1" w:rsidP="008B346F">
            <w:pPr>
              <w:spacing w:before="40" w:after="40" w:line="320" w:lineRule="atLeast"/>
              <w:jc w:val="right"/>
              <w:rPr>
                <w:rFonts w:ascii="Verdana" w:hAnsi="Verdana"/>
                <w:b/>
                <w:bCs/>
                <w:color w:val="000000"/>
                <w:sz w:val="18"/>
                <w:szCs w:val="18"/>
              </w:rPr>
            </w:pPr>
            <w:r>
              <w:rPr>
                <w:rFonts w:ascii="Verdana" w:hAnsi="Verdana"/>
                <w:b/>
                <w:bCs/>
                <w:color w:val="000000"/>
                <w:sz w:val="18"/>
                <w:szCs w:val="18"/>
              </w:rPr>
              <w:t>10 1</w:t>
            </w:r>
            <w:r w:rsidR="001B0316">
              <w:rPr>
                <w:rFonts w:ascii="Verdana" w:hAnsi="Verdana"/>
                <w:b/>
                <w:bCs/>
                <w:color w:val="000000"/>
                <w:sz w:val="18"/>
                <w:szCs w:val="18"/>
              </w:rPr>
              <w:t>2</w:t>
            </w:r>
            <w:r>
              <w:rPr>
                <w:rFonts w:ascii="Verdana" w:hAnsi="Verdana"/>
                <w:b/>
                <w:bCs/>
                <w:color w:val="000000"/>
                <w:sz w:val="18"/>
                <w:szCs w:val="18"/>
              </w:rPr>
              <w:t>7,</w:t>
            </w:r>
            <w:r w:rsidR="001B0316">
              <w:rPr>
                <w:rFonts w:ascii="Verdana" w:hAnsi="Verdana"/>
                <w:b/>
                <w:bCs/>
                <w:color w:val="000000"/>
                <w:sz w:val="18"/>
                <w:szCs w:val="18"/>
              </w:rPr>
              <w:t>5</w:t>
            </w:r>
          </w:p>
        </w:tc>
      </w:tr>
      <w:tr w:rsidR="008B346F" w:rsidRPr="006015AB" w14:paraId="0965F958" w14:textId="77777777" w:rsidTr="00B555B1">
        <w:trPr>
          <w:trHeight w:val="217"/>
        </w:trPr>
        <w:tc>
          <w:tcPr>
            <w:tcW w:w="8080" w:type="dxa"/>
            <w:gridSpan w:val="3"/>
            <w:shd w:val="clear" w:color="auto" w:fill="auto"/>
            <w:vAlign w:val="center"/>
          </w:tcPr>
          <w:p w14:paraId="20521E6D" w14:textId="32D1074F" w:rsidR="008B346F" w:rsidRPr="006015AB" w:rsidRDefault="008B346F" w:rsidP="008B346F">
            <w:pPr>
              <w:spacing w:after="40" w:line="280" w:lineRule="atLeast"/>
              <w:rPr>
                <w:rFonts w:ascii="Verdana" w:hAnsi="Verdana"/>
                <w:i/>
                <w:color w:val="000000"/>
                <w:sz w:val="14"/>
                <w:szCs w:val="14"/>
              </w:rPr>
            </w:pPr>
            <w:r w:rsidRPr="006015AB">
              <w:rPr>
                <w:rFonts w:ascii="Verdana" w:hAnsi="Verdana"/>
                <w:i/>
                <w:color w:val="000000"/>
                <w:sz w:val="14"/>
                <w:szCs w:val="14"/>
              </w:rPr>
              <w:t>Source: etfSA.co.za Quarterly S</w:t>
            </w:r>
            <w:r>
              <w:rPr>
                <w:rFonts w:ascii="Verdana" w:hAnsi="Verdana"/>
                <w:i/>
                <w:color w:val="000000"/>
                <w:sz w:val="14"/>
                <w:szCs w:val="14"/>
              </w:rPr>
              <w:t>ecurities in Issue and New Capital Raised Survey (</w:t>
            </w:r>
            <w:r w:rsidR="00B555B1">
              <w:rPr>
                <w:rFonts w:ascii="Verdana" w:hAnsi="Verdana"/>
                <w:i/>
                <w:color w:val="000000"/>
                <w:sz w:val="14"/>
                <w:szCs w:val="14"/>
              </w:rPr>
              <w:t>Dec</w:t>
            </w:r>
            <w:r>
              <w:rPr>
                <w:rFonts w:ascii="Verdana" w:hAnsi="Verdana"/>
                <w:i/>
                <w:color w:val="000000"/>
                <w:sz w:val="14"/>
                <w:szCs w:val="14"/>
              </w:rPr>
              <w:t xml:space="preserve"> 2023).</w:t>
            </w:r>
          </w:p>
        </w:tc>
      </w:tr>
    </w:tbl>
    <w:p w14:paraId="03987C62" w14:textId="77777777" w:rsidR="00197B1E" w:rsidRDefault="00197B1E" w:rsidP="006B40F7">
      <w:pPr>
        <w:spacing w:after="0" w:line="340" w:lineRule="atLeast"/>
        <w:rPr>
          <w:rFonts w:ascii="Verdana" w:hAnsi="Verdana"/>
          <w:sz w:val="21"/>
          <w:szCs w:val="21"/>
        </w:rPr>
      </w:pPr>
    </w:p>
    <w:p w14:paraId="04D142EB" w14:textId="1A6587D4" w:rsidR="0097105F" w:rsidRDefault="0097105F" w:rsidP="0097105F">
      <w:pPr>
        <w:spacing w:line="320" w:lineRule="atLeast"/>
        <w:rPr>
          <w:rFonts w:ascii="Verdana" w:hAnsi="Verdana"/>
          <w:sz w:val="21"/>
          <w:szCs w:val="21"/>
        </w:rPr>
      </w:pPr>
      <w:r>
        <w:rPr>
          <w:rFonts w:ascii="Verdana" w:hAnsi="Verdana"/>
          <w:sz w:val="21"/>
          <w:szCs w:val="21"/>
        </w:rPr>
        <w:t xml:space="preserve">Topping the table for capital raising from issuers of both new and existing ETPs, is </w:t>
      </w:r>
      <w:r w:rsidRPr="00281236">
        <w:rPr>
          <w:rFonts w:ascii="Verdana" w:hAnsi="Verdana"/>
          <w:b/>
          <w:bCs/>
          <w:sz w:val="21"/>
          <w:szCs w:val="21"/>
        </w:rPr>
        <w:t>10X</w:t>
      </w:r>
      <w:r>
        <w:rPr>
          <w:rFonts w:ascii="Verdana" w:hAnsi="Verdana"/>
          <w:sz w:val="21"/>
          <w:szCs w:val="21"/>
        </w:rPr>
        <w:t xml:space="preserve">, which in 2023 completed its purchase of the CoreShares ETF business.  10X has Old Mutual as its major shareholder and has benefited from being the “in-house” issuer of listed index tracking products for South Africa’s major domestic asset manager.  </w:t>
      </w:r>
    </w:p>
    <w:p w14:paraId="75637028" w14:textId="6AD4E7E6" w:rsidR="00692B83" w:rsidRDefault="00692B83">
      <w:pPr>
        <w:rPr>
          <w:rFonts w:ascii="Verdana" w:hAnsi="Verdana"/>
          <w:sz w:val="21"/>
          <w:szCs w:val="21"/>
        </w:rPr>
      </w:pPr>
      <w:r>
        <w:rPr>
          <w:rFonts w:ascii="Verdana" w:hAnsi="Verdana"/>
          <w:sz w:val="21"/>
          <w:szCs w:val="21"/>
        </w:rPr>
        <w:br w:type="page"/>
      </w:r>
    </w:p>
    <w:p w14:paraId="7281C30F" w14:textId="2BB36FD6" w:rsidR="006D66CE" w:rsidRDefault="0097105F" w:rsidP="0097105F">
      <w:pPr>
        <w:spacing w:after="0" w:line="320" w:lineRule="atLeast"/>
        <w:rPr>
          <w:rFonts w:ascii="Verdana" w:hAnsi="Verdana"/>
          <w:sz w:val="21"/>
          <w:szCs w:val="21"/>
        </w:rPr>
      </w:pPr>
      <w:r>
        <w:rPr>
          <w:rFonts w:ascii="Verdana" w:hAnsi="Verdana"/>
          <w:sz w:val="21"/>
          <w:szCs w:val="21"/>
        </w:rPr>
        <w:lastRenderedPageBreak/>
        <w:t>Although still relatively small, in comparison with some of the more established issuing houses, 10X is making its presence felt and should continue to grow in re</w:t>
      </w:r>
      <w:r w:rsidR="00281236">
        <w:rPr>
          <w:rFonts w:ascii="Verdana" w:hAnsi="Verdana"/>
          <w:sz w:val="21"/>
          <w:szCs w:val="21"/>
        </w:rPr>
        <w:t xml:space="preserve">levance </w:t>
      </w:r>
      <w:r>
        <w:rPr>
          <w:rFonts w:ascii="Verdana" w:hAnsi="Verdana"/>
          <w:sz w:val="21"/>
          <w:szCs w:val="21"/>
        </w:rPr>
        <w:t xml:space="preserve">in future </w:t>
      </w:r>
      <w:r w:rsidR="00281236">
        <w:rPr>
          <w:rFonts w:ascii="Verdana" w:hAnsi="Verdana"/>
          <w:sz w:val="21"/>
          <w:szCs w:val="21"/>
        </w:rPr>
        <w:t>years</w:t>
      </w:r>
      <w:r>
        <w:rPr>
          <w:rFonts w:ascii="Verdana" w:hAnsi="Verdana"/>
          <w:sz w:val="21"/>
          <w:szCs w:val="21"/>
        </w:rPr>
        <w:t xml:space="preserve">. </w:t>
      </w:r>
    </w:p>
    <w:p w14:paraId="3A81F568" w14:textId="77777777" w:rsidR="0097105F" w:rsidRDefault="0097105F" w:rsidP="0097105F">
      <w:pPr>
        <w:spacing w:after="0" w:line="320" w:lineRule="atLeast"/>
        <w:rPr>
          <w:rFonts w:ascii="Verdana" w:hAnsi="Verdana"/>
          <w:sz w:val="21"/>
          <w:szCs w:val="21"/>
        </w:rPr>
      </w:pPr>
    </w:p>
    <w:p w14:paraId="5A505042" w14:textId="79B61A46" w:rsidR="0097105F" w:rsidRDefault="0097105F" w:rsidP="0097105F">
      <w:pPr>
        <w:spacing w:after="0" w:line="320" w:lineRule="atLeast"/>
        <w:rPr>
          <w:rFonts w:ascii="Verdana" w:hAnsi="Verdana"/>
          <w:sz w:val="21"/>
          <w:szCs w:val="21"/>
        </w:rPr>
      </w:pPr>
      <w:r w:rsidRPr="00281236">
        <w:rPr>
          <w:rFonts w:ascii="Verdana" w:hAnsi="Verdana"/>
          <w:b/>
          <w:bCs/>
          <w:sz w:val="21"/>
          <w:szCs w:val="21"/>
        </w:rPr>
        <w:t>Satrix Managers</w:t>
      </w:r>
      <w:r>
        <w:rPr>
          <w:rFonts w:ascii="Verdana" w:hAnsi="Verdana"/>
          <w:sz w:val="21"/>
          <w:szCs w:val="21"/>
        </w:rPr>
        <w:t>, which remains the largest participant in the South African ETP industry by some distance, in 2023, raised R3,2 billion in new capital for its products.  Satrix</w:t>
      </w:r>
      <w:r w:rsidR="007F321D">
        <w:rPr>
          <w:rFonts w:ascii="Verdana" w:hAnsi="Verdana"/>
          <w:sz w:val="21"/>
          <w:szCs w:val="21"/>
        </w:rPr>
        <w:t>’s</w:t>
      </w:r>
      <w:r>
        <w:rPr>
          <w:rFonts w:ascii="Verdana" w:hAnsi="Verdana"/>
          <w:sz w:val="21"/>
          <w:szCs w:val="21"/>
        </w:rPr>
        <w:t xml:space="preserve"> focus during the past year appears to have been the consolidation of the 13 ETFs that were taken over from Absa Capital.  Most of these ETFs, as well as other smaller ETFs in issue under the Satrix brand, have recorded net redemptions in 2023, but the foreign referenced ETFs, like the Satrix </w:t>
      </w:r>
      <w:r w:rsidR="00281236">
        <w:rPr>
          <w:rFonts w:ascii="Verdana" w:hAnsi="Verdana"/>
          <w:sz w:val="21"/>
          <w:szCs w:val="21"/>
        </w:rPr>
        <w:t>W</w:t>
      </w:r>
      <w:r>
        <w:rPr>
          <w:rFonts w:ascii="Verdana" w:hAnsi="Verdana"/>
          <w:sz w:val="21"/>
          <w:szCs w:val="21"/>
        </w:rPr>
        <w:t xml:space="preserve">orld, Satrix S&amp;P 500 and Satrix </w:t>
      </w:r>
      <w:r w:rsidR="00281236">
        <w:rPr>
          <w:rFonts w:ascii="Verdana" w:hAnsi="Verdana"/>
          <w:sz w:val="21"/>
          <w:szCs w:val="21"/>
        </w:rPr>
        <w:t xml:space="preserve">Nasdaq </w:t>
      </w:r>
      <w:r w:rsidR="002265E0">
        <w:rPr>
          <w:rFonts w:ascii="Verdana" w:hAnsi="Verdana"/>
          <w:sz w:val="21"/>
          <w:szCs w:val="21"/>
        </w:rPr>
        <w:t xml:space="preserve">raised significant new capital during the past year. </w:t>
      </w:r>
    </w:p>
    <w:p w14:paraId="1EC130F6" w14:textId="77777777" w:rsidR="002265E0" w:rsidRDefault="002265E0" w:rsidP="0097105F">
      <w:pPr>
        <w:spacing w:after="0" w:line="320" w:lineRule="atLeast"/>
        <w:rPr>
          <w:rFonts w:ascii="Verdana" w:hAnsi="Verdana"/>
          <w:sz w:val="21"/>
          <w:szCs w:val="21"/>
        </w:rPr>
      </w:pPr>
    </w:p>
    <w:p w14:paraId="6D797277" w14:textId="730FA51B" w:rsidR="002265E0" w:rsidRDefault="002265E0" w:rsidP="0097105F">
      <w:pPr>
        <w:spacing w:after="0" w:line="320" w:lineRule="atLeast"/>
        <w:rPr>
          <w:rFonts w:ascii="Verdana" w:hAnsi="Verdana"/>
          <w:sz w:val="21"/>
          <w:szCs w:val="21"/>
        </w:rPr>
      </w:pPr>
      <w:r w:rsidRPr="00281236">
        <w:rPr>
          <w:rFonts w:ascii="Verdana" w:hAnsi="Verdana"/>
          <w:b/>
          <w:bCs/>
          <w:sz w:val="21"/>
          <w:szCs w:val="21"/>
        </w:rPr>
        <w:t>UBS</w:t>
      </w:r>
      <w:r>
        <w:rPr>
          <w:rFonts w:ascii="Verdana" w:hAnsi="Verdana"/>
          <w:sz w:val="21"/>
          <w:szCs w:val="21"/>
        </w:rPr>
        <w:t xml:space="preserve"> raised just under R2 billion from the issue of AMCs in 2023, and has clearly marked out its positioning as an underwriter of third party actively managed portfolios.  Th</w:t>
      </w:r>
      <w:r w:rsidR="00281236">
        <w:rPr>
          <w:rFonts w:ascii="Verdana" w:hAnsi="Verdana"/>
          <w:sz w:val="21"/>
          <w:szCs w:val="21"/>
        </w:rPr>
        <w:t>ey</w:t>
      </w:r>
      <w:r>
        <w:rPr>
          <w:rFonts w:ascii="Verdana" w:hAnsi="Verdana"/>
          <w:sz w:val="21"/>
          <w:szCs w:val="21"/>
        </w:rPr>
        <w:t xml:space="preserve"> should continue to </w:t>
      </w:r>
      <w:r w:rsidR="00093886">
        <w:rPr>
          <w:rFonts w:ascii="Verdana" w:hAnsi="Verdana"/>
          <w:sz w:val="21"/>
          <w:szCs w:val="21"/>
        </w:rPr>
        <w:t xml:space="preserve">raise new capital for independent asset managers looking to list their </w:t>
      </w:r>
      <w:r w:rsidR="007A15D3">
        <w:rPr>
          <w:rFonts w:ascii="Verdana" w:hAnsi="Verdana"/>
          <w:sz w:val="21"/>
          <w:szCs w:val="21"/>
        </w:rPr>
        <w:t>portfolios</w:t>
      </w:r>
      <w:r w:rsidR="00093886">
        <w:rPr>
          <w:rFonts w:ascii="Verdana" w:hAnsi="Verdana"/>
          <w:sz w:val="21"/>
          <w:szCs w:val="21"/>
        </w:rPr>
        <w:t xml:space="preserve"> on the JSE, using the creditworthiness of UBS as the underwriter. </w:t>
      </w:r>
    </w:p>
    <w:p w14:paraId="550AEBC6" w14:textId="77777777" w:rsidR="00093886" w:rsidRDefault="00093886" w:rsidP="0097105F">
      <w:pPr>
        <w:spacing w:after="0" w:line="320" w:lineRule="atLeast"/>
        <w:rPr>
          <w:rFonts w:ascii="Verdana" w:hAnsi="Verdana"/>
          <w:sz w:val="21"/>
          <w:szCs w:val="21"/>
        </w:rPr>
      </w:pPr>
    </w:p>
    <w:p w14:paraId="7429E2B3" w14:textId="74D8A803" w:rsidR="00093886" w:rsidRDefault="00093886" w:rsidP="0097105F">
      <w:pPr>
        <w:spacing w:after="0" w:line="320" w:lineRule="atLeast"/>
        <w:rPr>
          <w:rFonts w:ascii="Verdana" w:hAnsi="Verdana"/>
          <w:sz w:val="21"/>
          <w:szCs w:val="21"/>
        </w:rPr>
      </w:pPr>
      <w:r>
        <w:rPr>
          <w:rFonts w:ascii="Verdana" w:hAnsi="Verdana"/>
          <w:sz w:val="21"/>
          <w:szCs w:val="21"/>
        </w:rPr>
        <w:t xml:space="preserve">At the other end of the scale, </w:t>
      </w:r>
      <w:r w:rsidRPr="00281236">
        <w:rPr>
          <w:rFonts w:ascii="Verdana" w:hAnsi="Verdana"/>
          <w:b/>
          <w:bCs/>
          <w:sz w:val="21"/>
          <w:szCs w:val="21"/>
        </w:rPr>
        <w:t>Sygnia Itrix</w:t>
      </w:r>
      <w:r>
        <w:rPr>
          <w:rFonts w:ascii="Verdana" w:hAnsi="Verdana"/>
          <w:sz w:val="21"/>
          <w:szCs w:val="21"/>
        </w:rPr>
        <w:t xml:space="preserve"> delisted R1,6</w:t>
      </w:r>
      <w:r w:rsidR="00281236">
        <w:rPr>
          <w:rFonts w:ascii="Verdana" w:hAnsi="Verdana"/>
          <w:sz w:val="21"/>
          <w:szCs w:val="21"/>
        </w:rPr>
        <w:t>7</w:t>
      </w:r>
      <w:r>
        <w:rPr>
          <w:rFonts w:ascii="Verdana" w:hAnsi="Verdana"/>
          <w:sz w:val="21"/>
          <w:szCs w:val="21"/>
        </w:rPr>
        <w:t xml:space="preserve"> billion ETFs over the course of the past year, as asset allocation strategies appear to have encouraged profit-taking in some of its offshore products, listed on the JSE. </w:t>
      </w:r>
    </w:p>
    <w:p w14:paraId="412D4493" w14:textId="77777777" w:rsidR="00093886" w:rsidRDefault="00093886" w:rsidP="0097105F">
      <w:pPr>
        <w:spacing w:after="0" w:line="320" w:lineRule="atLeast"/>
        <w:rPr>
          <w:rFonts w:ascii="Verdana" w:hAnsi="Verdana"/>
          <w:sz w:val="21"/>
          <w:szCs w:val="21"/>
        </w:rPr>
      </w:pPr>
    </w:p>
    <w:p w14:paraId="74C16167" w14:textId="04E5BF59" w:rsidR="00093886" w:rsidRDefault="00093886" w:rsidP="0097105F">
      <w:pPr>
        <w:spacing w:after="0" w:line="320" w:lineRule="atLeast"/>
        <w:rPr>
          <w:rFonts w:ascii="Verdana" w:hAnsi="Verdana"/>
          <w:sz w:val="21"/>
          <w:szCs w:val="21"/>
        </w:rPr>
      </w:pPr>
      <w:r w:rsidRPr="00281236">
        <w:rPr>
          <w:rFonts w:ascii="Verdana" w:hAnsi="Verdana"/>
          <w:b/>
          <w:bCs/>
          <w:sz w:val="21"/>
          <w:szCs w:val="21"/>
        </w:rPr>
        <w:t>Absa Capital</w:t>
      </w:r>
      <w:r>
        <w:rPr>
          <w:rFonts w:ascii="Verdana" w:hAnsi="Verdana"/>
          <w:sz w:val="21"/>
          <w:szCs w:val="21"/>
        </w:rPr>
        <w:t xml:space="preserve"> experienced significant delistings of the NewGold ETF in 2023 (nearly R3 billion), which was ironic, given the good performance of the gold price in both US dollars and rands over the past 12 months. </w:t>
      </w:r>
    </w:p>
    <w:p w14:paraId="59AAECFC" w14:textId="510AF849" w:rsidR="00EA42A0" w:rsidRPr="00B42190" w:rsidRDefault="00EA42A0" w:rsidP="00EA42A0">
      <w:pPr>
        <w:spacing w:before="240"/>
        <w:ind w:firstLine="720"/>
        <w:rPr>
          <w:rFonts w:ascii="Verdana" w:hAnsi="Verdana"/>
          <w:b/>
          <w:bCs/>
          <w:color w:val="000000"/>
          <w:sz w:val="21"/>
          <w:szCs w:val="21"/>
        </w:rPr>
      </w:pPr>
      <w:r w:rsidRPr="00B42190">
        <w:rPr>
          <w:rFonts w:ascii="Verdana" w:hAnsi="Verdana"/>
          <w:b/>
          <w:bCs/>
          <w:color w:val="000000"/>
          <w:sz w:val="21"/>
          <w:szCs w:val="21"/>
        </w:rPr>
        <w:t xml:space="preserve">Table </w:t>
      </w:r>
      <w:r>
        <w:rPr>
          <w:rFonts w:ascii="Verdana" w:hAnsi="Verdana"/>
          <w:b/>
          <w:bCs/>
          <w:color w:val="000000"/>
          <w:sz w:val="21"/>
          <w:szCs w:val="21"/>
        </w:rPr>
        <w:t>C</w:t>
      </w:r>
    </w:p>
    <w:tbl>
      <w:tblPr>
        <w:tblW w:w="6946"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1418"/>
      </w:tblGrid>
      <w:tr w:rsidR="00EA42A0" w:rsidRPr="00AB6CBE" w14:paraId="2F3E2E78" w14:textId="77777777" w:rsidTr="00EA42A0">
        <w:tc>
          <w:tcPr>
            <w:tcW w:w="6946" w:type="dxa"/>
            <w:gridSpan w:val="2"/>
            <w:shd w:val="clear" w:color="auto" w:fill="C00000"/>
          </w:tcPr>
          <w:p w14:paraId="79B7F639" w14:textId="686F7E24" w:rsidR="00EA42A0" w:rsidRDefault="00093886" w:rsidP="00F70D80">
            <w:pPr>
              <w:spacing w:before="40" w:after="40" w:line="320" w:lineRule="atLeast"/>
              <w:jc w:val="center"/>
              <w:rPr>
                <w:rFonts w:ascii="Verdana" w:hAnsi="Verdana"/>
                <w:b/>
                <w:color w:val="FFFFFF"/>
                <w:sz w:val="18"/>
                <w:szCs w:val="18"/>
              </w:rPr>
            </w:pPr>
            <w:r>
              <w:rPr>
                <w:rFonts w:ascii="Verdana" w:hAnsi="Verdana"/>
                <w:b/>
                <w:color w:val="FFFFFF"/>
                <w:sz w:val="18"/>
                <w:szCs w:val="18"/>
              </w:rPr>
              <w:t xml:space="preserve">Analysis of </w:t>
            </w:r>
            <w:r w:rsidR="00EA42A0">
              <w:rPr>
                <w:rFonts w:ascii="Verdana" w:hAnsi="Verdana"/>
                <w:b/>
                <w:color w:val="FFFFFF"/>
                <w:sz w:val="18"/>
                <w:szCs w:val="18"/>
              </w:rPr>
              <w:t xml:space="preserve">Capital Raised/Redeemed for </w:t>
            </w:r>
            <w:r w:rsidR="006A3FC7">
              <w:rPr>
                <w:rFonts w:ascii="Verdana" w:hAnsi="Verdana"/>
                <w:b/>
                <w:color w:val="FFFFFF"/>
                <w:sz w:val="18"/>
                <w:szCs w:val="18"/>
              </w:rPr>
              <w:t>Individual</w:t>
            </w:r>
            <w:r w:rsidR="00EA42A0">
              <w:rPr>
                <w:rFonts w:ascii="Verdana" w:hAnsi="Verdana"/>
                <w:b/>
                <w:color w:val="FFFFFF"/>
                <w:sz w:val="18"/>
                <w:szCs w:val="18"/>
              </w:rPr>
              <w:t xml:space="preserve"> Exchange Traded Products</w:t>
            </w:r>
          </w:p>
          <w:p w14:paraId="0D527424" w14:textId="172C9820" w:rsidR="00EA42A0" w:rsidRPr="003B4F95" w:rsidRDefault="00EA42A0" w:rsidP="00F70D80">
            <w:pPr>
              <w:spacing w:before="40" w:after="40" w:line="320" w:lineRule="atLeast"/>
              <w:jc w:val="center"/>
              <w:rPr>
                <w:rFonts w:ascii="Verdana" w:hAnsi="Verdana"/>
                <w:b/>
                <w:color w:val="FFFFFF"/>
                <w:sz w:val="18"/>
                <w:szCs w:val="18"/>
              </w:rPr>
            </w:pPr>
            <w:r>
              <w:rPr>
                <w:rFonts w:ascii="Verdana" w:hAnsi="Verdana"/>
                <w:b/>
                <w:color w:val="FFFFFF"/>
                <w:sz w:val="18"/>
                <w:szCs w:val="18"/>
              </w:rPr>
              <w:t>(2023)</w:t>
            </w:r>
          </w:p>
        </w:tc>
      </w:tr>
      <w:tr w:rsidR="00EA42A0" w:rsidRPr="00AB6CBE" w14:paraId="06B27455" w14:textId="77777777" w:rsidTr="00EA42A0">
        <w:trPr>
          <w:trHeight w:val="360"/>
        </w:trPr>
        <w:tc>
          <w:tcPr>
            <w:tcW w:w="5528" w:type="dxa"/>
            <w:shd w:val="clear" w:color="auto" w:fill="4C4C4C"/>
          </w:tcPr>
          <w:p w14:paraId="7F897D91" w14:textId="636D9659" w:rsidR="00EA42A0" w:rsidRPr="003B4F95" w:rsidRDefault="00EA42A0" w:rsidP="00F70D80">
            <w:pPr>
              <w:spacing w:before="40" w:after="40" w:line="320" w:lineRule="atLeast"/>
              <w:rPr>
                <w:rFonts w:ascii="Verdana" w:hAnsi="Verdana"/>
                <w:b/>
                <w:color w:val="FFFFFF"/>
                <w:sz w:val="18"/>
                <w:szCs w:val="18"/>
              </w:rPr>
            </w:pPr>
            <w:r>
              <w:rPr>
                <w:rFonts w:ascii="Verdana" w:hAnsi="Verdana"/>
                <w:b/>
                <w:color w:val="FFFFFF"/>
                <w:sz w:val="18"/>
                <w:szCs w:val="18"/>
              </w:rPr>
              <w:t>ETF</w:t>
            </w:r>
          </w:p>
        </w:tc>
        <w:tc>
          <w:tcPr>
            <w:tcW w:w="1418" w:type="dxa"/>
            <w:shd w:val="clear" w:color="auto" w:fill="4C4C4C"/>
            <w:vAlign w:val="center"/>
          </w:tcPr>
          <w:p w14:paraId="58A32AEC" w14:textId="70735FE3" w:rsidR="00EA42A0" w:rsidRPr="003B4F95" w:rsidRDefault="00EA42A0" w:rsidP="00F70D80">
            <w:pPr>
              <w:spacing w:before="40" w:after="40" w:line="320" w:lineRule="atLeast"/>
              <w:jc w:val="right"/>
              <w:rPr>
                <w:rFonts w:ascii="Verdana" w:hAnsi="Verdana"/>
                <w:b/>
                <w:color w:val="FFFFFF"/>
                <w:sz w:val="18"/>
                <w:szCs w:val="18"/>
              </w:rPr>
            </w:pPr>
            <w:r>
              <w:rPr>
                <w:rFonts w:ascii="Verdana" w:hAnsi="Verdana"/>
                <w:b/>
                <w:color w:val="FFFFFF"/>
                <w:sz w:val="18"/>
                <w:szCs w:val="18"/>
              </w:rPr>
              <w:t>Amount (R million)</w:t>
            </w:r>
          </w:p>
        </w:tc>
      </w:tr>
      <w:tr w:rsidR="00EA42A0" w:rsidRPr="00AB6CBE" w14:paraId="5085772A" w14:textId="77777777" w:rsidTr="00EA42A0">
        <w:tc>
          <w:tcPr>
            <w:tcW w:w="5528" w:type="dxa"/>
            <w:shd w:val="clear" w:color="auto" w:fill="auto"/>
          </w:tcPr>
          <w:p w14:paraId="20F32D2D" w14:textId="324A3C3C" w:rsidR="00EA42A0" w:rsidRDefault="00EA42A0" w:rsidP="00F70D80">
            <w:pPr>
              <w:spacing w:before="40" w:after="40" w:line="320" w:lineRule="atLeast"/>
              <w:rPr>
                <w:rFonts w:ascii="Verdana" w:hAnsi="Verdana"/>
                <w:color w:val="000000"/>
                <w:sz w:val="18"/>
                <w:szCs w:val="18"/>
              </w:rPr>
            </w:pPr>
            <w:r>
              <w:rPr>
                <w:rFonts w:ascii="Verdana" w:hAnsi="Verdana"/>
                <w:color w:val="000000"/>
                <w:sz w:val="18"/>
                <w:szCs w:val="18"/>
              </w:rPr>
              <w:t>Satrix MSCI World ETF</w:t>
            </w:r>
          </w:p>
        </w:tc>
        <w:tc>
          <w:tcPr>
            <w:tcW w:w="1418" w:type="dxa"/>
            <w:vAlign w:val="center"/>
          </w:tcPr>
          <w:p w14:paraId="2C18DA8F" w14:textId="2BC74E11" w:rsidR="00EA42A0" w:rsidRDefault="00093886" w:rsidP="00F70D80">
            <w:pPr>
              <w:spacing w:before="40" w:after="40" w:line="320" w:lineRule="atLeast"/>
              <w:jc w:val="right"/>
              <w:rPr>
                <w:rFonts w:ascii="Verdana" w:hAnsi="Verdana"/>
                <w:color w:val="000000"/>
                <w:sz w:val="18"/>
                <w:szCs w:val="18"/>
              </w:rPr>
            </w:pPr>
            <w:r>
              <w:rPr>
                <w:rFonts w:ascii="Verdana" w:hAnsi="Verdana"/>
                <w:color w:val="000000"/>
                <w:sz w:val="18"/>
                <w:szCs w:val="18"/>
              </w:rPr>
              <w:t>2 959,8</w:t>
            </w:r>
          </w:p>
        </w:tc>
      </w:tr>
      <w:tr w:rsidR="00EA42A0" w:rsidRPr="00AB6CBE" w14:paraId="19AEE74A" w14:textId="77777777" w:rsidTr="00EA42A0">
        <w:tc>
          <w:tcPr>
            <w:tcW w:w="5528" w:type="dxa"/>
            <w:shd w:val="clear" w:color="auto" w:fill="auto"/>
          </w:tcPr>
          <w:p w14:paraId="15FD7574" w14:textId="246F10E8" w:rsidR="00EA42A0" w:rsidRDefault="00EA42A0" w:rsidP="00F70D80">
            <w:pPr>
              <w:spacing w:before="40" w:after="40" w:line="320" w:lineRule="atLeast"/>
              <w:rPr>
                <w:rFonts w:ascii="Verdana" w:hAnsi="Verdana"/>
                <w:color w:val="000000"/>
                <w:sz w:val="18"/>
                <w:szCs w:val="18"/>
              </w:rPr>
            </w:pPr>
            <w:r>
              <w:rPr>
                <w:rFonts w:ascii="Verdana" w:hAnsi="Verdana"/>
                <w:color w:val="000000"/>
                <w:sz w:val="18"/>
                <w:szCs w:val="18"/>
              </w:rPr>
              <w:t>Sygnia Itrix MSCI World ETF</w:t>
            </w:r>
          </w:p>
        </w:tc>
        <w:tc>
          <w:tcPr>
            <w:tcW w:w="1418" w:type="dxa"/>
            <w:vAlign w:val="center"/>
          </w:tcPr>
          <w:p w14:paraId="378F90B3" w14:textId="55786CA3" w:rsidR="00EA42A0" w:rsidRDefault="00093886" w:rsidP="00F70D80">
            <w:pPr>
              <w:spacing w:before="40" w:after="40" w:line="320" w:lineRule="atLeast"/>
              <w:jc w:val="right"/>
              <w:rPr>
                <w:rFonts w:ascii="Verdana" w:hAnsi="Verdana"/>
                <w:color w:val="000000"/>
                <w:sz w:val="18"/>
                <w:szCs w:val="18"/>
              </w:rPr>
            </w:pPr>
            <w:r>
              <w:rPr>
                <w:rFonts w:ascii="Verdana" w:hAnsi="Verdana"/>
                <w:color w:val="000000"/>
                <w:sz w:val="18"/>
                <w:szCs w:val="18"/>
              </w:rPr>
              <w:t>1 653,9</w:t>
            </w:r>
          </w:p>
        </w:tc>
      </w:tr>
      <w:tr w:rsidR="00EA42A0" w:rsidRPr="00AB6CBE" w14:paraId="6FE7D178" w14:textId="77777777" w:rsidTr="00EA42A0">
        <w:tc>
          <w:tcPr>
            <w:tcW w:w="5528" w:type="dxa"/>
            <w:shd w:val="clear" w:color="auto" w:fill="auto"/>
          </w:tcPr>
          <w:p w14:paraId="2945618B" w14:textId="671736E2" w:rsidR="00EA42A0" w:rsidRDefault="00EA42A0" w:rsidP="00F70D80">
            <w:pPr>
              <w:spacing w:before="40" w:after="40" w:line="320" w:lineRule="atLeast"/>
              <w:rPr>
                <w:rFonts w:ascii="Verdana" w:hAnsi="Verdana"/>
                <w:color w:val="000000"/>
                <w:sz w:val="18"/>
                <w:szCs w:val="18"/>
              </w:rPr>
            </w:pPr>
            <w:r>
              <w:rPr>
                <w:rFonts w:ascii="Verdana" w:hAnsi="Verdana"/>
                <w:color w:val="000000"/>
                <w:sz w:val="18"/>
                <w:szCs w:val="18"/>
              </w:rPr>
              <w:t>Absa NewGold Platinum ETF</w:t>
            </w:r>
          </w:p>
        </w:tc>
        <w:tc>
          <w:tcPr>
            <w:tcW w:w="1418" w:type="dxa"/>
            <w:vAlign w:val="center"/>
          </w:tcPr>
          <w:p w14:paraId="65BBC7AB" w14:textId="7761114B" w:rsidR="00EA42A0" w:rsidRDefault="00F804E0" w:rsidP="00F70D80">
            <w:pPr>
              <w:spacing w:before="40" w:after="40" w:line="320" w:lineRule="atLeast"/>
              <w:jc w:val="right"/>
              <w:rPr>
                <w:rFonts w:ascii="Verdana" w:hAnsi="Verdana"/>
                <w:color w:val="000000"/>
                <w:sz w:val="18"/>
                <w:szCs w:val="18"/>
              </w:rPr>
            </w:pPr>
            <w:r>
              <w:rPr>
                <w:rFonts w:ascii="Verdana" w:hAnsi="Verdana"/>
                <w:color w:val="000000"/>
                <w:sz w:val="18"/>
                <w:szCs w:val="18"/>
              </w:rPr>
              <w:t>1 307,2</w:t>
            </w:r>
          </w:p>
        </w:tc>
      </w:tr>
      <w:tr w:rsidR="00EA42A0" w:rsidRPr="00AB6CBE" w14:paraId="3EC7F5D4" w14:textId="77777777" w:rsidTr="00EA42A0">
        <w:tc>
          <w:tcPr>
            <w:tcW w:w="5528" w:type="dxa"/>
            <w:shd w:val="clear" w:color="auto" w:fill="auto"/>
          </w:tcPr>
          <w:p w14:paraId="1D217624" w14:textId="08E1204A" w:rsidR="00EA42A0" w:rsidRDefault="00EA42A0" w:rsidP="00F70D80">
            <w:pPr>
              <w:spacing w:before="40" w:after="40" w:line="320" w:lineRule="atLeast"/>
              <w:rPr>
                <w:rFonts w:ascii="Verdana" w:hAnsi="Verdana"/>
                <w:color w:val="000000"/>
                <w:sz w:val="18"/>
                <w:szCs w:val="18"/>
              </w:rPr>
            </w:pPr>
            <w:r>
              <w:rPr>
                <w:rFonts w:ascii="Verdana" w:hAnsi="Verdana"/>
                <w:color w:val="000000"/>
                <w:sz w:val="18"/>
                <w:szCs w:val="18"/>
              </w:rPr>
              <w:t>CoreShares/10X Global Dividend Aristocrat ETF</w:t>
            </w:r>
          </w:p>
        </w:tc>
        <w:tc>
          <w:tcPr>
            <w:tcW w:w="1418" w:type="dxa"/>
            <w:vAlign w:val="center"/>
          </w:tcPr>
          <w:p w14:paraId="27BDFE0D" w14:textId="0BA35BFF" w:rsidR="00EA42A0" w:rsidRDefault="00F804E0" w:rsidP="00F70D80">
            <w:pPr>
              <w:spacing w:before="40" w:after="40" w:line="320" w:lineRule="atLeast"/>
              <w:jc w:val="right"/>
              <w:rPr>
                <w:rFonts w:ascii="Verdana" w:hAnsi="Verdana"/>
                <w:color w:val="000000"/>
                <w:sz w:val="18"/>
                <w:szCs w:val="18"/>
              </w:rPr>
            </w:pPr>
            <w:r>
              <w:rPr>
                <w:rFonts w:ascii="Verdana" w:hAnsi="Verdana"/>
                <w:color w:val="000000"/>
                <w:sz w:val="18"/>
                <w:szCs w:val="18"/>
              </w:rPr>
              <w:t>1 </w:t>
            </w:r>
            <w:r w:rsidR="00822A6E">
              <w:rPr>
                <w:rFonts w:ascii="Verdana" w:hAnsi="Verdana"/>
                <w:color w:val="000000"/>
                <w:sz w:val="18"/>
                <w:szCs w:val="18"/>
              </w:rPr>
              <w:t>201</w:t>
            </w:r>
            <w:r>
              <w:rPr>
                <w:rFonts w:ascii="Verdana" w:hAnsi="Verdana"/>
                <w:color w:val="000000"/>
                <w:sz w:val="18"/>
                <w:szCs w:val="18"/>
              </w:rPr>
              <w:t>,</w:t>
            </w:r>
            <w:r w:rsidR="00822A6E">
              <w:rPr>
                <w:rFonts w:ascii="Verdana" w:hAnsi="Verdana"/>
                <w:color w:val="000000"/>
                <w:sz w:val="18"/>
                <w:szCs w:val="18"/>
              </w:rPr>
              <w:t>5</w:t>
            </w:r>
          </w:p>
        </w:tc>
      </w:tr>
      <w:tr w:rsidR="00822A6E" w:rsidRPr="00AB6CBE" w14:paraId="033745B1" w14:textId="77777777" w:rsidTr="00EA42A0">
        <w:tc>
          <w:tcPr>
            <w:tcW w:w="5528" w:type="dxa"/>
            <w:shd w:val="clear" w:color="auto" w:fill="auto"/>
          </w:tcPr>
          <w:p w14:paraId="60B6ABEB" w14:textId="4D2A14B7" w:rsidR="00822A6E" w:rsidRDefault="00822A6E" w:rsidP="00822A6E">
            <w:pPr>
              <w:spacing w:before="40" w:after="40" w:line="320" w:lineRule="atLeast"/>
              <w:rPr>
                <w:rFonts w:ascii="Verdana" w:hAnsi="Verdana"/>
                <w:color w:val="000000"/>
                <w:sz w:val="18"/>
                <w:szCs w:val="18"/>
              </w:rPr>
            </w:pPr>
            <w:r>
              <w:rPr>
                <w:rFonts w:ascii="Verdana" w:hAnsi="Verdana"/>
                <w:color w:val="000000"/>
                <w:sz w:val="18"/>
                <w:szCs w:val="18"/>
              </w:rPr>
              <w:t>10X Wealth GOVI ETF</w:t>
            </w:r>
          </w:p>
        </w:tc>
        <w:tc>
          <w:tcPr>
            <w:tcW w:w="1418" w:type="dxa"/>
            <w:vAlign w:val="center"/>
          </w:tcPr>
          <w:p w14:paraId="5AEE4E1B" w14:textId="62699A47" w:rsidR="00822A6E" w:rsidRDefault="00822A6E" w:rsidP="00822A6E">
            <w:pPr>
              <w:spacing w:before="40" w:after="40" w:line="320" w:lineRule="atLeast"/>
              <w:jc w:val="right"/>
              <w:rPr>
                <w:rFonts w:ascii="Verdana" w:hAnsi="Verdana"/>
                <w:color w:val="000000"/>
                <w:sz w:val="18"/>
                <w:szCs w:val="18"/>
              </w:rPr>
            </w:pPr>
            <w:r>
              <w:rPr>
                <w:rFonts w:ascii="Verdana" w:hAnsi="Verdana"/>
                <w:color w:val="000000"/>
                <w:sz w:val="18"/>
                <w:szCs w:val="18"/>
              </w:rPr>
              <w:t>1 177,3</w:t>
            </w:r>
          </w:p>
        </w:tc>
      </w:tr>
      <w:tr w:rsidR="00822A6E" w:rsidRPr="00AB6CBE" w14:paraId="21CCBB7D" w14:textId="77777777" w:rsidTr="00EA42A0">
        <w:tc>
          <w:tcPr>
            <w:tcW w:w="5528" w:type="dxa"/>
            <w:shd w:val="clear" w:color="auto" w:fill="auto"/>
          </w:tcPr>
          <w:p w14:paraId="3DD50000" w14:textId="31B28BB1" w:rsidR="00822A6E" w:rsidRDefault="00822A6E" w:rsidP="00822A6E">
            <w:pPr>
              <w:spacing w:before="40" w:after="40" w:line="320" w:lineRule="atLeast"/>
              <w:rPr>
                <w:rFonts w:ascii="Verdana" w:hAnsi="Verdana"/>
                <w:color w:val="000000"/>
                <w:sz w:val="18"/>
                <w:szCs w:val="18"/>
              </w:rPr>
            </w:pPr>
            <w:r>
              <w:rPr>
                <w:rFonts w:ascii="Verdana" w:hAnsi="Verdana"/>
                <w:color w:val="000000"/>
                <w:sz w:val="18"/>
                <w:szCs w:val="18"/>
              </w:rPr>
              <w:t>10X All Asia AMETF</w:t>
            </w:r>
          </w:p>
        </w:tc>
        <w:tc>
          <w:tcPr>
            <w:tcW w:w="1418" w:type="dxa"/>
            <w:vAlign w:val="center"/>
          </w:tcPr>
          <w:p w14:paraId="2F6DC935" w14:textId="3D42CFFE" w:rsidR="00822A6E" w:rsidRDefault="00822A6E" w:rsidP="00822A6E">
            <w:pPr>
              <w:spacing w:before="40" w:after="40" w:line="320" w:lineRule="atLeast"/>
              <w:jc w:val="right"/>
              <w:rPr>
                <w:rFonts w:ascii="Verdana" w:hAnsi="Verdana"/>
                <w:color w:val="000000"/>
                <w:sz w:val="18"/>
                <w:szCs w:val="18"/>
              </w:rPr>
            </w:pPr>
            <w:r>
              <w:rPr>
                <w:rFonts w:ascii="Verdana" w:hAnsi="Verdana"/>
                <w:color w:val="000000"/>
                <w:sz w:val="18"/>
                <w:szCs w:val="18"/>
              </w:rPr>
              <w:t>822,8</w:t>
            </w:r>
          </w:p>
        </w:tc>
      </w:tr>
      <w:tr w:rsidR="00822A6E" w:rsidRPr="00AB6CBE" w14:paraId="53405BF4" w14:textId="77777777" w:rsidTr="00EA42A0">
        <w:tc>
          <w:tcPr>
            <w:tcW w:w="5528" w:type="dxa"/>
            <w:shd w:val="clear" w:color="auto" w:fill="auto"/>
          </w:tcPr>
          <w:p w14:paraId="1A8DE450" w14:textId="2102BB1F" w:rsidR="00822A6E" w:rsidRDefault="00822A6E" w:rsidP="00822A6E">
            <w:pPr>
              <w:spacing w:before="40" w:after="40" w:line="320" w:lineRule="atLeast"/>
              <w:rPr>
                <w:rFonts w:ascii="Verdana" w:hAnsi="Verdana"/>
                <w:color w:val="000000"/>
                <w:sz w:val="18"/>
                <w:szCs w:val="18"/>
              </w:rPr>
            </w:pPr>
            <w:r>
              <w:rPr>
                <w:rFonts w:ascii="Verdana" w:hAnsi="Verdana"/>
                <w:color w:val="000000"/>
                <w:sz w:val="18"/>
                <w:szCs w:val="18"/>
              </w:rPr>
              <w:t>10X Income AMETF</w:t>
            </w:r>
          </w:p>
        </w:tc>
        <w:tc>
          <w:tcPr>
            <w:tcW w:w="1418" w:type="dxa"/>
            <w:vAlign w:val="center"/>
          </w:tcPr>
          <w:p w14:paraId="507C7FD1" w14:textId="6074D64E" w:rsidR="00822A6E" w:rsidRDefault="00822A6E" w:rsidP="00822A6E">
            <w:pPr>
              <w:spacing w:before="40" w:after="40" w:line="320" w:lineRule="atLeast"/>
              <w:jc w:val="right"/>
              <w:rPr>
                <w:rFonts w:ascii="Verdana" w:hAnsi="Verdana"/>
                <w:color w:val="000000"/>
                <w:sz w:val="18"/>
                <w:szCs w:val="18"/>
              </w:rPr>
            </w:pPr>
            <w:r>
              <w:rPr>
                <w:rFonts w:ascii="Verdana" w:hAnsi="Verdana"/>
                <w:color w:val="000000"/>
                <w:sz w:val="18"/>
                <w:szCs w:val="18"/>
              </w:rPr>
              <w:t>690,7</w:t>
            </w:r>
          </w:p>
        </w:tc>
      </w:tr>
      <w:tr w:rsidR="00822A6E" w:rsidRPr="00AB6CBE" w14:paraId="4E9434F1" w14:textId="77777777" w:rsidTr="00EA42A0">
        <w:tc>
          <w:tcPr>
            <w:tcW w:w="5528" w:type="dxa"/>
            <w:shd w:val="clear" w:color="auto" w:fill="auto"/>
          </w:tcPr>
          <w:p w14:paraId="5BF81198" w14:textId="1A665021" w:rsidR="00822A6E" w:rsidRDefault="00822A6E" w:rsidP="00822A6E">
            <w:pPr>
              <w:spacing w:before="40" w:after="40" w:line="320" w:lineRule="atLeast"/>
              <w:rPr>
                <w:rFonts w:ascii="Verdana" w:hAnsi="Verdana"/>
                <w:color w:val="000000"/>
                <w:sz w:val="18"/>
                <w:szCs w:val="18"/>
              </w:rPr>
            </w:pPr>
            <w:r>
              <w:rPr>
                <w:rFonts w:ascii="Verdana" w:hAnsi="Verdana"/>
                <w:color w:val="000000"/>
                <w:sz w:val="18"/>
                <w:szCs w:val="18"/>
              </w:rPr>
              <w:t>Sygnia Itrix Eurostoxx 50 ETF</w:t>
            </w:r>
          </w:p>
        </w:tc>
        <w:tc>
          <w:tcPr>
            <w:tcW w:w="1418" w:type="dxa"/>
            <w:vAlign w:val="center"/>
          </w:tcPr>
          <w:p w14:paraId="56C7EB21" w14:textId="6FF0EAB9" w:rsidR="00822A6E" w:rsidRDefault="00822A6E" w:rsidP="00822A6E">
            <w:pPr>
              <w:spacing w:before="40" w:after="40" w:line="320" w:lineRule="atLeast"/>
              <w:jc w:val="right"/>
              <w:rPr>
                <w:rFonts w:ascii="Verdana" w:hAnsi="Verdana"/>
                <w:color w:val="000000"/>
                <w:sz w:val="18"/>
                <w:szCs w:val="18"/>
              </w:rPr>
            </w:pPr>
            <w:r>
              <w:rPr>
                <w:rFonts w:ascii="Verdana" w:hAnsi="Verdana"/>
                <w:color w:val="000000"/>
                <w:sz w:val="18"/>
                <w:szCs w:val="18"/>
              </w:rPr>
              <w:t>(636,4)</w:t>
            </w:r>
          </w:p>
        </w:tc>
      </w:tr>
      <w:tr w:rsidR="00822A6E" w:rsidRPr="00AB6CBE" w14:paraId="0A0093A5" w14:textId="77777777" w:rsidTr="00EA42A0">
        <w:tc>
          <w:tcPr>
            <w:tcW w:w="5528" w:type="dxa"/>
            <w:shd w:val="clear" w:color="auto" w:fill="auto"/>
          </w:tcPr>
          <w:p w14:paraId="1A81FD1E" w14:textId="0C60A496" w:rsidR="00822A6E" w:rsidRDefault="00822A6E" w:rsidP="00822A6E">
            <w:pPr>
              <w:spacing w:before="40" w:after="40" w:line="320" w:lineRule="atLeast"/>
              <w:rPr>
                <w:rFonts w:ascii="Verdana" w:hAnsi="Verdana"/>
                <w:color w:val="000000"/>
                <w:sz w:val="18"/>
                <w:szCs w:val="18"/>
              </w:rPr>
            </w:pPr>
            <w:r>
              <w:rPr>
                <w:rFonts w:ascii="Verdana" w:hAnsi="Verdana"/>
                <w:color w:val="000000"/>
                <w:sz w:val="18"/>
                <w:szCs w:val="18"/>
              </w:rPr>
              <w:t>Satrix GOVI ETF</w:t>
            </w:r>
          </w:p>
        </w:tc>
        <w:tc>
          <w:tcPr>
            <w:tcW w:w="1418" w:type="dxa"/>
            <w:vAlign w:val="center"/>
          </w:tcPr>
          <w:p w14:paraId="07D82498" w14:textId="1AA4614E" w:rsidR="00822A6E" w:rsidRDefault="00822A6E" w:rsidP="00822A6E">
            <w:pPr>
              <w:spacing w:before="40" w:after="40" w:line="320" w:lineRule="atLeast"/>
              <w:jc w:val="right"/>
              <w:rPr>
                <w:rFonts w:ascii="Verdana" w:hAnsi="Verdana"/>
                <w:color w:val="000000"/>
                <w:sz w:val="18"/>
                <w:szCs w:val="18"/>
              </w:rPr>
            </w:pPr>
            <w:r>
              <w:rPr>
                <w:rFonts w:ascii="Verdana" w:hAnsi="Verdana"/>
                <w:color w:val="000000"/>
                <w:sz w:val="18"/>
                <w:szCs w:val="18"/>
              </w:rPr>
              <w:t>(671,6)</w:t>
            </w:r>
          </w:p>
        </w:tc>
      </w:tr>
      <w:tr w:rsidR="00822A6E" w:rsidRPr="00AB6CBE" w14:paraId="6209C75C" w14:textId="77777777" w:rsidTr="00EA42A0">
        <w:tc>
          <w:tcPr>
            <w:tcW w:w="5528" w:type="dxa"/>
            <w:shd w:val="clear" w:color="auto" w:fill="auto"/>
          </w:tcPr>
          <w:p w14:paraId="460DC276" w14:textId="5BC64F88" w:rsidR="00822A6E" w:rsidRDefault="00822A6E" w:rsidP="00822A6E">
            <w:pPr>
              <w:spacing w:before="40" w:after="40" w:line="320" w:lineRule="atLeast"/>
              <w:rPr>
                <w:rFonts w:ascii="Verdana" w:hAnsi="Verdana"/>
                <w:color w:val="000000"/>
                <w:sz w:val="18"/>
                <w:szCs w:val="18"/>
              </w:rPr>
            </w:pPr>
            <w:r>
              <w:rPr>
                <w:rFonts w:ascii="Verdana" w:hAnsi="Verdana"/>
                <w:color w:val="000000"/>
                <w:sz w:val="18"/>
                <w:szCs w:val="18"/>
              </w:rPr>
              <w:t>Sygnia Itrix Emerging Markets 50 ETF</w:t>
            </w:r>
          </w:p>
        </w:tc>
        <w:tc>
          <w:tcPr>
            <w:tcW w:w="1418" w:type="dxa"/>
            <w:vAlign w:val="center"/>
          </w:tcPr>
          <w:p w14:paraId="18E9F286" w14:textId="14C2AD52" w:rsidR="00822A6E" w:rsidRDefault="00822A6E" w:rsidP="00822A6E">
            <w:pPr>
              <w:spacing w:before="40" w:after="40" w:line="320" w:lineRule="atLeast"/>
              <w:jc w:val="right"/>
              <w:rPr>
                <w:rFonts w:ascii="Verdana" w:hAnsi="Verdana"/>
                <w:color w:val="000000"/>
                <w:sz w:val="18"/>
                <w:szCs w:val="18"/>
              </w:rPr>
            </w:pPr>
            <w:r>
              <w:rPr>
                <w:rFonts w:ascii="Verdana" w:hAnsi="Verdana"/>
                <w:color w:val="000000"/>
                <w:sz w:val="18"/>
                <w:szCs w:val="18"/>
              </w:rPr>
              <w:t>(2 259,9)</w:t>
            </w:r>
          </w:p>
        </w:tc>
      </w:tr>
      <w:tr w:rsidR="00822A6E" w:rsidRPr="00AB6CBE" w14:paraId="07673A90" w14:textId="77777777" w:rsidTr="00EA42A0">
        <w:tc>
          <w:tcPr>
            <w:tcW w:w="5528" w:type="dxa"/>
            <w:shd w:val="clear" w:color="auto" w:fill="auto"/>
          </w:tcPr>
          <w:p w14:paraId="2FE19FC4" w14:textId="7E0FDE91" w:rsidR="00822A6E" w:rsidRDefault="00822A6E" w:rsidP="00822A6E">
            <w:pPr>
              <w:spacing w:before="40" w:after="40" w:line="320" w:lineRule="atLeast"/>
              <w:rPr>
                <w:rFonts w:ascii="Verdana" w:hAnsi="Verdana"/>
                <w:color w:val="000000"/>
                <w:sz w:val="18"/>
                <w:szCs w:val="18"/>
              </w:rPr>
            </w:pPr>
            <w:r>
              <w:rPr>
                <w:rFonts w:ascii="Verdana" w:hAnsi="Verdana"/>
                <w:color w:val="000000"/>
                <w:sz w:val="18"/>
                <w:szCs w:val="18"/>
              </w:rPr>
              <w:t>NewGold ETF</w:t>
            </w:r>
          </w:p>
        </w:tc>
        <w:tc>
          <w:tcPr>
            <w:tcW w:w="1418" w:type="dxa"/>
            <w:vAlign w:val="center"/>
          </w:tcPr>
          <w:p w14:paraId="7DBAEEC7" w14:textId="0D636D72" w:rsidR="00822A6E" w:rsidRDefault="00822A6E" w:rsidP="00822A6E">
            <w:pPr>
              <w:spacing w:before="40" w:after="40" w:line="320" w:lineRule="atLeast"/>
              <w:jc w:val="right"/>
              <w:rPr>
                <w:rFonts w:ascii="Verdana" w:hAnsi="Verdana"/>
                <w:color w:val="000000"/>
                <w:sz w:val="18"/>
                <w:szCs w:val="18"/>
              </w:rPr>
            </w:pPr>
            <w:r>
              <w:rPr>
                <w:rFonts w:ascii="Verdana" w:hAnsi="Verdana"/>
                <w:color w:val="000000"/>
                <w:sz w:val="18"/>
                <w:szCs w:val="18"/>
              </w:rPr>
              <w:t>(2 923,6)</w:t>
            </w:r>
          </w:p>
        </w:tc>
      </w:tr>
      <w:tr w:rsidR="00822A6E" w:rsidRPr="00AB6CBE" w14:paraId="280F570F" w14:textId="77777777" w:rsidTr="00F804E0">
        <w:tc>
          <w:tcPr>
            <w:tcW w:w="6946" w:type="dxa"/>
            <w:gridSpan w:val="2"/>
            <w:shd w:val="clear" w:color="auto" w:fill="auto"/>
            <w:vAlign w:val="center"/>
          </w:tcPr>
          <w:p w14:paraId="7466D53C" w14:textId="1444B138" w:rsidR="00822A6E" w:rsidRPr="00F804E0" w:rsidRDefault="00822A6E" w:rsidP="00822A6E">
            <w:pPr>
              <w:spacing w:before="40" w:after="40" w:line="280" w:lineRule="atLeast"/>
              <w:rPr>
                <w:rFonts w:ascii="Verdana" w:hAnsi="Verdana"/>
                <w:i/>
                <w:iCs/>
                <w:color w:val="000000"/>
                <w:sz w:val="16"/>
                <w:szCs w:val="16"/>
              </w:rPr>
            </w:pPr>
            <w:r>
              <w:rPr>
                <w:rFonts w:ascii="Verdana" w:hAnsi="Verdana"/>
                <w:i/>
                <w:iCs/>
                <w:color w:val="000000"/>
                <w:sz w:val="16"/>
                <w:szCs w:val="16"/>
              </w:rPr>
              <w:t xml:space="preserve">Source: etfSA Quarterly Survey Securities in Issue and Capital Raised/Redeemed (Dec 2023). </w:t>
            </w:r>
          </w:p>
        </w:tc>
      </w:tr>
    </w:tbl>
    <w:p w14:paraId="1F44375E" w14:textId="77777777" w:rsidR="00980547" w:rsidRDefault="00980547" w:rsidP="002E1517">
      <w:pPr>
        <w:spacing w:after="0" w:line="340" w:lineRule="atLeast"/>
        <w:rPr>
          <w:rFonts w:ascii="Verdana" w:hAnsi="Verdana"/>
          <w:sz w:val="21"/>
          <w:szCs w:val="21"/>
        </w:rPr>
      </w:pPr>
    </w:p>
    <w:p w14:paraId="64580C53" w14:textId="77777777" w:rsidR="00980547" w:rsidRDefault="00980547" w:rsidP="00980547">
      <w:pPr>
        <w:spacing w:after="0" w:line="360" w:lineRule="atLeast"/>
        <w:rPr>
          <w:rFonts w:ascii="Verdana" w:hAnsi="Verdana"/>
          <w:sz w:val="21"/>
          <w:szCs w:val="21"/>
        </w:rPr>
      </w:pPr>
    </w:p>
    <w:p w14:paraId="0BABB54D" w14:textId="170CE273" w:rsidR="00F804E0" w:rsidRDefault="00F804E0" w:rsidP="00980547">
      <w:pPr>
        <w:spacing w:after="0" w:line="360" w:lineRule="atLeast"/>
        <w:rPr>
          <w:rFonts w:ascii="Verdana" w:hAnsi="Verdana"/>
          <w:sz w:val="21"/>
          <w:szCs w:val="21"/>
        </w:rPr>
      </w:pPr>
      <w:r>
        <w:rPr>
          <w:rFonts w:ascii="Verdana" w:hAnsi="Verdana"/>
          <w:sz w:val="21"/>
          <w:szCs w:val="21"/>
        </w:rPr>
        <w:t>Table C highlights that the MSCI World ETF</w:t>
      </w:r>
      <w:r w:rsidR="00980547">
        <w:rPr>
          <w:rFonts w:ascii="Verdana" w:hAnsi="Verdana"/>
          <w:sz w:val="21"/>
          <w:szCs w:val="21"/>
        </w:rPr>
        <w:t>s</w:t>
      </w:r>
      <w:r>
        <w:rPr>
          <w:rFonts w:ascii="Verdana" w:hAnsi="Verdana"/>
          <w:sz w:val="21"/>
          <w:szCs w:val="21"/>
        </w:rPr>
        <w:t xml:space="preserve">, issued by Satrix and Sygnia Itrix, attracted the most new capital.  Satrix MSCI World ETF raised R2 959,8 million for issues of new securities and Sygnia Itrix raised R1 </w:t>
      </w:r>
      <w:r w:rsidR="00980547">
        <w:rPr>
          <w:rFonts w:ascii="Verdana" w:hAnsi="Verdana"/>
          <w:sz w:val="21"/>
          <w:szCs w:val="21"/>
        </w:rPr>
        <w:t>6</w:t>
      </w:r>
      <w:r>
        <w:rPr>
          <w:rFonts w:ascii="Verdana" w:hAnsi="Verdana"/>
          <w:sz w:val="21"/>
          <w:szCs w:val="21"/>
        </w:rPr>
        <w:t>53,9 million f</w:t>
      </w:r>
      <w:r w:rsidR="00980547">
        <w:rPr>
          <w:rFonts w:ascii="Verdana" w:hAnsi="Verdana"/>
          <w:sz w:val="21"/>
          <w:szCs w:val="21"/>
        </w:rPr>
        <w:t>o</w:t>
      </w:r>
      <w:r>
        <w:rPr>
          <w:rFonts w:ascii="Verdana" w:hAnsi="Verdana"/>
          <w:sz w:val="21"/>
          <w:szCs w:val="21"/>
        </w:rPr>
        <w:t xml:space="preserve">r its MSCI World ETF. </w:t>
      </w:r>
    </w:p>
    <w:p w14:paraId="07607CF3" w14:textId="77777777" w:rsidR="00F804E0" w:rsidRDefault="00F804E0" w:rsidP="00980547">
      <w:pPr>
        <w:spacing w:after="0" w:line="360" w:lineRule="atLeast"/>
        <w:rPr>
          <w:rFonts w:ascii="Verdana" w:hAnsi="Verdana"/>
          <w:sz w:val="21"/>
          <w:szCs w:val="21"/>
        </w:rPr>
      </w:pPr>
    </w:p>
    <w:p w14:paraId="725AC8C7" w14:textId="39FE172D" w:rsidR="006B40F7" w:rsidRDefault="00F804E0" w:rsidP="00980547">
      <w:pPr>
        <w:spacing w:after="0" w:line="360" w:lineRule="atLeast"/>
        <w:rPr>
          <w:rFonts w:ascii="Verdana" w:hAnsi="Verdana"/>
          <w:sz w:val="21"/>
          <w:szCs w:val="21"/>
        </w:rPr>
      </w:pPr>
      <w:r>
        <w:rPr>
          <w:rFonts w:ascii="Verdana" w:hAnsi="Verdana"/>
          <w:sz w:val="21"/>
          <w:szCs w:val="21"/>
        </w:rPr>
        <w:t xml:space="preserve">The improvement in global equity markets during the course of 2023, coupled with the weaker rand, encouraged investor interest in global indices and the broadly based MSCI World Index, which invests in global developed country stockmarkets (67,3% in the USA), was preferred by many investors, rather than exposure to single countries, like S&amp;P 500. </w:t>
      </w:r>
    </w:p>
    <w:p w14:paraId="1F8E4905" w14:textId="77777777" w:rsidR="00F804E0" w:rsidRDefault="00F804E0" w:rsidP="00980547">
      <w:pPr>
        <w:spacing w:after="0" w:line="360" w:lineRule="atLeast"/>
        <w:rPr>
          <w:rFonts w:ascii="Verdana" w:hAnsi="Verdana"/>
          <w:sz w:val="21"/>
          <w:szCs w:val="21"/>
        </w:rPr>
      </w:pPr>
    </w:p>
    <w:p w14:paraId="3B779B14" w14:textId="515DDB97" w:rsidR="00F804E0" w:rsidRDefault="00F804E0" w:rsidP="00980547">
      <w:pPr>
        <w:spacing w:after="0" w:line="360" w:lineRule="atLeast"/>
        <w:rPr>
          <w:rFonts w:ascii="Verdana" w:hAnsi="Verdana"/>
          <w:sz w:val="21"/>
          <w:szCs w:val="21"/>
        </w:rPr>
      </w:pPr>
      <w:r>
        <w:rPr>
          <w:rFonts w:ascii="Verdana" w:hAnsi="Verdana"/>
          <w:sz w:val="21"/>
          <w:szCs w:val="21"/>
        </w:rPr>
        <w:t>In early 2023, th</w:t>
      </w:r>
      <w:r w:rsidR="00980547">
        <w:rPr>
          <w:rFonts w:ascii="Verdana" w:hAnsi="Verdana"/>
          <w:sz w:val="21"/>
          <w:szCs w:val="21"/>
        </w:rPr>
        <w:t>ere</w:t>
      </w:r>
      <w:r>
        <w:rPr>
          <w:rFonts w:ascii="Verdana" w:hAnsi="Verdana"/>
          <w:sz w:val="21"/>
          <w:szCs w:val="21"/>
        </w:rPr>
        <w:t xml:space="preserve"> was a significant increase in the issue of new securities by 1nv</w:t>
      </w:r>
      <w:r w:rsidR="00980547">
        <w:rPr>
          <w:rFonts w:ascii="Verdana" w:hAnsi="Verdana"/>
          <w:sz w:val="21"/>
          <w:szCs w:val="21"/>
        </w:rPr>
        <w:t>e</w:t>
      </w:r>
      <w:r>
        <w:rPr>
          <w:rFonts w:ascii="Verdana" w:hAnsi="Verdana"/>
          <w:sz w:val="21"/>
          <w:szCs w:val="21"/>
        </w:rPr>
        <w:t xml:space="preserve">st and NewGold in platinum ETFs, which track the </w:t>
      </w:r>
      <w:r w:rsidR="000F77F8">
        <w:rPr>
          <w:rFonts w:ascii="Verdana" w:hAnsi="Verdana"/>
          <w:sz w:val="21"/>
          <w:szCs w:val="21"/>
        </w:rPr>
        <w:t xml:space="preserve">physical price of platinum bullion.  Reports that the demand for platinum could surge because of </w:t>
      </w:r>
      <w:r w:rsidR="00980547">
        <w:rPr>
          <w:rFonts w:ascii="Verdana" w:hAnsi="Verdana"/>
          <w:sz w:val="21"/>
          <w:szCs w:val="21"/>
        </w:rPr>
        <w:t>its</w:t>
      </w:r>
      <w:r w:rsidR="000F77F8">
        <w:rPr>
          <w:rFonts w:ascii="Verdana" w:hAnsi="Verdana"/>
          <w:sz w:val="21"/>
          <w:szCs w:val="21"/>
        </w:rPr>
        <w:t xml:space="preserve"> use in fuel cells to convert hydrogen to drive internal combustion engines, proved to be premature and the price of platinum metal has subsequently waned.  The NewGold Platinum ETF fared better than the 1nvest Platinum ETF, which recorded redemptions of over R2,3 billion in the fourth quarter of 2023.  For the year as a whole, the NewGold Platinum ETF was able to attract new capital of R1 30</w:t>
      </w:r>
      <w:r w:rsidR="00980547">
        <w:rPr>
          <w:rFonts w:ascii="Verdana" w:hAnsi="Verdana"/>
          <w:sz w:val="21"/>
          <w:szCs w:val="21"/>
        </w:rPr>
        <w:t>7</w:t>
      </w:r>
      <w:r w:rsidR="000F77F8">
        <w:rPr>
          <w:rFonts w:ascii="Verdana" w:hAnsi="Verdana"/>
          <w:sz w:val="21"/>
          <w:szCs w:val="21"/>
        </w:rPr>
        <w:t xml:space="preserve">,2 million. </w:t>
      </w:r>
    </w:p>
    <w:p w14:paraId="5C2AF029" w14:textId="77777777" w:rsidR="000F77F8" w:rsidRDefault="000F77F8" w:rsidP="00980547">
      <w:pPr>
        <w:spacing w:after="0" w:line="360" w:lineRule="atLeast"/>
        <w:rPr>
          <w:rFonts w:ascii="Verdana" w:hAnsi="Verdana"/>
          <w:sz w:val="21"/>
          <w:szCs w:val="21"/>
        </w:rPr>
      </w:pPr>
    </w:p>
    <w:p w14:paraId="669DB1F4" w14:textId="5B6FA38E" w:rsidR="000F77F8" w:rsidRDefault="000F77F8" w:rsidP="00980547">
      <w:pPr>
        <w:spacing w:after="0" w:line="360" w:lineRule="atLeast"/>
        <w:rPr>
          <w:rFonts w:ascii="Verdana" w:hAnsi="Verdana"/>
          <w:sz w:val="21"/>
          <w:szCs w:val="21"/>
        </w:rPr>
      </w:pPr>
      <w:r>
        <w:rPr>
          <w:rFonts w:ascii="Verdana" w:hAnsi="Verdana"/>
          <w:sz w:val="21"/>
          <w:szCs w:val="21"/>
        </w:rPr>
        <w:t>A further indication of the success of 10X in listing additional securities on its existing ETF, was the R1 </w:t>
      </w:r>
      <w:r w:rsidR="00980547">
        <w:rPr>
          <w:rFonts w:ascii="Verdana" w:hAnsi="Verdana"/>
          <w:sz w:val="21"/>
          <w:szCs w:val="21"/>
        </w:rPr>
        <w:t>177</w:t>
      </w:r>
      <w:r>
        <w:rPr>
          <w:rFonts w:ascii="Verdana" w:hAnsi="Verdana"/>
          <w:sz w:val="21"/>
          <w:szCs w:val="21"/>
        </w:rPr>
        <w:t>,</w:t>
      </w:r>
      <w:r w:rsidR="00980547">
        <w:rPr>
          <w:rFonts w:ascii="Verdana" w:hAnsi="Verdana"/>
          <w:sz w:val="21"/>
          <w:szCs w:val="21"/>
        </w:rPr>
        <w:t>3</w:t>
      </w:r>
      <w:r>
        <w:rPr>
          <w:rFonts w:ascii="Verdana" w:hAnsi="Verdana"/>
          <w:sz w:val="21"/>
          <w:szCs w:val="21"/>
        </w:rPr>
        <w:t xml:space="preserve"> million capital raised for the 10X Wealth GOVI ETF and the R1 </w:t>
      </w:r>
      <w:r w:rsidR="00980547">
        <w:rPr>
          <w:rFonts w:ascii="Verdana" w:hAnsi="Verdana"/>
          <w:sz w:val="21"/>
          <w:szCs w:val="21"/>
        </w:rPr>
        <w:t>201</w:t>
      </w:r>
      <w:r>
        <w:rPr>
          <w:rFonts w:ascii="Verdana" w:hAnsi="Verdana"/>
          <w:sz w:val="21"/>
          <w:szCs w:val="21"/>
        </w:rPr>
        <w:t>,</w:t>
      </w:r>
      <w:r w:rsidR="00980547">
        <w:rPr>
          <w:rFonts w:ascii="Verdana" w:hAnsi="Verdana"/>
          <w:sz w:val="21"/>
          <w:szCs w:val="21"/>
        </w:rPr>
        <w:t>5</w:t>
      </w:r>
      <w:r>
        <w:rPr>
          <w:rFonts w:ascii="Verdana" w:hAnsi="Verdana"/>
          <w:sz w:val="21"/>
          <w:szCs w:val="21"/>
        </w:rPr>
        <w:t xml:space="preserve"> million raised for the 10X Global </w:t>
      </w:r>
      <w:r w:rsidR="007A15D3">
        <w:rPr>
          <w:rFonts w:ascii="Verdana" w:hAnsi="Verdana"/>
          <w:sz w:val="21"/>
          <w:szCs w:val="21"/>
        </w:rPr>
        <w:t>Dividend</w:t>
      </w:r>
      <w:r>
        <w:rPr>
          <w:rFonts w:ascii="Verdana" w:hAnsi="Verdana"/>
          <w:sz w:val="21"/>
          <w:szCs w:val="21"/>
        </w:rPr>
        <w:t xml:space="preserve"> Aristocrat ETF.  Two new listings by 10X, the actively managed All Asia AMETF (R822,8 million) and the Income AMETF (R690,7 million|), were </w:t>
      </w:r>
      <w:r w:rsidR="007A15D3">
        <w:rPr>
          <w:rFonts w:ascii="Verdana" w:hAnsi="Verdana"/>
          <w:sz w:val="21"/>
          <w:szCs w:val="21"/>
        </w:rPr>
        <w:t>clear</w:t>
      </w:r>
      <w:r>
        <w:rPr>
          <w:rFonts w:ascii="Verdana" w:hAnsi="Verdana"/>
          <w:sz w:val="21"/>
          <w:szCs w:val="21"/>
        </w:rPr>
        <w:t xml:space="preserve"> indications that such innovative products </w:t>
      </w:r>
      <w:r w:rsidR="00980547">
        <w:rPr>
          <w:rFonts w:ascii="Verdana" w:hAnsi="Verdana"/>
          <w:sz w:val="21"/>
          <w:szCs w:val="21"/>
        </w:rPr>
        <w:t>are</w:t>
      </w:r>
      <w:r>
        <w:rPr>
          <w:rFonts w:ascii="Verdana" w:hAnsi="Verdana"/>
          <w:sz w:val="21"/>
          <w:szCs w:val="21"/>
        </w:rPr>
        <w:t xml:space="preserve"> find</w:t>
      </w:r>
      <w:r w:rsidR="00980547">
        <w:rPr>
          <w:rFonts w:ascii="Verdana" w:hAnsi="Verdana"/>
          <w:sz w:val="21"/>
          <w:szCs w:val="21"/>
        </w:rPr>
        <w:t>ing</w:t>
      </w:r>
      <w:r>
        <w:rPr>
          <w:rFonts w:ascii="Verdana" w:hAnsi="Verdana"/>
          <w:sz w:val="21"/>
          <w:szCs w:val="21"/>
        </w:rPr>
        <w:t xml:space="preserve"> investor support. </w:t>
      </w:r>
    </w:p>
    <w:p w14:paraId="1929427D" w14:textId="77777777" w:rsidR="000F77F8" w:rsidRDefault="000F77F8" w:rsidP="00980547">
      <w:pPr>
        <w:spacing w:after="0" w:line="360" w:lineRule="atLeast"/>
        <w:rPr>
          <w:rFonts w:ascii="Verdana" w:hAnsi="Verdana"/>
          <w:sz w:val="21"/>
          <w:szCs w:val="21"/>
        </w:rPr>
      </w:pPr>
    </w:p>
    <w:p w14:paraId="18C9D313" w14:textId="7E5A35F6" w:rsidR="000F77F8" w:rsidRDefault="000F77F8" w:rsidP="00980547">
      <w:pPr>
        <w:spacing w:after="0" w:line="360" w:lineRule="atLeast"/>
        <w:rPr>
          <w:rFonts w:ascii="Verdana" w:hAnsi="Verdana"/>
          <w:sz w:val="21"/>
          <w:szCs w:val="21"/>
        </w:rPr>
      </w:pPr>
      <w:r>
        <w:rPr>
          <w:rFonts w:ascii="Verdana" w:hAnsi="Verdana"/>
          <w:sz w:val="21"/>
          <w:szCs w:val="21"/>
        </w:rPr>
        <w:t xml:space="preserve">With regard to delisting of existing ETF </w:t>
      </w:r>
      <w:r w:rsidR="007A15D3">
        <w:rPr>
          <w:rFonts w:ascii="Verdana" w:hAnsi="Verdana"/>
          <w:sz w:val="21"/>
          <w:szCs w:val="21"/>
        </w:rPr>
        <w:t>securities</w:t>
      </w:r>
      <w:r>
        <w:rPr>
          <w:rFonts w:ascii="Verdana" w:hAnsi="Verdana"/>
          <w:sz w:val="21"/>
          <w:szCs w:val="21"/>
        </w:rPr>
        <w:t>, the NewGold ETF, which tracks the gold bullion price, saw R2 923,6 million securities delisted</w:t>
      </w:r>
      <w:r w:rsidR="00980547">
        <w:rPr>
          <w:rFonts w:ascii="Verdana" w:hAnsi="Verdana"/>
          <w:sz w:val="21"/>
          <w:szCs w:val="21"/>
        </w:rPr>
        <w:t>,</w:t>
      </w:r>
      <w:r>
        <w:rPr>
          <w:rFonts w:ascii="Verdana" w:hAnsi="Verdana"/>
          <w:sz w:val="21"/>
          <w:szCs w:val="21"/>
        </w:rPr>
        <w:t xml:space="preserve"> and the Sygnia Itrix Emerging Markets 50 ETF, which experienced a delisting of R2 259,9 million in capital, were the stand outs.  The EM 50 delisting appears to be an asset allocation swap by institutional investor</w:t>
      </w:r>
      <w:r w:rsidR="00980547">
        <w:rPr>
          <w:rFonts w:ascii="Verdana" w:hAnsi="Verdana"/>
          <w:sz w:val="21"/>
          <w:szCs w:val="21"/>
        </w:rPr>
        <w:t>s</w:t>
      </w:r>
      <w:r>
        <w:rPr>
          <w:rFonts w:ascii="Verdana" w:hAnsi="Verdana"/>
          <w:sz w:val="21"/>
          <w:szCs w:val="21"/>
        </w:rPr>
        <w:t xml:space="preserve"> fr</w:t>
      </w:r>
      <w:r w:rsidR="00980547">
        <w:rPr>
          <w:rFonts w:ascii="Verdana" w:hAnsi="Verdana"/>
          <w:sz w:val="21"/>
          <w:szCs w:val="21"/>
        </w:rPr>
        <w:t>om</w:t>
      </w:r>
      <w:r>
        <w:rPr>
          <w:rFonts w:ascii="Verdana" w:hAnsi="Verdana"/>
          <w:sz w:val="21"/>
          <w:szCs w:val="21"/>
        </w:rPr>
        <w:t xml:space="preserve"> emerging markets exposure to exposure in the Sygnia Itrix MSCI World ETF.  </w:t>
      </w:r>
    </w:p>
    <w:p w14:paraId="5E6C32A2" w14:textId="77777777" w:rsidR="00AF4229" w:rsidRDefault="00AF4229">
      <w:pPr>
        <w:rPr>
          <w:rFonts w:ascii="Verdana" w:hAnsi="Verdana"/>
          <w:b/>
          <w:bCs/>
          <w:color w:val="C00000"/>
        </w:rPr>
      </w:pPr>
    </w:p>
    <w:p w14:paraId="4DB4094A" w14:textId="77777777" w:rsidR="00AF4229" w:rsidRDefault="00AF4229" w:rsidP="00AF4229">
      <w:pPr>
        <w:pBdr>
          <w:bottom w:val="single" w:sz="12" w:space="1" w:color="C00000"/>
        </w:pBdr>
        <w:rPr>
          <w:rFonts w:ascii="Verdana" w:hAnsi="Verdana"/>
          <w:b/>
          <w:bCs/>
          <w:color w:val="C00000"/>
        </w:rPr>
      </w:pPr>
    </w:p>
    <w:p w14:paraId="0F0A6097" w14:textId="56503774" w:rsidR="00980547" w:rsidRDefault="00980547">
      <w:pPr>
        <w:rPr>
          <w:rFonts w:ascii="Verdana" w:hAnsi="Verdana"/>
          <w:b/>
          <w:bCs/>
          <w:color w:val="C00000"/>
        </w:rPr>
      </w:pPr>
      <w:r>
        <w:rPr>
          <w:rFonts w:ascii="Verdana" w:hAnsi="Verdana"/>
          <w:b/>
          <w:bCs/>
          <w:color w:val="C00000"/>
        </w:rPr>
        <w:br w:type="page"/>
      </w:r>
    </w:p>
    <w:p w14:paraId="65B0864B" w14:textId="77777777" w:rsidR="002E1517" w:rsidRDefault="002E1517" w:rsidP="002E1517">
      <w:pPr>
        <w:spacing w:after="0" w:line="240" w:lineRule="auto"/>
        <w:rPr>
          <w:rFonts w:ascii="Verdana" w:hAnsi="Verdana"/>
          <w:b/>
          <w:bCs/>
          <w:color w:val="C00000"/>
        </w:rPr>
      </w:pPr>
      <w:r w:rsidRPr="007A7050">
        <w:rPr>
          <w:rFonts w:ascii="Verdana" w:hAnsi="Verdana"/>
          <w:b/>
          <w:bCs/>
          <w:color w:val="C00000"/>
        </w:rPr>
        <w:lastRenderedPageBreak/>
        <w:t xml:space="preserve">Snapshot of the SA ETP Industry as at </w:t>
      </w:r>
      <w:r>
        <w:rPr>
          <w:rFonts w:ascii="Verdana" w:hAnsi="Verdana"/>
          <w:b/>
          <w:bCs/>
          <w:color w:val="C00000"/>
        </w:rPr>
        <w:t>29</w:t>
      </w:r>
      <w:r w:rsidRPr="007A7050">
        <w:rPr>
          <w:rFonts w:ascii="Verdana" w:hAnsi="Verdana"/>
          <w:b/>
          <w:bCs/>
          <w:color w:val="C00000"/>
        </w:rPr>
        <w:t xml:space="preserve"> </w:t>
      </w:r>
      <w:r>
        <w:rPr>
          <w:rFonts w:ascii="Verdana" w:hAnsi="Verdana"/>
          <w:b/>
          <w:bCs/>
          <w:color w:val="C00000"/>
        </w:rPr>
        <w:t>December</w:t>
      </w:r>
      <w:r w:rsidRPr="007A7050">
        <w:rPr>
          <w:rFonts w:ascii="Verdana" w:hAnsi="Verdana"/>
          <w:b/>
          <w:bCs/>
          <w:color w:val="C00000"/>
        </w:rPr>
        <w:t xml:space="preserve"> 20</w:t>
      </w:r>
      <w:r>
        <w:rPr>
          <w:rFonts w:ascii="Verdana" w:hAnsi="Verdana"/>
          <w:b/>
          <w:bCs/>
          <w:color w:val="C00000"/>
        </w:rPr>
        <w:t>23</w:t>
      </w:r>
    </w:p>
    <w:p w14:paraId="1958CFA2" w14:textId="5FCE61A6" w:rsidR="00833166" w:rsidRPr="00833166" w:rsidRDefault="00833166" w:rsidP="00833166">
      <w:pPr>
        <w:spacing w:before="120" w:after="120" w:line="320" w:lineRule="atLeast"/>
        <w:rPr>
          <w:rFonts w:ascii="Verdana" w:hAnsi="Verdana"/>
          <w:b/>
          <w:bCs/>
          <w:color w:val="000000" w:themeColor="text1"/>
          <w:sz w:val="21"/>
          <w:szCs w:val="21"/>
        </w:rPr>
      </w:pPr>
      <w:r>
        <w:rPr>
          <w:rFonts w:ascii="Verdana" w:hAnsi="Verdana"/>
          <w:b/>
          <w:bCs/>
          <w:color w:val="000000" w:themeColor="text1"/>
          <w:sz w:val="21"/>
          <w:szCs w:val="21"/>
        </w:rPr>
        <w:t xml:space="preserve">Table </w:t>
      </w:r>
      <w:r w:rsidR="00EA42A0">
        <w:rPr>
          <w:rFonts w:ascii="Verdana" w:hAnsi="Verdana"/>
          <w:b/>
          <w:bCs/>
          <w:color w:val="000000" w:themeColor="text1"/>
          <w:sz w:val="21"/>
          <w:szCs w:val="21"/>
        </w:rPr>
        <w:t>D</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851"/>
        <w:gridCol w:w="709"/>
        <w:gridCol w:w="708"/>
        <w:gridCol w:w="709"/>
        <w:gridCol w:w="709"/>
        <w:gridCol w:w="1134"/>
        <w:gridCol w:w="992"/>
        <w:gridCol w:w="1134"/>
        <w:gridCol w:w="992"/>
        <w:gridCol w:w="1276"/>
      </w:tblGrid>
      <w:tr w:rsidR="006015AB" w:rsidRPr="00AB6CBE" w14:paraId="1D20FF11" w14:textId="77777777" w:rsidTr="00893171">
        <w:tc>
          <w:tcPr>
            <w:tcW w:w="10490" w:type="dxa"/>
            <w:gridSpan w:val="12"/>
            <w:shd w:val="clear" w:color="auto" w:fill="C00000"/>
            <w:vAlign w:val="center"/>
          </w:tcPr>
          <w:p w14:paraId="626F61D9" w14:textId="77777777" w:rsidR="006015AB" w:rsidRPr="003B4F95" w:rsidRDefault="006015AB" w:rsidP="00754CF9">
            <w:pPr>
              <w:spacing w:before="40" w:after="60" w:line="280" w:lineRule="atLeast"/>
              <w:jc w:val="center"/>
              <w:rPr>
                <w:rFonts w:ascii="Verdana" w:hAnsi="Verdana"/>
                <w:b/>
                <w:color w:val="FFFFFF"/>
                <w:sz w:val="18"/>
                <w:szCs w:val="18"/>
              </w:rPr>
            </w:pPr>
            <w:r w:rsidRPr="003B4F95">
              <w:rPr>
                <w:rFonts w:ascii="Verdana" w:hAnsi="Verdana"/>
                <w:b/>
                <w:color w:val="FFFFFF"/>
                <w:sz w:val="18"/>
                <w:szCs w:val="18"/>
              </w:rPr>
              <w:t>The South African Exchange Traded Product Industry</w:t>
            </w:r>
          </w:p>
          <w:p w14:paraId="6609B2E6" w14:textId="6B7F5913" w:rsidR="006015AB" w:rsidRPr="003B4F95" w:rsidRDefault="006015AB" w:rsidP="00754CF9">
            <w:pPr>
              <w:spacing w:before="40" w:after="60" w:line="280" w:lineRule="atLeast"/>
              <w:jc w:val="center"/>
              <w:rPr>
                <w:rFonts w:ascii="Verdana" w:hAnsi="Verdana"/>
                <w:b/>
                <w:color w:val="FFFFFF"/>
                <w:sz w:val="18"/>
                <w:szCs w:val="18"/>
              </w:rPr>
            </w:pPr>
            <w:r w:rsidRPr="003B4F95">
              <w:rPr>
                <w:rFonts w:ascii="Verdana" w:hAnsi="Verdana"/>
                <w:b/>
                <w:color w:val="FFFFFF"/>
                <w:sz w:val="18"/>
                <w:szCs w:val="18"/>
              </w:rPr>
              <w:t xml:space="preserve">(as at </w:t>
            </w:r>
            <w:r w:rsidR="007319EA">
              <w:rPr>
                <w:rFonts w:ascii="Verdana" w:hAnsi="Verdana"/>
                <w:b/>
                <w:color w:val="FFFFFF"/>
                <w:sz w:val="18"/>
                <w:szCs w:val="18"/>
              </w:rPr>
              <w:t>29</w:t>
            </w:r>
            <w:r>
              <w:rPr>
                <w:rFonts w:ascii="Verdana" w:hAnsi="Verdana"/>
                <w:b/>
                <w:color w:val="FFFFFF"/>
                <w:sz w:val="18"/>
                <w:szCs w:val="18"/>
              </w:rPr>
              <w:t xml:space="preserve"> </w:t>
            </w:r>
            <w:r w:rsidR="000F77F8">
              <w:rPr>
                <w:rFonts w:ascii="Verdana" w:hAnsi="Verdana"/>
                <w:b/>
                <w:color w:val="FFFFFF"/>
                <w:sz w:val="18"/>
                <w:szCs w:val="18"/>
              </w:rPr>
              <w:t>December</w:t>
            </w:r>
            <w:r w:rsidRPr="003B4F95">
              <w:rPr>
                <w:rFonts w:ascii="Verdana" w:hAnsi="Verdana"/>
                <w:b/>
                <w:color w:val="FFFFFF"/>
                <w:sz w:val="18"/>
                <w:szCs w:val="18"/>
              </w:rPr>
              <w:t xml:space="preserve"> 20</w:t>
            </w:r>
            <w:r>
              <w:rPr>
                <w:rFonts w:ascii="Verdana" w:hAnsi="Verdana"/>
                <w:b/>
                <w:color w:val="FFFFFF"/>
                <w:sz w:val="18"/>
                <w:szCs w:val="18"/>
              </w:rPr>
              <w:t>2</w:t>
            </w:r>
            <w:r w:rsidR="006C3C9A">
              <w:rPr>
                <w:rFonts w:ascii="Verdana" w:hAnsi="Verdana"/>
                <w:b/>
                <w:color w:val="FFFFFF"/>
                <w:sz w:val="18"/>
                <w:szCs w:val="18"/>
              </w:rPr>
              <w:t>3</w:t>
            </w:r>
            <w:r w:rsidRPr="003B4F95">
              <w:rPr>
                <w:rFonts w:ascii="Verdana" w:hAnsi="Verdana"/>
                <w:b/>
                <w:color w:val="FFFFFF"/>
                <w:sz w:val="18"/>
                <w:szCs w:val="18"/>
              </w:rPr>
              <w:t>)</w:t>
            </w:r>
          </w:p>
        </w:tc>
      </w:tr>
      <w:tr w:rsidR="00893171" w:rsidRPr="00AB6CBE" w14:paraId="76BF6CAD" w14:textId="77777777" w:rsidTr="0098785E">
        <w:trPr>
          <w:trHeight w:val="311"/>
        </w:trPr>
        <w:tc>
          <w:tcPr>
            <w:tcW w:w="709" w:type="dxa"/>
            <w:vMerge w:val="restart"/>
            <w:shd w:val="clear" w:color="auto" w:fill="4C4C4C"/>
            <w:vAlign w:val="center"/>
          </w:tcPr>
          <w:p w14:paraId="15E5FD07" w14:textId="77777777" w:rsidR="006015AB" w:rsidRPr="00893171" w:rsidRDefault="006015AB" w:rsidP="00754CF9">
            <w:pPr>
              <w:spacing w:before="40" w:after="60" w:line="280" w:lineRule="atLeast"/>
              <w:rPr>
                <w:rFonts w:ascii="Verdana" w:hAnsi="Verdana"/>
                <w:b/>
                <w:color w:val="FFFFFF"/>
                <w:sz w:val="16"/>
                <w:szCs w:val="16"/>
              </w:rPr>
            </w:pPr>
          </w:p>
        </w:tc>
        <w:tc>
          <w:tcPr>
            <w:tcW w:w="1418" w:type="dxa"/>
            <w:gridSpan w:val="2"/>
            <w:vMerge w:val="restart"/>
            <w:shd w:val="clear" w:color="auto" w:fill="4C4C4C"/>
            <w:vAlign w:val="center"/>
          </w:tcPr>
          <w:p w14:paraId="3328C4D1" w14:textId="77777777" w:rsidR="006015AB" w:rsidRPr="008870CE" w:rsidRDefault="006015AB" w:rsidP="00754CF9">
            <w:pPr>
              <w:spacing w:before="40" w:after="60" w:line="280" w:lineRule="atLeast"/>
              <w:rPr>
                <w:rFonts w:ascii="Verdana" w:hAnsi="Verdana"/>
                <w:b/>
                <w:color w:val="FFFFFF"/>
                <w:sz w:val="14"/>
                <w:szCs w:val="14"/>
              </w:rPr>
            </w:pPr>
            <w:r w:rsidRPr="008870CE">
              <w:rPr>
                <w:rFonts w:ascii="Verdana" w:hAnsi="Verdana"/>
                <w:b/>
                <w:color w:val="FFFFFF"/>
                <w:sz w:val="14"/>
                <w:szCs w:val="14"/>
              </w:rPr>
              <w:t>Issuer</w:t>
            </w:r>
          </w:p>
        </w:tc>
        <w:tc>
          <w:tcPr>
            <w:tcW w:w="2835" w:type="dxa"/>
            <w:gridSpan w:val="4"/>
            <w:shd w:val="clear" w:color="auto" w:fill="4C4C4C"/>
            <w:vAlign w:val="center"/>
          </w:tcPr>
          <w:p w14:paraId="3E136682" w14:textId="77777777" w:rsidR="006015AB" w:rsidRPr="008870CE" w:rsidRDefault="006015AB" w:rsidP="00754CF9">
            <w:pPr>
              <w:spacing w:before="40" w:after="60" w:line="280" w:lineRule="atLeast"/>
              <w:jc w:val="center"/>
              <w:rPr>
                <w:rFonts w:ascii="Verdana" w:hAnsi="Verdana"/>
                <w:b/>
                <w:color w:val="FFFFFF"/>
                <w:sz w:val="14"/>
                <w:szCs w:val="14"/>
              </w:rPr>
            </w:pPr>
            <w:r w:rsidRPr="008870CE">
              <w:rPr>
                <w:rFonts w:ascii="Verdana" w:hAnsi="Verdana"/>
                <w:b/>
                <w:color w:val="FFFFFF"/>
                <w:sz w:val="14"/>
                <w:szCs w:val="14"/>
              </w:rPr>
              <w:t>Number of Products</w:t>
            </w:r>
          </w:p>
        </w:tc>
        <w:tc>
          <w:tcPr>
            <w:tcW w:w="4252" w:type="dxa"/>
            <w:gridSpan w:val="4"/>
            <w:shd w:val="clear" w:color="auto" w:fill="4C4C4C"/>
            <w:vAlign w:val="center"/>
          </w:tcPr>
          <w:p w14:paraId="0950683D" w14:textId="77777777" w:rsidR="006015AB" w:rsidRPr="008870CE" w:rsidRDefault="006015AB" w:rsidP="00754CF9">
            <w:pPr>
              <w:spacing w:before="40" w:after="60" w:line="280" w:lineRule="atLeast"/>
              <w:jc w:val="center"/>
              <w:rPr>
                <w:rFonts w:ascii="Verdana" w:hAnsi="Verdana"/>
                <w:b/>
                <w:color w:val="FFFFFF"/>
                <w:sz w:val="14"/>
                <w:szCs w:val="14"/>
              </w:rPr>
            </w:pPr>
            <w:r w:rsidRPr="008870CE">
              <w:rPr>
                <w:rFonts w:ascii="Verdana" w:hAnsi="Verdana"/>
                <w:b/>
                <w:color w:val="FFFFFF"/>
                <w:sz w:val="14"/>
                <w:szCs w:val="14"/>
              </w:rPr>
              <w:t>Value (Market Cap) of Shares in Issue (Rm)</w:t>
            </w:r>
          </w:p>
        </w:tc>
        <w:tc>
          <w:tcPr>
            <w:tcW w:w="1276" w:type="dxa"/>
            <w:vMerge w:val="restart"/>
            <w:shd w:val="clear" w:color="auto" w:fill="4C4C4C"/>
            <w:vAlign w:val="center"/>
          </w:tcPr>
          <w:p w14:paraId="6CBBABEC" w14:textId="77777777" w:rsidR="006015AB" w:rsidRPr="008870CE" w:rsidRDefault="006015AB" w:rsidP="00D74A04">
            <w:pPr>
              <w:spacing w:before="40" w:after="60" w:line="320" w:lineRule="atLeast"/>
              <w:jc w:val="right"/>
              <w:rPr>
                <w:rFonts w:ascii="Verdana" w:hAnsi="Verdana"/>
                <w:b/>
                <w:color w:val="FFFFFF"/>
                <w:sz w:val="14"/>
                <w:szCs w:val="14"/>
              </w:rPr>
            </w:pPr>
            <w:r w:rsidRPr="008870CE">
              <w:rPr>
                <w:rFonts w:ascii="Verdana" w:hAnsi="Verdana"/>
                <w:b/>
                <w:color w:val="FFFFFF"/>
                <w:sz w:val="13"/>
                <w:szCs w:val="13"/>
              </w:rPr>
              <w:t>Total Market Capitalisation</w:t>
            </w:r>
            <w:r w:rsidRPr="008870CE">
              <w:rPr>
                <w:rFonts w:ascii="Verdana" w:hAnsi="Verdana"/>
                <w:b/>
                <w:color w:val="FFFFFF"/>
                <w:sz w:val="14"/>
                <w:szCs w:val="14"/>
              </w:rPr>
              <w:t xml:space="preserve"> </w:t>
            </w:r>
            <w:r w:rsidRPr="008870CE">
              <w:rPr>
                <w:rFonts w:ascii="Verdana" w:hAnsi="Verdana"/>
                <w:b/>
                <w:color w:val="FFFFFF"/>
                <w:sz w:val="13"/>
                <w:szCs w:val="13"/>
              </w:rPr>
              <w:t>(Rm)</w:t>
            </w:r>
          </w:p>
        </w:tc>
      </w:tr>
      <w:tr w:rsidR="00717144" w:rsidRPr="00AB6CBE" w14:paraId="17CB071B" w14:textId="77777777" w:rsidTr="0098785E">
        <w:trPr>
          <w:trHeight w:val="311"/>
        </w:trPr>
        <w:tc>
          <w:tcPr>
            <w:tcW w:w="709" w:type="dxa"/>
            <w:vMerge/>
            <w:shd w:val="clear" w:color="auto" w:fill="4C4C4C"/>
            <w:vAlign w:val="center"/>
          </w:tcPr>
          <w:p w14:paraId="28B91113" w14:textId="77777777" w:rsidR="00893171" w:rsidRPr="003B4F95" w:rsidRDefault="00893171" w:rsidP="00893171">
            <w:pPr>
              <w:spacing w:before="40" w:after="60" w:line="320" w:lineRule="atLeast"/>
              <w:rPr>
                <w:rFonts w:ascii="Verdana" w:hAnsi="Verdana"/>
                <w:b/>
                <w:color w:val="FFFFFF"/>
                <w:sz w:val="18"/>
                <w:szCs w:val="18"/>
              </w:rPr>
            </w:pPr>
          </w:p>
        </w:tc>
        <w:tc>
          <w:tcPr>
            <w:tcW w:w="1418" w:type="dxa"/>
            <w:gridSpan w:val="2"/>
            <w:vMerge/>
            <w:shd w:val="clear" w:color="auto" w:fill="4C4C4C"/>
          </w:tcPr>
          <w:p w14:paraId="5ED0D2DA" w14:textId="77777777" w:rsidR="00893171" w:rsidRPr="008870CE" w:rsidRDefault="00893171" w:rsidP="00893171">
            <w:pPr>
              <w:spacing w:before="40" w:after="60" w:line="320" w:lineRule="atLeast"/>
              <w:rPr>
                <w:rFonts w:ascii="Verdana" w:hAnsi="Verdana"/>
                <w:b/>
                <w:color w:val="FFFFFF"/>
                <w:sz w:val="14"/>
                <w:szCs w:val="14"/>
              </w:rPr>
            </w:pPr>
          </w:p>
        </w:tc>
        <w:tc>
          <w:tcPr>
            <w:tcW w:w="709" w:type="dxa"/>
            <w:shd w:val="clear" w:color="auto" w:fill="4C4C4C"/>
            <w:vAlign w:val="center"/>
          </w:tcPr>
          <w:p w14:paraId="0C35E3F1" w14:textId="77777777" w:rsidR="00893171" w:rsidRPr="008870CE" w:rsidRDefault="00893171" w:rsidP="00893171">
            <w:pPr>
              <w:spacing w:before="40" w:after="60" w:line="280" w:lineRule="atLeast"/>
              <w:jc w:val="center"/>
              <w:rPr>
                <w:rFonts w:ascii="Verdana" w:hAnsi="Verdana"/>
                <w:b/>
                <w:color w:val="FFFFFF"/>
                <w:sz w:val="14"/>
                <w:szCs w:val="14"/>
              </w:rPr>
            </w:pPr>
            <w:r w:rsidRPr="008870CE">
              <w:rPr>
                <w:rFonts w:ascii="Verdana" w:hAnsi="Verdana"/>
                <w:b/>
                <w:color w:val="FFFFFF"/>
                <w:sz w:val="14"/>
                <w:szCs w:val="14"/>
              </w:rPr>
              <w:t>ETFs</w:t>
            </w:r>
          </w:p>
        </w:tc>
        <w:tc>
          <w:tcPr>
            <w:tcW w:w="708" w:type="dxa"/>
            <w:shd w:val="clear" w:color="auto" w:fill="4C4C4C"/>
            <w:vAlign w:val="center"/>
          </w:tcPr>
          <w:p w14:paraId="43417E08" w14:textId="77777777" w:rsidR="00893171" w:rsidRPr="008870CE" w:rsidRDefault="00893171" w:rsidP="00893171">
            <w:pPr>
              <w:spacing w:before="40" w:after="60" w:line="280" w:lineRule="atLeast"/>
              <w:jc w:val="center"/>
              <w:rPr>
                <w:rFonts w:ascii="Verdana" w:hAnsi="Verdana"/>
                <w:b/>
                <w:color w:val="FFFFFF"/>
                <w:sz w:val="14"/>
                <w:szCs w:val="14"/>
              </w:rPr>
            </w:pPr>
            <w:r w:rsidRPr="008870CE">
              <w:rPr>
                <w:rFonts w:ascii="Verdana" w:hAnsi="Verdana"/>
                <w:b/>
                <w:color w:val="FFFFFF"/>
                <w:sz w:val="14"/>
                <w:szCs w:val="14"/>
              </w:rPr>
              <w:t>ETNs</w:t>
            </w:r>
          </w:p>
        </w:tc>
        <w:tc>
          <w:tcPr>
            <w:tcW w:w="709" w:type="dxa"/>
            <w:shd w:val="clear" w:color="auto" w:fill="4C4C4C"/>
            <w:vAlign w:val="center"/>
          </w:tcPr>
          <w:p w14:paraId="704E32E4" w14:textId="77777777" w:rsidR="00893171" w:rsidRPr="008870CE" w:rsidRDefault="00893171" w:rsidP="00893171">
            <w:pPr>
              <w:spacing w:before="40" w:after="60" w:line="280" w:lineRule="atLeast"/>
              <w:jc w:val="center"/>
              <w:rPr>
                <w:rFonts w:ascii="Verdana" w:hAnsi="Verdana"/>
                <w:b/>
                <w:color w:val="FFFFFF"/>
                <w:sz w:val="14"/>
                <w:szCs w:val="14"/>
              </w:rPr>
            </w:pPr>
            <w:r w:rsidRPr="008870CE">
              <w:rPr>
                <w:rFonts w:ascii="Verdana" w:hAnsi="Verdana"/>
                <w:b/>
                <w:color w:val="FFFFFF"/>
                <w:sz w:val="14"/>
                <w:szCs w:val="14"/>
              </w:rPr>
              <w:t>AMCs</w:t>
            </w:r>
          </w:p>
        </w:tc>
        <w:tc>
          <w:tcPr>
            <w:tcW w:w="709" w:type="dxa"/>
            <w:shd w:val="clear" w:color="auto" w:fill="4C4C4C"/>
            <w:vAlign w:val="center"/>
          </w:tcPr>
          <w:p w14:paraId="0A7659DD" w14:textId="45BC07EE" w:rsidR="00893171" w:rsidRPr="008870CE" w:rsidRDefault="00893171" w:rsidP="00893171">
            <w:pPr>
              <w:spacing w:before="40" w:after="60" w:line="280" w:lineRule="atLeast"/>
              <w:jc w:val="center"/>
              <w:rPr>
                <w:rFonts w:ascii="Verdana" w:hAnsi="Verdana"/>
                <w:b/>
                <w:color w:val="FFFFFF"/>
                <w:sz w:val="14"/>
                <w:szCs w:val="14"/>
              </w:rPr>
            </w:pPr>
            <w:r w:rsidRPr="008870CE">
              <w:rPr>
                <w:rFonts w:ascii="Verdana" w:hAnsi="Verdana"/>
                <w:b/>
                <w:color w:val="FFFFFF"/>
                <w:sz w:val="14"/>
                <w:szCs w:val="14"/>
              </w:rPr>
              <w:t>AM ETFs</w:t>
            </w:r>
          </w:p>
        </w:tc>
        <w:tc>
          <w:tcPr>
            <w:tcW w:w="1134" w:type="dxa"/>
            <w:shd w:val="clear" w:color="auto" w:fill="4C4C4C"/>
            <w:vAlign w:val="center"/>
          </w:tcPr>
          <w:p w14:paraId="7962276F" w14:textId="77777777" w:rsidR="00893171" w:rsidRPr="008870CE" w:rsidRDefault="00893171" w:rsidP="00893171">
            <w:pPr>
              <w:spacing w:before="40" w:after="60" w:line="280" w:lineRule="atLeast"/>
              <w:jc w:val="right"/>
              <w:rPr>
                <w:rFonts w:ascii="Verdana" w:hAnsi="Verdana"/>
                <w:b/>
                <w:color w:val="FFFFFF"/>
                <w:sz w:val="14"/>
                <w:szCs w:val="14"/>
              </w:rPr>
            </w:pPr>
            <w:r w:rsidRPr="008870CE">
              <w:rPr>
                <w:rFonts w:ascii="Verdana" w:hAnsi="Verdana"/>
                <w:b/>
                <w:color w:val="FFFFFF"/>
                <w:sz w:val="14"/>
                <w:szCs w:val="14"/>
              </w:rPr>
              <w:t>ETFs</w:t>
            </w:r>
          </w:p>
        </w:tc>
        <w:tc>
          <w:tcPr>
            <w:tcW w:w="992" w:type="dxa"/>
            <w:shd w:val="clear" w:color="auto" w:fill="4C4C4C"/>
            <w:vAlign w:val="center"/>
          </w:tcPr>
          <w:p w14:paraId="6498964E" w14:textId="77777777" w:rsidR="00893171" w:rsidRPr="008870CE" w:rsidRDefault="00893171" w:rsidP="00893171">
            <w:pPr>
              <w:spacing w:before="40" w:after="60" w:line="280" w:lineRule="atLeast"/>
              <w:jc w:val="right"/>
              <w:rPr>
                <w:rFonts w:ascii="Verdana" w:hAnsi="Verdana"/>
                <w:b/>
                <w:color w:val="FFFFFF"/>
                <w:sz w:val="14"/>
                <w:szCs w:val="14"/>
              </w:rPr>
            </w:pPr>
            <w:r w:rsidRPr="008870CE">
              <w:rPr>
                <w:rFonts w:ascii="Verdana" w:hAnsi="Verdana"/>
                <w:b/>
                <w:color w:val="FFFFFF"/>
                <w:sz w:val="14"/>
                <w:szCs w:val="14"/>
              </w:rPr>
              <w:t>ETNs</w:t>
            </w:r>
          </w:p>
        </w:tc>
        <w:tc>
          <w:tcPr>
            <w:tcW w:w="1134" w:type="dxa"/>
            <w:shd w:val="clear" w:color="auto" w:fill="4C4C4C"/>
            <w:vAlign w:val="center"/>
          </w:tcPr>
          <w:p w14:paraId="1084EAF9" w14:textId="77777777" w:rsidR="00893171" w:rsidRPr="008870CE" w:rsidRDefault="00893171" w:rsidP="00893171">
            <w:pPr>
              <w:spacing w:before="40" w:after="60" w:line="280" w:lineRule="atLeast"/>
              <w:jc w:val="right"/>
              <w:rPr>
                <w:rFonts w:ascii="Verdana" w:hAnsi="Verdana"/>
                <w:b/>
                <w:color w:val="FFFFFF"/>
                <w:sz w:val="14"/>
                <w:szCs w:val="14"/>
              </w:rPr>
            </w:pPr>
            <w:r w:rsidRPr="008870CE">
              <w:rPr>
                <w:rFonts w:ascii="Verdana" w:hAnsi="Verdana"/>
                <w:b/>
                <w:color w:val="FFFFFF"/>
                <w:sz w:val="14"/>
                <w:szCs w:val="14"/>
              </w:rPr>
              <w:t>AMCs</w:t>
            </w:r>
          </w:p>
        </w:tc>
        <w:tc>
          <w:tcPr>
            <w:tcW w:w="992" w:type="dxa"/>
            <w:shd w:val="clear" w:color="auto" w:fill="4C4C4C"/>
            <w:vAlign w:val="center"/>
          </w:tcPr>
          <w:p w14:paraId="458FB759" w14:textId="59891C30" w:rsidR="00893171" w:rsidRPr="008870CE" w:rsidRDefault="00893171" w:rsidP="00893171">
            <w:pPr>
              <w:spacing w:before="40" w:after="60" w:line="280" w:lineRule="atLeast"/>
              <w:jc w:val="right"/>
              <w:rPr>
                <w:rFonts w:ascii="Verdana" w:hAnsi="Verdana"/>
                <w:b/>
                <w:color w:val="FFFFFF"/>
                <w:sz w:val="14"/>
                <w:szCs w:val="14"/>
              </w:rPr>
            </w:pPr>
            <w:r w:rsidRPr="008870CE">
              <w:rPr>
                <w:rFonts w:ascii="Verdana" w:hAnsi="Verdana"/>
                <w:b/>
                <w:color w:val="FFFFFF"/>
                <w:sz w:val="14"/>
                <w:szCs w:val="14"/>
              </w:rPr>
              <w:t>AM ETFs</w:t>
            </w:r>
          </w:p>
        </w:tc>
        <w:tc>
          <w:tcPr>
            <w:tcW w:w="1276" w:type="dxa"/>
            <w:vMerge/>
            <w:shd w:val="clear" w:color="auto" w:fill="4C4C4C"/>
            <w:vAlign w:val="center"/>
          </w:tcPr>
          <w:p w14:paraId="3579AC12" w14:textId="77777777" w:rsidR="00893171" w:rsidRPr="003B4F95" w:rsidRDefault="00893171" w:rsidP="00893171">
            <w:pPr>
              <w:spacing w:before="40" w:after="60" w:line="320" w:lineRule="atLeast"/>
              <w:jc w:val="right"/>
              <w:rPr>
                <w:rFonts w:ascii="Verdana" w:hAnsi="Verdana"/>
                <w:b/>
                <w:color w:val="FFFFFF"/>
                <w:sz w:val="18"/>
                <w:szCs w:val="18"/>
              </w:rPr>
            </w:pPr>
          </w:p>
        </w:tc>
      </w:tr>
      <w:tr w:rsidR="00893171" w:rsidRPr="00AB6CBE" w14:paraId="4B891F5E" w14:textId="77777777" w:rsidTr="0098785E">
        <w:tc>
          <w:tcPr>
            <w:tcW w:w="709" w:type="dxa"/>
            <w:shd w:val="clear" w:color="auto" w:fill="auto"/>
          </w:tcPr>
          <w:p w14:paraId="4B77F61A" w14:textId="77777777" w:rsidR="00893171" w:rsidRPr="00893171" w:rsidRDefault="00893171" w:rsidP="00893171">
            <w:pPr>
              <w:pStyle w:val="ListParagraph"/>
              <w:numPr>
                <w:ilvl w:val="0"/>
                <w:numId w:val="20"/>
              </w:numPr>
              <w:spacing w:before="40" w:after="60" w:line="320" w:lineRule="atLeast"/>
              <w:ind w:left="357" w:hanging="357"/>
              <w:rPr>
                <w:rFonts w:ascii="Verdana" w:hAnsi="Verdana"/>
                <w:color w:val="000000"/>
                <w:sz w:val="16"/>
                <w:szCs w:val="16"/>
              </w:rPr>
            </w:pPr>
          </w:p>
        </w:tc>
        <w:tc>
          <w:tcPr>
            <w:tcW w:w="1418" w:type="dxa"/>
            <w:gridSpan w:val="2"/>
            <w:shd w:val="clear" w:color="auto" w:fill="auto"/>
          </w:tcPr>
          <w:p w14:paraId="54291318" w14:textId="2CB37C84" w:rsidR="00893171" w:rsidRPr="00893171" w:rsidRDefault="00893171" w:rsidP="00893171">
            <w:pPr>
              <w:spacing w:before="40" w:after="60" w:line="320" w:lineRule="atLeast"/>
              <w:rPr>
                <w:rFonts w:ascii="Verdana" w:hAnsi="Verdana"/>
                <w:color w:val="000000" w:themeColor="text1"/>
                <w:sz w:val="16"/>
                <w:szCs w:val="16"/>
              </w:rPr>
            </w:pPr>
            <w:r w:rsidRPr="00893171">
              <w:rPr>
                <w:rFonts w:ascii="Verdana" w:hAnsi="Verdana"/>
                <w:color w:val="000000" w:themeColor="text1"/>
                <w:sz w:val="16"/>
                <w:szCs w:val="16"/>
              </w:rPr>
              <w:t>Satrix Managers</w:t>
            </w:r>
          </w:p>
        </w:tc>
        <w:tc>
          <w:tcPr>
            <w:tcW w:w="709" w:type="dxa"/>
            <w:shd w:val="clear" w:color="auto" w:fill="auto"/>
            <w:vAlign w:val="center"/>
          </w:tcPr>
          <w:p w14:paraId="46CE5CC8" w14:textId="79D3D3C9" w:rsidR="00893171" w:rsidRPr="00893171" w:rsidRDefault="007319EA" w:rsidP="00893171">
            <w:pPr>
              <w:spacing w:before="40" w:after="60" w:line="320" w:lineRule="atLeast"/>
              <w:jc w:val="center"/>
              <w:rPr>
                <w:rFonts w:ascii="Verdana" w:hAnsi="Verdana"/>
                <w:color w:val="000000"/>
                <w:sz w:val="16"/>
                <w:szCs w:val="16"/>
              </w:rPr>
            </w:pPr>
            <w:r>
              <w:rPr>
                <w:rFonts w:ascii="Verdana" w:hAnsi="Verdana"/>
                <w:color w:val="000000"/>
                <w:sz w:val="16"/>
                <w:szCs w:val="16"/>
              </w:rPr>
              <w:t>3</w:t>
            </w:r>
            <w:r w:rsidR="002E1517">
              <w:rPr>
                <w:rFonts w:ascii="Verdana" w:hAnsi="Verdana"/>
                <w:color w:val="000000"/>
                <w:sz w:val="16"/>
                <w:szCs w:val="16"/>
              </w:rPr>
              <w:t>7</w:t>
            </w:r>
          </w:p>
        </w:tc>
        <w:tc>
          <w:tcPr>
            <w:tcW w:w="708" w:type="dxa"/>
            <w:shd w:val="clear" w:color="auto" w:fill="auto"/>
            <w:vAlign w:val="center"/>
          </w:tcPr>
          <w:p w14:paraId="350D7CB2" w14:textId="6CF897D4" w:rsidR="00893171" w:rsidRPr="00893171" w:rsidRDefault="00893171" w:rsidP="00893171">
            <w:pPr>
              <w:spacing w:before="40" w:after="60" w:line="320" w:lineRule="atLeast"/>
              <w:jc w:val="center"/>
              <w:rPr>
                <w:rFonts w:ascii="Verdana" w:hAnsi="Verdana"/>
                <w:color w:val="000000"/>
                <w:sz w:val="16"/>
                <w:szCs w:val="16"/>
              </w:rPr>
            </w:pPr>
            <w:r w:rsidRPr="00893171">
              <w:rPr>
                <w:rFonts w:ascii="Verdana" w:hAnsi="Verdana"/>
                <w:color w:val="000000"/>
                <w:sz w:val="16"/>
                <w:szCs w:val="16"/>
              </w:rPr>
              <w:t>-</w:t>
            </w:r>
          </w:p>
        </w:tc>
        <w:tc>
          <w:tcPr>
            <w:tcW w:w="709" w:type="dxa"/>
            <w:shd w:val="clear" w:color="auto" w:fill="auto"/>
            <w:vAlign w:val="center"/>
          </w:tcPr>
          <w:p w14:paraId="1CFFAC07" w14:textId="1F36725D" w:rsidR="00893171" w:rsidRPr="00893171" w:rsidRDefault="00893171" w:rsidP="00893171">
            <w:pPr>
              <w:spacing w:before="40" w:after="60" w:line="320" w:lineRule="atLeast"/>
              <w:jc w:val="center"/>
              <w:rPr>
                <w:rFonts w:ascii="Verdana" w:hAnsi="Verdana"/>
                <w:color w:val="000000"/>
                <w:sz w:val="16"/>
                <w:szCs w:val="16"/>
              </w:rPr>
            </w:pPr>
            <w:r w:rsidRPr="00893171">
              <w:rPr>
                <w:rFonts w:ascii="Verdana" w:hAnsi="Verdana"/>
                <w:color w:val="000000"/>
                <w:sz w:val="16"/>
                <w:szCs w:val="16"/>
              </w:rPr>
              <w:t>-</w:t>
            </w:r>
          </w:p>
        </w:tc>
        <w:tc>
          <w:tcPr>
            <w:tcW w:w="709" w:type="dxa"/>
            <w:shd w:val="clear" w:color="auto" w:fill="auto"/>
            <w:vAlign w:val="center"/>
          </w:tcPr>
          <w:p w14:paraId="75CA2F0F" w14:textId="7AA00550" w:rsidR="00893171" w:rsidRPr="00893171" w:rsidRDefault="00893171" w:rsidP="00893171">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1134" w:type="dxa"/>
            <w:vAlign w:val="center"/>
          </w:tcPr>
          <w:p w14:paraId="687C3A73" w14:textId="0BE1EC13" w:rsidR="00893171" w:rsidRPr="00893171" w:rsidRDefault="002E1517" w:rsidP="00893171">
            <w:pPr>
              <w:spacing w:before="40" w:after="60" w:line="320" w:lineRule="atLeast"/>
              <w:jc w:val="right"/>
              <w:rPr>
                <w:rFonts w:ascii="Verdana" w:hAnsi="Verdana"/>
                <w:color w:val="000000"/>
                <w:sz w:val="16"/>
                <w:szCs w:val="16"/>
              </w:rPr>
            </w:pPr>
            <w:r>
              <w:rPr>
                <w:rFonts w:ascii="Verdana" w:hAnsi="Verdana"/>
                <w:color w:val="000000"/>
                <w:sz w:val="16"/>
                <w:szCs w:val="16"/>
              </w:rPr>
              <w:t>52 333,5</w:t>
            </w:r>
          </w:p>
        </w:tc>
        <w:tc>
          <w:tcPr>
            <w:tcW w:w="992" w:type="dxa"/>
            <w:vAlign w:val="center"/>
          </w:tcPr>
          <w:p w14:paraId="40CDAD54" w14:textId="6F93E70C" w:rsidR="00893171" w:rsidRPr="00893171" w:rsidRDefault="00893171" w:rsidP="00893171">
            <w:pPr>
              <w:spacing w:before="40" w:after="60" w:line="320" w:lineRule="atLeast"/>
              <w:jc w:val="right"/>
              <w:rPr>
                <w:rFonts w:ascii="Verdana" w:hAnsi="Verdana"/>
                <w:color w:val="000000"/>
                <w:sz w:val="16"/>
                <w:szCs w:val="16"/>
              </w:rPr>
            </w:pPr>
          </w:p>
        </w:tc>
        <w:tc>
          <w:tcPr>
            <w:tcW w:w="1134" w:type="dxa"/>
            <w:vAlign w:val="center"/>
          </w:tcPr>
          <w:p w14:paraId="51FC2DA4" w14:textId="3E32EEF3" w:rsidR="00893171" w:rsidRPr="00893171" w:rsidRDefault="0098785E" w:rsidP="00893171">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00DB2C1E" w14:textId="1D012055" w:rsidR="00893171" w:rsidRPr="00893171" w:rsidRDefault="0098785E" w:rsidP="00893171">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1276" w:type="dxa"/>
            <w:vAlign w:val="center"/>
          </w:tcPr>
          <w:p w14:paraId="7338224F" w14:textId="7622B9CD" w:rsidR="00893171" w:rsidRPr="00893171" w:rsidRDefault="0098785E" w:rsidP="00893171">
            <w:pPr>
              <w:spacing w:before="40" w:after="60" w:line="320" w:lineRule="atLeast"/>
              <w:jc w:val="right"/>
              <w:rPr>
                <w:rFonts w:ascii="Verdana" w:hAnsi="Verdana"/>
                <w:color w:val="000000"/>
                <w:sz w:val="16"/>
                <w:szCs w:val="16"/>
              </w:rPr>
            </w:pPr>
            <w:r>
              <w:rPr>
                <w:rFonts w:ascii="Verdana" w:hAnsi="Verdana"/>
                <w:color w:val="000000"/>
                <w:sz w:val="16"/>
                <w:szCs w:val="16"/>
              </w:rPr>
              <w:t>52 333,5</w:t>
            </w:r>
          </w:p>
        </w:tc>
      </w:tr>
      <w:tr w:rsidR="00893171" w:rsidRPr="00AB6CBE" w14:paraId="0FE5F3BE" w14:textId="77777777" w:rsidTr="0098785E">
        <w:tc>
          <w:tcPr>
            <w:tcW w:w="709" w:type="dxa"/>
            <w:shd w:val="clear" w:color="auto" w:fill="auto"/>
          </w:tcPr>
          <w:p w14:paraId="3512065C" w14:textId="77777777" w:rsidR="00893171" w:rsidRPr="00893171" w:rsidRDefault="00893171" w:rsidP="00893171">
            <w:pPr>
              <w:pStyle w:val="ListParagraph"/>
              <w:numPr>
                <w:ilvl w:val="0"/>
                <w:numId w:val="20"/>
              </w:numPr>
              <w:spacing w:before="40" w:after="60" w:line="320" w:lineRule="atLeast"/>
              <w:ind w:left="357" w:hanging="357"/>
              <w:rPr>
                <w:rFonts w:ascii="Verdana" w:hAnsi="Verdana"/>
                <w:color w:val="000000"/>
                <w:sz w:val="16"/>
                <w:szCs w:val="16"/>
              </w:rPr>
            </w:pPr>
          </w:p>
        </w:tc>
        <w:tc>
          <w:tcPr>
            <w:tcW w:w="1418" w:type="dxa"/>
            <w:gridSpan w:val="2"/>
            <w:shd w:val="clear" w:color="auto" w:fill="auto"/>
          </w:tcPr>
          <w:p w14:paraId="0F8AB803" w14:textId="34697103" w:rsidR="00893171" w:rsidRPr="00893171" w:rsidRDefault="00893171" w:rsidP="00893171">
            <w:pPr>
              <w:spacing w:before="40" w:after="60" w:line="320" w:lineRule="atLeast"/>
              <w:rPr>
                <w:rFonts w:ascii="Verdana" w:hAnsi="Verdana"/>
                <w:color w:val="000000" w:themeColor="text1"/>
                <w:sz w:val="16"/>
                <w:szCs w:val="16"/>
              </w:rPr>
            </w:pPr>
            <w:r w:rsidRPr="00893171">
              <w:rPr>
                <w:rFonts w:ascii="Verdana" w:hAnsi="Verdana"/>
                <w:color w:val="000000" w:themeColor="text1"/>
                <w:sz w:val="16"/>
                <w:szCs w:val="16"/>
              </w:rPr>
              <w:t>Sygnia Itrix</w:t>
            </w:r>
          </w:p>
        </w:tc>
        <w:tc>
          <w:tcPr>
            <w:tcW w:w="709" w:type="dxa"/>
            <w:shd w:val="clear" w:color="auto" w:fill="auto"/>
            <w:vAlign w:val="center"/>
          </w:tcPr>
          <w:p w14:paraId="57C21498" w14:textId="562F58F0" w:rsidR="00893171" w:rsidRPr="00893171" w:rsidRDefault="00893171" w:rsidP="00893171">
            <w:pPr>
              <w:spacing w:before="40" w:after="60" w:line="320" w:lineRule="atLeast"/>
              <w:jc w:val="center"/>
              <w:rPr>
                <w:rFonts w:ascii="Verdana" w:hAnsi="Verdana"/>
                <w:color w:val="000000"/>
                <w:sz w:val="16"/>
                <w:szCs w:val="16"/>
              </w:rPr>
            </w:pPr>
            <w:r w:rsidRPr="00893171">
              <w:rPr>
                <w:rFonts w:ascii="Verdana" w:hAnsi="Verdana"/>
                <w:color w:val="000000"/>
                <w:sz w:val="16"/>
                <w:szCs w:val="16"/>
              </w:rPr>
              <w:t>1</w:t>
            </w:r>
            <w:r w:rsidR="002E1517">
              <w:rPr>
                <w:rFonts w:ascii="Verdana" w:hAnsi="Verdana"/>
                <w:color w:val="000000"/>
                <w:sz w:val="16"/>
                <w:szCs w:val="16"/>
              </w:rPr>
              <w:t>3</w:t>
            </w:r>
          </w:p>
        </w:tc>
        <w:tc>
          <w:tcPr>
            <w:tcW w:w="708" w:type="dxa"/>
            <w:shd w:val="clear" w:color="auto" w:fill="auto"/>
            <w:vAlign w:val="center"/>
          </w:tcPr>
          <w:p w14:paraId="6252A023" w14:textId="17E58BB1" w:rsidR="00893171" w:rsidRPr="00893171" w:rsidRDefault="00893171" w:rsidP="00893171">
            <w:pPr>
              <w:spacing w:before="40" w:after="60" w:line="320" w:lineRule="atLeast"/>
              <w:jc w:val="center"/>
              <w:rPr>
                <w:rFonts w:ascii="Verdana" w:hAnsi="Verdana"/>
                <w:color w:val="000000"/>
                <w:sz w:val="16"/>
                <w:szCs w:val="16"/>
              </w:rPr>
            </w:pPr>
            <w:r w:rsidRPr="00893171">
              <w:rPr>
                <w:rFonts w:ascii="Verdana" w:hAnsi="Verdana"/>
                <w:color w:val="000000"/>
                <w:sz w:val="16"/>
                <w:szCs w:val="16"/>
              </w:rPr>
              <w:t>-</w:t>
            </w:r>
          </w:p>
        </w:tc>
        <w:tc>
          <w:tcPr>
            <w:tcW w:w="709" w:type="dxa"/>
            <w:shd w:val="clear" w:color="auto" w:fill="auto"/>
            <w:vAlign w:val="center"/>
          </w:tcPr>
          <w:p w14:paraId="0F8192F6" w14:textId="7DC62318" w:rsidR="00893171" w:rsidRPr="00893171" w:rsidRDefault="00893171" w:rsidP="00893171">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709" w:type="dxa"/>
            <w:shd w:val="clear" w:color="auto" w:fill="auto"/>
            <w:vAlign w:val="center"/>
          </w:tcPr>
          <w:p w14:paraId="4B9CEC53" w14:textId="0FBAC5FF" w:rsidR="00893171" w:rsidRPr="00893171" w:rsidRDefault="007319EA" w:rsidP="00893171">
            <w:pPr>
              <w:spacing w:before="40" w:after="60" w:line="320" w:lineRule="atLeast"/>
              <w:jc w:val="center"/>
              <w:rPr>
                <w:rFonts w:ascii="Verdana" w:hAnsi="Verdana"/>
                <w:color w:val="000000"/>
                <w:sz w:val="16"/>
                <w:szCs w:val="16"/>
              </w:rPr>
            </w:pPr>
            <w:r>
              <w:rPr>
                <w:rFonts w:ascii="Verdana" w:hAnsi="Verdana"/>
                <w:color w:val="000000"/>
                <w:sz w:val="16"/>
                <w:szCs w:val="16"/>
              </w:rPr>
              <w:t>1</w:t>
            </w:r>
          </w:p>
        </w:tc>
        <w:tc>
          <w:tcPr>
            <w:tcW w:w="1134" w:type="dxa"/>
            <w:vAlign w:val="center"/>
          </w:tcPr>
          <w:p w14:paraId="5E231593" w14:textId="54A60738" w:rsidR="00893171" w:rsidRPr="00893171" w:rsidRDefault="002E1517" w:rsidP="00893171">
            <w:pPr>
              <w:spacing w:before="40" w:after="60" w:line="320" w:lineRule="atLeast"/>
              <w:jc w:val="right"/>
              <w:rPr>
                <w:rFonts w:ascii="Verdana" w:hAnsi="Verdana"/>
                <w:color w:val="000000"/>
                <w:sz w:val="16"/>
                <w:szCs w:val="16"/>
              </w:rPr>
            </w:pPr>
            <w:r>
              <w:rPr>
                <w:rFonts w:ascii="Verdana" w:hAnsi="Verdana"/>
                <w:color w:val="000000"/>
                <w:sz w:val="16"/>
                <w:szCs w:val="16"/>
              </w:rPr>
              <w:t>41 001,7</w:t>
            </w:r>
          </w:p>
        </w:tc>
        <w:tc>
          <w:tcPr>
            <w:tcW w:w="992" w:type="dxa"/>
            <w:vAlign w:val="center"/>
          </w:tcPr>
          <w:p w14:paraId="63B9D20A" w14:textId="22658EB4" w:rsidR="00893171" w:rsidRPr="00893171" w:rsidRDefault="00893171" w:rsidP="00893171">
            <w:pPr>
              <w:spacing w:before="40" w:after="60" w:line="320" w:lineRule="atLeast"/>
              <w:jc w:val="right"/>
              <w:rPr>
                <w:rFonts w:ascii="Verdana" w:hAnsi="Verdana"/>
                <w:color w:val="000000"/>
                <w:sz w:val="16"/>
                <w:szCs w:val="16"/>
              </w:rPr>
            </w:pPr>
          </w:p>
        </w:tc>
        <w:tc>
          <w:tcPr>
            <w:tcW w:w="1134" w:type="dxa"/>
            <w:vAlign w:val="center"/>
          </w:tcPr>
          <w:p w14:paraId="24BAE124" w14:textId="4305B0D3" w:rsidR="00893171" w:rsidRPr="00893171" w:rsidRDefault="0098785E" w:rsidP="00893171">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02FF980D" w14:textId="325EA92F" w:rsidR="00893171" w:rsidRPr="00893171" w:rsidRDefault="0098785E" w:rsidP="00893171">
            <w:pPr>
              <w:spacing w:before="40" w:after="60" w:line="320" w:lineRule="atLeast"/>
              <w:jc w:val="right"/>
              <w:rPr>
                <w:rFonts w:ascii="Verdana" w:hAnsi="Verdana"/>
                <w:color w:val="000000"/>
                <w:sz w:val="16"/>
                <w:szCs w:val="16"/>
              </w:rPr>
            </w:pPr>
            <w:r>
              <w:rPr>
                <w:rFonts w:ascii="Verdana" w:hAnsi="Verdana"/>
                <w:color w:val="000000"/>
                <w:sz w:val="16"/>
                <w:szCs w:val="16"/>
              </w:rPr>
              <w:t>122,9</w:t>
            </w:r>
          </w:p>
        </w:tc>
        <w:tc>
          <w:tcPr>
            <w:tcW w:w="1276" w:type="dxa"/>
            <w:vAlign w:val="center"/>
          </w:tcPr>
          <w:p w14:paraId="2278D090" w14:textId="293E84CE" w:rsidR="00893171" w:rsidRPr="00893171" w:rsidRDefault="0098785E" w:rsidP="00893171">
            <w:pPr>
              <w:spacing w:before="40" w:after="60" w:line="320" w:lineRule="atLeast"/>
              <w:jc w:val="right"/>
              <w:rPr>
                <w:rFonts w:ascii="Verdana" w:hAnsi="Verdana"/>
                <w:color w:val="000000"/>
                <w:sz w:val="16"/>
                <w:szCs w:val="16"/>
              </w:rPr>
            </w:pPr>
            <w:r>
              <w:rPr>
                <w:rFonts w:ascii="Verdana" w:hAnsi="Verdana"/>
                <w:color w:val="000000"/>
                <w:sz w:val="16"/>
                <w:szCs w:val="16"/>
              </w:rPr>
              <w:t>41 124,6</w:t>
            </w:r>
          </w:p>
        </w:tc>
      </w:tr>
      <w:tr w:rsidR="00893171" w:rsidRPr="00AB6CBE" w14:paraId="3E5AB5DE" w14:textId="77777777" w:rsidTr="0098785E">
        <w:tc>
          <w:tcPr>
            <w:tcW w:w="709" w:type="dxa"/>
            <w:shd w:val="clear" w:color="auto" w:fill="auto"/>
          </w:tcPr>
          <w:p w14:paraId="62DC651B" w14:textId="77777777" w:rsidR="00893171" w:rsidRPr="00893171" w:rsidRDefault="00893171" w:rsidP="00893171">
            <w:pPr>
              <w:pStyle w:val="ListParagraph"/>
              <w:numPr>
                <w:ilvl w:val="0"/>
                <w:numId w:val="20"/>
              </w:numPr>
              <w:spacing w:before="40" w:after="60" w:line="320" w:lineRule="atLeast"/>
              <w:ind w:left="357" w:hanging="357"/>
              <w:rPr>
                <w:rFonts w:ascii="Verdana" w:hAnsi="Verdana"/>
                <w:color w:val="000000"/>
                <w:sz w:val="16"/>
                <w:szCs w:val="16"/>
              </w:rPr>
            </w:pPr>
          </w:p>
        </w:tc>
        <w:tc>
          <w:tcPr>
            <w:tcW w:w="1418" w:type="dxa"/>
            <w:gridSpan w:val="2"/>
            <w:shd w:val="clear" w:color="auto" w:fill="auto"/>
          </w:tcPr>
          <w:p w14:paraId="3C1FB5E5" w14:textId="77777777" w:rsidR="00893171" w:rsidRPr="00893171" w:rsidRDefault="00893171" w:rsidP="00893171">
            <w:pPr>
              <w:spacing w:before="40" w:after="60" w:line="320" w:lineRule="atLeast"/>
              <w:rPr>
                <w:rFonts w:ascii="Verdana" w:hAnsi="Verdana"/>
                <w:color w:val="000000" w:themeColor="text1"/>
                <w:sz w:val="16"/>
                <w:szCs w:val="16"/>
              </w:rPr>
            </w:pPr>
            <w:r w:rsidRPr="00893171">
              <w:rPr>
                <w:rFonts w:ascii="Verdana" w:hAnsi="Verdana"/>
                <w:color w:val="000000" w:themeColor="text1"/>
                <w:sz w:val="16"/>
                <w:szCs w:val="16"/>
              </w:rPr>
              <w:t>Absa Capital</w:t>
            </w:r>
          </w:p>
        </w:tc>
        <w:tc>
          <w:tcPr>
            <w:tcW w:w="709" w:type="dxa"/>
            <w:shd w:val="clear" w:color="auto" w:fill="auto"/>
            <w:vAlign w:val="center"/>
          </w:tcPr>
          <w:p w14:paraId="2791DA0D" w14:textId="649A8FC8" w:rsidR="00893171" w:rsidRPr="00893171" w:rsidRDefault="00893171" w:rsidP="00893171">
            <w:pPr>
              <w:spacing w:before="40" w:after="60" w:line="320" w:lineRule="atLeast"/>
              <w:jc w:val="center"/>
              <w:rPr>
                <w:rFonts w:ascii="Verdana" w:hAnsi="Verdana"/>
                <w:color w:val="000000"/>
                <w:sz w:val="16"/>
                <w:szCs w:val="16"/>
              </w:rPr>
            </w:pPr>
            <w:r w:rsidRPr="00893171">
              <w:rPr>
                <w:rFonts w:ascii="Verdana" w:hAnsi="Verdana"/>
                <w:color w:val="000000"/>
                <w:sz w:val="16"/>
                <w:szCs w:val="16"/>
              </w:rPr>
              <w:t>3</w:t>
            </w:r>
          </w:p>
        </w:tc>
        <w:tc>
          <w:tcPr>
            <w:tcW w:w="708" w:type="dxa"/>
            <w:shd w:val="clear" w:color="auto" w:fill="auto"/>
            <w:vAlign w:val="center"/>
          </w:tcPr>
          <w:p w14:paraId="154261B2" w14:textId="5C2CB986" w:rsidR="00893171" w:rsidRPr="00893171" w:rsidRDefault="00893171" w:rsidP="00893171">
            <w:pPr>
              <w:spacing w:before="40" w:after="60" w:line="320" w:lineRule="atLeast"/>
              <w:jc w:val="center"/>
              <w:rPr>
                <w:rFonts w:ascii="Verdana" w:hAnsi="Verdana"/>
                <w:color w:val="000000"/>
                <w:sz w:val="16"/>
                <w:szCs w:val="16"/>
              </w:rPr>
            </w:pPr>
            <w:r w:rsidRPr="00893171">
              <w:rPr>
                <w:rFonts w:ascii="Verdana" w:hAnsi="Verdana"/>
                <w:color w:val="000000"/>
                <w:sz w:val="16"/>
                <w:szCs w:val="16"/>
              </w:rPr>
              <w:t>5</w:t>
            </w:r>
          </w:p>
        </w:tc>
        <w:tc>
          <w:tcPr>
            <w:tcW w:w="709" w:type="dxa"/>
            <w:shd w:val="clear" w:color="auto" w:fill="auto"/>
            <w:vAlign w:val="center"/>
          </w:tcPr>
          <w:p w14:paraId="7DF77E9F" w14:textId="68CEF56A" w:rsidR="00893171" w:rsidRPr="00893171" w:rsidRDefault="00893171" w:rsidP="00893171">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709" w:type="dxa"/>
            <w:shd w:val="clear" w:color="auto" w:fill="auto"/>
            <w:vAlign w:val="center"/>
          </w:tcPr>
          <w:p w14:paraId="2166DF9E" w14:textId="4E1C6350" w:rsidR="00893171" w:rsidRPr="00893171" w:rsidRDefault="00893171" w:rsidP="00893171">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1134" w:type="dxa"/>
            <w:vAlign w:val="center"/>
          </w:tcPr>
          <w:p w14:paraId="029D8166" w14:textId="7EED4C99" w:rsidR="00893171" w:rsidRPr="00893171" w:rsidRDefault="002E1517" w:rsidP="00893171">
            <w:pPr>
              <w:spacing w:before="40" w:after="60" w:line="320" w:lineRule="atLeast"/>
              <w:jc w:val="right"/>
              <w:rPr>
                <w:rFonts w:ascii="Verdana" w:hAnsi="Verdana"/>
                <w:color w:val="000000"/>
                <w:sz w:val="16"/>
                <w:szCs w:val="16"/>
              </w:rPr>
            </w:pPr>
            <w:r>
              <w:rPr>
                <w:rFonts w:ascii="Verdana" w:hAnsi="Verdana"/>
                <w:color w:val="000000"/>
                <w:sz w:val="16"/>
                <w:szCs w:val="16"/>
              </w:rPr>
              <w:t>25 336,4</w:t>
            </w:r>
          </w:p>
        </w:tc>
        <w:tc>
          <w:tcPr>
            <w:tcW w:w="992" w:type="dxa"/>
            <w:vAlign w:val="center"/>
          </w:tcPr>
          <w:p w14:paraId="05FEFC5D" w14:textId="21401B94" w:rsidR="00893171" w:rsidRPr="00893171" w:rsidRDefault="002E1517" w:rsidP="00893171">
            <w:pPr>
              <w:spacing w:before="40" w:after="60" w:line="320" w:lineRule="atLeast"/>
              <w:jc w:val="right"/>
              <w:rPr>
                <w:rFonts w:ascii="Verdana" w:hAnsi="Verdana"/>
                <w:color w:val="000000"/>
                <w:sz w:val="16"/>
                <w:szCs w:val="16"/>
              </w:rPr>
            </w:pPr>
            <w:r>
              <w:rPr>
                <w:rFonts w:ascii="Verdana" w:hAnsi="Verdana"/>
                <w:color w:val="000000"/>
                <w:sz w:val="16"/>
                <w:szCs w:val="16"/>
              </w:rPr>
              <w:t>1 440,1</w:t>
            </w:r>
          </w:p>
        </w:tc>
        <w:tc>
          <w:tcPr>
            <w:tcW w:w="1134" w:type="dxa"/>
            <w:vAlign w:val="center"/>
          </w:tcPr>
          <w:p w14:paraId="66C9E298" w14:textId="4C5D729B" w:rsidR="00893171" w:rsidRPr="00893171" w:rsidRDefault="0098785E" w:rsidP="00893171">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6F79E717" w14:textId="748D4364" w:rsidR="00893171" w:rsidRPr="00893171" w:rsidRDefault="0098785E" w:rsidP="00893171">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1276" w:type="dxa"/>
            <w:vAlign w:val="center"/>
          </w:tcPr>
          <w:p w14:paraId="32A350AC" w14:textId="21346627" w:rsidR="00893171" w:rsidRPr="00893171" w:rsidRDefault="0098785E" w:rsidP="00893171">
            <w:pPr>
              <w:spacing w:before="40" w:after="60" w:line="320" w:lineRule="atLeast"/>
              <w:jc w:val="right"/>
              <w:rPr>
                <w:rFonts w:ascii="Verdana" w:hAnsi="Verdana"/>
                <w:color w:val="000000"/>
                <w:sz w:val="16"/>
                <w:szCs w:val="16"/>
              </w:rPr>
            </w:pPr>
            <w:r>
              <w:rPr>
                <w:rFonts w:ascii="Verdana" w:hAnsi="Verdana"/>
                <w:color w:val="000000"/>
                <w:sz w:val="16"/>
                <w:szCs w:val="16"/>
              </w:rPr>
              <w:t>26 776,5</w:t>
            </w:r>
          </w:p>
        </w:tc>
      </w:tr>
      <w:tr w:rsidR="007319EA" w:rsidRPr="00AB6CBE" w14:paraId="2ECFF152" w14:textId="77777777" w:rsidTr="0098785E">
        <w:tc>
          <w:tcPr>
            <w:tcW w:w="709" w:type="dxa"/>
            <w:shd w:val="clear" w:color="auto" w:fill="auto"/>
          </w:tcPr>
          <w:p w14:paraId="1D7A5F85" w14:textId="77777777" w:rsidR="007319EA" w:rsidRPr="00893171" w:rsidRDefault="007319EA" w:rsidP="007319EA">
            <w:pPr>
              <w:pStyle w:val="ListParagraph"/>
              <w:numPr>
                <w:ilvl w:val="0"/>
                <w:numId w:val="20"/>
              </w:numPr>
              <w:spacing w:before="40" w:after="60" w:line="320" w:lineRule="atLeast"/>
              <w:ind w:left="357" w:hanging="357"/>
              <w:rPr>
                <w:rFonts w:ascii="Verdana" w:hAnsi="Verdana"/>
                <w:color w:val="000000"/>
                <w:sz w:val="16"/>
                <w:szCs w:val="16"/>
              </w:rPr>
            </w:pPr>
          </w:p>
        </w:tc>
        <w:tc>
          <w:tcPr>
            <w:tcW w:w="1418" w:type="dxa"/>
            <w:gridSpan w:val="2"/>
            <w:shd w:val="clear" w:color="auto" w:fill="auto"/>
          </w:tcPr>
          <w:p w14:paraId="7AAF344D" w14:textId="22084860" w:rsidR="007319EA" w:rsidRPr="00893171" w:rsidRDefault="002E1517" w:rsidP="007319EA">
            <w:pPr>
              <w:spacing w:before="40" w:after="60" w:line="320" w:lineRule="atLeast"/>
              <w:rPr>
                <w:rFonts w:ascii="Verdana" w:hAnsi="Verdana"/>
                <w:color w:val="000000" w:themeColor="text1"/>
                <w:sz w:val="16"/>
                <w:szCs w:val="16"/>
              </w:rPr>
            </w:pPr>
            <w:r>
              <w:rPr>
                <w:rFonts w:ascii="Verdana" w:hAnsi="Verdana"/>
                <w:color w:val="000000" w:themeColor="text1"/>
                <w:sz w:val="16"/>
                <w:szCs w:val="16"/>
              </w:rPr>
              <w:t>10X (</w:t>
            </w:r>
            <w:r w:rsidR="007319EA" w:rsidRPr="00893171">
              <w:rPr>
                <w:rFonts w:ascii="Verdana" w:hAnsi="Verdana"/>
                <w:color w:val="000000" w:themeColor="text1"/>
                <w:sz w:val="16"/>
                <w:szCs w:val="16"/>
              </w:rPr>
              <w:t>CoreShares</w:t>
            </w:r>
            <w:r>
              <w:rPr>
                <w:rFonts w:ascii="Verdana" w:hAnsi="Verdana"/>
                <w:color w:val="000000" w:themeColor="text1"/>
                <w:sz w:val="16"/>
                <w:szCs w:val="16"/>
              </w:rPr>
              <w:t>)</w:t>
            </w:r>
          </w:p>
        </w:tc>
        <w:tc>
          <w:tcPr>
            <w:tcW w:w="709" w:type="dxa"/>
            <w:shd w:val="clear" w:color="auto" w:fill="auto"/>
            <w:vAlign w:val="center"/>
          </w:tcPr>
          <w:p w14:paraId="2E7656A6" w14:textId="3CA1C58B" w:rsidR="007319EA" w:rsidRPr="00893171" w:rsidRDefault="007319EA" w:rsidP="007319EA">
            <w:pPr>
              <w:spacing w:before="40" w:after="60" w:line="320" w:lineRule="atLeast"/>
              <w:jc w:val="center"/>
              <w:rPr>
                <w:rFonts w:ascii="Verdana" w:hAnsi="Verdana"/>
                <w:color w:val="000000"/>
                <w:sz w:val="16"/>
                <w:szCs w:val="16"/>
              </w:rPr>
            </w:pPr>
            <w:r w:rsidRPr="00893171">
              <w:rPr>
                <w:rFonts w:ascii="Verdana" w:hAnsi="Verdana"/>
                <w:color w:val="000000"/>
                <w:sz w:val="16"/>
                <w:szCs w:val="16"/>
              </w:rPr>
              <w:t>1</w:t>
            </w:r>
            <w:r>
              <w:rPr>
                <w:rFonts w:ascii="Verdana" w:hAnsi="Verdana"/>
                <w:color w:val="000000"/>
                <w:sz w:val="16"/>
                <w:szCs w:val="16"/>
              </w:rPr>
              <w:t>2</w:t>
            </w:r>
          </w:p>
        </w:tc>
        <w:tc>
          <w:tcPr>
            <w:tcW w:w="708" w:type="dxa"/>
            <w:shd w:val="clear" w:color="auto" w:fill="auto"/>
            <w:vAlign w:val="center"/>
          </w:tcPr>
          <w:p w14:paraId="0CE6EEB5" w14:textId="25244ACD" w:rsidR="007319EA" w:rsidRPr="00893171" w:rsidRDefault="007319EA" w:rsidP="007319EA">
            <w:pPr>
              <w:spacing w:before="40" w:after="60" w:line="320" w:lineRule="atLeast"/>
              <w:jc w:val="center"/>
              <w:rPr>
                <w:rFonts w:ascii="Verdana" w:hAnsi="Verdana"/>
                <w:color w:val="000000"/>
                <w:sz w:val="16"/>
                <w:szCs w:val="16"/>
              </w:rPr>
            </w:pPr>
            <w:r w:rsidRPr="00893171">
              <w:rPr>
                <w:rFonts w:ascii="Verdana" w:hAnsi="Verdana"/>
                <w:color w:val="000000"/>
                <w:sz w:val="16"/>
                <w:szCs w:val="16"/>
              </w:rPr>
              <w:t>-</w:t>
            </w:r>
          </w:p>
        </w:tc>
        <w:tc>
          <w:tcPr>
            <w:tcW w:w="709" w:type="dxa"/>
            <w:shd w:val="clear" w:color="auto" w:fill="auto"/>
            <w:vAlign w:val="center"/>
          </w:tcPr>
          <w:p w14:paraId="12604569" w14:textId="7C566420" w:rsidR="007319EA" w:rsidRDefault="007319EA" w:rsidP="007319EA">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709" w:type="dxa"/>
            <w:shd w:val="clear" w:color="auto" w:fill="auto"/>
            <w:vAlign w:val="center"/>
          </w:tcPr>
          <w:p w14:paraId="125394B4" w14:textId="08E826F5" w:rsidR="007319EA" w:rsidRDefault="007319EA" w:rsidP="007319EA">
            <w:pPr>
              <w:spacing w:before="40" w:after="60" w:line="320" w:lineRule="atLeast"/>
              <w:jc w:val="center"/>
              <w:rPr>
                <w:rFonts w:ascii="Verdana" w:hAnsi="Verdana"/>
                <w:color w:val="000000"/>
                <w:sz w:val="16"/>
                <w:szCs w:val="16"/>
              </w:rPr>
            </w:pPr>
            <w:r>
              <w:rPr>
                <w:rFonts w:ascii="Verdana" w:hAnsi="Verdana"/>
                <w:color w:val="000000"/>
                <w:sz w:val="16"/>
                <w:szCs w:val="16"/>
              </w:rPr>
              <w:t>2</w:t>
            </w:r>
          </w:p>
        </w:tc>
        <w:tc>
          <w:tcPr>
            <w:tcW w:w="1134" w:type="dxa"/>
            <w:vAlign w:val="center"/>
          </w:tcPr>
          <w:p w14:paraId="2B7C82C7" w14:textId="08B1A578" w:rsidR="007319EA" w:rsidRPr="00893171" w:rsidRDefault="002E1517" w:rsidP="007319EA">
            <w:pPr>
              <w:spacing w:before="40" w:after="60" w:line="320" w:lineRule="atLeast"/>
              <w:jc w:val="right"/>
              <w:rPr>
                <w:rFonts w:ascii="Verdana" w:hAnsi="Verdana"/>
                <w:color w:val="000000"/>
                <w:sz w:val="16"/>
                <w:szCs w:val="16"/>
              </w:rPr>
            </w:pPr>
            <w:r>
              <w:rPr>
                <w:rFonts w:ascii="Verdana" w:hAnsi="Verdana"/>
                <w:color w:val="000000"/>
                <w:sz w:val="16"/>
                <w:szCs w:val="16"/>
              </w:rPr>
              <w:t>11 225,6</w:t>
            </w:r>
          </w:p>
        </w:tc>
        <w:tc>
          <w:tcPr>
            <w:tcW w:w="992" w:type="dxa"/>
            <w:vAlign w:val="center"/>
          </w:tcPr>
          <w:p w14:paraId="62B1C769" w14:textId="336EC8BE" w:rsidR="007319EA" w:rsidRPr="00893171" w:rsidRDefault="002E1517" w:rsidP="007319EA">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1134" w:type="dxa"/>
            <w:vAlign w:val="center"/>
          </w:tcPr>
          <w:p w14:paraId="593BED0C" w14:textId="380289FD" w:rsidR="007319EA" w:rsidRDefault="0098785E" w:rsidP="007319EA">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6B01C065" w14:textId="4CEF4B3D" w:rsidR="007319EA" w:rsidRDefault="0098785E" w:rsidP="007319EA">
            <w:pPr>
              <w:spacing w:before="40" w:after="60" w:line="320" w:lineRule="atLeast"/>
              <w:jc w:val="right"/>
              <w:rPr>
                <w:rFonts w:ascii="Verdana" w:hAnsi="Verdana"/>
                <w:color w:val="000000"/>
                <w:sz w:val="16"/>
                <w:szCs w:val="16"/>
              </w:rPr>
            </w:pPr>
            <w:r>
              <w:rPr>
                <w:rFonts w:ascii="Verdana" w:hAnsi="Verdana"/>
                <w:color w:val="000000"/>
                <w:sz w:val="16"/>
                <w:szCs w:val="16"/>
              </w:rPr>
              <w:t>1 566,3</w:t>
            </w:r>
          </w:p>
        </w:tc>
        <w:tc>
          <w:tcPr>
            <w:tcW w:w="1276" w:type="dxa"/>
            <w:vAlign w:val="center"/>
          </w:tcPr>
          <w:p w14:paraId="3D3ED721" w14:textId="102817E9" w:rsidR="007319EA" w:rsidRDefault="0098785E" w:rsidP="007319EA">
            <w:pPr>
              <w:spacing w:before="40" w:after="60" w:line="320" w:lineRule="atLeast"/>
              <w:jc w:val="right"/>
              <w:rPr>
                <w:rFonts w:ascii="Verdana" w:hAnsi="Verdana"/>
                <w:color w:val="000000"/>
                <w:sz w:val="16"/>
                <w:szCs w:val="16"/>
              </w:rPr>
            </w:pPr>
            <w:r>
              <w:rPr>
                <w:rFonts w:ascii="Verdana" w:hAnsi="Verdana"/>
                <w:color w:val="000000"/>
                <w:sz w:val="16"/>
                <w:szCs w:val="16"/>
              </w:rPr>
              <w:t>12 791,9</w:t>
            </w:r>
          </w:p>
        </w:tc>
      </w:tr>
      <w:tr w:rsidR="007319EA" w:rsidRPr="00AB6CBE" w14:paraId="2E0F4F01" w14:textId="77777777" w:rsidTr="0098785E">
        <w:tc>
          <w:tcPr>
            <w:tcW w:w="709" w:type="dxa"/>
            <w:shd w:val="clear" w:color="auto" w:fill="auto"/>
          </w:tcPr>
          <w:p w14:paraId="10150557" w14:textId="77777777" w:rsidR="007319EA" w:rsidRPr="00893171" w:rsidRDefault="007319EA" w:rsidP="007319EA">
            <w:pPr>
              <w:pStyle w:val="ListParagraph"/>
              <w:numPr>
                <w:ilvl w:val="0"/>
                <w:numId w:val="20"/>
              </w:numPr>
              <w:spacing w:before="40" w:after="60" w:line="320" w:lineRule="atLeast"/>
              <w:ind w:left="357" w:hanging="357"/>
              <w:rPr>
                <w:rFonts w:ascii="Verdana" w:hAnsi="Verdana"/>
                <w:color w:val="000000"/>
                <w:sz w:val="16"/>
                <w:szCs w:val="16"/>
              </w:rPr>
            </w:pPr>
          </w:p>
        </w:tc>
        <w:tc>
          <w:tcPr>
            <w:tcW w:w="1418" w:type="dxa"/>
            <w:gridSpan w:val="2"/>
            <w:shd w:val="clear" w:color="auto" w:fill="auto"/>
          </w:tcPr>
          <w:p w14:paraId="117A9919" w14:textId="24AF28B0" w:rsidR="007319EA" w:rsidRPr="00893171" w:rsidRDefault="007319EA" w:rsidP="007319EA">
            <w:pPr>
              <w:spacing w:before="40" w:after="60" w:line="320" w:lineRule="atLeast"/>
              <w:rPr>
                <w:rFonts w:ascii="Verdana" w:hAnsi="Verdana"/>
                <w:color w:val="000000" w:themeColor="text1"/>
                <w:sz w:val="16"/>
                <w:szCs w:val="16"/>
              </w:rPr>
            </w:pPr>
            <w:r w:rsidRPr="00893171">
              <w:rPr>
                <w:rFonts w:ascii="Verdana" w:hAnsi="Verdana"/>
                <w:color w:val="000000" w:themeColor="text1"/>
                <w:sz w:val="16"/>
                <w:szCs w:val="16"/>
              </w:rPr>
              <w:t>FNB/FirstRand</w:t>
            </w:r>
          </w:p>
        </w:tc>
        <w:tc>
          <w:tcPr>
            <w:tcW w:w="709" w:type="dxa"/>
            <w:shd w:val="clear" w:color="auto" w:fill="auto"/>
            <w:vAlign w:val="center"/>
          </w:tcPr>
          <w:p w14:paraId="27501A4B" w14:textId="4C1DCAE1" w:rsidR="007319EA" w:rsidRPr="00893171" w:rsidRDefault="007319EA" w:rsidP="007319EA">
            <w:pPr>
              <w:spacing w:before="40" w:after="60" w:line="320" w:lineRule="atLeast"/>
              <w:jc w:val="center"/>
              <w:rPr>
                <w:rFonts w:ascii="Verdana" w:hAnsi="Verdana"/>
                <w:color w:val="000000"/>
                <w:sz w:val="16"/>
                <w:szCs w:val="16"/>
              </w:rPr>
            </w:pPr>
            <w:r w:rsidRPr="00893171">
              <w:rPr>
                <w:rFonts w:ascii="Verdana" w:hAnsi="Verdana"/>
                <w:color w:val="000000"/>
                <w:sz w:val="16"/>
                <w:szCs w:val="16"/>
              </w:rPr>
              <w:t>8</w:t>
            </w:r>
          </w:p>
        </w:tc>
        <w:tc>
          <w:tcPr>
            <w:tcW w:w="708" w:type="dxa"/>
            <w:shd w:val="clear" w:color="auto" w:fill="auto"/>
            <w:vAlign w:val="center"/>
          </w:tcPr>
          <w:p w14:paraId="4A7040FD" w14:textId="72C6014B" w:rsidR="007319EA" w:rsidRPr="00893171" w:rsidRDefault="007319EA" w:rsidP="007319EA">
            <w:pPr>
              <w:spacing w:before="40" w:after="60" w:line="320" w:lineRule="atLeast"/>
              <w:jc w:val="center"/>
              <w:rPr>
                <w:rFonts w:ascii="Verdana" w:hAnsi="Verdana"/>
                <w:color w:val="000000"/>
                <w:sz w:val="16"/>
                <w:szCs w:val="16"/>
              </w:rPr>
            </w:pPr>
            <w:r w:rsidRPr="00893171">
              <w:rPr>
                <w:rFonts w:ascii="Verdana" w:hAnsi="Verdana"/>
                <w:color w:val="000000"/>
                <w:sz w:val="16"/>
                <w:szCs w:val="16"/>
              </w:rPr>
              <w:t>4</w:t>
            </w:r>
            <w:r w:rsidR="002E1517">
              <w:rPr>
                <w:rFonts w:ascii="Verdana" w:hAnsi="Verdana"/>
                <w:color w:val="000000"/>
                <w:sz w:val="16"/>
                <w:szCs w:val="16"/>
              </w:rPr>
              <w:t>0</w:t>
            </w:r>
          </w:p>
        </w:tc>
        <w:tc>
          <w:tcPr>
            <w:tcW w:w="709" w:type="dxa"/>
            <w:shd w:val="clear" w:color="auto" w:fill="auto"/>
            <w:vAlign w:val="center"/>
          </w:tcPr>
          <w:p w14:paraId="6CB70E61" w14:textId="22A5F968" w:rsidR="007319EA" w:rsidRPr="00893171" w:rsidRDefault="007319EA" w:rsidP="007319EA">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709" w:type="dxa"/>
            <w:shd w:val="clear" w:color="auto" w:fill="auto"/>
            <w:vAlign w:val="center"/>
          </w:tcPr>
          <w:p w14:paraId="470D6A4A" w14:textId="321AD552" w:rsidR="007319EA" w:rsidRPr="00893171" w:rsidRDefault="007319EA" w:rsidP="007319EA">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1134" w:type="dxa"/>
            <w:vAlign w:val="center"/>
          </w:tcPr>
          <w:p w14:paraId="68B377D1" w14:textId="3496FA39" w:rsidR="007319EA" w:rsidRPr="00893171" w:rsidRDefault="002E1517" w:rsidP="007319EA">
            <w:pPr>
              <w:spacing w:before="40" w:after="60" w:line="320" w:lineRule="atLeast"/>
              <w:jc w:val="right"/>
              <w:rPr>
                <w:rFonts w:ascii="Verdana" w:hAnsi="Verdana"/>
                <w:color w:val="000000"/>
                <w:sz w:val="16"/>
                <w:szCs w:val="16"/>
              </w:rPr>
            </w:pPr>
            <w:r>
              <w:rPr>
                <w:rFonts w:ascii="Verdana" w:hAnsi="Verdana"/>
                <w:color w:val="000000"/>
                <w:sz w:val="16"/>
                <w:szCs w:val="16"/>
              </w:rPr>
              <w:t>8 036,8</w:t>
            </w:r>
          </w:p>
        </w:tc>
        <w:tc>
          <w:tcPr>
            <w:tcW w:w="992" w:type="dxa"/>
            <w:vAlign w:val="center"/>
          </w:tcPr>
          <w:p w14:paraId="7941F141" w14:textId="17147F92" w:rsidR="007319EA" w:rsidRPr="00893171" w:rsidRDefault="002E1517" w:rsidP="007319EA">
            <w:pPr>
              <w:spacing w:before="40" w:after="60" w:line="320" w:lineRule="atLeast"/>
              <w:jc w:val="right"/>
              <w:rPr>
                <w:rFonts w:ascii="Verdana" w:hAnsi="Verdana"/>
                <w:color w:val="000000"/>
                <w:sz w:val="16"/>
                <w:szCs w:val="16"/>
              </w:rPr>
            </w:pPr>
            <w:r>
              <w:rPr>
                <w:rFonts w:ascii="Verdana" w:hAnsi="Verdana"/>
                <w:color w:val="000000"/>
                <w:sz w:val="16"/>
                <w:szCs w:val="16"/>
              </w:rPr>
              <w:t>3 979,3</w:t>
            </w:r>
          </w:p>
        </w:tc>
        <w:tc>
          <w:tcPr>
            <w:tcW w:w="1134" w:type="dxa"/>
            <w:vAlign w:val="center"/>
          </w:tcPr>
          <w:p w14:paraId="7229F58C" w14:textId="5474750B" w:rsidR="007319EA" w:rsidRPr="00893171" w:rsidRDefault="0098785E" w:rsidP="007319EA">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48086C16" w14:textId="132633DC" w:rsidR="007319EA" w:rsidRPr="00893171" w:rsidRDefault="0098785E" w:rsidP="007319EA">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1276" w:type="dxa"/>
            <w:vAlign w:val="center"/>
          </w:tcPr>
          <w:p w14:paraId="062755B2" w14:textId="3E138CAC" w:rsidR="007319EA" w:rsidRPr="00893171" w:rsidRDefault="0098785E" w:rsidP="007319EA">
            <w:pPr>
              <w:spacing w:before="40" w:after="60" w:line="320" w:lineRule="atLeast"/>
              <w:jc w:val="right"/>
              <w:rPr>
                <w:rFonts w:ascii="Verdana" w:hAnsi="Verdana"/>
                <w:color w:val="000000"/>
                <w:sz w:val="16"/>
                <w:szCs w:val="16"/>
              </w:rPr>
            </w:pPr>
            <w:r>
              <w:rPr>
                <w:rFonts w:ascii="Verdana" w:hAnsi="Verdana"/>
                <w:color w:val="000000"/>
                <w:sz w:val="16"/>
                <w:szCs w:val="16"/>
              </w:rPr>
              <w:t>12 016,1</w:t>
            </w:r>
          </w:p>
        </w:tc>
      </w:tr>
      <w:tr w:rsidR="0098785E" w:rsidRPr="000435BE" w14:paraId="19D9A30B" w14:textId="77777777" w:rsidTr="0098785E">
        <w:tc>
          <w:tcPr>
            <w:tcW w:w="709" w:type="dxa"/>
            <w:shd w:val="clear" w:color="auto" w:fill="auto"/>
          </w:tcPr>
          <w:p w14:paraId="021D656F" w14:textId="77777777" w:rsidR="0098785E" w:rsidRPr="00893171" w:rsidRDefault="0098785E" w:rsidP="0098785E">
            <w:pPr>
              <w:pStyle w:val="ListParagraph"/>
              <w:numPr>
                <w:ilvl w:val="0"/>
                <w:numId w:val="20"/>
              </w:numPr>
              <w:spacing w:before="40" w:after="60" w:line="320" w:lineRule="atLeast"/>
              <w:ind w:left="357" w:hanging="357"/>
              <w:rPr>
                <w:rFonts w:ascii="Verdana" w:hAnsi="Verdana"/>
                <w:color w:val="000000"/>
                <w:sz w:val="16"/>
                <w:szCs w:val="16"/>
              </w:rPr>
            </w:pPr>
          </w:p>
        </w:tc>
        <w:tc>
          <w:tcPr>
            <w:tcW w:w="1418" w:type="dxa"/>
            <w:gridSpan w:val="2"/>
            <w:shd w:val="clear" w:color="auto" w:fill="auto"/>
          </w:tcPr>
          <w:p w14:paraId="3CC8F977" w14:textId="7D80D616" w:rsidR="0098785E" w:rsidRPr="00893171" w:rsidRDefault="0098785E" w:rsidP="0098785E">
            <w:pPr>
              <w:spacing w:before="40" w:after="60" w:line="320" w:lineRule="atLeast"/>
              <w:rPr>
                <w:rFonts w:ascii="Verdana" w:hAnsi="Verdana"/>
                <w:color w:val="000000" w:themeColor="text1"/>
                <w:sz w:val="16"/>
                <w:szCs w:val="16"/>
              </w:rPr>
            </w:pPr>
            <w:r w:rsidRPr="00893171">
              <w:rPr>
                <w:rFonts w:ascii="Verdana" w:hAnsi="Verdana"/>
                <w:color w:val="000000"/>
                <w:sz w:val="16"/>
                <w:szCs w:val="16"/>
              </w:rPr>
              <w:t>UBS</w:t>
            </w:r>
          </w:p>
        </w:tc>
        <w:tc>
          <w:tcPr>
            <w:tcW w:w="709" w:type="dxa"/>
            <w:shd w:val="clear" w:color="auto" w:fill="auto"/>
            <w:vAlign w:val="center"/>
          </w:tcPr>
          <w:p w14:paraId="05170F2C" w14:textId="52A1FB6F" w:rsidR="0098785E" w:rsidRPr="00893171" w:rsidRDefault="0098785E" w:rsidP="0098785E">
            <w:pPr>
              <w:spacing w:before="40" w:after="60" w:line="320" w:lineRule="atLeast"/>
              <w:jc w:val="center"/>
              <w:rPr>
                <w:rFonts w:ascii="Verdana" w:hAnsi="Verdana"/>
                <w:color w:val="000000"/>
                <w:sz w:val="16"/>
                <w:szCs w:val="16"/>
              </w:rPr>
            </w:pPr>
            <w:r w:rsidRPr="00893171">
              <w:rPr>
                <w:rFonts w:ascii="Verdana" w:hAnsi="Verdana"/>
                <w:color w:val="000000"/>
                <w:sz w:val="16"/>
                <w:szCs w:val="16"/>
              </w:rPr>
              <w:t>-</w:t>
            </w:r>
          </w:p>
        </w:tc>
        <w:tc>
          <w:tcPr>
            <w:tcW w:w="708" w:type="dxa"/>
            <w:shd w:val="clear" w:color="auto" w:fill="auto"/>
            <w:vAlign w:val="center"/>
          </w:tcPr>
          <w:p w14:paraId="60ADB34B" w14:textId="2B37AB77" w:rsidR="0098785E" w:rsidRPr="00893171" w:rsidRDefault="0098785E" w:rsidP="0098785E">
            <w:pPr>
              <w:spacing w:before="40" w:after="60" w:line="320" w:lineRule="atLeast"/>
              <w:jc w:val="center"/>
              <w:rPr>
                <w:rFonts w:ascii="Verdana" w:hAnsi="Verdana"/>
                <w:color w:val="000000"/>
                <w:sz w:val="16"/>
                <w:szCs w:val="16"/>
              </w:rPr>
            </w:pPr>
            <w:r w:rsidRPr="00893171">
              <w:rPr>
                <w:rFonts w:ascii="Verdana" w:hAnsi="Verdana"/>
                <w:color w:val="000000"/>
                <w:sz w:val="16"/>
                <w:szCs w:val="16"/>
              </w:rPr>
              <w:t>22</w:t>
            </w:r>
          </w:p>
        </w:tc>
        <w:tc>
          <w:tcPr>
            <w:tcW w:w="709" w:type="dxa"/>
            <w:shd w:val="clear" w:color="auto" w:fill="auto"/>
            <w:vAlign w:val="center"/>
          </w:tcPr>
          <w:p w14:paraId="02C439D0" w14:textId="11B9BB6A" w:rsidR="0098785E" w:rsidRDefault="0098785E" w:rsidP="0098785E">
            <w:pPr>
              <w:spacing w:before="40" w:after="60" w:line="320" w:lineRule="atLeast"/>
              <w:jc w:val="center"/>
              <w:rPr>
                <w:rFonts w:ascii="Verdana" w:hAnsi="Verdana"/>
                <w:color w:val="000000"/>
                <w:sz w:val="16"/>
                <w:szCs w:val="16"/>
              </w:rPr>
            </w:pPr>
            <w:r>
              <w:rPr>
                <w:rFonts w:ascii="Verdana" w:hAnsi="Verdana"/>
                <w:color w:val="000000"/>
                <w:sz w:val="16"/>
                <w:szCs w:val="16"/>
              </w:rPr>
              <w:t>32</w:t>
            </w:r>
          </w:p>
        </w:tc>
        <w:tc>
          <w:tcPr>
            <w:tcW w:w="709" w:type="dxa"/>
            <w:shd w:val="clear" w:color="auto" w:fill="auto"/>
            <w:vAlign w:val="center"/>
          </w:tcPr>
          <w:p w14:paraId="3CEA93D0" w14:textId="1D579A6A" w:rsidR="0098785E" w:rsidRDefault="0098785E" w:rsidP="0098785E">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1134" w:type="dxa"/>
            <w:vAlign w:val="center"/>
          </w:tcPr>
          <w:p w14:paraId="0E3575B3" w14:textId="44CBA43B" w:rsidR="0098785E" w:rsidRDefault="0098785E" w:rsidP="0098785E">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33F1040F" w14:textId="53684F76" w:rsidR="0098785E" w:rsidRDefault="0098785E" w:rsidP="0098785E">
            <w:pPr>
              <w:spacing w:before="40" w:after="60" w:line="320" w:lineRule="atLeast"/>
              <w:jc w:val="right"/>
              <w:rPr>
                <w:rFonts w:ascii="Verdana" w:hAnsi="Verdana"/>
                <w:color w:val="000000"/>
                <w:sz w:val="16"/>
                <w:szCs w:val="16"/>
              </w:rPr>
            </w:pPr>
            <w:r>
              <w:rPr>
                <w:rFonts w:ascii="Verdana" w:hAnsi="Verdana"/>
                <w:color w:val="000000"/>
                <w:sz w:val="16"/>
                <w:szCs w:val="16"/>
              </w:rPr>
              <w:t>670,6</w:t>
            </w:r>
          </w:p>
        </w:tc>
        <w:tc>
          <w:tcPr>
            <w:tcW w:w="1134" w:type="dxa"/>
            <w:vAlign w:val="center"/>
          </w:tcPr>
          <w:p w14:paraId="4035777C" w14:textId="63BD4E83" w:rsidR="0098785E" w:rsidRDefault="0098785E" w:rsidP="0098785E">
            <w:pPr>
              <w:spacing w:before="40" w:after="60" w:line="320" w:lineRule="atLeast"/>
              <w:jc w:val="right"/>
              <w:rPr>
                <w:rFonts w:ascii="Verdana" w:hAnsi="Verdana"/>
                <w:color w:val="000000"/>
                <w:sz w:val="16"/>
                <w:szCs w:val="16"/>
              </w:rPr>
            </w:pPr>
            <w:r>
              <w:rPr>
                <w:rFonts w:ascii="Verdana" w:hAnsi="Verdana"/>
                <w:color w:val="000000"/>
                <w:sz w:val="16"/>
                <w:szCs w:val="16"/>
              </w:rPr>
              <w:t>8 716,3</w:t>
            </w:r>
          </w:p>
        </w:tc>
        <w:tc>
          <w:tcPr>
            <w:tcW w:w="992" w:type="dxa"/>
            <w:vAlign w:val="center"/>
          </w:tcPr>
          <w:p w14:paraId="5E35A730" w14:textId="7079DFF6" w:rsidR="0098785E" w:rsidRDefault="0098785E" w:rsidP="0098785E">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1276" w:type="dxa"/>
            <w:vAlign w:val="center"/>
          </w:tcPr>
          <w:p w14:paraId="4B5BBFCB" w14:textId="0FA108D8" w:rsidR="0098785E" w:rsidRDefault="00057C02" w:rsidP="0098785E">
            <w:pPr>
              <w:spacing w:before="40" w:after="60" w:line="320" w:lineRule="atLeast"/>
              <w:jc w:val="right"/>
              <w:rPr>
                <w:rFonts w:ascii="Verdana" w:hAnsi="Verdana"/>
                <w:color w:val="000000"/>
                <w:sz w:val="16"/>
                <w:szCs w:val="16"/>
              </w:rPr>
            </w:pPr>
            <w:r>
              <w:rPr>
                <w:rFonts w:ascii="Verdana" w:hAnsi="Verdana"/>
                <w:color w:val="000000"/>
                <w:sz w:val="16"/>
                <w:szCs w:val="16"/>
              </w:rPr>
              <w:t>9 386,9</w:t>
            </w:r>
          </w:p>
        </w:tc>
      </w:tr>
      <w:tr w:rsidR="0098785E" w:rsidRPr="000435BE" w14:paraId="7930D843" w14:textId="77777777" w:rsidTr="0098785E">
        <w:tc>
          <w:tcPr>
            <w:tcW w:w="709" w:type="dxa"/>
            <w:shd w:val="clear" w:color="auto" w:fill="auto"/>
          </w:tcPr>
          <w:p w14:paraId="135FD867" w14:textId="77777777" w:rsidR="0098785E" w:rsidRPr="00893171" w:rsidRDefault="0098785E" w:rsidP="0098785E">
            <w:pPr>
              <w:pStyle w:val="ListParagraph"/>
              <w:numPr>
                <w:ilvl w:val="0"/>
                <w:numId w:val="20"/>
              </w:numPr>
              <w:spacing w:before="40" w:after="60" w:line="320" w:lineRule="atLeast"/>
              <w:ind w:left="357" w:hanging="357"/>
              <w:rPr>
                <w:rFonts w:ascii="Verdana" w:hAnsi="Verdana"/>
                <w:color w:val="000000"/>
                <w:sz w:val="16"/>
                <w:szCs w:val="16"/>
              </w:rPr>
            </w:pPr>
          </w:p>
        </w:tc>
        <w:tc>
          <w:tcPr>
            <w:tcW w:w="1418" w:type="dxa"/>
            <w:gridSpan w:val="2"/>
            <w:shd w:val="clear" w:color="auto" w:fill="auto"/>
          </w:tcPr>
          <w:p w14:paraId="5EFDAE60" w14:textId="700A0C94" w:rsidR="0098785E" w:rsidRPr="00893171" w:rsidRDefault="0098785E" w:rsidP="0098785E">
            <w:pPr>
              <w:spacing w:before="40" w:after="60" w:line="320" w:lineRule="atLeast"/>
              <w:rPr>
                <w:rFonts w:ascii="Verdana" w:hAnsi="Verdana"/>
                <w:color w:val="000000" w:themeColor="text1"/>
                <w:sz w:val="16"/>
                <w:szCs w:val="16"/>
              </w:rPr>
            </w:pPr>
            <w:r w:rsidRPr="00893171">
              <w:rPr>
                <w:rFonts w:ascii="Verdana" w:hAnsi="Verdana"/>
                <w:color w:val="000000" w:themeColor="text1"/>
                <w:sz w:val="16"/>
                <w:szCs w:val="16"/>
              </w:rPr>
              <w:t>1nvest</w:t>
            </w:r>
          </w:p>
        </w:tc>
        <w:tc>
          <w:tcPr>
            <w:tcW w:w="709" w:type="dxa"/>
            <w:shd w:val="clear" w:color="auto" w:fill="auto"/>
            <w:vAlign w:val="center"/>
          </w:tcPr>
          <w:p w14:paraId="4517733D" w14:textId="4C917CB5" w:rsidR="0098785E" w:rsidRPr="00893171" w:rsidRDefault="0098785E" w:rsidP="0098785E">
            <w:pPr>
              <w:spacing w:before="40" w:after="60" w:line="320" w:lineRule="atLeast"/>
              <w:jc w:val="center"/>
              <w:rPr>
                <w:rFonts w:ascii="Verdana" w:hAnsi="Verdana"/>
                <w:color w:val="000000"/>
                <w:sz w:val="16"/>
                <w:szCs w:val="16"/>
              </w:rPr>
            </w:pPr>
            <w:r w:rsidRPr="00893171">
              <w:rPr>
                <w:rFonts w:ascii="Verdana" w:hAnsi="Verdana"/>
                <w:color w:val="000000"/>
                <w:sz w:val="16"/>
                <w:szCs w:val="16"/>
              </w:rPr>
              <w:t>16</w:t>
            </w:r>
          </w:p>
        </w:tc>
        <w:tc>
          <w:tcPr>
            <w:tcW w:w="708" w:type="dxa"/>
            <w:shd w:val="clear" w:color="auto" w:fill="auto"/>
            <w:vAlign w:val="center"/>
          </w:tcPr>
          <w:p w14:paraId="2FACC740" w14:textId="0469F7CF" w:rsidR="0098785E" w:rsidRPr="00893171" w:rsidRDefault="0098785E" w:rsidP="0098785E">
            <w:pPr>
              <w:spacing w:before="40" w:after="60" w:line="320" w:lineRule="atLeast"/>
              <w:jc w:val="center"/>
              <w:rPr>
                <w:rFonts w:ascii="Verdana" w:hAnsi="Verdana"/>
                <w:color w:val="000000"/>
                <w:sz w:val="16"/>
                <w:szCs w:val="16"/>
              </w:rPr>
            </w:pPr>
            <w:r w:rsidRPr="00893171">
              <w:rPr>
                <w:rFonts w:ascii="Verdana" w:hAnsi="Verdana"/>
                <w:color w:val="000000"/>
                <w:sz w:val="16"/>
                <w:szCs w:val="16"/>
              </w:rPr>
              <w:t>-</w:t>
            </w:r>
          </w:p>
        </w:tc>
        <w:tc>
          <w:tcPr>
            <w:tcW w:w="709" w:type="dxa"/>
            <w:shd w:val="clear" w:color="auto" w:fill="auto"/>
            <w:vAlign w:val="center"/>
          </w:tcPr>
          <w:p w14:paraId="697BCF81" w14:textId="545DD915" w:rsidR="0098785E" w:rsidRPr="00893171" w:rsidRDefault="0098785E" w:rsidP="0098785E">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709" w:type="dxa"/>
            <w:shd w:val="clear" w:color="auto" w:fill="auto"/>
            <w:vAlign w:val="center"/>
          </w:tcPr>
          <w:p w14:paraId="12649ECC" w14:textId="4A767BC9" w:rsidR="0098785E" w:rsidRPr="00893171" w:rsidRDefault="0098785E" w:rsidP="0098785E">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1134" w:type="dxa"/>
            <w:vAlign w:val="center"/>
          </w:tcPr>
          <w:p w14:paraId="392CA298" w14:textId="3366B65B" w:rsidR="0098785E" w:rsidRPr="00893171" w:rsidRDefault="0098785E" w:rsidP="0098785E">
            <w:pPr>
              <w:spacing w:before="40" w:after="60" w:line="320" w:lineRule="atLeast"/>
              <w:jc w:val="right"/>
              <w:rPr>
                <w:rFonts w:ascii="Verdana" w:hAnsi="Verdana"/>
                <w:color w:val="000000"/>
                <w:sz w:val="16"/>
                <w:szCs w:val="16"/>
              </w:rPr>
            </w:pPr>
            <w:r>
              <w:rPr>
                <w:rFonts w:ascii="Verdana" w:hAnsi="Verdana"/>
                <w:color w:val="000000"/>
                <w:sz w:val="16"/>
                <w:szCs w:val="16"/>
              </w:rPr>
              <w:t>8 080,2</w:t>
            </w:r>
          </w:p>
        </w:tc>
        <w:tc>
          <w:tcPr>
            <w:tcW w:w="992" w:type="dxa"/>
            <w:vAlign w:val="center"/>
          </w:tcPr>
          <w:p w14:paraId="00667AB0" w14:textId="086EB040" w:rsidR="0098785E" w:rsidRPr="00893171" w:rsidRDefault="0098785E" w:rsidP="0098785E">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1134" w:type="dxa"/>
            <w:vAlign w:val="center"/>
          </w:tcPr>
          <w:p w14:paraId="2461FD83" w14:textId="12BB0170" w:rsidR="0098785E" w:rsidRPr="00893171" w:rsidRDefault="0098785E" w:rsidP="0098785E">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767D60C4" w14:textId="3BA04A73" w:rsidR="0098785E" w:rsidRPr="00893171" w:rsidRDefault="0098785E" w:rsidP="0098785E">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1276" w:type="dxa"/>
            <w:vAlign w:val="center"/>
          </w:tcPr>
          <w:p w14:paraId="42F62D33" w14:textId="3BA9BD76" w:rsidR="0098785E" w:rsidRPr="00893171" w:rsidRDefault="00057C02" w:rsidP="0098785E">
            <w:pPr>
              <w:spacing w:before="40" w:after="60" w:line="320" w:lineRule="atLeast"/>
              <w:jc w:val="right"/>
              <w:rPr>
                <w:rFonts w:ascii="Verdana" w:hAnsi="Verdana"/>
                <w:color w:val="000000"/>
                <w:sz w:val="16"/>
                <w:szCs w:val="16"/>
              </w:rPr>
            </w:pPr>
            <w:r>
              <w:rPr>
                <w:rFonts w:ascii="Verdana" w:hAnsi="Verdana"/>
                <w:color w:val="000000"/>
                <w:sz w:val="16"/>
                <w:szCs w:val="16"/>
              </w:rPr>
              <w:t>8 080,2</w:t>
            </w:r>
          </w:p>
        </w:tc>
      </w:tr>
      <w:tr w:rsidR="0098785E" w:rsidRPr="000435BE" w14:paraId="4C5B2C55" w14:textId="77777777" w:rsidTr="0098785E">
        <w:tc>
          <w:tcPr>
            <w:tcW w:w="709" w:type="dxa"/>
            <w:shd w:val="clear" w:color="auto" w:fill="auto"/>
          </w:tcPr>
          <w:p w14:paraId="1A97A9C3" w14:textId="77777777" w:rsidR="0098785E" w:rsidRPr="00893171" w:rsidRDefault="0098785E" w:rsidP="0098785E">
            <w:pPr>
              <w:pStyle w:val="ListParagraph"/>
              <w:numPr>
                <w:ilvl w:val="0"/>
                <w:numId w:val="20"/>
              </w:numPr>
              <w:spacing w:before="40" w:after="60" w:line="320" w:lineRule="atLeast"/>
              <w:ind w:left="357" w:hanging="357"/>
              <w:rPr>
                <w:rFonts w:ascii="Verdana" w:hAnsi="Verdana"/>
                <w:color w:val="000000"/>
                <w:sz w:val="16"/>
                <w:szCs w:val="16"/>
              </w:rPr>
            </w:pPr>
          </w:p>
        </w:tc>
        <w:tc>
          <w:tcPr>
            <w:tcW w:w="1418" w:type="dxa"/>
            <w:gridSpan w:val="2"/>
            <w:shd w:val="clear" w:color="auto" w:fill="auto"/>
          </w:tcPr>
          <w:p w14:paraId="47586D0A" w14:textId="5B8A49C9" w:rsidR="0098785E" w:rsidRPr="00893171" w:rsidRDefault="0098785E" w:rsidP="0098785E">
            <w:pPr>
              <w:spacing w:before="40" w:after="60" w:line="320" w:lineRule="atLeast"/>
              <w:rPr>
                <w:rFonts w:ascii="Verdana" w:hAnsi="Verdana"/>
                <w:color w:val="000000"/>
                <w:sz w:val="16"/>
                <w:szCs w:val="16"/>
              </w:rPr>
            </w:pPr>
            <w:r w:rsidRPr="00893171">
              <w:rPr>
                <w:rFonts w:ascii="Verdana" w:hAnsi="Verdana"/>
                <w:color w:val="000000"/>
                <w:sz w:val="16"/>
                <w:szCs w:val="16"/>
              </w:rPr>
              <w:t>Standard Bank</w:t>
            </w:r>
          </w:p>
        </w:tc>
        <w:tc>
          <w:tcPr>
            <w:tcW w:w="709" w:type="dxa"/>
            <w:shd w:val="clear" w:color="auto" w:fill="auto"/>
            <w:vAlign w:val="center"/>
          </w:tcPr>
          <w:p w14:paraId="265BF240" w14:textId="633D9097" w:rsidR="0098785E" w:rsidRPr="00893171" w:rsidRDefault="0098785E" w:rsidP="0098785E">
            <w:pPr>
              <w:spacing w:before="40" w:after="60" w:line="320" w:lineRule="atLeast"/>
              <w:jc w:val="center"/>
              <w:rPr>
                <w:rFonts w:ascii="Verdana" w:hAnsi="Verdana"/>
                <w:color w:val="000000"/>
                <w:sz w:val="16"/>
                <w:szCs w:val="16"/>
              </w:rPr>
            </w:pPr>
            <w:r w:rsidRPr="00893171">
              <w:rPr>
                <w:rFonts w:ascii="Verdana" w:hAnsi="Verdana"/>
                <w:color w:val="000000"/>
                <w:sz w:val="16"/>
                <w:szCs w:val="16"/>
              </w:rPr>
              <w:t>-</w:t>
            </w:r>
          </w:p>
        </w:tc>
        <w:tc>
          <w:tcPr>
            <w:tcW w:w="708" w:type="dxa"/>
            <w:shd w:val="clear" w:color="auto" w:fill="auto"/>
            <w:vAlign w:val="center"/>
          </w:tcPr>
          <w:p w14:paraId="30693E05" w14:textId="4BE0D243" w:rsidR="0098785E" w:rsidRPr="00893171" w:rsidRDefault="0098785E" w:rsidP="0098785E">
            <w:pPr>
              <w:spacing w:before="40" w:after="60" w:line="320" w:lineRule="atLeast"/>
              <w:jc w:val="center"/>
              <w:rPr>
                <w:rFonts w:ascii="Verdana" w:hAnsi="Verdana"/>
                <w:color w:val="000000"/>
                <w:sz w:val="16"/>
                <w:szCs w:val="16"/>
              </w:rPr>
            </w:pPr>
            <w:r w:rsidRPr="00893171">
              <w:rPr>
                <w:rFonts w:ascii="Verdana" w:hAnsi="Verdana"/>
                <w:color w:val="000000"/>
                <w:sz w:val="16"/>
                <w:szCs w:val="16"/>
              </w:rPr>
              <w:t>2</w:t>
            </w:r>
          </w:p>
        </w:tc>
        <w:tc>
          <w:tcPr>
            <w:tcW w:w="709" w:type="dxa"/>
            <w:shd w:val="clear" w:color="auto" w:fill="auto"/>
            <w:vAlign w:val="center"/>
          </w:tcPr>
          <w:p w14:paraId="507D0534" w14:textId="0AEF3347" w:rsidR="0098785E" w:rsidRDefault="0098785E" w:rsidP="0098785E">
            <w:pPr>
              <w:spacing w:before="40" w:after="60" w:line="320" w:lineRule="atLeast"/>
              <w:jc w:val="center"/>
              <w:rPr>
                <w:rFonts w:ascii="Verdana" w:hAnsi="Verdana"/>
                <w:color w:val="000000"/>
                <w:sz w:val="16"/>
                <w:szCs w:val="16"/>
              </w:rPr>
            </w:pPr>
            <w:r>
              <w:rPr>
                <w:rFonts w:ascii="Verdana" w:hAnsi="Verdana"/>
                <w:color w:val="000000"/>
                <w:sz w:val="16"/>
                <w:szCs w:val="16"/>
              </w:rPr>
              <w:t>12</w:t>
            </w:r>
          </w:p>
        </w:tc>
        <w:tc>
          <w:tcPr>
            <w:tcW w:w="709" w:type="dxa"/>
            <w:shd w:val="clear" w:color="auto" w:fill="auto"/>
            <w:vAlign w:val="center"/>
          </w:tcPr>
          <w:p w14:paraId="673D8F5A" w14:textId="158EE397" w:rsidR="0098785E" w:rsidRDefault="0098785E" w:rsidP="0098785E">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1134" w:type="dxa"/>
            <w:vAlign w:val="center"/>
          </w:tcPr>
          <w:p w14:paraId="3FB16C60" w14:textId="25BDE58F" w:rsidR="0098785E" w:rsidRDefault="0098785E" w:rsidP="0098785E">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1497824F" w14:textId="011C604A" w:rsidR="0098785E" w:rsidRDefault="0098785E" w:rsidP="0098785E">
            <w:pPr>
              <w:spacing w:before="40" w:after="60" w:line="320" w:lineRule="atLeast"/>
              <w:jc w:val="right"/>
              <w:rPr>
                <w:rFonts w:ascii="Verdana" w:hAnsi="Verdana"/>
                <w:color w:val="000000"/>
                <w:sz w:val="16"/>
                <w:szCs w:val="16"/>
              </w:rPr>
            </w:pPr>
            <w:r>
              <w:rPr>
                <w:rFonts w:ascii="Verdana" w:hAnsi="Verdana"/>
                <w:color w:val="000000"/>
                <w:sz w:val="16"/>
                <w:szCs w:val="16"/>
              </w:rPr>
              <w:t>1 336,7</w:t>
            </w:r>
          </w:p>
        </w:tc>
        <w:tc>
          <w:tcPr>
            <w:tcW w:w="1134" w:type="dxa"/>
            <w:vAlign w:val="center"/>
          </w:tcPr>
          <w:p w14:paraId="136EC59A" w14:textId="38A6B958" w:rsidR="0098785E" w:rsidRDefault="0098785E" w:rsidP="0098785E">
            <w:pPr>
              <w:spacing w:before="40" w:after="60" w:line="320" w:lineRule="atLeast"/>
              <w:jc w:val="right"/>
              <w:rPr>
                <w:rFonts w:ascii="Verdana" w:hAnsi="Verdana"/>
                <w:color w:val="000000"/>
                <w:sz w:val="16"/>
                <w:szCs w:val="16"/>
              </w:rPr>
            </w:pPr>
            <w:r>
              <w:rPr>
                <w:rFonts w:ascii="Verdana" w:hAnsi="Verdana"/>
                <w:color w:val="000000"/>
                <w:sz w:val="16"/>
                <w:szCs w:val="16"/>
              </w:rPr>
              <w:t>1 354,8</w:t>
            </w:r>
          </w:p>
        </w:tc>
        <w:tc>
          <w:tcPr>
            <w:tcW w:w="992" w:type="dxa"/>
            <w:vAlign w:val="center"/>
          </w:tcPr>
          <w:p w14:paraId="1B9F6191" w14:textId="6F21433A" w:rsidR="0098785E" w:rsidRDefault="0098785E" w:rsidP="0098785E">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1276" w:type="dxa"/>
            <w:vAlign w:val="center"/>
          </w:tcPr>
          <w:p w14:paraId="4C6EA921" w14:textId="16566AF0" w:rsidR="0098785E" w:rsidRDefault="00057C02" w:rsidP="0098785E">
            <w:pPr>
              <w:spacing w:before="40" w:after="60" w:line="320" w:lineRule="atLeast"/>
              <w:jc w:val="right"/>
              <w:rPr>
                <w:rFonts w:ascii="Verdana" w:hAnsi="Verdana"/>
                <w:color w:val="000000"/>
                <w:sz w:val="16"/>
                <w:szCs w:val="16"/>
              </w:rPr>
            </w:pPr>
            <w:r>
              <w:rPr>
                <w:rFonts w:ascii="Verdana" w:hAnsi="Verdana"/>
                <w:color w:val="000000"/>
                <w:sz w:val="16"/>
                <w:szCs w:val="16"/>
              </w:rPr>
              <w:t>2 691,5</w:t>
            </w:r>
          </w:p>
        </w:tc>
      </w:tr>
      <w:tr w:rsidR="0098785E" w:rsidRPr="000435BE" w14:paraId="52119AA7" w14:textId="77777777" w:rsidTr="0098785E">
        <w:tc>
          <w:tcPr>
            <w:tcW w:w="709" w:type="dxa"/>
            <w:shd w:val="clear" w:color="auto" w:fill="auto"/>
          </w:tcPr>
          <w:p w14:paraId="356AAFBE" w14:textId="77777777" w:rsidR="0098785E" w:rsidRPr="00893171" w:rsidRDefault="0098785E" w:rsidP="0098785E">
            <w:pPr>
              <w:pStyle w:val="ListParagraph"/>
              <w:numPr>
                <w:ilvl w:val="0"/>
                <w:numId w:val="20"/>
              </w:numPr>
              <w:spacing w:before="40" w:after="60" w:line="320" w:lineRule="atLeast"/>
              <w:ind w:left="357" w:hanging="357"/>
              <w:rPr>
                <w:rFonts w:ascii="Verdana" w:hAnsi="Verdana"/>
                <w:color w:val="000000"/>
                <w:sz w:val="16"/>
                <w:szCs w:val="16"/>
              </w:rPr>
            </w:pPr>
          </w:p>
        </w:tc>
        <w:tc>
          <w:tcPr>
            <w:tcW w:w="1418" w:type="dxa"/>
            <w:gridSpan w:val="2"/>
            <w:shd w:val="clear" w:color="auto" w:fill="auto"/>
          </w:tcPr>
          <w:p w14:paraId="58E4D7A1" w14:textId="1DF904A8" w:rsidR="0098785E" w:rsidRPr="00893171" w:rsidRDefault="0098785E" w:rsidP="0098785E">
            <w:pPr>
              <w:spacing w:before="40" w:after="60" w:line="320" w:lineRule="atLeast"/>
              <w:rPr>
                <w:rFonts w:ascii="Verdana" w:hAnsi="Verdana"/>
                <w:color w:val="000000"/>
                <w:sz w:val="16"/>
                <w:szCs w:val="16"/>
              </w:rPr>
            </w:pPr>
            <w:r w:rsidRPr="00893171">
              <w:rPr>
                <w:rFonts w:ascii="Verdana" w:hAnsi="Verdana"/>
                <w:color w:val="000000"/>
                <w:sz w:val="16"/>
                <w:szCs w:val="16"/>
              </w:rPr>
              <w:t>Prescient Management</w:t>
            </w:r>
          </w:p>
        </w:tc>
        <w:tc>
          <w:tcPr>
            <w:tcW w:w="709" w:type="dxa"/>
            <w:shd w:val="clear" w:color="auto" w:fill="auto"/>
            <w:vAlign w:val="center"/>
          </w:tcPr>
          <w:p w14:paraId="5E311088" w14:textId="485B9573" w:rsidR="0098785E" w:rsidRPr="00893171" w:rsidRDefault="0098785E" w:rsidP="0098785E">
            <w:pPr>
              <w:spacing w:before="40" w:after="60" w:line="320" w:lineRule="atLeast"/>
              <w:jc w:val="center"/>
              <w:rPr>
                <w:rFonts w:ascii="Verdana" w:hAnsi="Verdana"/>
                <w:color w:val="000000"/>
                <w:sz w:val="16"/>
                <w:szCs w:val="16"/>
              </w:rPr>
            </w:pPr>
            <w:r>
              <w:rPr>
                <w:rFonts w:ascii="Verdana" w:hAnsi="Verdana"/>
                <w:color w:val="000000"/>
                <w:sz w:val="16"/>
                <w:szCs w:val="16"/>
              </w:rPr>
              <w:t>3</w:t>
            </w:r>
          </w:p>
        </w:tc>
        <w:tc>
          <w:tcPr>
            <w:tcW w:w="708" w:type="dxa"/>
            <w:shd w:val="clear" w:color="auto" w:fill="auto"/>
            <w:vAlign w:val="center"/>
          </w:tcPr>
          <w:p w14:paraId="1B541178" w14:textId="77777777" w:rsidR="0098785E" w:rsidRPr="00893171" w:rsidRDefault="0098785E" w:rsidP="0098785E">
            <w:pPr>
              <w:spacing w:before="40" w:after="60" w:line="320" w:lineRule="atLeast"/>
              <w:jc w:val="center"/>
              <w:rPr>
                <w:rFonts w:ascii="Verdana" w:hAnsi="Verdana"/>
                <w:color w:val="000000"/>
                <w:sz w:val="16"/>
                <w:szCs w:val="16"/>
              </w:rPr>
            </w:pPr>
          </w:p>
        </w:tc>
        <w:tc>
          <w:tcPr>
            <w:tcW w:w="709" w:type="dxa"/>
            <w:shd w:val="clear" w:color="auto" w:fill="auto"/>
            <w:vAlign w:val="center"/>
          </w:tcPr>
          <w:p w14:paraId="17FAF5DF" w14:textId="21BB209D" w:rsidR="0098785E" w:rsidRPr="00893171" w:rsidRDefault="0098785E" w:rsidP="0098785E">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709" w:type="dxa"/>
            <w:shd w:val="clear" w:color="auto" w:fill="auto"/>
            <w:vAlign w:val="center"/>
          </w:tcPr>
          <w:p w14:paraId="032ED6D4" w14:textId="0A00D584" w:rsidR="0098785E" w:rsidRPr="00893171" w:rsidRDefault="0098785E" w:rsidP="0098785E">
            <w:pPr>
              <w:spacing w:before="40" w:after="60" w:line="320" w:lineRule="atLeast"/>
              <w:jc w:val="center"/>
              <w:rPr>
                <w:rFonts w:ascii="Verdana" w:hAnsi="Verdana"/>
                <w:color w:val="000000"/>
                <w:sz w:val="16"/>
                <w:szCs w:val="16"/>
              </w:rPr>
            </w:pPr>
            <w:r>
              <w:rPr>
                <w:rFonts w:ascii="Verdana" w:hAnsi="Verdana"/>
                <w:color w:val="000000"/>
                <w:sz w:val="16"/>
                <w:szCs w:val="16"/>
              </w:rPr>
              <w:t>3</w:t>
            </w:r>
          </w:p>
        </w:tc>
        <w:tc>
          <w:tcPr>
            <w:tcW w:w="1134" w:type="dxa"/>
            <w:vAlign w:val="center"/>
          </w:tcPr>
          <w:p w14:paraId="36F43944" w14:textId="042A255A" w:rsidR="0098785E" w:rsidRPr="00893171" w:rsidRDefault="0098785E" w:rsidP="0098785E">
            <w:pPr>
              <w:spacing w:before="40" w:after="60" w:line="320" w:lineRule="atLeast"/>
              <w:jc w:val="right"/>
              <w:rPr>
                <w:rFonts w:ascii="Verdana" w:hAnsi="Verdana"/>
                <w:color w:val="000000"/>
                <w:sz w:val="16"/>
                <w:szCs w:val="16"/>
              </w:rPr>
            </w:pPr>
            <w:r>
              <w:rPr>
                <w:rFonts w:ascii="Verdana" w:hAnsi="Verdana"/>
                <w:color w:val="000000"/>
                <w:sz w:val="16"/>
                <w:szCs w:val="16"/>
              </w:rPr>
              <w:t>191,6</w:t>
            </w:r>
          </w:p>
        </w:tc>
        <w:tc>
          <w:tcPr>
            <w:tcW w:w="992" w:type="dxa"/>
            <w:vAlign w:val="center"/>
          </w:tcPr>
          <w:p w14:paraId="5245ACA9" w14:textId="0E8A4F20" w:rsidR="0098785E" w:rsidRPr="00893171" w:rsidRDefault="0098785E" w:rsidP="0098785E">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1134" w:type="dxa"/>
            <w:vAlign w:val="center"/>
          </w:tcPr>
          <w:p w14:paraId="0D8288B6" w14:textId="188ADB3B" w:rsidR="0098785E" w:rsidRPr="00893171" w:rsidRDefault="0098785E" w:rsidP="0098785E">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55FDC0C3" w14:textId="736DC5C9" w:rsidR="0098785E" w:rsidRPr="00893171" w:rsidRDefault="0098785E" w:rsidP="0098785E">
            <w:pPr>
              <w:spacing w:before="40" w:after="60" w:line="320" w:lineRule="atLeast"/>
              <w:jc w:val="right"/>
              <w:rPr>
                <w:rFonts w:ascii="Verdana" w:hAnsi="Verdana"/>
                <w:color w:val="000000"/>
                <w:sz w:val="16"/>
                <w:szCs w:val="16"/>
              </w:rPr>
            </w:pPr>
            <w:r>
              <w:rPr>
                <w:rFonts w:ascii="Verdana" w:hAnsi="Verdana"/>
                <w:color w:val="000000"/>
                <w:sz w:val="16"/>
                <w:szCs w:val="16"/>
              </w:rPr>
              <w:t>16,9</w:t>
            </w:r>
          </w:p>
        </w:tc>
        <w:tc>
          <w:tcPr>
            <w:tcW w:w="1276" w:type="dxa"/>
            <w:vAlign w:val="center"/>
          </w:tcPr>
          <w:p w14:paraId="02D8CBDD" w14:textId="04BAAB68" w:rsidR="0098785E" w:rsidRPr="00893171" w:rsidRDefault="00057C02" w:rsidP="0098785E">
            <w:pPr>
              <w:spacing w:before="40" w:after="60" w:line="320" w:lineRule="atLeast"/>
              <w:jc w:val="right"/>
              <w:rPr>
                <w:rFonts w:ascii="Verdana" w:hAnsi="Verdana"/>
                <w:color w:val="000000"/>
                <w:sz w:val="16"/>
                <w:szCs w:val="16"/>
              </w:rPr>
            </w:pPr>
            <w:r>
              <w:rPr>
                <w:rFonts w:ascii="Verdana" w:hAnsi="Verdana"/>
                <w:color w:val="000000"/>
                <w:sz w:val="16"/>
                <w:szCs w:val="16"/>
              </w:rPr>
              <w:t>208,5</w:t>
            </w:r>
          </w:p>
        </w:tc>
      </w:tr>
      <w:tr w:rsidR="0098785E" w:rsidRPr="000435BE" w14:paraId="0F1A63F0" w14:textId="77777777" w:rsidTr="0098785E">
        <w:tc>
          <w:tcPr>
            <w:tcW w:w="709" w:type="dxa"/>
            <w:shd w:val="clear" w:color="auto" w:fill="auto"/>
          </w:tcPr>
          <w:p w14:paraId="1C6357A5" w14:textId="77777777" w:rsidR="0098785E" w:rsidRPr="00893171" w:rsidRDefault="0098785E" w:rsidP="0098785E">
            <w:pPr>
              <w:pStyle w:val="ListParagraph"/>
              <w:numPr>
                <w:ilvl w:val="0"/>
                <w:numId w:val="20"/>
              </w:numPr>
              <w:spacing w:before="40" w:after="60" w:line="320" w:lineRule="atLeast"/>
              <w:ind w:left="357" w:hanging="357"/>
              <w:rPr>
                <w:rFonts w:ascii="Verdana" w:hAnsi="Verdana"/>
                <w:color w:val="000000"/>
                <w:sz w:val="16"/>
                <w:szCs w:val="16"/>
              </w:rPr>
            </w:pPr>
          </w:p>
        </w:tc>
        <w:tc>
          <w:tcPr>
            <w:tcW w:w="1418" w:type="dxa"/>
            <w:gridSpan w:val="2"/>
            <w:shd w:val="clear" w:color="auto" w:fill="auto"/>
          </w:tcPr>
          <w:p w14:paraId="2A260978" w14:textId="708D0BD2" w:rsidR="0098785E" w:rsidRPr="00893171" w:rsidRDefault="0098785E" w:rsidP="0098785E">
            <w:pPr>
              <w:spacing w:before="40" w:after="60" w:line="320" w:lineRule="atLeast"/>
              <w:rPr>
                <w:rFonts w:ascii="Verdana" w:hAnsi="Verdana"/>
                <w:color w:val="000000"/>
                <w:sz w:val="16"/>
                <w:szCs w:val="16"/>
              </w:rPr>
            </w:pPr>
            <w:r w:rsidRPr="00893171">
              <w:rPr>
                <w:rFonts w:ascii="Verdana" w:hAnsi="Verdana"/>
                <w:color w:val="000000"/>
                <w:sz w:val="16"/>
                <w:szCs w:val="16"/>
              </w:rPr>
              <w:t>Easy Equities</w:t>
            </w:r>
          </w:p>
        </w:tc>
        <w:tc>
          <w:tcPr>
            <w:tcW w:w="709" w:type="dxa"/>
            <w:shd w:val="clear" w:color="auto" w:fill="auto"/>
            <w:vAlign w:val="center"/>
          </w:tcPr>
          <w:p w14:paraId="104600BC" w14:textId="1B1F97C9" w:rsidR="0098785E" w:rsidRPr="00893171" w:rsidRDefault="0098785E" w:rsidP="0098785E">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708" w:type="dxa"/>
            <w:shd w:val="clear" w:color="auto" w:fill="auto"/>
            <w:vAlign w:val="center"/>
          </w:tcPr>
          <w:p w14:paraId="22AE40D2" w14:textId="6BE5BB6C" w:rsidR="0098785E" w:rsidRPr="00893171" w:rsidRDefault="0098785E" w:rsidP="0098785E">
            <w:pPr>
              <w:spacing w:before="40" w:after="60" w:line="320" w:lineRule="atLeast"/>
              <w:jc w:val="center"/>
              <w:rPr>
                <w:rFonts w:ascii="Verdana" w:hAnsi="Verdana"/>
                <w:color w:val="000000"/>
                <w:sz w:val="16"/>
                <w:szCs w:val="16"/>
              </w:rPr>
            </w:pPr>
            <w:r w:rsidRPr="00893171">
              <w:rPr>
                <w:rFonts w:ascii="Verdana" w:hAnsi="Verdana"/>
                <w:color w:val="000000"/>
                <w:sz w:val="16"/>
                <w:szCs w:val="16"/>
              </w:rPr>
              <w:t>-</w:t>
            </w:r>
          </w:p>
        </w:tc>
        <w:tc>
          <w:tcPr>
            <w:tcW w:w="709" w:type="dxa"/>
            <w:shd w:val="clear" w:color="auto" w:fill="auto"/>
            <w:vAlign w:val="center"/>
          </w:tcPr>
          <w:p w14:paraId="32044595" w14:textId="22DEF3FD" w:rsidR="0098785E" w:rsidRPr="00893171" w:rsidRDefault="0098785E" w:rsidP="0098785E">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709" w:type="dxa"/>
            <w:shd w:val="clear" w:color="auto" w:fill="auto"/>
            <w:vAlign w:val="center"/>
          </w:tcPr>
          <w:p w14:paraId="6896F25A" w14:textId="5E42F94A" w:rsidR="0098785E" w:rsidRPr="00893171" w:rsidRDefault="0098785E" w:rsidP="0098785E">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1134" w:type="dxa"/>
            <w:vAlign w:val="center"/>
          </w:tcPr>
          <w:p w14:paraId="01DC6088" w14:textId="31978D83" w:rsidR="0098785E" w:rsidRPr="00893171" w:rsidRDefault="0098785E" w:rsidP="0098785E">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4EA2C843" w14:textId="6B0A2FDA" w:rsidR="0098785E" w:rsidRPr="00893171" w:rsidRDefault="0098785E" w:rsidP="0098785E">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1134" w:type="dxa"/>
            <w:vAlign w:val="center"/>
          </w:tcPr>
          <w:p w14:paraId="50E98A7D" w14:textId="2209297F" w:rsidR="0098785E" w:rsidRPr="00893171" w:rsidRDefault="0098785E" w:rsidP="0098785E">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7E700237" w14:textId="55499E17" w:rsidR="0098785E" w:rsidRPr="00893171" w:rsidRDefault="0098785E" w:rsidP="0098785E">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1276" w:type="dxa"/>
            <w:vAlign w:val="center"/>
          </w:tcPr>
          <w:p w14:paraId="2A11FCC2" w14:textId="386B704B" w:rsidR="0098785E" w:rsidRPr="00893171" w:rsidRDefault="00057C02" w:rsidP="0098785E">
            <w:pPr>
              <w:spacing w:before="40" w:after="60" w:line="320" w:lineRule="atLeast"/>
              <w:jc w:val="right"/>
              <w:rPr>
                <w:rFonts w:ascii="Verdana" w:hAnsi="Verdana"/>
                <w:color w:val="000000"/>
                <w:sz w:val="16"/>
                <w:szCs w:val="16"/>
              </w:rPr>
            </w:pPr>
            <w:r>
              <w:rPr>
                <w:rFonts w:ascii="Verdana" w:hAnsi="Verdana"/>
                <w:color w:val="000000"/>
                <w:sz w:val="16"/>
                <w:szCs w:val="16"/>
              </w:rPr>
              <w:t>Suspended</w:t>
            </w:r>
          </w:p>
        </w:tc>
      </w:tr>
      <w:tr w:rsidR="0098785E" w:rsidRPr="000435BE" w14:paraId="1AE5CE6C" w14:textId="77777777" w:rsidTr="0098785E">
        <w:tc>
          <w:tcPr>
            <w:tcW w:w="2127" w:type="dxa"/>
            <w:gridSpan w:val="3"/>
            <w:shd w:val="clear" w:color="auto" w:fill="auto"/>
          </w:tcPr>
          <w:p w14:paraId="0278B047" w14:textId="77777777" w:rsidR="0098785E" w:rsidRPr="00893171" w:rsidRDefault="0098785E" w:rsidP="0098785E">
            <w:pPr>
              <w:spacing w:before="40" w:after="60" w:line="320" w:lineRule="atLeast"/>
              <w:rPr>
                <w:rFonts w:ascii="Verdana" w:hAnsi="Verdana"/>
                <w:b/>
                <w:color w:val="000000"/>
                <w:sz w:val="16"/>
                <w:szCs w:val="16"/>
              </w:rPr>
            </w:pPr>
            <w:r w:rsidRPr="00893171">
              <w:rPr>
                <w:rFonts w:ascii="Verdana" w:hAnsi="Verdana"/>
                <w:b/>
                <w:color w:val="000000"/>
                <w:sz w:val="16"/>
                <w:szCs w:val="16"/>
              </w:rPr>
              <w:t>Totals</w:t>
            </w:r>
          </w:p>
        </w:tc>
        <w:tc>
          <w:tcPr>
            <w:tcW w:w="709" w:type="dxa"/>
            <w:shd w:val="clear" w:color="auto" w:fill="auto"/>
            <w:vAlign w:val="center"/>
          </w:tcPr>
          <w:p w14:paraId="6B0F4F35" w14:textId="045E19F8" w:rsidR="0098785E" w:rsidRPr="00893171" w:rsidRDefault="0098785E" w:rsidP="0098785E">
            <w:pPr>
              <w:spacing w:before="40" w:after="60" w:line="320" w:lineRule="atLeast"/>
              <w:jc w:val="center"/>
              <w:rPr>
                <w:rFonts w:ascii="Verdana" w:hAnsi="Verdana"/>
                <w:b/>
                <w:color w:val="000000"/>
                <w:sz w:val="16"/>
                <w:szCs w:val="16"/>
              </w:rPr>
            </w:pPr>
            <w:r w:rsidRPr="00893171">
              <w:rPr>
                <w:rFonts w:ascii="Verdana" w:hAnsi="Verdana"/>
                <w:b/>
                <w:color w:val="000000"/>
                <w:sz w:val="16"/>
                <w:szCs w:val="16"/>
              </w:rPr>
              <w:t>9</w:t>
            </w:r>
            <w:r>
              <w:rPr>
                <w:rFonts w:ascii="Verdana" w:hAnsi="Verdana"/>
                <w:b/>
                <w:color w:val="000000"/>
                <w:sz w:val="16"/>
                <w:szCs w:val="16"/>
              </w:rPr>
              <w:t>2</w:t>
            </w:r>
          </w:p>
        </w:tc>
        <w:tc>
          <w:tcPr>
            <w:tcW w:w="708" w:type="dxa"/>
            <w:shd w:val="clear" w:color="auto" w:fill="auto"/>
            <w:vAlign w:val="center"/>
          </w:tcPr>
          <w:p w14:paraId="1EDDA768" w14:textId="15EF903A" w:rsidR="0098785E" w:rsidRPr="00893171" w:rsidRDefault="0098785E" w:rsidP="0098785E">
            <w:pPr>
              <w:spacing w:before="40" w:after="60" w:line="320" w:lineRule="atLeast"/>
              <w:jc w:val="center"/>
              <w:rPr>
                <w:rFonts w:ascii="Verdana" w:hAnsi="Verdana"/>
                <w:b/>
                <w:color w:val="000000"/>
                <w:sz w:val="16"/>
                <w:szCs w:val="16"/>
              </w:rPr>
            </w:pPr>
            <w:r>
              <w:rPr>
                <w:rFonts w:ascii="Verdana" w:hAnsi="Verdana"/>
                <w:b/>
                <w:color w:val="000000"/>
                <w:sz w:val="16"/>
                <w:szCs w:val="16"/>
              </w:rPr>
              <w:t>69</w:t>
            </w:r>
          </w:p>
        </w:tc>
        <w:tc>
          <w:tcPr>
            <w:tcW w:w="709" w:type="dxa"/>
            <w:shd w:val="clear" w:color="auto" w:fill="auto"/>
            <w:vAlign w:val="center"/>
          </w:tcPr>
          <w:p w14:paraId="0E44A6A2" w14:textId="67398AE7" w:rsidR="0098785E" w:rsidRPr="00893171" w:rsidRDefault="0098785E" w:rsidP="0098785E">
            <w:pPr>
              <w:spacing w:before="40" w:after="60" w:line="320" w:lineRule="atLeast"/>
              <w:jc w:val="center"/>
              <w:rPr>
                <w:rFonts w:ascii="Verdana" w:hAnsi="Verdana"/>
                <w:b/>
                <w:color w:val="000000"/>
                <w:sz w:val="16"/>
                <w:szCs w:val="16"/>
              </w:rPr>
            </w:pPr>
            <w:r>
              <w:rPr>
                <w:rFonts w:ascii="Verdana" w:hAnsi="Verdana"/>
                <w:b/>
                <w:color w:val="000000"/>
                <w:sz w:val="16"/>
                <w:szCs w:val="16"/>
              </w:rPr>
              <w:t>44</w:t>
            </w:r>
          </w:p>
        </w:tc>
        <w:tc>
          <w:tcPr>
            <w:tcW w:w="709" w:type="dxa"/>
            <w:shd w:val="clear" w:color="auto" w:fill="auto"/>
            <w:vAlign w:val="center"/>
          </w:tcPr>
          <w:p w14:paraId="455EA608" w14:textId="29F7A670" w:rsidR="0098785E" w:rsidRPr="00893171" w:rsidRDefault="0098785E" w:rsidP="0098785E">
            <w:pPr>
              <w:spacing w:before="40" w:after="60" w:line="320" w:lineRule="atLeast"/>
              <w:jc w:val="center"/>
              <w:rPr>
                <w:rFonts w:ascii="Verdana" w:hAnsi="Verdana"/>
                <w:b/>
                <w:color w:val="000000"/>
                <w:sz w:val="16"/>
                <w:szCs w:val="16"/>
              </w:rPr>
            </w:pPr>
            <w:r>
              <w:rPr>
                <w:rFonts w:ascii="Verdana" w:hAnsi="Verdana"/>
                <w:b/>
                <w:color w:val="000000"/>
                <w:sz w:val="16"/>
                <w:szCs w:val="16"/>
              </w:rPr>
              <w:t>6</w:t>
            </w:r>
          </w:p>
        </w:tc>
        <w:tc>
          <w:tcPr>
            <w:tcW w:w="1134" w:type="dxa"/>
            <w:vAlign w:val="center"/>
          </w:tcPr>
          <w:p w14:paraId="5B146289" w14:textId="41E3872F" w:rsidR="0098785E" w:rsidRPr="00893171" w:rsidRDefault="0098785E" w:rsidP="0098785E">
            <w:pPr>
              <w:spacing w:before="40" w:after="60" w:line="320" w:lineRule="atLeast"/>
              <w:jc w:val="right"/>
              <w:rPr>
                <w:rFonts w:ascii="Verdana" w:hAnsi="Verdana"/>
                <w:b/>
                <w:color w:val="000000"/>
                <w:sz w:val="16"/>
                <w:szCs w:val="16"/>
              </w:rPr>
            </w:pPr>
            <w:r>
              <w:rPr>
                <w:rFonts w:ascii="Verdana" w:hAnsi="Verdana"/>
                <w:b/>
                <w:color w:val="000000"/>
                <w:sz w:val="16"/>
                <w:szCs w:val="16"/>
              </w:rPr>
              <w:t>146 205,8</w:t>
            </w:r>
          </w:p>
        </w:tc>
        <w:tc>
          <w:tcPr>
            <w:tcW w:w="992" w:type="dxa"/>
            <w:vAlign w:val="center"/>
          </w:tcPr>
          <w:p w14:paraId="5A71C76E" w14:textId="15D241CC" w:rsidR="0098785E" w:rsidRPr="00893171" w:rsidRDefault="0098785E" w:rsidP="0098785E">
            <w:pPr>
              <w:spacing w:before="40" w:after="60" w:line="320" w:lineRule="atLeast"/>
              <w:jc w:val="right"/>
              <w:rPr>
                <w:rFonts w:ascii="Verdana" w:hAnsi="Verdana"/>
                <w:b/>
                <w:color w:val="000000"/>
                <w:sz w:val="16"/>
                <w:szCs w:val="16"/>
              </w:rPr>
            </w:pPr>
            <w:r>
              <w:rPr>
                <w:rFonts w:ascii="Verdana" w:hAnsi="Verdana"/>
                <w:b/>
                <w:color w:val="000000"/>
                <w:sz w:val="16"/>
                <w:szCs w:val="16"/>
              </w:rPr>
              <w:t>7 426,7</w:t>
            </w:r>
          </w:p>
        </w:tc>
        <w:tc>
          <w:tcPr>
            <w:tcW w:w="1134" w:type="dxa"/>
            <w:vAlign w:val="center"/>
          </w:tcPr>
          <w:p w14:paraId="6E63DEC5" w14:textId="4E49166B" w:rsidR="0098785E" w:rsidRPr="00893171" w:rsidRDefault="0098785E" w:rsidP="0098785E">
            <w:pPr>
              <w:spacing w:before="40" w:after="60" w:line="320" w:lineRule="atLeast"/>
              <w:jc w:val="right"/>
              <w:rPr>
                <w:rFonts w:ascii="Verdana" w:hAnsi="Verdana"/>
                <w:b/>
                <w:color w:val="000000"/>
                <w:sz w:val="16"/>
                <w:szCs w:val="16"/>
              </w:rPr>
            </w:pPr>
            <w:r>
              <w:rPr>
                <w:rFonts w:ascii="Verdana" w:hAnsi="Verdana"/>
                <w:b/>
                <w:color w:val="000000"/>
                <w:sz w:val="16"/>
                <w:szCs w:val="16"/>
              </w:rPr>
              <w:t>10 071,1</w:t>
            </w:r>
          </w:p>
        </w:tc>
        <w:tc>
          <w:tcPr>
            <w:tcW w:w="992" w:type="dxa"/>
            <w:vAlign w:val="center"/>
          </w:tcPr>
          <w:p w14:paraId="3815159C" w14:textId="3483D342" w:rsidR="0098785E" w:rsidRPr="00893171" w:rsidRDefault="0098785E" w:rsidP="0098785E">
            <w:pPr>
              <w:spacing w:before="40" w:after="60" w:line="320" w:lineRule="atLeast"/>
              <w:jc w:val="right"/>
              <w:rPr>
                <w:rFonts w:ascii="Verdana" w:hAnsi="Verdana"/>
                <w:b/>
                <w:color w:val="000000"/>
                <w:sz w:val="16"/>
                <w:szCs w:val="16"/>
              </w:rPr>
            </w:pPr>
            <w:r>
              <w:rPr>
                <w:rFonts w:ascii="Verdana" w:hAnsi="Verdana"/>
                <w:b/>
                <w:color w:val="000000"/>
                <w:sz w:val="16"/>
                <w:szCs w:val="16"/>
              </w:rPr>
              <w:t>1 706,1</w:t>
            </w:r>
          </w:p>
        </w:tc>
        <w:tc>
          <w:tcPr>
            <w:tcW w:w="1276" w:type="dxa"/>
            <w:vAlign w:val="center"/>
          </w:tcPr>
          <w:p w14:paraId="1BEAD478" w14:textId="29E6DFBD" w:rsidR="0098785E" w:rsidRPr="00893171" w:rsidRDefault="00057C02" w:rsidP="0098785E">
            <w:pPr>
              <w:spacing w:before="40" w:after="60" w:line="320" w:lineRule="atLeast"/>
              <w:jc w:val="right"/>
              <w:rPr>
                <w:rFonts w:ascii="Verdana" w:hAnsi="Verdana"/>
                <w:b/>
                <w:color w:val="000000"/>
                <w:sz w:val="16"/>
                <w:szCs w:val="16"/>
              </w:rPr>
            </w:pPr>
            <w:r>
              <w:rPr>
                <w:rFonts w:ascii="Verdana" w:hAnsi="Verdana"/>
                <w:b/>
                <w:color w:val="000000"/>
                <w:sz w:val="16"/>
                <w:szCs w:val="16"/>
              </w:rPr>
              <w:t>165 409,7</w:t>
            </w:r>
          </w:p>
        </w:tc>
      </w:tr>
      <w:tr w:rsidR="0098785E" w:rsidRPr="006B3D57" w14:paraId="7434251C" w14:textId="77777777" w:rsidTr="00893171">
        <w:trPr>
          <w:trHeight w:val="217"/>
        </w:trPr>
        <w:tc>
          <w:tcPr>
            <w:tcW w:w="1276" w:type="dxa"/>
            <w:gridSpan w:val="2"/>
            <w:tcBorders>
              <w:right w:val="nil"/>
            </w:tcBorders>
            <w:shd w:val="clear" w:color="auto" w:fill="auto"/>
            <w:vAlign w:val="center"/>
          </w:tcPr>
          <w:p w14:paraId="7D2CBC01" w14:textId="77777777" w:rsidR="0098785E" w:rsidRPr="000435BE" w:rsidRDefault="0098785E" w:rsidP="0098785E">
            <w:pPr>
              <w:spacing w:after="40" w:line="260" w:lineRule="atLeast"/>
              <w:rPr>
                <w:rFonts w:ascii="Verdana" w:hAnsi="Verdana"/>
                <w:i/>
                <w:color w:val="000000"/>
                <w:sz w:val="14"/>
                <w:szCs w:val="14"/>
              </w:rPr>
            </w:pPr>
            <w:r w:rsidRPr="000435BE">
              <w:rPr>
                <w:rFonts w:ascii="Verdana" w:hAnsi="Verdana"/>
                <w:i/>
                <w:color w:val="000000"/>
                <w:sz w:val="14"/>
                <w:szCs w:val="14"/>
              </w:rPr>
              <w:t>Source:</w:t>
            </w:r>
          </w:p>
        </w:tc>
        <w:tc>
          <w:tcPr>
            <w:tcW w:w="9214" w:type="dxa"/>
            <w:gridSpan w:val="10"/>
            <w:tcBorders>
              <w:left w:val="nil"/>
            </w:tcBorders>
            <w:shd w:val="clear" w:color="auto" w:fill="auto"/>
            <w:vAlign w:val="center"/>
          </w:tcPr>
          <w:p w14:paraId="38356A19" w14:textId="786FEF1A" w:rsidR="0098785E" w:rsidRPr="00573EA2" w:rsidRDefault="0098785E" w:rsidP="0098785E">
            <w:pPr>
              <w:spacing w:after="40" w:line="260" w:lineRule="atLeast"/>
              <w:rPr>
                <w:rFonts w:ascii="Verdana" w:hAnsi="Verdana"/>
                <w:i/>
                <w:color w:val="000000"/>
                <w:sz w:val="14"/>
                <w:szCs w:val="14"/>
                <w:lang w:val="it-IT"/>
              </w:rPr>
            </w:pPr>
            <w:r w:rsidRPr="00573EA2">
              <w:rPr>
                <w:rFonts w:ascii="Verdana" w:hAnsi="Verdana"/>
                <w:i/>
                <w:color w:val="000000"/>
                <w:sz w:val="14"/>
                <w:szCs w:val="14"/>
                <w:lang w:val="it-IT"/>
              </w:rPr>
              <w:t xml:space="preserve">etfSA.co.za </w:t>
            </w:r>
            <w:r>
              <w:rPr>
                <w:rFonts w:ascii="Verdana" w:hAnsi="Verdana"/>
                <w:i/>
                <w:color w:val="000000"/>
                <w:sz w:val="14"/>
                <w:szCs w:val="14"/>
                <w:lang w:val="it-IT"/>
              </w:rPr>
              <w:t xml:space="preserve">– Market Capitalisation – SA Industry Report </w:t>
            </w:r>
            <w:r w:rsidRPr="00573EA2">
              <w:rPr>
                <w:rFonts w:ascii="Verdana" w:hAnsi="Verdana"/>
                <w:i/>
                <w:color w:val="000000"/>
                <w:sz w:val="14"/>
                <w:szCs w:val="14"/>
                <w:lang w:val="it-IT"/>
              </w:rPr>
              <w:t>(</w:t>
            </w:r>
            <w:r>
              <w:rPr>
                <w:rFonts w:ascii="Verdana" w:hAnsi="Verdana"/>
                <w:i/>
                <w:color w:val="000000"/>
                <w:sz w:val="14"/>
                <w:szCs w:val="14"/>
                <w:lang w:val="it-IT"/>
              </w:rPr>
              <w:t>29</w:t>
            </w:r>
            <w:r w:rsidRPr="00573EA2">
              <w:rPr>
                <w:rFonts w:ascii="Verdana" w:hAnsi="Verdana"/>
                <w:i/>
                <w:color w:val="000000"/>
                <w:sz w:val="14"/>
                <w:szCs w:val="14"/>
                <w:lang w:val="it-IT"/>
              </w:rPr>
              <w:t>/</w:t>
            </w:r>
            <w:r>
              <w:rPr>
                <w:rFonts w:ascii="Verdana" w:hAnsi="Verdana"/>
                <w:i/>
                <w:color w:val="000000"/>
                <w:sz w:val="14"/>
                <w:szCs w:val="14"/>
                <w:lang w:val="it-IT"/>
              </w:rPr>
              <w:t>12</w:t>
            </w:r>
            <w:r w:rsidRPr="00573EA2">
              <w:rPr>
                <w:rFonts w:ascii="Verdana" w:hAnsi="Verdana"/>
                <w:i/>
                <w:color w:val="000000"/>
                <w:sz w:val="14"/>
                <w:szCs w:val="14"/>
                <w:lang w:val="it-IT"/>
              </w:rPr>
              <w:t>/202</w:t>
            </w:r>
            <w:r>
              <w:rPr>
                <w:rFonts w:ascii="Verdana" w:hAnsi="Verdana"/>
                <w:i/>
                <w:color w:val="000000"/>
                <w:sz w:val="14"/>
                <w:szCs w:val="14"/>
                <w:lang w:val="it-IT"/>
              </w:rPr>
              <w:t>3</w:t>
            </w:r>
            <w:r w:rsidRPr="00573EA2">
              <w:rPr>
                <w:rFonts w:ascii="Verdana" w:hAnsi="Verdana"/>
                <w:i/>
                <w:color w:val="000000"/>
                <w:sz w:val="14"/>
                <w:szCs w:val="14"/>
                <w:lang w:val="it-IT"/>
              </w:rPr>
              <w:t xml:space="preserve">). </w:t>
            </w:r>
          </w:p>
        </w:tc>
      </w:tr>
    </w:tbl>
    <w:p w14:paraId="425C8AE8" w14:textId="77777777" w:rsidR="00980547" w:rsidRDefault="00980547" w:rsidP="00980547">
      <w:pPr>
        <w:spacing w:before="100" w:after="0" w:line="340" w:lineRule="atLeast"/>
        <w:jc w:val="both"/>
        <w:rPr>
          <w:rFonts w:ascii="Verdana" w:hAnsi="Verdana"/>
          <w:color w:val="000000"/>
          <w:sz w:val="21"/>
          <w:szCs w:val="21"/>
        </w:rPr>
      </w:pPr>
      <w:r w:rsidRPr="00D13577">
        <w:rPr>
          <w:rFonts w:ascii="Verdana" w:hAnsi="Verdana"/>
          <w:color w:val="000000"/>
          <w:sz w:val="21"/>
          <w:szCs w:val="21"/>
        </w:rPr>
        <w:t>A</w:t>
      </w:r>
      <w:r>
        <w:rPr>
          <w:rFonts w:ascii="Verdana" w:hAnsi="Verdana"/>
          <w:color w:val="000000"/>
          <w:sz w:val="21"/>
          <w:szCs w:val="21"/>
        </w:rPr>
        <w:t xml:space="preserve">s at 29 December, the total size (market cap) of the South African ETF industry, was R165 409,7 million, with 211 ETP products in issue.  Table D, above, shows the dispersion of products amongst the 10 issuing houses that currently list ETPs on the JSE. </w:t>
      </w:r>
    </w:p>
    <w:p w14:paraId="7349CC08" w14:textId="77777777" w:rsidR="00980547" w:rsidRDefault="00980547" w:rsidP="00980547">
      <w:pPr>
        <w:spacing w:before="100" w:after="0" w:line="340" w:lineRule="atLeast"/>
        <w:jc w:val="both"/>
        <w:rPr>
          <w:rFonts w:ascii="Verdana" w:hAnsi="Verdana"/>
          <w:color w:val="000000"/>
          <w:sz w:val="21"/>
          <w:szCs w:val="21"/>
        </w:rPr>
      </w:pPr>
      <w:r w:rsidRPr="009C65B3">
        <w:rPr>
          <w:rFonts w:ascii="Verdana" w:hAnsi="Verdana"/>
          <w:b/>
          <w:bCs/>
          <w:color w:val="000000"/>
          <w:sz w:val="21"/>
          <w:szCs w:val="21"/>
        </w:rPr>
        <w:t>Satrix Managers</w:t>
      </w:r>
      <w:r>
        <w:rPr>
          <w:rFonts w:ascii="Verdana" w:hAnsi="Verdana"/>
          <w:color w:val="000000"/>
          <w:sz w:val="21"/>
          <w:szCs w:val="21"/>
        </w:rPr>
        <w:t xml:space="preserve">, is the dominant force in the SA listed tracker fund industry and has increased its lead at the top of the able in terms of assets under management, which now total R52,3 billion. </w:t>
      </w:r>
    </w:p>
    <w:p w14:paraId="7125425E" w14:textId="77777777" w:rsidR="00980547" w:rsidRDefault="00980547" w:rsidP="00980547">
      <w:pPr>
        <w:spacing w:before="100" w:after="0" w:line="340" w:lineRule="atLeast"/>
        <w:jc w:val="both"/>
        <w:rPr>
          <w:rFonts w:ascii="Verdana" w:hAnsi="Verdana"/>
          <w:color w:val="000000"/>
          <w:sz w:val="21"/>
          <w:szCs w:val="21"/>
        </w:rPr>
      </w:pPr>
      <w:r w:rsidRPr="009C65B3">
        <w:rPr>
          <w:rFonts w:ascii="Verdana" w:hAnsi="Verdana"/>
          <w:b/>
          <w:bCs/>
          <w:color w:val="000000"/>
          <w:sz w:val="21"/>
          <w:szCs w:val="21"/>
        </w:rPr>
        <w:t>Sygnia Itrix</w:t>
      </w:r>
      <w:r>
        <w:rPr>
          <w:rFonts w:ascii="Verdana" w:hAnsi="Verdana"/>
          <w:color w:val="000000"/>
          <w:sz w:val="21"/>
          <w:szCs w:val="21"/>
        </w:rPr>
        <w:t xml:space="preserve"> remains the second largest issuing house, but is falling steadily behind Satrix, as it has a smaller range of products, focussing mainly on global equity indices, compared with Satrix’s far wider range of products. </w:t>
      </w:r>
    </w:p>
    <w:p w14:paraId="3D700CE8" w14:textId="08C1E6BB" w:rsidR="00980547" w:rsidRDefault="00980547" w:rsidP="00980547">
      <w:pPr>
        <w:spacing w:before="100" w:after="0" w:line="340" w:lineRule="atLeast"/>
        <w:jc w:val="both"/>
        <w:rPr>
          <w:rFonts w:ascii="Verdana" w:hAnsi="Verdana"/>
          <w:color w:val="000000"/>
          <w:sz w:val="21"/>
          <w:szCs w:val="21"/>
        </w:rPr>
      </w:pPr>
      <w:r w:rsidRPr="009C65B3">
        <w:rPr>
          <w:rFonts w:ascii="Verdana" w:hAnsi="Verdana"/>
          <w:b/>
          <w:bCs/>
          <w:color w:val="000000"/>
          <w:sz w:val="21"/>
          <w:szCs w:val="21"/>
        </w:rPr>
        <w:t>Absa Capital,</w:t>
      </w:r>
      <w:r>
        <w:rPr>
          <w:rFonts w:ascii="Verdana" w:hAnsi="Verdana"/>
          <w:color w:val="000000"/>
          <w:sz w:val="21"/>
          <w:szCs w:val="21"/>
        </w:rPr>
        <w:t xml:space="preserve"> having disposed of most its ETFs to Satrix as part of the sale of Absa Asset Management to Sanlam, is holding its position as number three in the industry.  However, its product range is limited, only focussed on the volatile commodity markets and its future strategy will be awaited with interest. </w:t>
      </w:r>
    </w:p>
    <w:p w14:paraId="7630C21E" w14:textId="77777777" w:rsidR="002E1517" w:rsidRDefault="00B01CAB" w:rsidP="00057C02">
      <w:pPr>
        <w:spacing w:before="240" w:after="0" w:line="320" w:lineRule="atLeast"/>
        <w:jc w:val="both"/>
        <w:rPr>
          <w:rFonts w:ascii="Verdana" w:hAnsi="Verdana"/>
          <w:color w:val="000000"/>
          <w:sz w:val="21"/>
          <w:szCs w:val="21"/>
        </w:rPr>
      </w:pPr>
      <w:r>
        <w:rPr>
          <w:rFonts w:ascii="Verdana" w:hAnsi="Verdana"/>
          <w:color w:val="000000"/>
          <w:sz w:val="21"/>
          <w:szCs w:val="21"/>
        </w:rPr>
        <w:t>Strong competition exists for the nex</w:t>
      </w:r>
      <w:r w:rsidR="001E3615">
        <w:rPr>
          <w:rFonts w:ascii="Verdana" w:hAnsi="Verdana"/>
          <w:color w:val="000000"/>
          <w:sz w:val="21"/>
          <w:szCs w:val="21"/>
        </w:rPr>
        <w:t>t</w:t>
      </w:r>
      <w:r>
        <w:rPr>
          <w:rFonts w:ascii="Verdana" w:hAnsi="Verdana"/>
          <w:color w:val="000000"/>
          <w:sz w:val="21"/>
          <w:szCs w:val="21"/>
        </w:rPr>
        <w:t xml:space="preserve"> spot in the issuing house league table.  </w:t>
      </w:r>
      <w:r w:rsidRPr="009C65B3">
        <w:rPr>
          <w:rFonts w:ascii="Verdana" w:hAnsi="Verdana"/>
          <w:b/>
          <w:bCs/>
          <w:color w:val="000000"/>
          <w:sz w:val="21"/>
          <w:szCs w:val="21"/>
        </w:rPr>
        <w:t xml:space="preserve">10X, </w:t>
      </w:r>
      <w:r w:rsidR="001E3615" w:rsidRPr="009C65B3">
        <w:rPr>
          <w:rFonts w:ascii="Verdana" w:hAnsi="Verdana"/>
          <w:b/>
          <w:bCs/>
          <w:color w:val="000000"/>
          <w:sz w:val="21"/>
          <w:szCs w:val="21"/>
        </w:rPr>
        <w:t>formerly</w:t>
      </w:r>
      <w:r w:rsidRPr="009C65B3">
        <w:rPr>
          <w:rFonts w:ascii="Verdana" w:hAnsi="Verdana"/>
          <w:b/>
          <w:bCs/>
          <w:color w:val="000000"/>
          <w:sz w:val="21"/>
          <w:szCs w:val="21"/>
        </w:rPr>
        <w:t xml:space="preserve"> CoreShares,</w:t>
      </w:r>
      <w:r>
        <w:rPr>
          <w:rFonts w:ascii="Verdana" w:hAnsi="Verdana"/>
          <w:color w:val="000000"/>
          <w:sz w:val="21"/>
          <w:szCs w:val="21"/>
        </w:rPr>
        <w:t xml:space="preserve"> has </w:t>
      </w:r>
      <w:r w:rsidR="006D66CE">
        <w:rPr>
          <w:rFonts w:ascii="Verdana" w:hAnsi="Verdana"/>
          <w:color w:val="000000"/>
          <w:sz w:val="21"/>
          <w:szCs w:val="21"/>
        </w:rPr>
        <w:t xml:space="preserve">moved </w:t>
      </w:r>
      <w:r>
        <w:rPr>
          <w:rFonts w:ascii="Verdana" w:hAnsi="Verdana"/>
          <w:color w:val="000000"/>
          <w:sz w:val="21"/>
          <w:szCs w:val="21"/>
        </w:rPr>
        <w:t>into f</w:t>
      </w:r>
      <w:r w:rsidR="006D66CE">
        <w:rPr>
          <w:rFonts w:ascii="Verdana" w:hAnsi="Verdana"/>
          <w:color w:val="000000"/>
          <w:sz w:val="21"/>
          <w:szCs w:val="21"/>
        </w:rPr>
        <w:t>ourth</w:t>
      </w:r>
      <w:r>
        <w:rPr>
          <w:rFonts w:ascii="Verdana" w:hAnsi="Verdana"/>
          <w:color w:val="000000"/>
          <w:sz w:val="21"/>
          <w:szCs w:val="21"/>
        </w:rPr>
        <w:t xml:space="preserve"> position, just ahead of First Rand/FNB.  </w:t>
      </w:r>
    </w:p>
    <w:p w14:paraId="4B309E9F" w14:textId="23421421" w:rsidR="00980547" w:rsidRDefault="002E1517" w:rsidP="00980547">
      <w:pPr>
        <w:spacing w:before="100" w:after="0" w:line="320" w:lineRule="atLeast"/>
        <w:jc w:val="both"/>
        <w:rPr>
          <w:rFonts w:ascii="Verdana" w:hAnsi="Verdana"/>
          <w:color w:val="000000"/>
          <w:sz w:val="21"/>
          <w:szCs w:val="21"/>
        </w:rPr>
      </w:pPr>
      <w:r>
        <w:rPr>
          <w:rFonts w:ascii="Verdana" w:hAnsi="Verdana"/>
          <w:color w:val="000000"/>
          <w:sz w:val="21"/>
          <w:szCs w:val="21"/>
        </w:rPr>
        <w:t xml:space="preserve">Another close contest is between the </w:t>
      </w:r>
      <w:r w:rsidR="007A15D3" w:rsidRPr="007F321D">
        <w:rPr>
          <w:rFonts w:ascii="Verdana" w:hAnsi="Verdana"/>
          <w:b/>
          <w:bCs/>
          <w:color w:val="000000"/>
          <w:sz w:val="21"/>
          <w:szCs w:val="21"/>
        </w:rPr>
        <w:t>Union</w:t>
      </w:r>
      <w:r w:rsidRPr="007F321D">
        <w:rPr>
          <w:rFonts w:ascii="Verdana" w:hAnsi="Verdana"/>
          <w:b/>
          <w:bCs/>
          <w:color w:val="000000"/>
          <w:sz w:val="21"/>
          <w:szCs w:val="21"/>
        </w:rPr>
        <w:t xml:space="preserve"> Bank of Switzerland (UBS),</w:t>
      </w:r>
      <w:r>
        <w:rPr>
          <w:rFonts w:ascii="Verdana" w:hAnsi="Verdana"/>
          <w:color w:val="000000"/>
          <w:sz w:val="21"/>
          <w:szCs w:val="21"/>
        </w:rPr>
        <w:t xml:space="preserve"> which has the largest number of ETPs in issue (54), with its family of index tracking ETNs and Actively Managed Certificates, and </w:t>
      </w:r>
      <w:r w:rsidRPr="007F321D">
        <w:rPr>
          <w:rFonts w:ascii="Verdana" w:hAnsi="Verdana"/>
          <w:b/>
          <w:bCs/>
          <w:color w:val="000000"/>
          <w:sz w:val="21"/>
          <w:szCs w:val="21"/>
        </w:rPr>
        <w:t>FNB/First Rand</w:t>
      </w:r>
      <w:r>
        <w:rPr>
          <w:rFonts w:ascii="Verdana" w:hAnsi="Verdana"/>
          <w:color w:val="000000"/>
          <w:sz w:val="21"/>
          <w:szCs w:val="21"/>
        </w:rPr>
        <w:t>, which has 8 classic ETPs and 40 single stock tracking ETNs</w:t>
      </w:r>
      <w:r w:rsidR="00980547">
        <w:rPr>
          <w:rFonts w:ascii="Verdana" w:hAnsi="Verdana"/>
          <w:color w:val="000000"/>
          <w:sz w:val="21"/>
          <w:szCs w:val="21"/>
        </w:rPr>
        <w:t>.</w:t>
      </w:r>
      <w:r w:rsidR="00B01CAB">
        <w:rPr>
          <w:rFonts w:ascii="Verdana" w:hAnsi="Verdana"/>
          <w:color w:val="000000"/>
          <w:sz w:val="21"/>
          <w:szCs w:val="21"/>
        </w:rPr>
        <w:t xml:space="preserve"> </w:t>
      </w:r>
      <w:r w:rsidR="00980547">
        <w:rPr>
          <w:rFonts w:ascii="Verdana" w:hAnsi="Verdana"/>
          <w:color w:val="000000"/>
          <w:sz w:val="21"/>
          <w:szCs w:val="21"/>
        </w:rPr>
        <w:br w:type="page"/>
      </w:r>
    </w:p>
    <w:p w14:paraId="0E45FC1A" w14:textId="77777777" w:rsidR="009E05E9" w:rsidRDefault="009E05E9" w:rsidP="00692911">
      <w:pPr>
        <w:spacing w:before="100" w:after="0" w:line="320" w:lineRule="atLeast"/>
        <w:jc w:val="both"/>
        <w:rPr>
          <w:rFonts w:ascii="Verdana" w:hAnsi="Verdana"/>
          <w:color w:val="000000"/>
          <w:sz w:val="21"/>
          <w:szCs w:val="21"/>
        </w:rPr>
      </w:pPr>
    </w:p>
    <w:p w14:paraId="0BD8BDDA" w14:textId="6FA9B764" w:rsidR="004E69A5" w:rsidRPr="004544E3" w:rsidRDefault="004E69A5" w:rsidP="004E69A5">
      <w:pPr>
        <w:pStyle w:val="ListParagraph"/>
        <w:spacing w:after="0" w:line="320" w:lineRule="atLeast"/>
        <w:jc w:val="center"/>
        <w:rPr>
          <w:rFonts w:ascii="Verdana" w:hAnsi="Verdana"/>
          <w:b/>
          <w:bCs/>
          <w:color w:val="C00000"/>
        </w:rPr>
      </w:pPr>
      <w:r>
        <w:rPr>
          <w:rFonts w:ascii="Verdana" w:hAnsi="Verdana"/>
          <w:b/>
          <w:bCs/>
          <w:color w:val="C00000"/>
        </w:rPr>
        <w:t>INDIVIDUAL ISSUING HOUSES</w:t>
      </w:r>
    </w:p>
    <w:p w14:paraId="61A45363" w14:textId="000DBD43" w:rsidR="001D4816" w:rsidRDefault="00FC7926" w:rsidP="00AF4229">
      <w:pPr>
        <w:spacing w:before="200" w:after="40" w:line="340" w:lineRule="atLeast"/>
        <w:jc w:val="both"/>
        <w:rPr>
          <w:rFonts w:ascii="Verdana" w:hAnsi="Verdana"/>
          <w:color w:val="000000"/>
          <w:sz w:val="21"/>
          <w:szCs w:val="21"/>
        </w:rPr>
      </w:pPr>
      <w:r w:rsidRPr="006C0C1F">
        <w:rPr>
          <w:rFonts w:ascii="Verdana" w:hAnsi="Verdana"/>
          <w:b/>
          <w:bCs/>
          <w:color w:val="C00000"/>
          <w:sz w:val="21"/>
          <w:szCs w:val="21"/>
        </w:rPr>
        <w:t>Satrix Managers</w:t>
      </w:r>
      <w:r w:rsidRPr="006C0C1F">
        <w:rPr>
          <w:rFonts w:ascii="Verdana" w:hAnsi="Verdana"/>
          <w:color w:val="C00000"/>
          <w:sz w:val="21"/>
          <w:szCs w:val="21"/>
        </w:rPr>
        <w:t xml:space="preserve"> </w:t>
      </w:r>
      <w:r w:rsidRPr="003E6D07">
        <w:rPr>
          <w:rFonts w:ascii="Verdana" w:hAnsi="Verdana"/>
          <w:color w:val="000000"/>
          <w:sz w:val="21"/>
          <w:szCs w:val="21"/>
        </w:rPr>
        <w:t>–</w:t>
      </w:r>
      <w:r w:rsidR="00057C02">
        <w:rPr>
          <w:rFonts w:ascii="Verdana" w:hAnsi="Verdana"/>
          <w:color w:val="000000"/>
          <w:sz w:val="21"/>
          <w:szCs w:val="21"/>
        </w:rPr>
        <w:t xml:space="preserve"> Satrix has a clear lead in terms of AUM, for the SA ETP industry.  As the pioneer of the Exchange Traded Fund market, when it listed the first ETF on the JSE in 2000, it appears appropriate that, in recent years, Satrix has </w:t>
      </w:r>
      <w:r w:rsidR="00980547">
        <w:rPr>
          <w:rFonts w:ascii="Verdana" w:hAnsi="Verdana"/>
          <w:color w:val="000000"/>
          <w:sz w:val="21"/>
          <w:szCs w:val="21"/>
        </w:rPr>
        <w:t xml:space="preserve">again </w:t>
      </w:r>
      <w:r w:rsidR="00057C02">
        <w:rPr>
          <w:rFonts w:ascii="Verdana" w:hAnsi="Verdana"/>
          <w:color w:val="000000"/>
          <w:sz w:val="21"/>
          <w:szCs w:val="21"/>
        </w:rPr>
        <w:t xml:space="preserve">become the </w:t>
      </w:r>
      <w:r w:rsidR="007A15D3">
        <w:rPr>
          <w:rFonts w:ascii="Verdana" w:hAnsi="Verdana"/>
          <w:color w:val="000000"/>
          <w:sz w:val="21"/>
          <w:szCs w:val="21"/>
        </w:rPr>
        <w:t>dominant</w:t>
      </w:r>
      <w:r w:rsidR="00057C02">
        <w:rPr>
          <w:rFonts w:ascii="Verdana" w:hAnsi="Verdana"/>
          <w:color w:val="000000"/>
          <w:sz w:val="21"/>
          <w:szCs w:val="21"/>
        </w:rPr>
        <w:t xml:space="preserve"> issuer of exchange listed products in South Africa.  </w:t>
      </w:r>
    </w:p>
    <w:p w14:paraId="18F3F649" w14:textId="01F23CCE" w:rsidR="00057C02" w:rsidRDefault="00057C02" w:rsidP="00AF4229">
      <w:pPr>
        <w:spacing w:before="200" w:after="40" w:line="340" w:lineRule="atLeast"/>
        <w:jc w:val="both"/>
        <w:rPr>
          <w:rFonts w:ascii="Verdana" w:hAnsi="Verdana"/>
          <w:color w:val="000000"/>
          <w:sz w:val="21"/>
          <w:szCs w:val="21"/>
        </w:rPr>
      </w:pPr>
      <w:r>
        <w:rPr>
          <w:rFonts w:ascii="Verdana" w:hAnsi="Verdana"/>
          <w:color w:val="000000"/>
          <w:sz w:val="21"/>
          <w:szCs w:val="21"/>
        </w:rPr>
        <w:t>2023 appears to have been a</w:t>
      </w:r>
      <w:r w:rsidR="00980547">
        <w:rPr>
          <w:rFonts w:ascii="Verdana" w:hAnsi="Verdana"/>
          <w:color w:val="000000"/>
          <w:sz w:val="21"/>
          <w:szCs w:val="21"/>
        </w:rPr>
        <w:t xml:space="preserve"> more</w:t>
      </w:r>
      <w:r>
        <w:rPr>
          <w:rFonts w:ascii="Verdana" w:hAnsi="Verdana"/>
          <w:color w:val="000000"/>
          <w:sz w:val="21"/>
          <w:szCs w:val="21"/>
        </w:rPr>
        <w:t xml:space="preserve"> difficult year for Satrix.  Of the 37 ETFs issued by Satrix, 18 of these ETFs experienced redemptions in capital during the past y</w:t>
      </w:r>
      <w:r w:rsidR="00980547">
        <w:rPr>
          <w:rFonts w:ascii="Verdana" w:hAnsi="Verdana"/>
          <w:color w:val="000000"/>
          <w:sz w:val="21"/>
          <w:szCs w:val="21"/>
        </w:rPr>
        <w:t>e</w:t>
      </w:r>
      <w:r>
        <w:rPr>
          <w:rFonts w:ascii="Verdana" w:hAnsi="Verdana"/>
          <w:color w:val="000000"/>
          <w:sz w:val="21"/>
          <w:szCs w:val="21"/>
        </w:rPr>
        <w:t>ar.  Much of this was associat</w:t>
      </w:r>
      <w:r w:rsidR="00D81B05">
        <w:rPr>
          <w:rFonts w:ascii="Verdana" w:hAnsi="Verdana"/>
          <w:color w:val="000000"/>
          <w:sz w:val="21"/>
          <w:szCs w:val="21"/>
        </w:rPr>
        <w:t>ed</w:t>
      </w:r>
      <w:r>
        <w:rPr>
          <w:rFonts w:ascii="Verdana" w:hAnsi="Verdana"/>
          <w:color w:val="000000"/>
          <w:sz w:val="21"/>
          <w:szCs w:val="21"/>
        </w:rPr>
        <w:t xml:space="preserve"> with consolidating </w:t>
      </w:r>
      <w:r w:rsidR="00D81B05">
        <w:rPr>
          <w:rFonts w:ascii="Verdana" w:hAnsi="Verdana"/>
          <w:color w:val="000000"/>
          <w:sz w:val="21"/>
          <w:szCs w:val="21"/>
        </w:rPr>
        <w:t xml:space="preserve">existing </w:t>
      </w:r>
      <w:r>
        <w:rPr>
          <w:rFonts w:ascii="Verdana" w:hAnsi="Verdana"/>
          <w:color w:val="000000"/>
          <w:sz w:val="21"/>
          <w:szCs w:val="21"/>
        </w:rPr>
        <w:t xml:space="preserve">Satrix ETF products with ETFs taken over from Absa Capital, often tracking the same indices and markets.  Possibly as a consequence of </w:t>
      </w:r>
      <w:r w:rsidR="005D477C">
        <w:rPr>
          <w:rFonts w:ascii="Verdana" w:hAnsi="Verdana"/>
          <w:color w:val="000000"/>
          <w:sz w:val="21"/>
          <w:szCs w:val="21"/>
        </w:rPr>
        <w:t xml:space="preserve">this, Satrix did not list any new ETFs last year and have, so far, not publically shown any interest in actively managed ETFs and certificates. </w:t>
      </w:r>
    </w:p>
    <w:p w14:paraId="13D9237B" w14:textId="5A92476F" w:rsidR="005D477C" w:rsidRDefault="005D477C" w:rsidP="00AF4229">
      <w:pPr>
        <w:spacing w:before="200" w:after="40" w:line="340" w:lineRule="atLeast"/>
        <w:jc w:val="both"/>
        <w:rPr>
          <w:rFonts w:ascii="Verdana" w:hAnsi="Verdana"/>
          <w:color w:val="000000"/>
          <w:sz w:val="21"/>
          <w:szCs w:val="21"/>
        </w:rPr>
      </w:pPr>
      <w:r>
        <w:rPr>
          <w:rFonts w:ascii="Verdana" w:hAnsi="Verdana"/>
          <w:color w:val="000000"/>
          <w:sz w:val="21"/>
          <w:szCs w:val="21"/>
        </w:rPr>
        <w:t xml:space="preserve">Where Satrix had some success last year was attracting new capital in global ETFs they issue, such as the World, S&amp;P 500, Nasdaq and Global Aggregate Bond ETFs. </w:t>
      </w:r>
    </w:p>
    <w:p w14:paraId="7B5BA185" w14:textId="5719EDEF" w:rsidR="000A23EE" w:rsidRDefault="00FC7926" w:rsidP="00AF4229">
      <w:pPr>
        <w:spacing w:before="200" w:after="40" w:line="340" w:lineRule="atLeast"/>
        <w:jc w:val="both"/>
        <w:rPr>
          <w:rFonts w:ascii="Verdana" w:hAnsi="Verdana"/>
          <w:color w:val="000000"/>
          <w:sz w:val="21"/>
          <w:szCs w:val="21"/>
        </w:rPr>
      </w:pPr>
      <w:r w:rsidRPr="006C0C1F">
        <w:rPr>
          <w:rFonts w:ascii="Verdana" w:hAnsi="Verdana"/>
          <w:b/>
          <w:bCs/>
          <w:color w:val="C00000"/>
          <w:sz w:val="21"/>
          <w:szCs w:val="21"/>
        </w:rPr>
        <w:t>Sygnia Itrix</w:t>
      </w:r>
      <w:r w:rsidRPr="006C0C1F">
        <w:rPr>
          <w:rFonts w:ascii="Verdana" w:hAnsi="Verdana"/>
          <w:color w:val="C00000"/>
          <w:sz w:val="21"/>
          <w:szCs w:val="21"/>
        </w:rPr>
        <w:t xml:space="preserve"> </w:t>
      </w:r>
      <w:r w:rsidRPr="00DE7139">
        <w:rPr>
          <w:rFonts w:ascii="Verdana" w:hAnsi="Verdana"/>
          <w:color w:val="000000"/>
          <w:sz w:val="21"/>
          <w:szCs w:val="21"/>
        </w:rPr>
        <w:t>–</w:t>
      </w:r>
      <w:r w:rsidR="00755DEC">
        <w:rPr>
          <w:rFonts w:ascii="Verdana" w:hAnsi="Verdana"/>
          <w:color w:val="000000"/>
          <w:sz w:val="21"/>
          <w:szCs w:val="21"/>
        </w:rPr>
        <w:t xml:space="preserve"> </w:t>
      </w:r>
      <w:r w:rsidR="002A6445">
        <w:rPr>
          <w:rFonts w:ascii="Verdana" w:hAnsi="Verdana"/>
          <w:color w:val="000000"/>
          <w:sz w:val="21"/>
          <w:szCs w:val="21"/>
        </w:rPr>
        <w:t xml:space="preserve"> </w:t>
      </w:r>
      <w:r w:rsidR="000A23EE">
        <w:rPr>
          <w:rFonts w:ascii="Verdana" w:hAnsi="Verdana"/>
          <w:color w:val="000000"/>
          <w:sz w:val="21"/>
          <w:szCs w:val="21"/>
        </w:rPr>
        <w:t xml:space="preserve">Total AUM for Sygnia increased from R32,8 billion at the end of 2022 to R41,1 billion in December 2023.  This increase resulted from market movements, rather than attracting new capital, as a net </w:t>
      </w:r>
      <w:r w:rsidR="00AF4229">
        <w:rPr>
          <w:rFonts w:ascii="Verdana" w:hAnsi="Verdana"/>
          <w:color w:val="000000"/>
          <w:sz w:val="21"/>
          <w:szCs w:val="21"/>
        </w:rPr>
        <w:t>R</w:t>
      </w:r>
      <w:r w:rsidR="000A23EE">
        <w:rPr>
          <w:rFonts w:ascii="Verdana" w:hAnsi="Verdana"/>
          <w:color w:val="000000"/>
          <w:sz w:val="21"/>
          <w:szCs w:val="21"/>
        </w:rPr>
        <w:t>1 </w:t>
      </w:r>
      <w:r w:rsidR="00AF4229">
        <w:rPr>
          <w:rFonts w:ascii="Verdana" w:hAnsi="Verdana"/>
          <w:color w:val="000000"/>
          <w:sz w:val="21"/>
          <w:szCs w:val="21"/>
        </w:rPr>
        <w:t>669</w:t>
      </w:r>
      <w:r w:rsidR="000A23EE">
        <w:rPr>
          <w:rFonts w:ascii="Verdana" w:hAnsi="Verdana"/>
          <w:color w:val="000000"/>
          <w:sz w:val="21"/>
          <w:szCs w:val="21"/>
        </w:rPr>
        <w:t>,</w:t>
      </w:r>
      <w:r w:rsidR="00AF4229">
        <w:rPr>
          <w:rFonts w:ascii="Verdana" w:hAnsi="Verdana"/>
          <w:color w:val="000000"/>
          <w:sz w:val="21"/>
          <w:szCs w:val="21"/>
        </w:rPr>
        <w:t>6</w:t>
      </w:r>
      <w:r w:rsidR="000A23EE">
        <w:rPr>
          <w:rFonts w:ascii="Verdana" w:hAnsi="Verdana"/>
          <w:color w:val="000000"/>
          <w:sz w:val="21"/>
          <w:szCs w:val="21"/>
        </w:rPr>
        <w:t xml:space="preserve"> </w:t>
      </w:r>
      <w:r w:rsidR="007A15D3">
        <w:rPr>
          <w:rFonts w:ascii="Verdana" w:hAnsi="Verdana"/>
          <w:color w:val="000000"/>
          <w:sz w:val="21"/>
          <w:szCs w:val="21"/>
        </w:rPr>
        <w:t>million</w:t>
      </w:r>
      <w:r w:rsidR="000A23EE">
        <w:rPr>
          <w:rFonts w:ascii="Verdana" w:hAnsi="Verdana"/>
          <w:color w:val="000000"/>
          <w:sz w:val="21"/>
          <w:szCs w:val="21"/>
        </w:rPr>
        <w:t xml:space="preserve"> was redeemed in Sygnia Itrix ETFs during the year. </w:t>
      </w:r>
    </w:p>
    <w:p w14:paraId="0731A3E0" w14:textId="18C9C790" w:rsidR="002A6445" w:rsidRDefault="000A23EE" w:rsidP="00AF4229">
      <w:pPr>
        <w:spacing w:before="200" w:after="40" w:line="340" w:lineRule="atLeast"/>
        <w:jc w:val="both"/>
        <w:rPr>
          <w:rFonts w:ascii="Verdana" w:hAnsi="Verdana"/>
          <w:color w:val="000000"/>
          <w:sz w:val="21"/>
          <w:szCs w:val="21"/>
        </w:rPr>
      </w:pPr>
      <w:r>
        <w:rPr>
          <w:rFonts w:ascii="Verdana" w:hAnsi="Verdana"/>
          <w:color w:val="000000"/>
          <w:sz w:val="21"/>
          <w:szCs w:val="21"/>
        </w:rPr>
        <w:t xml:space="preserve">The key reduction </w:t>
      </w:r>
      <w:r w:rsidR="00AF4229">
        <w:rPr>
          <w:rFonts w:ascii="Verdana" w:hAnsi="Verdana"/>
          <w:color w:val="000000"/>
          <w:sz w:val="21"/>
          <w:szCs w:val="21"/>
        </w:rPr>
        <w:t>w</w:t>
      </w:r>
      <w:r>
        <w:rPr>
          <w:rFonts w:ascii="Verdana" w:hAnsi="Verdana"/>
          <w:color w:val="000000"/>
          <w:sz w:val="21"/>
          <w:szCs w:val="21"/>
        </w:rPr>
        <w:t>as in the number of MSCI Emerging Market 50 ETFs in issue (R2 259,9 million), but the Eurostoxx 50 ETF (R636,4 million, the MSCI USA ETF (R488,6 million)</w:t>
      </w:r>
      <w:r w:rsidR="004A185A">
        <w:rPr>
          <w:rFonts w:ascii="Verdana" w:hAnsi="Verdana"/>
          <w:color w:val="000000"/>
          <w:sz w:val="21"/>
          <w:szCs w:val="21"/>
        </w:rPr>
        <w:t xml:space="preserve"> </w:t>
      </w:r>
      <w:r>
        <w:rPr>
          <w:rFonts w:ascii="Verdana" w:hAnsi="Verdana"/>
          <w:color w:val="000000"/>
          <w:sz w:val="21"/>
          <w:szCs w:val="21"/>
        </w:rPr>
        <w:t>and 4</w:t>
      </w:r>
      <w:r w:rsidRPr="000A23EE">
        <w:rPr>
          <w:rFonts w:ascii="Verdana" w:hAnsi="Verdana"/>
          <w:color w:val="000000"/>
          <w:sz w:val="21"/>
          <w:szCs w:val="21"/>
          <w:vertAlign w:val="superscript"/>
        </w:rPr>
        <w:t>th</w:t>
      </w:r>
      <w:r>
        <w:rPr>
          <w:rFonts w:ascii="Verdana" w:hAnsi="Verdana"/>
          <w:color w:val="000000"/>
          <w:sz w:val="21"/>
          <w:szCs w:val="21"/>
        </w:rPr>
        <w:t xml:space="preserve"> Industrial Revolution (R369,8 million), also experienced significant withdrawals. </w:t>
      </w:r>
    </w:p>
    <w:p w14:paraId="71160F57" w14:textId="5D397E85" w:rsidR="000A23EE" w:rsidRDefault="000A23EE" w:rsidP="00AF4229">
      <w:pPr>
        <w:spacing w:before="200" w:after="40" w:line="340" w:lineRule="atLeast"/>
        <w:jc w:val="both"/>
        <w:rPr>
          <w:rFonts w:ascii="Verdana" w:hAnsi="Verdana"/>
          <w:color w:val="000000"/>
          <w:sz w:val="21"/>
          <w:szCs w:val="21"/>
        </w:rPr>
      </w:pPr>
      <w:r>
        <w:rPr>
          <w:rFonts w:ascii="Verdana" w:hAnsi="Verdana"/>
          <w:color w:val="000000"/>
          <w:sz w:val="21"/>
          <w:szCs w:val="21"/>
        </w:rPr>
        <w:t>The Sygnia Itrix MSCI World ETF, which attracted R1 653,9 million in new capital, mopped up some of t</w:t>
      </w:r>
      <w:r w:rsidR="00AF4229">
        <w:rPr>
          <w:rFonts w:ascii="Verdana" w:hAnsi="Verdana"/>
          <w:color w:val="000000"/>
          <w:sz w:val="21"/>
          <w:szCs w:val="21"/>
        </w:rPr>
        <w:t>he</w:t>
      </w:r>
      <w:r>
        <w:rPr>
          <w:rFonts w:ascii="Verdana" w:hAnsi="Verdana"/>
          <w:color w:val="000000"/>
          <w:sz w:val="21"/>
          <w:szCs w:val="21"/>
        </w:rPr>
        <w:t xml:space="preserve"> disinvestment from other Sygnia ETFs, but this </w:t>
      </w:r>
      <w:r w:rsidR="00AF4229">
        <w:rPr>
          <w:rFonts w:ascii="Verdana" w:hAnsi="Verdana"/>
          <w:color w:val="000000"/>
          <w:sz w:val="21"/>
          <w:szCs w:val="21"/>
        </w:rPr>
        <w:t>w</w:t>
      </w:r>
      <w:r>
        <w:rPr>
          <w:rFonts w:ascii="Verdana" w:hAnsi="Verdana"/>
          <w:color w:val="000000"/>
          <w:sz w:val="21"/>
          <w:szCs w:val="21"/>
        </w:rPr>
        <w:t>as no</w:t>
      </w:r>
      <w:r w:rsidR="00AF4229">
        <w:rPr>
          <w:rFonts w:ascii="Verdana" w:hAnsi="Verdana"/>
          <w:color w:val="000000"/>
          <w:sz w:val="21"/>
          <w:szCs w:val="21"/>
        </w:rPr>
        <w:t>t</w:t>
      </w:r>
      <w:r>
        <w:rPr>
          <w:rFonts w:ascii="Verdana" w:hAnsi="Verdana"/>
          <w:color w:val="000000"/>
          <w:sz w:val="21"/>
          <w:szCs w:val="21"/>
        </w:rPr>
        <w:t xml:space="preserve"> sufficient to prevent a significant drop in the </w:t>
      </w:r>
      <w:r w:rsidR="00AF4229">
        <w:rPr>
          <w:rFonts w:ascii="Verdana" w:hAnsi="Verdana"/>
          <w:color w:val="000000"/>
          <w:sz w:val="21"/>
          <w:szCs w:val="21"/>
        </w:rPr>
        <w:t>value</w:t>
      </w:r>
      <w:r>
        <w:rPr>
          <w:rFonts w:ascii="Verdana" w:hAnsi="Verdana"/>
          <w:color w:val="000000"/>
          <w:sz w:val="21"/>
          <w:szCs w:val="21"/>
        </w:rPr>
        <w:t xml:space="preserve"> of overall ETFs in issue.</w:t>
      </w:r>
    </w:p>
    <w:p w14:paraId="41039DB9" w14:textId="2E385637" w:rsidR="000A23EE" w:rsidRDefault="000A23EE" w:rsidP="00AF4229">
      <w:pPr>
        <w:spacing w:before="200" w:after="40" w:line="340" w:lineRule="atLeast"/>
        <w:jc w:val="both"/>
        <w:rPr>
          <w:rFonts w:ascii="Verdana" w:hAnsi="Verdana"/>
          <w:color w:val="000000"/>
          <w:sz w:val="21"/>
          <w:szCs w:val="21"/>
        </w:rPr>
      </w:pPr>
      <w:r>
        <w:rPr>
          <w:rFonts w:ascii="Verdana" w:hAnsi="Verdana"/>
          <w:color w:val="000000"/>
          <w:sz w:val="21"/>
          <w:szCs w:val="21"/>
        </w:rPr>
        <w:t>In late-2023, Sygnia Itrix issue an innovative Actively Managed ETF on the JSE, the Sygnia Itrix FANG.AI AMETF.  Although the “</w:t>
      </w:r>
      <w:r w:rsidR="007A15D3">
        <w:rPr>
          <w:rFonts w:ascii="Verdana" w:hAnsi="Verdana"/>
          <w:color w:val="000000"/>
          <w:sz w:val="21"/>
          <w:szCs w:val="21"/>
        </w:rPr>
        <w:t>magnificent</w:t>
      </w:r>
      <w:r>
        <w:rPr>
          <w:rFonts w:ascii="Verdana" w:hAnsi="Verdana"/>
          <w:color w:val="000000"/>
          <w:sz w:val="21"/>
          <w:szCs w:val="21"/>
        </w:rPr>
        <w:t xml:space="preserve"> seven” FANG sectors form the basis of this actively managed product, the asset managers can also invest in other US listed securities that are engaged in high tech activities.  To date, this AMETF has attracted R110,4 million in new capital. </w:t>
      </w:r>
    </w:p>
    <w:p w14:paraId="4B15641B" w14:textId="05D47336" w:rsidR="000A23EE" w:rsidRDefault="000A23EE" w:rsidP="00AF4229">
      <w:pPr>
        <w:spacing w:before="200" w:after="40" w:line="340" w:lineRule="atLeast"/>
        <w:jc w:val="both"/>
        <w:rPr>
          <w:rFonts w:ascii="Verdana" w:hAnsi="Verdana"/>
          <w:color w:val="000000"/>
          <w:sz w:val="21"/>
          <w:szCs w:val="21"/>
        </w:rPr>
      </w:pPr>
      <w:r>
        <w:rPr>
          <w:rFonts w:ascii="Verdana" w:hAnsi="Verdana"/>
          <w:color w:val="000000"/>
          <w:sz w:val="21"/>
          <w:szCs w:val="21"/>
        </w:rPr>
        <w:t>The FANG.AI breaks new ground for an ETF by lev</w:t>
      </w:r>
      <w:r w:rsidR="00AF4229">
        <w:rPr>
          <w:rFonts w:ascii="Verdana" w:hAnsi="Verdana"/>
          <w:color w:val="000000"/>
          <w:sz w:val="21"/>
          <w:szCs w:val="21"/>
        </w:rPr>
        <w:t>y</w:t>
      </w:r>
      <w:r>
        <w:rPr>
          <w:rFonts w:ascii="Verdana" w:hAnsi="Verdana"/>
          <w:color w:val="000000"/>
          <w:sz w:val="21"/>
          <w:szCs w:val="21"/>
        </w:rPr>
        <w:t xml:space="preserve">ing a 20% performance fee. </w:t>
      </w:r>
    </w:p>
    <w:p w14:paraId="2C345231" w14:textId="4B4F16EF" w:rsidR="0008652A" w:rsidRDefault="000A23EE" w:rsidP="00AF4229">
      <w:pPr>
        <w:spacing w:before="200" w:after="40" w:line="340" w:lineRule="atLeast"/>
        <w:jc w:val="both"/>
        <w:rPr>
          <w:rFonts w:ascii="Verdana" w:hAnsi="Verdana"/>
          <w:color w:val="000000"/>
          <w:sz w:val="21"/>
          <w:szCs w:val="21"/>
        </w:rPr>
      </w:pPr>
      <w:r>
        <w:rPr>
          <w:rFonts w:ascii="Verdana" w:hAnsi="Verdana"/>
          <w:b/>
          <w:bCs/>
          <w:color w:val="C00000"/>
          <w:sz w:val="21"/>
          <w:szCs w:val="21"/>
        </w:rPr>
        <w:t>10X</w:t>
      </w:r>
      <w:r w:rsidR="00D85866" w:rsidRPr="006C0C1F">
        <w:rPr>
          <w:rFonts w:ascii="Verdana" w:hAnsi="Verdana"/>
          <w:color w:val="C00000"/>
          <w:sz w:val="21"/>
          <w:szCs w:val="21"/>
        </w:rPr>
        <w:t xml:space="preserve"> </w:t>
      </w:r>
      <w:r w:rsidR="00D85866" w:rsidRPr="00944E04">
        <w:rPr>
          <w:rFonts w:ascii="Verdana" w:hAnsi="Verdana"/>
          <w:color w:val="000000"/>
          <w:sz w:val="21"/>
          <w:szCs w:val="21"/>
        </w:rPr>
        <w:t>–</w:t>
      </w:r>
      <w:r w:rsidR="005D477C">
        <w:rPr>
          <w:rFonts w:ascii="Verdana" w:hAnsi="Verdana"/>
          <w:color w:val="000000"/>
          <w:sz w:val="21"/>
          <w:szCs w:val="21"/>
        </w:rPr>
        <w:t xml:space="preserve"> </w:t>
      </w:r>
      <w:r>
        <w:rPr>
          <w:rFonts w:ascii="Verdana" w:hAnsi="Verdana"/>
          <w:color w:val="000000"/>
          <w:sz w:val="21"/>
          <w:szCs w:val="21"/>
        </w:rPr>
        <w:t xml:space="preserve">10X formally completed the purchase of the ETF business established by CoreShares, during the course of 2023.  Since </w:t>
      </w:r>
      <w:r w:rsidR="00AF4229">
        <w:rPr>
          <w:rFonts w:ascii="Verdana" w:hAnsi="Verdana"/>
          <w:color w:val="000000"/>
          <w:sz w:val="21"/>
          <w:szCs w:val="21"/>
        </w:rPr>
        <w:t>t</w:t>
      </w:r>
      <w:r>
        <w:rPr>
          <w:rFonts w:ascii="Verdana" w:hAnsi="Verdana"/>
          <w:color w:val="000000"/>
          <w:sz w:val="21"/>
          <w:szCs w:val="21"/>
        </w:rPr>
        <w:t xml:space="preserve">hen, 10X have added four new ETFs to the ten ETFs taken over from CoreShares.  These new products include two Actively Managed ETFs, the Income AMETF, which </w:t>
      </w:r>
      <w:r w:rsidR="00EA3B0E">
        <w:rPr>
          <w:rFonts w:ascii="Verdana" w:hAnsi="Verdana"/>
          <w:color w:val="000000"/>
          <w:sz w:val="21"/>
          <w:szCs w:val="21"/>
        </w:rPr>
        <w:t xml:space="preserve">includes SA bonds, inflation-linked bonds, foreign bonds, plus a variety of income assets, as well as the All Asia AMETF, which actively tracks </w:t>
      </w:r>
      <w:r w:rsidR="00AF4229">
        <w:rPr>
          <w:rFonts w:ascii="Verdana" w:hAnsi="Verdana"/>
          <w:color w:val="000000"/>
          <w:sz w:val="21"/>
          <w:szCs w:val="21"/>
        </w:rPr>
        <w:t>markets</w:t>
      </w:r>
      <w:r w:rsidR="00EA3B0E">
        <w:rPr>
          <w:rFonts w:ascii="Verdana" w:hAnsi="Verdana"/>
          <w:color w:val="000000"/>
          <w:sz w:val="21"/>
          <w:szCs w:val="21"/>
        </w:rPr>
        <w:t xml:space="preserve"> across the Asia Pacific region, excluding Japan, but including Australia and New Zealand.  </w:t>
      </w:r>
    </w:p>
    <w:p w14:paraId="56F71A38" w14:textId="66ECB8A3" w:rsidR="00EA3B0E" w:rsidRDefault="00EA3B0E" w:rsidP="00AF4229">
      <w:pPr>
        <w:spacing w:before="200" w:after="40" w:line="340" w:lineRule="atLeast"/>
        <w:jc w:val="both"/>
        <w:rPr>
          <w:rFonts w:ascii="Verdana" w:hAnsi="Verdana"/>
          <w:color w:val="000000"/>
          <w:sz w:val="21"/>
          <w:szCs w:val="21"/>
        </w:rPr>
      </w:pPr>
      <w:r>
        <w:rPr>
          <w:rFonts w:ascii="Verdana" w:hAnsi="Verdana"/>
          <w:color w:val="000000"/>
          <w:sz w:val="21"/>
          <w:szCs w:val="21"/>
        </w:rPr>
        <w:t>10X was the most successful of the ten investment companies issuing ETPs, in raising new capital last year (R5 </w:t>
      </w:r>
      <w:r w:rsidR="00AF4229">
        <w:rPr>
          <w:rFonts w:ascii="Verdana" w:hAnsi="Verdana"/>
          <w:color w:val="000000"/>
          <w:sz w:val="21"/>
          <w:szCs w:val="21"/>
        </w:rPr>
        <w:t>314</w:t>
      </w:r>
      <w:r>
        <w:rPr>
          <w:rFonts w:ascii="Verdana" w:hAnsi="Verdana"/>
          <w:color w:val="000000"/>
          <w:sz w:val="21"/>
          <w:szCs w:val="21"/>
        </w:rPr>
        <w:t>,</w:t>
      </w:r>
      <w:r w:rsidR="00AF4229">
        <w:rPr>
          <w:rFonts w:ascii="Verdana" w:hAnsi="Verdana"/>
          <w:color w:val="000000"/>
          <w:sz w:val="21"/>
          <w:szCs w:val="21"/>
        </w:rPr>
        <w:t>8</w:t>
      </w:r>
      <w:r>
        <w:rPr>
          <w:rFonts w:ascii="Verdana" w:hAnsi="Verdana"/>
          <w:color w:val="000000"/>
          <w:sz w:val="21"/>
          <w:szCs w:val="21"/>
        </w:rPr>
        <w:t xml:space="preserve"> million).  The emergence of a dynamic company that has a close relationship with Old Mutual, </w:t>
      </w:r>
      <w:r w:rsidR="00AF4229">
        <w:rPr>
          <w:rFonts w:ascii="Verdana" w:hAnsi="Verdana"/>
          <w:color w:val="000000"/>
          <w:sz w:val="21"/>
          <w:szCs w:val="21"/>
        </w:rPr>
        <w:t>a</w:t>
      </w:r>
      <w:r>
        <w:rPr>
          <w:rFonts w:ascii="Verdana" w:hAnsi="Verdana"/>
          <w:color w:val="000000"/>
          <w:sz w:val="21"/>
          <w:szCs w:val="21"/>
        </w:rPr>
        <w:t xml:space="preserve">dds significant energy to the ETP industry and their further progress in 2024 and beyond will be followed with interest. </w:t>
      </w:r>
    </w:p>
    <w:p w14:paraId="612AB075" w14:textId="3DC0550A" w:rsidR="00AF4229" w:rsidRDefault="00AF4229">
      <w:pPr>
        <w:rPr>
          <w:rFonts w:ascii="Verdana" w:hAnsi="Verdana"/>
          <w:color w:val="000000"/>
          <w:sz w:val="21"/>
          <w:szCs w:val="21"/>
        </w:rPr>
      </w:pPr>
      <w:r>
        <w:rPr>
          <w:rFonts w:ascii="Verdana" w:hAnsi="Verdana"/>
          <w:color w:val="000000"/>
          <w:sz w:val="21"/>
          <w:szCs w:val="21"/>
        </w:rPr>
        <w:br w:type="page"/>
      </w:r>
    </w:p>
    <w:p w14:paraId="168B46FD" w14:textId="77777777" w:rsidR="00AF4229" w:rsidRDefault="00AF4229" w:rsidP="00EA3B0E">
      <w:pPr>
        <w:spacing w:before="200" w:after="40" w:line="320" w:lineRule="atLeast"/>
        <w:jc w:val="both"/>
        <w:rPr>
          <w:rFonts w:ascii="Verdana" w:hAnsi="Verdana"/>
          <w:color w:val="000000"/>
          <w:sz w:val="21"/>
          <w:szCs w:val="21"/>
        </w:rPr>
      </w:pPr>
    </w:p>
    <w:p w14:paraId="74271ACF" w14:textId="0C7B6CF9" w:rsidR="00EA3B0E" w:rsidRDefault="000E7CE2" w:rsidP="00AF4229">
      <w:pPr>
        <w:spacing w:before="200" w:after="40" w:line="340" w:lineRule="atLeast"/>
        <w:jc w:val="both"/>
        <w:rPr>
          <w:rFonts w:ascii="Verdana" w:hAnsi="Verdana"/>
          <w:color w:val="000000"/>
          <w:sz w:val="21"/>
          <w:szCs w:val="21"/>
        </w:rPr>
      </w:pPr>
      <w:r>
        <w:rPr>
          <w:rFonts w:ascii="Verdana" w:hAnsi="Verdana"/>
          <w:b/>
          <w:bCs/>
          <w:color w:val="C00000"/>
          <w:sz w:val="21"/>
          <w:szCs w:val="21"/>
        </w:rPr>
        <w:t>Union Bank of Switzerland (UBS)</w:t>
      </w:r>
      <w:r w:rsidRPr="006C0C1F">
        <w:rPr>
          <w:rFonts w:ascii="Verdana" w:hAnsi="Verdana"/>
          <w:color w:val="C00000"/>
          <w:sz w:val="21"/>
          <w:szCs w:val="21"/>
        </w:rPr>
        <w:t xml:space="preserve"> </w:t>
      </w:r>
      <w:r>
        <w:rPr>
          <w:rFonts w:ascii="Verdana" w:hAnsi="Verdana"/>
          <w:color w:val="000000"/>
          <w:sz w:val="21"/>
          <w:szCs w:val="21"/>
        </w:rPr>
        <w:t>–</w:t>
      </w:r>
      <w:r w:rsidR="00EA3B0E">
        <w:rPr>
          <w:rFonts w:ascii="Verdana" w:hAnsi="Verdana"/>
          <w:color w:val="000000"/>
          <w:sz w:val="21"/>
          <w:szCs w:val="21"/>
        </w:rPr>
        <w:t xml:space="preserve">This company both issues its own index tracking ETPs, often tracking </w:t>
      </w:r>
      <w:r w:rsidR="007A15D3">
        <w:rPr>
          <w:rFonts w:ascii="Verdana" w:hAnsi="Verdana"/>
          <w:color w:val="000000"/>
          <w:sz w:val="21"/>
          <w:szCs w:val="21"/>
        </w:rPr>
        <w:t>indices</w:t>
      </w:r>
      <w:r w:rsidR="00EA3B0E">
        <w:rPr>
          <w:rFonts w:ascii="Verdana" w:hAnsi="Verdana"/>
          <w:color w:val="000000"/>
          <w:sz w:val="21"/>
          <w:szCs w:val="21"/>
        </w:rPr>
        <w:t xml:space="preserve"> that are unique, like the Metaverse, Global Luxury Goods, Big Data, Fintech, </w:t>
      </w:r>
      <w:r w:rsidR="007A15D3">
        <w:rPr>
          <w:rFonts w:ascii="Verdana" w:hAnsi="Verdana"/>
          <w:color w:val="000000"/>
          <w:sz w:val="21"/>
          <w:szCs w:val="21"/>
        </w:rPr>
        <w:t>Robotics</w:t>
      </w:r>
      <w:r w:rsidR="00EA3B0E">
        <w:rPr>
          <w:rFonts w:ascii="Verdana" w:hAnsi="Verdana"/>
          <w:color w:val="000000"/>
          <w:sz w:val="21"/>
          <w:szCs w:val="21"/>
        </w:rPr>
        <w:t xml:space="preserve"> &amp; Drones, Space, etc. </w:t>
      </w:r>
      <w:r w:rsidR="007A15D3">
        <w:rPr>
          <w:rFonts w:ascii="Verdana" w:hAnsi="Verdana"/>
          <w:color w:val="000000"/>
          <w:sz w:val="21"/>
          <w:szCs w:val="21"/>
        </w:rPr>
        <w:t>which</w:t>
      </w:r>
      <w:r w:rsidR="00EA3B0E">
        <w:rPr>
          <w:rFonts w:ascii="Verdana" w:hAnsi="Verdana"/>
          <w:color w:val="000000"/>
          <w:sz w:val="21"/>
          <w:szCs w:val="21"/>
        </w:rPr>
        <w:t xml:space="preserve"> are finding a home with certain institutional and boutique investment managers. </w:t>
      </w:r>
    </w:p>
    <w:p w14:paraId="52232F10" w14:textId="5770D774" w:rsidR="00EA3B0E" w:rsidRDefault="00EA3B0E" w:rsidP="00AF4229">
      <w:pPr>
        <w:spacing w:before="200" w:after="40" w:line="340" w:lineRule="atLeast"/>
        <w:jc w:val="both"/>
        <w:rPr>
          <w:rFonts w:ascii="Verdana" w:hAnsi="Verdana"/>
          <w:color w:val="000000"/>
          <w:sz w:val="21"/>
          <w:szCs w:val="21"/>
        </w:rPr>
      </w:pPr>
      <w:r>
        <w:rPr>
          <w:rFonts w:ascii="Verdana" w:hAnsi="Verdana"/>
          <w:color w:val="000000"/>
          <w:sz w:val="21"/>
          <w:szCs w:val="21"/>
        </w:rPr>
        <w:t xml:space="preserve">It also lends its balance sheet to issuers of Actively Managed Certificates (AMCs),  AMCs require that the asset manager be independent of the issuer.  Some 20 asset managers have utilised the opportunity to list their actively managed </w:t>
      </w:r>
      <w:r w:rsidR="007A15D3">
        <w:rPr>
          <w:rFonts w:ascii="Verdana" w:hAnsi="Verdana"/>
          <w:color w:val="000000"/>
          <w:sz w:val="21"/>
          <w:szCs w:val="21"/>
        </w:rPr>
        <w:t>portfolios</w:t>
      </w:r>
      <w:r>
        <w:rPr>
          <w:rFonts w:ascii="Verdana" w:hAnsi="Verdana"/>
          <w:color w:val="000000"/>
          <w:sz w:val="21"/>
          <w:szCs w:val="21"/>
        </w:rPr>
        <w:t xml:space="preserve"> on the JSE </w:t>
      </w:r>
      <w:r w:rsidR="00AF4229">
        <w:rPr>
          <w:rFonts w:ascii="Verdana" w:hAnsi="Verdana"/>
          <w:color w:val="000000"/>
          <w:sz w:val="21"/>
          <w:szCs w:val="21"/>
        </w:rPr>
        <w:t xml:space="preserve">through UBS </w:t>
      </w:r>
      <w:r>
        <w:rPr>
          <w:rFonts w:ascii="Verdana" w:hAnsi="Verdana"/>
          <w:color w:val="000000"/>
          <w:sz w:val="21"/>
          <w:szCs w:val="21"/>
        </w:rPr>
        <w:t xml:space="preserve">and it is understood that a </w:t>
      </w:r>
      <w:r w:rsidR="007A15D3">
        <w:rPr>
          <w:rFonts w:ascii="Verdana" w:hAnsi="Verdana"/>
          <w:color w:val="000000"/>
          <w:sz w:val="21"/>
          <w:szCs w:val="21"/>
        </w:rPr>
        <w:t>number of</w:t>
      </w:r>
      <w:r>
        <w:rPr>
          <w:rFonts w:ascii="Verdana" w:hAnsi="Verdana"/>
          <w:color w:val="000000"/>
          <w:sz w:val="21"/>
          <w:szCs w:val="21"/>
        </w:rPr>
        <w:t xml:space="preserve"> other listings, including additional asset managers, are in the pipeline. </w:t>
      </w:r>
    </w:p>
    <w:p w14:paraId="0D33E3DB" w14:textId="79F9041D" w:rsidR="000E7CE2" w:rsidRDefault="00EA3B0E" w:rsidP="00AF4229">
      <w:pPr>
        <w:spacing w:before="200" w:after="40" w:line="340" w:lineRule="atLeast"/>
        <w:jc w:val="both"/>
        <w:rPr>
          <w:rFonts w:ascii="Verdana" w:hAnsi="Verdana"/>
          <w:color w:val="000000"/>
          <w:sz w:val="21"/>
          <w:szCs w:val="21"/>
        </w:rPr>
      </w:pPr>
      <w:r>
        <w:rPr>
          <w:rFonts w:ascii="Verdana" w:hAnsi="Verdana"/>
          <w:color w:val="000000"/>
          <w:sz w:val="21"/>
          <w:szCs w:val="21"/>
        </w:rPr>
        <w:t xml:space="preserve">AMCs offer an opportunity to issue “white label” products, directly on the JSE, with lower costs, greater transparency and higher liquidity than the more traditional route of unit trusts and this new investment channel could expand significantly in future.  </w:t>
      </w:r>
      <w:r w:rsidR="000E7CE2">
        <w:rPr>
          <w:rFonts w:ascii="Verdana" w:hAnsi="Verdana"/>
          <w:color w:val="000000"/>
          <w:sz w:val="21"/>
          <w:szCs w:val="21"/>
        </w:rPr>
        <w:t xml:space="preserve"> </w:t>
      </w:r>
    </w:p>
    <w:p w14:paraId="6F1B4C62" w14:textId="3D2CCC8A" w:rsidR="00EA3B0E" w:rsidRDefault="00EA3B0E" w:rsidP="00AF4229">
      <w:pPr>
        <w:spacing w:before="200" w:after="40" w:line="340" w:lineRule="atLeast"/>
        <w:jc w:val="both"/>
        <w:rPr>
          <w:rFonts w:ascii="Verdana" w:hAnsi="Verdana"/>
          <w:color w:val="000000"/>
          <w:sz w:val="21"/>
          <w:szCs w:val="21"/>
        </w:rPr>
      </w:pPr>
      <w:r>
        <w:rPr>
          <w:rFonts w:ascii="Verdana" w:hAnsi="Verdana"/>
          <w:b/>
          <w:bCs/>
          <w:color w:val="C00000"/>
          <w:sz w:val="21"/>
          <w:szCs w:val="21"/>
        </w:rPr>
        <w:t>Prescient Management Company</w:t>
      </w:r>
      <w:r w:rsidRPr="006C0C1F">
        <w:rPr>
          <w:rFonts w:ascii="Verdana" w:hAnsi="Verdana"/>
          <w:color w:val="C00000"/>
          <w:sz w:val="21"/>
          <w:szCs w:val="21"/>
        </w:rPr>
        <w:t xml:space="preserve"> </w:t>
      </w:r>
      <w:r>
        <w:rPr>
          <w:rFonts w:ascii="Verdana" w:hAnsi="Verdana"/>
          <w:color w:val="000000"/>
          <w:sz w:val="21"/>
          <w:szCs w:val="21"/>
        </w:rPr>
        <w:t>–</w:t>
      </w:r>
      <w:r w:rsidR="005902FB">
        <w:rPr>
          <w:rFonts w:ascii="Verdana" w:hAnsi="Verdana"/>
          <w:color w:val="000000"/>
          <w:sz w:val="21"/>
          <w:szCs w:val="21"/>
        </w:rPr>
        <w:t xml:space="preserve">The Prescient Collective Investment Scheme in ETF Securities (Prescient ETFs) was a newcomer in 2023. </w:t>
      </w:r>
    </w:p>
    <w:p w14:paraId="3E9CDFDB" w14:textId="3A8A50C9" w:rsidR="005902FB" w:rsidRDefault="005902FB" w:rsidP="00AF4229">
      <w:pPr>
        <w:spacing w:before="200" w:after="40" w:line="340" w:lineRule="atLeast"/>
        <w:jc w:val="both"/>
        <w:rPr>
          <w:rFonts w:ascii="Verdana" w:hAnsi="Verdana"/>
          <w:color w:val="000000"/>
          <w:sz w:val="21"/>
          <w:szCs w:val="21"/>
        </w:rPr>
      </w:pPr>
      <w:r>
        <w:rPr>
          <w:rFonts w:ascii="Verdana" w:hAnsi="Verdana"/>
          <w:color w:val="000000"/>
          <w:sz w:val="21"/>
          <w:szCs w:val="21"/>
        </w:rPr>
        <w:t xml:space="preserve">To date, it has issued six ETP products, three being ETFs and the other three AMETFs. </w:t>
      </w:r>
    </w:p>
    <w:p w14:paraId="1DDE161F" w14:textId="013FFC63" w:rsidR="005902FB" w:rsidRDefault="005902FB" w:rsidP="00AF4229">
      <w:pPr>
        <w:spacing w:before="200" w:after="40" w:line="340" w:lineRule="atLeast"/>
        <w:jc w:val="both"/>
        <w:rPr>
          <w:rFonts w:ascii="Verdana" w:hAnsi="Verdana"/>
          <w:color w:val="000000"/>
          <w:sz w:val="21"/>
          <w:szCs w:val="21"/>
        </w:rPr>
      </w:pPr>
      <w:r>
        <w:rPr>
          <w:rFonts w:ascii="Verdana" w:hAnsi="Verdana"/>
          <w:color w:val="000000"/>
          <w:sz w:val="21"/>
          <w:szCs w:val="21"/>
        </w:rPr>
        <w:t>The three ETFs are al</w:t>
      </w:r>
      <w:r w:rsidR="00AF4229">
        <w:rPr>
          <w:rFonts w:ascii="Verdana" w:hAnsi="Verdana"/>
          <w:color w:val="000000"/>
          <w:sz w:val="21"/>
          <w:szCs w:val="21"/>
        </w:rPr>
        <w:t>l</w:t>
      </w:r>
      <w:r>
        <w:rPr>
          <w:rFonts w:ascii="Verdana" w:hAnsi="Verdana"/>
          <w:color w:val="000000"/>
          <w:sz w:val="21"/>
          <w:szCs w:val="21"/>
        </w:rPr>
        <w:t xml:space="preserve"> issued by Reitway Global Property, a specialised issuer of collective investment schemes </w:t>
      </w:r>
      <w:r w:rsidR="00AF4229">
        <w:rPr>
          <w:rFonts w:ascii="Verdana" w:hAnsi="Verdana"/>
          <w:color w:val="000000"/>
          <w:sz w:val="21"/>
          <w:szCs w:val="21"/>
        </w:rPr>
        <w:t xml:space="preserve">that </w:t>
      </w:r>
      <w:r>
        <w:rPr>
          <w:rFonts w:ascii="Verdana" w:hAnsi="Verdana"/>
          <w:color w:val="000000"/>
          <w:sz w:val="21"/>
          <w:szCs w:val="21"/>
        </w:rPr>
        <w:t xml:space="preserve">cover the global property sector.  One of the AMETFs is also operated by Reitway, which actively seeks global real estate opportunities, whilst the ETFs track GPR REIT global indices. </w:t>
      </w:r>
    </w:p>
    <w:p w14:paraId="28FD08FB" w14:textId="77777777" w:rsidR="00AF4229" w:rsidRDefault="005902FB" w:rsidP="00AF4229">
      <w:pPr>
        <w:spacing w:before="200" w:after="40" w:line="340" w:lineRule="atLeast"/>
        <w:jc w:val="both"/>
        <w:rPr>
          <w:rFonts w:ascii="Verdana" w:hAnsi="Verdana"/>
          <w:color w:val="000000"/>
          <w:sz w:val="21"/>
          <w:szCs w:val="21"/>
        </w:rPr>
      </w:pPr>
      <w:r>
        <w:rPr>
          <w:rFonts w:ascii="Verdana" w:hAnsi="Verdana"/>
          <w:color w:val="000000"/>
          <w:sz w:val="21"/>
          <w:szCs w:val="21"/>
        </w:rPr>
        <w:t>The other two AMETFs are</w:t>
      </w:r>
      <w:r w:rsidR="00AF4229">
        <w:rPr>
          <w:rFonts w:ascii="Verdana" w:hAnsi="Verdana"/>
          <w:color w:val="000000"/>
          <w:sz w:val="21"/>
          <w:szCs w:val="21"/>
        </w:rPr>
        <w:t>:</w:t>
      </w:r>
      <w:r>
        <w:rPr>
          <w:rFonts w:ascii="Verdana" w:hAnsi="Verdana"/>
          <w:color w:val="000000"/>
          <w:sz w:val="21"/>
          <w:szCs w:val="21"/>
        </w:rPr>
        <w:t xml:space="preserve"> </w:t>
      </w:r>
    </w:p>
    <w:p w14:paraId="359FB7DB" w14:textId="2B82DFB2" w:rsidR="005902FB" w:rsidRPr="00AF4229" w:rsidRDefault="00AF4229" w:rsidP="00AF4229">
      <w:pPr>
        <w:pStyle w:val="ListParagraph"/>
        <w:numPr>
          <w:ilvl w:val="0"/>
          <w:numId w:val="31"/>
        </w:numPr>
        <w:spacing w:before="200" w:after="40" w:line="340" w:lineRule="atLeast"/>
        <w:jc w:val="both"/>
        <w:rPr>
          <w:rFonts w:ascii="Verdana" w:hAnsi="Verdana"/>
          <w:color w:val="000000"/>
          <w:sz w:val="21"/>
          <w:szCs w:val="21"/>
        </w:rPr>
      </w:pPr>
      <w:r w:rsidRPr="00AF4229">
        <w:rPr>
          <w:rFonts w:ascii="Verdana" w:hAnsi="Verdana"/>
          <w:color w:val="000000"/>
          <w:sz w:val="21"/>
          <w:szCs w:val="21"/>
        </w:rPr>
        <w:t>F</w:t>
      </w:r>
      <w:r w:rsidR="005902FB" w:rsidRPr="00AF4229">
        <w:rPr>
          <w:rFonts w:ascii="Verdana" w:hAnsi="Verdana"/>
          <w:color w:val="000000"/>
          <w:sz w:val="21"/>
          <w:szCs w:val="21"/>
        </w:rPr>
        <w:t xml:space="preserve">irst, Prescient AQU Actively Managed Funds (AQUA), which has a top down Global </w:t>
      </w:r>
      <w:r>
        <w:rPr>
          <w:rFonts w:ascii="Verdana" w:hAnsi="Verdana"/>
          <w:color w:val="000000"/>
          <w:sz w:val="21"/>
          <w:szCs w:val="21"/>
        </w:rPr>
        <w:t>tactical A</w:t>
      </w:r>
      <w:r w:rsidR="00D733C6" w:rsidRPr="00AF4229">
        <w:rPr>
          <w:rFonts w:ascii="Verdana" w:hAnsi="Verdana"/>
          <w:color w:val="000000"/>
          <w:sz w:val="21"/>
          <w:szCs w:val="21"/>
        </w:rPr>
        <w:t xml:space="preserve">sset </w:t>
      </w:r>
      <w:r>
        <w:rPr>
          <w:rFonts w:ascii="Verdana" w:hAnsi="Verdana"/>
          <w:color w:val="000000"/>
          <w:sz w:val="21"/>
          <w:szCs w:val="21"/>
        </w:rPr>
        <w:t>A</w:t>
      </w:r>
      <w:r w:rsidR="00D733C6" w:rsidRPr="00AF4229">
        <w:rPr>
          <w:rFonts w:ascii="Verdana" w:hAnsi="Verdana"/>
          <w:color w:val="000000"/>
          <w:sz w:val="21"/>
          <w:szCs w:val="21"/>
        </w:rPr>
        <w:t xml:space="preserve">llocation strategy, seeking investment opportunities in multiple asset classes, countries and regions.  </w:t>
      </w:r>
    </w:p>
    <w:p w14:paraId="26A63B74" w14:textId="4C89DBBD" w:rsidR="00D733C6" w:rsidRPr="00AF4229" w:rsidRDefault="00D733C6" w:rsidP="00AF4229">
      <w:pPr>
        <w:pStyle w:val="ListParagraph"/>
        <w:numPr>
          <w:ilvl w:val="0"/>
          <w:numId w:val="31"/>
        </w:numPr>
        <w:spacing w:before="200" w:after="40" w:line="340" w:lineRule="atLeast"/>
        <w:jc w:val="both"/>
        <w:rPr>
          <w:rFonts w:ascii="Verdana" w:hAnsi="Verdana"/>
          <w:color w:val="000000"/>
          <w:sz w:val="21"/>
          <w:szCs w:val="21"/>
        </w:rPr>
      </w:pPr>
      <w:r w:rsidRPr="00AF4229">
        <w:rPr>
          <w:rFonts w:ascii="Verdana" w:hAnsi="Verdana"/>
          <w:color w:val="000000"/>
          <w:sz w:val="21"/>
          <w:szCs w:val="21"/>
        </w:rPr>
        <w:t xml:space="preserve">Second, the Prescient Income Provider AMETF (PIPETF) invests in income bearing assets, including property and preference shares, </w:t>
      </w:r>
      <w:r w:rsidR="00AF4229">
        <w:rPr>
          <w:rFonts w:ascii="Verdana" w:hAnsi="Verdana"/>
          <w:color w:val="000000"/>
          <w:sz w:val="21"/>
          <w:szCs w:val="21"/>
        </w:rPr>
        <w:t xml:space="preserve">both </w:t>
      </w:r>
      <w:r w:rsidRPr="00AF4229">
        <w:rPr>
          <w:rFonts w:ascii="Verdana" w:hAnsi="Verdana"/>
          <w:color w:val="000000"/>
          <w:sz w:val="21"/>
          <w:szCs w:val="21"/>
        </w:rPr>
        <w:t xml:space="preserve">globally and locally. </w:t>
      </w:r>
    </w:p>
    <w:p w14:paraId="2DA62A7C" w14:textId="7636F4D0" w:rsidR="00D733C6" w:rsidRDefault="00D733C6" w:rsidP="00AF4229">
      <w:pPr>
        <w:spacing w:before="200" w:after="40" w:line="340" w:lineRule="atLeast"/>
        <w:jc w:val="both"/>
        <w:rPr>
          <w:rFonts w:ascii="Verdana" w:hAnsi="Verdana"/>
          <w:color w:val="000000"/>
          <w:sz w:val="21"/>
          <w:szCs w:val="21"/>
        </w:rPr>
      </w:pPr>
      <w:r>
        <w:rPr>
          <w:rFonts w:ascii="Verdana" w:hAnsi="Verdana"/>
          <w:color w:val="000000"/>
          <w:sz w:val="21"/>
          <w:szCs w:val="21"/>
        </w:rPr>
        <w:t xml:space="preserve">The Prescient ETF platform has been developed to assist in third-party issuance of innovative exchange listed products and could be worth watching in future. </w:t>
      </w:r>
    </w:p>
    <w:p w14:paraId="665C5A2D" w14:textId="502B2FA3" w:rsidR="001A0C85" w:rsidRDefault="001A0C85" w:rsidP="00AF4229">
      <w:pPr>
        <w:spacing w:before="200" w:after="40" w:line="340" w:lineRule="atLeast"/>
        <w:jc w:val="both"/>
        <w:rPr>
          <w:rFonts w:ascii="Verdana" w:hAnsi="Verdana"/>
          <w:color w:val="000000"/>
          <w:sz w:val="21"/>
          <w:szCs w:val="21"/>
        </w:rPr>
      </w:pPr>
      <w:r>
        <w:rPr>
          <w:rFonts w:ascii="Verdana" w:hAnsi="Verdana"/>
          <w:b/>
          <w:bCs/>
          <w:color w:val="C00000"/>
          <w:sz w:val="21"/>
          <w:szCs w:val="21"/>
        </w:rPr>
        <w:t>Easy Equities</w:t>
      </w:r>
      <w:r w:rsidRPr="006C0C1F">
        <w:rPr>
          <w:rFonts w:ascii="Verdana" w:hAnsi="Verdana"/>
          <w:color w:val="C00000"/>
          <w:sz w:val="21"/>
          <w:szCs w:val="21"/>
        </w:rPr>
        <w:t xml:space="preserve"> </w:t>
      </w:r>
      <w:r>
        <w:rPr>
          <w:rFonts w:ascii="Verdana" w:hAnsi="Verdana"/>
          <w:color w:val="000000"/>
          <w:sz w:val="21"/>
          <w:szCs w:val="21"/>
        </w:rPr>
        <w:t>–</w:t>
      </w:r>
      <w:r w:rsidR="007A15D3">
        <w:rPr>
          <w:rFonts w:ascii="Verdana" w:hAnsi="Verdana"/>
          <w:color w:val="000000"/>
          <w:sz w:val="21"/>
          <w:szCs w:val="21"/>
        </w:rPr>
        <w:t xml:space="preserve"> Easy Equities acquired the business of Cloud Atlas during 2023.  Cloud Atlas had listed two ETFs, specialising in Africa equities and bonds, outside of South Africa, but these had failed to gain traction. </w:t>
      </w:r>
    </w:p>
    <w:p w14:paraId="34F6F571" w14:textId="66372BD0" w:rsidR="007A15D3" w:rsidRDefault="007A15D3" w:rsidP="00AF4229">
      <w:pPr>
        <w:spacing w:before="200" w:after="40" w:line="340" w:lineRule="atLeast"/>
        <w:jc w:val="both"/>
        <w:rPr>
          <w:rFonts w:ascii="Verdana" w:hAnsi="Verdana"/>
          <w:color w:val="000000"/>
          <w:sz w:val="21"/>
          <w:szCs w:val="21"/>
        </w:rPr>
      </w:pPr>
      <w:r>
        <w:rPr>
          <w:rFonts w:ascii="Verdana" w:hAnsi="Verdana"/>
          <w:color w:val="000000"/>
          <w:sz w:val="21"/>
          <w:szCs w:val="21"/>
        </w:rPr>
        <w:t xml:space="preserve">Easy Equities has advised that it will be closing down these two ETFs and for the present, they are suspended on the JSE. </w:t>
      </w:r>
    </w:p>
    <w:p w14:paraId="0F652111" w14:textId="46E6AB8A" w:rsidR="007A15D3" w:rsidRDefault="007A15D3" w:rsidP="00AF4229">
      <w:pPr>
        <w:spacing w:before="200" w:after="40" w:line="340" w:lineRule="atLeast"/>
        <w:jc w:val="both"/>
        <w:rPr>
          <w:rFonts w:ascii="Verdana" w:hAnsi="Verdana"/>
          <w:color w:val="000000"/>
          <w:sz w:val="21"/>
          <w:szCs w:val="21"/>
        </w:rPr>
      </w:pPr>
      <w:r>
        <w:rPr>
          <w:rFonts w:ascii="Verdana" w:hAnsi="Verdana"/>
          <w:color w:val="000000"/>
          <w:sz w:val="21"/>
          <w:szCs w:val="21"/>
        </w:rPr>
        <w:t xml:space="preserve">Apparently Easy Equities is developing a number of new products, including actively managed ETFs, for listing on the JSE and the entrance of this well-known brand to the world of ETP issuance should be of interest. </w:t>
      </w:r>
    </w:p>
    <w:p w14:paraId="655439B6" w14:textId="660D6A7B" w:rsidR="00EE72B6" w:rsidRDefault="00636507" w:rsidP="008E7E18">
      <w:pPr>
        <w:spacing w:after="0" w:line="360" w:lineRule="atLeast"/>
        <w:rPr>
          <w:rFonts w:ascii="Verdana" w:hAnsi="Verdana"/>
          <w:color w:val="000000"/>
          <w:sz w:val="21"/>
          <w:szCs w:val="21"/>
        </w:rPr>
      </w:pPr>
      <w:r>
        <w:rPr>
          <w:rFonts w:ascii="Verdana" w:hAnsi="Verdana"/>
          <w:noProof/>
          <w:color w:val="000000"/>
          <w:sz w:val="21"/>
          <w:szCs w:val="21"/>
        </w:rPr>
        <mc:AlternateContent>
          <mc:Choice Requires="wps">
            <w:drawing>
              <wp:anchor distT="0" distB="0" distL="114300" distR="114300" simplePos="0" relativeHeight="251659264" behindDoc="0" locked="0" layoutInCell="1" allowOverlap="1" wp14:anchorId="00C403B3" wp14:editId="07A737B8">
                <wp:simplePos x="0" y="0"/>
                <wp:positionH relativeFrom="column">
                  <wp:posOffset>80010</wp:posOffset>
                </wp:positionH>
                <wp:positionV relativeFrom="paragraph">
                  <wp:posOffset>227965</wp:posOffset>
                </wp:positionV>
                <wp:extent cx="60706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7060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3454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7.95pt" to="484.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" strokecolor="#c00000" strokeweight="1pt">
                <v:stroke joinstyle="miter"/>
              </v:line>
            </w:pict>
          </mc:Fallback>
        </mc:AlternateContent>
      </w:r>
    </w:p>
    <w:p w14:paraId="77FEAB9B" w14:textId="000A4429" w:rsidR="00AF4229" w:rsidRDefault="00AF4229">
      <w:pPr>
        <w:rPr>
          <w:rFonts w:ascii="Verdana" w:hAnsi="Verdana"/>
          <w:color w:val="000000"/>
          <w:sz w:val="21"/>
          <w:szCs w:val="21"/>
        </w:rPr>
      </w:pPr>
      <w:r>
        <w:rPr>
          <w:rFonts w:ascii="Verdana" w:hAnsi="Verdana"/>
          <w:color w:val="000000"/>
          <w:sz w:val="21"/>
          <w:szCs w:val="21"/>
        </w:rPr>
        <w:br w:type="page"/>
      </w:r>
    </w:p>
    <w:p w14:paraId="24E58D45" w14:textId="77777777" w:rsidR="00AF4229" w:rsidRDefault="00AF4229" w:rsidP="008156F5">
      <w:pPr>
        <w:spacing w:after="0" w:line="280" w:lineRule="atLeast"/>
        <w:jc w:val="center"/>
        <w:rPr>
          <w:rFonts w:ascii="Verdana" w:hAnsi="Verdana"/>
          <w:color w:val="000000"/>
          <w:sz w:val="21"/>
          <w:szCs w:val="21"/>
        </w:rPr>
      </w:pPr>
    </w:p>
    <w:p w14:paraId="07DFEACB" w14:textId="77777777" w:rsidR="00AF4229" w:rsidRDefault="00AF4229" w:rsidP="008156F5">
      <w:pPr>
        <w:spacing w:after="0" w:line="280" w:lineRule="atLeast"/>
        <w:jc w:val="center"/>
        <w:rPr>
          <w:rFonts w:ascii="Verdana" w:hAnsi="Verdana"/>
          <w:color w:val="000000"/>
          <w:sz w:val="21"/>
          <w:szCs w:val="21"/>
        </w:rPr>
      </w:pPr>
    </w:p>
    <w:p w14:paraId="3094944C" w14:textId="745B9C1E" w:rsidR="00F13A0B" w:rsidRPr="00602DDF" w:rsidRDefault="00602DDF" w:rsidP="008156F5">
      <w:pPr>
        <w:spacing w:after="0" w:line="280" w:lineRule="atLeast"/>
        <w:jc w:val="both"/>
        <w:rPr>
          <w:rFonts w:ascii="Verdana" w:hAnsi="Verdana"/>
          <w:color w:val="000000" w:themeColor="text1"/>
          <w:sz w:val="21"/>
          <w:szCs w:val="21"/>
        </w:rPr>
      </w:pPr>
      <w:r>
        <w:rPr>
          <w:rFonts w:ascii="Verdana" w:hAnsi="Verdana"/>
          <w:b/>
          <w:bCs/>
          <w:color w:val="C00000"/>
          <w:sz w:val="21"/>
          <w:szCs w:val="21"/>
        </w:rPr>
        <w:t>Note:</w:t>
      </w:r>
      <w:r>
        <w:rPr>
          <w:rFonts w:ascii="Verdana" w:hAnsi="Verdana"/>
          <w:color w:val="000000" w:themeColor="text1"/>
          <w:sz w:val="21"/>
          <w:szCs w:val="21"/>
        </w:rPr>
        <w:t xml:space="preserve"> full details for each Exchange Traded </w:t>
      </w:r>
      <w:r w:rsidR="00FE5D24">
        <w:rPr>
          <w:rFonts w:ascii="Verdana" w:hAnsi="Verdana"/>
          <w:color w:val="000000" w:themeColor="text1"/>
          <w:sz w:val="21"/>
          <w:szCs w:val="21"/>
        </w:rPr>
        <w:t>Product</w:t>
      </w:r>
      <w:r>
        <w:rPr>
          <w:rFonts w:ascii="Verdana" w:hAnsi="Verdana"/>
          <w:color w:val="000000" w:themeColor="text1"/>
          <w:sz w:val="21"/>
          <w:szCs w:val="21"/>
        </w:rPr>
        <w:t xml:space="preserve"> </w:t>
      </w:r>
      <w:r w:rsidR="00FE5D24">
        <w:rPr>
          <w:rFonts w:ascii="Verdana" w:hAnsi="Verdana"/>
          <w:color w:val="000000" w:themeColor="text1"/>
          <w:sz w:val="21"/>
          <w:szCs w:val="21"/>
        </w:rPr>
        <w:t>is</w:t>
      </w:r>
      <w:r>
        <w:rPr>
          <w:rFonts w:ascii="Verdana" w:hAnsi="Verdana"/>
          <w:color w:val="000000" w:themeColor="text1"/>
          <w:sz w:val="21"/>
          <w:szCs w:val="21"/>
        </w:rPr>
        <w:t xml:space="preserve"> available on the quarterly reports available on the etfSA website: </w:t>
      </w:r>
      <w:hyperlink r:id="rId10" w:history="1">
        <w:r w:rsidRPr="00CF484B">
          <w:rPr>
            <w:rStyle w:val="Hyperlink"/>
            <w:rFonts w:ascii="Verdana" w:hAnsi="Verdana"/>
            <w:sz w:val="21"/>
            <w:szCs w:val="21"/>
          </w:rPr>
          <w:t>www.etfsa.co.za</w:t>
        </w:r>
      </w:hyperlink>
      <w:r>
        <w:rPr>
          <w:rFonts w:ascii="Verdana" w:hAnsi="Verdana"/>
          <w:color w:val="000000" w:themeColor="text1"/>
          <w:sz w:val="21"/>
          <w:szCs w:val="21"/>
        </w:rPr>
        <w:t xml:space="preserve">: </w:t>
      </w:r>
    </w:p>
    <w:p w14:paraId="49F297F9" w14:textId="1ED10A64" w:rsidR="00F13A0B" w:rsidRDefault="00F13A0B" w:rsidP="008156F5">
      <w:pPr>
        <w:spacing w:after="0" w:line="280" w:lineRule="atLeast"/>
        <w:jc w:val="both"/>
        <w:rPr>
          <w:rFonts w:ascii="Verdana" w:hAnsi="Verdana"/>
          <w:sz w:val="21"/>
          <w:szCs w:val="21"/>
        </w:rPr>
      </w:pPr>
    </w:p>
    <w:p w14:paraId="54885B65" w14:textId="43E934DE" w:rsidR="00602DDF" w:rsidRDefault="00602DDF" w:rsidP="008156F5">
      <w:pPr>
        <w:pStyle w:val="ListParagraph"/>
        <w:numPr>
          <w:ilvl w:val="0"/>
          <w:numId w:val="17"/>
        </w:numPr>
        <w:spacing w:after="0" w:line="280" w:lineRule="atLeast"/>
        <w:jc w:val="both"/>
        <w:rPr>
          <w:rFonts w:ascii="Verdana" w:hAnsi="Verdana"/>
          <w:sz w:val="21"/>
          <w:szCs w:val="21"/>
        </w:rPr>
      </w:pPr>
      <w:r>
        <w:rPr>
          <w:rFonts w:ascii="Verdana" w:hAnsi="Verdana"/>
          <w:sz w:val="21"/>
          <w:szCs w:val="21"/>
        </w:rPr>
        <w:t>All South African ETFs</w:t>
      </w:r>
      <w:r w:rsidR="005D7F7B">
        <w:rPr>
          <w:rFonts w:ascii="Verdana" w:hAnsi="Verdana"/>
          <w:sz w:val="21"/>
          <w:szCs w:val="21"/>
        </w:rPr>
        <w:t>,</w:t>
      </w:r>
      <w:r>
        <w:rPr>
          <w:rFonts w:ascii="Verdana" w:hAnsi="Verdana"/>
          <w:sz w:val="21"/>
          <w:szCs w:val="21"/>
        </w:rPr>
        <w:t xml:space="preserve"> ETNs</w:t>
      </w:r>
      <w:r w:rsidR="005D7F7B">
        <w:rPr>
          <w:rFonts w:ascii="Verdana" w:hAnsi="Verdana"/>
          <w:sz w:val="21"/>
          <w:szCs w:val="21"/>
        </w:rPr>
        <w:t xml:space="preserve"> &amp; AMCs</w:t>
      </w:r>
      <w:r>
        <w:rPr>
          <w:rFonts w:ascii="Verdana" w:hAnsi="Verdana"/>
          <w:sz w:val="21"/>
          <w:szCs w:val="21"/>
        </w:rPr>
        <w:t xml:space="preserve"> – Market Capitalisation </w:t>
      </w:r>
      <w:r w:rsidR="00A37F02">
        <w:rPr>
          <w:rFonts w:ascii="Verdana" w:hAnsi="Verdana"/>
          <w:sz w:val="21"/>
          <w:szCs w:val="21"/>
        </w:rPr>
        <w:t>Totals</w:t>
      </w:r>
      <w:r>
        <w:rPr>
          <w:rFonts w:ascii="Verdana" w:hAnsi="Verdana"/>
          <w:sz w:val="21"/>
          <w:szCs w:val="21"/>
        </w:rPr>
        <w:t xml:space="preserve"> – December 20</w:t>
      </w:r>
      <w:r w:rsidR="00580F19">
        <w:rPr>
          <w:rFonts w:ascii="Verdana" w:hAnsi="Verdana"/>
          <w:sz w:val="21"/>
          <w:szCs w:val="21"/>
        </w:rPr>
        <w:t>13</w:t>
      </w:r>
      <w:r>
        <w:rPr>
          <w:rFonts w:ascii="Verdana" w:hAnsi="Verdana"/>
          <w:sz w:val="21"/>
          <w:szCs w:val="21"/>
        </w:rPr>
        <w:t xml:space="preserve"> to </w:t>
      </w:r>
      <w:r w:rsidR="000A23EE">
        <w:rPr>
          <w:rFonts w:ascii="Verdana" w:hAnsi="Verdana"/>
          <w:sz w:val="21"/>
          <w:szCs w:val="21"/>
        </w:rPr>
        <w:t>Dec</w:t>
      </w:r>
      <w:r w:rsidR="00E61ABF">
        <w:rPr>
          <w:rFonts w:ascii="Verdana" w:hAnsi="Verdana"/>
          <w:sz w:val="21"/>
          <w:szCs w:val="21"/>
        </w:rPr>
        <w:t>ember</w:t>
      </w:r>
      <w:r w:rsidR="007D7A8F">
        <w:rPr>
          <w:rFonts w:ascii="Verdana" w:hAnsi="Verdana"/>
          <w:sz w:val="21"/>
          <w:szCs w:val="21"/>
        </w:rPr>
        <w:t xml:space="preserve"> 2023</w:t>
      </w:r>
      <w:r>
        <w:rPr>
          <w:rFonts w:ascii="Verdana" w:hAnsi="Verdana"/>
          <w:sz w:val="21"/>
          <w:szCs w:val="21"/>
        </w:rPr>
        <w:t xml:space="preserve">. </w:t>
      </w:r>
    </w:p>
    <w:p w14:paraId="687B4DFB" w14:textId="77777777" w:rsidR="0025163D" w:rsidRDefault="0025163D" w:rsidP="008156F5">
      <w:pPr>
        <w:pStyle w:val="ListParagraph"/>
        <w:spacing w:after="0" w:line="280" w:lineRule="atLeast"/>
        <w:jc w:val="both"/>
        <w:rPr>
          <w:rFonts w:ascii="Verdana" w:hAnsi="Verdana"/>
          <w:sz w:val="21"/>
          <w:szCs w:val="21"/>
        </w:rPr>
      </w:pPr>
    </w:p>
    <w:p w14:paraId="045E74ED" w14:textId="788C34C7" w:rsidR="00602DDF" w:rsidRPr="00602DDF" w:rsidRDefault="00602DDF" w:rsidP="008156F5">
      <w:pPr>
        <w:pStyle w:val="ListParagraph"/>
        <w:numPr>
          <w:ilvl w:val="0"/>
          <w:numId w:val="17"/>
        </w:numPr>
        <w:spacing w:after="0" w:line="280" w:lineRule="atLeast"/>
        <w:jc w:val="both"/>
        <w:rPr>
          <w:rFonts w:ascii="Verdana" w:hAnsi="Verdana"/>
          <w:sz w:val="21"/>
          <w:szCs w:val="21"/>
        </w:rPr>
      </w:pPr>
      <w:r>
        <w:rPr>
          <w:rFonts w:ascii="Verdana" w:hAnsi="Verdana"/>
          <w:sz w:val="21"/>
          <w:szCs w:val="21"/>
        </w:rPr>
        <w:t>ET</w:t>
      </w:r>
      <w:r w:rsidR="005D7F7B">
        <w:rPr>
          <w:rFonts w:ascii="Verdana" w:hAnsi="Verdana"/>
          <w:sz w:val="21"/>
          <w:szCs w:val="21"/>
        </w:rPr>
        <w:t>P</w:t>
      </w:r>
      <w:r>
        <w:rPr>
          <w:rFonts w:ascii="Verdana" w:hAnsi="Verdana"/>
          <w:sz w:val="21"/>
          <w:szCs w:val="21"/>
        </w:rPr>
        <w:t xml:space="preserve"> survey – Securities in Issue and New Capital Raised/Redeemed (for period ended </w:t>
      </w:r>
      <w:r w:rsidR="00E61ABF">
        <w:rPr>
          <w:rFonts w:ascii="Verdana" w:hAnsi="Verdana"/>
          <w:sz w:val="21"/>
          <w:szCs w:val="21"/>
        </w:rPr>
        <w:t>29</w:t>
      </w:r>
      <w:r>
        <w:rPr>
          <w:rFonts w:ascii="Verdana" w:hAnsi="Verdana"/>
          <w:sz w:val="21"/>
          <w:szCs w:val="21"/>
        </w:rPr>
        <w:t xml:space="preserve"> </w:t>
      </w:r>
      <w:r w:rsidR="000A23EE">
        <w:rPr>
          <w:rFonts w:ascii="Verdana" w:hAnsi="Verdana"/>
          <w:sz w:val="21"/>
          <w:szCs w:val="21"/>
        </w:rPr>
        <w:t>Dec</w:t>
      </w:r>
      <w:r w:rsidR="00E61ABF">
        <w:rPr>
          <w:rFonts w:ascii="Verdana" w:hAnsi="Verdana"/>
          <w:sz w:val="21"/>
          <w:szCs w:val="21"/>
        </w:rPr>
        <w:t>ember</w:t>
      </w:r>
      <w:r>
        <w:rPr>
          <w:rFonts w:ascii="Verdana" w:hAnsi="Verdana"/>
          <w:sz w:val="21"/>
          <w:szCs w:val="21"/>
        </w:rPr>
        <w:t xml:space="preserve"> 202</w:t>
      </w:r>
      <w:r w:rsidR="007D7A8F">
        <w:rPr>
          <w:rFonts w:ascii="Verdana" w:hAnsi="Verdana"/>
          <w:sz w:val="21"/>
          <w:szCs w:val="21"/>
        </w:rPr>
        <w:t>3</w:t>
      </w:r>
      <w:r>
        <w:rPr>
          <w:rFonts w:ascii="Verdana" w:hAnsi="Verdana"/>
          <w:sz w:val="21"/>
          <w:szCs w:val="21"/>
        </w:rPr>
        <w:t xml:space="preserve">). </w:t>
      </w:r>
    </w:p>
    <w:p w14:paraId="542E835E" w14:textId="77777777" w:rsidR="001470DA" w:rsidRDefault="001470DA" w:rsidP="008156F5">
      <w:pPr>
        <w:pBdr>
          <w:bottom w:val="single" w:sz="12" w:space="1" w:color="C00000"/>
        </w:pBdr>
        <w:spacing w:after="0" w:line="280" w:lineRule="atLeast"/>
        <w:jc w:val="both"/>
        <w:rPr>
          <w:rFonts w:ascii="Verdana" w:hAnsi="Verdana"/>
          <w:sz w:val="21"/>
          <w:szCs w:val="21"/>
        </w:rPr>
      </w:pPr>
    </w:p>
    <w:p w14:paraId="659F85C8" w14:textId="77777777" w:rsidR="00580F19" w:rsidRDefault="00580F19" w:rsidP="00DB4A11">
      <w:pPr>
        <w:spacing w:after="0" w:line="320" w:lineRule="atLeast"/>
        <w:jc w:val="both"/>
        <w:rPr>
          <w:rFonts w:ascii="Verdana" w:hAnsi="Verdana"/>
          <w:sz w:val="21"/>
          <w:szCs w:val="21"/>
        </w:rPr>
      </w:pPr>
    </w:p>
    <w:p w14:paraId="5E44360E" w14:textId="77777777" w:rsidR="00AF4229" w:rsidRDefault="00AF4229" w:rsidP="00DB4A11">
      <w:pPr>
        <w:spacing w:after="0" w:line="320" w:lineRule="atLeast"/>
        <w:jc w:val="both"/>
        <w:rPr>
          <w:rFonts w:ascii="Verdana" w:hAnsi="Verdana"/>
          <w:sz w:val="21"/>
          <w:szCs w:val="21"/>
        </w:rPr>
      </w:pPr>
    </w:p>
    <w:p w14:paraId="5766412D" w14:textId="1F70D688" w:rsidR="0048656A" w:rsidRDefault="00DA4A8E" w:rsidP="00DA4A8E">
      <w:pPr>
        <w:spacing w:after="0" w:line="320" w:lineRule="atLeast"/>
        <w:jc w:val="center"/>
        <w:rPr>
          <w:rFonts w:ascii="Verdana" w:hAnsi="Verdana"/>
          <w:sz w:val="21"/>
          <w:szCs w:val="21"/>
        </w:rPr>
      </w:pPr>
      <w:r>
        <w:rPr>
          <w:rFonts w:ascii="Verdana" w:hAnsi="Verdana"/>
          <w:noProof/>
          <w:sz w:val="21"/>
          <w:szCs w:val="21"/>
        </w:rPr>
        <w:drawing>
          <wp:inline distT="0" distB="0" distL="0" distR="0" wp14:anchorId="46E2E7DD" wp14:editId="09E5D591">
            <wp:extent cx="5943600" cy="148590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5B45E591" w14:textId="6E75A140" w:rsidR="00A9509E" w:rsidRDefault="00A9509E" w:rsidP="00DB4A11">
      <w:pPr>
        <w:spacing w:after="0" w:line="320" w:lineRule="atLeast"/>
        <w:jc w:val="both"/>
        <w:rPr>
          <w:rFonts w:ascii="Verdana" w:hAnsi="Verdana"/>
          <w:sz w:val="21"/>
          <w:szCs w:val="21"/>
        </w:rPr>
      </w:pPr>
    </w:p>
    <w:p w14:paraId="31B7FFA0" w14:textId="798E2CD9" w:rsidR="00561B5C" w:rsidRPr="00AF4229" w:rsidRDefault="00744D5F" w:rsidP="00561B5C">
      <w:pPr>
        <w:spacing w:after="0" w:line="320" w:lineRule="atLeast"/>
        <w:jc w:val="center"/>
        <w:rPr>
          <w:rStyle w:val="Hyperlink"/>
          <w:rFonts w:ascii="Verdana" w:hAnsi="Verdana"/>
          <w:b/>
          <w:bCs/>
          <w:color w:val="C00000"/>
          <w:sz w:val="32"/>
          <w:szCs w:val="32"/>
          <w:u w:val="none"/>
        </w:rPr>
      </w:pPr>
      <w:hyperlink r:id="rId12" w:history="1">
        <w:r w:rsidR="00C43C49" w:rsidRPr="00AF4229">
          <w:rPr>
            <w:rStyle w:val="Hyperlink"/>
            <w:rFonts w:ascii="Verdana" w:hAnsi="Verdana"/>
            <w:b/>
            <w:bCs/>
            <w:color w:val="C00000"/>
            <w:sz w:val="32"/>
            <w:szCs w:val="32"/>
            <w:u w:val="none"/>
          </w:rPr>
          <w:t>www.etfsa.co.za</w:t>
        </w:r>
      </w:hyperlink>
    </w:p>
    <w:p w14:paraId="550FD691" w14:textId="77777777" w:rsidR="00AF4229" w:rsidRDefault="00AF4229" w:rsidP="00561B5C">
      <w:pPr>
        <w:spacing w:after="0" w:line="320" w:lineRule="atLeast"/>
        <w:jc w:val="center"/>
        <w:rPr>
          <w:rStyle w:val="Hyperlink"/>
          <w:rFonts w:ascii="Verdana" w:hAnsi="Verdana"/>
          <w:b/>
          <w:bCs/>
          <w:color w:val="C00000"/>
          <w:u w:val="none"/>
        </w:rPr>
      </w:pPr>
    </w:p>
    <w:p w14:paraId="3BD3721C" w14:textId="1A51E179" w:rsidR="00AF4229" w:rsidRPr="00C43C49" w:rsidRDefault="00AF4229" w:rsidP="00561B5C">
      <w:pPr>
        <w:spacing w:after="0" w:line="320" w:lineRule="atLeast"/>
        <w:jc w:val="center"/>
        <w:rPr>
          <w:rFonts w:ascii="Verdana" w:hAnsi="Verdana"/>
          <w:b/>
          <w:bCs/>
          <w:color w:val="C00000"/>
        </w:rPr>
      </w:pPr>
      <w:r>
        <w:rPr>
          <w:rFonts w:ascii="Verdana" w:hAnsi="Verdana"/>
          <w:b/>
          <w:bCs/>
          <w:noProof/>
          <w:color w:val="C00000"/>
        </w:rPr>
        <w:drawing>
          <wp:inline distT="0" distB="0" distL="0" distR="0" wp14:anchorId="52438F23" wp14:editId="373C36B9">
            <wp:extent cx="2743200" cy="2743200"/>
            <wp:effectExtent l="0" t="0" r="0" b="0"/>
            <wp:docPr id="1212803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803566" name="Picture 121280356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302EE78E" w14:textId="77777777" w:rsidR="007D7A8F" w:rsidRDefault="007D7A8F" w:rsidP="00DB4A11">
      <w:pPr>
        <w:spacing w:after="0" w:line="320" w:lineRule="atLeast"/>
        <w:jc w:val="both"/>
        <w:rPr>
          <w:rFonts w:ascii="Verdana" w:hAnsi="Verdana"/>
          <w:sz w:val="16"/>
          <w:szCs w:val="16"/>
        </w:rPr>
      </w:pPr>
    </w:p>
    <w:p w14:paraId="73CA6972" w14:textId="77777777" w:rsidR="007F321D" w:rsidRPr="008156F5" w:rsidRDefault="007F321D" w:rsidP="00DB4A11">
      <w:pPr>
        <w:spacing w:after="0" w:line="320" w:lineRule="atLeast"/>
        <w:jc w:val="both"/>
        <w:rPr>
          <w:rFonts w:ascii="Verdana" w:hAnsi="Verdana"/>
          <w:sz w:val="16"/>
          <w:szCs w:val="16"/>
        </w:rPr>
      </w:pPr>
    </w:p>
    <w:p w14:paraId="348057A5" w14:textId="77777777" w:rsidR="00C6212D" w:rsidRPr="008156F5" w:rsidRDefault="00C6212D" w:rsidP="00B53F4B">
      <w:pPr>
        <w:pBdr>
          <w:top w:val="single" w:sz="4" w:space="1" w:color="auto"/>
        </w:pBdr>
        <w:spacing w:after="0" w:line="240" w:lineRule="auto"/>
        <w:jc w:val="both"/>
        <w:rPr>
          <w:sz w:val="14"/>
          <w:szCs w:val="14"/>
          <w:lang w:eastAsia="en-ZA"/>
        </w:rPr>
      </w:pPr>
      <w:r w:rsidRPr="008156F5">
        <w:rPr>
          <w:rFonts w:ascii="Arial" w:hAnsi="Arial"/>
          <w:b/>
          <w:i/>
          <w:color w:val="0F0D35"/>
          <w:sz w:val="14"/>
          <w:szCs w:val="14"/>
        </w:rPr>
        <w:t xml:space="preserve">Disclaimer: </w:t>
      </w:r>
      <w:r w:rsidRPr="008156F5">
        <w:rPr>
          <w:rFonts w:ascii="Arial" w:hAnsi="Arial"/>
          <w:color w:val="000000"/>
          <w:sz w:val="14"/>
          <w:szCs w:val="14"/>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3AAF1E99" w14:textId="341D3584" w:rsidR="00C6212D" w:rsidRPr="008156F5" w:rsidRDefault="00C6212D" w:rsidP="00B53F4B">
      <w:pPr>
        <w:pBdr>
          <w:bottom w:val="single" w:sz="4" w:space="1" w:color="auto"/>
        </w:pBdr>
        <w:shd w:val="clear" w:color="auto" w:fill="FFFFFF"/>
        <w:spacing w:after="0" w:line="240" w:lineRule="auto"/>
        <w:jc w:val="both"/>
        <w:rPr>
          <w:rFonts w:ascii="Arial" w:hAnsi="Arial"/>
          <w:color w:val="000000"/>
          <w:sz w:val="14"/>
          <w:szCs w:val="14"/>
          <w:lang w:eastAsia="en-ZA"/>
        </w:rPr>
      </w:pPr>
      <w:r w:rsidRPr="008156F5">
        <w:rPr>
          <w:rFonts w:ascii="Arial" w:hAnsi="Arial"/>
          <w:color w:val="000000"/>
          <w:sz w:val="14"/>
          <w:szCs w:val="14"/>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6B359C43" w14:textId="77777777" w:rsidR="00C6212D" w:rsidRPr="008156F5" w:rsidRDefault="00C6212D" w:rsidP="00B53F4B">
      <w:pPr>
        <w:pBdr>
          <w:bottom w:val="single" w:sz="4" w:space="1" w:color="auto"/>
        </w:pBdr>
        <w:shd w:val="clear" w:color="auto" w:fill="FFFFFF"/>
        <w:spacing w:after="0" w:line="240" w:lineRule="auto"/>
        <w:jc w:val="both"/>
        <w:rPr>
          <w:rFonts w:ascii="Arial" w:hAnsi="Arial"/>
          <w:color w:val="000000"/>
          <w:sz w:val="14"/>
          <w:szCs w:val="14"/>
          <w:lang w:eastAsia="en-ZA"/>
        </w:rPr>
      </w:pPr>
      <w:r w:rsidRPr="008156F5">
        <w:rPr>
          <w:rFonts w:ascii="Arial" w:hAnsi="Arial"/>
          <w:color w:val="000000"/>
          <w:sz w:val="14"/>
          <w:szCs w:val="14"/>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02B89787" w14:textId="179796E9" w:rsidR="00C6212D" w:rsidRPr="008156F5" w:rsidRDefault="00C6212D" w:rsidP="00B53F4B">
      <w:pPr>
        <w:pBdr>
          <w:bottom w:val="single" w:sz="4" w:space="1" w:color="auto"/>
        </w:pBdr>
        <w:shd w:val="clear" w:color="auto" w:fill="FFFFFF"/>
        <w:spacing w:after="0" w:line="240" w:lineRule="auto"/>
        <w:jc w:val="both"/>
        <w:rPr>
          <w:rFonts w:ascii="Arial" w:hAnsi="Arial"/>
          <w:color w:val="000000"/>
          <w:sz w:val="14"/>
          <w:szCs w:val="14"/>
          <w:lang w:eastAsia="en-ZA"/>
        </w:rPr>
      </w:pPr>
      <w:r w:rsidRPr="008156F5">
        <w:rPr>
          <w:rFonts w:ascii="Arial" w:hAnsi="Arial"/>
          <w:color w:val="000000"/>
          <w:sz w:val="14"/>
          <w:szCs w:val="14"/>
          <w:lang w:eastAsia="en-ZA"/>
        </w:rPr>
        <w:t xml:space="preserve">etfSA.co.za is managed by M F Brown, who is a registered financial services provider (FSP No. 39217). M F Brown has Professional Indemnity Insurance as required by FAIS. The etfSA </w:t>
      </w:r>
      <w:r w:rsidR="00CD6927" w:rsidRPr="008156F5">
        <w:rPr>
          <w:rFonts w:ascii="Arial" w:hAnsi="Arial"/>
          <w:color w:val="000000"/>
          <w:sz w:val="14"/>
          <w:szCs w:val="14"/>
          <w:lang w:eastAsia="en-ZA"/>
        </w:rPr>
        <w:t>Portfolio Management Company</w:t>
      </w:r>
      <w:r w:rsidRPr="008156F5">
        <w:rPr>
          <w:rFonts w:ascii="Arial" w:hAnsi="Arial"/>
          <w:color w:val="000000"/>
          <w:sz w:val="14"/>
          <w:szCs w:val="14"/>
          <w:lang w:eastAsia="en-ZA"/>
        </w:rPr>
        <w:t xml:space="preserve"> (Pty) Ltd (FSP No </w:t>
      </w:r>
      <w:r w:rsidR="00CD6927" w:rsidRPr="008156F5">
        <w:rPr>
          <w:rFonts w:ascii="Arial" w:hAnsi="Arial"/>
          <w:color w:val="000000"/>
          <w:sz w:val="14"/>
          <w:szCs w:val="14"/>
          <w:lang w:eastAsia="en-ZA"/>
        </w:rPr>
        <w:t>5</w:t>
      </w:r>
      <w:r w:rsidR="00CC181B" w:rsidRPr="008156F5">
        <w:rPr>
          <w:rFonts w:ascii="Arial" w:hAnsi="Arial"/>
          <w:color w:val="000000"/>
          <w:sz w:val="14"/>
          <w:szCs w:val="14"/>
          <w:lang w:eastAsia="en-ZA"/>
        </w:rPr>
        <w:t>23</w:t>
      </w:r>
      <w:r w:rsidR="00CD6927" w:rsidRPr="008156F5">
        <w:rPr>
          <w:rFonts w:ascii="Arial" w:hAnsi="Arial"/>
          <w:color w:val="000000"/>
          <w:sz w:val="14"/>
          <w:szCs w:val="14"/>
          <w:lang w:eastAsia="en-ZA"/>
        </w:rPr>
        <w:t>14</w:t>
      </w:r>
      <w:r w:rsidRPr="008156F5">
        <w:rPr>
          <w:rFonts w:ascii="Arial" w:hAnsi="Arial"/>
          <w:color w:val="000000"/>
          <w:sz w:val="14"/>
          <w:szCs w:val="14"/>
          <w:lang w:eastAsia="en-ZA"/>
        </w:rPr>
        <w:t>)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0E9485D7" w14:textId="64A3D211" w:rsidR="00407678" w:rsidRPr="008156F5" w:rsidRDefault="00C6212D" w:rsidP="00B53F4B">
      <w:pPr>
        <w:pBdr>
          <w:bottom w:val="single" w:sz="4" w:space="1" w:color="auto"/>
        </w:pBdr>
        <w:shd w:val="clear" w:color="auto" w:fill="FFFFFF"/>
        <w:spacing w:after="0" w:line="240" w:lineRule="auto"/>
        <w:jc w:val="both"/>
        <w:rPr>
          <w:rFonts w:ascii="Arial" w:hAnsi="Arial"/>
          <w:color w:val="000000"/>
          <w:sz w:val="14"/>
          <w:szCs w:val="14"/>
          <w:lang w:eastAsia="en-ZA"/>
        </w:rPr>
      </w:pPr>
      <w:r w:rsidRPr="008156F5">
        <w:rPr>
          <w:rFonts w:ascii="Arial" w:hAnsi="Arial"/>
          <w:color w:val="000000"/>
          <w:sz w:val="14"/>
          <w:szCs w:val="14"/>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sectPr w:rsidR="00407678" w:rsidRPr="008156F5" w:rsidSect="00281835">
      <w:footerReference w:type="default" r:id="rId14"/>
      <w:pgSz w:w="11906" w:h="16838" w:code="9"/>
      <w:pgMar w:top="851" w:right="851" w:bottom="567" w:left="851" w:header="709" w:footer="567" w:gutter="0"/>
      <w:pgBorders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45C01" w14:textId="77777777" w:rsidR="00EE2080" w:rsidRDefault="00EE2080" w:rsidP="001860C2">
      <w:pPr>
        <w:spacing w:after="0" w:line="240" w:lineRule="auto"/>
      </w:pPr>
      <w:r>
        <w:separator/>
      </w:r>
    </w:p>
  </w:endnote>
  <w:endnote w:type="continuationSeparator" w:id="0">
    <w:p w14:paraId="3CF9A0A3" w14:textId="77777777" w:rsidR="00EE2080" w:rsidRDefault="00EE2080" w:rsidP="0018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959353"/>
      <w:docPartObj>
        <w:docPartGallery w:val="Page Numbers (Bottom of Page)"/>
        <w:docPartUnique/>
      </w:docPartObj>
    </w:sdtPr>
    <w:sdtEndPr>
      <w:rPr>
        <w:rFonts w:ascii="Verdana" w:hAnsi="Verdana"/>
        <w:noProof/>
        <w:sz w:val="18"/>
        <w:szCs w:val="18"/>
      </w:rPr>
    </w:sdtEndPr>
    <w:sdtContent>
      <w:p w14:paraId="72DBEA49" w14:textId="73AF9B02" w:rsidR="002F19B0" w:rsidRPr="001860C2" w:rsidRDefault="002F19B0" w:rsidP="001860C2">
        <w:pPr>
          <w:pStyle w:val="Footer"/>
          <w:jc w:val="center"/>
          <w:rPr>
            <w:rFonts w:ascii="Verdana" w:hAnsi="Verdana"/>
            <w:sz w:val="18"/>
            <w:szCs w:val="18"/>
          </w:rPr>
        </w:pPr>
        <w:r w:rsidRPr="001860C2">
          <w:rPr>
            <w:rFonts w:ascii="Verdana" w:hAnsi="Verdana"/>
            <w:sz w:val="18"/>
            <w:szCs w:val="18"/>
          </w:rPr>
          <w:fldChar w:fldCharType="begin"/>
        </w:r>
        <w:r w:rsidRPr="001860C2">
          <w:rPr>
            <w:rFonts w:ascii="Verdana" w:hAnsi="Verdana"/>
            <w:sz w:val="18"/>
            <w:szCs w:val="18"/>
          </w:rPr>
          <w:instrText xml:space="preserve"> PAGE   \* MERGEFORMAT </w:instrText>
        </w:r>
        <w:r w:rsidRPr="001860C2">
          <w:rPr>
            <w:rFonts w:ascii="Verdana" w:hAnsi="Verdana"/>
            <w:sz w:val="18"/>
            <w:szCs w:val="18"/>
          </w:rPr>
          <w:fldChar w:fldCharType="separate"/>
        </w:r>
        <w:r>
          <w:rPr>
            <w:rFonts w:ascii="Verdana" w:hAnsi="Verdana"/>
            <w:noProof/>
            <w:sz w:val="18"/>
            <w:szCs w:val="18"/>
          </w:rPr>
          <w:t>3</w:t>
        </w:r>
        <w:r w:rsidRPr="001860C2">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D9F9B" w14:textId="77777777" w:rsidR="00EE2080" w:rsidRDefault="00EE2080" w:rsidP="001860C2">
      <w:pPr>
        <w:spacing w:after="0" w:line="240" w:lineRule="auto"/>
      </w:pPr>
      <w:r>
        <w:separator/>
      </w:r>
    </w:p>
  </w:footnote>
  <w:footnote w:type="continuationSeparator" w:id="0">
    <w:p w14:paraId="1ADD33A2" w14:textId="77777777" w:rsidR="00EE2080" w:rsidRDefault="00EE2080" w:rsidP="0018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5D0"/>
    <w:multiLevelType w:val="hybridMultilevel"/>
    <w:tmpl w:val="5734E8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1D651D"/>
    <w:multiLevelType w:val="hybridMultilevel"/>
    <w:tmpl w:val="9504678E"/>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2" w15:restartNumberingAfterBreak="0">
    <w:nsid w:val="01234321"/>
    <w:multiLevelType w:val="hybridMultilevel"/>
    <w:tmpl w:val="2A160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7E51D4C"/>
    <w:multiLevelType w:val="hybridMultilevel"/>
    <w:tmpl w:val="0AB075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D32FE3"/>
    <w:multiLevelType w:val="hybridMultilevel"/>
    <w:tmpl w:val="9604C4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5F3D08"/>
    <w:multiLevelType w:val="hybridMultilevel"/>
    <w:tmpl w:val="D2406A56"/>
    <w:lvl w:ilvl="0" w:tplc="D35AD9A0">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260B28"/>
    <w:multiLevelType w:val="hybridMultilevel"/>
    <w:tmpl w:val="6F627B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D627895"/>
    <w:multiLevelType w:val="hybridMultilevel"/>
    <w:tmpl w:val="873A4B54"/>
    <w:lvl w:ilvl="0" w:tplc="D35AD9A0">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F5E1355"/>
    <w:multiLevelType w:val="hybridMultilevel"/>
    <w:tmpl w:val="888E1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09E0A22"/>
    <w:multiLevelType w:val="hybridMultilevel"/>
    <w:tmpl w:val="D29C33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D1321"/>
    <w:multiLevelType w:val="hybridMultilevel"/>
    <w:tmpl w:val="FDD09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40D369B"/>
    <w:multiLevelType w:val="hybridMultilevel"/>
    <w:tmpl w:val="40183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48B1364"/>
    <w:multiLevelType w:val="hybridMultilevel"/>
    <w:tmpl w:val="FFE6E3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3D94606"/>
    <w:multiLevelType w:val="hybridMultilevel"/>
    <w:tmpl w:val="1C347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7086E3A"/>
    <w:multiLevelType w:val="hybridMultilevel"/>
    <w:tmpl w:val="D7A8CC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B5A29A1"/>
    <w:multiLevelType w:val="hybridMultilevel"/>
    <w:tmpl w:val="66A8A1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E767678"/>
    <w:multiLevelType w:val="hybridMultilevel"/>
    <w:tmpl w:val="D33E81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1B17352"/>
    <w:multiLevelType w:val="hybridMultilevel"/>
    <w:tmpl w:val="E4EE44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9A03C17"/>
    <w:multiLevelType w:val="hybridMultilevel"/>
    <w:tmpl w:val="FD4C19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CD962CA"/>
    <w:multiLevelType w:val="hybridMultilevel"/>
    <w:tmpl w:val="855A38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D0578FC"/>
    <w:multiLevelType w:val="hybridMultilevel"/>
    <w:tmpl w:val="6C464D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EC76903"/>
    <w:multiLevelType w:val="hybridMultilevel"/>
    <w:tmpl w:val="E9E6E2D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7BC0492"/>
    <w:multiLevelType w:val="hybridMultilevel"/>
    <w:tmpl w:val="005055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BAC30ED"/>
    <w:multiLevelType w:val="hybridMultilevel"/>
    <w:tmpl w:val="6E22AEB4"/>
    <w:lvl w:ilvl="0" w:tplc="29085DB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EE24671"/>
    <w:multiLevelType w:val="hybridMultilevel"/>
    <w:tmpl w:val="80326B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14D04BD"/>
    <w:multiLevelType w:val="hybridMultilevel"/>
    <w:tmpl w:val="ECFC3C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4ED2A13"/>
    <w:multiLevelType w:val="hybridMultilevel"/>
    <w:tmpl w:val="8F46E7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9F471E4"/>
    <w:multiLevelType w:val="hybridMultilevel"/>
    <w:tmpl w:val="9E5CD8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5923930"/>
    <w:multiLevelType w:val="hybridMultilevel"/>
    <w:tmpl w:val="A5566A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91332C4"/>
    <w:multiLevelType w:val="hybridMultilevel"/>
    <w:tmpl w:val="74541E3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0" w15:restartNumberingAfterBreak="0">
    <w:nsid w:val="7AF55A25"/>
    <w:multiLevelType w:val="hybridMultilevel"/>
    <w:tmpl w:val="20629F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61097734">
    <w:abstractNumId w:val="19"/>
  </w:num>
  <w:num w:numId="2" w16cid:durableId="17001586">
    <w:abstractNumId w:val="1"/>
  </w:num>
  <w:num w:numId="3" w16cid:durableId="2038045481">
    <w:abstractNumId w:val="13"/>
  </w:num>
  <w:num w:numId="4" w16cid:durableId="795762004">
    <w:abstractNumId w:val="10"/>
  </w:num>
  <w:num w:numId="5" w16cid:durableId="371735613">
    <w:abstractNumId w:val="2"/>
  </w:num>
  <w:num w:numId="6" w16cid:durableId="517550290">
    <w:abstractNumId w:val="22"/>
  </w:num>
  <w:num w:numId="7" w16cid:durableId="1561330142">
    <w:abstractNumId w:val="8"/>
  </w:num>
  <w:num w:numId="8" w16cid:durableId="348874987">
    <w:abstractNumId w:val="11"/>
  </w:num>
  <w:num w:numId="9" w16cid:durableId="2114863552">
    <w:abstractNumId w:val="3"/>
  </w:num>
  <w:num w:numId="10" w16cid:durableId="4289105">
    <w:abstractNumId w:val="12"/>
  </w:num>
  <w:num w:numId="11" w16cid:durableId="379133763">
    <w:abstractNumId w:val="14"/>
  </w:num>
  <w:num w:numId="12" w16cid:durableId="611714100">
    <w:abstractNumId w:val="18"/>
  </w:num>
  <w:num w:numId="13" w16cid:durableId="1294755904">
    <w:abstractNumId w:val="15"/>
  </w:num>
  <w:num w:numId="14" w16cid:durableId="968047313">
    <w:abstractNumId w:val="29"/>
  </w:num>
  <w:num w:numId="15" w16cid:durableId="825977546">
    <w:abstractNumId w:val="30"/>
  </w:num>
  <w:num w:numId="16" w16cid:durableId="2069525158">
    <w:abstractNumId w:val="25"/>
  </w:num>
  <w:num w:numId="17" w16cid:durableId="1090082934">
    <w:abstractNumId w:val="6"/>
  </w:num>
  <w:num w:numId="18" w16cid:durableId="667833823">
    <w:abstractNumId w:val="28"/>
  </w:num>
  <w:num w:numId="19" w16cid:durableId="1101994540">
    <w:abstractNumId w:val="26"/>
  </w:num>
  <w:num w:numId="20" w16cid:durableId="962422017">
    <w:abstractNumId w:val="23"/>
  </w:num>
  <w:num w:numId="21" w16cid:durableId="673382833">
    <w:abstractNumId w:val="4"/>
  </w:num>
  <w:num w:numId="22" w16cid:durableId="229968107">
    <w:abstractNumId w:val="0"/>
  </w:num>
  <w:num w:numId="23" w16cid:durableId="1523741481">
    <w:abstractNumId w:val="9"/>
  </w:num>
  <w:num w:numId="24" w16cid:durableId="1352487742">
    <w:abstractNumId w:val="27"/>
  </w:num>
  <w:num w:numId="25" w16cid:durableId="490101877">
    <w:abstractNumId w:val="20"/>
  </w:num>
  <w:num w:numId="26" w16cid:durableId="177739802">
    <w:abstractNumId w:val="21"/>
  </w:num>
  <w:num w:numId="27" w16cid:durableId="37557070">
    <w:abstractNumId w:val="24"/>
  </w:num>
  <w:num w:numId="28" w16cid:durableId="438109862">
    <w:abstractNumId w:val="17"/>
  </w:num>
  <w:num w:numId="29" w16cid:durableId="1878855447">
    <w:abstractNumId w:val="7"/>
  </w:num>
  <w:num w:numId="30" w16cid:durableId="251282986">
    <w:abstractNumId w:val="5"/>
  </w:num>
  <w:num w:numId="31" w16cid:durableId="14704386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37"/>
    <w:rsid w:val="0000086A"/>
    <w:rsid w:val="0000238B"/>
    <w:rsid w:val="000144B3"/>
    <w:rsid w:val="00014D0C"/>
    <w:rsid w:val="00016006"/>
    <w:rsid w:val="000204F0"/>
    <w:rsid w:val="00023812"/>
    <w:rsid w:val="00034E06"/>
    <w:rsid w:val="00042250"/>
    <w:rsid w:val="00042BE4"/>
    <w:rsid w:val="000435BE"/>
    <w:rsid w:val="00043FCA"/>
    <w:rsid w:val="00046AC3"/>
    <w:rsid w:val="00050A63"/>
    <w:rsid w:val="00051559"/>
    <w:rsid w:val="0005247E"/>
    <w:rsid w:val="000542DC"/>
    <w:rsid w:val="0005437D"/>
    <w:rsid w:val="00054445"/>
    <w:rsid w:val="00057C02"/>
    <w:rsid w:val="00063719"/>
    <w:rsid w:val="000637AD"/>
    <w:rsid w:val="00064D86"/>
    <w:rsid w:val="0006568F"/>
    <w:rsid w:val="00065FC4"/>
    <w:rsid w:val="00067065"/>
    <w:rsid w:val="00072FB5"/>
    <w:rsid w:val="000734C3"/>
    <w:rsid w:val="000736A9"/>
    <w:rsid w:val="0007371D"/>
    <w:rsid w:val="000752F6"/>
    <w:rsid w:val="000802B7"/>
    <w:rsid w:val="00080314"/>
    <w:rsid w:val="0008356F"/>
    <w:rsid w:val="00083E17"/>
    <w:rsid w:val="0008652A"/>
    <w:rsid w:val="00086ECE"/>
    <w:rsid w:val="000871E0"/>
    <w:rsid w:val="00093396"/>
    <w:rsid w:val="0009342B"/>
    <w:rsid w:val="00093886"/>
    <w:rsid w:val="000A23EE"/>
    <w:rsid w:val="000A2715"/>
    <w:rsid w:val="000A3329"/>
    <w:rsid w:val="000A5E4A"/>
    <w:rsid w:val="000A6521"/>
    <w:rsid w:val="000B1353"/>
    <w:rsid w:val="000B189D"/>
    <w:rsid w:val="000B1900"/>
    <w:rsid w:val="000B77EA"/>
    <w:rsid w:val="000C024A"/>
    <w:rsid w:val="000C1ACB"/>
    <w:rsid w:val="000C2A04"/>
    <w:rsid w:val="000C74EB"/>
    <w:rsid w:val="000D0FF5"/>
    <w:rsid w:val="000D5C7D"/>
    <w:rsid w:val="000E7CE2"/>
    <w:rsid w:val="000F1A9D"/>
    <w:rsid w:val="000F2E19"/>
    <w:rsid w:val="000F3F0B"/>
    <w:rsid w:val="000F4D11"/>
    <w:rsid w:val="000F676D"/>
    <w:rsid w:val="000F7310"/>
    <w:rsid w:val="000F77F8"/>
    <w:rsid w:val="001004CA"/>
    <w:rsid w:val="00100BC7"/>
    <w:rsid w:val="001011BA"/>
    <w:rsid w:val="00105881"/>
    <w:rsid w:val="00110027"/>
    <w:rsid w:val="001113DA"/>
    <w:rsid w:val="001113EA"/>
    <w:rsid w:val="001118CB"/>
    <w:rsid w:val="00111B11"/>
    <w:rsid w:val="00112914"/>
    <w:rsid w:val="001149F4"/>
    <w:rsid w:val="001161FE"/>
    <w:rsid w:val="001169ED"/>
    <w:rsid w:val="001204A0"/>
    <w:rsid w:val="00121080"/>
    <w:rsid w:val="00121661"/>
    <w:rsid w:val="00122449"/>
    <w:rsid w:val="0012529E"/>
    <w:rsid w:val="001255EF"/>
    <w:rsid w:val="0013147F"/>
    <w:rsid w:val="0013275D"/>
    <w:rsid w:val="00137500"/>
    <w:rsid w:val="00141CB8"/>
    <w:rsid w:val="001435C1"/>
    <w:rsid w:val="00143C23"/>
    <w:rsid w:val="00145C7E"/>
    <w:rsid w:val="001470DA"/>
    <w:rsid w:val="00147712"/>
    <w:rsid w:val="00154CA3"/>
    <w:rsid w:val="00161566"/>
    <w:rsid w:val="0016315C"/>
    <w:rsid w:val="00164CDA"/>
    <w:rsid w:val="0016524A"/>
    <w:rsid w:val="0017124F"/>
    <w:rsid w:val="001723F2"/>
    <w:rsid w:val="00175BD4"/>
    <w:rsid w:val="0018165B"/>
    <w:rsid w:val="00181E64"/>
    <w:rsid w:val="00185009"/>
    <w:rsid w:val="001860C2"/>
    <w:rsid w:val="00187148"/>
    <w:rsid w:val="00193608"/>
    <w:rsid w:val="0019419C"/>
    <w:rsid w:val="001945CA"/>
    <w:rsid w:val="001951A8"/>
    <w:rsid w:val="001976A7"/>
    <w:rsid w:val="00197B1E"/>
    <w:rsid w:val="001A0812"/>
    <w:rsid w:val="001A0C85"/>
    <w:rsid w:val="001A440E"/>
    <w:rsid w:val="001A5982"/>
    <w:rsid w:val="001A631C"/>
    <w:rsid w:val="001A6952"/>
    <w:rsid w:val="001A7023"/>
    <w:rsid w:val="001B0316"/>
    <w:rsid w:val="001B09C4"/>
    <w:rsid w:val="001B0CAA"/>
    <w:rsid w:val="001B2714"/>
    <w:rsid w:val="001B3A67"/>
    <w:rsid w:val="001B5446"/>
    <w:rsid w:val="001C419C"/>
    <w:rsid w:val="001C426E"/>
    <w:rsid w:val="001C48EF"/>
    <w:rsid w:val="001D0D90"/>
    <w:rsid w:val="001D1426"/>
    <w:rsid w:val="001D145F"/>
    <w:rsid w:val="001D296F"/>
    <w:rsid w:val="001D3AD8"/>
    <w:rsid w:val="001D4816"/>
    <w:rsid w:val="001D53A8"/>
    <w:rsid w:val="001D7C34"/>
    <w:rsid w:val="001E3615"/>
    <w:rsid w:val="001E36F8"/>
    <w:rsid w:val="001F12A9"/>
    <w:rsid w:val="001F137C"/>
    <w:rsid w:val="001F33BD"/>
    <w:rsid w:val="001F6BD9"/>
    <w:rsid w:val="00201C15"/>
    <w:rsid w:val="00202A1E"/>
    <w:rsid w:val="002062BC"/>
    <w:rsid w:val="00211E65"/>
    <w:rsid w:val="00213163"/>
    <w:rsid w:val="00214624"/>
    <w:rsid w:val="00215EC5"/>
    <w:rsid w:val="00217F89"/>
    <w:rsid w:val="00222E4A"/>
    <w:rsid w:val="002265E0"/>
    <w:rsid w:val="00227D20"/>
    <w:rsid w:val="00227D37"/>
    <w:rsid w:val="00231639"/>
    <w:rsid w:val="002333CB"/>
    <w:rsid w:val="00240106"/>
    <w:rsid w:val="00244ACE"/>
    <w:rsid w:val="0024764F"/>
    <w:rsid w:val="00251098"/>
    <w:rsid w:val="0025163D"/>
    <w:rsid w:val="002519C3"/>
    <w:rsid w:val="00253345"/>
    <w:rsid w:val="002536F5"/>
    <w:rsid w:val="00257F69"/>
    <w:rsid w:val="00260037"/>
    <w:rsid w:val="002628F1"/>
    <w:rsid w:val="002647AB"/>
    <w:rsid w:val="00267704"/>
    <w:rsid w:val="002678D7"/>
    <w:rsid w:val="00267A62"/>
    <w:rsid w:val="00270178"/>
    <w:rsid w:val="0027130E"/>
    <w:rsid w:val="00271472"/>
    <w:rsid w:val="00275FDA"/>
    <w:rsid w:val="00277B61"/>
    <w:rsid w:val="00281236"/>
    <w:rsid w:val="00281835"/>
    <w:rsid w:val="002821C1"/>
    <w:rsid w:val="00283442"/>
    <w:rsid w:val="0028371C"/>
    <w:rsid w:val="0028580C"/>
    <w:rsid w:val="002867E2"/>
    <w:rsid w:val="00287580"/>
    <w:rsid w:val="00290F56"/>
    <w:rsid w:val="002944F7"/>
    <w:rsid w:val="00295FE0"/>
    <w:rsid w:val="002A024C"/>
    <w:rsid w:val="002A0846"/>
    <w:rsid w:val="002A12CA"/>
    <w:rsid w:val="002A439C"/>
    <w:rsid w:val="002A4EC3"/>
    <w:rsid w:val="002A6445"/>
    <w:rsid w:val="002A6914"/>
    <w:rsid w:val="002A6D67"/>
    <w:rsid w:val="002B14B3"/>
    <w:rsid w:val="002B51E7"/>
    <w:rsid w:val="002C05CF"/>
    <w:rsid w:val="002C252D"/>
    <w:rsid w:val="002C48B1"/>
    <w:rsid w:val="002D1ED9"/>
    <w:rsid w:val="002D4D18"/>
    <w:rsid w:val="002D4E12"/>
    <w:rsid w:val="002D7097"/>
    <w:rsid w:val="002E1517"/>
    <w:rsid w:val="002E2F39"/>
    <w:rsid w:val="002E30E8"/>
    <w:rsid w:val="002E4F01"/>
    <w:rsid w:val="002E55EA"/>
    <w:rsid w:val="002E6A24"/>
    <w:rsid w:val="002F162B"/>
    <w:rsid w:val="002F16E9"/>
    <w:rsid w:val="002F19B0"/>
    <w:rsid w:val="002F4117"/>
    <w:rsid w:val="002F5364"/>
    <w:rsid w:val="00302AA8"/>
    <w:rsid w:val="00307DE7"/>
    <w:rsid w:val="00321934"/>
    <w:rsid w:val="00322BD7"/>
    <w:rsid w:val="003230DF"/>
    <w:rsid w:val="00324D73"/>
    <w:rsid w:val="00325F2F"/>
    <w:rsid w:val="003262AF"/>
    <w:rsid w:val="00330C63"/>
    <w:rsid w:val="00332256"/>
    <w:rsid w:val="003352CA"/>
    <w:rsid w:val="003353CB"/>
    <w:rsid w:val="00336154"/>
    <w:rsid w:val="00337675"/>
    <w:rsid w:val="00340453"/>
    <w:rsid w:val="00340ED3"/>
    <w:rsid w:val="0034230A"/>
    <w:rsid w:val="00345103"/>
    <w:rsid w:val="003453A7"/>
    <w:rsid w:val="003453E4"/>
    <w:rsid w:val="003455BD"/>
    <w:rsid w:val="00346C09"/>
    <w:rsid w:val="00354846"/>
    <w:rsid w:val="00356055"/>
    <w:rsid w:val="003615D4"/>
    <w:rsid w:val="003622B9"/>
    <w:rsid w:val="00362595"/>
    <w:rsid w:val="00371A95"/>
    <w:rsid w:val="00373E18"/>
    <w:rsid w:val="00374625"/>
    <w:rsid w:val="00375ADA"/>
    <w:rsid w:val="003768E4"/>
    <w:rsid w:val="00376CA0"/>
    <w:rsid w:val="00377095"/>
    <w:rsid w:val="003804A8"/>
    <w:rsid w:val="00380C83"/>
    <w:rsid w:val="00382ADA"/>
    <w:rsid w:val="003835A0"/>
    <w:rsid w:val="00383630"/>
    <w:rsid w:val="0038427E"/>
    <w:rsid w:val="00384A36"/>
    <w:rsid w:val="003935AB"/>
    <w:rsid w:val="00394359"/>
    <w:rsid w:val="00395C1E"/>
    <w:rsid w:val="003A0D8D"/>
    <w:rsid w:val="003A29FB"/>
    <w:rsid w:val="003A3D19"/>
    <w:rsid w:val="003A5D8C"/>
    <w:rsid w:val="003A6075"/>
    <w:rsid w:val="003B0162"/>
    <w:rsid w:val="003B10C9"/>
    <w:rsid w:val="003B4F95"/>
    <w:rsid w:val="003B775C"/>
    <w:rsid w:val="003C278D"/>
    <w:rsid w:val="003C3187"/>
    <w:rsid w:val="003C34BA"/>
    <w:rsid w:val="003C36D7"/>
    <w:rsid w:val="003C4C24"/>
    <w:rsid w:val="003C4CE2"/>
    <w:rsid w:val="003C6031"/>
    <w:rsid w:val="003C6447"/>
    <w:rsid w:val="003C700A"/>
    <w:rsid w:val="003D13C9"/>
    <w:rsid w:val="003D3AB6"/>
    <w:rsid w:val="003D5B90"/>
    <w:rsid w:val="003E41CF"/>
    <w:rsid w:val="003E6D07"/>
    <w:rsid w:val="003F1BC4"/>
    <w:rsid w:val="003F5A00"/>
    <w:rsid w:val="003F5A9C"/>
    <w:rsid w:val="003F6A02"/>
    <w:rsid w:val="003F76E0"/>
    <w:rsid w:val="003F7712"/>
    <w:rsid w:val="004038EE"/>
    <w:rsid w:val="0040423E"/>
    <w:rsid w:val="004058B3"/>
    <w:rsid w:val="00405F9A"/>
    <w:rsid w:val="00407678"/>
    <w:rsid w:val="00410B7D"/>
    <w:rsid w:val="00410B90"/>
    <w:rsid w:val="00412295"/>
    <w:rsid w:val="00413262"/>
    <w:rsid w:val="00415026"/>
    <w:rsid w:val="00415851"/>
    <w:rsid w:val="00416503"/>
    <w:rsid w:val="00417CC4"/>
    <w:rsid w:val="00420382"/>
    <w:rsid w:val="0042225F"/>
    <w:rsid w:val="00431322"/>
    <w:rsid w:val="00433C1B"/>
    <w:rsid w:val="00434DA5"/>
    <w:rsid w:val="00435E56"/>
    <w:rsid w:val="00441724"/>
    <w:rsid w:val="004423A7"/>
    <w:rsid w:val="00443433"/>
    <w:rsid w:val="004474C0"/>
    <w:rsid w:val="00451766"/>
    <w:rsid w:val="00451A86"/>
    <w:rsid w:val="004534EE"/>
    <w:rsid w:val="004544E3"/>
    <w:rsid w:val="004545BB"/>
    <w:rsid w:val="004568F5"/>
    <w:rsid w:val="00464D4D"/>
    <w:rsid w:val="00464F85"/>
    <w:rsid w:val="00467DA9"/>
    <w:rsid w:val="004775BA"/>
    <w:rsid w:val="0048656A"/>
    <w:rsid w:val="00486A17"/>
    <w:rsid w:val="0049405F"/>
    <w:rsid w:val="004A1759"/>
    <w:rsid w:val="004A185A"/>
    <w:rsid w:val="004A2267"/>
    <w:rsid w:val="004A28B2"/>
    <w:rsid w:val="004A53EA"/>
    <w:rsid w:val="004A6384"/>
    <w:rsid w:val="004A687F"/>
    <w:rsid w:val="004A7DA9"/>
    <w:rsid w:val="004B0423"/>
    <w:rsid w:val="004B0713"/>
    <w:rsid w:val="004B1BB0"/>
    <w:rsid w:val="004B2D37"/>
    <w:rsid w:val="004B4A66"/>
    <w:rsid w:val="004B7AF5"/>
    <w:rsid w:val="004C1102"/>
    <w:rsid w:val="004C18EC"/>
    <w:rsid w:val="004C60DA"/>
    <w:rsid w:val="004D0295"/>
    <w:rsid w:val="004D1524"/>
    <w:rsid w:val="004D6498"/>
    <w:rsid w:val="004E2922"/>
    <w:rsid w:val="004E4B2F"/>
    <w:rsid w:val="004E4DAF"/>
    <w:rsid w:val="004E53E1"/>
    <w:rsid w:val="004E5FC6"/>
    <w:rsid w:val="004E60C8"/>
    <w:rsid w:val="004E69A5"/>
    <w:rsid w:val="004E7608"/>
    <w:rsid w:val="004F0766"/>
    <w:rsid w:val="004F1DF6"/>
    <w:rsid w:val="004F47FC"/>
    <w:rsid w:val="004F5E09"/>
    <w:rsid w:val="004F60D3"/>
    <w:rsid w:val="00506218"/>
    <w:rsid w:val="0050685E"/>
    <w:rsid w:val="00511FB5"/>
    <w:rsid w:val="005135D4"/>
    <w:rsid w:val="005138C3"/>
    <w:rsid w:val="0051590D"/>
    <w:rsid w:val="005248F6"/>
    <w:rsid w:val="00525AD3"/>
    <w:rsid w:val="005269C6"/>
    <w:rsid w:val="00527C9E"/>
    <w:rsid w:val="00532E7F"/>
    <w:rsid w:val="005355B2"/>
    <w:rsid w:val="0054188E"/>
    <w:rsid w:val="005447D2"/>
    <w:rsid w:val="005475A6"/>
    <w:rsid w:val="005509A2"/>
    <w:rsid w:val="00553990"/>
    <w:rsid w:val="005557F1"/>
    <w:rsid w:val="00557D80"/>
    <w:rsid w:val="00561B5C"/>
    <w:rsid w:val="00561C75"/>
    <w:rsid w:val="005628FE"/>
    <w:rsid w:val="00570341"/>
    <w:rsid w:val="00573EA2"/>
    <w:rsid w:val="00574118"/>
    <w:rsid w:val="0057426E"/>
    <w:rsid w:val="00574800"/>
    <w:rsid w:val="00575220"/>
    <w:rsid w:val="00576C93"/>
    <w:rsid w:val="00576EDC"/>
    <w:rsid w:val="00580F19"/>
    <w:rsid w:val="00581B69"/>
    <w:rsid w:val="00587E90"/>
    <w:rsid w:val="005902FB"/>
    <w:rsid w:val="005923A8"/>
    <w:rsid w:val="005A16E0"/>
    <w:rsid w:val="005A21ED"/>
    <w:rsid w:val="005A38E1"/>
    <w:rsid w:val="005A77A2"/>
    <w:rsid w:val="005B0992"/>
    <w:rsid w:val="005B0C73"/>
    <w:rsid w:val="005B25BF"/>
    <w:rsid w:val="005B450E"/>
    <w:rsid w:val="005B4FD8"/>
    <w:rsid w:val="005B5FC4"/>
    <w:rsid w:val="005B6048"/>
    <w:rsid w:val="005B62B4"/>
    <w:rsid w:val="005B7CFF"/>
    <w:rsid w:val="005C2299"/>
    <w:rsid w:val="005C3133"/>
    <w:rsid w:val="005C4D11"/>
    <w:rsid w:val="005C6EDE"/>
    <w:rsid w:val="005D1205"/>
    <w:rsid w:val="005D1E49"/>
    <w:rsid w:val="005D477C"/>
    <w:rsid w:val="005D52D2"/>
    <w:rsid w:val="005D54DF"/>
    <w:rsid w:val="005D7F7B"/>
    <w:rsid w:val="005D7F9E"/>
    <w:rsid w:val="005E6456"/>
    <w:rsid w:val="005F02F6"/>
    <w:rsid w:val="005F2A62"/>
    <w:rsid w:val="005F3966"/>
    <w:rsid w:val="005F3B27"/>
    <w:rsid w:val="005F4274"/>
    <w:rsid w:val="005F5553"/>
    <w:rsid w:val="005F72F5"/>
    <w:rsid w:val="005F7544"/>
    <w:rsid w:val="00600116"/>
    <w:rsid w:val="006015AB"/>
    <w:rsid w:val="00602DDF"/>
    <w:rsid w:val="006052EB"/>
    <w:rsid w:val="00605876"/>
    <w:rsid w:val="00606273"/>
    <w:rsid w:val="00607890"/>
    <w:rsid w:val="00610270"/>
    <w:rsid w:val="006108AD"/>
    <w:rsid w:val="00611D35"/>
    <w:rsid w:val="006124A0"/>
    <w:rsid w:val="00614644"/>
    <w:rsid w:val="00617B74"/>
    <w:rsid w:val="0062560E"/>
    <w:rsid w:val="00630A2B"/>
    <w:rsid w:val="006345C7"/>
    <w:rsid w:val="00634A9D"/>
    <w:rsid w:val="00636507"/>
    <w:rsid w:val="00637C5B"/>
    <w:rsid w:val="006427A5"/>
    <w:rsid w:val="00644501"/>
    <w:rsid w:val="00650F13"/>
    <w:rsid w:val="0065322B"/>
    <w:rsid w:val="00653EAC"/>
    <w:rsid w:val="006557AA"/>
    <w:rsid w:val="006607FA"/>
    <w:rsid w:val="00662063"/>
    <w:rsid w:val="00662A3A"/>
    <w:rsid w:val="00665208"/>
    <w:rsid w:val="00665AFA"/>
    <w:rsid w:val="00665C94"/>
    <w:rsid w:val="006666EF"/>
    <w:rsid w:val="00667B94"/>
    <w:rsid w:val="0067082E"/>
    <w:rsid w:val="0067088C"/>
    <w:rsid w:val="00670E82"/>
    <w:rsid w:val="006726E7"/>
    <w:rsid w:val="00674425"/>
    <w:rsid w:val="006806B9"/>
    <w:rsid w:val="00681EB2"/>
    <w:rsid w:val="006820C0"/>
    <w:rsid w:val="00685233"/>
    <w:rsid w:val="00690162"/>
    <w:rsid w:val="006924BC"/>
    <w:rsid w:val="00692911"/>
    <w:rsid w:val="00692B83"/>
    <w:rsid w:val="00695F0A"/>
    <w:rsid w:val="006A0C56"/>
    <w:rsid w:val="006A24D6"/>
    <w:rsid w:val="006A3FC7"/>
    <w:rsid w:val="006A6635"/>
    <w:rsid w:val="006B399B"/>
    <w:rsid w:val="006B3D57"/>
    <w:rsid w:val="006B40F7"/>
    <w:rsid w:val="006B41B5"/>
    <w:rsid w:val="006B620E"/>
    <w:rsid w:val="006C0C1F"/>
    <w:rsid w:val="006C1593"/>
    <w:rsid w:val="006C31C8"/>
    <w:rsid w:val="006C3432"/>
    <w:rsid w:val="006C3AD1"/>
    <w:rsid w:val="006C3C9A"/>
    <w:rsid w:val="006C4164"/>
    <w:rsid w:val="006C5667"/>
    <w:rsid w:val="006C58B8"/>
    <w:rsid w:val="006C780E"/>
    <w:rsid w:val="006D30DE"/>
    <w:rsid w:val="006D32E9"/>
    <w:rsid w:val="006D3930"/>
    <w:rsid w:val="006D3B08"/>
    <w:rsid w:val="006D49CD"/>
    <w:rsid w:val="006D66CE"/>
    <w:rsid w:val="006E0E3D"/>
    <w:rsid w:val="006E70F6"/>
    <w:rsid w:val="006F12EA"/>
    <w:rsid w:val="006F464E"/>
    <w:rsid w:val="007017CF"/>
    <w:rsid w:val="007026CA"/>
    <w:rsid w:val="00702765"/>
    <w:rsid w:val="007028A0"/>
    <w:rsid w:val="00705212"/>
    <w:rsid w:val="007153E8"/>
    <w:rsid w:val="00715DF1"/>
    <w:rsid w:val="00717144"/>
    <w:rsid w:val="00727AC5"/>
    <w:rsid w:val="007319EA"/>
    <w:rsid w:val="00737776"/>
    <w:rsid w:val="0074101D"/>
    <w:rsid w:val="00742511"/>
    <w:rsid w:val="00744360"/>
    <w:rsid w:val="00744B64"/>
    <w:rsid w:val="00744D5F"/>
    <w:rsid w:val="0075135D"/>
    <w:rsid w:val="007520C0"/>
    <w:rsid w:val="00752C5D"/>
    <w:rsid w:val="00754226"/>
    <w:rsid w:val="0075479F"/>
    <w:rsid w:val="007549A4"/>
    <w:rsid w:val="00754CF9"/>
    <w:rsid w:val="0075574D"/>
    <w:rsid w:val="00755DEC"/>
    <w:rsid w:val="007561FE"/>
    <w:rsid w:val="0075656E"/>
    <w:rsid w:val="007617B4"/>
    <w:rsid w:val="00761DC1"/>
    <w:rsid w:val="007624E8"/>
    <w:rsid w:val="007640DF"/>
    <w:rsid w:val="00765BCF"/>
    <w:rsid w:val="00767654"/>
    <w:rsid w:val="00770F05"/>
    <w:rsid w:val="00771D6F"/>
    <w:rsid w:val="00773DC7"/>
    <w:rsid w:val="00774D53"/>
    <w:rsid w:val="00774F11"/>
    <w:rsid w:val="00784C81"/>
    <w:rsid w:val="00785EC3"/>
    <w:rsid w:val="00786573"/>
    <w:rsid w:val="0078694D"/>
    <w:rsid w:val="00792524"/>
    <w:rsid w:val="007967FF"/>
    <w:rsid w:val="007A15D3"/>
    <w:rsid w:val="007A7050"/>
    <w:rsid w:val="007A7A18"/>
    <w:rsid w:val="007B1D8E"/>
    <w:rsid w:val="007B3F08"/>
    <w:rsid w:val="007C2AC1"/>
    <w:rsid w:val="007C4EB1"/>
    <w:rsid w:val="007C6C67"/>
    <w:rsid w:val="007D0DE9"/>
    <w:rsid w:val="007D1C48"/>
    <w:rsid w:val="007D3765"/>
    <w:rsid w:val="007D7A8F"/>
    <w:rsid w:val="007E5C23"/>
    <w:rsid w:val="007E68F3"/>
    <w:rsid w:val="007F0BD2"/>
    <w:rsid w:val="007F2E9B"/>
    <w:rsid w:val="007F321D"/>
    <w:rsid w:val="007F439B"/>
    <w:rsid w:val="007F4718"/>
    <w:rsid w:val="007F485E"/>
    <w:rsid w:val="007F543C"/>
    <w:rsid w:val="007F5E1E"/>
    <w:rsid w:val="0080262B"/>
    <w:rsid w:val="0080317E"/>
    <w:rsid w:val="008033A1"/>
    <w:rsid w:val="00803DCA"/>
    <w:rsid w:val="00805B57"/>
    <w:rsid w:val="00810312"/>
    <w:rsid w:val="008156F5"/>
    <w:rsid w:val="008168D7"/>
    <w:rsid w:val="00816E0D"/>
    <w:rsid w:val="008214E0"/>
    <w:rsid w:val="00822A6E"/>
    <w:rsid w:val="0082551A"/>
    <w:rsid w:val="00826CE1"/>
    <w:rsid w:val="00827678"/>
    <w:rsid w:val="00831695"/>
    <w:rsid w:val="00833166"/>
    <w:rsid w:val="00834896"/>
    <w:rsid w:val="00837416"/>
    <w:rsid w:val="008468F3"/>
    <w:rsid w:val="008555E3"/>
    <w:rsid w:val="00863949"/>
    <w:rsid w:val="00864626"/>
    <w:rsid w:val="00864914"/>
    <w:rsid w:val="008678CF"/>
    <w:rsid w:val="00867BCA"/>
    <w:rsid w:val="00870751"/>
    <w:rsid w:val="00871780"/>
    <w:rsid w:val="008723C3"/>
    <w:rsid w:val="00873A85"/>
    <w:rsid w:val="00874BC3"/>
    <w:rsid w:val="008767CE"/>
    <w:rsid w:val="008820A2"/>
    <w:rsid w:val="008870CE"/>
    <w:rsid w:val="008927A0"/>
    <w:rsid w:val="00892847"/>
    <w:rsid w:val="00893171"/>
    <w:rsid w:val="0089751B"/>
    <w:rsid w:val="0089761A"/>
    <w:rsid w:val="008A3D62"/>
    <w:rsid w:val="008A4C09"/>
    <w:rsid w:val="008A7891"/>
    <w:rsid w:val="008B0AC5"/>
    <w:rsid w:val="008B14A6"/>
    <w:rsid w:val="008B1AB4"/>
    <w:rsid w:val="008B346F"/>
    <w:rsid w:val="008B4F73"/>
    <w:rsid w:val="008B6F18"/>
    <w:rsid w:val="008C19C4"/>
    <w:rsid w:val="008C2BE8"/>
    <w:rsid w:val="008C4FF1"/>
    <w:rsid w:val="008C6006"/>
    <w:rsid w:val="008C75B2"/>
    <w:rsid w:val="008C7E9E"/>
    <w:rsid w:val="008D1027"/>
    <w:rsid w:val="008D5DE6"/>
    <w:rsid w:val="008D743D"/>
    <w:rsid w:val="008E0841"/>
    <w:rsid w:val="008E2FDF"/>
    <w:rsid w:val="008E7E18"/>
    <w:rsid w:val="008F0636"/>
    <w:rsid w:val="008F5B96"/>
    <w:rsid w:val="00900106"/>
    <w:rsid w:val="00900795"/>
    <w:rsid w:val="00902C9D"/>
    <w:rsid w:val="00905468"/>
    <w:rsid w:val="0090660B"/>
    <w:rsid w:val="0090715C"/>
    <w:rsid w:val="00912273"/>
    <w:rsid w:val="0091603A"/>
    <w:rsid w:val="00921CF9"/>
    <w:rsid w:val="0092591D"/>
    <w:rsid w:val="00925D2A"/>
    <w:rsid w:val="0092766E"/>
    <w:rsid w:val="0093030D"/>
    <w:rsid w:val="009307DF"/>
    <w:rsid w:val="00931166"/>
    <w:rsid w:val="00932B35"/>
    <w:rsid w:val="00933922"/>
    <w:rsid w:val="00934D40"/>
    <w:rsid w:val="00935C75"/>
    <w:rsid w:val="00937453"/>
    <w:rsid w:val="0094215A"/>
    <w:rsid w:val="00943D73"/>
    <w:rsid w:val="00944E04"/>
    <w:rsid w:val="00947A6D"/>
    <w:rsid w:val="009542C9"/>
    <w:rsid w:val="00960987"/>
    <w:rsid w:val="00964DB3"/>
    <w:rsid w:val="00967F07"/>
    <w:rsid w:val="0097094A"/>
    <w:rsid w:val="0097105F"/>
    <w:rsid w:val="00972CCD"/>
    <w:rsid w:val="009732C5"/>
    <w:rsid w:val="00975BA8"/>
    <w:rsid w:val="00975CA7"/>
    <w:rsid w:val="00976701"/>
    <w:rsid w:val="00976971"/>
    <w:rsid w:val="00977364"/>
    <w:rsid w:val="00980547"/>
    <w:rsid w:val="00980BD8"/>
    <w:rsid w:val="0098785E"/>
    <w:rsid w:val="00990E6C"/>
    <w:rsid w:val="009928D9"/>
    <w:rsid w:val="00993934"/>
    <w:rsid w:val="0099591D"/>
    <w:rsid w:val="00996EDA"/>
    <w:rsid w:val="009A0517"/>
    <w:rsid w:val="009A1B53"/>
    <w:rsid w:val="009A4055"/>
    <w:rsid w:val="009A4B52"/>
    <w:rsid w:val="009B7B7F"/>
    <w:rsid w:val="009C3FDD"/>
    <w:rsid w:val="009C4664"/>
    <w:rsid w:val="009C65B3"/>
    <w:rsid w:val="009C71D3"/>
    <w:rsid w:val="009D06A1"/>
    <w:rsid w:val="009D16BC"/>
    <w:rsid w:val="009D1D25"/>
    <w:rsid w:val="009D2502"/>
    <w:rsid w:val="009D49A1"/>
    <w:rsid w:val="009D539F"/>
    <w:rsid w:val="009D5939"/>
    <w:rsid w:val="009D63BC"/>
    <w:rsid w:val="009E05E9"/>
    <w:rsid w:val="009E06CC"/>
    <w:rsid w:val="009E08B1"/>
    <w:rsid w:val="009E0A31"/>
    <w:rsid w:val="009E15A9"/>
    <w:rsid w:val="009E19AA"/>
    <w:rsid w:val="009E4AA6"/>
    <w:rsid w:val="009F4C0C"/>
    <w:rsid w:val="009F598B"/>
    <w:rsid w:val="009F66FE"/>
    <w:rsid w:val="009F7261"/>
    <w:rsid w:val="00A00FDB"/>
    <w:rsid w:val="00A018BA"/>
    <w:rsid w:val="00A01E0B"/>
    <w:rsid w:val="00A029E7"/>
    <w:rsid w:val="00A051FB"/>
    <w:rsid w:val="00A06583"/>
    <w:rsid w:val="00A1052C"/>
    <w:rsid w:val="00A1059D"/>
    <w:rsid w:val="00A143F4"/>
    <w:rsid w:val="00A167E1"/>
    <w:rsid w:val="00A24DE7"/>
    <w:rsid w:val="00A25A8D"/>
    <w:rsid w:val="00A30C9E"/>
    <w:rsid w:val="00A3197A"/>
    <w:rsid w:val="00A32F36"/>
    <w:rsid w:val="00A34964"/>
    <w:rsid w:val="00A35AAF"/>
    <w:rsid w:val="00A35F6E"/>
    <w:rsid w:val="00A36CF5"/>
    <w:rsid w:val="00A37F02"/>
    <w:rsid w:val="00A41EC0"/>
    <w:rsid w:val="00A422C0"/>
    <w:rsid w:val="00A42787"/>
    <w:rsid w:val="00A4782C"/>
    <w:rsid w:val="00A547A7"/>
    <w:rsid w:val="00A572A0"/>
    <w:rsid w:val="00A65E16"/>
    <w:rsid w:val="00A668A9"/>
    <w:rsid w:val="00A66F58"/>
    <w:rsid w:val="00A6703F"/>
    <w:rsid w:val="00A67209"/>
    <w:rsid w:val="00A73115"/>
    <w:rsid w:val="00A7546F"/>
    <w:rsid w:val="00A836BC"/>
    <w:rsid w:val="00A8447A"/>
    <w:rsid w:val="00A84E5F"/>
    <w:rsid w:val="00A85809"/>
    <w:rsid w:val="00A85AC4"/>
    <w:rsid w:val="00A87409"/>
    <w:rsid w:val="00A904A9"/>
    <w:rsid w:val="00A92F14"/>
    <w:rsid w:val="00A933CB"/>
    <w:rsid w:val="00A94957"/>
    <w:rsid w:val="00A9509E"/>
    <w:rsid w:val="00A95B1E"/>
    <w:rsid w:val="00A96CC9"/>
    <w:rsid w:val="00A97831"/>
    <w:rsid w:val="00AA129F"/>
    <w:rsid w:val="00AA2591"/>
    <w:rsid w:val="00AA3690"/>
    <w:rsid w:val="00AB1469"/>
    <w:rsid w:val="00AB5637"/>
    <w:rsid w:val="00AB659F"/>
    <w:rsid w:val="00AB65D9"/>
    <w:rsid w:val="00AB779B"/>
    <w:rsid w:val="00AC2829"/>
    <w:rsid w:val="00AC2C23"/>
    <w:rsid w:val="00AC44C8"/>
    <w:rsid w:val="00AC4855"/>
    <w:rsid w:val="00AC54A6"/>
    <w:rsid w:val="00AC5A30"/>
    <w:rsid w:val="00AC5FC2"/>
    <w:rsid w:val="00AC615B"/>
    <w:rsid w:val="00AD0CE4"/>
    <w:rsid w:val="00AE03BE"/>
    <w:rsid w:val="00AE1262"/>
    <w:rsid w:val="00AE12F4"/>
    <w:rsid w:val="00AE1BCE"/>
    <w:rsid w:val="00AE2E69"/>
    <w:rsid w:val="00AE3A0B"/>
    <w:rsid w:val="00AE45D7"/>
    <w:rsid w:val="00AE5515"/>
    <w:rsid w:val="00AE6B7A"/>
    <w:rsid w:val="00AE720D"/>
    <w:rsid w:val="00AF4229"/>
    <w:rsid w:val="00AF6530"/>
    <w:rsid w:val="00AF734A"/>
    <w:rsid w:val="00AF7BAB"/>
    <w:rsid w:val="00B010F5"/>
    <w:rsid w:val="00B01CAB"/>
    <w:rsid w:val="00B04A5D"/>
    <w:rsid w:val="00B0556F"/>
    <w:rsid w:val="00B064A2"/>
    <w:rsid w:val="00B06DBF"/>
    <w:rsid w:val="00B06F95"/>
    <w:rsid w:val="00B07BDB"/>
    <w:rsid w:val="00B11A47"/>
    <w:rsid w:val="00B11DFE"/>
    <w:rsid w:val="00B133BE"/>
    <w:rsid w:val="00B15601"/>
    <w:rsid w:val="00B157B7"/>
    <w:rsid w:val="00B1692D"/>
    <w:rsid w:val="00B17F8F"/>
    <w:rsid w:val="00B228FA"/>
    <w:rsid w:val="00B238F4"/>
    <w:rsid w:val="00B23C71"/>
    <w:rsid w:val="00B2533D"/>
    <w:rsid w:val="00B33939"/>
    <w:rsid w:val="00B352AB"/>
    <w:rsid w:val="00B373FE"/>
    <w:rsid w:val="00B42190"/>
    <w:rsid w:val="00B43C70"/>
    <w:rsid w:val="00B46D9E"/>
    <w:rsid w:val="00B47480"/>
    <w:rsid w:val="00B5062D"/>
    <w:rsid w:val="00B53321"/>
    <w:rsid w:val="00B5384D"/>
    <w:rsid w:val="00B539B4"/>
    <w:rsid w:val="00B53CF2"/>
    <w:rsid w:val="00B53F4B"/>
    <w:rsid w:val="00B544F8"/>
    <w:rsid w:val="00B555B1"/>
    <w:rsid w:val="00B5674F"/>
    <w:rsid w:val="00B600A0"/>
    <w:rsid w:val="00B6448D"/>
    <w:rsid w:val="00B65933"/>
    <w:rsid w:val="00B7090D"/>
    <w:rsid w:val="00B7153C"/>
    <w:rsid w:val="00B76B5D"/>
    <w:rsid w:val="00B80A20"/>
    <w:rsid w:val="00B80B89"/>
    <w:rsid w:val="00B81DF4"/>
    <w:rsid w:val="00B822A3"/>
    <w:rsid w:val="00B82C05"/>
    <w:rsid w:val="00B84B3B"/>
    <w:rsid w:val="00B86862"/>
    <w:rsid w:val="00B8742E"/>
    <w:rsid w:val="00BA3DC2"/>
    <w:rsid w:val="00BA7F27"/>
    <w:rsid w:val="00BB3618"/>
    <w:rsid w:val="00BB3813"/>
    <w:rsid w:val="00BB61E9"/>
    <w:rsid w:val="00BB7E35"/>
    <w:rsid w:val="00BC4EB7"/>
    <w:rsid w:val="00BC654E"/>
    <w:rsid w:val="00BC6FBB"/>
    <w:rsid w:val="00BD198C"/>
    <w:rsid w:val="00BD2909"/>
    <w:rsid w:val="00BD2BD9"/>
    <w:rsid w:val="00BD35C4"/>
    <w:rsid w:val="00BD4AED"/>
    <w:rsid w:val="00BD60FD"/>
    <w:rsid w:val="00BD73DC"/>
    <w:rsid w:val="00BE106B"/>
    <w:rsid w:val="00BE1AB8"/>
    <w:rsid w:val="00BE1EE9"/>
    <w:rsid w:val="00BE33A6"/>
    <w:rsid w:val="00BE387A"/>
    <w:rsid w:val="00BE58F6"/>
    <w:rsid w:val="00BE6DE2"/>
    <w:rsid w:val="00BF214D"/>
    <w:rsid w:val="00BF47E2"/>
    <w:rsid w:val="00BF60E0"/>
    <w:rsid w:val="00BF6A40"/>
    <w:rsid w:val="00C01B7D"/>
    <w:rsid w:val="00C0251E"/>
    <w:rsid w:val="00C11C7B"/>
    <w:rsid w:val="00C12C3D"/>
    <w:rsid w:val="00C130B1"/>
    <w:rsid w:val="00C157CF"/>
    <w:rsid w:val="00C16778"/>
    <w:rsid w:val="00C16C3A"/>
    <w:rsid w:val="00C2040D"/>
    <w:rsid w:val="00C262C9"/>
    <w:rsid w:val="00C266EE"/>
    <w:rsid w:val="00C33973"/>
    <w:rsid w:val="00C34AA3"/>
    <w:rsid w:val="00C361AA"/>
    <w:rsid w:val="00C36612"/>
    <w:rsid w:val="00C36D78"/>
    <w:rsid w:val="00C43586"/>
    <w:rsid w:val="00C43C49"/>
    <w:rsid w:val="00C47F84"/>
    <w:rsid w:val="00C5148B"/>
    <w:rsid w:val="00C6212D"/>
    <w:rsid w:val="00C623CC"/>
    <w:rsid w:val="00C6310E"/>
    <w:rsid w:val="00C63F43"/>
    <w:rsid w:val="00C648B8"/>
    <w:rsid w:val="00C67C90"/>
    <w:rsid w:val="00C70110"/>
    <w:rsid w:val="00C72345"/>
    <w:rsid w:val="00C72A43"/>
    <w:rsid w:val="00C74DB9"/>
    <w:rsid w:val="00C83652"/>
    <w:rsid w:val="00C848CE"/>
    <w:rsid w:val="00C849A0"/>
    <w:rsid w:val="00C9155D"/>
    <w:rsid w:val="00C96C19"/>
    <w:rsid w:val="00C9721C"/>
    <w:rsid w:val="00C97248"/>
    <w:rsid w:val="00CA0778"/>
    <w:rsid w:val="00CA0977"/>
    <w:rsid w:val="00CA5F6B"/>
    <w:rsid w:val="00CB421E"/>
    <w:rsid w:val="00CC181B"/>
    <w:rsid w:val="00CC34CF"/>
    <w:rsid w:val="00CC53BB"/>
    <w:rsid w:val="00CD0246"/>
    <w:rsid w:val="00CD1139"/>
    <w:rsid w:val="00CD37BB"/>
    <w:rsid w:val="00CD5761"/>
    <w:rsid w:val="00CD6927"/>
    <w:rsid w:val="00CD73C2"/>
    <w:rsid w:val="00CE0539"/>
    <w:rsid w:val="00CE0B76"/>
    <w:rsid w:val="00CE27F1"/>
    <w:rsid w:val="00CE2B2F"/>
    <w:rsid w:val="00CE3BAE"/>
    <w:rsid w:val="00CE3CC2"/>
    <w:rsid w:val="00CE72B9"/>
    <w:rsid w:val="00CF2053"/>
    <w:rsid w:val="00CF407A"/>
    <w:rsid w:val="00CF7150"/>
    <w:rsid w:val="00CF7569"/>
    <w:rsid w:val="00CF781A"/>
    <w:rsid w:val="00D01489"/>
    <w:rsid w:val="00D019A9"/>
    <w:rsid w:val="00D02BBA"/>
    <w:rsid w:val="00D040F4"/>
    <w:rsid w:val="00D04BC6"/>
    <w:rsid w:val="00D07C81"/>
    <w:rsid w:val="00D10188"/>
    <w:rsid w:val="00D11DEF"/>
    <w:rsid w:val="00D121D5"/>
    <w:rsid w:val="00D13577"/>
    <w:rsid w:val="00D14769"/>
    <w:rsid w:val="00D15D09"/>
    <w:rsid w:val="00D166DE"/>
    <w:rsid w:val="00D1779C"/>
    <w:rsid w:val="00D17A57"/>
    <w:rsid w:val="00D20525"/>
    <w:rsid w:val="00D22956"/>
    <w:rsid w:val="00D250C6"/>
    <w:rsid w:val="00D2618D"/>
    <w:rsid w:val="00D26E18"/>
    <w:rsid w:val="00D271F3"/>
    <w:rsid w:val="00D27571"/>
    <w:rsid w:val="00D307D7"/>
    <w:rsid w:val="00D33107"/>
    <w:rsid w:val="00D331A9"/>
    <w:rsid w:val="00D3426D"/>
    <w:rsid w:val="00D34CE5"/>
    <w:rsid w:val="00D36A69"/>
    <w:rsid w:val="00D40369"/>
    <w:rsid w:val="00D435A8"/>
    <w:rsid w:val="00D43D4C"/>
    <w:rsid w:val="00D47F65"/>
    <w:rsid w:val="00D5059A"/>
    <w:rsid w:val="00D5118F"/>
    <w:rsid w:val="00D515DF"/>
    <w:rsid w:val="00D52692"/>
    <w:rsid w:val="00D529C5"/>
    <w:rsid w:val="00D52C3B"/>
    <w:rsid w:val="00D53225"/>
    <w:rsid w:val="00D549D1"/>
    <w:rsid w:val="00D54A88"/>
    <w:rsid w:val="00D57E29"/>
    <w:rsid w:val="00D653E2"/>
    <w:rsid w:val="00D65796"/>
    <w:rsid w:val="00D65EA8"/>
    <w:rsid w:val="00D72BC0"/>
    <w:rsid w:val="00D733C6"/>
    <w:rsid w:val="00D74A04"/>
    <w:rsid w:val="00D75B21"/>
    <w:rsid w:val="00D81B05"/>
    <w:rsid w:val="00D826DB"/>
    <w:rsid w:val="00D85866"/>
    <w:rsid w:val="00D9077C"/>
    <w:rsid w:val="00D90B55"/>
    <w:rsid w:val="00D92FEA"/>
    <w:rsid w:val="00D958E2"/>
    <w:rsid w:val="00D97D04"/>
    <w:rsid w:val="00DA0759"/>
    <w:rsid w:val="00DA4A8E"/>
    <w:rsid w:val="00DA4AAF"/>
    <w:rsid w:val="00DB1C85"/>
    <w:rsid w:val="00DB291B"/>
    <w:rsid w:val="00DB2BB4"/>
    <w:rsid w:val="00DB4A11"/>
    <w:rsid w:val="00DB6E1D"/>
    <w:rsid w:val="00DB6EB9"/>
    <w:rsid w:val="00DB71F9"/>
    <w:rsid w:val="00DB77B9"/>
    <w:rsid w:val="00DC1373"/>
    <w:rsid w:val="00DC256C"/>
    <w:rsid w:val="00DD1C15"/>
    <w:rsid w:val="00DD2D63"/>
    <w:rsid w:val="00DD461D"/>
    <w:rsid w:val="00DD487F"/>
    <w:rsid w:val="00DD5A08"/>
    <w:rsid w:val="00DD75B5"/>
    <w:rsid w:val="00DE5C90"/>
    <w:rsid w:val="00DE7139"/>
    <w:rsid w:val="00DF1B13"/>
    <w:rsid w:val="00DF3A31"/>
    <w:rsid w:val="00DF3BA1"/>
    <w:rsid w:val="00DF6902"/>
    <w:rsid w:val="00DF7E2F"/>
    <w:rsid w:val="00E00161"/>
    <w:rsid w:val="00E01551"/>
    <w:rsid w:val="00E01C02"/>
    <w:rsid w:val="00E06C77"/>
    <w:rsid w:val="00E07C73"/>
    <w:rsid w:val="00E132EA"/>
    <w:rsid w:val="00E133D0"/>
    <w:rsid w:val="00E159E7"/>
    <w:rsid w:val="00E2008F"/>
    <w:rsid w:val="00E20B2D"/>
    <w:rsid w:val="00E21946"/>
    <w:rsid w:val="00E23E04"/>
    <w:rsid w:val="00E24417"/>
    <w:rsid w:val="00E24F85"/>
    <w:rsid w:val="00E30126"/>
    <w:rsid w:val="00E3031D"/>
    <w:rsid w:val="00E31961"/>
    <w:rsid w:val="00E34CCA"/>
    <w:rsid w:val="00E35FA2"/>
    <w:rsid w:val="00E378EF"/>
    <w:rsid w:val="00E444E6"/>
    <w:rsid w:val="00E54244"/>
    <w:rsid w:val="00E61ABF"/>
    <w:rsid w:val="00E61D18"/>
    <w:rsid w:val="00E63CE0"/>
    <w:rsid w:val="00E64BE4"/>
    <w:rsid w:val="00E67412"/>
    <w:rsid w:val="00E674AE"/>
    <w:rsid w:val="00E67F46"/>
    <w:rsid w:val="00E67F82"/>
    <w:rsid w:val="00E71803"/>
    <w:rsid w:val="00E72461"/>
    <w:rsid w:val="00E72DBE"/>
    <w:rsid w:val="00E742FD"/>
    <w:rsid w:val="00E7506A"/>
    <w:rsid w:val="00E761AB"/>
    <w:rsid w:val="00E7626C"/>
    <w:rsid w:val="00E8446A"/>
    <w:rsid w:val="00E905BE"/>
    <w:rsid w:val="00E913B6"/>
    <w:rsid w:val="00E923F2"/>
    <w:rsid w:val="00E93A18"/>
    <w:rsid w:val="00E973F2"/>
    <w:rsid w:val="00EA0580"/>
    <w:rsid w:val="00EA3B0E"/>
    <w:rsid w:val="00EA42A0"/>
    <w:rsid w:val="00EA708A"/>
    <w:rsid w:val="00EB416B"/>
    <w:rsid w:val="00EB473A"/>
    <w:rsid w:val="00EB5A7B"/>
    <w:rsid w:val="00EB74F9"/>
    <w:rsid w:val="00EC0455"/>
    <w:rsid w:val="00EC06B5"/>
    <w:rsid w:val="00ED17B2"/>
    <w:rsid w:val="00ED1C62"/>
    <w:rsid w:val="00ED30AE"/>
    <w:rsid w:val="00ED466E"/>
    <w:rsid w:val="00EE0926"/>
    <w:rsid w:val="00EE147E"/>
    <w:rsid w:val="00EE2080"/>
    <w:rsid w:val="00EE2E17"/>
    <w:rsid w:val="00EE72B6"/>
    <w:rsid w:val="00EE7BDC"/>
    <w:rsid w:val="00EF242E"/>
    <w:rsid w:val="00EF38EC"/>
    <w:rsid w:val="00EF5C86"/>
    <w:rsid w:val="00EF6A3A"/>
    <w:rsid w:val="00F00380"/>
    <w:rsid w:val="00F019F8"/>
    <w:rsid w:val="00F06EC5"/>
    <w:rsid w:val="00F114FD"/>
    <w:rsid w:val="00F13A0B"/>
    <w:rsid w:val="00F14551"/>
    <w:rsid w:val="00F146AF"/>
    <w:rsid w:val="00F14ACA"/>
    <w:rsid w:val="00F246CA"/>
    <w:rsid w:val="00F25E18"/>
    <w:rsid w:val="00F2662C"/>
    <w:rsid w:val="00F27D65"/>
    <w:rsid w:val="00F32170"/>
    <w:rsid w:val="00F362F1"/>
    <w:rsid w:val="00F3655E"/>
    <w:rsid w:val="00F40D88"/>
    <w:rsid w:val="00F411F7"/>
    <w:rsid w:val="00F41953"/>
    <w:rsid w:val="00F4332E"/>
    <w:rsid w:val="00F44D41"/>
    <w:rsid w:val="00F44F89"/>
    <w:rsid w:val="00F45041"/>
    <w:rsid w:val="00F472B8"/>
    <w:rsid w:val="00F52AAE"/>
    <w:rsid w:val="00F52F55"/>
    <w:rsid w:val="00F538D4"/>
    <w:rsid w:val="00F565F3"/>
    <w:rsid w:val="00F56643"/>
    <w:rsid w:val="00F6273E"/>
    <w:rsid w:val="00F65131"/>
    <w:rsid w:val="00F660FB"/>
    <w:rsid w:val="00F70495"/>
    <w:rsid w:val="00F70B89"/>
    <w:rsid w:val="00F71E46"/>
    <w:rsid w:val="00F72AA3"/>
    <w:rsid w:val="00F7786F"/>
    <w:rsid w:val="00F804E0"/>
    <w:rsid w:val="00F822BF"/>
    <w:rsid w:val="00F8317A"/>
    <w:rsid w:val="00F83240"/>
    <w:rsid w:val="00F85305"/>
    <w:rsid w:val="00F90B5E"/>
    <w:rsid w:val="00F9104A"/>
    <w:rsid w:val="00F91371"/>
    <w:rsid w:val="00F94FB2"/>
    <w:rsid w:val="00FA0979"/>
    <w:rsid w:val="00FA0A82"/>
    <w:rsid w:val="00FA2E82"/>
    <w:rsid w:val="00FA2FD6"/>
    <w:rsid w:val="00FA4675"/>
    <w:rsid w:val="00FA51FA"/>
    <w:rsid w:val="00FA556D"/>
    <w:rsid w:val="00FA5C9F"/>
    <w:rsid w:val="00FB09AA"/>
    <w:rsid w:val="00FB18DD"/>
    <w:rsid w:val="00FB21A9"/>
    <w:rsid w:val="00FB4766"/>
    <w:rsid w:val="00FB4FEE"/>
    <w:rsid w:val="00FB618E"/>
    <w:rsid w:val="00FC15C7"/>
    <w:rsid w:val="00FC166D"/>
    <w:rsid w:val="00FC5593"/>
    <w:rsid w:val="00FC62D1"/>
    <w:rsid w:val="00FC7345"/>
    <w:rsid w:val="00FC7926"/>
    <w:rsid w:val="00FD20B5"/>
    <w:rsid w:val="00FD2AB9"/>
    <w:rsid w:val="00FD49C7"/>
    <w:rsid w:val="00FD7DBB"/>
    <w:rsid w:val="00FE0A9D"/>
    <w:rsid w:val="00FE11E3"/>
    <w:rsid w:val="00FE2ED4"/>
    <w:rsid w:val="00FE4355"/>
    <w:rsid w:val="00FE4A84"/>
    <w:rsid w:val="00FE5ACF"/>
    <w:rsid w:val="00FE5D24"/>
    <w:rsid w:val="00FE6736"/>
    <w:rsid w:val="00FE6BE9"/>
    <w:rsid w:val="00FE752C"/>
    <w:rsid w:val="00FE771E"/>
    <w:rsid w:val="00FE787B"/>
    <w:rsid w:val="00FF004F"/>
    <w:rsid w:val="00FF19E6"/>
    <w:rsid w:val="00FF3D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1762"/>
  <w15:chartTrackingRefBased/>
  <w15:docId w15:val="{0B6759B7-E720-4499-8B89-F6C690D2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563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637"/>
    <w:rPr>
      <w:rFonts w:ascii="Arial" w:eastAsia="Times New Roman" w:hAnsi="Arial" w:cs="Arial"/>
      <w:b/>
      <w:bCs/>
      <w:kern w:val="32"/>
      <w:sz w:val="32"/>
      <w:szCs w:val="32"/>
    </w:rPr>
  </w:style>
  <w:style w:type="paragraph" w:styleId="ListParagraph">
    <w:name w:val="List Paragraph"/>
    <w:basedOn w:val="Normal"/>
    <w:uiPriority w:val="34"/>
    <w:qFormat/>
    <w:rsid w:val="005355B2"/>
    <w:pPr>
      <w:ind w:left="720"/>
      <w:contextualSpacing/>
    </w:pPr>
  </w:style>
  <w:style w:type="paragraph" w:styleId="BalloonText">
    <w:name w:val="Balloon Text"/>
    <w:basedOn w:val="Normal"/>
    <w:link w:val="BalloonTextChar"/>
    <w:uiPriority w:val="99"/>
    <w:semiHidden/>
    <w:unhideWhenUsed/>
    <w:rsid w:val="00F70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95"/>
    <w:rPr>
      <w:rFonts w:ascii="Segoe UI" w:hAnsi="Segoe UI" w:cs="Segoe UI"/>
      <w:sz w:val="18"/>
      <w:szCs w:val="18"/>
    </w:rPr>
  </w:style>
  <w:style w:type="table" w:styleId="TableGrid">
    <w:name w:val="Table Grid"/>
    <w:basedOn w:val="TableNormal"/>
    <w:uiPriority w:val="39"/>
    <w:rsid w:val="00BF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14A6"/>
    <w:rPr>
      <w:color w:val="0000FF"/>
      <w:u w:val="single"/>
    </w:rPr>
  </w:style>
  <w:style w:type="paragraph" w:styleId="Header">
    <w:name w:val="header"/>
    <w:basedOn w:val="Normal"/>
    <w:link w:val="HeaderChar"/>
    <w:uiPriority w:val="99"/>
    <w:unhideWhenUsed/>
    <w:rsid w:val="00186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0C2"/>
  </w:style>
  <w:style w:type="paragraph" w:styleId="Footer">
    <w:name w:val="footer"/>
    <w:basedOn w:val="Normal"/>
    <w:link w:val="FooterChar"/>
    <w:uiPriority w:val="99"/>
    <w:unhideWhenUsed/>
    <w:rsid w:val="00186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0C2"/>
  </w:style>
  <w:style w:type="character" w:styleId="UnresolvedMention">
    <w:name w:val="Unresolved Mention"/>
    <w:basedOn w:val="DefaultParagraphFont"/>
    <w:uiPriority w:val="99"/>
    <w:semiHidden/>
    <w:unhideWhenUsed/>
    <w:rsid w:val="00F00380"/>
    <w:rPr>
      <w:color w:val="808080"/>
      <w:shd w:val="clear" w:color="auto" w:fill="E6E6E6"/>
    </w:rPr>
  </w:style>
  <w:style w:type="paragraph" w:styleId="BodyText2">
    <w:name w:val="Body Text 2"/>
    <w:basedOn w:val="Normal"/>
    <w:link w:val="BodyText2Char"/>
    <w:rsid w:val="001D3AD8"/>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1D3AD8"/>
    <w:rPr>
      <w:rFonts w:ascii="Century Gothic" w:eastAsia="Times New Roman" w:hAnsi="Century Gothic"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9264">
      <w:bodyDiv w:val="1"/>
      <w:marLeft w:val="0"/>
      <w:marRight w:val="0"/>
      <w:marTop w:val="0"/>
      <w:marBottom w:val="0"/>
      <w:divBdr>
        <w:top w:val="none" w:sz="0" w:space="0" w:color="auto"/>
        <w:left w:val="none" w:sz="0" w:space="0" w:color="auto"/>
        <w:bottom w:val="none" w:sz="0" w:space="0" w:color="auto"/>
        <w:right w:val="none" w:sz="0" w:space="0" w:color="auto"/>
      </w:divBdr>
    </w:div>
    <w:div w:id="809636148">
      <w:bodyDiv w:val="1"/>
      <w:marLeft w:val="0"/>
      <w:marRight w:val="0"/>
      <w:marTop w:val="0"/>
      <w:marBottom w:val="0"/>
      <w:divBdr>
        <w:top w:val="none" w:sz="0" w:space="0" w:color="auto"/>
        <w:left w:val="none" w:sz="0" w:space="0" w:color="auto"/>
        <w:bottom w:val="none" w:sz="0" w:space="0" w:color="auto"/>
        <w:right w:val="none" w:sz="0" w:space="0" w:color="auto"/>
      </w:divBdr>
    </w:div>
    <w:div w:id="1002664359">
      <w:bodyDiv w:val="1"/>
      <w:marLeft w:val="0"/>
      <w:marRight w:val="0"/>
      <w:marTop w:val="0"/>
      <w:marBottom w:val="0"/>
      <w:divBdr>
        <w:top w:val="none" w:sz="0" w:space="0" w:color="auto"/>
        <w:left w:val="none" w:sz="0" w:space="0" w:color="auto"/>
        <w:bottom w:val="none" w:sz="0" w:space="0" w:color="auto"/>
        <w:right w:val="none" w:sz="0" w:space="0" w:color="auto"/>
      </w:divBdr>
    </w:div>
    <w:div w:id="18970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fsa.co.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fsa.co.za"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etfsa-fs01.etfsa.co.za\etfSA.co.za\SHERRYL\ETFSA\Website\WEB%20-%20News\2023\market%20cap%202008%20to%20dec2023.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62707582112983"/>
          <c:y val="0.25184881205810183"/>
          <c:w val="0.86395859396080166"/>
          <c:h val="0.54915899356228681"/>
        </c:manualLayout>
      </c:layout>
      <c:bar3DChart>
        <c:barDir val="col"/>
        <c:grouping val="clustered"/>
        <c:varyColors val="0"/>
        <c:ser>
          <c:idx val="0"/>
          <c:order val="0"/>
          <c:tx>
            <c:strRef>
              <c:f>Sheet1!$B$1</c:f>
              <c:strCache>
                <c:ptCount val="1"/>
              </c:strCache>
            </c:strRef>
          </c:tx>
          <c:spPr>
            <a:solidFill>
              <a:srgbClr val="C00000"/>
            </a:solidFill>
            <a:ln>
              <a:solidFill>
                <a:schemeClr val="tx1">
                  <a:lumMod val="75000"/>
                  <a:lumOff val="25000"/>
                </a:schemeClr>
              </a:solidFill>
            </a:ln>
            <a:effectLst/>
            <a:sp3d>
              <a:contourClr>
                <a:schemeClr val="tx1">
                  <a:lumMod val="75000"/>
                  <a:lumOff val="25000"/>
                </a:schemeClr>
              </a:contourClr>
            </a:sp3d>
          </c:spPr>
          <c:invertIfNegative val="0"/>
          <c:dLbls>
            <c:dLbl>
              <c:idx val="2"/>
              <c:layout>
                <c:manualLayout>
                  <c:x val="-1.5473884672040965E-2"/>
                  <c:y val="-2.44648318042812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34-471F-AD4A-BA1E6E912729}"/>
                </c:ext>
              </c:extLst>
            </c:dLbl>
            <c:dLbl>
              <c:idx val="6"/>
              <c:layout>
                <c:manualLayout>
                  <c:x val="4.9844236760124613E-3"/>
                  <c:y val="-1.6967126193001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34-471F-AD4A-BA1E6E912729}"/>
                </c:ext>
              </c:extLst>
            </c:dLbl>
            <c:dLbl>
              <c:idx val="7"/>
              <c:layout>
                <c:manualLayout>
                  <c:x val="1.2461059190031062E-2"/>
                  <c:y val="-4.2417815482502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34-471F-AD4A-BA1E6E912729}"/>
                </c:ext>
              </c:extLst>
            </c:dLbl>
            <c:dLbl>
              <c:idx val="8"/>
              <c:layout>
                <c:manualLayout>
                  <c:x val="5.6417476890489758E-3"/>
                  <c:y val="4.24188018842921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34-471F-AD4A-BA1E6E912729}"/>
                </c:ext>
              </c:extLst>
            </c:dLbl>
            <c:dLbl>
              <c:idx val="10"/>
              <c:layout>
                <c:manualLayout>
                  <c:x val="9.9688473520249225E-3"/>
                  <c:y val="1.9441274175555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D34-471F-AD4A-BA1E6E912729}"/>
                </c:ext>
              </c:extLst>
            </c:dLbl>
            <c:dLbl>
              <c:idx val="13"/>
              <c:layout>
                <c:manualLayout>
                  <c:x val="-2.064515709521826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D34-471F-AD4A-BA1E6E912729}"/>
                </c:ext>
              </c:extLst>
            </c:dLbl>
            <c:dLbl>
              <c:idx val="14"/>
              <c:layout>
                <c:manualLayout>
                  <c:x val="7.736942336020387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D34-471F-AD4A-BA1E6E912729}"/>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Sheet1!$A$2:$A$17</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numCache>
            </c:numRef>
          </c:cat>
          <c:val>
            <c:numRef>
              <c:f>Sheet1!$B$2:$B$17</c:f>
              <c:numCache>
                <c:formatCode>General</c:formatCode>
                <c:ptCount val="16"/>
                <c:pt idx="0">
                  <c:v>15806</c:v>
                </c:pt>
                <c:pt idx="1">
                  <c:v>26602</c:v>
                </c:pt>
                <c:pt idx="2">
                  <c:v>32273</c:v>
                </c:pt>
                <c:pt idx="3">
                  <c:v>38942</c:v>
                </c:pt>
                <c:pt idx="4">
                  <c:v>47616</c:v>
                </c:pt>
                <c:pt idx="5">
                  <c:v>62632</c:v>
                </c:pt>
                <c:pt idx="6">
                  <c:v>78890</c:v>
                </c:pt>
                <c:pt idx="7">
                  <c:v>77080</c:v>
                </c:pt>
                <c:pt idx="8">
                  <c:v>73515</c:v>
                </c:pt>
                <c:pt idx="9">
                  <c:v>85027</c:v>
                </c:pt>
                <c:pt idx="10">
                  <c:v>77786</c:v>
                </c:pt>
                <c:pt idx="11">
                  <c:v>100782</c:v>
                </c:pt>
                <c:pt idx="12">
                  <c:v>111026</c:v>
                </c:pt>
                <c:pt idx="13">
                  <c:v>136049</c:v>
                </c:pt>
                <c:pt idx="14">
                  <c:v>129311</c:v>
                </c:pt>
                <c:pt idx="15">
                  <c:v>165410</c:v>
                </c:pt>
              </c:numCache>
            </c:numRef>
          </c:val>
          <c:extLst>
            <c:ext xmlns:c16="http://schemas.microsoft.com/office/drawing/2014/chart" uri="{C3380CC4-5D6E-409C-BE32-E72D297353CC}">
              <c16:uniqueId val="{00000007-2D34-471F-AD4A-BA1E6E912729}"/>
            </c:ext>
          </c:extLst>
        </c:ser>
        <c:dLbls>
          <c:showLegendKey val="0"/>
          <c:showVal val="0"/>
          <c:showCatName val="0"/>
          <c:showSerName val="0"/>
          <c:showPercent val="0"/>
          <c:showBubbleSize val="0"/>
        </c:dLbls>
        <c:gapWidth val="150"/>
        <c:shape val="box"/>
        <c:axId val="314479968"/>
        <c:axId val="254596752"/>
        <c:axId val="0"/>
      </c:bar3DChart>
      <c:catAx>
        <c:axId val="31447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254596752"/>
        <c:crosses val="autoZero"/>
        <c:auto val="1"/>
        <c:lblAlgn val="ctr"/>
        <c:lblOffset val="100"/>
        <c:noMultiLvlLbl val="0"/>
      </c:catAx>
      <c:valAx>
        <c:axId val="25459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31447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0.20561</cdr:x>
      <cdr:y>0.00923</cdr:y>
    </cdr:from>
    <cdr:to>
      <cdr:x>0.74953</cdr:x>
      <cdr:y>0.22801</cdr:y>
    </cdr:to>
    <cdr:sp macro="" textlink="">
      <cdr:nvSpPr>
        <cdr:cNvPr id="2" name="TextBox 1">
          <a:extLst xmlns:a="http://schemas.openxmlformats.org/drawingml/2006/main">
            <a:ext uri="{FF2B5EF4-FFF2-40B4-BE49-F238E27FC236}">
              <a16:creationId xmlns:a16="http://schemas.microsoft.com/office/drawing/2014/main" id="{71B3CF54-1390-4A8C-BE09-B1C289F383B0}"/>
            </a:ext>
          </a:extLst>
        </cdr:cNvPr>
        <cdr:cNvSpPr txBox="1"/>
      </cdr:nvSpPr>
      <cdr:spPr>
        <a:xfrm xmlns:a="http://schemas.openxmlformats.org/drawingml/2006/main">
          <a:off x="925687" y="26990"/>
          <a:ext cx="2448810" cy="6397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n-ZA" sz="1200" b="1">
              <a:effectLst/>
              <a:latin typeface="Verdana" panose="020B0604030504040204" pitchFamily="34" charset="0"/>
              <a:ea typeface="Verdana" panose="020B0604030504040204" pitchFamily="34" charset="0"/>
              <a:cs typeface="Verdana" panose="020B0604030504040204" pitchFamily="34" charset="0"/>
            </a:rPr>
            <a:t>SA ETP Industry</a:t>
          </a:r>
          <a:endParaRPr lang="en-ZA" sz="1200" b="1">
            <a:latin typeface="Verdana" panose="020B0604030504040204" pitchFamily="34" charset="0"/>
            <a:ea typeface="Verdana" panose="020B0604030504040204" pitchFamily="34" charset="0"/>
            <a:cs typeface="Verdana" panose="020B0604030504040204" pitchFamily="34" charset="0"/>
          </a:endParaRPr>
        </a:p>
        <a:p xmlns:a="http://schemas.openxmlformats.org/drawingml/2006/main">
          <a:pPr algn="ctr"/>
          <a:r>
            <a:rPr lang="en-ZA" sz="1200" b="1">
              <a:latin typeface="Verdana" panose="020B0604030504040204" pitchFamily="34" charset="0"/>
              <a:ea typeface="Verdana" panose="020B0604030504040204" pitchFamily="34" charset="0"/>
              <a:cs typeface="Verdana" panose="020B0604030504040204" pitchFamily="34" charset="0"/>
            </a:rPr>
            <a:t>Total Market Capitalisation (Rm) </a:t>
          </a:r>
        </a:p>
        <a:p xmlns:a="http://schemas.openxmlformats.org/drawingml/2006/main">
          <a:pPr algn="ctr"/>
          <a:r>
            <a:rPr lang="en-ZA" sz="1000" b="1">
              <a:latin typeface="Verdana" panose="020B0604030504040204" pitchFamily="34" charset="0"/>
              <a:ea typeface="Verdana" panose="020B0604030504040204" pitchFamily="34" charset="0"/>
              <a:cs typeface="Verdana" panose="020B0604030504040204" pitchFamily="34" charset="0"/>
            </a:rPr>
            <a:t>(at year end)</a:t>
          </a:r>
        </a:p>
      </cdr:txBody>
    </cdr:sp>
  </cdr:relSizeAnchor>
  <cdr:relSizeAnchor xmlns:cdr="http://schemas.openxmlformats.org/drawingml/2006/chartDrawing">
    <cdr:from>
      <cdr:x>0.01626</cdr:x>
      <cdr:y>0.17148</cdr:y>
    </cdr:from>
    <cdr:to>
      <cdr:x>0.1957</cdr:x>
      <cdr:y>0.26692</cdr:y>
    </cdr:to>
    <cdr:sp macro="" textlink="">
      <cdr:nvSpPr>
        <cdr:cNvPr id="3" name="TextBox 2">
          <a:extLst xmlns:a="http://schemas.openxmlformats.org/drawingml/2006/main">
            <a:ext uri="{FF2B5EF4-FFF2-40B4-BE49-F238E27FC236}">
              <a16:creationId xmlns:a16="http://schemas.microsoft.com/office/drawing/2014/main" id="{819D019F-0281-4610-B0C9-6181F7018AA9}"/>
            </a:ext>
          </a:extLst>
        </cdr:cNvPr>
        <cdr:cNvSpPr txBox="1"/>
      </cdr:nvSpPr>
      <cdr:spPr>
        <a:xfrm xmlns:a="http://schemas.openxmlformats.org/drawingml/2006/main">
          <a:off x="76200" y="517775"/>
          <a:ext cx="840910" cy="28817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100"/>
            <a:t>(R Million)</a:t>
          </a:r>
        </a:p>
      </cdr:txBody>
    </cdr:sp>
  </cdr:relSizeAnchor>
  <cdr:relSizeAnchor xmlns:cdr="http://schemas.openxmlformats.org/drawingml/2006/chartDrawing">
    <cdr:from>
      <cdr:x>0.48819</cdr:x>
      <cdr:y>0.90758</cdr:y>
    </cdr:from>
    <cdr:to>
      <cdr:x>0.66763</cdr:x>
      <cdr:y>0.99242</cdr:y>
    </cdr:to>
    <cdr:sp macro="" textlink="">
      <cdr:nvSpPr>
        <cdr:cNvPr id="4" name="TextBox 1">
          <a:extLst xmlns:a="http://schemas.openxmlformats.org/drawingml/2006/main">
            <a:ext uri="{FF2B5EF4-FFF2-40B4-BE49-F238E27FC236}">
              <a16:creationId xmlns:a16="http://schemas.microsoft.com/office/drawing/2014/main" id="{652FD978-8923-48DA-8F93-C6FA0298E12F}"/>
            </a:ext>
          </a:extLst>
        </cdr:cNvPr>
        <cdr:cNvSpPr txBox="1"/>
      </cdr:nvSpPr>
      <cdr:spPr>
        <a:xfrm xmlns:a="http://schemas.openxmlformats.org/drawingml/2006/main">
          <a:off x="1970049" y="2449333"/>
          <a:ext cx="724116" cy="22896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1100"/>
            <a:t>(Years)</a:t>
          </a:r>
        </a:p>
      </cdr:txBody>
    </cdr:sp>
  </cdr:relSizeAnchor>
  <cdr:relSizeAnchor xmlns:cdr="http://schemas.openxmlformats.org/drawingml/2006/chartDrawing">
    <cdr:from>
      <cdr:x>0.01082</cdr:x>
      <cdr:y>0.93176</cdr:y>
    </cdr:from>
    <cdr:to>
      <cdr:x>0.45648</cdr:x>
      <cdr:y>0.99694</cdr:y>
    </cdr:to>
    <cdr:sp macro="" textlink="">
      <cdr:nvSpPr>
        <cdr:cNvPr id="5" name="TextBox 1">
          <a:extLst xmlns:a="http://schemas.openxmlformats.org/drawingml/2006/main">
            <a:ext uri="{FF2B5EF4-FFF2-40B4-BE49-F238E27FC236}">
              <a16:creationId xmlns:a16="http://schemas.microsoft.com/office/drawing/2014/main" id="{B1670A36-6D90-4B69-BCAC-58A05B184152}"/>
            </a:ext>
          </a:extLst>
        </cdr:cNvPr>
        <cdr:cNvSpPr txBox="1"/>
      </cdr:nvSpPr>
      <cdr:spPr>
        <a:xfrm xmlns:a="http://schemas.openxmlformats.org/drawingml/2006/main">
          <a:off x="43663" y="2514600"/>
          <a:ext cx="1798428" cy="17589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700" i="1"/>
            <a:t>Source:</a:t>
          </a:r>
          <a:r>
            <a:rPr lang="en-ZA" sz="700" i="1" baseline="0"/>
            <a:t> etfSA.co.za/Profile Data (Dec 2023)</a:t>
          </a:r>
          <a:endParaRPr lang="en-ZA" sz="700" i="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7786B-E4A5-4B46-8645-F3874A04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3122</Words>
  <Characters>17799</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Marilyn Dullmaier</cp:lastModifiedBy>
  <cp:revision>2</cp:revision>
  <cp:lastPrinted>2024-01-16T08:32:00Z</cp:lastPrinted>
  <dcterms:created xsi:type="dcterms:W3CDTF">2024-01-16T09:57:00Z</dcterms:created>
  <dcterms:modified xsi:type="dcterms:W3CDTF">2024-01-16T09:57:00Z</dcterms:modified>
</cp:coreProperties>
</file>