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25921" w14:textId="1AD725EC" w:rsidR="005B34AE" w:rsidRDefault="005B34AE" w:rsidP="00D81117">
      <w:pPr>
        <w:pStyle w:val="Heading1"/>
        <w:spacing w:after="0"/>
        <w:rPr>
          <w:sz w:val="32"/>
          <w:szCs w:val="32"/>
        </w:rPr>
      </w:pPr>
      <w:r w:rsidRPr="005B34AE">
        <w:rPr>
          <w:sz w:val="32"/>
          <w:szCs w:val="32"/>
        </w:rPr>
        <w:t>PwC focus on unemployment rate – 29 September 2020</w:t>
      </w:r>
    </w:p>
    <w:p w14:paraId="4AD684FB" w14:textId="22B87E82" w:rsidR="005B34AE" w:rsidRPr="005B34AE" w:rsidRDefault="005B34AE" w:rsidP="00D81117">
      <w:pPr>
        <w:pStyle w:val="Heading1"/>
        <w:spacing w:after="0"/>
        <w:rPr>
          <w:sz w:val="32"/>
          <w:szCs w:val="32"/>
        </w:rPr>
      </w:pPr>
      <w:r w:rsidRPr="007A7B59">
        <w:rPr>
          <w:b w:val="0"/>
          <w:noProof/>
          <w:color w:val="990000"/>
        </w:rPr>
        <w:drawing>
          <wp:inline distT="0" distB="0" distL="0" distR="0" wp14:anchorId="1AD9F53B" wp14:editId="36A18E28">
            <wp:extent cx="2238375" cy="1863090"/>
            <wp:effectExtent l="0" t="0" r="952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8375" cy="1863090"/>
                    </a:xfrm>
                    <a:prstGeom prst="rect">
                      <a:avLst/>
                    </a:prstGeom>
                    <a:noFill/>
                  </pic:spPr>
                </pic:pic>
              </a:graphicData>
            </a:graphic>
          </wp:inline>
        </w:drawing>
      </w:r>
    </w:p>
    <w:p w14:paraId="54FE624F" w14:textId="77777777" w:rsidR="005B34AE" w:rsidRPr="005B34AE" w:rsidRDefault="005B34AE" w:rsidP="00D81117">
      <w:pPr>
        <w:pStyle w:val="Heading1"/>
        <w:spacing w:after="0"/>
        <w:rPr>
          <w:sz w:val="32"/>
          <w:szCs w:val="32"/>
        </w:rPr>
      </w:pPr>
    </w:p>
    <w:p w14:paraId="497DEE8E" w14:textId="6ED7776F" w:rsidR="00D81117" w:rsidRDefault="00D81117" w:rsidP="00D81117">
      <w:pPr>
        <w:pStyle w:val="Heading1"/>
        <w:spacing w:after="0"/>
        <w:rPr>
          <w:sz w:val="44"/>
        </w:rPr>
      </w:pPr>
      <w:r>
        <w:rPr>
          <w:sz w:val="44"/>
        </w:rPr>
        <w:t>Expanded unemployment rate jumps to 42% in 2020Q2</w:t>
      </w:r>
    </w:p>
    <w:p w14:paraId="5B0DD489" w14:textId="77777777" w:rsidR="005B34AE" w:rsidRDefault="005B34AE" w:rsidP="00D81117">
      <w:pPr>
        <w:pStyle w:val="Heading1"/>
        <w:spacing w:after="0"/>
        <w:rPr>
          <w:sz w:val="44"/>
        </w:rPr>
      </w:pPr>
    </w:p>
    <w:p w14:paraId="7F35A8F4" w14:textId="77777777" w:rsidR="00D81117" w:rsidRPr="00D81117" w:rsidRDefault="00D81117" w:rsidP="00D81117">
      <w:pPr>
        <w:rPr>
          <w:rFonts w:ascii="Georgia" w:eastAsiaTheme="majorEastAsia" w:hAnsi="Georgia" w:cstheme="majorBidi"/>
          <w:b/>
          <w:bCs/>
          <w:i/>
          <w:color w:val="000000" w:themeColor="text1"/>
          <w:sz w:val="28"/>
          <w:szCs w:val="26"/>
          <w:lang w:val="en-US"/>
        </w:rPr>
      </w:pPr>
      <w:r w:rsidRPr="00D81117">
        <w:rPr>
          <w:rFonts w:ascii="Georgia" w:eastAsiaTheme="majorEastAsia" w:hAnsi="Georgia" w:cstheme="majorBidi"/>
          <w:b/>
          <w:bCs/>
          <w:i/>
          <w:color w:val="000000" w:themeColor="text1"/>
          <w:sz w:val="28"/>
          <w:szCs w:val="26"/>
          <w:lang w:val="en-US"/>
        </w:rPr>
        <w:t>Employment falls to 2011 levels as 2.2 million jobs lost due to lockdown</w:t>
      </w:r>
    </w:p>
    <w:p w14:paraId="489FA402" w14:textId="77777777" w:rsidR="00D81117" w:rsidRPr="000E4754" w:rsidRDefault="00D81117" w:rsidP="000E4754">
      <w:pPr>
        <w:spacing w:line="240" w:lineRule="auto"/>
        <w:rPr>
          <w:rFonts w:cstheme="minorHAnsi"/>
          <w:bCs/>
        </w:rPr>
      </w:pPr>
      <w:r w:rsidRPr="000E4754">
        <w:rPr>
          <w:rFonts w:cstheme="minorHAnsi"/>
        </w:rPr>
        <w:t xml:space="preserve">Statistics South Africa (Stats SA) reported on September 29 that </w:t>
      </w:r>
      <w:r w:rsidRPr="000E4754">
        <w:rPr>
          <w:rFonts w:cstheme="minorHAnsi"/>
          <w:b/>
          <w:bCs/>
        </w:rPr>
        <w:t>employment in</w:t>
      </w:r>
      <w:r w:rsidRPr="000E4754">
        <w:rPr>
          <w:rFonts w:cstheme="minorHAnsi"/>
        </w:rPr>
        <w:t xml:space="preserve"> </w:t>
      </w:r>
      <w:r w:rsidRPr="000E4754">
        <w:rPr>
          <w:rFonts w:cstheme="minorHAnsi"/>
          <w:b/>
        </w:rPr>
        <w:t xml:space="preserve">South Africa declined by 2.2 million during the lockdown-hit second quarter of 2020. </w:t>
      </w:r>
      <w:r w:rsidRPr="000E4754">
        <w:rPr>
          <w:rFonts w:cstheme="minorHAnsi"/>
          <w:bCs/>
        </w:rPr>
        <w:t xml:space="preserve">The official (narrowly defined) unemployment rate dropped to 23.3% in Q2 from a record-high 30.1% in the preceding quarter. However, this statistical fluke was due to a 33.4% q-o-q increase in the number of people classified as ‘not economically active’. This grouping includes adults who were able and available to work but was without a job, did not look for work, and did not try to start their own business. Around 2.8 million of these people were during Q1 still considered unemployed, i.e. looking for work in Q1 but unable to do so during Q2. </w:t>
      </w:r>
    </w:p>
    <w:p w14:paraId="2F63B4DF" w14:textId="77777777" w:rsidR="00D81117" w:rsidRPr="000E4754" w:rsidRDefault="00D81117" w:rsidP="000E4754">
      <w:pPr>
        <w:spacing w:line="240" w:lineRule="auto"/>
        <w:rPr>
          <w:rFonts w:cstheme="minorHAnsi"/>
          <w:b/>
        </w:rPr>
      </w:pPr>
      <w:r w:rsidRPr="000E4754">
        <w:rPr>
          <w:rFonts w:cstheme="minorHAnsi"/>
          <w:b/>
        </w:rPr>
        <w:t>With so many people stuck at home during April-June, and with these people included in the ‘not economically active’ due to the lockdown keeping them from job hunting, the number of South Africans classified as unemployed fell by 39.2% q-o-q during the second quarter to just 4.3 million</w:t>
      </w:r>
      <w:r w:rsidRPr="000E4754">
        <w:rPr>
          <w:rFonts w:cstheme="minorHAnsi"/>
          <w:bCs/>
        </w:rPr>
        <w:t>. This resulted in the sharp dive in the Q2 unemployment rate. Stats SA noted that a large increase in inactivity other than in unemployment (i.e. being not economically active) has been observed in most countries across the world. As such, “the picture observed in South Africa is in line with the rest of the world”.</w:t>
      </w:r>
    </w:p>
    <w:p w14:paraId="1F1EA82E" w14:textId="77777777" w:rsidR="00D81117" w:rsidRPr="000E4754" w:rsidRDefault="00D81117" w:rsidP="000E4754">
      <w:pPr>
        <w:spacing w:line="240" w:lineRule="auto"/>
        <w:rPr>
          <w:rFonts w:cstheme="minorHAnsi"/>
          <w:bCs/>
        </w:rPr>
      </w:pPr>
      <w:r w:rsidRPr="000E4754">
        <w:rPr>
          <w:rFonts w:cstheme="minorHAnsi"/>
          <w:b/>
        </w:rPr>
        <w:t>It would be much more accurate to consider the expanded definition for the unemployment rate – measured at 42.0% in Q2. This calculation includes jobless people that have valid reasons for not searching for employment.</w:t>
      </w:r>
      <w:r w:rsidRPr="000E4754">
        <w:rPr>
          <w:rFonts w:cstheme="minorHAnsi"/>
          <w:bCs/>
        </w:rPr>
        <w:t xml:space="preserve"> In this case, the primary reasons were lockdown restrictions on human movements and business operations. Under the expanded definition, the number of employed people in the country declined by 2.2 million between the first and second quarters of the year. This resulted in the expanded unemployment rate increasing from 39.7% in Q1 to 42.0% in Q2. There were also some </w:t>
      </w:r>
      <w:r w:rsidRPr="000E4754">
        <w:rPr>
          <w:rFonts w:cstheme="minorHAnsi"/>
          <w:bCs/>
        </w:rPr>
        <w:lastRenderedPageBreak/>
        <w:t xml:space="preserve">statistical quirks that kept this increase limited – though at least it gives a better approximation of joblessness than the narrowly defined unemployment rate. </w:t>
      </w:r>
    </w:p>
    <w:p w14:paraId="7626A607" w14:textId="77777777" w:rsidR="00D81117" w:rsidRPr="000E4754" w:rsidRDefault="00D81117" w:rsidP="000E4754">
      <w:pPr>
        <w:spacing w:line="240" w:lineRule="auto"/>
        <w:rPr>
          <w:rFonts w:cstheme="minorHAnsi"/>
          <w:bCs/>
          <w:i/>
          <w:iCs/>
        </w:rPr>
      </w:pPr>
      <w:r w:rsidRPr="000E4754">
        <w:rPr>
          <w:rFonts w:cstheme="minorHAnsi"/>
          <w:bCs/>
          <w:i/>
          <w:iCs/>
        </w:rPr>
        <w:t>Figure 1: Employment fell to mid-2011 levels during the second quarter of 2020</w:t>
      </w:r>
    </w:p>
    <w:p w14:paraId="43BC5906" w14:textId="77777777" w:rsidR="00D81117" w:rsidRPr="000E4754" w:rsidRDefault="00D81117" w:rsidP="000E4754">
      <w:pPr>
        <w:spacing w:line="240" w:lineRule="auto"/>
        <w:rPr>
          <w:rFonts w:cstheme="minorHAnsi"/>
          <w:bCs/>
        </w:rPr>
      </w:pPr>
      <w:r w:rsidRPr="000E4754">
        <w:rPr>
          <w:rFonts w:cstheme="minorHAnsi"/>
          <w:noProof/>
        </w:rPr>
        <w:drawing>
          <wp:inline distT="0" distB="0" distL="0" distR="0" wp14:anchorId="59ACFF87" wp14:editId="5CD3CE82">
            <wp:extent cx="5883910" cy="2446867"/>
            <wp:effectExtent l="0" t="0" r="2540" b="10795"/>
            <wp:docPr id="2" name="Chart 2">
              <a:extLst xmlns:a="http://schemas.openxmlformats.org/drawingml/2006/main">
                <a:ext uri="{FF2B5EF4-FFF2-40B4-BE49-F238E27FC236}">
                  <a16:creationId xmlns:a16="http://schemas.microsoft.com/office/drawing/2014/main" id="{9E87B0A8-5E8C-4963-821B-31C5E62F92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BB00609" w14:textId="77777777" w:rsidR="00D81117" w:rsidRPr="000E4754" w:rsidRDefault="00D81117" w:rsidP="000E4754">
      <w:pPr>
        <w:spacing w:line="240" w:lineRule="auto"/>
        <w:rPr>
          <w:rFonts w:cstheme="minorHAnsi"/>
          <w:bCs/>
          <w:i/>
          <w:iCs/>
        </w:rPr>
      </w:pPr>
      <w:r w:rsidRPr="000E4754">
        <w:rPr>
          <w:rFonts w:cstheme="minorHAnsi"/>
          <w:bCs/>
          <w:i/>
          <w:iCs/>
        </w:rPr>
        <w:t>Source: Stats SA</w:t>
      </w:r>
    </w:p>
    <w:p w14:paraId="1AE44C5B" w14:textId="77777777" w:rsidR="00D81117" w:rsidRPr="000E4754" w:rsidRDefault="00D81117" w:rsidP="000E4754">
      <w:pPr>
        <w:spacing w:line="240" w:lineRule="auto"/>
        <w:rPr>
          <w:rFonts w:cstheme="minorHAnsi"/>
          <w:bCs/>
        </w:rPr>
      </w:pPr>
    </w:p>
    <w:p w14:paraId="435204AB" w14:textId="77777777" w:rsidR="00D81117" w:rsidRPr="000E4754" w:rsidRDefault="00D81117" w:rsidP="000E4754">
      <w:pPr>
        <w:spacing w:line="240" w:lineRule="auto"/>
        <w:rPr>
          <w:rFonts w:cstheme="minorHAnsi"/>
          <w:bCs/>
        </w:rPr>
      </w:pPr>
      <w:r w:rsidRPr="000E4754">
        <w:rPr>
          <w:rFonts w:cstheme="minorHAnsi"/>
          <w:bCs/>
        </w:rPr>
        <w:t xml:space="preserve">On an industry level, all the 10 major sectors tracked by Stats SA shed jobs during the second quarter. Of course, at least some of these jobs would have been recovered during the second quarter as lockdown restrictions eased. Some of these newly unemployed people were during the second quarter seen as not economically active because lockdown restrictions kept them from clocking in at their existing jobs or going out to find a new position. For example, </w:t>
      </w:r>
      <w:r w:rsidRPr="000E4754">
        <w:rPr>
          <w:rFonts w:cstheme="minorHAnsi"/>
          <w:b/>
        </w:rPr>
        <w:t>many of the 278,000 jobs lost in the construction sector and 373,000 employment opportunities lost in the trade sector (including hotels and restaurants) would have been temporary.</w:t>
      </w:r>
      <w:r w:rsidRPr="000E4754">
        <w:rPr>
          <w:rFonts w:cstheme="minorHAnsi"/>
          <w:bCs/>
        </w:rPr>
        <w:t xml:space="preserve"> Unfortunately, many would also be permanent. As a result, many of the second quarter’s ‘not economically active’ people will during the third quarter be considered unemployed. This, in turn, could see a re-deterioration in the official (narrowly defined) unemployment rate. </w:t>
      </w:r>
    </w:p>
    <w:p w14:paraId="3C89E425" w14:textId="77777777" w:rsidR="00D81117" w:rsidRPr="000E4754" w:rsidRDefault="00D81117" w:rsidP="000E4754">
      <w:pPr>
        <w:spacing w:line="240" w:lineRule="auto"/>
        <w:rPr>
          <w:rFonts w:cstheme="minorHAnsi"/>
          <w:b/>
          <w:bCs/>
        </w:rPr>
      </w:pPr>
      <w:r w:rsidRPr="000E4754">
        <w:rPr>
          <w:rFonts w:cstheme="minorHAnsi"/>
          <w:b/>
          <w:bCs/>
        </w:rPr>
        <w:t>Looking ahead: rising unrest</w:t>
      </w:r>
    </w:p>
    <w:p w14:paraId="110238FC" w14:textId="77777777" w:rsidR="00D81117" w:rsidRPr="000E4754" w:rsidRDefault="00D81117" w:rsidP="000E4754">
      <w:pPr>
        <w:spacing w:line="240" w:lineRule="auto"/>
        <w:rPr>
          <w:rFonts w:cstheme="minorHAnsi"/>
        </w:rPr>
      </w:pPr>
      <w:r w:rsidRPr="000E4754">
        <w:rPr>
          <w:rFonts w:cstheme="minorHAnsi"/>
        </w:rPr>
        <w:t xml:space="preserve">Some of the 2.2 million jobs lost in the second quarter will be recovered during the second half of this year. However, </w:t>
      </w:r>
      <w:r w:rsidRPr="000E4754">
        <w:rPr>
          <w:rFonts w:cstheme="minorHAnsi"/>
          <w:b/>
          <w:bCs/>
        </w:rPr>
        <w:t>PwC still expects a net loss of 1.5 million jobs by year-end. This will compound the existing challenges seen prior to the pandemic in creating enough value-adding jobs in South Africa</w:t>
      </w:r>
      <w:r w:rsidRPr="000E4754">
        <w:rPr>
          <w:rFonts w:cstheme="minorHAnsi"/>
        </w:rPr>
        <w:t xml:space="preserve">. These include challenges with labour market regulations and education outcomes. PwC’s </w:t>
      </w:r>
      <w:hyperlink r:id="rId6" w:history="1">
        <w:r w:rsidRPr="000E4754">
          <w:rPr>
            <w:rStyle w:val="Hyperlink"/>
            <w:rFonts w:cstheme="minorHAnsi"/>
          </w:rPr>
          <w:t>ADAPT</w:t>
        </w:r>
      </w:hyperlink>
      <w:r w:rsidRPr="000E4754">
        <w:rPr>
          <w:rFonts w:cstheme="minorHAnsi"/>
        </w:rPr>
        <w:t xml:space="preserve"> framework (recently updated to incorporate elements of COVID-19) has warned that in demographically young economies like South Africa, governments will be faced with chronically high youth unemployment over the full spectrum of education levels. </w:t>
      </w:r>
    </w:p>
    <w:p w14:paraId="1D50D159" w14:textId="77777777" w:rsidR="00D81117" w:rsidRPr="000E4754" w:rsidRDefault="00D81117" w:rsidP="000E4754">
      <w:pPr>
        <w:spacing w:line="240" w:lineRule="auto"/>
        <w:rPr>
          <w:rFonts w:cstheme="minorHAnsi"/>
        </w:rPr>
      </w:pPr>
      <w:r w:rsidRPr="000E4754">
        <w:rPr>
          <w:rFonts w:cstheme="minorHAnsi"/>
        </w:rPr>
        <w:t xml:space="preserve">If unsuccessful in addressing unemployment issues, PwC’s ADAPT framework warns that societies may face increasing social unrest. This rising social and political unrest is already manifesting in South Africa. </w:t>
      </w:r>
      <w:r w:rsidRPr="000E4754">
        <w:rPr>
          <w:rFonts w:cstheme="minorHAnsi"/>
          <w:b/>
          <w:bCs/>
        </w:rPr>
        <w:t xml:space="preserve">Following strict movement controls in April and May, protest and other related action increased across the country as lockdown regulations eased. </w:t>
      </w:r>
      <w:r w:rsidRPr="000E4754">
        <w:rPr>
          <w:rFonts w:cstheme="minorHAnsi"/>
        </w:rPr>
        <w:t xml:space="preserve">Data from the Armed Conflict Location &amp; Event Data Project (ACLED) shows that the country experienced 180 protest events during September 1-28. This will result in September having the most protest events during a calendar month since the appointment of </w:t>
      </w:r>
      <w:r w:rsidRPr="000E4754">
        <w:rPr>
          <w:rFonts w:cstheme="minorHAnsi"/>
        </w:rPr>
        <w:lastRenderedPageBreak/>
        <w:t xml:space="preserve">President Cyril </w:t>
      </w:r>
      <w:proofErr w:type="spellStart"/>
      <w:r w:rsidRPr="000E4754">
        <w:rPr>
          <w:rFonts w:cstheme="minorHAnsi"/>
        </w:rPr>
        <w:t>Ramaphosa</w:t>
      </w:r>
      <w:proofErr w:type="spellEnd"/>
      <w:r w:rsidRPr="000E4754">
        <w:rPr>
          <w:rFonts w:cstheme="minorHAnsi"/>
        </w:rPr>
        <w:t xml:space="preserve"> early in 2018. The number of protests during the third quarter will be the highest in many years.</w:t>
      </w:r>
    </w:p>
    <w:p w14:paraId="407C06D8" w14:textId="77777777" w:rsidR="00D81117" w:rsidRPr="000E4754" w:rsidRDefault="00D81117" w:rsidP="000E4754">
      <w:pPr>
        <w:spacing w:line="240" w:lineRule="auto"/>
        <w:rPr>
          <w:rFonts w:cstheme="minorHAnsi"/>
          <w:i/>
          <w:iCs/>
        </w:rPr>
      </w:pPr>
      <w:r w:rsidRPr="000E4754">
        <w:rPr>
          <w:rFonts w:cstheme="minorHAnsi"/>
          <w:i/>
          <w:iCs/>
        </w:rPr>
        <w:t>Figure x: Number of protests have increased to multi-year highs as lockdown restrictions ease</w:t>
      </w:r>
    </w:p>
    <w:p w14:paraId="711F5931" w14:textId="77777777" w:rsidR="00D81117" w:rsidRPr="000E4754" w:rsidRDefault="00D81117" w:rsidP="000E4754">
      <w:pPr>
        <w:spacing w:line="240" w:lineRule="auto"/>
        <w:rPr>
          <w:rFonts w:cstheme="minorHAnsi"/>
        </w:rPr>
      </w:pPr>
      <w:r w:rsidRPr="000E4754">
        <w:rPr>
          <w:rFonts w:cstheme="minorHAnsi"/>
          <w:noProof/>
        </w:rPr>
        <w:drawing>
          <wp:inline distT="0" distB="0" distL="0" distR="0" wp14:anchorId="44A643B8" wp14:editId="3980B24D">
            <wp:extent cx="5883910" cy="2112434"/>
            <wp:effectExtent l="0" t="0" r="2540" b="2540"/>
            <wp:docPr id="1" name="Chart 1">
              <a:extLst xmlns:a="http://schemas.openxmlformats.org/drawingml/2006/main">
                <a:ext uri="{FF2B5EF4-FFF2-40B4-BE49-F238E27FC236}">
                  <a16:creationId xmlns:a16="http://schemas.microsoft.com/office/drawing/2014/main" id="{DA712870-29FC-4649-805E-165755357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ADAD00" w14:textId="77777777" w:rsidR="00D81117" w:rsidRPr="000E4754" w:rsidRDefault="00D81117" w:rsidP="000E4754">
      <w:pPr>
        <w:spacing w:line="240" w:lineRule="auto"/>
        <w:rPr>
          <w:rFonts w:cstheme="minorHAnsi"/>
          <w:i/>
          <w:iCs/>
        </w:rPr>
      </w:pPr>
      <w:r w:rsidRPr="000E4754">
        <w:rPr>
          <w:rFonts w:cstheme="minorHAnsi"/>
          <w:i/>
          <w:iCs/>
        </w:rPr>
        <w:t>Source: PwC calculations based on ACLED data</w:t>
      </w:r>
    </w:p>
    <w:p w14:paraId="53D2D11C" w14:textId="17CDE77A" w:rsidR="00D81117" w:rsidRPr="000E4754" w:rsidRDefault="00D81117" w:rsidP="000E4754">
      <w:pPr>
        <w:spacing w:line="240" w:lineRule="auto"/>
        <w:rPr>
          <w:rFonts w:cstheme="minorHAnsi"/>
          <w:i/>
          <w:iCs/>
        </w:rPr>
      </w:pPr>
      <w:r w:rsidRPr="000E4754">
        <w:rPr>
          <w:rFonts w:cstheme="minorHAnsi"/>
          <w:i/>
          <w:iCs/>
        </w:rPr>
        <w:t>*September 1-28</w:t>
      </w:r>
    </w:p>
    <w:p w14:paraId="47508FD7" w14:textId="5300B40F" w:rsidR="000E4754" w:rsidRPr="000E4754" w:rsidRDefault="000E4754" w:rsidP="000E4754">
      <w:pPr>
        <w:spacing w:line="240" w:lineRule="auto"/>
        <w:rPr>
          <w:rFonts w:cstheme="minorHAnsi"/>
          <w:i/>
          <w:iCs/>
        </w:rPr>
      </w:pPr>
    </w:p>
    <w:p w14:paraId="67552EBC" w14:textId="70D19BF3" w:rsidR="000E4754" w:rsidRPr="00FD7DC9" w:rsidRDefault="000E4754" w:rsidP="000E4754">
      <w:pPr>
        <w:spacing w:before="240" w:after="240" w:line="240" w:lineRule="auto"/>
        <w:rPr>
          <w:rFonts w:cstheme="minorHAnsi"/>
          <w:b/>
          <w:iCs/>
          <w:sz w:val="24"/>
          <w:szCs w:val="24"/>
        </w:rPr>
      </w:pPr>
      <w:r w:rsidRPr="00FD7DC9">
        <w:rPr>
          <w:rFonts w:cstheme="minorHAnsi"/>
          <w:b/>
          <w:iCs/>
          <w:sz w:val="24"/>
          <w:szCs w:val="24"/>
        </w:rPr>
        <w:t xml:space="preserve">Article by </w:t>
      </w:r>
      <w:proofErr w:type="spellStart"/>
      <w:r w:rsidRPr="00FD7DC9">
        <w:rPr>
          <w:rFonts w:cstheme="minorHAnsi"/>
          <w:b/>
          <w:iCs/>
          <w:sz w:val="24"/>
          <w:szCs w:val="24"/>
        </w:rPr>
        <w:t>Lullu</w:t>
      </w:r>
      <w:proofErr w:type="spellEnd"/>
      <w:r w:rsidRPr="00FD7DC9">
        <w:rPr>
          <w:rFonts w:cstheme="minorHAnsi"/>
          <w:b/>
          <w:iCs/>
          <w:sz w:val="24"/>
          <w:szCs w:val="24"/>
        </w:rPr>
        <w:t xml:space="preserve"> </w:t>
      </w:r>
      <w:proofErr w:type="spellStart"/>
      <w:r w:rsidRPr="00FD7DC9">
        <w:rPr>
          <w:rFonts w:cstheme="minorHAnsi"/>
          <w:b/>
          <w:iCs/>
          <w:sz w:val="24"/>
          <w:szCs w:val="24"/>
        </w:rPr>
        <w:t>Krugel</w:t>
      </w:r>
      <w:proofErr w:type="spellEnd"/>
      <w:r w:rsidRPr="00FD7DC9">
        <w:rPr>
          <w:rFonts w:cstheme="minorHAnsi"/>
          <w:b/>
          <w:iCs/>
          <w:sz w:val="24"/>
          <w:szCs w:val="24"/>
        </w:rPr>
        <w:t>, Chief Economist for PwC Africa Strategy&amp;, and Dr Christie Viljoen, PwC Strategy&amp; Economist</w:t>
      </w:r>
    </w:p>
    <w:p w14:paraId="130A63C5" w14:textId="14BE65D4" w:rsidR="000E4754" w:rsidRPr="000E4754" w:rsidRDefault="000E4754" w:rsidP="000E4754">
      <w:pPr>
        <w:spacing w:before="240" w:after="240" w:line="240" w:lineRule="auto"/>
        <w:rPr>
          <w:rFonts w:cstheme="minorHAnsi"/>
          <w:b/>
          <w:i/>
        </w:rPr>
      </w:pPr>
      <w:r w:rsidRPr="000E4754">
        <w:rPr>
          <w:rFonts w:cstheme="minorHAnsi"/>
          <w:b/>
          <w:i/>
        </w:rPr>
        <w:t>_____________________________________________________________________</w:t>
      </w:r>
    </w:p>
    <w:p w14:paraId="10A23238" w14:textId="77777777" w:rsidR="000E4754" w:rsidRPr="000E4754" w:rsidRDefault="000E4754" w:rsidP="000E4754">
      <w:pPr>
        <w:shd w:val="clear" w:color="auto" w:fill="FFFFFF"/>
        <w:spacing w:line="240" w:lineRule="auto"/>
        <w:rPr>
          <w:rFonts w:eastAsia="Times New Roman" w:cstheme="minorHAnsi"/>
          <w:i/>
          <w:iCs/>
          <w:color w:val="222222"/>
        </w:rPr>
      </w:pPr>
      <w:r w:rsidRPr="000E4754">
        <w:rPr>
          <w:rFonts w:eastAsia="Times New Roman" w:cstheme="minorHAnsi"/>
          <w:i/>
          <w:iCs/>
          <w:color w:val="222222"/>
        </w:rPr>
        <w:t>At PwC, our purpose is to build trust in society and solve important problems. We’re a network of firms in 158 countries with over 250,000 people who are committed to delivering qu</w:t>
      </w:r>
      <w:bookmarkStart w:id="0" w:name="_GoBack"/>
      <w:bookmarkEnd w:id="0"/>
      <w:r w:rsidRPr="000E4754">
        <w:rPr>
          <w:rFonts w:eastAsia="Times New Roman" w:cstheme="minorHAnsi"/>
          <w:i/>
          <w:iCs/>
          <w:color w:val="222222"/>
        </w:rPr>
        <w:t xml:space="preserve">ality in assurance, advisory and tax services. Find out more and tell us what matters to you by visiting us at </w:t>
      </w:r>
      <w:hyperlink r:id="rId8" w:tgtFrame="_blank" w:history="1">
        <w:r w:rsidRPr="000E4754">
          <w:rPr>
            <w:rFonts w:eastAsia="Times New Roman" w:cstheme="minorHAnsi"/>
            <w:i/>
            <w:iCs/>
            <w:color w:val="1155CC"/>
            <w:u w:val="single"/>
          </w:rPr>
          <w:t>www.pwc.com</w:t>
        </w:r>
      </w:hyperlink>
      <w:r w:rsidRPr="000E4754">
        <w:rPr>
          <w:rFonts w:eastAsia="Times New Roman" w:cstheme="minorHAnsi"/>
          <w:i/>
          <w:iCs/>
          <w:color w:val="222222"/>
        </w:rPr>
        <w:t>.</w:t>
      </w:r>
    </w:p>
    <w:p w14:paraId="396D43EB" w14:textId="77777777" w:rsidR="000E4754" w:rsidRPr="000E4754" w:rsidRDefault="000E4754" w:rsidP="000E4754">
      <w:pPr>
        <w:pStyle w:val="NormalWeb"/>
        <w:shd w:val="clear" w:color="auto" w:fill="FFFFFF"/>
        <w:rPr>
          <w:rFonts w:asciiTheme="minorHAnsi" w:hAnsiTheme="minorHAnsi" w:cstheme="minorHAnsi"/>
          <w:i/>
          <w:color w:val="000000" w:themeColor="text1"/>
          <w:sz w:val="22"/>
          <w:szCs w:val="22"/>
          <w:lang w:val="en"/>
        </w:rPr>
      </w:pPr>
      <w:r w:rsidRPr="000E4754">
        <w:rPr>
          <w:rFonts w:asciiTheme="minorHAnsi" w:hAnsiTheme="minorHAnsi" w:cstheme="minorHAnsi"/>
          <w:i/>
          <w:color w:val="000000" w:themeColor="text1"/>
          <w:sz w:val="22"/>
          <w:szCs w:val="22"/>
          <w:lang w:val="en"/>
        </w:rPr>
        <w:t xml:space="preserve">PwC has a presence in 34 Africa countries with an office footprint covering 66 offices. With a single Africa leadership team and more than 400 partners and 9000 professionals across Africa, we serve some of the continent’s largest businesses across all industries. </w:t>
      </w:r>
    </w:p>
    <w:p w14:paraId="2FD36357" w14:textId="77777777" w:rsidR="000E4754" w:rsidRPr="000E4754" w:rsidRDefault="000E4754" w:rsidP="000E4754">
      <w:pPr>
        <w:spacing w:line="240" w:lineRule="auto"/>
        <w:rPr>
          <w:rFonts w:eastAsia="Times New Roman" w:cstheme="minorHAnsi"/>
        </w:rPr>
      </w:pPr>
      <w:r w:rsidRPr="000E4754">
        <w:rPr>
          <w:rFonts w:eastAsia="Times New Roman" w:cstheme="minorHAnsi"/>
          <w:i/>
          <w:iCs/>
          <w:color w:val="222222"/>
        </w:rPr>
        <w:t xml:space="preserve">PwC refers to the PwC network and/or one or more of its member firms, each of which is a separate legal entity. Please see </w:t>
      </w:r>
      <w:hyperlink r:id="rId9" w:tgtFrame="_blank" w:history="1">
        <w:r w:rsidRPr="000E4754">
          <w:rPr>
            <w:rFonts w:eastAsia="Times New Roman" w:cstheme="minorHAnsi"/>
            <w:i/>
            <w:iCs/>
            <w:color w:val="1155CC"/>
            <w:u w:val="single"/>
          </w:rPr>
          <w:t>www.pwc.com/structure</w:t>
        </w:r>
      </w:hyperlink>
      <w:r w:rsidRPr="000E4754">
        <w:rPr>
          <w:rFonts w:eastAsia="Times New Roman" w:cstheme="minorHAnsi"/>
          <w:i/>
          <w:iCs/>
          <w:color w:val="222222"/>
        </w:rPr>
        <w:t xml:space="preserve"> for further details.</w:t>
      </w:r>
    </w:p>
    <w:p w14:paraId="5B96D9B2" w14:textId="77777777" w:rsidR="000E4754" w:rsidRPr="000E4754" w:rsidRDefault="000E4754" w:rsidP="000E4754">
      <w:pPr>
        <w:spacing w:line="240" w:lineRule="auto"/>
        <w:rPr>
          <w:rFonts w:eastAsia="Times New Roman" w:cstheme="minorHAnsi"/>
        </w:rPr>
      </w:pPr>
      <w:r w:rsidRPr="000E4754">
        <w:rPr>
          <w:rFonts w:eastAsia="Times New Roman" w:cstheme="minorHAnsi"/>
          <w:color w:val="222222"/>
        </w:rPr>
        <w:br/>
      </w:r>
    </w:p>
    <w:p w14:paraId="452A5A61" w14:textId="77777777" w:rsidR="000E4754" w:rsidRPr="000E4754" w:rsidRDefault="000E4754" w:rsidP="000E4754">
      <w:pPr>
        <w:shd w:val="clear" w:color="auto" w:fill="FFFFFF"/>
        <w:spacing w:line="240" w:lineRule="auto"/>
        <w:rPr>
          <w:rFonts w:eastAsia="Times New Roman" w:cstheme="minorHAnsi"/>
          <w:i/>
          <w:iCs/>
          <w:color w:val="222222"/>
        </w:rPr>
      </w:pPr>
      <w:r w:rsidRPr="000E4754">
        <w:rPr>
          <w:rFonts w:eastAsia="Times New Roman" w:cstheme="minorHAnsi"/>
          <w:i/>
          <w:iCs/>
          <w:color w:val="222222"/>
        </w:rPr>
        <w:t>© 2020 PwC. All rights reserved</w:t>
      </w:r>
    </w:p>
    <w:p w14:paraId="04DA177B" w14:textId="77777777" w:rsidR="000E4754" w:rsidRPr="000E4754" w:rsidRDefault="000E4754" w:rsidP="000E4754">
      <w:pPr>
        <w:shd w:val="clear" w:color="auto" w:fill="FFFFFF"/>
        <w:spacing w:line="240" w:lineRule="auto"/>
        <w:rPr>
          <w:rFonts w:eastAsia="Times New Roman" w:cstheme="minorHAnsi"/>
          <w:color w:val="222222"/>
        </w:rPr>
      </w:pPr>
    </w:p>
    <w:p w14:paraId="3DC36DCD" w14:textId="77777777" w:rsidR="000E4754" w:rsidRPr="000E4754" w:rsidRDefault="000E4754" w:rsidP="000E4754">
      <w:pPr>
        <w:spacing w:line="240" w:lineRule="auto"/>
        <w:rPr>
          <w:rFonts w:cstheme="minorHAnsi"/>
          <w:b/>
        </w:rPr>
      </w:pPr>
      <w:r w:rsidRPr="000E4754">
        <w:rPr>
          <w:rFonts w:cstheme="minorHAnsi"/>
          <w:b/>
        </w:rPr>
        <w:t>Media contacts</w:t>
      </w:r>
    </w:p>
    <w:p w14:paraId="0D581A15" w14:textId="77777777" w:rsidR="000E4754" w:rsidRPr="000E4754" w:rsidRDefault="000E4754" w:rsidP="000E4754">
      <w:pPr>
        <w:spacing w:line="240" w:lineRule="auto"/>
        <w:rPr>
          <w:rFonts w:cstheme="minorHAnsi"/>
          <w:b/>
        </w:rPr>
      </w:pPr>
    </w:p>
    <w:p w14:paraId="07ED4B7C" w14:textId="77777777" w:rsidR="000E4754" w:rsidRPr="000E4754" w:rsidRDefault="000E4754" w:rsidP="000E4754">
      <w:pPr>
        <w:spacing w:line="240" w:lineRule="auto"/>
        <w:rPr>
          <w:rFonts w:cstheme="minorHAnsi"/>
        </w:rPr>
      </w:pPr>
      <w:proofErr w:type="spellStart"/>
      <w:r w:rsidRPr="000E4754">
        <w:rPr>
          <w:rFonts w:cstheme="minorHAnsi"/>
        </w:rPr>
        <w:t>Bontle</w:t>
      </w:r>
      <w:proofErr w:type="spellEnd"/>
      <w:r w:rsidRPr="000E4754">
        <w:rPr>
          <w:rFonts w:cstheme="minorHAnsi"/>
        </w:rPr>
        <w:t xml:space="preserve"> Mnisi: Account Executive, Change the Conversation, South Africa</w:t>
      </w:r>
    </w:p>
    <w:p w14:paraId="35757BD6" w14:textId="77777777" w:rsidR="000E4754" w:rsidRPr="000E4754" w:rsidRDefault="000E4754" w:rsidP="000E4754">
      <w:pPr>
        <w:spacing w:line="240" w:lineRule="auto"/>
        <w:rPr>
          <w:rFonts w:cstheme="minorHAnsi"/>
        </w:rPr>
      </w:pPr>
      <w:r w:rsidRPr="000E4754">
        <w:rPr>
          <w:rFonts w:cstheme="minorHAnsi"/>
        </w:rPr>
        <w:lastRenderedPageBreak/>
        <w:t>Mobile: 076 2283796</w:t>
      </w:r>
    </w:p>
    <w:p w14:paraId="771C8586" w14:textId="77777777" w:rsidR="000E4754" w:rsidRPr="000E4754" w:rsidRDefault="000E4754" w:rsidP="000E4754">
      <w:pPr>
        <w:spacing w:line="240" w:lineRule="auto"/>
        <w:rPr>
          <w:rStyle w:val="Hyperlink"/>
          <w:rFonts w:cstheme="minorHAnsi"/>
        </w:rPr>
      </w:pPr>
      <w:r w:rsidRPr="000E4754">
        <w:rPr>
          <w:rFonts w:cstheme="minorHAnsi"/>
        </w:rPr>
        <w:t xml:space="preserve">Email: </w:t>
      </w:r>
      <w:hyperlink r:id="rId10" w:history="1">
        <w:r w:rsidRPr="000E4754">
          <w:rPr>
            <w:rStyle w:val="Hyperlink"/>
            <w:rFonts w:cstheme="minorHAnsi"/>
          </w:rPr>
          <w:t>bontle@changetc.co.za</w:t>
        </w:r>
      </w:hyperlink>
    </w:p>
    <w:p w14:paraId="6894BE53" w14:textId="667AD016" w:rsidR="000E4754" w:rsidRPr="000E4754" w:rsidRDefault="000E4754" w:rsidP="000E4754">
      <w:pPr>
        <w:spacing w:line="240" w:lineRule="auto"/>
        <w:rPr>
          <w:rFonts w:cstheme="minorHAnsi"/>
        </w:rPr>
      </w:pPr>
      <w:r w:rsidRPr="000E4754">
        <w:rPr>
          <w:rFonts w:cstheme="minorHAnsi"/>
        </w:rPr>
        <w:t>O</w:t>
      </w:r>
      <w:r w:rsidRPr="000E4754">
        <w:rPr>
          <w:rFonts w:cstheme="minorHAnsi"/>
        </w:rPr>
        <w:t>R</w:t>
      </w:r>
    </w:p>
    <w:p w14:paraId="1DBA788C" w14:textId="26D5867A" w:rsidR="000E4754" w:rsidRPr="000E4754" w:rsidRDefault="000E4754" w:rsidP="000E4754">
      <w:pPr>
        <w:spacing w:line="240" w:lineRule="auto"/>
        <w:rPr>
          <w:rFonts w:cstheme="minorHAnsi"/>
        </w:rPr>
      </w:pPr>
      <w:r w:rsidRPr="000E4754">
        <w:rPr>
          <w:rFonts w:cstheme="minorHAnsi"/>
        </w:rPr>
        <w:t>Jessica Mokoena: Account Executive, Change the Conversation, South Africa</w:t>
      </w:r>
    </w:p>
    <w:p w14:paraId="15AF5C71" w14:textId="77777777" w:rsidR="000E4754" w:rsidRPr="000E4754" w:rsidRDefault="000E4754" w:rsidP="000E4754">
      <w:pPr>
        <w:spacing w:line="240" w:lineRule="auto"/>
        <w:rPr>
          <w:rFonts w:cstheme="minorHAnsi"/>
        </w:rPr>
      </w:pPr>
      <w:r w:rsidRPr="000E4754">
        <w:rPr>
          <w:rFonts w:cstheme="minorHAnsi"/>
        </w:rPr>
        <w:t>Mobile: 076 907 8017</w:t>
      </w:r>
    </w:p>
    <w:p w14:paraId="037A1CC4" w14:textId="77777777" w:rsidR="000E4754" w:rsidRPr="000E4754" w:rsidRDefault="000E4754" w:rsidP="000E4754">
      <w:pPr>
        <w:spacing w:line="240" w:lineRule="auto"/>
        <w:rPr>
          <w:rStyle w:val="Hyperlink"/>
          <w:rFonts w:cstheme="minorHAnsi"/>
        </w:rPr>
      </w:pPr>
      <w:r w:rsidRPr="000E4754">
        <w:rPr>
          <w:rFonts w:cstheme="minorHAnsi"/>
        </w:rPr>
        <w:t xml:space="preserve">Email: </w:t>
      </w:r>
      <w:hyperlink r:id="rId11" w:history="1">
        <w:r w:rsidRPr="000E4754">
          <w:rPr>
            <w:rStyle w:val="Hyperlink"/>
            <w:rFonts w:cstheme="minorHAnsi"/>
          </w:rPr>
          <w:t>jessica@changetc.co.za</w:t>
        </w:r>
      </w:hyperlink>
    </w:p>
    <w:p w14:paraId="7F5F3718" w14:textId="29AA855A" w:rsidR="000E4754" w:rsidRPr="000E4754" w:rsidRDefault="000E4754" w:rsidP="000E4754">
      <w:pPr>
        <w:spacing w:line="240" w:lineRule="auto"/>
        <w:rPr>
          <w:rFonts w:cstheme="minorHAnsi"/>
        </w:rPr>
      </w:pPr>
      <w:r w:rsidRPr="000E4754">
        <w:rPr>
          <w:rFonts w:cstheme="minorHAnsi"/>
        </w:rPr>
        <w:t>O</w:t>
      </w:r>
      <w:r w:rsidRPr="000E4754">
        <w:rPr>
          <w:rFonts w:cstheme="minorHAnsi"/>
        </w:rPr>
        <w:t>R</w:t>
      </w:r>
    </w:p>
    <w:p w14:paraId="3A9533F8" w14:textId="77777777" w:rsidR="000E4754" w:rsidRPr="000E4754" w:rsidRDefault="000E4754" w:rsidP="000E4754">
      <w:pPr>
        <w:spacing w:line="240" w:lineRule="auto"/>
        <w:rPr>
          <w:rFonts w:cstheme="minorHAnsi"/>
        </w:rPr>
      </w:pPr>
      <w:r w:rsidRPr="000E4754">
        <w:rPr>
          <w:rFonts w:cstheme="minorHAnsi"/>
          <w:color w:val="000000" w:themeColor="text1"/>
        </w:rPr>
        <w:t>Sanchia Temkin: Media Relations, PwC Africa</w:t>
      </w:r>
    </w:p>
    <w:p w14:paraId="08F77DFA" w14:textId="77777777" w:rsidR="000E4754" w:rsidRPr="000E4754" w:rsidRDefault="000E4754" w:rsidP="000E4754">
      <w:pPr>
        <w:spacing w:line="240" w:lineRule="auto"/>
        <w:rPr>
          <w:rFonts w:cstheme="minorHAnsi"/>
          <w:color w:val="000000" w:themeColor="text1"/>
        </w:rPr>
      </w:pPr>
      <w:r w:rsidRPr="000E4754">
        <w:rPr>
          <w:rFonts w:cstheme="minorHAnsi"/>
          <w:color w:val="000000" w:themeColor="text1"/>
        </w:rPr>
        <w:t>Mobile: 082 550 5146</w:t>
      </w:r>
    </w:p>
    <w:p w14:paraId="19A891E0" w14:textId="77777777" w:rsidR="000E4754" w:rsidRPr="000E4754" w:rsidRDefault="000E4754" w:rsidP="000E4754">
      <w:pPr>
        <w:spacing w:line="240" w:lineRule="auto"/>
        <w:rPr>
          <w:rFonts w:cstheme="minorHAnsi"/>
          <w:color w:val="000000" w:themeColor="text1"/>
        </w:rPr>
      </w:pPr>
      <w:r w:rsidRPr="000E4754">
        <w:rPr>
          <w:rFonts w:cstheme="minorHAnsi"/>
          <w:color w:val="000000" w:themeColor="text1"/>
        </w:rPr>
        <w:t>Email: sanchia.temkin@pwc.com</w:t>
      </w:r>
    </w:p>
    <w:p w14:paraId="72F0FEBC" w14:textId="77777777" w:rsidR="000E4754" w:rsidRPr="000E4754" w:rsidRDefault="000E4754" w:rsidP="000E4754">
      <w:pPr>
        <w:rPr>
          <w:rFonts w:cstheme="minorHAnsi"/>
        </w:rPr>
      </w:pPr>
    </w:p>
    <w:p w14:paraId="226973A0" w14:textId="77777777" w:rsidR="000E4754" w:rsidRPr="000E4754" w:rsidRDefault="000E4754" w:rsidP="000E4754">
      <w:pPr>
        <w:rPr>
          <w:rFonts w:cstheme="minorHAnsi"/>
          <w:sz w:val="20"/>
          <w:szCs w:val="20"/>
        </w:rPr>
      </w:pPr>
    </w:p>
    <w:p w14:paraId="42858862" w14:textId="77777777" w:rsidR="000E4754" w:rsidRDefault="000E4754" w:rsidP="000E4754"/>
    <w:p w14:paraId="5CC17C25" w14:textId="77777777" w:rsidR="003D27F4" w:rsidRDefault="003D27F4"/>
    <w:sectPr w:rsidR="003D27F4" w:rsidSect="003E0432">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17"/>
    <w:rsid w:val="000E4754"/>
    <w:rsid w:val="00340916"/>
    <w:rsid w:val="003D27F4"/>
    <w:rsid w:val="005B34AE"/>
    <w:rsid w:val="00D81117"/>
    <w:rsid w:val="00FD7D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1ADC"/>
  <w15:chartTrackingRefBased/>
  <w15:docId w15:val="{20616C24-A322-41DC-9D63-A52ACD34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17"/>
  </w:style>
  <w:style w:type="paragraph" w:styleId="Heading1">
    <w:name w:val="heading 1"/>
    <w:link w:val="Heading1Char"/>
    <w:uiPriority w:val="9"/>
    <w:qFormat/>
    <w:rsid w:val="00D81117"/>
    <w:pPr>
      <w:keepNext/>
      <w:keepLines/>
      <w:spacing w:after="480" w:line="600" w:lineRule="atLeast"/>
      <w:outlineLvl w:val="0"/>
    </w:pPr>
    <w:rPr>
      <w:rFonts w:ascii="Georgia" w:eastAsiaTheme="majorEastAsia" w:hAnsi="Georgia" w:cstheme="majorBidi"/>
      <w:b/>
      <w:bCs/>
      <w:i/>
      <w:color w:val="000000" w:themeColor="text1"/>
      <w:sz w:val="56"/>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117"/>
    <w:rPr>
      <w:rFonts w:ascii="Georgia" w:eastAsiaTheme="majorEastAsia" w:hAnsi="Georgia" w:cstheme="majorBidi"/>
      <w:b/>
      <w:bCs/>
      <w:i/>
      <w:color w:val="000000" w:themeColor="text1"/>
      <w:sz w:val="56"/>
      <w:szCs w:val="28"/>
      <w:lang w:val="en-GB"/>
    </w:rPr>
  </w:style>
  <w:style w:type="character" w:styleId="Hyperlink">
    <w:name w:val="Hyperlink"/>
    <w:basedOn w:val="DefaultParagraphFont"/>
    <w:uiPriority w:val="99"/>
    <w:unhideWhenUsed/>
    <w:rsid w:val="00D81117"/>
    <w:rPr>
      <w:color w:val="0563C1" w:themeColor="hyperlink"/>
      <w:u w:val="single"/>
    </w:rPr>
  </w:style>
  <w:style w:type="paragraph" w:styleId="NormalWeb">
    <w:name w:val="Normal (Web)"/>
    <w:basedOn w:val="Normal"/>
    <w:uiPriority w:val="99"/>
    <w:semiHidden/>
    <w:unhideWhenUsed/>
    <w:rsid w:val="000E475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wc.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wc.com/gx/en/issues/assets/pdf/pwc-adapt-five-urgent-global-issues-and-implications-may.pdf" TargetMode="External"/><Relationship Id="rId11" Type="http://schemas.openxmlformats.org/officeDocument/2006/relationships/hyperlink" Target="mailto:jessica@changetc.co.za" TargetMode="External"/><Relationship Id="rId5" Type="http://schemas.openxmlformats.org/officeDocument/2006/relationships/chart" Target="charts/chart1.xml"/><Relationship Id="rId10" Type="http://schemas.openxmlformats.org/officeDocument/2006/relationships/hyperlink" Target="mailto:bontle@changetc.co.za" TargetMode="External"/><Relationship Id="rId4" Type="http://schemas.openxmlformats.org/officeDocument/2006/relationships/image" Target="media/image1.png"/><Relationship Id="rId9" Type="http://schemas.openxmlformats.org/officeDocument/2006/relationships/hyperlink" Target="http://www.pwc.com/structur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viljoen003\Downloads\QLFS%20Trends%202008-2020Q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viljoen003\Downloads\ACLED-Africa_1997-2018_upd-apr2.zip.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strRef>
              <c:f>'Table 2'!$B$2:$AY$2</c:f>
              <c:strCache>
                <c:ptCount val="50"/>
                <c:pt idx="0">
                  <c:v>Jan-Mar 2008</c:v>
                </c:pt>
                <c:pt idx="1">
                  <c:v>Apr-Jun 2008</c:v>
                </c:pt>
                <c:pt idx="2">
                  <c:v>Jul-Sep 2008</c:v>
                </c:pt>
                <c:pt idx="3">
                  <c:v>Oct-Dec 2008</c:v>
                </c:pt>
                <c:pt idx="4">
                  <c:v>Jan-Mar 2009</c:v>
                </c:pt>
                <c:pt idx="5">
                  <c:v>Apr-Jun 2009</c:v>
                </c:pt>
                <c:pt idx="6">
                  <c:v>Jul-Sep 2009</c:v>
                </c:pt>
                <c:pt idx="7">
                  <c:v>Oct-Dec 2009</c:v>
                </c:pt>
                <c:pt idx="8">
                  <c:v>Jan-Mar 2010</c:v>
                </c:pt>
                <c:pt idx="9">
                  <c:v>Apr-Jun 2010</c:v>
                </c:pt>
                <c:pt idx="10">
                  <c:v>Jul-Sep 2010</c:v>
                </c:pt>
                <c:pt idx="11">
                  <c:v>Oct-Dec 2010</c:v>
                </c:pt>
                <c:pt idx="12">
                  <c:v>Jan-Mar 2011</c:v>
                </c:pt>
                <c:pt idx="13">
                  <c:v>Apr-Jun 2011</c:v>
                </c:pt>
                <c:pt idx="14">
                  <c:v>Jul-Sep 2011</c:v>
                </c:pt>
                <c:pt idx="15">
                  <c:v>Oct-Dec 2011</c:v>
                </c:pt>
                <c:pt idx="16">
                  <c:v>Jan-Mar 2012</c:v>
                </c:pt>
                <c:pt idx="17">
                  <c:v>Apr-Jun 2012</c:v>
                </c:pt>
                <c:pt idx="18">
                  <c:v>Jul-Sep 2012</c:v>
                </c:pt>
                <c:pt idx="19">
                  <c:v>Oct-Dec 2012</c:v>
                </c:pt>
                <c:pt idx="20">
                  <c:v>Jan-Mar 2013</c:v>
                </c:pt>
                <c:pt idx="21">
                  <c:v>Apr-Jun 2013</c:v>
                </c:pt>
                <c:pt idx="22">
                  <c:v>Jul-Sep 2013</c:v>
                </c:pt>
                <c:pt idx="23">
                  <c:v>Oct-Dec 2013</c:v>
                </c:pt>
                <c:pt idx="24">
                  <c:v>Jan-Mar 2014</c:v>
                </c:pt>
                <c:pt idx="25">
                  <c:v>Apr-Jun 2014</c:v>
                </c:pt>
                <c:pt idx="26">
                  <c:v>Jul-Sep 2014</c:v>
                </c:pt>
                <c:pt idx="27">
                  <c:v>Oct-Dec 2014</c:v>
                </c:pt>
                <c:pt idx="28">
                  <c:v>Jan-Mar 2015</c:v>
                </c:pt>
                <c:pt idx="29">
                  <c:v>Apr-Jun 2015</c:v>
                </c:pt>
                <c:pt idx="30">
                  <c:v>Jul-Sep 2015</c:v>
                </c:pt>
                <c:pt idx="31">
                  <c:v>Oct-Dec 2015</c:v>
                </c:pt>
                <c:pt idx="32">
                  <c:v>Jan-Mar 2016</c:v>
                </c:pt>
                <c:pt idx="33">
                  <c:v>Apr-Jun 2016</c:v>
                </c:pt>
                <c:pt idx="34">
                  <c:v>Jul-Sep 2016</c:v>
                </c:pt>
                <c:pt idx="35">
                  <c:v>Oct-Dec 2016</c:v>
                </c:pt>
                <c:pt idx="36">
                  <c:v>Jan-Mar 2017</c:v>
                </c:pt>
                <c:pt idx="37">
                  <c:v>Apr-Jun 2017</c:v>
                </c:pt>
                <c:pt idx="38">
                  <c:v>Jul-Sep 2017</c:v>
                </c:pt>
                <c:pt idx="39">
                  <c:v>Oct-Dec 2017</c:v>
                </c:pt>
                <c:pt idx="40">
                  <c:v>Jan-Mar 2018</c:v>
                </c:pt>
                <c:pt idx="41">
                  <c:v>Apr-Jun 2018</c:v>
                </c:pt>
                <c:pt idx="42">
                  <c:v>Jul-Sep 2018</c:v>
                </c:pt>
                <c:pt idx="43">
                  <c:v>Oct-Dec 2018</c:v>
                </c:pt>
                <c:pt idx="44">
                  <c:v>Jan-Mar 2019</c:v>
                </c:pt>
                <c:pt idx="45">
                  <c:v>Apr-Jun 2019</c:v>
                </c:pt>
                <c:pt idx="46">
                  <c:v>Jul-Sep 2019</c:v>
                </c:pt>
                <c:pt idx="47">
                  <c:v>Oct-Dec 2019</c:v>
                </c:pt>
                <c:pt idx="48">
                  <c:v>Jan-Mar 2020</c:v>
                </c:pt>
                <c:pt idx="49">
                  <c:v>Apr-Jun 2020</c:v>
                </c:pt>
              </c:strCache>
            </c:strRef>
          </c:cat>
          <c:val>
            <c:numRef>
              <c:f>'Table 2'!$B$8:$AY$8</c:f>
              <c:numCache>
                <c:formatCode>###,###</c:formatCode>
                <c:ptCount val="50"/>
                <c:pt idx="0">
                  <c:v>14437.740355897236</c:v>
                </c:pt>
                <c:pt idx="1">
                  <c:v>14584.495164284137</c:v>
                </c:pt>
                <c:pt idx="2">
                  <c:v>14548.509536032121</c:v>
                </c:pt>
                <c:pt idx="3">
                  <c:v>14768.699092068233</c:v>
                </c:pt>
                <c:pt idx="4">
                  <c:v>14615.501907136706</c:v>
                </c:pt>
                <c:pt idx="5">
                  <c:v>14356.96046698648</c:v>
                </c:pt>
                <c:pt idx="6">
                  <c:v>13829.797596080578</c:v>
                </c:pt>
                <c:pt idx="7">
                  <c:v>13973.036886036474</c:v>
                </c:pt>
                <c:pt idx="8">
                  <c:v>13797.252879668376</c:v>
                </c:pt>
                <c:pt idx="9">
                  <c:v>13808.716760304625</c:v>
                </c:pt>
                <c:pt idx="10">
                  <c:v>13647.783703945208</c:v>
                </c:pt>
                <c:pt idx="11">
                  <c:v>13898.151274051343</c:v>
                </c:pt>
                <c:pt idx="12">
                  <c:v>13903.593154386999</c:v>
                </c:pt>
                <c:pt idx="13">
                  <c:v>13921.808207436383</c:v>
                </c:pt>
                <c:pt idx="14">
                  <c:v>14118.385072295345</c:v>
                </c:pt>
                <c:pt idx="15">
                  <c:v>14336.414127909935</c:v>
                </c:pt>
                <c:pt idx="16">
                  <c:v>14284.075696061267</c:v>
                </c:pt>
                <c:pt idx="17">
                  <c:v>14330.015601664352</c:v>
                </c:pt>
                <c:pt idx="18">
                  <c:v>14561.61505989471</c:v>
                </c:pt>
                <c:pt idx="19">
                  <c:v>14523.850499719241</c:v>
                </c:pt>
                <c:pt idx="20">
                  <c:v>14558.375007567811</c:v>
                </c:pt>
                <c:pt idx="21">
                  <c:v>14691.538346723291</c:v>
                </c:pt>
                <c:pt idx="22">
                  <c:v>15035.843184426829</c:v>
                </c:pt>
                <c:pt idx="23">
                  <c:v>15176.754800480037</c:v>
                </c:pt>
                <c:pt idx="24">
                  <c:v>15054.791334015114</c:v>
                </c:pt>
                <c:pt idx="25" formatCode="#,##0">
                  <c:v>15094.243115021973</c:v>
                </c:pt>
                <c:pt idx="26">
                  <c:v>15116.568655848223</c:v>
                </c:pt>
                <c:pt idx="27">
                  <c:v>15319.611066342213</c:v>
                </c:pt>
                <c:pt idx="28" formatCode="#,##0">
                  <c:v>15459.419715288492</c:v>
                </c:pt>
                <c:pt idx="29" formatCode="#,##0">
                  <c:v>15657.002770332387</c:v>
                </c:pt>
                <c:pt idx="30" formatCode="#,##0">
                  <c:v>15828.439253503115</c:v>
                </c:pt>
                <c:pt idx="31" formatCode="#,##0">
                  <c:v>16018.06828178533</c:v>
                </c:pt>
                <c:pt idx="32" formatCode="#,##0">
                  <c:v>15674.513347552022</c:v>
                </c:pt>
                <c:pt idx="33" formatCode="#,##0">
                  <c:v>15545.447354530606</c:v>
                </c:pt>
                <c:pt idx="34" formatCode="#,##0">
                  <c:v>15833.195035280987</c:v>
                </c:pt>
                <c:pt idx="35" formatCode="#,##0">
                  <c:v>16068.61214496801</c:v>
                </c:pt>
                <c:pt idx="36" formatCode="#,##0">
                  <c:v>16212.250450626845</c:v>
                </c:pt>
                <c:pt idx="37" formatCode="#,##0">
                  <c:v>16099.707765312933</c:v>
                </c:pt>
                <c:pt idx="38" formatCode="#,##0">
                  <c:v>16191.669886665872</c:v>
                </c:pt>
                <c:pt idx="39" formatCode="#,##0">
                  <c:v>16171.025867909169</c:v>
                </c:pt>
                <c:pt idx="40" formatCode="#,##0">
                  <c:v>16377.523823614691</c:v>
                </c:pt>
                <c:pt idx="41" formatCode="#,##0">
                  <c:v>16287.803465880726</c:v>
                </c:pt>
                <c:pt idx="42" formatCode="#,##0">
                  <c:v>16380.073776574245</c:v>
                </c:pt>
                <c:pt idx="43" formatCode="#,##0">
                  <c:v>16528.698796496032</c:v>
                </c:pt>
                <c:pt idx="44" formatCode="#,##0">
                  <c:v>16291.436249923043</c:v>
                </c:pt>
                <c:pt idx="45" formatCode="#,##0">
                  <c:v>16312.705900699659</c:v>
                </c:pt>
                <c:pt idx="46" formatCode="#,##0">
                  <c:v>16375.008581983788</c:v>
                </c:pt>
                <c:pt idx="47" formatCode="#,##0">
                  <c:v>16420.26829178727</c:v>
                </c:pt>
                <c:pt idx="48" formatCode="#,##0">
                  <c:v>16382.555174366442</c:v>
                </c:pt>
                <c:pt idx="49" formatCode="#,##0">
                  <c:v>14148.215449430543</c:v>
                </c:pt>
              </c:numCache>
            </c:numRef>
          </c:val>
          <c:smooth val="0"/>
          <c:extLst>
            <c:ext xmlns:c16="http://schemas.microsoft.com/office/drawing/2014/chart" uri="{C3380CC4-5D6E-409C-BE32-E72D297353CC}">
              <c16:uniqueId val="{00000000-7734-413E-A482-D4259E94B352}"/>
            </c:ext>
          </c:extLst>
        </c:ser>
        <c:dLbls>
          <c:showLegendKey val="0"/>
          <c:showVal val="0"/>
          <c:showCatName val="0"/>
          <c:showSerName val="0"/>
          <c:showPercent val="0"/>
          <c:showBubbleSize val="0"/>
        </c:dLbls>
        <c:smooth val="0"/>
        <c:axId val="680727791"/>
        <c:axId val="88158127"/>
      </c:lineChart>
      <c:catAx>
        <c:axId val="680727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58127"/>
        <c:crosses val="autoZero"/>
        <c:auto val="1"/>
        <c:lblAlgn val="ctr"/>
        <c:lblOffset val="100"/>
        <c:noMultiLvlLbl val="0"/>
      </c:catAx>
      <c:valAx>
        <c:axId val="88158127"/>
        <c:scaling>
          <c:orientation val="minMax"/>
          <c:min val="13000"/>
        </c:scaling>
        <c:delete val="0"/>
        <c:axPos val="l"/>
        <c:majorGridlines>
          <c:spPr>
            <a:ln w="9525" cap="flat" cmpd="sng" algn="ctr">
              <a:noFill/>
              <a:round/>
            </a:ln>
            <a:effectLst/>
          </c:spPr>
        </c:majorGridlines>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07277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352942176205959E-2"/>
          <c:y val="7.2535443455324755E-2"/>
          <c:w val="0.94764705782379399"/>
          <c:h val="0.7825255522584899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Sheet1!$A$16:$A$24</c:f>
              <c:strCache>
                <c:ptCount val="9"/>
                <c:pt idx="0">
                  <c:v>Jan-20</c:v>
                </c:pt>
                <c:pt idx="1">
                  <c:v>Feb-20</c:v>
                </c:pt>
                <c:pt idx="2">
                  <c:v>Mar-20</c:v>
                </c:pt>
                <c:pt idx="3">
                  <c:v>Apr-20</c:v>
                </c:pt>
                <c:pt idx="4">
                  <c:v>May-20</c:v>
                </c:pt>
                <c:pt idx="5">
                  <c:v>Jun-20</c:v>
                </c:pt>
                <c:pt idx="6">
                  <c:v>Jul-20</c:v>
                </c:pt>
                <c:pt idx="7">
                  <c:v>Aug-20</c:v>
                </c:pt>
                <c:pt idx="8">
                  <c:v>Sep-20*</c:v>
                </c:pt>
              </c:strCache>
            </c:strRef>
          </c:cat>
          <c:val>
            <c:numRef>
              <c:f>Sheet1!$B$16:$B$24</c:f>
              <c:numCache>
                <c:formatCode>General</c:formatCode>
                <c:ptCount val="9"/>
                <c:pt idx="0">
                  <c:v>83</c:v>
                </c:pt>
                <c:pt idx="1">
                  <c:v>143</c:v>
                </c:pt>
                <c:pt idx="2">
                  <c:v>142</c:v>
                </c:pt>
                <c:pt idx="3">
                  <c:v>49</c:v>
                </c:pt>
                <c:pt idx="4">
                  <c:v>83</c:v>
                </c:pt>
                <c:pt idx="5">
                  <c:v>177</c:v>
                </c:pt>
                <c:pt idx="6">
                  <c:v>177</c:v>
                </c:pt>
                <c:pt idx="7">
                  <c:v>153</c:v>
                </c:pt>
                <c:pt idx="8">
                  <c:v>180</c:v>
                </c:pt>
              </c:numCache>
            </c:numRef>
          </c:val>
          <c:extLst>
            <c:ext xmlns:c16="http://schemas.microsoft.com/office/drawing/2014/chart" uri="{C3380CC4-5D6E-409C-BE32-E72D297353CC}">
              <c16:uniqueId val="{00000000-FFD0-4E4E-ADDB-974A47C337AF}"/>
            </c:ext>
          </c:extLst>
        </c:ser>
        <c:dLbls>
          <c:showLegendKey val="0"/>
          <c:showVal val="0"/>
          <c:showCatName val="0"/>
          <c:showSerName val="0"/>
          <c:showPercent val="0"/>
          <c:showBubbleSize val="0"/>
        </c:dLbls>
        <c:gapWidth val="219"/>
        <c:overlap val="-27"/>
        <c:axId val="406321392"/>
        <c:axId val="982564064"/>
      </c:barChart>
      <c:catAx>
        <c:axId val="4063213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2564064"/>
        <c:crosses val="autoZero"/>
        <c:auto val="1"/>
        <c:lblAlgn val="ctr"/>
        <c:lblOffset val="100"/>
        <c:noMultiLvlLbl val="1"/>
      </c:catAx>
      <c:valAx>
        <c:axId val="98256406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406321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Sanchia Temkin</dc:creator>
  <cp:keywords/>
  <dc:description/>
  <cp:lastModifiedBy>Sanchia Temkin</cp:lastModifiedBy>
  <cp:revision>3</cp:revision>
  <dcterms:created xsi:type="dcterms:W3CDTF">2020-09-29T12:00:00Z</dcterms:created>
  <dcterms:modified xsi:type="dcterms:W3CDTF">2020-09-29T12:00:00Z</dcterms:modified>
</cp:coreProperties>
</file>