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054D1" w14:textId="7998EC3E" w:rsidR="00BA67EF" w:rsidRPr="00BA67EF" w:rsidRDefault="00BA67EF" w:rsidP="00BA67EF">
      <w:pPr>
        <w:pStyle w:val="Heading1"/>
        <w:spacing w:after="0"/>
        <w:rPr>
          <w:sz w:val="32"/>
          <w:szCs w:val="32"/>
        </w:rPr>
      </w:pPr>
      <w:r w:rsidRPr="00BA67EF">
        <w:rPr>
          <w:sz w:val="32"/>
          <w:szCs w:val="32"/>
        </w:rPr>
        <w:t>PwC focus on Business Confidence – 9 September 2020</w:t>
      </w:r>
    </w:p>
    <w:p w14:paraId="7F9CB028" w14:textId="77777777" w:rsidR="00BA67EF" w:rsidRDefault="00BA67EF" w:rsidP="00BA67EF">
      <w:pPr>
        <w:pStyle w:val="Heading1"/>
        <w:spacing w:after="0"/>
        <w:rPr>
          <w:sz w:val="44"/>
        </w:rPr>
      </w:pPr>
    </w:p>
    <w:p w14:paraId="0AA14973" w14:textId="77777777" w:rsidR="00B16691" w:rsidRDefault="00B16691" w:rsidP="00BA67EF">
      <w:pPr>
        <w:pStyle w:val="Heading1"/>
        <w:spacing w:after="0"/>
        <w:rPr>
          <w:sz w:val="44"/>
        </w:rPr>
      </w:pPr>
      <w:r w:rsidRPr="007A7B59">
        <w:rPr>
          <w:b w:val="0"/>
          <w:noProof/>
          <w:color w:val="990000"/>
        </w:rPr>
        <w:drawing>
          <wp:inline distT="0" distB="0" distL="0" distR="0" wp14:anchorId="34A2B4BE" wp14:editId="60FCA660">
            <wp:extent cx="2238375" cy="1863090"/>
            <wp:effectExtent l="0" t="0" r="952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38375" cy="1863090"/>
                    </a:xfrm>
                    <a:prstGeom prst="rect">
                      <a:avLst/>
                    </a:prstGeom>
                    <a:noFill/>
                  </pic:spPr>
                </pic:pic>
              </a:graphicData>
            </a:graphic>
          </wp:inline>
        </w:drawing>
      </w:r>
    </w:p>
    <w:p w14:paraId="1BCA1370" w14:textId="5787AA68" w:rsidR="00BA67EF" w:rsidRDefault="00BA67EF" w:rsidP="00BA67EF">
      <w:pPr>
        <w:pStyle w:val="Heading1"/>
        <w:spacing w:after="0"/>
        <w:rPr>
          <w:sz w:val="44"/>
        </w:rPr>
      </w:pPr>
      <w:r w:rsidRPr="00A44D3B">
        <w:rPr>
          <w:sz w:val="44"/>
        </w:rPr>
        <w:t>Business confidence</w:t>
      </w:r>
      <w:r>
        <w:rPr>
          <w:sz w:val="44"/>
        </w:rPr>
        <w:t xml:space="preserve"> starts recovery in 2020Q3</w:t>
      </w:r>
    </w:p>
    <w:p w14:paraId="325878F8" w14:textId="77777777" w:rsidR="00BA67EF" w:rsidRDefault="00BA67EF" w:rsidP="00BA67EF">
      <w:pPr>
        <w:rPr>
          <w:rFonts w:ascii="Georgia" w:eastAsiaTheme="majorEastAsia" w:hAnsi="Georgia" w:cstheme="majorBidi"/>
          <w:b/>
          <w:bCs/>
          <w:i/>
          <w:color w:val="5B9BD5" w:themeColor="accent5"/>
          <w:sz w:val="28"/>
          <w:szCs w:val="26"/>
          <w:lang w:val="en-US"/>
        </w:rPr>
      </w:pPr>
      <w:r>
        <w:rPr>
          <w:rFonts w:ascii="Georgia" w:eastAsiaTheme="majorEastAsia" w:hAnsi="Georgia" w:cstheme="majorBidi"/>
          <w:b/>
          <w:bCs/>
          <w:i/>
          <w:color w:val="5B9BD5" w:themeColor="accent5"/>
          <w:sz w:val="28"/>
          <w:szCs w:val="26"/>
          <w:lang w:val="en-US"/>
        </w:rPr>
        <w:t>Sentiment could have worsened again due to loadshedding</w:t>
      </w:r>
    </w:p>
    <w:p w14:paraId="07258E4D" w14:textId="77777777" w:rsidR="00BA67EF" w:rsidRPr="00200D46" w:rsidRDefault="00BA67EF" w:rsidP="00BA67EF">
      <w:pPr>
        <w:rPr>
          <w:rFonts w:ascii="Georgia" w:hAnsi="Georgia"/>
          <w:sz w:val="20"/>
          <w:szCs w:val="20"/>
        </w:rPr>
      </w:pPr>
      <w:bookmarkStart w:id="0" w:name="_Hlk50548843"/>
      <w:r w:rsidRPr="00200D46">
        <w:rPr>
          <w:rFonts w:ascii="Georgia" w:hAnsi="Georgia"/>
          <w:b/>
          <w:bCs/>
          <w:sz w:val="20"/>
          <w:szCs w:val="20"/>
        </w:rPr>
        <w:t>The Bureau for Economic Research (BER) reported on September 9 that South African business confidence improved in the third quarter - though remained very</w:t>
      </w:r>
      <w:r w:rsidRPr="00200D46">
        <w:rPr>
          <w:rFonts w:ascii="Georgia" w:hAnsi="Georgia"/>
          <w:b/>
          <w:sz w:val="20"/>
          <w:szCs w:val="20"/>
        </w:rPr>
        <w:t xml:space="preserve"> pessimistic. </w:t>
      </w:r>
      <w:r w:rsidRPr="00200D46">
        <w:rPr>
          <w:rFonts w:ascii="Georgia" w:hAnsi="Georgia"/>
          <w:bCs/>
          <w:sz w:val="20"/>
          <w:szCs w:val="20"/>
        </w:rPr>
        <w:t xml:space="preserve">After dropping to an all-time low of 5 in the second quarter, the </w:t>
      </w:r>
      <w:r w:rsidRPr="00200D46">
        <w:rPr>
          <w:rFonts w:ascii="Georgia" w:hAnsi="Georgia"/>
          <w:sz w:val="20"/>
          <w:szCs w:val="20"/>
        </w:rPr>
        <w:t xml:space="preserve">Rand Merchant Bank (RMB)/BER Business Confidence Index (BCI) increased to a reading of 24 during 2020Q3. On a scale of 0 to 100, with 50 the breakeven point between pessimism and optimism, the latest print remains amongst the worst readings see since the turn of the millennium. During the global financial crisis of 2008-2009, for example, the lowest reading was 25 (2009Q3). </w:t>
      </w:r>
    </w:p>
    <w:p w14:paraId="46D0C909" w14:textId="77777777" w:rsidR="00BA67EF" w:rsidRPr="00200D46" w:rsidRDefault="00BA67EF" w:rsidP="00BA67EF">
      <w:pPr>
        <w:rPr>
          <w:rFonts w:ascii="Georgia" w:hAnsi="Georgia" w:cs="Arial"/>
          <w:noProof/>
          <w:sz w:val="20"/>
          <w:szCs w:val="20"/>
        </w:rPr>
      </w:pPr>
      <w:r w:rsidRPr="00200D46">
        <w:rPr>
          <w:rFonts w:ascii="Georgia" w:hAnsi="Georgia"/>
          <w:b/>
          <w:bCs/>
          <w:sz w:val="20"/>
          <w:szCs w:val="20"/>
        </w:rPr>
        <w:t xml:space="preserve">The still-negative overall BCI reading for 2020Q3 is not surprising. </w:t>
      </w:r>
      <w:r w:rsidRPr="00200D46">
        <w:rPr>
          <w:rFonts w:ascii="Georgia" w:hAnsi="Georgia" w:cs="Arial"/>
          <w:b/>
          <w:bCs/>
          <w:noProof/>
          <w:sz w:val="20"/>
          <w:szCs w:val="20"/>
        </w:rPr>
        <w:t>Available economic data for the third quarter are less negative compared to Q2 - though still very bleak.</w:t>
      </w:r>
      <w:r w:rsidRPr="00200D46">
        <w:rPr>
          <w:rFonts w:ascii="Georgia" w:hAnsi="Georgia" w:cs="Arial"/>
          <w:noProof/>
          <w:sz w:val="20"/>
          <w:szCs w:val="20"/>
        </w:rPr>
        <w:t xml:space="preserve"> The IHS Markit South Africa Purchasing Managers Index (PMI) showed a smaller decline in private sector activity during July and August compared to the April-June period. New vehicle sales declined by a mean of 28.0% in July and August compared to an average drop of 65.7% during the second quarter. The weak state of the economy resulted in a 14.8% y-o-y decline in government revenue during July. By early- September, workplace activity was still 28% lower compared to the start of the year.</w:t>
      </w:r>
    </w:p>
    <w:p w14:paraId="52BD266D" w14:textId="77777777" w:rsidR="00BA67EF" w:rsidRPr="00200D46" w:rsidRDefault="00BA67EF" w:rsidP="00BA67EF">
      <w:pPr>
        <w:jc w:val="center"/>
        <w:rPr>
          <w:rFonts w:ascii="Georgia" w:hAnsi="Georgia"/>
          <w:sz w:val="20"/>
          <w:szCs w:val="20"/>
        </w:rPr>
      </w:pPr>
      <w:r w:rsidRPr="00200D46">
        <w:rPr>
          <w:rFonts w:ascii="Georgia" w:hAnsi="Georgia"/>
          <w:noProof/>
        </w:rPr>
        <w:lastRenderedPageBreak/>
        <w:drawing>
          <wp:inline distT="0" distB="0" distL="0" distR="0" wp14:anchorId="7D4F1E86" wp14:editId="5F5301EC">
            <wp:extent cx="5330825" cy="2520564"/>
            <wp:effectExtent l="0" t="0" r="3175" b="13335"/>
            <wp:docPr id="1"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D77FA5D" w14:textId="77777777" w:rsidR="00BA67EF" w:rsidRPr="00200D46" w:rsidRDefault="00BA67EF" w:rsidP="00BA67EF">
      <w:pPr>
        <w:rPr>
          <w:rFonts w:ascii="Georgia" w:hAnsi="Georgia"/>
          <w:i/>
          <w:sz w:val="20"/>
          <w:szCs w:val="20"/>
        </w:rPr>
      </w:pPr>
      <w:r w:rsidRPr="00200D46">
        <w:rPr>
          <w:rFonts w:ascii="Georgia" w:hAnsi="Georgia"/>
          <w:i/>
          <w:sz w:val="20"/>
          <w:szCs w:val="20"/>
        </w:rPr>
        <w:t>Source: BER</w:t>
      </w:r>
    </w:p>
    <w:p w14:paraId="3ECCA8A9" w14:textId="77777777" w:rsidR="00BA67EF" w:rsidRPr="00200D46" w:rsidRDefault="00BA67EF" w:rsidP="00BA67EF">
      <w:pPr>
        <w:rPr>
          <w:rFonts w:ascii="Georgia" w:hAnsi="Georgia" w:cs="Arial"/>
          <w:noProof/>
          <w:sz w:val="20"/>
          <w:szCs w:val="20"/>
        </w:rPr>
      </w:pPr>
      <w:r w:rsidRPr="00200D46">
        <w:rPr>
          <w:rFonts w:ascii="Georgia" w:hAnsi="Georgia" w:cs="Arial"/>
          <w:b/>
          <w:bCs/>
          <w:noProof/>
          <w:sz w:val="20"/>
          <w:szCs w:val="20"/>
        </w:rPr>
        <w:t>On a sub-index basis, retail confidence improved from a dismal 11 to 36 in the third quarter. This was only partly driven by a recovery in sales</w:t>
      </w:r>
      <w:r w:rsidRPr="00200D46">
        <w:rPr>
          <w:rFonts w:ascii="Georgia" w:hAnsi="Georgia" w:cs="Arial"/>
          <w:noProof/>
          <w:sz w:val="20"/>
          <w:szCs w:val="20"/>
        </w:rPr>
        <w:t>: by early-September, Google data shows that visits to retail and recreation spaces (e.g. restaurants, cafés, shopping centres, theme parks, museums, libraries and cinemas) were still 7% below a benchmark period of January 3 – February 6. Retail sentiment was lifted by expectations of improved sales towards year-end and continued cost-cutting. However, motor dealer confidence remained dismal at 16 points during the third quarter as new vehicle sales remained disappointingly weak.</w:t>
      </w:r>
    </w:p>
    <w:p w14:paraId="4C6F444B" w14:textId="77777777" w:rsidR="00BA67EF" w:rsidRPr="00200D46" w:rsidRDefault="00BA67EF" w:rsidP="00BA67EF">
      <w:pPr>
        <w:rPr>
          <w:rFonts w:ascii="Georgia" w:hAnsi="Georgia" w:cs="Arial"/>
          <w:noProof/>
          <w:sz w:val="20"/>
          <w:szCs w:val="20"/>
        </w:rPr>
      </w:pPr>
      <w:r w:rsidRPr="00200D46">
        <w:rPr>
          <w:rFonts w:ascii="Georgia" w:hAnsi="Georgia" w:cs="Arial"/>
          <w:b/>
          <w:bCs/>
          <w:noProof/>
          <w:sz w:val="20"/>
          <w:szCs w:val="20"/>
        </w:rPr>
        <w:t xml:space="preserve">In the secondary sector, manufacturing confidence turned around, rising from 6 in the second quarter to 22 in Q3. </w:t>
      </w:r>
      <w:r w:rsidRPr="00200D46">
        <w:rPr>
          <w:rFonts w:ascii="Georgia" w:hAnsi="Georgia" w:cs="Arial"/>
          <w:noProof/>
          <w:sz w:val="20"/>
          <w:szCs w:val="20"/>
        </w:rPr>
        <w:t xml:space="preserve">Factory sector performance continues to be hampered by weak domestic and international demand as well as supply chain disruptions. Furthermore, temporary facility closures caused by both positive COVID-19 tests and power outages are weighing on output volumes. The latest Absa Purchasing Managers’ Index (PMI) report found that, after recovering in May and June, factory production recovery stalled before finding some more momentum in August. However, while this has taken production levels back to pre-COVID-19 levels in some sectors, overall activity remained below pre-pandmic levels.  </w:t>
      </w:r>
    </w:p>
    <w:p w14:paraId="639BD679" w14:textId="483DDB7E" w:rsidR="00BA67EF" w:rsidRPr="00200D46" w:rsidRDefault="00BA67EF" w:rsidP="00BA67EF">
      <w:pPr>
        <w:rPr>
          <w:rFonts w:ascii="Georgia" w:hAnsi="Georgia"/>
          <w:sz w:val="20"/>
          <w:szCs w:val="20"/>
        </w:rPr>
      </w:pPr>
      <w:r w:rsidRPr="00200D46">
        <w:rPr>
          <w:rFonts w:ascii="Georgia" w:hAnsi="Georgia"/>
          <w:sz w:val="20"/>
          <w:szCs w:val="20"/>
        </w:rPr>
        <w:t xml:space="preserve">The BER commented that the survey for the third quarter BCI was conducted during August 12-31. This was immediately after President Cyril Ramaphosa announced a move to lockdown level 2, and ahead of the renewed onset of loadshedding. As such, </w:t>
      </w:r>
      <w:r w:rsidRPr="00200D46">
        <w:rPr>
          <w:rFonts w:ascii="Georgia" w:hAnsi="Georgia"/>
          <w:b/>
          <w:bCs/>
          <w:sz w:val="20"/>
          <w:szCs w:val="20"/>
        </w:rPr>
        <w:t>business sentiment could well have deteriorated in September as power outages adversely affected the economy.</w:t>
      </w:r>
      <w:r w:rsidRPr="00200D46">
        <w:rPr>
          <w:rFonts w:ascii="Georgia" w:hAnsi="Georgia"/>
          <w:sz w:val="20"/>
          <w:szCs w:val="20"/>
        </w:rPr>
        <w:t xml:space="preserve"> PwC estimates that the negative impact of loadshedding in 2020 will completely cancel out the positive impact created by interest rate cuts and payments under the Temporary Employer/Employee Relief Scheme (TERS). With this in mind, our baseline scenario is for the South African economy to contract by an average of 10.4% during the 2020 calendar year.</w:t>
      </w:r>
    </w:p>
    <w:p w14:paraId="67272ACA" w14:textId="77777777" w:rsidR="00200D46" w:rsidRPr="00200D46" w:rsidRDefault="00200D46" w:rsidP="00200D46">
      <w:pPr>
        <w:rPr>
          <w:rFonts w:ascii="Georgia" w:hAnsi="Georgia" w:cstheme="minorHAnsi"/>
          <w:b/>
          <w:bCs/>
          <w:i/>
          <w:iCs/>
          <w:sz w:val="28"/>
          <w:szCs w:val="28"/>
        </w:rPr>
      </w:pPr>
      <w:r w:rsidRPr="00200D46">
        <w:rPr>
          <w:rFonts w:ascii="Georgia" w:hAnsi="Georgia" w:cstheme="minorHAnsi"/>
          <w:b/>
          <w:bCs/>
          <w:i/>
          <w:iCs/>
          <w:sz w:val="28"/>
          <w:szCs w:val="28"/>
        </w:rPr>
        <w:t>Article by Lullu Krugel, Chief Economist for PwC Strategy Africa, and Dr Christie Viljoen, PwC Strategy&amp; Economist</w:t>
      </w:r>
    </w:p>
    <w:p w14:paraId="64A185EF" w14:textId="5C22E78C" w:rsidR="00200D46" w:rsidRPr="00200D46" w:rsidRDefault="00200D46" w:rsidP="00200D46">
      <w:pPr>
        <w:spacing w:before="240" w:after="240" w:line="240" w:lineRule="auto"/>
        <w:rPr>
          <w:rFonts w:ascii="Georgia" w:hAnsi="Georgia"/>
          <w:b/>
          <w:i/>
        </w:rPr>
      </w:pPr>
      <w:r w:rsidRPr="00200D46">
        <w:rPr>
          <w:rFonts w:ascii="Georgia" w:hAnsi="Georgia"/>
          <w:b/>
          <w:i/>
        </w:rPr>
        <w:t>____________________________________________________________</w:t>
      </w:r>
      <w:bookmarkStart w:id="1" w:name="_GoBack"/>
      <w:bookmarkEnd w:id="1"/>
    </w:p>
    <w:p w14:paraId="239C1A03" w14:textId="77777777" w:rsidR="00200D46" w:rsidRPr="00200D46" w:rsidRDefault="00200D46" w:rsidP="00200D46">
      <w:pPr>
        <w:shd w:val="clear" w:color="auto" w:fill="FFFFFF"/>
        <w:spacing w:line="240" w:lineRule="auto"/>
        <w:rPr>
          <w:rFonts w:ascii="Georgia" w:eastAsia="Times New Roman" w:hAnsi="Georgia"/>
          <w:i/>
          <w:iCs/>
          <w:color w:val="222222"/>
        </w:rPr>
      </w:pPr>
      <w:r w:rsidRPr="00200D46">
        <w:rPr>
          <w:rFonts w:ascii="Georgia" w:eastAsia="Times New Roman" w:hAnsi="Georgia"/>
          <w:i/>
          <w:iCs/>
          <w:color w:val="222222"/>
        </w:rPr>
        <w:t xml:space="preserve">At PwC, our purpose is to build trust in society and solve important problems. We’re a network of firms in 158 countries with over 250,000 people who are committed to delivering quality in assurance, advisory and tax services. Find out more and tell us what matters to you by visiting us at </w:t>
      </w:r>
      <w:hyperlink r:id="rId6" w:tgtFrame="_blank" w:history="1">
        <w:r w:rsidRPr="00200D46">
          <w:rPr>
            <w:rFonts w:ascii="Georgia" w:eastAsia="Times New Roman" w:hAnsi="Georgia"/>
            <w:i/>
            <w:iCs/>
            <w:color w:val="1155CC"/>
            <w:u w:val="single"/>
          </w:rPr>
          <w:t>www.pwc.com</w:t>
        </w:r>
      </w:hyperlink>
      <w:r w:rsidRPr="00200D46">
        <w:rPr>
          <w:rFonts w:ascii="Georgia" w:eastAsia="Times New Roman" w:hAnsi="Georgia"/>
          <w:i/>
          <w:iCs/>
          <w:color w:val="222222"/>
        </w:rPr>
        <w:t>.</w:t>
      </w:r>
    </w:p>
    <w:p w14:paraId="369EA60E" w14:textId="77777777" w:rsidR="00200D46" w:rsidRPr="00200D46" w:rsidRDefault="00200D46" w:rsidP="00200D46">
      <w:pPr>
        <w:pStyle w:val="NormalWeb"/>
        <w:shd w:val="clear" w:color="auto" w:fill="FFFFFF"/>
        <w:rPr>
          <w:rFonts w:ascii="Georgia" w:hAnsi="Georgia" w:cs="Arial"/>
          <w:i/>
          <w:color w:val="000000" w:themeColor="text1"/>
          <w:sz w:val="22"/>
          <w:szCs w:val="22"/>
          <w:lang w:val="en"/>
        </w:rPr>
      </w:pPr>
      <w:r w:rsidRPr="00200D46">
        <w:rPr>
          <w:rFonts w:ascii="Georgia" w:hAnsi="Georgia" w:cs="Arial"/>
          <w:i/>
          <w:color w:val="000000" w:themeColor="text1"/>
          <w:sz w:val="22"/>
          <w:szCs w:val="22"/>
          <w:lang w:val="en"/>
        </w:rPr>
        <w:lastRenderedPageBreak/>
        <w:t xml:space="preserve">PwC has a presence in 34 Africa countries with an office footprint covering 66 offices. With a single Africa leadership team and more than 400 partners and 9000 professionals across Africa, we serve some of the continent’s largest businesses across all industries. </w:t>
      </w:r>
    </w:p>
    <w:p w14:paraId="7F552D11" w14:textId="77777777" w:rsidR="00200D46" w:rsidRPr="00200D46" w:rsidRDefault="00200D46" w:rsidP="00200D46">
      <w:pPr>
        <w:spacing w:line="240" w:lineRule="auto"/>
        <w:rPr>
          <w:rFonts w:ascii="Georgia" w:eastAsia="Times New Roman" w:hAnsi="Georgia"/>
        </w:rPr>
      </w:pPr>
      <w:r w:rsidRPr="00200D46">
        <w:rPr>
          <w:rFonts w:ascii="Georgia" w:eastAsia="Times New Roman" w:hAnsi="Georgia"/>
          <w:i/>
          <w:iCs/>
          <w:color w:val="222222"/>
        </w:rPr>
        <w:t xml:space="preserve">PwC refers to the PwC network and/or one or more of its member firms, each of which is a separate legal entity. Please see </w:t>
      </w:r>
      <w:hyperlink r:id="rId7" w:tgtFrame="_blank" w:history="1">
        <w:r w:rsidRPr="00200D46">
          <w:rPr>
            <w:rFonts w:ascii="Georgia" w:eastAsia="Times New Roman" w:hAnsi="Georgia"/>
            <w:i/>
            <w:iCs/>
            <w:color w:val="1155CC"/>
            <w:u w:val="single"/>
          </w:rPr>
          <w:t>www.pwc.com/structure</w:t>
        </w:r>
      </w:hyperlink>
      <w:r w:rsidRPr="00200D46">
        <w:rPr>
          <w:rFonts w:ascii="Georgia" w:eastAsia="Times New Roman" w:hAnsi="Georgia"/>
          <w:i/>
          <w:iCs/>
          <w:color w:val="222222"/>
        </w:rPr>
        <w:t xml:space="preserve"> for further details.</w:t>
      </w:r>
    </w:p>
    <w:p w14:paraId="01AED80C" w14:textId="77777777" w:rsidR="00200D46" w:rsidRPr="00200D46" w:rsidRDefault="00200D46" w:rsidP="00200D46">
      <w:pPr>
        <w:spacing w:line="240" w:lineRule="auto"/>
        <w:rPr>
          <w:rFonts w:ascii="Georgia" w:eastAsia="Times New Roman" w:hAnsi="Georgia"/>
        </w:rPr>
      </w:pPr>
      <w:r w:rsidRPr="00200D46">
        <w:rPr>
          <w:rFonts w:ascii="Georgia" w:eastAsia="Times New Roman" w:hAnsi="Georgia"/>
          <w:color w:val="222222"/>
        </w:rPr>
        <w:br/>
      </w:r>
      <w:r w:rsidRPr="00200D46">
        <w:rPr>
          <w:rFonts w:ascii="Georgia" w:eastAsia="Times New Roman" w:hAnsi="Georgia"/>
          <w:i/>
          <w:iCs/>
          <w:color w:val="222222"/>
        </w:rPr>
        <w:t>© 2020 PwC. All rights reserved</w:t>
      </w:r>
    </w:p>
    <w:p w14:paraId="2BA2E302" w14:textId="77777777" w:rsidR="00200D46" w:rsidRPr="00200D46" w:rsidRDefault="00200D46" w:rsidP="00200D46">
      <w:pPr>
        <w:spacing w:line="240" w:lineRule="auto"/>
        <w:rPr>
          <w:rFonts w:ascii="Georgia" w:hAnsi="Georgia"/>
          <w:b/>
        </w:rPr>
      </w:pPr>
      <w:r w:rsidRPr="00200D46">
        <w:rPr>
          <w:rFonts w:ascii="Georgia" w:hAnsi="Georgia"/>
          <w:b/>
        </w:rPr>
        <w:t>Media contacts</w:t>
      </w:r>
    </w:p>
    <w:p w14:paraId="22EB825F" w14:textId="77777777" w:rsidR="00200D46" w:rsidRPr="00200D46" w:rsidRDefault="00200D46" w:rsidP="00200D46">
      <w:pPr>
        <w:spacing w:line="240" w:lineRule="auto"/>
        <w:rPr>
          <w:rFonts w:ascii="Georgia" w:hAnsi="Georgia"/>
        </w:rPr>
      </w:pPr>
      <w:r w:rsidRPr="00200D46">
        <w:rPr>
          <w:rFonts w:ascii="Georgia" w:hAnsi="Georgia"/>
        </w:rPr>
        <w:t>Bontle Mnisi: Account Executive, Change the Conversation, South Africa</w:t>
      </w:r>
    </w:p>
    <w:p w14:paraId="3FF53B4C" w14:textId="77777777" w:rsidR="00200D46" w:rsidRPr="00200D46" w:rsidRDefault="00200D46" w:rsidP="00200D46">
      <w:pPr>
        <w:spacing w:line="240" w:lineRule="auto"/>
        <w:rPr>
          <w:rFonts w:ascii="Georgia" w:hAnsi="Georgia"/>
        </w:rPr>
      </w:pPr>
      <w:r w:rsidRPr="00200D46">
        <w:rPr>
          <w:rFonts w:ascii="Georgia" w:hAnsi="Georgia"/>
        </w:rPr>
        <w:t>Mobile: 076 2283796</w:t>
      </w:r>
    </w:p>
    <w:p w14:paraId="3DF0A2B5" w14:textId="77777777" w:rsidR="00200D46" w:rsidRPr="00200D46" w:rsidRDefault="00200D46" w:rsidP="00200D46">
      <w:pPr>
        <w:spacing w:line="240" w:lineRule="auto"/>
        <w:rPr>
          <w:rStyle w:val="Hyperlink"/>
          <w:rFonts w:ascii="Georgia" w:hAnsi="Georgia"/>
        </w:rPr>
      </w:pPr>
      <w:r w:rsidRPr="00200D46">
        <w:rPr>
          <w:rFonts w:ascii="Georgia" w:hAnsi="Georgia"/>
        </w:rPr>
        <w:t xml:space="preserve">Email: </w:t>
      </w:r>
      <w:hyperlink r:id="rId8" w:history="1">
        <w:r w:rsidRPr="00200D46">
          <w:rPr>
            <w:rStyle w:val="Hyperlink"/>
            <w:rFonts w:ascii="Georgia" w:hAnsi="Georgia"/>
          </w:rPr>
          <w:t>bontle@changetc.co.za</w:t>
        </w:r>
      </w:hyperlink>
    </w:p>
    <w:p w14:paraId="539EDA43" w14:textId="77777777" w:rsidR="00200D46" w:rsidRPr="00200D46" w:rsidRDefault="00200D46" w:rsidP="00200D46">
      <w:pPr>
        <w:spacing w:line="240" w:lineRule="auto"/>
        <w:rPr>
          <w:rFonts w:ascii="Georgia" w:hAnsi="Georgia"/>
        </w:rPr>
      </w:pPr>
      <w:r w:rsidRPr="00200D46">
        <w:rPr>
          <w:rFonts w:ascii="Georgia" w:hAnsi="Georgia"/>
        </w:rPr>
        <w:t>Or</w:t>
      </w:r>
    </w:p>
    <w:p w14:paraId="10281462" w14:textId="77777777" w:rsidR="00200D46" w:rsidRPr="00200D46" w:rsidRDefault="00200D46" w:rsidP="00200D46">
      <w:pPr>
        <w:spacing w:line="240" w:lineRule="auto"/>
        <w:rPr>
          <w:rFonts w:ascii="Georgia" w:hAnsi="Georgia"/>
        </w:rPr>
      </w:pPr>
      <w:r w:rsidRPr="00200D46">
        <w:rPr>
          <w:rFonts w:ascii="Georgia" w:hAnsi="Georgia"/>
        </w:rPr>
        <w:t>Jessica Mokoena: Account Executive, Change the Conversation, South Africa</w:t>
      </w:r>
    </w:p>
    <w:p w14:paraId="6CA2B77C" w14:textId="77777777" w:rsidR="00200D46" w:rsidRPr="00200D46" w:rsidRDefault="00200D46" w:rsidP="00200D46">
      <w:pPr>
        <w:spacing w:line="240" w:lineRule="auto"/>
        <w:rPr>
          <w:rFonts w:ascii="Georgia" w:hAnsi="Georgia"/>
        </w:rPr>
      </w:pPr>
      <w:r w:rsidRPr="00200D46">
        <w:rPr>
          <w:rFonts w:ascii="Georgia" w:hAnsi="Georgia"/>
        </w:rPr>
        <w:t>Mobile: 076 907 8017</w:t>
      </w:r>
    </w:p>
    <w:p w14:paraId="3965FF9E" w14:textId="77777777" w:rsidR="00200D46" w:rsidRPr="00200D46" w:rsidRDefault="00200D46" w:rsidP="00200D46">
      <w:pPr>
        <w:spacing w:line="240" w:lineRule="auto"/>
        <w:rPr>
          <w:rStyle w:val="Hyperlink"/>
          <w:rFonts w:ascii="Georgia" w:hAnsi="Georgia"/>
        </w:rPr>
      </w:pPr>
      <w:r w:rsidRPr="00200D46">
        <w:rPr>
          <w:rFonts w:ascii="Georgia" w:hAnsi="Georgia"/>
        </w:rPr>
        <w:t xml:space="preserve">Email: </w:t>
      </w:r>
      <w:hyperlink r:id="rId9" w:history="1">
        <w:r w:rsidRPr="00200D46">
          <w:rPr>
            <w:rStyle w:val="Hyperlink"/>
            <w:rFonts w:ascii="Georgia" w:hAnsi="Georgia"/>
          </w:rPr>
          <w:t>jessica@changetc.co.za</w:t>
        </w:r>
      </w:hyperlink>
    </w:p>
    <w:p w14:paraId="190C15B6" w14:textId="77777777" w:rsidR="00200D46" w:rsidRPr="00200D46" w:rsidRDefault="00200D46" w:rsidP="00200D46">
      <w:pPr>
        <w:spacing w:line="240" w:lineRule="auto"/>
        <w:rPr>
          <w:rFonts w:ascii="Georgia" w:hAnsi="Georgia"/>
        </w:rPr>
      </w:pPr>
      <w:r w:rsidRPr="00200D46">
        <w:rPr>
          <w:rFonts w:ascii="Georgia" w:hAnsi="Georgia"/>
        </w:rPr>
        <w:t>Or</w:t>
      </w:r>
    </w:p>
    <w:p w14:paraId="7FA99B44" w14:textId="77777777" w:rsidR="00200D46" w:rsidRPr="00200D46" w:rsidRDefault="00200D46" w:rsidP="00200D46">
      <w:pPr>
        <w:spacing w:line="240" w:lineRule="auto"/>
        <w:rPr>
          <w:rFonts w:ascii="Georgia" w:hAnsi="Georgia"/>
        </w:rPr>
      </w:pPr>
      <w:r w:rsidRPr="00200D46">
        <w:rPr>
          <w:rFonts w:ascii="Georgia" w:hAnsi="Georgia"/>
          <w:color w:val="000000" w:themeColor="text1"/>
        </w:rPr>
        <w:t>Sanchia Temkin: Media Relations, PwC Africa</w:t>
      </w:r>
    </w:p>
    <w:p w14:paraId="28B669BA" w14:textId="77777777" w:rsidR="00200D46" w:rsidRPr="00200D46" w:rsidRDefault="00200D46" w:rsidP="00200D46">
      <w:pPr>
        <w:spacing w:line="240" w:lineRule="auto"/>
        <w:rPr>
          <w:rFonts w:ascii="Georgia" w:hAnsi="Georgia"/>
          <w:color w:val="000000" w:themeColor="text1"/>
        </w:rPr>
      </w:pPr>
      <w:r w:rsidRPr="00200D46">
        <w:rPr>
          <w:rFonts w:ascii="Georgia" w:hAnsi="Georgia"/>
          <w:color w:val="000000" w:themeColor="text1"/>
        </w:rPr>
        <w:t>Mobile: 082 550 5146</w:t>
      </w:r>
    </w:p>
    <w:p w14:paraId="7902DF4E" w14:textId="77777777" w:rsidR="00200D46" w:rsidRPr="00200D46" w:rsidRDefault="00200D46" w:rsidP="00200D46">
      <w:pPr>
        <w:spacing w:line="240" w:lineRule="auto"/>
        <w:rPr>
          <w:rFonts w:ascii="Georgia" w:hAnsi="Georgia"/>
          <w:color w:val="000000" w:themeColor="text1"/>
        </w:rPr>
      </w:pPr>
      <w:r w:rsidRPr="00200D46">
        <w:rPr>
          <w:rFonts w:ascii="Georgia" w:hAnsi="Georgia"/>
          <w:color w:val="000000" w:themeColor="text1"/>
        </w:rPr>
        <w:t>Email: sanchia.temkin@pwc.com</w:t>
      </w:r>
    </w:p>
    <w:p w14:paraId="7E3DB243" w14:textId="77777777" w:rsidR="00200D46" w:rsidRPr="00200D46" w:rsidRDefault="00200D46" w:rsidP="00200D46">
      <w:pPr>
        <w:rPr>
          <w:rFonts w:ascii="Georgia" w:hAnsi="Georgia"/>
        </w:rPr>
      </w:pPr>
    </w:p>
    <w:p w14:paraId="1FECA928" w14:textId="77777777" w:rsidR="00200D46" w:rsidRPr="00200D46" w:rsidRDefault="00200D46" w:rsidP="00200D46">
      <w:pPr>
        <w:rPr>
          <w:rFonts w:ascii="Georgia" w:hAnsi="Georgia"/>
          <w:bCs/>
          <w:sz w:val="20"/>
          <w:szCs w:val="20"/>
        </w:rPr>
      </w:pPr>
    </w:p>
    <w:p w14:paraId="55221DE6" w14:textId="77777777" w:rsidR="00200D46" w:rsidRPr="00200D46" w:rsidRDefault="00200D46" w:rsidP="00200D46">
      <w:pPr>
        <w:rPr>
          <w:rFonts w:ascii="Georgia" w:hAnsi="Georgia"/>
          <w:lang w:val="en-US"/>
        </w:rPr>
      </w:pPr>
    </w:p>
    <w:p w14:paraId="081A46F2" w14:textId="77777777" w:rsidR="00200D46" w:rsidRPr="00200D46" w:rsidRDefault="00200D46" w:rsidP="00BA67EF">
      <w:pPr>
        <w:rPr>
          <w:rFonts w:ascii="Georgia" w:hAnsi="Georgia"/>
          <w:sz w:val="20"/>
          <w:szCs w:val="20"/>
        </w:rPr>
      </w:pPr>
    </w:p>
    <w:bookmarkEnd w:id="0"/>
    <w:p w14:paraId="6C7FC901" w14:textId="77777777" w:rsidR="00BA67EF" w:rsidRPr="00200D46" w:rsidRDefault="00BA67EF" w:rsidP="00BA67EF">
      <w:pPr>
        <w:rPr>
          <w:rFonts w:ascii="Georgia" w:hAnsi="Georgia"/>
          <w:sz w:val="20"/>
          <w:szCs w:val="20"/>
        </w:rPr>
      </w:pPr>
    </w:p>
    <w:p w14:paraId="675F659A" w14:textId="77777777" w:rsidR="00405F4B" w:rsidRPr="00200D46" w:rsidRDefault="00405F4B">
      <w:pPr>
        <w:rPr>
          <w:rFonts w:ascii="Georgia" w:hAnsi="Georgia"/>
        </w:rPr>
      </w:pPr>
    </w:p>
    <w:sectPr w:rsidR="00405F4B" w:rsidRPr="00200D46" w:rsidSect="003E0432">
      <w:pgSz w:w="12240" w:h="15840"/>
      <w:pgMar w:top="1440"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DE"/>
    <w:rsid w:val="00200D46"/>
    <w:rsid w:val="00405F4B"/>
    <w:rsid w:val="007859DE"/>
    <w:rsid w:val="00AF01AD"/>
    <w:rsid w:val="00B16691"/>
    <w:rsid w:val="00BA67E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AB723"/>
  <w15:chartTrackingRefBased/>
  <w15:docId w15:val="{E2F2AED0-6066-45EE-8E62-30333E1F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7EF"/>
  </w:style>
  <w:style w:type="paragraph" w:styleId="Heading1">
    <w:name w:val="heading 1"/>
    <w:link w:val="Heading1Char"/>
    <w:uiPriority w:val="9"/>
    <w:qFormat/>
    <w:rsid w:val="00BA67EF"/>
    <w:pPr>
      <w:keepNext/>
      <w:keepLines/>
      <w:spacing w:after="480" w:line="600" w:lineRule="atLeast"/>
      <w:outlineLvl w:val="0"/>
    </w:pPr>
    <w:rPr>
      <w:rFonts w:ascii="Georgia" w:eastAsiaTheme="majorEastAsia" w:hAnsi="Georgia" w:cstheme="majorBidi"/>
      <w:b/>
      <w:bCs/>
      <w:i/>
      <w:color w:val="000000" w:themeColor="text1"/>
      <w:sz w:val="56"/>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7EF"/>
    <w:rPr>
      <w:rFonts w:ascii="Georgia" w:eastAsiaTheme="majorEastAsia" w:hAnsi="Georgia" w:cstheme="majorBidi"/>
      <w:b/>
      <w:bCs/>
      <w:i/>
      <w:color w:val="000000" w:themeColor="text1"/>
      <w:sz w:val="56"/>
      <w:szCs w:val="28"/>
      <w:lang w:val="en-GB"/>
    </w:rPr>
  </w:style>
  <w:style w:type="paragraph" w:styleId="NormalWeb">
    <w:name w:val="Normal (Web)"/>
    <w:basedOn w:val="Normal"/>
    <w:uiPriority w:val="99"/>
    <w:unhideWhenUsed/>
    <w:rsid w:val="00200D46"/>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semiHidden/>
    <w:unhideWhenUsed/>
    <w:rsid w:val="00200D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ntle@changetc.co.za" TargetMode="External"/><Relationship Id="rId3" Type="http://schemas.openxmlformats.org/officeDocument/2006/relationships/webSettings" Target="webSettings.xml"/><Relationship Id="rId7" Type="http://schemas.openxmlformats.org/officeDocument/2006/relationships/hyperlink" Target="http://www.pwc.com/structu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wc.com/" TargetMode="Externa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jessica@changetc.co.z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ZATPDCFPRPWV001\Common$\Consulting\Strategy&amp;\06_The%20News\Media%20articles\Business%20confidence\Business%20confidence%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Georgia" panose="02040502050405020303" pitchFamily="18" charset="0"/>
                <a:ea typeface="+mn-ea"/>
                <a:cs typeface="+mn-cs"/>
              </a:defRPr>
            </a:pPr>
            <a:r>
              <a:rPr lang="en-ZA" sz="1400" b="0" i="0" baseline="0">
                <a:effectLst/>
              </a:rPr>
              <a:t>RMB/BER Business Confidence Index</a:t>
            </a:r>
            <a:br>
              <a:rPr lang="en-ZA" sz="1400" b="0" i="0" baseline="0">
                <a:effectLst/>
              </a:rPr>
            </a:br>
            <a:r>
              <a:rPr lang="en-ZA" sz="1400" b="0" i="0" baseline="0">
                <a:effectLst/>
              </a:rPr>
              <a:t>(above 50 = positive; below 50 = negative)</a:t>
            </a:r>
            <a:endParaRPr lang="en-ZA" sz="1400">
              <a:effectLst/>
            </a:endParaRPr>
          </a:p>
        </c:rich>
      </c:tx>
      <c:layout>
        <c:manualLayout>
          <c:xMode val="edge"/>
          <c:yMode val="edge"/>
          <c:x val="0.14643044619422571"/>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Georgia" panose="02040502050405020303" pitchFamily="18" charset="0"/>
              <a:ea typeface="+mn-ea"/>
              <a:cs typeface="+mn-cs"/>
            </a:defRPr>
          </a:pPr>
          <a:endParaRPr lang="en-US"/>
        </a:p>
      </c:txPr>
    </c:title>
    <c:autoTitleDeleted val="0"/>
    <c:plotArea>
      <c:layout>
        <c:manualLayout>
          <c:layoutTarget val="inner"/>
          <c:xMode val="edge"/>
          <c:yMode val="edge"/>
          <c:x val="7.5338363954505688E-2"/>
          <c:y val="0.18435185185185182"/>
          <c:w val="0.89410608048993878"/>
          <c:h val="0.57365249978673305"/>
        </c:manualLayout>
      </c:layout>
      <c:lineChart>
        <c:grouping val="standard"/>
        <c:varyColors val="0"/>
        <c:ser>
          <c:idx val="0"/>
          <c:order val="0"/>
          <c:spPr>
            <a:ln w="28575" cap="rnd">
              <a:solidFill>
                <a:schemeClr val="accent1"/>
              </a:solidFill>
              <a:round/>
            </a:ln>
            <a:effectLst/>
          </c:spPr>
          <c:marker>
            <c:symbol val="none"/>
          </c:marker>
          <c:cat>
            <c:strRef>
              <c:f>BCI!$A$103:$A$185</c:f>
              <c:strCache>
                <c:ptCount val="83"/>
                <c:pt idx="0">
                  <c:v>2000Q1</c:v>
                </c:pt>
                <c:pt idx="1">
                  <c:v>2000Q2</c:v>
                </c:pt>
                <c:pt idx="2">
                  <c:v>2000Q3</c:v>
                </c:pt>
                <c:pt idx="3">
                  <c:v>2000Q4</c:v>
                </c:pt>
                <c:pt idx="4">
                  <c:v>2001Q1</c:v>
                </c:pt>
                <c:pt idx="5">
                  <c:v>2001Q2</c:v>
                </c:pt>
                <c:pt idx="6">
                  <c:v>2001Q3</c:v>
                </c:pt>
                <c:pt idx="7">
                  <c:v>2001Q4</c:v>
                </c:pt>
                <c:pt idx="8">
                  <c:v>2002Q1</c:v>
                </c:pt>
                <c:pt idx="9">
                  <c:v>2002Q2</c:v>
                </c:pt>
                <c:pt idx="10">
                  <c:v>2002Q3</c:v>
                </c:pt>
                <c:pt idx="11">
                  <c:v>2002Q4</c:v>
                </c:pt>
                <c:pt idx="12">
                  <c:v>2003Q1</c:v>
                </c:pt>
                <c:pt idx="13">
                  <c:v>2003Q2</c:v>
                </c:pt>
                <c:pt idx="14">
                  <c:v>2003Q3</c:v>
                </c:pt>
                <c:pt idx="15">
                  <c:v>2003Q4</c:v>
                </c:pt>
                <c:pt idx="16">
                  <c:v>2004Q1</c:v>
                </c:pt>
                <c:pt idx="17">
                  <c:v>2004Q2</c:v>
                </c:pt>
                <c:pt idx="18">
                  <c:v>2004Q3</c:v>
                </c:pt>
                <c:pt idx="19">
                  <c:v>2004Q4</c:v>
                </c:pt>
                <c:pt idx="20">
                  <c:v>2005Q1</c:v>
                </c:pt>
                <c:pt idx="21">
                  <c:v>2005Q2</c:v>
                </c:pt>
                <c:pt idx="22">
                  <c:v>2005Q3</c:v>
                </c:pt>
                <c:pt idx="23">
                  <c:v>2005Q4</c:v>
                </c:pt>
                <c:pt idx="24">
                  <c:v>2006Q1</c:v>
                </c:pt>
                <c:pt idx="25">
                  <c:v>2006Q2</c:v>
                </c:pt>
                <c:pt idx="26">
                  <c:v>2006Q3</c:v>
                </c:pt>
                <c:pt idx="27">
                  <c:v>2006Q4</c:v>
                </c:pt>
                <c:pt idx="28">
                  <c:v>2007Q1</c:v>
                </c:pt>
                <c:pt idx="29">
                  <c:v>2007Q2</c:v>
                </c:pt>
                <c:pt idx="30">
                  <c:v>2007Q3</c:v>
                </c:pt>
                <c:pt idx="31">
                  <c:v>2007Q4</c:v>
                </c:pt>
                <c:pt idx="32">
                  <c:v>2008Q1</c:v>
                </c:pt>
                <c:pt idx="33">
                  <c:v>2008Q2</c:v>
                </c:pt>
                <c:pt idx="34">
                  <c:v>2008Q3</c:v>
                </c:pt>
                <c:pt idx="35">
                  <c:v>2008Q4</c:v>
                </c:pt>
                <c:pt idx="36">
                  <c:v>2009Q1</c:v>
                </c:pt>
                <c:pt idx="37">
                  <c:v>2009Q2</c:v>
                </c:pt>
                <c:pt idx="38">
                  <c:v>2009Q3</c:v>
                </c:pt>
                <c:pt idx="39">
                  <c:v>2009Q4</c:v>
                </c:pt>
                <c:pt idx="40">
                  <c:v>2010Q1</c:v>
                </c:pt>
                <c:pt idx="41">
                  <c:v>2010Q2</c:v>
                </c:pt>
                <c:pt idx="42">
                  <c:v>2010Q3</c:v>
                </c:pt>
                <c:pt idx="43">
                  <c:v>2010Q4</c:v>
                </c:pt>
                <c:pt idx="44">
                  <c:v>2011Q1</c:v>
                </c:pt>
                <c:pt idx="45">
                  <c:v>2011Q2</c:v>
                </c:pt>
                <c:pt idx="46">
                  <c:v>2011Q3</c:v>
                </c:pt>
                <c:pt idx="47">
                  <c:v>2011Q4</c:v>
                </c:pt>
                <c:pt idx="48">
                  <c:v>2012Q1</c:v>
                </c:pt>
                <c:pt idx="49">
                  <c:v>2012Q2</c:v>
                </c:pt>
                <c:pt idx="50">
                  <c:v>2012Q3</c:v>
                </c:pt>
                <c:pt idx="51">
                  <c:v>2012Q4</c:v>
                </c:pt>
                <c:pt idx="52">
                  <c:v>2013Q1</c:v>
                </c:pt>
                <c:pt idx="53">
                  <c:v>2013Q2</c:v>
                </c:pt>
                <c:pt idx="54">
                  <c:v>2013Q3</c:v>
                </c:pt>
                <c:pt idx="55">
                  <c:v>2013Q4</c:v>
                </c:pt>
                <c:pt idx="56">
                  <c:v>2014Q1</c:v>
                </c:pt>
                <c:pt idx="57">
                  <c:v>2014Q2</c:v>
                </c:pt>
                <c:pt idx="58">
                  <c:v>2014Q3</c:v>
                </c:pt>
                <c:pt idx="59">
                  <c:v>2014Q4</c:v>
                </c:pt>
                <c:pt idx="60">
                  <c:v>2015Q1</c:v>
                </c:pt>
                <c:pt idx="61">
                  <c:v>2015Q2</c:v>
                </c:pt>
                <c:pt idx="62">
                  <c:v>2015Q3</c:v>
                </c:pt>
                <c:pt idx="63">
                  <c:v>2015Q4</c:v>
                </c:pt>
                <c:pt idx="64">
                  <c:v>2016Q1</c:v>
                </c:pt>
                <c:pt idx="65">
                  <c:v>2016Q2</c:v>
                </c:pt>
                <c:pt idx="66">
                  <c:v>2016Q3</c:v>
                </c:pt>
                <c:pt idx="67">
                  <c:v>2016Q4</c:v>
                </c:pt>
                <c:pt idx="68">
                  <c:v>2017Q1</c:v>
                </c:pt>
                <c:pt idx="69">
                  <c:v>2017Q2</c:v>
                </c:pt>
                <c:pt idx="70">
                  <c:v>2017Q3</c:v>
                </c:pt>
                <c:pt idx="71">
                  <c:v>2017Q4</c:v>
                </c:pt>
                <c:pt idx="72">
                  <c:v>2018Q1</c:v>
                </c:pt>
                <c:pt idx="73">
                  <c:v>2018Q2</c:v>
                </c:pt>
                <c:pt idx="74">
                  <c:v>2018Q3</c:v>
                </c:pt>
                <c:pt idx="75">
                  <c:v>2018Q4</c:v>
                </c:pt>
                <c:pt idx="76">
                  <c:v>2019Q1</c:v>
                </c:pt>
                <c:pt idx="77">
                  <c:v>2019Q2</c:v>
                </c:pt>
                <c:pt idx="78">
                  <c:v>2019Q3</c:v>
                </c:pt>
                <c:pt idx="79">
                  <c:v>2019Q4</c:v>
                </c:pt>
                <c:pt idx="80">
                  <c:v>2020Q1</c:v>
                </c:pt>
                <c:pt idx="81">
                  <c:v>2020Q2</c:v>
                </c:pt>
                <c:pt idx="82">
                  <c:v>2020Q3</c:v>
                </c:pt>
              </c:strCache>
            </c:strRef>
          </c:cat>
          <c:val>
            <c:numRef>
              <c:f>BCI!$B$103:$B$185</c:f>
              <c:numCache>
                <c:formatCode>General</c:formatCode>
                <c:ptCount val="83"/>
                <c:pt idx="0">
                  <c:v>41</c:v>
                </c:pt>
                <c:pt idx="1">
                  <c:v>34</c:v>
                </c:pt>
                <c:pt idx="2">
                  <c:v>37</c:v>
                </c:pt>
                <c:pt idx="3">
                  <c:v>28</c:v>
                </c:pt>
                <c:pt idx="4">
                  <c:v>34</c:v>
                </c:pt>
                <c:pt idx="5">
                  <c:v>35</c:v>
                </c:pt>
                <c:pt idx="6">
                  <c:v>36</c:v>
                </c:pt>
                <c:pt idx="7">
                  <c:v>40</c:v>
                </c:pt>
                <c:pt idx="8">
                  <c:v>52</c:v>
                </c:pt>
                <c:pt idx="9">
                  <c:v>60</c:v>
                </c:pt>
                <c:pt idx="10">
                  <c:v>62</c:v>
                </c:pt>
                <c:pt idx="11">
                  <c:v>60</c:v>
                </c:pt>
                <c:pt idx="12">
                  <c:v>61</c:v>
                </c:pt>
                <c:pt idx="13">
                  <c:v>47</c:v>
                </c:pt>
                <c:pt idx="14">
                  <c:v>54</c:v>
                </c:pt>
                <c:pt idx="15">
                  <c:v>61</c:v>
                </c:pt>
                <c:pt idx="16">
                  <c:v>66</c:v>
                </c:pt>
                <c:pt idx="17">
                  <c:v>66</c:v>
                </c:pt>
                <c:pt idx="18">
                  <c:v>74</c:v>
                </c:pt>
                <c:pt idx="19">
                  <c:v>82</c:v>
                </c:pt>
                <c:pt idx="20">
                  <c:v>74</c:v>
                </c:pt>
                <c:pt idx="21">
                  <c:v>75</c:v>
                </c:pt>
                <c:pt idx="22">
                  <c:v>78</c:v>
                </c:pt>
                <c:pt idx="23">
                  <c:v>79</c:v>
                </c:pt>
                <c:pt idx="24">
                  <c:v>81</c:v>
                </c:pt>
                <c:pt idx="25">
                  <c:v>78</c:v>
                </c:pt>
                <c:pt idx="26">
                  <c:v>82</c:v>
                </c:pt>
                <c:pt idx="27">
                  <c:v>81</c:v>
                </c:pt>
                <c:pt idx="28">
                  <c:v>80</c:v>
                </c:pt>
                <c:pt idx="29">
                  <c:v>76</c:v>
                </c:pt>
                <c:pt idx="30">
                  <c:v>67</c:v>
                </c:pt>
                <c:pt idx="31">
                  <c:v>66</c:v>
                </c:pt>
                <c:pt idx="32">
                  <c:v>50</c:v>
                </c:pt>
                <c:pt idx="33">
                  <c:v>45</c:v>
                </c:pt>
                <c:pt idx="34">
                  <c:v>37</c:v>
                </c:pt>
                <c:pt idx="35">
                  <c:v>33</c:v>
                </c:pt>
                <c:pt idx="36">
                  <c:v>27</c:v>
                </c:pt>
                <c:pt idx="37">
                  <c:v>26</c:v>
                </c:pt>
                <c:pt idx="38">
                  <c:v>25</c:v>
                </c:pt>
                <c:pt idx="39">
                  <c:v>30</c:v>
                </c:pt>
                <c:pt idx="40">
                  <c:v>42</c:v>
                </c:pt>
                <c:pt idx="41">
                  <c:v>37</c:v>
                </c:pt>
                <c:pt idx="42">
                  <c:v>42</c:v>
                </c:pt>
                <c:pt idx="43">
                  <c:v>41</c:v>
                </c:pt>
                <c:pt idx="44">
                  <c:v>51</c:v>
                </c:pt>
                <c:pt idx="45">
                  <c:v>42</c:v>
                </c:pt>
                <c:pt idx="46">
                  <c:v>36</c:v>
                </c:pt>
                <c:pt idx="47">
                  <c:v>39</c:v>
                </c:pt>
                <c:pt idx="48">
                  <c:v>50</c:v>
                </c:pt>
                <c:pt idx="49">
                  <c:v>42</c:v>
                </c:pt>
                <c:pt idx="50">
                  <c:v>45</c:v>
                </c:pt>
                <c:pt idx="51">
                  <c:v>42</c:v>
                </c:pt>
                <c:pt idx="52">
                  <c:v>47</c:v>
                </c:pt>
                <c:pt idx="53">
                  <c:v>46</c:v>
                </c:pt>
                <c:pt idx="54">
                  <c:v>42</c:v>
                </c:pt>
                <c:pt idx="55">
                  <c:v>43</c:v>
                </c:pt>
                <c:pt idx="56">
                  <c:v>39</c:v>
                </c:pt>
                <c:pt idx="57">
                  <c:v>43</c:v>
                </c:pt>
                <c:pt idx="58">
                  <c:v>45</c:v>
                </c:pt>
                <c:pt idx="59">
                  <c:v>52</c:v>
                </c:pt>
                <c:pt idx="60">
                  <c:v>46</c:v>
                </c:pt>
                <c:pt idx="61">
                  <c:v>42</c:v>
                </c:pt>
                <c:pt idx="62">
                  <c:v>37</c:v>
                </c:pt>
                <c:pt idx="63">
                  <c:v>36</c:v>
                </c:pt>
                <c:pt idx="64">
                  <c:v>35</c:v>
                </c:pt>
                <c:pt idx="65">
                  <c:v>32</c:v>
                </c:pt>
                <c:pt idx="66">
                  <c:v>40</c:v>
                </c:pt>
                <c:pt idx="67">
                  <c:v>39</c:v>
                </c:pt>
                <c:pt idx="68">
                  <c:v>37</c:v>
                </c:pt>
                <c:pt idx="69">
                  <c:v>27</c:v>
                </c:pt>
                <c:pt idx="70">
                  <c:v>32</c:v>
                </c:pt>
                <c:pt idx="71">
                  <c:v>33</c:v>
                </c:pt>
                <c:pt idx="72">
                  <c:v>44</c:v>
                </c:pt>
                <c:pt idx="73">
                  <c:v>40</c:v>
                </c:pt>
                <c:pt idx="74">
                  <c:v>34</c:v>
                </c:pt>
                <c:pt idx="75">
                  <c:v>31</c:v>
                </c:pt>
                <c:pt idx="76">
                  <c:v>28</c:v>
                </c:pt>
                <c:pt idx="77">
                  <c:v>28</c:v>
                </c:pt>
                <c:pt idx="78">
                  <c:v>21</c:v>
                </c:pt>
                <c:pt idx="79">
                  <c:v>26</c:v>
                </c:pt>
                <c:pt idx="80">
                  <c:v>18</c:v>
                </c:pt>
                <c:pt idx="81">
                  <c:v>5</c:v>
                </c:pt>
                <c:pt idx="82">
                  <c:v>24</c:v>
                </c:pt>
              </c:numCache>
            </c:numRef>
          </c:val>
          <c:smooth val="0"/>
          <c:extLst>
            <c:ext xmlns:c16="http://schemas.microsoft.com/office/drawing/2014/chart" uri="{C3380CC4-5D6E-409C-BE32-E72D297353CC}">
              <c16:uniqueId val="{00000000-E6A1-4843-9424-BAD4D5A20B67}"/>
            </c:ext>
          </c:extLst>
        </c:ser>
        <c:dLbls>
          <c:showLegendKey val="0"/>
          <c:showVal val="0"/>
          <c:showCatName val="0"/>
          <c:showSerName val="0"/>
          <c:showPercent val="0"/>
          <c:showBubbleSize val="0"/>
        </c:dLbls>
        <c:smooth val="0"/>
        <c:axId val="479589344"/>
        <c:axId val="479588360"/>
      </c:lineChart>
      <c:catAx>
        <c:axId val="479589344"/>
        <c:scaling>
          <c:orientation val="minMax"/>
        </c:scaling>
        <c:delete val="0"/>
        <c:axPos val="b"/>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479588360"/>
        <c:crosses val="autoZero"/>
        <c:auto val="1"/>
        <c:lblAlgn val="ctr"/>
        <c:lblOffset val="100"/>
        <c:noMultiLvlLbl val="0"/>
      </c:catAx>
      <c:valAx>
        <c:axId val="479588360"/>
        <c:scaling>
          <c:orientation val="minMax"/>
          <c:max val="100"/>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479589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Georgia" panose="02040502050405020303"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746</Words>
  <Characters>4253</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Sanchia Temkin</dc:creator>
  <cp:keywords/>
  <dc:description/>
  <cp:lastModifiedBy>Sanchia Temkin</cp:lastModifiedBy>
  <cp:revision>5</cp:revision>
  <dcterms:created xsi:type="dcterms:W3CDTF">2020-09-09T12:42:00Z</dcterms:created>
  <dcterms:modified xsi:type="dcterms:W3CDTF">2020-09-09T12:45:00Z</dcterms:modified>
</cp:coreProperties>
</file>