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487E8" w14:textId="01512562" w:rsidR="00243081" w:rsidRDefault="00D108C2" w:rsidP="00B32D6E">
      <w:pPr>
        <w:spacing w:after="120" w:line="240" w:lineRule="auto"/>
        <w:rPr>
          <w:rFonts w:ascii="Verdana" w:hAnsi="Verdana"/>
          <w:sz w:val="24"/>
          <w:szCs w:val="24"/>
        </w:rPr>
      </w:pPr>
      <w:r>
        <w:rPr>
          <w:rFonts w:ascii="Verdana" w:hAnsi="Verdana"/>
          <w:noProof/>
          <w:lang w:eastAsia="en-ZA"/>
        </w:rPr>
        <w:drawing>
          <wp:inline distT="0" distB="0" distL="0" distR="0" wp14:anchorId="77AE5B01" wp14:editId="77AE5B02">
            <wp:extent cx="3562985" cy="750570"/>
            <wp:effectExtent l="0" t="0" r="0" b="0"/>
            <wp:docPr id="1" name="Picture 1"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8762" cy="751787"/>
                    </a:xfrm>
                    <a:prstGeom prst="rect">
                      <a:avLst/>
                    </a:prstGeom>
                    <a:noFill/>
                    <a:ln>
                      <a:noFill/>
                    </a:ln>
                  </pic:spPr>
                </pic:pic>
              </a:graphicData>
            </a:graphic>
          </wp:inline>
        </w:drawing>
      </w:r>
      <w:bookmarkStart w:id="0" w:name="OLE_LINK1"/>
    </w:p>
    <w:p w14:paraId="50918921" w14:textId="77777777" w:rsidR="00117F06" w:rsidRPr="00117F06" w:rsidRDefault="00117F06" w:rsidP="00117F06"/>
    <w:p w14:paraId="77AE5507" w14:textId="05E5844F" w:rsidR="00D108C2" w:rsidRPr="006D7553" w:rsidRDefault="00143F46" w:rsidP="00587729">
      <w:pPr>
        <w:pStyle w:val="Heading1"/>
        <w:spacing w:before="0" w:after="0" w:line="240" w:lineRule="atLeast"/>
        <w:ind w:right="454"/>
        <w:rPr>
          <w:rFonts w:ascii="Verdana" w:hAnsi="Verdana"/>
          <w:sz w:val="24"/>
          <w:szCs w:val="24"/>
        </w:rPr>
      </w:pPr>
      <w:r>
        <w:rPr>
          <w:rFonts w:ascii="Verdana" w:hAnsi="Verdana"/>
          <w:sz w:val="24"/>
          <w:szCs w:val="24"/>
        </w:rPr>
        <w:t>JUNE</w:t>
      </w:r>
      <w:r w:rsidR="00D108C2" w:rsidRPr="006D7553">
        <w:rPr>
          <w:rFonts w:ascii="Verdana" w:hAnsi="Verdana"/>
          <w:sz w:val="24"/>
          <w:szCs w:val="24"/>
        </w:rPr>
        <w:t xml:space="preserve"> 20</w:t>
      </w:r>
      <w:r w:rsidR="006E4191">
        <w:rPr>
          <w:rFonts w:ascii="Verdana" w:hAnsi="Verdana"/>
          <w:sz w:val="24"/>
          <w:szCs w:val="24"/>
        </w:rPr>
        <w:t>20</w:t>
      </w:r>
      <w:r w:rsidR="00D108C2" w:rsidRPr="006D7553">
        <w:rPr>
          <w:rFonts w:ascii="Verdana" w:hAnsi="Verdana"/>
          <w:sz w:val="24"/>
          <w:szCs w:val="24"/>
        </w:rPr>
        <w:t xml:space="preserve"> – etfSA.co.za MONTHLY SOUTH AFRICAN </w:t>
      </w:r>
      <w:r w:rsidR="00D108C2" w:rsidRPr="006D7553">
        <w:rPr>
          <w:rFonts w:ascii="Verdana" w:hAnsi="Verdana"/>
          <w:caps/>
          <w:sz w:val="24"/>
          <w:szCs w:val="24"/>
        </w:rPr>
        <w:t xml:space="preserve">etf, ETN and UNIT TRUST index tracking </w:t>
      </w:r>
      <w:r w:rsidR="00D108C2" w:rsidRPr="006D7553">
        <w:rPr>
          <w:rFonts w:ascii="Verdana" w:hAnsi="Verdana"/>
          <w:color w:val="FF0000"/>
          <w:sz w:val="24"/>
          <w:szCs w:val="24"/>
          <w:u w:val="single"/>
        </w:rPr>
        <w:t>PERFORMANCE SURVEY</w:t>
      </w:r>
    </w:p>
    <w:p w14:paraId="77AE5508" w14:textId="77777777" w:rsidR="00D108C2" w:rsidRPr="006D7553" w:rsidRDefault="00D108C2" w:rsidP="00587729">
      <w:pPr>
        <w:pStyle w:val="Heading1"/>
        <w:spacing w:before="120" w:after="0" w:line="240" w:lineRule="atLeast"/>
        <w:ind w:right="454"/>
        <w:rPr>
          <w:rFonts w:ascii="Verdana" w:hAnsi="Verdana"/>
          <w:sz w:val="22"/>
          <w:szCs w:val="22"/>
        </w:rPr>
      </w:pPr>
      <w:bookmarkStart w:id="1" w:name="OLE_LINK6"/>
      <w:bookmarkStart w:id="2" w:name="OLE_LINK7"/>
      <w:r w:rsidRPr="006D7553">
        <w:rPr>
          <w:rFonts w:ascii="Verdana" w:hAnsi="Verdana"/>
          <w:sz w:val="22"/>
          <w:szCs w:val="22"/>
        </w:rPr>
        <w:t>Mike Brown, Managing Director, etfSA.co.za</w:t>
      </w:r>
    </w:p>
    <w:bookmarkEnd w:id="0"/>
    <w:bookmarkEnd w:id="1"/>
    <w:bookmarkEnd w:id="2"/>
    <w:p w14:paraId="01CCD412" w14:textId="77777777" w:rsidR="00117F06" w:rsidRDefault="00117F06" w:rsidP="00252077">
      <w:pPr>
        <w:pStyle w:val="BodyText2"/>
        <w:spacing w:after="0" w:line="300" w:lineRule="atLeast"/>
        <w:ind w:right="454"/>
        <w:jc w:val="both"/>
        <w:rPr>
          <w:rFonts w:ascii="Verdana" w:hAnsi="Verdana"/>
        </w:rPr>
      </w:pPr>
    </w:p>
    <w:p w14:paraId="383C2948" w14:textId="69476DB3" w:rsidR="0061409B" w:rsidRDefault="00D16230" w:rsidP="007E1BE5">
      <w:pPr>
        <w:pStyle w:val="BodyText2"/>
        <w:spacing w:after="0" w:line="340" w:lineRule="atLeast"/>
        <w:ind w:right="454"/>
        <w:jc w:val="both"/>
        <w:rPr>
          <w:rFonts w:ascii="Verdana" w:hAnsi="Verdana"/>
          <w:bCs/>
          <w:caps/>
        </w:rPr>
      </w:pPr>
      <w:r w:rsidRPr="00117F06">
        <w:rPr>
          <w:rFonts w:ascii="Verdana" w:hAnsi="Verdana"/>
          <w:sz w:val="21"/>
          <w:szCs w:val="21"/>
        </w:rPr>
        <w:t xml:space="preserve">The </w:t>
      </w:r>
      <w:r w:rsidR="00E744F9">
        <w:rPr>
          <w:rFonts w:ascii="Verdana" w:hAnsi="Verdana"/>
          <w:sz w:val="21"/>
          <w:szCs w:val="21"/>
        </w:rPr>
        <w:t xml:space="preserve">total </w:t>
      </w:r>
      <w:r w:rsidRPr="00117F06">
        <w:rPr>
          <w:rFonts w:ascii="Verdana" w:hAnsi="Verdana"/>
          <w:sz w:val="21"/>
          <w:szCs w:val="21"/>
        </w:rPr>
        <w:t xml:space="preserve">Performance Survey for the period ended </w:t>
      </w:r>
      <w:r w:rsidR="00143F46">
        <w:rPr>
          <w:rFonts w:ascii="Verdana" w:hAnsi="Verdana"/>
          <w:sz w:val="21"/>
          <w:szCs w:val="21"/>
        </w:rPr>
        <w:t>30</w:t>
      </w:r>
      <w:r w:rsidR="004D76CC">
        <w:rPr>
          <w:rFonts w:ascii="Verdana" w:hAnsi="Verdana"/>
          <w:sz w:val="21"/>
          <w:szCs w:val="21"/>
        </w:rPr>
        <w:t xml:space="preserve"> </w:t>
      </w:r>
      <w:r w:rsidR="00143F46">
        <w:rPr>
          <w:rFonts w:ascii="Verdana" w:hAnsi="Verdana"/>
          <w:sz w:val="21"/>
          <w:szCs w:val="21"/>
        </w:rPr>
        <w:t>June</w:t>
      </w:r>
      <w:r w:rsidRPr="00117F06">
        <w:rPr>
          <w:rFonts w:ascii="Verdana" w:hAnsi="Verdana"/>
          <w:sz w:val="21"/>
          <w:szCs w:val="21"/>
        </w:rPr>
        <w:t xml:space="preserve"> 20</w:t>
      </w:r>
      <w:r w:rsidR="006177E2">
        <w:rPr>
          <w:rFonts w:ascii="Verdana" w:hAnsi="Verdana"/>
          <w:sz w:val="21"/>
          <w:szCs w:val="21"/>
        </w:rPr>
        <w:t>20</w:t>
      </w:r>
      <w:r w:rsidRPr="00117F06">
        <w:rPr>
          <w:rFonts w:ascii="Verdana" w:hAnsi="Verdana"/>
          <w:sz w:val="21"/>
          <w:szCs w:val="21"/>
        </w:rPr>
        <w:t xml:space="preserve">, is attached.  </w:t>
      </w:r>
    </w:p>
    <w:p w14:paraId="149A03A9" w14:textId="77777777" w:rsidR="000C4209" w:rsidRPr="00E744F9" w:rsidRDefault="000C4209" w:rsidP="007E1BE5">
      <w:pPr>
        <w:pStyle w:val="BodyText2"/>
        <w:spacing w:after="0" w:line="340" w:lineRule="atLeast"/>
        <w:jc w:val="center"/>
        <w:rPr>
          <w:rFonts w:ascii="Verdana" w:hAnsi="Verdana"/>
          <w:bCs/>
          <w:caps/>
        </w:rPr>
      </w:pPr>
    </w:p>
    <w:p w14:paraId="140665D9" w14:textId="3A498B7F" w:rsidR="00E744F9" w:rsidRPr="00E744F9" w:rsidRDefault="00E744F9" w:rsidP="007E1BE5">
      <w:pPr>
        <w:pStyle w:val="BodyText2"/>
        <w:spacing w:after="0" w:line="340" w:lineRule="atLeast"/>
        <w:ind w:right="454"/>
        <w:jc w:val="both"/>
        <w:rPr>
          <w:rFonts w:ascii="Verdana" w:hAnsi="Verdana"/>
          <w:color w:val="C00000"/>
          <w:sz w:val="21"/>
          <w:szCs w:val="21"/>
        </w:rPr>
      </w:pPr>
      <w:r>
        <w:rPr>
          <w:rFonts w:ascii="Verdana" w:hAnsi="Verdana"/>
          <w:b/>
          <w:bCs/>
          <w:color w:val="C00000"/>
          <w:sz w:val="21"/>
          <w:szCs w:val="21"/>
        </w:rPr>
        <w:t>Ten</w:t>
      </w:r>
      <w:r w:rsidRPr="00E744F9">
        <w:rPr>
          <w:rFonts w:ascii="Verdana" w:hAnsi="Verdana"/>
          <w:b/>
          <w:bCs/>
          <w:color w:val="C00000"/>
          <w:sz w:val="21"/>
          <w:szCs w:val="21"/>
        </w:rPr>
        <w:t xml:space="preserve"> Years</w:t>
      </w:r>
    </w:p>
    <w:p w14:paraId="547DE077" w14:textId="639D3BD1" w:rsidR="00E744F9" w:rsidRDefault="00E744F9" w:rsidP="007E1BE5">
      <w:pPr>
        <w:pStyle w:val="BodyText2"/>
        <w:spacing w:after="0" w:line="340" w:lineRule="atLeast"/>
        <w:ind w:right="454"/>
        <w:jc w:val="both"/>
        <w:rPr>
          <w:rFonts w:ascii="Verdana" w:hAnsi="Verdana"/>
          <w:sz w:val="21"/>
          <w:szCs w:val="21"/>
        </w:rPr>
      </w:pPr>
      <w:r>
        <w:rPr>
          <w:rFonts w:ascii="Verdana" w:hAnsi="Verdana"/>
          <w:sz w:val="21"/>
          <w:szCs w:val="21"/>
        </w:rPr>
        <w:t>ETFs tracking global equity markets, issued by Sygnia Itrix, are</w:t>
      </w:r>
      <w:r>
        <w:rPr>
          <w:rFonts w:ascii="Verdana" w:hAnsi="Verdana"/>
          <w:sz w:val="21"/>
          <w:szCs w:val="21"/>
        </w:rPr>
        <w:t xml:space="preserve"> </w:t>
      </w:r>
      <w:r>
        <w:rPr>
          <w:rFonts w:ascii="Verdana" w:hAnsi="Verdana"/>
          <w:sz w:val="21"/>
          <w:szCs w:val="21"/>
        </w:rPr>
        <w:t>the top performers in this category, with the MSCI USA ETF comfortably the best, providing a 22,65% return per annum over the past 10 years</w:t>
      </w:r>
      <w:r>
        <w:rPr>
          <w:rFonts w:ascii="Verdana" w:hAnsi="Verdana"/>
          <w:sz w:val="21"/>
          <w:szCs w:val="21"/>
        </w:rPr>
        <w:t xml:space="preserve">.  The Satrix Capped INDI ETF, which tracks large cap SA industrial shares, is the one South African equity ETF that stands out, providing a return of 15,08% per year over the 10 year period.  </w:t>
      </w:r>
    </w:p>
    <w:p w14:paraId="083C08C5" w14:textId="220CA675" w:rsidR="00E744F9" w:rsidRDefault="00E744F9" w:rsidP="007E1BE5">
      <w:pPr>
        <w:pStyle w:val="BodyText2"/>
        <w:spacing w:after="0" w:line="340" w:lineRule="atLeast"/>
        <w:ind w:right="454"/>
        <w:jc w:val="both"/>
        <w:rPr>
          <w:rFonts w:ascii="Verdana" w:hAnsi="Verdana"/>
          <w:sz w:val="21"/>
          <w:szCs w:val="21"/>
        </w:rPr>
      </w:pPr>
    </w:p>
    <w:p w14:paraId="5A5A8EB3" w14:textId="30BF94D1" w:rsidR="00E744F9" w:rsidRPr="00E744F9" w:rsidRDefault="00E744F9" w:rsidP="007E1BE5">
      <w:pPr>
        <w:pStyle w:val="BodyText2"/>
        <w:spacing w:after="0" w:line="340" w:lineRule="atLeast"/>
        <w:ind w:right="454"/>
        <w:jc w:val="both"/>
        <w:rPr>
          <w:rFonts w:ascii="Verdana" w:hAnsi="Verdana"/>
          <w:b/>
          <w:bCs/>
          <w:color w:val="C00000"/>
          <w:sz w:val="21"/>
          <w:szCs w:val="21"/>
        </w:rPr>
      </w:pPr>
      <w:r w:rsidRPr="00E744F9">
        <w:rPr>
          <w:rFonts w:ascii="Verdana" w:hAnsi="Verdana"/>
          <w:b/>
          <w:bCs/>
          <w:color w:val="C00000"/>
          <w:sz w:val="21"/>
          <w:szCs w:val="21"/>
        </w:rPr>
        <w:t>One to Five Years</w:t>
      </w:r>
    </w:p>
    <w:p w14:paraId="7C9B0F0C" w14:textId="3417A881" w:rsidR="00E744F9" w:rsidRDefault="00E744F9" w:rsidP="007E1BE5">
      <w:pPr>
        <w:pStyle w:val="BodyText2"/>
        <w:spacing w:after="0" w:line="340" w:lineRule="atLeast"/>
        <w:ind w:right="454"/>
        <w:jc w:val="both"/>
        <w:rPr>
          <w:rFonts w:ascii="Verdana" w:hAnsi="Verdana"/>
          <w:sz w:val="21"/>
          <w:szCs w:val="21"/>
        </w:rPr>
      </w:pPr>
      <w:r>
        <w:rPr>
          <w:rFonts w:ascii="Verdana" w:hAnsi="Verdana"/>
          <w:sz w:val="21"/>
          <w:szCs w:val="21"/>
        </w:rPr>
        <w:t xml:space="preserve">The Performance Survey is dominated by commodity ETFs and ETNs, with palladium and rhodium ETFs providing market leading investment returns over this period.  Gold tracking ETFs have lagged a little, but still outperform most equity ETFs over these periods.  </w:t>
      </w:r>
    </w:p>
    <w:p w14:paraId="0AA81BBB" w14:textId="6E3C979E" w:rsidR="00E744F9" w:rsidRDefault="00E744F9" w:rsidP="007E1BE5">
      <w:pPr>
        <w:pStyle w:val="BodyText2"/>
        <w:spacing w:after="0" w:line="340" w:lineRule="atLeast"/>
        <w:ind w:right="454"/>
        <w:jc w:val="both"/>
        <w:rPr>
          <w:rFonts w:ascii="Verdana" w:hAnsi="Verdana"/>
          <w:sz w:val="21"/>
          <w:szCs w:val="21"/>
        </w:rPr>
      </w:pPr>
    </w:p>
    <w:p w14:paraId="25917B91" w14:textId="5D48A367" w:rsidR="00E744F9" w:rsidRDefault="00E744F9" w:rsidP="007E1BE5">
      <w:pPr>
        <w:pStyle w:val="BodyText2"/>
        <w:spacing w:after="0" w:line="340" w:lineRule="atLeast"/>
        <w:ind w:right="454"/>
        <w:jc w:val="both"/>
        <w:rPr>
          <w:rFonts w:ascii="Verdana" w:hAnsi="Verdana"/>
          <w:sz w:val="21"/>
          <w:szCs w:val="21"/>
        </w:rPr>
      </w:pPr>
      <w:r>
        <w:rPr>
          <w:rFonts w:ascii="Verdana" w:hAnsi="Verdana"/>
          <w:sz w:val="21"/>
          <w:szCs w:val="21"/>
        </w:rPr>
        <w:t xml:space="preserve">The two outstanding equity index </w:t>
      </w:r>
      <w:r w:rsidR="003003F6">
        <w:rPr>
          <w:rFonts w:ascii="Verdana" w:hAnsi="Verdana"/>
          <w:sz w:val="21"/>
          <w:szCs w:val="21"/>
        </w:rPr>
        <w:t>tracking</w:t>
      </w:r>
      <w:r>
        <w:rPr>
          <w:rFonts w:ascii="Verdana" w:hAnsi="Verdana"/>
          <w:sz w:val="21"/>
          <w:szCs w:val="21"/>
        </w:rPr>
        <w:t xml:space="preserve"> ETFs over the one year period are </w:t>
      </w:r>
      <w:r w:rsidR="007E1BE5">
        <w:rPr>
          <w:rFonts w:ascii="Verdana" w:hAnsi="Verdana"/>
          <w:sz w:val="21"/>
          <w:szCs w:val="21"/>
        </w:rPr>
        <w:t>global</w:t>
      </w:r>
      <w:r>
        <w:rPr>
          <w:rFonts w:ascii="Verdana" w:hAnsi="Verdana"/>
          <w:sz w:val="21"/>
          <w:szCs w:val="21"/>
        </w:rPr>
        <w:t xml:space="preserve"> high tech industry trackers, namely, Satrix Nasdaq </w:t>
      </w:r>
      <w:r w:rsidR="007E1BE5">
        <w:rPr>
          <w:rFonts w:ascii="Verdana" w:hAnsi="Verdana"/>
          <w:sz w:val="21"/>
          <w:szCs w:val="21"/>
        </w:rPr>
        <w:t xml:space="preserve">100 ETF </w:t>
      </w:r>
      <w:r>
        <w:rPr>
          <w:rFonts w:ascii="Verdana" w:hAnsi="Verdana"/>
          <w:sz w:val="21"/>
          <w:szCs w:val="21"/>
        </w:rPr>
        <w:t xml:space="preserve">and 1nvest S&amp;P </w:t>
      </w:r>
      <w:r w:rsidR="007E1BE5">
        <w:rPr>
          <w:rFonts w:ascii="Verdana" w:hAnsi="Verdana"/>
          <w:sz w:val="21"/>
          <w:szCs w:val="21"/>
        </w:rPr>
        <w:t xml:space="preserve">500 </w:t>
      </w:r>
      <w:r>
        <w:rPr>
          <w:rFonts w:ascii="Verdana" w:hAnsi="Verdana"/>
          <w:sz w:val="21"/>
          <w:szCs w:val="21"/>
        </w:rPr>
        <w:t xml:space="preserve">Information Technology ETF.  </w:t>
      </w:r>
    </w:p>
    <w:p w14:paraId="67AF01A2" w14:textId="3FDE9944" w:rsidR="00E744F9" w:rsidRDefault="00E744F9" w:rsidP="007E1BE5">
      <w:pPr>
        <w:pStyle w:val="BodyText2"/>
        <w:spacing w:after="0" w:line="340" w:lineRule="atLeast"/>
        <w:ind w:right="454"/>
        <w:jc w:val="both"/>
        <w:rPr>
          <w:rFonts w:ascii="Verdana" w:hAnsi="Verdana"/>
          <w:sz w:val="21"/>
          <w:szCs w:val="21"/>
        </w:rPr>
      </w:pPr>
    </w:p>
    <w:p w14:paraId="59AA9161" w14:textId="397F6986" w:rsidR="00E744F9" w:rsidRPr="003003F6" w:rsidRDefault="00E744F9" w:rsidP="007E1BE5">
      <w:pPr>
        <w:pStyle w:val="BodyText2"/>
        <w:spacing w:after="0" w:line="340" w:lineRule="atLeast"/>
        <w:ind w:right="454"/>
        <w:jc w:val="both"/>
        <w:rPr>
          <w:rFonts w:ascii="Verdana" w:hAnsi="Verdana"/>
          <w:color w:val="C00000"/>
          <w:sz w:val="21"/>
          <w:szCs w:val="21"/>
        </w:rPr>
      </w:pPr>
      <w:r w:rsidRPr="003003F6">
        <w:rPr>
          <w:rFonts w:ascii="Verdana" w:hAnsi="Verdana"/>
          <w:b/>
          <w:bCs/>
          <w:color w:val="C00000"/>
          <w:sz w:val="21"/>
          <w:szCs w:val="21"/>
        </w:rPr>
        <w:t>Six Months</w:t>
      </w:r>
    </w:p>
    <w:p w14:paraId="68001624" w14:textId="73BEBA68" w:rsidR="00E744F9" w:rsidRDefault="00E744F9" w:rsidP="007E1BE5">
      <w:pPr>
        <w:pStyle w:val="BodyText2"/>
        <w:spacing w:after="0" w:line="340" w:lineRule="atLeast"/>
        <w:ind w:right="454"/>
        <w:jc w:val="both"/>
        <w:rPr>
          <w:rFonts w:ascii="Verdana" w:hAnsi="Verdana"/>
          <w:sz w:val="21"/>
          <w:szCs w:val="21"/>
        </w:rPr>
      </w:pPr>
      <w:r>
        <w:rPr>
          <w:rFonts w:ascii="Verdana" w:hAnsi="Verdana"/>
          <w:sz w:val="21"/>
          <w:szCs w:val="21"/>
        </w:rPr>
        <w:t xml:space="preserve">Although Rhodium and </w:t>
      </w:r>
      <w:r w:rsidR="00905CBB">
        <w:rPr>
          <w:rFonts w:ascii="Verdana" w:hAnsi="Verdana"/>
          <w:sz w:val="21"/>
          <w:szCs w:val="21"/>
        </w:rPr>
        <w:t>G</w:t>
      </w:r>
      <w:r w:rsidR="009318FF">
        <w:rPr>
          <w:rFonts w:ascii="Verdana" w:hAnsi="Verdana"/>
          <w:sz w:val="21"/>
          <w:szCs w:val="21"/>
        </w:rPr>
        <w:t>old</w:t>
      </w:r>
      <w:r>
        <w:rPr>
          <w:rFonts w:ascii="Verdana" w:hAnsi="Verdana"/>
          <w:sz w:val="21"/>
          <w:szCs w:val="21"/>
        </w:rPr>
        <w:t xml:space="preserve"> ETFs remain </w:t>
      </w:r>
      <w:r w:rsidR="00905CBB">
        <w:rPr>
          <w:rFonts w:ascii="Verdana" w:hAnsi="Verdana"/>
          <w:sz w:val="21"/>
          <w:szCs w:val="21"/>
        </w:rPr>
        <w:t xml:space="preserve">at </w:t>
      </w:r>
      <w:r>
        <w:rPr>
          <w:rFonts w:ascii="Verdana" w:hAnsi="Verdana"/>
          <w:sz w:val="21"/>
          <w:szCs w:val="21"/>
        </w:rPr>
        <w:t xml:space="preserve">the top of the performance tables, the Satrix Nasdaq and 1nvest S&amp;P IT ETFs have continued to provide strong rewards for </w:t>
      </w:r>
      <w:r w:rsidR="007E1BE5">
        <w:rPr>
          <w:rFonts w:ascii="Verdana" w:hAnsi="Verdana"/>
          <w:sz w:val="21"/>
          <w:szCs w:val="21"/>
        </w:rPr>
        <w:t xml:space="preserve">astute </w:t>
      </w:r>
      <w:r>
        <w:rPr>
          <w:rFonts w:ascii="Verdana" w:hAnsi="Verdana"/>
          <w:sz w:val="21"/>
          <w:szCs w:val="21"/>
        </w:rPr>
        <w:t xml:space="preserve">investors, who have </w:t>
      </w:r>
      <w:r w:rsidR="007E1BE5">
        <w:rPr>
          <w:rFonts w:ascii="Verdana" w:hAnsi="Verdana"/>
          <w:sz w:val="21"/>
          <w:szCs w:val="21"/>
        </w:rPr>
        <w:t>realised the key role</w:t>
      </w:r>
      <w:r w:rsidR="003003F6">
        <w:rPr>
          <w:rFonts w:ascii="Verdana" w:hAnsi="Verdana"/>
          <w:sz w:val="21"/>
          <w:szCs w:val="21"/>
        </w:rPr>
        <w:t xml:space="preserve"> in the global lockdown period, performed by </w:t>
      </w:r>
      <w:r w:rsidR="007E1BE5">
        <w:rPr>
          <w:rFonts w:ascii="Verdana" w:hAnsi="Verdana"/>
          <w:sz w:val="21"/>
          <w:szCs w:val="21"/>
        </w:rPr>
        <w:t xml:space="preserve">such </w:t>
      </w:r>
      <w:r w:rsidR="003003F6">
        <w:rPr>
          <w:rFonts w:ascii="Verdana" w:hAnsi="Verdana"/>
          <w:sz w:val="21"/>
          <w:szCs w:val="21"/>
        </w:rPr>
        <w:t xml:space="preserve">new generation companies. </w:t>
      </w:r>
    </w:p>
    <w:p w14:paraId="73C38E82" w14:textId="303F194C" w:rsidR="003003F6" w:rsidRDefault="003003F6" w:rsidP="007E1BE5">
      <w:pPr>
        <w:pStyle w:val="BodyText2"/>
        <w:spacing w:after="0" w:line="340" w:lineRule="atLeast"/>
        <w:ind w:right="454"/>
        <w:jc w:val="both"/>
        <w:rPr>
          <w:rFonts w:ascii="Verdana" w:hAnsi="Verdana"/>
          <w:sz w:val="21"/>
          <w:szCs w:val="21"/>
        </w:rPr>
      </w:pPr>
    </w:p>
    <w:p w14:paraId="7FBA4D0D" w14:textId="4E9D6867" w:rsidR="003003F6" w:rsidRPr="003003F6" w:rsidRDefault="003003F6" w:rsidP="007E1BE5">
      <w:pPr>
        <w:pStyle w:val="BodyText2"/>
        <w:spacing w:after="0" w:line="340" w:lineRule="atLeast"/>
        <w:ind w:right="454"/>
        <w:jc w:val="both"/>
        <w:rPr>
          <w:rFonts w:ascii="Verdana" w:hAnsi="Verdana"/>
          <w:color w:val="C00000"/>
          <w:sz w:val="21"/>
          <w:szCs w:val="21"/>
        </w:rPr>
      </w:pPr>
      <w:r w:rsidRPr="003003F6">
        <w:rPr>
          <w:rFonts w:ascii="Verdana" w:hAnsi="Verdana"/>
          <w:b/>
          <w:bCs/>
          <w:color w:val="C00000"/>
          <w:sz w:val="21"/>
          <w:szCs w:val="21"/>
        </w:rPr>
        <w:t>Three Months</w:t>
      </w:r>
    </w:p>
    <w:p w14:paraId="07BB0798" w14:textId="2C0A688C" w:rsidR="003003F6" w:rsidRDefault="003003F6" w:rsidP="007E1BE5">
      <w:pPr>
        <w:pStyle w:val="BodyText2"/>
        <w:spacing w:after="0" w:line="340" w:lineRule="atLeast"/>
        <w:ind w:right="454"/>
        <w:jc w:val="both"/>
        <w:rPr>
          <w:rFonts w:ascii="Verdana" w:hAnsi="Verdana"/>
          <w:sz w:val="21"/>
          <w:szCs w:val="21"/>
        </w:rPr>
      </w:pPr>
      <w:r>
        <w:rPr>
          <w:rFonts w:ascii="Verdana" w:hAnsi="Verdana"/>
          <w:sz w:val="21"/>
          <w:szCs w:val="21"/>
        </w:rPr>
        <w:t xml:space="preserve">A first for the Performance Survey is the outstanding investment returns delivered by </w:t>
      </w:r>
      <w:r w:rsidR="007E1BE5">
        <w:rPr>
          <w:rFonts w:ascii="Verdana" w:hAnsi="Verdana"/>
          <w:sz w:val="21"/>
          <w:szCs w:val="21"/>
        </w:rPr>
        <w:t>an</w:t>
      </w:r>
      <w:r>
        <w:rPr>
          <w:rFonts w:ascii="Verdana" w:hAnsi="Verdana"/>
          <w:sz w:val="21"/>
          <w:szCs w:val="21"/>
        </w:rPr>
        <w:t xml:space="preserve"> Actively Managed ETN, issued under the Union Bank of Switzerland programme and managed by Anbro Capital Investments.  This Unicorn growth portfolio invests in global equities that look for entrepreneurial (dis</w:t>
      </w:r>
      <w:r w:rsidR="007E1BE5">
        <w:rPr>
          <w:rFonts w:ascii="Verdana" w:hAnsi="Verdana"/>
          <w:sz w:val="21"/>
          <w:szCs w:val="21"/>
        </w:rPr>
        <w:t>ruptor</w:t>
      </w:r>
      <w:r>
        <w:rPr>
          <w:rFonts w:ascii="Verdana" w:hAnsi="Verdana"/>
          <w:sz w:val="21"/>
          <w:szCs w:val="21"/>
        </w:rPr>
        <w:t xml:space="preserve">) companies.  </w:t>
      </w:r>
    </w:p>
    <w:p w14:paraId="5D0A8289" w14:textId="773E9F6D" w:rsidR="003003F6" w:rsidRDefault="003003F6" w:rsidP="007E1BE5">
      <w:pPr>
        <w:pStyle w:val="BodyText2"/>
        <w:spacing w:after="0" w:line="340" w:lineRule="atLeast"/>
        <w:ind w:right="454"/>
        <w:jc w:val="both"/>
        <w:rPr>
          <w:rFonts w:ascii="Verdana" w:hAnsi="Verdana"/>
          <w:sz w:val="21"/>
          <w:szCs w:val="21"/>
        </w:rPr>
      </w:pPr>
    </w:p>
    <w:p w14:paraId="38771AC0" w14:textId="63CEA832" w:rsidR="003003F6" w:rsidRPr="003003F6" w:rsidRDefault="007E1BE5" w:rsidP="007E1BE5">
      <w:pPr>
        <w:pStyle w:val="BodyText2"/>
        <w:spacing w:after="0" w:line="340" w:lineRule="atLeast"/>
        <w:ind w:right="454"/>
        <w:jc w:val="both"/>
        <w:rPr>
          <w:rFonts w:ascii="Verdana" w:hAnsi="Verdana"/>
          <w:sz w:val="21"/>
          <w:szCs w:val="21"/>
        </w:rPr>
      </w:pPr>
      <w:r>
        <w:rPr>
          <w:rFonts w:ascii="Verdana" w:hAnsi="Verdana"/>
          <w:sz w:val="21"/>
          <w:szCs w:val="21"/>
        </w:rPr>
        <w:t xml:space="preserve">Many </w:t>
      </w:r>
      <w:r w:rsidR="003003F6">
        <w:rPr>
          <w:rFonts w:ascii="Verdana" w:hAnsi="Verdana"/>
          <w:sz w:val="21"/>
          <w:szCs w:val="21"/>
        </w:rPr>
        <w:t xml:space="preserve">South African equity tracking ETFs and Unit Trusts </w:t>
      </w:r>
      <w:r>
        <w:rPr>
          <w:rFonts w:ascii="Verdana" w:hAnsi="Verdana"/>
          <w:sz w:val="21"/>
          <w:szCs w:val="21"/>
        </w:rPr>
        <w:t>do well in the performance</w:t>
      </w:r>
      <w:r w:rsidR="003003F6">
        <w:rPr>
          <w:rFonts w:ascii="Verdana" w:hAnsi="Verdana"/>
          <w:sz w:val="21"/>
          <w:szCs w:val="21"/>
        </w:rPr>
        <w:t xml:space="preserve"> stakes for this 3-month period, suggesting that it m</w:t>
      </w:r>
      <w:r>
        <w:rPr>
          <w:rFonts w:ascii="Verdana" w:hAnsi="Verdana"/>
          <w:sz w:val="21"/>
          <w:szCs w:val="21"/>
        </w:rPr>
        <w:t>ight</w:t>
      </w:r>
      <w:r w:rsidR="003003F6">
        <w:rPr>
          <w:rFonts w:ascii="Verdana" w:hAnsi="Verdana"/>
          <w:sz w:val="21"/>
          <w:szCs w:val="21"/>
        </w:rPr>
        <w:t xml:space="preserve"> be time to relook at the local equity markets. </w:t>
      </w:r>
    </w:p>
    <w:p w14:paraId="7744D493" w14:textId="269BF654" w:rsidR="00E744F9" w:rsidRDefault="00E744F9" w:rsidP="00E744F9">
      <w:pPr>
        <w:pStyle w:val="BodyText2"/>
        <w:spacing w:after="0" w:line="340" w:lineRule="atLeast"/>
        <w:ind w:right="454"/>
        <w:jc w:val="both"/>
        <w:rPr>
          <w:rFonts w:ascii="Verdana" w:hAnsi="Verdana"/>
          <w:sz w:val="21"/>
          <w:szCs w:val="21"/>
        </w:rPr>
      </w:pPr>
    </w:p>
    <w:p w14:paraId="501749E1" w14:textId="77777777" w:rsidR="003003F6" w:rsidRDefault="003003F6" w:rsidP="000C4209">
      <w:pPr>
        <w:spacing w:after="0" w:line="240" w:lineRule="auto"/>
        <w:jc w:val="both"/>
        <w:rPr>
          <w:rFonts w:ascii="Verdana" w:hAnsi="Verdana"/>
          <w:b/>
          <w:szCs w:val="21"/>
        </w:rPr>
      </w:pPr>
      <w:r w:rsidRPr="00A20104">
        <w:rPr>
          <w:rFonts w:ascii="Verdana" w:hAnsi="Verdana"/>
          <w:b/>
          <w:szCs w:val="21"/>
        </w:rPr>
        <w:t>MIKE BROWN</w:t>
      </w:r>
    </w:p>
    <w:p w14:paraId="287A0CD7" w14:textId="77777777" w:rsidR="003003F6" w:rsidRPr="00A20104" w:rsidRDefault="003003F6" w:rsidP="000C4209">
      <w:pPr>
        <w:spacing w:after="0" w:line="240" w:lineRule="auto"/>
        <w:jc w:val="both"/>
        <w:rPr>
          <w:rFonts w:ascii="Verdana" w:hAnsi="Verdana"/>
          <w:b/>
          <w:szCs w:val="21"/>
        </w:rPr>
      </w:pPr>
      <w:r>
        <w:rPr>
          <w:rFonts w:ascii="Verdana" w:hAnsi="Verdana"/>
          <w:b/>
          <w:szCs w:val="21"/>
        </w:rPr>
        <w:t>Director</w:t>
      </w:r>
    </w:p>
    <w:p w14:paraId="6D4B4E3F" w14:textId="77777777" w:rsidR="003003F6" w:rsidRDefault="003003F6" w:rsidP="000C4209">
      <w:pPr>
        <w:spacing w:after="0" w:line="240" w:lineRule="auto"/>
        <w:jc w:val="both"/>
        <w:rPr>
          <w:rFonts w:ascii="Verdana" w:hAnsi="Verdana"/>
          <w:szCs w:val="21"/>
        </w:rPr>
      </w:pPr>
      <w:r>
        <w:rPr>
          <w:rFonts w:ascii="Verdana" w:hAnsi="Verdana"/>
          <w:b/>
          <w:szCs w:val="21"/>
          <w:u w:val="single"/>
        </w:rPr>
        <w:t>etfSA Portfolio Management Company</w:t>
      </w:r>
    </w:p>
    <w:p w14:paraId="6E93549E" w14:textId="77777777" w:rsidR="00303F22" w:rsidRPr="00E744F9" w:rsidRDefault="00303F22" w:rsidP="00E44686">
      <w:pPr>
        <w:pStyle w:val="BodyText2"/>
        <w:spacing w:after="0" w:line="240" w:lineRule="auto"/>
        <w:jc w:val="both"/>
        <w:rPr>
          <w:rFonts w:ascii="Verdana" w:hAnsi="Verdana"/>
          <w:bCs/>
          <w:caps/>
        </w:rPr>
      </w:pPr>
    </w:p>
    <w:p w14:paraId="46F8B056" w14:textId="66AF141F" w:rsidR="00D108C2" w:rsidRDefault="00D108C2" w:rsidP="00E744F9">
      <w:pPr>
        <w:tabs>
          <w:tab w:val="left" w:pos="8931"/>
        </w:tabs>
        <w:spacing w:after="120" w:line="280" w:lineRule="atLeast"/>
        <w:jc w:val="both"/>
        <w:rPr>
          <w:rFonts w:ascii="Verdana" w:hAnsi="Verdana"/>
          <w:sz w:val="18"/>
          <w:szCs w:val="18"/>
        </w:rPr>
      </w:pPr>
    </w:p>
    <w:p w14:paraId="65A3D0D0" w14:textId="77777777" w:rsidR="007E1BE5" w:rsidRDefault="007E1BE5" w:rsidP="00E744F9">
      <w:pPr>
        <w:tabs>
          <w:tab w:val="left" w:pos="8931"/>
        </w:tabs>
        <w:spacing w:after="120" w:line="280" w:lineRule="atLeast"/>
        <w:jc w:val="both"/>
        <w:rPr>
          <w:rFonts w:ascii="Verdana" w:hAnsi="Verdana"/>
          <w:sz w:val="18"/>
          <w:szCs w:val="18"/>
        </w:rPr>
      </w:pPr>
    </w:p>
    <w:p w14:paraId="4D91BFBD" w14:textId="10A321A5" w:rsidR="007E1BE5" w:rsidRPr="00117F06" w:rsidRDefault="007E1BE5" w:rsidP="007E1BE5">
      <w:pPr>
        <w:pStyle w:val="BodyText2"/>
        <w:spacing w:after="0" w:line="340" w:lineRule="atLeast"/>
        <w:ind w:right="454"/>
        <w:jc w:val="both"/>
        <w:rPr>
          <w:rFonts w:ascii="Verdana" w:hAnsi="Verdana"/>
          <w:sz w:val="21"/>
          <w:szCs w:val="21"/>
        </w:rPr>
      </w:pPr>
      <w:r w:rsidRPr="00117F06">
        <w:rPr>
          <w:rFonts w:ascii="Verdana" w:hAnsi="Verdana"/>
          <w:sz w:val="21"/>
          <w:szCs w:val="21"/>
        </w:rPr>
        <w:t xml:space="preserve">The Survey measures total investment returns for all </w:t>
      </w:r>
      <w:r>
        <w:rPr>
          <w:rFonts w:ascii="Verdana" w:hAnsi="Verdana"/>
          <w:sz w:val="21"/>
          <w:szCs w:val="21"/>
        </w:rPr>
        <w:t>93</w:t>
      </w:r>
      <w:r w:rsidRPr="00117F06">
        <w:rPr>
          <w:rFonts w:ascii="Verdana" w:hAnsi="Verdana"/>
          <w:sz w:val="21"/>
          <w:szCs w:val="21"/>
        </w:rPr>
        <w:t xml:space="preserve"> JSE listed ETFs/ETNs, and </w:t>
      </w:r>
      <w:r>
        <w:rPr>
          <w:rFonts w:ascii="Verdana" w:hAnsi="Verdana"/>
          <w:sz w:val="21"/>
          <w:szCs w:val="21"/>
        </w:rPr>
        <w:t>36</w:t>
      </w:r>
      <w:r w:rsidRPr="00117F06">
        <w:rPr>
          <w:rFonts w:ascii="Verdana" w:hAnsi="Verdana"/>
          <w:sz w:val="21"/>
          <w:szCs w:val="21"/>
        </w:rPr>
        <w:t xml:space="preserve"> index tracking unit trusts for periods of one month to ten years.  The summary table of the best performing passive index tracking products is shown on page </w:t>
      </w:r>
      <w:r w:rsidR="009318FF">
        <w:rPr>
          <w:rFonts w:ascii="Verdana" w:hAnsi="Verdana"/>
          <w:sz w:val="21"/>
          <w:szCs w:val="21"/>
        </w:rPr>
        <w:t>2</w:t>
      </w:r>
      <w:r w:rsidRPr="00117F06">
        <w:rPr>
          <w:rFonts w:ascii="Verdana" w:hAnsi="Verdana"/>
          <w:sz w:val="21"/>
          <w:szCs w:val="21"/>
        </w:rPr>
        <w:t xml:space="preserve">.  The total return performance of each Domestic Exchange Traded Fund is shown on pages </w:t>
      </w:r>
      <w:r w:rsidR="009318FF">
        <w:rPr>
          <w:rFonts w:ascii="Verdana" w:hAnsi="Verdana"/>
          <w:sz w:val="21"/>
          <w:szCs w:val="21"/>
        </w:rPr>
        <w:t>3</w:t>
      </w:r>
      <w:r w:rsidRPr="00117F06">
        <w:rPr>
          <w:rFonts w:ascii="Verdana" w:hAnsi="Verdana"/>
          <w:sz w:val="21"/>
          <w:szCs w:val="21"/>
        </w:rPr>
        <w:t>-</w:t>
      </w:r>
      <w:r w:rsidR="009318FF">
        <w:rPr>
          <w:rFonts w:ascii="Verdana" w:hAnsi="Verdana"/>
          <w:sz w:val="21"/>
          <w:szCs w:val="21"/>
        </w:rPr>
        <w:t>5</w:t>
      </w:r>
      <w:r w:rsidRPr="00117F06">
        <w:rPr>
          <w:rFonts w:ascii="Verdana" w:hAnsi="Verdana"/>
          <w:sz w:val="21"/>
          <w:szCs w:val="21"/>
        </w:rPr>
        <w:t xml:space="preserve">; Foreign Exchange Traded Funds on pages </w:t>
      </w:r>
      <w:r w:rsidR="009318FF">
        <w:rPr>
          <w:rFonts w:ascii="Verdana" w:hAnsi="Verdana"/>
          <w:sz w:val="21"/>
          <w:szCs w:val="21"/>
        </w:rPr>
        <w:t>6</w:t>
      </w:r>
      <w:r w:rsidRPr="00117F06">
        <w:rPr>
          <w:rFonts w:ascii="Verdana" w:hAnsi="Verdana"/>
          <w:sz w:val="21"/>
          <w:szCs w:val="21"/>
        </w:rPr>
        <w:t>-</w:t>
      </w:r>
      <w:r w:rsidR="009318FF">
        <w:rPr>
          <w:rFonts w:ascii="Verdana" w:hAnsi="Verdana"/>
          <w:sz w:val="21"/>
          <w:szCs w:val="21"/>
        </w:rPr>
        <w:t>8</w:t>
      </w:r>
      <w:r w:rsidRPr="00117F06">
        <w:rPr>
          <w:rFonts w:ascii="Verdana" w:hAnsi="Verdana"/>
          <w:sz w:val="21"/>
          <w:szCs w:val="21"/>
        </w:rPr>
        <w:t>; Commodity ETFs &amp; ETNs on page</w:t>
      </w:r>
      <w:r w:rsidR="009318FF">
        <w:rPr>
          <w:rFonts w:ascii="Verdana" w:hAnsi="Verdana"/>
          <w:sz w:val="21"/>
          <w:szCs w:val="21"/>
        </w:rPr>
        <w:t>s</w:t>
      </w:r>
      <w:r w:rsidRPr="00117F06">
        <w:rPr>
          <w:rFonts w:ascii="Verdana" w:hAnsi="Verdana"/>
          <w:sz w:val="21"/>
          <w:szCs w:val="21"/>
        </w:rPr>
        <w:t xml:space="preserve"> </w:t>
      </w:r>
      <w:r w:rsidR="009318FF">
        <w:rPr>
          <w:rFonts w:ascii="Verdana" w:hAnsi="Verdana"/>
          <w:sz w:val="21"/>
          <w:szCs w:val="21"/>
        </w:rPr>
        <w:t>8-9</w:t>
      </w:r>
      <w:r w:rsidRPr="00117F06">
        <w:rPr>
          <w:rFonts w:ascii="Verdana" w:hAnsi="Verdana"/>
          <w:sz w:val="21"/>
          <w:szCs w:val="21"/>
        </w:rPr>
        <w:t xml:space="preserve">; and Index Tracking Unit Trusts on pages </w:t>
      </w:r>
      <w:r w:rsidR="009318FF">
        <w:rPr>
          <w:rFonts w:ascii="Verdana" w:hAnsi="Verdana"/>
          <w:sz w:val="21"/>
          <w:szCs w:val="21"/>
        </w:rPr>
        <w:t>10</w:t>
      </w:r>
      <w:r w:rsidRPr="00117F06">
        <w:rPr>
          <w:rFonts w:ascii="Verdana" w:hAnsi="Verdana"/>
          <w:sz w:val="21"/>
          <w:szCs w:val="21"/>
        </w:rPr>
        <w:t>-1</w:t>
      </w:r>
      <w:r w:rsidR="009318FF">
        <w:rPr>
          <w:rFonts w:ascii="Verdana" w:hAnsi="Verdana"/>
          <w:sz w:val="21"/>
          <w:szCs w:val="21"/>
        </w:rPr>
        <w:t>2</w:t>
      </w:r>
      <w:r w:rsidRPr="00117F06">
        <w:rPr>
          <w:rFonts w:ascii="Verdana" w:hAnsi="Verdana"/>
          <w:sz w:val="21"/>
          <w:szCs w:val="21"/>
        </w:rPr>
        <w:t>.</w:t>
      </w:r>
    </w:p>
    <w:p w14:paraId="6B759E7C" w14:textId="77777777" w:rsidR="007E1BE5" w:rsidRPr="00252077" w:rsidRDefault="007E1BE5" w:rsidP="007E1BE5">
      <w:pPr>
        <w:pStyle w:val="BodyText2"/>
        <w:spacing w:after="0" w:line="300" w:lineRule="atLeast"/>
        <w:ind w:right="454"/>
        <w:jc w:val="both"/>
        <w:rPr>
          <w:rFonts w:ascii="Verdana" w:hAnsi="Verdana"/>
          <w:sz w:val="19"/>
          <w:szCs w:val="19"/>
        </w:rPr>
      </w:pPr>
    </w:p>
    <w:p w14:paraId="1A4DD94F" w14:textId="77777777" w:rsidR="007E1BE5" w:rsidRDefault="007E1BE5" w:rsidP="007E1BE5">
      <w:pPr>
        <w:spacing w:after="0" w:line="240" w:lineRule="auto"/>
        <w:rPr>
          <w:rFonts w:ascii="Verdana" w:hAnsi="Verdana"/>
          <w:b/>
          <w:sz w:val="19"/>
          <w:szCs w:val="19"/>
        </w:rPr>
      </w:pPr>
      <w:r w:rsidRPr="00ED3E5B">
        <w:rPr>
          <w:rFonts w:ascii="Verdana" w:hAnsi="Verdana"/>
          <w:b/>
          <w:sz w:val="19"/>
          <w:szCs w:val="19"/>
        </w:rPr>
        <w:t>Summary Table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851"/>
        <w:gridCol w:w="1134"/>
        <w:gridCol w:w="3118"/>
        <w:gridCol w:w="851"/>
        <w:gridCol w:w="1127"/>
      </w:tblGrid>
      <w:tr w:rsidR="007E1BE5" w:rsidRPr="00804DEE" w14:paraId="4E10B433" w14:textId="77777777" w:rsidTr="006E3222">
        <w:tc>
          <w:tcPr>
            <w:tcW w:w="10370" w:type="dxa"/>
            <w:gridSpan w:val="6"/>
            <w:shd w:val="clear" w:color="auto" w:fill="CB2229"/>
            <w:vAlign w:val="center"/>
          </w:tcPr>
          <w:p w14:paraId="379672A8"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bookmarkStart w:id="3" w:name="_Hlk355605138"/>
            <w:r w:rsidRPr="005B7B53">
              <w:rPr>
                <w:rFonts w:ascii="Verdana" w:hAnsi="Verdana"/>
                <w:b/>
                <w:color w:val="FFFFFF"/>
                <w:sz w:val="17"/>
                <w:szCs w:val="17"/>
              </w:rPr>
              <w:t>etfSA.co.za Monthly Performance Survey</w:t>
            </w:r>
          </w:p>
          <w:p w14:paraId="21B97166"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sidRPr="005B7B53">
              <w:rPr>
                <w:rFonts w:ascii="Verdana" w:hAnsi="Verdana"/>
                <w:b/>
                <w:color w:val="FFFFFF"/>
                <w:sz w:val="17"/>
                <w:szCs w:val="17"/>
              </w:rPr>
              <w:t>Best Performing Index Tracker Funds –</w:t>
            </w:r>
            <w:r>
              <w:rPr>
                <w:rFonts w:ascii="Verdana" w:hAnsi="Verdana"/>
                <w:b/>
                <w:color w:val="FFFFFF"/>
                <w:sz w:val="17"/>
                <w:szCs w:val="17"/>
              </w:rPr>
              <w:t xml:space="preserve">30 June </w:t>
            </w:r>
            <w:r w:rsidRPr="005B7B53">
              <w:rPr>
                <w:rFonts w:ascii="Verdana" w:hAnsi="Verdana"/>
                <w:b/>
                <w:color w:val="FFFFFF"/>
                <w:sz w:val="17"/>
                <w:szCs w:val="17"/>
              </w:rPr>
              <w:t>20</w:t>
            </w:r>
            <w:r>
              <w:rPr>
                <w:rFonts w:ascii="Verdana" w:hAnsi="Verdana"/>
                <w:b/>
                <w:color w:val="FFFFFF"/>
                <w:sz w:val="17"/>
                <w:szCs w:val="17"/>
              </w:rPr>
              <w:t>20</w:t>
            </w:r>
          </w:p>
          <w:p w14:paraId="62400BC7" w14:textId="77777777" w:rsidR="007E1BE5" w:rsidRPr="00000A2B" w:rsidRDefault="007E1BE5" w:rsidP="006E3222">
            <w:pPr>
              <w:pStyle w:val="BodyText2"/>
              <w:spacing w:before="20" w:after="40" w:line="280" w:lineRule="atLeast"/>
              <w:jc w:val="center"/>
              <w:rPr>
                <w:rFonts w:ascii="Verdana" w:hAnsi="Verdana"/>
                <w:b/>
                <w:color w:val="FFFFFF"/>
                <w:sz w:val="18"/>
                <w:szCs w:val="18"/>
              </w:rPr>
            </w:pPr>
            <w:r w:rsidRPr="005B7B53">
              <w:rPr>
                <w:rFonts w:ascii="Verdana" w:hAnsi="Verdana"/>
                <w:b/>
                <w:color w:val="FFFFFF"/>
                <w:sz w:val="17"/>
                <w:szCs w:val="17"/>
              </w:rPr>
              <w:t>(Total Return %</w:t>
            </w:r>
            <w:r>
              <w:rPr>
                <w:rFonts w:ascii="Verdana" w:hAnsi="Verdana"/>
                <w:b/>
                <w:color w:val="FFFFFF"/>
                <w:sz w:val="17"/>
                <w:szCs w:val="17"/>
              </w:rPr>
              <w:t xml:space="preserve"> Performance*</w:t>
            </w:r>
            <w:r w:rsidRPr="005B7B53">
              <w:rPr>
                <w:rFonts w:ascii="Verdana" w:hAnsi="Verdana"/>
                <w:b/>
                <w:color w:val="FFFFFF"/>
                <w:sz w:val="17"/>
                <w:szCs w:val="17"/>
              </w:rPr>
              <w:t>)</w:t>
            </w:r>
          </w:p>
        </w:tc>
      </w:tr>
      <w:tr w:rsidR="007E1BE5" w:rsidRPr="00804DEE" w14:paraId="70C81FA0" w14:textId="77777777" w:rsidTr="006E3222">
        <w:tc>
          <w:tcPr>
            <w:tcW w:w="3289" w:type="dxa"/>
            <w:shd w:val="clear" w:color="auto" w:fill="4C4C4C"/>
            <w:vAlign w:val="center"/>
          </w:tcPr>
          <w:p w14:paraId="71DDD95F" w14:textId="77777777" w:rsidR="007E1BE5" w:rsidRPr="005B7B53" w:rsidRDefault="007E1BE5" w:rsidP="006E3222">
            <w:pPr>
              <w:pStyle w:val="BodyText2"/>
              <w:spacing w:before="20" w:after="40" w:line="280" w:lineRule="atLeast"/>
              <w:rPr>
                <w:rFonts w:ascii="Verdana" w:hAnsi="Verdana"/>
                <w:b/>
                <w:color w:val="FFFFFF"/>
                <w:sz w:val="17"/>
                <w:szCs w:val="17"/>
              </w:rPr>
            </w:pPr>
            <w:r w:rsidRPr="005B7B53">
              <w:rPr>
                <w:rFonts w:ascii="Verdana" w:hAnsi="Verdana"/>
                <w:b/>
                <w:color w:val="FFFFFF"/>
                <w:sz w:val="17"/>
                <w:szCs w:val="17"/>
              </w:rPr>
              <w:t>Fund Name</w:t>
            </w:r>
          </w:p>
        </w:tc>
        <w:tc>
          <w:tcPr>
            <w:tcW w:w="851" w:type="dxa"/>
            <w:shd w:val="clear" w:color="auto" w:fill="4C4C4C"/>
            <w:vAlign w:val="center"/>
          </w:tcPr>
          <w:p w14:paraId="66E91156"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sidRPr="005B7B53">
              <w:rPr>
                <w:rFonts w:ascii="Verdana" w:hAnsi="Verdana"/>
                <w:b/>
                <w:color w:val="FFFFFF"/>
                <w:sz w:val="17"/>
                <w:szCs w:val="17"/>
              </w:rPr>
              <w:t>Type</w:t>
            </w:r>
          </w:p>
        </w:tc>
        <w:tc>
          <w:tcPr>
            <w:tcW w:w="1134" w:type="dxa"/>
            <w:tcBorders>
              <w:right w:val="single" w:sz="18" w:space="0" w:color="auto"/>
            </w:tcBorders>
            <w:shd w:val="clear" w:color="auto" w:fill="4C4C4C"/>
            <w:vAlign w:val="center"/>
          </w:tcPr>
          <w:p w14:paraId="164B0BF4"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Pr>
                <w:rFonts w:ascii="Verdana" w:hAnsi="Verdana"/>
                <w:b/>
                <w:color w:val="FFFFFF"/>
                <w:sz w:val="17"/>
                <w:szCs w:val="17"/>
              </w:rPr>
              <w:t>10</w:t>
            </w:r>
            <w:r w:rsidRPr="005B7B53">
              <w:rPr>
                <w:rFonts w:ascii="Verdana" w:hAnsi="Verdana"/>
                <w:b/>
                <w:color w:val="FFFFFF"/>
                <w:sz w:val="17"/>
                <w:szCs w:val="17"/>
              </w:rPr>
              <w:t xml:space="preserve"> Years (p</w:t>
            </w:r>
            <w:r>
              <w:rPr>
                <w:rFonts w:ascii="Verdana" w:hAnsi="Verdana"/>
                <w:b/>
                <w:color w:val="FFFFFF"/>
                <w:sz w:val="17"/>
                <w:szCs w:val="17"/>
              </w:rPr>
              <w:t>.a.</w:t>
            </w:r>
            <w:r w:rsidRPr="005B7B53">
              <w:rPr>
                <w:rFonts w:ascii="Verdana" w:hAnsi="Verdana"/>
                <w:b/>
                <w:color w:val="FFFFFF"/>
                <w:sz w:val="17"/>
                <w:szCs w:val="17"/>
              </w:rPr>
              <w:t>)</w:t>
            </w:r>
          </w:p>
        </w:tc>
        <w:tc>
          <w:tcPr>
            <w:tcW w:w="3118" w:type="dxa"/>
            <w:tcBorders>
              <w:left w:val="single" w:sz="18" w:space="0" w:color="auto"/>
            </w:tcBorders>
            <w:shd w:val="clear" w:color="auto" w:fill="4C4C4C"/>
            <w:vAlign w:val="center"/>
          </w:tcPr>
          <w:p w14:paraId="58163ED8" w14:textId="77777777" w:rsidR="007E1BE5" w:rsidRPr="005B7B53" w:rsidRDefault="007E1BE5" w:rsidP="006E3222">
            <w:pPr>
              <w:pStyle w:val="BodyText2"/>
              <w:spacing w:before="20" w:after="40" w:line="280" w:lineRule="atLeast"/>
              <w:rPr>
                <w:rFonts w:ascii="Verdana" w:hAnsi="Verdana"/>
                <w:b/>
                <w:color w:val="FFFFFF"/>
                <w:sz w:val="17"/>
                <w:szCs w:val="17"/>
              </w:rPr>
            </w:pPr>
            <w:r w:rsidRPr="005B7B53">
              <w:rPr>
                <w:rFonts w:ascii="Verdana" w:hAnsi="Verdana"/>
                <w:b/>
                <w:color w:val="FFFFFF"/>
                <w:sz w:val="17"/>
                <w:szCs w:val="17"/>
              </w:rPr>
              <w:t>Fund Name</w:t>
            </w:r>
          </w:p>
        </w:tc>
        <w:tc>
          <w:tcPr>
            <w:tcW w:w="851" w:type="dxa"/>
            <w:shd w:val="clear" w:color="auto" w:fill="4C4C4C"/>
            <w:vAlign w:val="center"/>
          </w:tcPr>
          <w:p w14:paraId="6875CEF1"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sidRPr="005B7B53">
              <w:rPr>
                <w:rFonts w:ascii="Verdana" w:hAnsi="Verdana"/>
                <w:b/>
                <w:color w:val="FFFFFF"/>
                <w:sz w:val="17"/>
                <w:szCs w:val="17"/>
              </w:rPr>
              <w:t>Type</w:t>
            </w:r>
          </w:p>
        </w:tc>
        <w:tc>
          <w:tcPr>
            <w:tcW w:w="1127" w:type="dxa"/>
            <w:shd w:val="clear" w:color="auto" w:fill="4C4C4C"/>
          </w:tcPr>
          <w:p w14:paraId="0A90D1AA"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Pr>
                <w:rFonts w:ascii="Verdana" w:hAnsi="Verdana"/>
                <w:b/>
                <w:color w:val="FFFFFF"/>
                <w:sz w:val="17"/>
                <w:szCs w:val="17"/>
              </w:rPr>
              <w:t>5</w:t>
            </w:r>
            <w:r w:rsidRPr="005B7B53">
              <w:rPr>
                <w:rFonts w:ascii="Verdana" w:hAnsi="Verdana"/>
                <w:b/>
                <w:color w:val="FFFFFF"/>
                <w:sz w:val="17"/>
                <w:szCs w:val="17"/>
              </w:rPr>
              <w:t xml:space="preserve"> Years (p</w:t>
            </w:r>
            <w:r>
              <w:rPr>
                <w:rFonts w:ascii="Verdana" w:hAnsi="Verdana"/>
                <w:b/>
                <w:color w:val="FFFFFF"/>
                <w:sz w:val="17"/>
                <w:szCs w:val="17"/>
              </w:rPr>
              <w:t>.a.</w:t>
            </w:r>
            <w:r w:rsidRPr="005B7B53">
              <w:rPr>
                <w:rFonts w:ascii="Verdana" w:hAnsi="Verdana"/>
                <w:b/>
                <w:color w:val="FFFFFF"/>
                <w:sz w:val="17"/>
                <w:szCs w:val="17"/>
              </w:rPr>
              <w:t>)</w:t>
            </w:r>
          </w:p>
        </w:tc>
      </w:tr>
      <w:tr w:rsidR="007E1BE5" w:rsidRPr="00804DEE" w14:paraId="41A8009B" w14:textId="77777777" w:rsidTr="006E3222">
        <w:tc>
          <w:tcPr>
            <w:tcW w:w="3289" w:type="dxa"/>
            <w:shd w:val="clear" w:color="auto" w:fill="auto"/>
            <w:vAlign w:val="center"/>
          </w:tcPr>
          <w:p w14:paraId="48723828"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Sygnia Itrix MSCI USA</w:t>
            </w:r>
          </w:p>
        </w:tc>
        <w:tc>
          <w:tcPr>
            <w:tcW w:w="851" w:type="dxa"/>
            <w:shd w:val="clear" w:color="auto" w:fill="auto"/>
            <w:vAlign w:val="center"/>
          </w:tcPr>
          <w:p w14:paraId="60E13A42" w14:textId="77777777" w:rsidR="007E1BE5" w:rsidRPr="005B7B53" w:rsidRDefault="007E1BE5" w:rsidP="006E3222">
            <w:pPr>
              <w:pStyle w:val="BodyText2"/>
              <w:spacing w:before="20" w:after="40" w:line="280" w:lineRule="atLeast"/>
              <w:jc w:val="center"/>
              <w:rPr>
                <w:rFonts w:ascii="Verdana" w:hAnsi="Verdana"/>
                <w:sz w:val="17"/>
                <w:szCs w:val="17"/>
              </w:rPr>
            </w:pPr>
            <w:r w:rsidRPr="005B7B53">
              <w:rPr>
                <w:rFonts w:ascii="Verdana" w:hAnsi="Verdana"/>
                <w:sz w:val="17"/>
                <w:szCs w:val="17"/>
              </w:rPr>
              <w:t>ETF</w:t>
            </w:r>
          </w:p>
        </w:tc>
        <w:tc>
          <w:tcPr>
            <w:tcW w:w="1134" w:type="dxa"/>
            <w:tcBorders>
              <w:right w:val="single" w:sz="18" w:space="0" w:color="auto"/>
            </w:tcBorders>
            <w:shd w:val="clear" w:color="auto" w:fill="auto"/>
            <w:vAlign w:val="center"/>
          </w:tcPr>
          <w:p w14:paraId="3B84ED1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22,65%</w:t>
            </w:r>
          </w:p>
        </w:tc>
        <w:tc>
          <w:tcPr>
            <w:tcW w:w="3118" w:type="dxa"/>
            <w:tcBorders>
              <w:left w:val="single" w:sz="18" w:space="0" w:color="auto"/>
            </w:tcBorders>
            <w:vAlign w:val="center"/>
          </w:tcPr>
          <w:p w14:paraId="75894407"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Standard Bank Palladium Linker</w:t>
            </w:r>
          </w:p>
        </w:tc>
        <w:tc>
          <w:tcPr>
            <w:tcW w:w="851" w:type="dxa"/>
            <w:vAlign w:val="center"/>
          </w:tcPr>
          <w:p w14:paraId="2E03C039"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ETN</w:t>
            </w:r>
          </w:p>
        </w:tc>
        <w:tc>
          <w:tcPr>
            <w:tcW w:w="1127" w:type="dxa"/>
            <w:vAlign w:val="center"/>
          </w:tcPr>
          <w:p w14:paraId="60F211F6"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34,90%</w:t>
            </w:r>
          </w:p>
        </w:tc>
      </w:tr>
      <w:tr w:rsidR="007E1BE5" w:rsidRPr="00804DEE" w14:paraId="43D7429C" w14:textId="77777777" w:rsidTr="006E3222">
        <w:tc>
          <w:tcPr>
            <w:tcW w:w="3289" w:type="dxa"/>
            <w:shd w:val="clear" w:color="auto" w:fill="auto"/>
            <w:vAlign w:val="center"/>
          </w:tcPr>
          <w:p w14:paraId="652C05E9"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Sygnia/Itrix MSCI World</w:t>
            </w:r>
          </w:p>
        </w:tc>
        <w:tc>
          <w:tcPr>
            <w:tcW w:w="851" w:type="dxa"/>
            <w:shd w:val="clear" w:color="auto" w:fill="auto"/>
            <w:vAlign w:val="center"/>
          </w:tcPr>
          <w:p w14:paraId="64EBA00C"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right w:val="single" w:sz="18" w:space="0" w:color="auto"/>
            </w:tcBorders>
            <w:shd w:val="clear" w:color="auto" w:fill="auto"/>
            <w:vAlign w:val="center"/>
          </w:tcPr>
          <w:p w14:paraId="3E67D57C"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19,06%</w:t>
            </w:r>
          </w:p>
        </w:tc>
        <w:tc>
          <w:tcPr>
            <w:tcW w:w="3118" w:type="dxa"/>
            <w:tcBorders>
              <w:left w:val="single" w:sz="18" w:space="0" w:color="auto"/>
            </w:tcBorders>
            <w:vAlign w:val="center"/>
          </w:tcPr>
          <w:p w14:paraId="3075C9D1"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1nvestPalladium</w:t>
            </w:r>
          </w:p>
        </w:tc>
        <w:tc>
          <w:tcPr>
            <w:tcW w:w="851" w:type="dxa"/>
            <w:vAlign w:val="center"/>
          </w:tcPr>
          <w:p w14:paraId="31CC339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01E4DBF7"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31,93%</w:t>
            </w:r>
          </w:p>
        </w:tc>
      </w:tr>
      <w:tr w:rsidR="007E1BE5" w:rsidRPr="00804DEE" w14:paraId="3077FA98" w14:textId="77777777" w:rsidTr="006E3222">
        <w:tc>
          <w:tcPr>
            <w:tcW w:w="3289" w:type="dxa"/>
            <w:shd w:val="clear" w:color="auto" w:fill="auto"/>
            <w:vAlign w:val="center"/>
          </w:tcPr>
          <w:p w14:paraId="34233723"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Satrix Capped INDI</w:t>
            </w:r>
          </w:p>
        </w:tc>
        <w:tc>
          <w:tcPr>
            <w:tcW w:w="851" w:type="dxa"/>
            <w:shd w:val="clear" w:color="auto" w:fill="auto"/>
            <w:vAlign w:val="center"/>
          </w:tcPr>
          <w:p w14:paraId="460709B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right w:val="single" w:sz="18" w:space="0" w:color="auto"/>
            </w:tcBorders>
            <w:shd w:val="clear" w:color="auto" w:fill="auto"/>
            <w:vAlign w:val="center"/>
          </w:tcPr>
          <w:p w14:paraId="170D7134"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15,08%</w:t>
            </w:r>
          </w:p>
        </w:tc>
        <w:tc>
          <w:tcPr>
            <w:tcW w:w="3118" w:type="dxa"/>
            <w:tcBorders>
              <w:left w:val="single" w:sz="18" w:space="0" w:color="auto"/>
            </w:tcBorders>
            <w:vAlign w:val="center"/>
          </w:tcPr>
          <w:p w14:paraId="79BC8DB0"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NewGold Palladium</w:t>
            </w:r>
          </w:p>
        </w:tc>
        <w:tc>
          <w:tcPr>
            <w:tcW w:w="851" w:type="dxa"/>
            <w:vAlign w:val="center"/>
          </w:tcPr>
          <w:p w14:paraId="519482CF"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496B325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31,57%</w:t>
            </w:r>
          </w:p>
        </w:tc>
      </w:tr>
      <w:tr w:rsidR="007E1BE5" w:rsidRPr="00804DEE" w14:paraId="0CA75B62" w14:textId="77777777" w:rsidTr="006E3222">
        <w:tc>
          <w:tcPr>
            <w:tcW w:w="3289" w:type="dxa"/>
            <w:shd w:val="clear" w:color="auto" w:fill="auto"/>
            <w:vAlign w:val="center"/>
          </w:tcPr>
          <w:p w14:paraId="05D566C6"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Sygnia Itrix MSCI Japan</w:t>
            </w:r>
          </w:p>
        </w:tc>
        <w:tc>
          <w:tcPr>
            <w:tcW w:w="851" w:type="dxa"/>
            <w:shd w:val="clear" w:color="auto" w:fill="auto"/>
            <w:vAlign w:val="center"/>
          </w:tcPr>
          <w:p w14:paraId="66D46D54"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bottom w:val="single" w:sz="4" w:space="0" w:color="auto"/>
              <w:right w:val="single" w:sz="18" w:space="0" w:color="auto"/>
            </w:tcBorders>
            <w:shd w:val="clear" w:color="auto" w:fill="auto"/>
            <w:vAlign w:val="center"/>
          </w:tcPr>
          <w:p w14:paraId="7E732094"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14,50%</w:t>
            </w:r>
          </w:p>
        </w:tc>
        <w:tc>
          <w:tcPr>
            <w:tcW w:w="3118" w:type="dxa"/>
            <w:tcBorders>
              <w:left w:val="single" w:sz="18" w:space="0" w:color="auto"/>
            </w:tcBorders>
            <w:vAlign w:val="center"/>
          </w:tcPr>
          <w:p w14:paraId="21B5D1A4"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Sygnia Itrix MSCI USA</w:t>
            </w:r>
          </w:p>
        </w:tc>
        <w:tc>
          <w:tcPr>
            <w:tcW w:w="851" w:type="dxa"/>
            <w:vAlign w:val="center"/>
          </w:tcPr>
          <w:p w14:paraId="57384E6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2625A13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17,87%</w:t>
            </w:r>
          </w:p>
        </w:tc>
      </w:tr>
      <w:tr w:rsidR="007E1BE5" w:rsidRPr="00804DEE" w14:paraId="56CB36DB" w14:textId="77777777" w:rsidTr="006E3222">
        <w:tc>
          <w:tcPr>
            <w:tcW w:w="3289" w:type="dxa"/>
            <w:shd w:val="clear" w:color="auto" w:fill="auto"/>
            <w:vAlign w:val="center"/>
          </w:tcPr>
          <w:p w14:paraId="0B697740" w14:textId="77777777" w:rsidR="007E1BE5" w:rsidRDefault="007E1BE5" w:rsidP="006E3222">
            <w:pPr>
              <w:pStyle w:val="BodyText2"/>
              <w:spacing w:before="20" w:after="40" w:line="280" w:lineRule="atLeast"/>
              <w:rPr>
                <w:rFonts w:ascii="Verdana" w:hAnsi="Verdana"/>
                <w:sz w:val="17"/>
                <w:szCs w:val="17"/>
              </w:rPr>
            </w:pPr>
            <w:r>
              <w:rPr>
                <w:rFonts w:ascii="Verdana" w:hAnsi="Verdana"/>
                <w:sz w:val="17"/>
                <w:szCs w:val="17"/>
              </w:rPr>
              <w:t>Sygnia Itrix FTSE 100</w:t>
            </w:r>
          </w:p>
        </w:tc>
        <w:tc>
          <w:tcPr>
            <w:tcW w:w="851" w:type="dxa"/>
            <w:shd w:val="clear" w:color="auto" w:fill="auto"/>
            <w:vAlign w:val="center"/>
          </w:tcPr>
          <w:p w14:paraId="68109203" w14:textId="77777777" w:rsidR="007E1BE5"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bottom w:val="single" w:sz="4" w:space="0" w:color="auto"/>
              <w:right w:val="single" w:sz="18" w:space="0" w:color="auto"/>
            </w:tcBorders>
            <w:shd w:val="clear" w:color="auto" w:fill="auto"/>
            <w:vAlign w:val="center"/>
          </w:tcPr>
          <w:p w14:paraId="5EBE6D08"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13,28%</w:t>
            </w:r>
          </w:p>
        </w:tc>
        <w:tc>
          <w:tcPr>
            <w:tcW w:w="3118" w:type="dxa"/>
            <w:tcBorders>
              <w:left w:val="single" w:sz="18" w:space="0" w:color="auto"/>
            </w:tcBorders>
            <w:vAlign w:val="center"/>
          </w:tcPr>
          <w:p w14:paraId="4A69B3FB" w14:textId="77777777" w:rsidR="007E1BE5" w:rsidRDefault="007E1BE5" w:rsidP="006E3222">
            <w:pPr>
              <w:pStyle w:val="BodyText2"/>
              <w:spacing w:before="20" w:after="40" w:line="280" w:lineRule="atLeast"/>
              <w:rPr>
                <w:rFonts w:ascii="Verdana" w:hAnsi="Verdana"/>
                <w:sz w:val="17"/>
                <w:szCs w:val="17"/>
              </w:rPr>
            </w:pPr>
            <w:r>
              <w:rPr>
                <w:rFonts w:ascii="Verdana" w:hAnsi="Verdana"/>
                <w:sz w:val="17"/>
                <w:szCs w:val="17"/>
              </w:rPr>
              <w:t>1nvest Gold</w:t>
            </w:r>
          </w:p>
        </w:tc>
        <w:tc>
          <w:tcPr>
            <w:tcW w:w="851" w:type="dxa"/>
            <w:vAlign w:val="center"/>
          </w:tcPr>
          <w:p w14:paraId="542A897C" w14:textId="77777777" w:rsidR="007E1BE5"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7EE94A10"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16,45%</w:t>
            </w:r>
          </w:p>
        </w:tc>
      </w:tr>
      <w:tr w:rsidR="007E1BE5" w:rsidRPr="00804DEE" w14:paraId="2AFA22A7" w14:textId="77777777" w:rsidTr="006E3222">
        <w:tc>
          <w:tcPr>
            <w:tcW w:w="3289" w:type="dxa"/>
            <w:shd w:val="clear" w:color="auto" w:fill="auto"/>
            <w:vAlign w:val="center"/>
          </w:tcPr>
          <w:p w14:paraId="4D0450E4" w14:textId="77777777" w:rsidR="007E1BE5" w:rsidRDefault="007E1BE5" w:rsidP="006E3222">
            <w:pPr>
              <w:pStyle w:val="BodyText2"/>
              <w:spacing w:before="20" w:after="40" w:line="280" w:lineRule="atLeast"/>
              <w:rPr>
                <w:rFonts w:ascii="Verdana" w:hAnsi="Verdana"/>
                <w:sz w:val="17"/>
                <w:szCs w:val="17"/>
              </w:rPr>
            </w:pPr>
            <w:r>
              <w:rPr>
                <w:rFonts w:ascii="Verdana" w:hAnsi="Verdana"/>
                <w:sz w:val="17"/>
                <w:szCs w:val="17"/>
              </w:rPr>
              <w:t>Sygnia Itrix Eurostoxx 50</w:t>
            </w:r>
          </w:p>
        </w:tc>
        <w:tc>
          <w:tcPr>
            <w:tcW w:w="851" w:type="dxa"/>
            <w:shd w:val="clear" w:color="auto" w:fill="auto"/>
            <w:vAlign w:val="center"/>
          </w:tcPr>
          <w:p w14:paraId="39A012CB" w14:textId="77777777" w:rsidR="007E1BE5"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bottom w:val="single" w:sz="4" w:space="0" w:color="auto"/>
              <w:right w:val="single" w:sz="18" w:space="0" w:color="auto"/>
            </w:tcBorders>
            <w:shd w:val="clear" w:color="auto" w:fill="auto"/>
            <w:vAlign w:val="center"/>
          </w:tcPr>
          <w:p w14:paraId="4CFDD907"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13,21%</w:t>
            </w:r>
          </w:p>
        </w:tc>
        <w:tc>
          <w:tcPr>
            <w:tcW w:w="3118" w:type="dxa"/>
            <w:tcBorders>
              <w:left w:val="single" w:sz="18" w:space="0" w:color="auto"/>
            </w:tcBorders>
            <w:vAlign w:val="center"/>
          </w:tcPr>
          <w:p w14:paraId="417BAEDF" w14:textId="77777777" w:rsidR="007E1BE5" w:rsidRDefault="007E1BE5" w:rsidP="006E3222">
            <w:pPr>
              <w:pStyle w:val="BodyText2"/>
              <w:spacing w:before="20" w:after="40" w:line="280" w:lineRule="atLeast"/>
              <w:rPr>
                <w:rFonts w:ascii="Verdana" w:hAnsi="Verdana"/>
                <w:sz w:val="17"/>
                <w:szCs w:val="17"/>
              </w:rPr>
            </w:pPr>
            <w:r>
              <w:rPr>
                <w:rFonts w:ascii="Verdana" w:hAnsi="Verdana"/>
                <w:sz w:val="17"/>
                <w:szCs w:val="17"/>
              </w:rPr>
              <w:t>NewGold</w:t>
            </w:r>
          </w:p>
        </w:tc>
        <w:tc>
          <w:tcPr>
            <w:tcW w:w="851" w:type="dxa"/>
            <w:vAlign w:val="center"/>
          </w:tcPr>
          <w:p w14:paraId="40F065DF" w14:textId="77777777" w:rsidR="007E1BE5"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6180F314"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16,35%</w:t>
            </w:r>
          </w:p>
        </w:tc>
      </w:tr>
      <w:tr w:rsidR="007E1BE5" w:rsidRPr="00804DEE" w14:paraId="68F21C01" w14:textId="77777777" w:rsidTr="006E3222">
        <w:tc>
          <w:tcPr>
            <w:tcW w:w="3289" w:type="dxa"/>
            <w:shd w:val="clear" w:color="auto" w:fill="auto"/>
            <w:vAlign w:val="center"/>
          </w:tcPr>
          <w:p w14:paraId="59103915" w14:textId="77777777" w:rsidR="007E1BE5" w:rsidRPr="005B7B53" w:rsidRDefault="007E1BE5" w:rsidP="006E3222">
            <w:pPr>
              <w:pStyle w:val="BodyText2"/>
              <w:spacing w:before="20" w:after="40" w:line="280" w:lineRule="atLeast"/>
              <w:rPr>
                <w:rFonts w:ascii="Verdana" w:hAnsi="Verdana"/>
                <w:sz w:val="17"/>
                <w:szCs w:val="17"/>
              </w:rPr>
            </w:pPr>
          </w:p>
        </w:tc>
        <w:tc>
          <w:tcPr>
            <w:tcW w:w="851" w:type="dxa"/>
            <w:shd w:val="clear" w:color="auto" w:fill="auto"/>
            <w:vAlign w:val="center"/>
          </w:tcPr>
          <w:p w14:paraId="5E6AC15B" w14:textId="77777777" w:rsidR="007E1BE5" w:rsidRPr="005B7B53" w:rsidRDefault="007E1BE5" w:rsidP="006E3222">
            <w:pPr>
              <w:pStyle w:val="BodyText2"/>
              <w:spacing w:before="20" w:after="40" w:line="280" w:lineRule="atLeast"/>
              <w:jc w:val="center"/>
              <w:rPr>
                <w:rFonts w:ascii="Verdana" w:hAnsi="Verdana"/>
                <w:sz w:val="17"/>
                <w:szCs w:val="17"/>
              </w:rPr>
            </w:pPr>
          </w:p>
        </w:tc>
        <w:tc>
          <w:tcPr>
            <w:tcW w:w="1134" w:type="dxa"/>
            <w:tcBorders>
              <w:right w:val="single" w:sz="18" w:space="0" w:color="auto"/>
            </w:tcBorders>
            <w:shd w:val="clear" w:color="auto" w:fill="4C4C4C"/>
          </w:tcPr>
          <w:p w14:paraId="40889B06"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Pr>
                <w:rFonts w:ascii="Verdana" w:hAnsi="Verdana"/>
                <w:b/>
                <w:color w:val="FFFFFF"/>
                <w:sz w:val="17"/>
                <w:szCs w:val="17"/>
              </w:rPr>
              <w:t xml:space="preserve">3 Years </w:t>
            </w:r>
            <w:r w:rsidRPr="005B7B53">
              <w:rPr>
                <w:rFonts w:ascii="Verdana" w:hAnsi="Verdana"/>
                <w:b/>
                <w:color w:val="FFFFFF"/>
                <w:sz w:val="17"/>
                <w:szCs w:val="17"/>
              </w:rPr>
              <w:t>(p</w:t>
            </w:r>
            <w:r>
              <w:rPr>
                <w:rFonts w:ascii="Verdana" w:hAnsi="Verdana"/>
                <w:b/>
                <w:color w:val="FFFFFF"/>
                <w:sz w:val="17"/>
                <w:szCs w:val="17"/>
              </w:rPr>
              <w:t>.a.</w:t>
            </w:r>
            <w:r w:rsidRPr="005B7B53">
              <w:rPr>
                <w:rFonts w:ascii="Verdana" w:hAnsi="Verdana"/>
                <w:b/>
                <w:color w:val="FFFFFF"/>
                <w:sz w:val="17"/>
                <w:szCs w:val="17"/>
              </w:rPr>
              <w:t>)</w:t>
            </w:r>
          </w:p>
        </w:tc>
        <w:tc>
          <w:tcPr>
            <w:tcW w:w="3118" w:type="dxa"/>
            <w:tcBorders>
              <w:left w:val="single" w:sz="18" w:space="0" w:color="auto"/>
            </w:tcBorders>
            <w:shd w:val="clear" w:color="auto" w:fill="auto"/>
            <w:vAlign w:val="center"/>
          </w:tcPr>
          <w:p w14:paraId="53AFFC49" w14:textId="77777777" w:rsidR="007E1BE5" w:rsidRPr="005B7B53" w:rsidRDefault="007E1BE5" w:rsidP="006E3222">
            <w:pPr>
              <w:pStyle w:val="BodyText2"/>
              <w:spacing w:before="20" w:after="40" w:line="280" w:lineRule="atLeast"/>
              <w:rPr>
                <w:rFonts w:ascii="Verdana" w:hAnsi="Verdana"/>
                <w:sz w:val="17"/>
                <w:szCs w:val="17"/>
              </w:rPr>
            </w:pPr>
          </w:p>
        </w:tc>
        <w:tc>
          <w:tcPr>
            <w:tcW w:w="851" w:type="dxa"/>
            <w:shd w:val="clear" w:color="auto" w:fill="auto"/>
            <w:vAlign w:val="center"/>
          </w:tcPr>
          <w:p w14:paraId="216E64D2" w14:textId="77777777" w:rsidR="007E1BE5" w:rsidRPr="005B7B53" w:rsidRDefault="007E1BE5" w:rsidP="006E3222">
            <w:pPr>
              <w:pStyle w:val="BodyText2"/>
              <w:spacing w:before="20" w:after="40" w:line="280" w:lineRule="atLeast"/>
              <w:jc w:val="center"/>
              <w:rPr>
                <w:rFonts w:ascii="Verdana" w:hAnsi="Verdana"/>
                <w:sz w:val="17"/>
                <w:szCs w:val="17"/>
              </w:rPr>
            </w:pPr>
          </w:p>
        </w:tc>
        <w:tc>
          <w:tcPr>
            <w:tcW w:w="1127" w:type="dxa"/>
            <w:shd w:val="clear" w:color="auto" w:fill="4C4C4C"/>
            <w:vAlign w:val="center"/>
          </w:tcPr>
          <w:p w14:paraId="231EA023" w14:textId="77777777" w:rsidR="007E1BE5" w:rsidRPr="005B7B53" w:rsidRDefault="007E1BE5" w:rsidP="006E3222">
            <w:pPr>
              <w:pStyle w:val="BodyText2"/>
              <w:spacing w:before="20" w:after="40" w:line="280" w:lineRule="atLeast"/>
              <w:jc w:val="center"/>
              <w:rPr>
                <w:rFonts w:ascii="Verdana" w:hAnsi="Verdana"/>
                <w:b/>
                <w:color w:val="FFFFFF"/>
                <w:sz w:val="17"/>
                <w:szCs w:val="17"/>
              </w:rPr>
            </w:pPr>
            <w:r>
              <w:rPr>
                <w:rFonts w:ascii="Verdana" w:hAnsi="Verdana"/>
                <w:b/>
                <w:color w:val="FFFFFF"/>
                <w:sz w:val="17"/>
                <w:szCs w:val="17"/>
              </w:rPr>
              <w:t>1</w:t>
            </w:r>
            <w:r w:rsidRPr="005B7B53">
              <w:rPr>
                <w:rFonts w:ascii="Verdana" w:hAnsi="Verdana"/>
                <w:b/>
                <w:color w:val="FFFFFF"/>
                <w:sz w:val="17"/>
                <w:szCs w:val="17"/>
              </w:rPr>
              <w:t xml:space="preserve"> Year</w:t>
            </w:r>
          </w:p>
        </w:tc>
      </w:tr>
      <w:tr w:rsidR="007E1BE5" w:rsidRPr="00804DEE" w14:paraId="607B1B22" w14:textId="77777777" w:rsidTr="006E3222">
        <w:tc>
          <w:tcPr>
            <w:tcW w:w="3289" w:type="dxa"/>
            <w:shd w:val="clear" w:color="auto" w:fill="auto"/>
            <w:vAlign w:val="center"/>
          </w:tcPr>
          <w:p w14:paraId="2B294288"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1nvestRhodium</w:t>
            </w:r>
          </w:p>
        </w:tc>
        <w:tc>
          <w:tcPr>
            <w:tcW w:w="851" w:type="dxa"/>
            <w:shd w:val="clear" w:color="auto" w:fill="auto"/>
            <w:vAlign w:val="center"/>
          </w:tcPr>
          <w:p w14:paraId="68EA3205"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right w:val="single" w:sz="18" w:space="0" w:color="auto"/>
            </w:tcBorders>
            <w:shd w:val="clear" w:color="auto" w:fill="auto"/>
            <w:vAlign w:val="center"/>
          </w:tcPr>
          <w:p w14:paraId="7B8DE91E"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111,67%</w:t>
            </w:r>
          </w:p>
        </w:tc>
        <w:tc>
          <w:tcPr>
            <w:tcW w:w="3118" w:type="dxa"/>
            <w:tcBorders>
              <w:left w:val="single" w:sz="18" w:space="0" w:color="auto"/>
            </w:tcBorders>
            <w:vAlign w:val="center"/>
          </w:tcPr>
          <w:p w14:paraId="0E35150B"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1nvestRhodium</w:t>
            </w:r>
          </w:p>
        </w:tc>
        <w:tc>
          <w:tcPr>
            <w:tcW w:w="851" w:type="dxa"/>
            <w:vAlign w:val="center"/>
          </w:tcPr>
          <w:p w14:paraId="25750543"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1557B302"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170,67%</w:t>
            </w:r>
          </w:p>
        </w:tc>
      </w:tr>
      <w:tr w:rsidR="007E1BE5" w:rsidRPr="00804DEE" w14:paraId="2E2B5596" w14:textId="77777777" w:rsidTr="006E3222">
        <w:tc>
          <w:tcPr>
            <w:tcW w:w="3289" w:type="dxa"/>
            <w:shd w:val="clear" w:color="auto" w:fill="auto"/>
            <w:vAlign w:val="center"/>
          </w:tcPr>
          <w:p w14:paraId="6DCCC529"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Standard Bank Palladium Linker</w:t>
            </w:r>
          </w:p>
        </w:tc>
        <w:tc>
          <w:tcPr>
            <w:tcW w:w="851" w:type="dxa"/>
            <w:shd w:val="clear" w:color="auto" w:fill="auto"/>
            <w:vAlign w:val="center"/>
          </w:tcPr>
          <w:p w14:paraId="63B49F9E"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ETN</w:t>
            </w:r>
          </w:p>
        </w:tc>
        <w:tc>
          <w:tcPr>
            <w:tcW w:w="1134" w:type="dxa"/>
            <w:tcBorders>
              <w:right w:val="single" w:sz="18" w:space="0" w:color="auto"/>
            </w:tcBorders>
            <w:shd w:val="clear" w:color="auto" w:fill="auto"/>
            <w:vAlign w:val="center"/>
          </w:tcPr>
          <w:p w14:paraId="235C55A1"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49,23%</w:t>
            </w:r>
          </w:p>
        </w:tc>
        <w:tc>
          <w:tcPr>
            <w:tcW w:w="3118" w:type="dxa"/>
            <w:tcBorders>
              <w:left w:val="single" w:sz="18" w:space="0" w:color="auto"/>
            </w:tcBorders>
            <w:vAlign w:val="center"/>
          </w:tcPr>
          <w:p w14:paraId="284DC42D"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1nvest S&amp;P 500 Info Tech</w:t>
            </w:r>
          </w:p>
        </w:tc>
        <w:tc>
          <w:tcPr>
            <w:tcW w:w="851" w:type="dxa"/>
            <w:vAlign w:val="center"/>
          </w:tcPr>
          <w:p w14:paraId="4A6BBF26"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2290F59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65,23%</w:t>
            </w:r>
          </w:p>
        </w:tc>
      </w:tr>
      <w:tr w:rsidR="007E1BE5" w:rsidRPr="00804DEE" w14:paraId="40A88D78" w14:textId="77777777" w:rsidTr="006E3222">
        <w:tc>
          <w:tcPr>
            <w:tcW w:w="3289" w:type="dxa"/>
            <w:shd w:val="clear" w:color="auto" w:fill="auto"/>
            <w:vAlign w:val="center"/>
          </w:tcPr>
          <w:p w14:paraId="4F7F3541"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1nvestPalladium</w:t>
            </w:r>
          </w:p>
        </w:tc>
        <w:tc>
          <w:tcPr>
            <w:tcW w:w="851" w:type="dxa"/>
            <w:shd w:val="clear" w:color="auto" w:fill="auto"/>
            <w:vAlign w:val="center"/>
          </w:tcPr>
          <w:p w14:paraId="5E2AEFAE"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right w:val="single" w:sz="18" w:space="0" w:color="auto"/>
            </w:tcBorders>
            <w:shd w:val="clear" w:color="auto" w:fill="auto"/>
            <w:vAlign w:val="center"/>
          </w:tcPr>
          <w:p w14:paraId="3039C3B9"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43,74%</w:t>
            </w:r>
          </w:p>
        </w:tc>
        <w:tc>
          <w:tcPr>
            <w:tcW w:w="3118" w:type="dxa"/>
            <w:tcBorders>
              <w:left w:val="single" w:sz="18" w:space="0" w:color="auto"/>
            </w:tcBorders>
            <w:vAlign w:val="center"/>
          </w:tcPr>
          <w:p w14:paraId="33165E0F"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Satrix Nasdaq 100</w:t>
            </w:r>
          </w:p>
        </w:tc>
        <w:tc>
          <w:tcPr>
            <w:tcW w:w="851" w:type="dxa"/>
            <w:vAlign w:val="center"/>
          </w:tcPr>
          <w:p w14:paraId="7C2334B8"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6DAA7DCA"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63,12%</w:t>
            </w:r>
          </w:p>
        </w:tc>
      </w:tr>
      <w:tr w:rsidR="007E1BE5" w:rsidRPr="00804DEE" w14:paraId="6BF74A0E" w14:textId="77777777" w:rsidTr="006E3222">
        <w:tc>
          <w:tcPr>
            <w:tcW w:w="3289" w:type="dxa"/>
            <w:shd w:val="clear" w:color="auto" w:fill="auto"/>
            <w:vAlign w:val="center"/>
          </w:tcPr>
          <w:p w14:paraId="1D47FB67"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NewGold Palladium</w:t>
            </w:r>
          </w:p>
        </w:tc>
        <w:tc>
          <w:tcPr>
            <w:tcW w:w="851" w:type="dxa"/>
            <w:shd w:val="clear" w:color="auto" w:fill="auto"/>
            <w:vAlign w:val="center"/>
          </w:tcPr>
          <w:p w14:paraId="6D846AD8"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right w:val="single" w:sz="18" w:space="0" w:color="auto"/>
            </w:tcBorders>
            <w:shd w:val="clear" w:color="auto" w:fill="auto"/>
            <w:vAlign w:val="center"/>
          </w:tcPr>
          <w:p w14:paraId="0C03C4CD"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43,70%</w:t>
            </w:r>
          </w:p>
        </w:tc>
        <w:tc>
          <w:tcPr>
            <w:tcW w:w="3118" w:type="dxa"/>
            <w:tcBorders>
              <w:left w:val="single" w:sz="18" w:space="0" w:color="auto"/>
            </w:tcBorders>
            <w:vAlign w:val="center"/>
          </w:tcPr>
          <w:p w14:paraId="07A1A858" w14:textId="77777777" w:rsidR="007E1BE5" w:rsidRPr="005B7B53" w:rsidRDefault="007E1BE5" w:rsidP="006E3222">
            <w:pPr>
              <w:pStyle w:val="BodyText2"/>
              <w:spacing w:before="20" w:after="40" w:line="280" w:lineRule="atLeast"/>
              <w:rPr>
                <w:rFonts w:ascii="Verdana" w:hAnsi="Verdana"/>
                <w:sz w:val="17"/>
                <w:szCs w:val="17"/>
              </w:rPr>
            </w:pPr>
            <w:r>
              <w:rPr>
                <w:rFonts w:ascii="Verdana" w:hAnsi="Verdana"/>
                <w:sz w:val="17"/>
                <w:szCs w:val="17"/>
              </w:rPr>
              <w:t>Standard Bank Palladium Linker</w:t>
            </w:r>
          </w:p>
        </w:tc>
        <w:tc>
          <w:tcPr>
            <w:tcW w:w="851" w:type="dxa"/>
            <w:vAlign w:val="center"/>
          </w:tcPr>
          <w:p w14:paraId="5FC3F077"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ETN</w:t>
            </w:r>
          </w:p>
        </w:tc>
        <w:tc>
          <w:tcPr>
            <w:tcW w:w="1127" w:type="dxa"/>
            <w:vAlign w:val="center"/>
          </w:tcPr>
          <w:p w14:paraId="7AECDD6B"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56,58%</w:t>
            </w:r>
          </w:p>
        </w:tc>
      </w:tr>
      <w:tr w:rsidR="007E1BE5" w:rsidRPr="00804DEE" w14:paraId="04E6C21A" w14:textId="77777777" w:rsidTr="006E3222">
        <w:tc>
          <w:tcPr>
            <w:tcW w:w="3289" w:type="dxa"/>
            <w:shd w:val="clear" w:color="auto" w:fill="auto"/>
            <w:vAlign w:val="center"/>
          </w:tcPr>
          <w:p w14:paraId="08E0E26A" w14:textId="77777777" w:rsidR="007E1BE5" w:rsidRDefault="007E1BE5" w:rsidP="006E3222">
            <w:pPr>
              <w:pStyle w:val="BodyText2"/>
              <w:spacing w:before="20" w:after="40" w:line="280" w:lineRule="atLeast"/>
              <w:rPr>
                <w:rFonts w:ascii="Verdana" w:hAnsi="Verdana"/>
                <w:sz w:val="17"/>
                <w:szCs w:val="17"/>
              </w:rPr>
            </w:pPr>
            <w:r>
              <w:rPr>
                <w:rFonts w:ascii="Verdana" w:hAnsi="Verdana"/>
                <w:sz w:val="17"/>
                <w:szCs w:val="17"/>
              </w:rPr>
              <w:t>1nvest Gold</w:t>
            </w:r>
          </w:p>
        </w:tc>
        <w:tc>
          <w:tcPr>
            <w:tcW w:w="851" w:type="dxa"/>
            <w:shd w:val="clear" w:color="auto" w:fill="auto"/>
            <w:vAlign w:val="center"/>
          </w:tcPr>
          <w:p w14:paraId="365AC291" w14:textId="77777777" w:rsidR="007E1BE5"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34" w:type="dxa"/>
            <w:tcBorders>
              <w:right w:val="single" w:sz="18" w:space="0" w:color="auto"/>
            </w:tcBorders>
            <w:shd w:val="clear" w:color="auto" w:fill="auto"/>
            <w:vAlign w:val="center"/>
          </w:tcPr>
          <w:p w14:paraId="52E70825"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23,37%</w:t>
            </w:r>
          </w:p>
        </w:tc>
        <w:tc>
          <w:tcPr>
            <w:tcW w:w="3118" w:type="dxa"/>
            <w:tcBorders>
              <w:left w:val="single" w:sz="18" w:space="0" w:color="auto"/>
            </w:tcBorders>
            <w:vAlign w:val="center"/>
          </w:tcPr>
          <w:p w14:paraId="04305A9F" w14:textId="77777777" w:rsidR="007E1BE5" w:rsidRDefault="007E1BE5" w:rsidP="006E3222">
            <w:pPr>
              <w:pStyle w:val="BodyText2"/>
              <w:spacing w:before="20" w:after="40" w:line="280" w:lineRule="atLeast"/>
              <w:rPr>
                <w:rFonts w:ascii="Verdana" w:hAnsi="Verdana"/>
                <w:sz w:val="17"/>
                <w:szCs w:val="17"/>
              </w:rPr>
            </w:pPr>
            <w:r>
              <w:rPr>
                <w:rFonts w:ascii="Verdana" w:hAnsi="Verdana"/>
                <w:sz w:val="17"/>
                <w:szCs w:val="17"/>
              </w:rPr>
              <w:t>NewGold</w:t>
            </w:r>
          </w:p>
        </w:tc>
        <w:tc>
          <w:tcPr>
            <w:tcW w:w="851" w:type="dxa"/>
            <w:vAlign w:val="center"/>
          </w:tcPr>
          <w:p w14:paraId="4E113DCF" w14:textId="77777777" w:rsidR="007E1BE5"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ETF</w:t>
            </w:r>
          </w:p>
        </w:tc>
        <w:tc>
          <w:tcPr>
            <w:tcW w:w="1127" w:type="dxa"/>
            <w:vAlign w:val="center"/>
          </w:tcPr>
          <w:p w14:paraId="067D02F2" w14:textId="77777777" w:rsidR="007E1BE5" w:rsidRPr="005B7B5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54,93%</w:t>
            </w:r>
          </w:p>
        </w:tc>
      </w:tr>
      <w:tr w:rsidR="007E1BE5" w:rsidRPr="00804DEE" w14:paraId="66D1EC1C" w14:textId="77777777" w:rsidTr="006E3222">
        <w:tc>
          <w:tcPr>
            <w:tcW w:w="3289" w:type="dxa"/>
            <w:shd w:val="clear" w:color="auto" w:fill="auto"/>
            <w:vAlign w:val="center"/>
          </w:tcPr>
          <w:p w14:paraId="23B11E2A"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NewGold</w:t>
            </w:r>
          </w:p>
        </w:tc>
        <w:tc>
          <w:tcPr>
            <w:tcW w:w="851" w:type="dxa"/>
            <w:shd w:val="clear" w:color="auto" w:fill="auto"/>
            <w:vAlign w:val="center"/>
          </w:tcPr>
          <w:p w14:paraId="5CDEE602"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right w:val="single" w:sz="18" w:space="0" w:color="auto"/>
            </w:tcBorders>
            <w:shd w:val="clear" w:color="auto" w:fill="auto"/>
            <w:vAlign w:val="center"/>
          </w:tcPr>
          <w:p w14:paraId="6E2AAFC5"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23,29%</w:t>
            </w:r>
          </w:p>
        </w:tc>
        <w:tc>
          <w:tcPr>
            <w:tcW w:w="3118" w:type="dxa"/>
            <w:tcBorders>
              <w:left w:val="single" w:sz="18" w:space="0" w:color="auto"/>
            </w:tcBorders>
            <w:vAlign w:val="center"/>
          </w:tcPr>
          <w:p w14:paraId="76A5F89F"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1nvest Gold</w:t>
            </w:r>
          </w:p>
        </w:tc>
        <w:tc>
          <w:tcPr>
            <w:tcW w:w="851" w:type="dxa"/>
            <w:vAlign w:val="center"/>
          </w:tcPr>
          <w:p w14:paraId="583FE6DE"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27" w:type="dxa"/>
            <w:vAlign w:val="center"/>
          </w:tcPr>
          <w:p w14:paraId="2688BD46"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54,55%</w:t>
            </w:r>
          </w:p>
        </w:tc>
      </w:tr>
      <w:tr w:rsidR="007E1BE5" w:rsidRPr="006E3070" w14:paraId="6746C9C0" w14:textId="77777777" w:rsidTr="006E3222">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1E5BEB87" w14:textId="77777777" w:rsidR="007E1BE5" w:rsidRPr="008D1EB3" w:rsidRDefault="007E1BE5" w:rsidP="006E3222">
            <w:pPr>
              <w:pStyle w:val="BodyText2"/>
              <w:spacing w:before="20" w:after="40" w:line="280" w:lineRule="atLeast"/>
              <w:rPr>
                <w:rFonts w:ascii="Verdana" w:hAnsi="Verdana"/>
                <w:sz w:val="17"/>
                <w:szCs w:val="17"/>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7676F76" w14:textId="77777777" w:rsidR="007E1BE5" w:rsidRPr="008D1EB3" w:rsidRDefault="007E1BE5" w:rsidP="006E3222">
            <w:pPr>
              <w:pStyle w:val="BodyText2"/>
              <w:spacing w:before="20" w:after="40" w:line="280" w:lineRule="atLeast"/>
              <w:jc w:val="center"/>
              <w:rPr>
                <w:rFonts w:ascii="Verdana" w:hAnsi="Verdana"/>
                <w:sz w:val="17"/>
                <w:szCs w:val="17"/>
              </w:rPr>
            </w:pPr>
          </w:p>
        </w:tc>
        <w:tc>
          <w:tcPr>
            <w:tcW w:w="1134" w:type="dxa"/>
            <w:tcBorders>
              <w:top w:val="single" w:sz="4" w:space="0" w:color="auto"/>
              <w:left w:val="single" w:sz="4" w:space="0" w:color="auto"/>
              <w:bottom w:val="single" w:sz="4" w:space="0" w:color="auto"/>
              <w:right w:val="single" w:sz="18" w:space="0" w:color="auto"/>
            </w:tcBorders>
            <w:shd w:val="clear" w:color="auto" w:fill="4C4C4C"/>
            <w:vAlign w:val="center"/>
          </w:tcPr>
          <w:p w14:paraId="662BDE67" w14:textId="77777777" w:rsidR="007E1BE5" w:rsidRPr="008D1EB3" w:rsidRDefault="007E1BE5" w:rsidP="006E3222">
            <w:pPr>
              <w:pStyle w:val="BodyText2"/>
              <w:spacing w:before="20" w:after="40" w:line="280" w:lineRule="atLeast"/>
              <w:jc w:val="center"/>
              <w:rPr>
                <w:rFonts w:ascii="Verdana" w:hAnsi="Verdana"/>
                <w:b/>
                <w:color w:val="FFFFFF"/>
                <w:sz w:val="17"/>
                <w:szCs w:val="17"/>
              </w:rPr>
            </w:pPr>
            <w:r w:rsidRPr="008D1EB3">
              <w:rPr>
                <w:rFonts w:ascii="Verdana" w:hAnsi="Verdana"/>
                <w:b/>
                <w:color w:val="FFFFFF"/>
                <w:sz w:val="17"/>
                <w:szCs w:val="17"/>
              </w:rPr>
              <w:t>6 Months</w:t>
            </w:r>
          </w:p>
        </w:tc>
        <w:tc>
          <w:tcPr>
            <w:tcW w:w="3118" w:type="dxa"/>
            <w:tcBorders>
              <w:top w:val="single" w:sz="4" w:space="0" w:color="auto"/>
              <w:left w:val="single" w:sz="18" w:space="0" w:color="auto"/>
              <w:bottom w:val="single" w:sz="4" w:space="0" w:color="auto"/>
              <w:right w:val="single" w:sz="4" w:space="0" w:color="auto"/>
            </w:tcBorders>
            <w:shd w:val="clear" w:color="auto" w:fill="auto"/>
            <w:vAlign w:val="center"/>
          </w:tcPr>
          <w:p w14:paraId="3BFFFBC5" w14:textId="77777777" w:rsidR="007E1BE5" w:rsidRPr="008D1EB3" w:rsidRDefault="007E1BE5" w:rsidP="006E3222">
            <w:pPr>
              <w:pStyle w:val="BodyText2"/>
              <w:spacing w:before="20" w:after="40" w:line="280" w:lineRule="atLeast"/>
              <w:rPr>
                <w:rFonts w:ascii="Verdana" w:hAnsi="Verdana"/>
                <w:sz w:val="17"/>
                <w:szCs w:val="17"/>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6A930D" w14:textId="77777777" w:rsidR="007E1BE5" w:rsidRPr="008D1EB3" w:rsidRDefault="007E1BE5" w:rsidP="006E3222">
            <w:pPr>
              <w:pStyle w:val="BodyText2"/>
              <w:spacing w:before="20" w:after="40" w:line="280" w:lineRule="atLeast"/>
              <w:jc w:val="center"/>
              <w:rPr>
                <w:rFonts w:ascii="Verdana" w:hAnsi="Verdana"/>
                <w:sz w:val="17"/>
                <w:szCs w:val="17"/>
              </w:rPr>
            </w:pPr>
          </w:p>
        </w:tc>
        <w:tc>
          <w:tcPr>
            <w:tcW w:w="1127" w:type="dxa"/>
            <w:tcBorders>
              <w:top w:val="single" w:sz="4" w:space="0" w:color="auto"/>
              <w:left w:val="single" w:sz="4" w:space="0" w:color="auto"/>
              <w:bottom w:val="single" w:sz="4" w:space="0" w:color="auto"/>
              <w:right w:val="single" w:sz="4" w:space="0" w:color="auto"/>
            </w:tcBorders>
            <w:shd w:val="clear" w:color="auto" w:fill="4C4C4C"/>
          </w:tcPr>
          <w:p w14:paraId="21983570" w14:textId="77777777" w:rsidR="007E1BE5" w:rsidRPr="008D1EB3" w:rsidRDefault="007E1BE5" w:rsidP="006E3222">
            <w:pPr>
              <w:pStyle w:val="BodyText2"/>
              <w:spacing w:before="20" w:after="40" w:line="280" w:lineRule="atLeast"/>
              <w:jc w:val="center"/>
              <w:rPr>
                <w:rFonts w:ascii="Verdana" w:hAnsi="Verdana"/>
                <w:b/>
                <w:color w:val="FFFFFF"/>
                <w:sz w:val="17"/>
                <w:szCs w:val="17"/>
              </w:rPr>
            </w:pPr>
            <w:r w:rsidRPr="008D1EB3">
              <w:rPr>
                <w:rFonts w:ascii="Verdana" w:hAnsi="Verdana"/>
                <w:b/>
                <w:color w:val="FFFFFF"/>
                <w:sz w:val="17"/>
                <w:szCs w:val="17"/>
              </w:rPr>
              <w:t>3 Months</w:t>
            </w:r>
          </w:p>
        </w:tc>
      </w:tr>
      <w:tr w:rsidR="007E1BE5" w14:paraId="386CE2AD" w14:textId="77777777" w:rsidTr="006E3222">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21B6B035"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1nvestRhodium</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892927B"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tcPr>
          <w:p w14:paraId="2A0A5F7D"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52,28%</w:t>
            </w:r>
          </w:p>
        </w:tc>
        <w:tc>
          <w:tcPr>
            <w:tcW w:w="3118" w:type="dxa"/>
            <w:tcBorders>
              <w:top w:val="single" w:sz="4" w:space="0" w:color="auto"/>
              <w:left w:val="single" w:sz="18" w:space="0" w:color="auto"/>
              <w:bottom w:val="single" w:sz="4" w:space="0" w:color="auto"/>
              <w:right w:val="single" w:sz="4" w:space="0" w:color="auto"/>
            </w:tcBorders>
            <w:vAlign w:val="center"/>
          </w:tcPr>
          <w:p w14:paraId="6AFDF9FA" w14:textId="1BB0BF7E"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UBS U</w:t>
            </w:r>
            <w:r>
              <w:rPr>
                <w:rFonts w:ascii="Verdana" w:hAnsi="Verdana"/>
                <w:sz w:val="17"/>
                <w:szCs w:val="17"/>
              </w:rPr>
              <w:t>A</w:t>
            </w:r>
            <w:r w:rsidRPr="008D1EB3">
              <w:rPr>
                <w:rFonts w:ascii="Verdana" w:hAnsi="Verdana"/>
                <w:sz w:val="17"/>
                <w:szCs w:val="17"/>
              </w:rPr>
              <w:t>B</w:t>
            </w:r>
            <w:r>
              <w:rPr>
                <w:rFonts w:ascii="Verdana" w:hAnsi="Verdana"/>
                <w:sz w:val="17"/>
                <w:szCs w:val="17"/>
              </w:rPr>
              <w:t>C</w:t>
            </w:r>
            <w:r w:rsidRPr="008D1EB3">
              <w:rPr>
                <w:rFonts w:ascii="Verdana" w:hAnsi="Verdana"/>
                <w:sz w:val="17"/>
                <w:szCs w:val="17"/>
              </w:rPr>
              <w:t>PA (Anbro Unicorn)</w:t>
            </w:r>
          </w:p>
        </w:tc>
        <w:tc>
          <w:tcPr>
            <w:tcW w:w="851" w:type="dxa"/>
            <w:tcBorders>
              <w:top w:val="single" w:sz="4" w:space="0" w:color="auto"/>
              <w:left w:val="single" w:sz="4" w:space="0" w:color="auto"/>
              <w:bottom w:val="single" w:sz="4" w:space="0" w:color="auto"/>
              <w:right w:val="single" w:sz="4" w:space="0" w:color="auto"/>
            </w:tcBorders>
            <w:vAlign w:val="center"/>
          </w:tcPr>
          <w:p w14:paraId="2C6BD52C"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ETN</w:t>
            </w:r>
          </w:p>
        </w:tc>
        <w:tc>
          <w:tcPr>
            <w:tcW w:w="1127" w:type="dxa"/>
            <w:tcBorders>
              <w:top w:val="single" w:sz="4" w:space="0" w:color="auto"/>
              <w:left w:val="single" w:sz="4" w:space="0" w:color="auto"/>
              <w:bottom w:val="single" w:sz="4" w:space="0" w:color="auto"/>
              <w:right w:val="single" w:sz="4" w:space="0" w:color="auto"/>
            </w:tcBorders>
            <w:vAlign w:val="center"/>
          </w:tcPr>
          <w:p w14:paraId="3FDDBB72"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47,88%</w:t>
            </w:r>
          </w:p>
        </w:tc>
      </w:tr>
      <w:tr w:rsidR="007E1BE5" w:rsidRPr="00804DEE" w14:paraId="461E25FB" w14:textId="77777777" w:rsidTr="006E3222">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4440CDA8"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1nvest Gold</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1E7276"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tcPr>
          <w:p w14:paraId="7C19D6D4"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44,47%</w:t>
            </w:r>
          </w:p>
        </w:tc>
        <w:tc>
          <w:tcPr>
            <w:tcW w:w="3118" w:type="dxa"/>
            <w:tcBorders>
              <w:top w:val="single" w:sz="4" w:space="0" w:color="auto"/>
              <w:left w:val="single" w:sz="18" w:space="0" w:color="auto"/>
              <w:right w:val="single" w:sz="4" w:space="0" w:color="auto"/>
            </w:tcBorders>
            <w:vAlign w:val="center"/>
          </w:tcPr>
          <w:p w14:paraId="06538B8A"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Satrix RESI 10</w:t>
            </w:r>
          </w:p>
        </w:tc>
        <w:tc>
          <w:tcPr>
            <w:tcW w:w="851" w:type="dxa"/>
            <w:tcBorders>
              <w:top w:val="single" w:sz="4" w:space="0" w:color="auto"/>
              <w:left w:val="single" w:sz="4" w:space="0" w:color="auto"/>
              <w:right w:val="single" w:sz="4" w:space="0" w:color="auto"/>
            </w:tcBorders>
            <w:vAlign w:val="center"/>
          </w:tcPr>
          <w:p w14:paraId="4E1CDECF"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27" w:type="dxa"/>
            <w:tcBorders>
              <w:top w:val="single" w:sz="4" w:space="0" w:color="auto"/>
              <w:left w:val="single" w:sz="4" w:space="0" w:color="auto"/>
              <w:right w:val="single" w:sz="4" w:space="0" w:color="auto"/>
            </w:tcBorders>
            <w:vAlign w:val="center"/>
          </w:tcPr>
          <w:p w14:paraId="449C9573"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41,19%</w:t>
            </w:r>
          </w:p>
        </w:tc>
      </w:tr>
      <w:tr w:rsidR="007E1BE5" w:rsidRPr="00804DEE" w14:paraId="72AD7583" w14:textId="77777777" w:rsidTr="006E3222">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0DA3F9C9"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 xml:space="preserve">NewGold </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B24133"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tcPr>
          <w:p w14:paraId="5F7C2FAC"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44,43%</w:t>
            </w:r>
          </w:p>
        </w:tc>
        <w:tc>
          <w:tcPr>
            <w:tcW w:w="3118" w:type="dxa"/>
            <w:tcBorders>
              <w:left w:val="single" w:sz="18" w:space="0" w:color="auto"/>
              <w:bottom w:val="single" w:sz="4" w:space="0" w:color="auto"/>
              <w:right w:val="single" w:sz="4" w:space="0" w:color="auto"/>
            </w:tcBorders>
            <w:vAlign w:val="center"/>
          </w:tcPr>
          <w:p w14:paraId="3A3DB3C6"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Satrix Equally Weighted Top 40</w:t>
            </w:r>
          </w:p>
        </w:tc>
        <w:tc>
          <w:tcPr>
            <w:tcW w:w="851" w:type="dxa"/>
            <w:tcBorders>
              <w:left w:val="single" w:sz="4" w:space="0" w:color="auto"/>
              <w:bottom w:val="single" w:sz="4" w:space="0" w:color="auto"/>
              <w:right w:val="single" w:sz="4" w:space="0" w:color="auto"/>
            </w:tcBorders>
            <w:vAlign w:val="center"/>
          </w:tcPr>
          <w:p w14:paraId="6C26880C"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U Trust</w:t>
            </w:r>
          </w:p>
        </w:tc>
        <w:tc>
          <w:tcPr>
            <w:tcW w:w="1127" w:type="dxa"/>
            <w:tcBorders>
              <w:left w:val="single" w:sz="4" w:space="0" w:color="auto"/>
              <w:bottom w:val="single" w:sz="4" w:space="0" w:color="auto"/>
              <w:right w:val="single" w:sz="4" w:space="0" w:color="auto"/>
            </w:tcBorders>
            <w:vAlign w:val="center"/>
          </w:tcPr>
          <w:p w14:paraId="1D3E1B63" w14:textId="77777777" w:rsidR="007E1BE5" w:rsidRPr="008D1EB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30,39%</w:t>
            </w:r>
          </w:p>
        </w:tc>
      </w:tr>
      <w:tr w:rsidR="007E1BE5" w:rsidRPr="00804DEE" w14:paraId="6681E9A6" w14:textId="77777777" w:rsidTr="006E3222">
        <w:trPr>
          <w:trHeight w:val="234"/>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0382068C"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FirstRand Krugerrand Certificate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41E853"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tcPr>
          <w:p w14:paraId="317A8C39"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44,35%</w:t>
            </w:r>
          </w:p>
        </w:tc>
        <w:tc>
          <w:tcPr>
            <w:tcW w:w="3118" w:type="dxa"/>
            <w:tcBorders>
              <w:left w:val="single" w:sz="18" w:space="0" w:color="auto"/>
              <w:bottom w:val="single" w:sz="4" w:space="0" w:color="auto"/>
              <w:right w:val="single" w:sz="4" w:space="0" w:color="auto"/>
            </w:tcBorders>
            <w:vAlign w:val="center"/>
          </w:tcPr>
          <w:p w14:paraId="456238E7"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1nvest Sector Neutral Momentum</w:t>
            </w:r>
          </w:p>
        </w:tc>
        <w:tc>
          <w:tcPr>
            <w:tcW w:w="851" w:type="dxa"/>
            <w:tcBorders>
              <w:left w:val="single" w:sz="4" w:space="0" w:color="auto"/>
              <w:bottom w:val="single" w:sz="4" w:space="0" w:color="auto"/>
              <w:right w:val="single" w:sz="4" w:space="0" w:color="auto"/>
            </w:tcBorders>
            <w:vAlign w:val="center"/>
          </w:tcPr>
          <w:p w14:paraId="642DD9B8"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U Trust</w:t>
            </w:r>
          </w:p>
        </w:tc>
        <w:tc>
          <w:tcPr>
            <w:tcW w:w="1127" w:type="dxa"/>
            <w:tcBorders>
              <w:left w:val="single" w:sz="4" w:space="0" w:color="auto"/>
              <w:bottom w:val="single" w:sz="4" w:space="0" w:color="auto"/>
              <w:right w:val="single" w:sz="4" w:space="0" w:color="auto"/>
            </w:tcBorders>
            <w:vAlign w:val="center"/>
          </w:tcPr>
          <w:p w14:paraId="4E0665F3" w14:textId="77777777" w:rsidR="007E1BE5" w:rsidRPr="008D1EB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29,92%</w:t>
            </w:r>
          </w:p>
        </w:tc>
      </w:tr>
      <w:tr w:rsidR="007E1BE5" w:rsidRPr="00804DEE" w14:paraId="5DDF31A1" w14:textId="77777777" w:rsidTr="006E3222">
        <w:trPr>
          <w:trHeight w:val="234"/>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20ED855C"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Satrix Nasdaq 100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321DE28"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tcPr>
          <w:p w14:paraId="55548629"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43,22%</w:t>
            </w:r>
          </w:p>
        </w:tc>
        <w:tc>
          <w:tcPr>
            <w:tcW w:w="3118" w:type="dxa"/>
            <w:tcBorders>
              <w:left w:val="single" w:sz="18" w:space="0" w:color="auto"/>
              <w:bottom w:val="single" w:sz="4" w:space="0" w:color="auto"/>
              <w:right w:val="single" w:sz="4" w:space="0" w:color="auto"/>
            </w:tcBorders>
            <w:vAlign w:val="center"/>
          </w:tcPr>
          <w:p w14:paraId="26ABC6BC" w14:textId="77777777" w:rsidR="007E1BE5" w:rsidRPr="008D1EB3" w:rsidRDefault="007E1BE5" w:rsidP="006E3222">
            <w:pPr>
              <w:pStyle w:val="BodyText2"/>
              <w:spacing w:before="20" w:after="40" w:line="280" w:lineRule="atLeast"/>
              <w:rPr>
                <w:rFonts w:ascii="Verdana" w:hAnsi="Verdana"/>
                <w:sz w:val="17"/>
                <w:szCs w:val="17"/>
              </w:rPr>
            </w:pPr>
            <w:r>
              <w:rPr>
                <w:rFonts w:ascii="Verdana" w:hAnsi="Verdana"/>
                <w:sz w:val="17"/>
                <w:szCs w:val="17"/>
              </w:rPr>
              <w:t>NewFunds</w:t>
            </w:r>
            <w:r w:rsidRPr="008D1EB3">
              <w:rPr>
                <w:rFonts w:ascii="Verdana" w:hAnsi="Verdana"/>
                <w:sz w:val="17"/>
                <w:szCs w:val="17"/>
              </w:rPr>
              <w:t xml:space="preserve"> Shari’ah</w:t>
            </w:r>
            <w:r>
              <w:rPr>
                <w:rFonts w:ascii="Verdana" w:hAnsi="Verdana"/>
                <w:sz w:val="17"/>
                <w:szCs w:val="17"/>
              </w:rPr>
              <w:t xml:space="preserve"> Top 40</w:t>
            </w:r>
          </w:p>
        </w:tc>
        <w:tc>
          <w:tcPr>
            <w:tcW w:w="851" w:type="dxa"/>
            <w:tcBorders>
              <w:left w:val="single" w:sz="4" w:space="0" w:color="auto"/>
              <w:bottom w:val="single" w:sz="4" w:space="0" w:color="auto"/>
              <w:right w:val="single" w:sz="4" w:space="0" w:color="auto"/>
            </w:tcBorders>
            <w:vAlign w:val="center"/>
          </w:tcPr>
          <w:p w14:paraId="26F3ED18"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27" w:type="dxa"/>
            <w:tcBorders>
              <w:left w:val="single" w:sz="4" w:space="0" w:color="auto"/>
              <w:bottom w:val="single" w:sz="4" w:space="0" w:color="auto"/>
              <w:right w:val="single" w:sz="4" w:space="0" w:color="auto"/>
            </w:tcBorders>
            <w:vAlign w:val="center"/>
          </w:tcPr>
          <w:p w14:paraId="76DB808A" w14:textId="77777777" w:rsidR="007E1BE5" w:rsidRPr="008D1EB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29,59%s</w:t>
            </w:r>
          </w:p>
        </w:tc>
      </w:tr>
      <w:tr w:rsidR="007E1BE5" w:rsidRPr="00804DEE" w14:paraId="3F51FD62" w14:textId="77777777" w:rsidTr="006E3222">
        <w:trPr>
          <w:trHeight w:val="234"/>
        </w:trPr>
        <w:tc>
          <w:tcPr>
            <w:tcW w:w="3289" w:type="dxa"/>
            <w:tcBorders>
              <w:top w:val="single" w:sz="4" w:space="0" w:color="auto"/>
              <w:left w:val="single" w:sz="4" w:space="0" w:color="auto"/>
              <w:bottom w:val="single" w:sz="4" w:space="0" w:color="auto"/>
              <w:right w:val="single" w:sz="4" w:space="0" w:color="auto"/>
            </w:tcBorders>
            <w:shd w:val="clear" w:color="auto" w:fill="auto"/>
            <w:vAlign w:val="center"/>
          </w:tcPr>
          <w:p w14:paraId="567FE54C"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1nvest S&amp;P 500 Info Tech</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38C7F76"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ETF</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tcPr>
          <w:p w14:paraId="40028618"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40,53%</w:t>
            </w:r>
          </w:p>
        </w:tc>
        <w:tc>
          <w:tcPr>
            <w:tcW w:w="3118" w:type="dxa"/>
            <w:tcBorders>
              <w:left w:val="single" w:sz="18" w:space="0" w:color="auto"/>
              <w:bottom w:val="single" w:sz="4" w:space="0" w:color="auto"/>
              <w:right w:val="single" w:sz="4" w:space="0" w:color="auto"/>
            </w:tcBorders>
            <w:vAlign w:val="center"/>
          </w:tcPr>
          <w:p w14:paraId="3BDF1159" w14:textId="77777777" w:rsidR="007E1BE5" w:rsidRPr="008D1EB3" w:rsidRDefault="007E1BE5" w:rsidP="006E3222">
            <w:pPr>
              <w:pStyle w:val="BodyText2"/>
              <w:spacing w:before="20" w:after="40" w:line="280" w:lineRule="atLeast"/>
              <w:rPr>
                <w:rFonts w:ascii="Verdana" w:hAnsi="Verdana"/>
                <w:sz w:val="17"/>
                <w:szCs w:val="17"/>
              </w:rPr>
            </w:pPr>
            <w:r w:rsidRPr="008D1EB3">
              <w:rPr>
                <w:rFonts w:ascii="Verdana" w:hAnsi="Verdana"/>
                <w:sz w:val="17"/>
                <w:szCs w:val="17"/>
              </w:rPr>
              <w:t>Sygnia Listed Property</w:t>
            </w:r>
          </w:p>
        </w:tc>
        <w:tc>
          <w:tcPr>
            <w:tcW w:w="851" w:type="dxa"/>
            <w:tcBorders>
              <w:left w:val="single" w:sz="4" w:space="0" w:color="auto"/>
              <w:bottom w:val="single" w:sz="4" w:space="0" w:color="auto"/>
              <w:right w:val="single" w:sz="4" w:space="0" w:color="auto"/>
            </w:tcBorders>
            <w:vAlign w:val="center"/>
          </w:tcPr>
          <w:p w14:paraId="77A959DF" w14:textId="77777777" w:rsidR="007E1BE5" w:rsidRPr="008D1EB3" w:rsidRDefault="007E1BE5" w:rsidP="006E3222">
            <w:pPr>
              <w:pStyle w:val="BodyText2"/>
              <w:spacing w:before="20" w:after="40" w:line="280" w:lineRule="atLeast"/>
              <w:jc w:val="center"/>
              <w:rPr>
                <w:rFonts w:ascii="Verdana" w:hAnsi="Verdana"/>
                <w:sz w:val="17"/>
                <w:szCs w:val="17"/>
              </w:rPr>
            </w:pPr>
            <w:r w:rsidRPr="008D1EB3">
              <w:rPr>
                <w:rFonts w:ascii="Verdana" w:hAnsi="Verdana"/>
                <w:sz w:val="17"/>
                <w:szCs w:val="17"/>
              </w:rPr>
              <w:t>U Trust</w:t>
            </w:r>
          </w:p>
        </w:tc>
        <w:tc>
          <w:tcPr>
            <w:tcW w:w="1127" w:type="dxa"/>
            <w:tcBorders>
              <w:left w:val="single" w:sz="4" w:space="0" w:color="auto"/>
              <w:bottom w:val="single" w:sz="4" w:space="0" w:color="auto"/>
              <w:right w:val="single" w:sz="4" w:space="0" w:color="auto"/>
            </w:tcBorders>
            <w:vAlign w:val="center"/>
          </w:tcPr>
          <w:p w14:paraId="36E9B859" w14:textId="77777777" w:rsidR="007E1BE5" w:rsidRPr="008D1EB3" w:rsidRDefault="007E1BE5" w:rsidP="006E3222">
            <w:pPr>
              <w:pStyle w:val="BodyText2"/>
              <w:spacing w:before="20" w:after="40" w:line="280" w:lineRule="atLeast"/>
              <w:jc w:val="center"/>
              <w:rPr>
                <w:rFonts w:ascii="Verdana" w:hAnsi="Verdana"/>
                <w:sz w:val="17"/>
                <w:szCs w:val="17"/>
              </w:rPr>
            </w:pPr>
            <w:r>
              <w:rPr>
                <w:rFonts w:ascii="Verdana" w:hAnsi="Verdana"/>
                <w:sz w:val="17"/>
                <w:szCs w:val="17"/>
              </w:rPr>
              <w:t>28,95%</w:t>
            </w:r>
          </w:p>
        </w:tc>
      </w:tr>
      <w:tr w:rsidR="007E1BE5" w:rsidRPr="00804DEE" w14:paraId="0A7DE32B" w14:textId="77777777" w:rsidTr="006E3222">
        <w:tc>
          <w:tcPr>
            <w:tcW w:w="1037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726447" w14:textId="77777777" w:rsidR="007E1BE5" w:rsidRPr="005B7B53" w:rsidRDefault="007E1BE5" w:rsidP="006E3222">
            <w:pPr>
              <w:pStyle w:val="BodyText2"/>
              <w:spacing w:before="20" w:after="40" w:line="260" w:lineRule="atLeast"/>
              <w:rPr>
                <w:rFonts w:ascii="Verdana" w:hAnsi="Verdana"/>
                <w:i/>
                <w:sz w:val="14"/>
                <w:szCs w:val="14"/>
              </w:rPr>
            </w:pPr>
            <w:r w:rsidRPr="005B7B53">
              <w:rPr>
                <w:rFonts w:ascii="Verdana" w:hAnsi="Verdana"/>
                <w:i/>
                <w:sz w:val="14"/>
                <w:szCs w:val="14"/>
              </w:rPr>
              <w:t>Source: etfSA.co.za / Profile Media Funds Data (</w:t>
            </w:r>
            <w:r>
              <w:rPr>
                <w:rFonts w:ascii="Verdana" w:hAnsi="Verdana"/>
                <w:i/>
                <w:sz w:val="14"/>
                <w:szCs w:val="14"/>
              </w:rPr>
              <w:t>30/6</w:t>
            </w:r>
            <w:r w:rsidRPr="005B7B53">
              <w:rPr>
                <w:rFonts w:ascii="Verdana" w:hAnsi="Verdana"/>
                <w:i/>
                <w:sz w:val="14"/>
                <w:szCs w:val="14"/>
              </w:rPr>
              <w:t>/20</w:t>
            </w:r>
            <w:r>
              <w:rPr>
                <w:rFonts w:ascii="Verdana" w:hAnsi="Verdana"/>
                <w:i/>
                <w:sz w:val="14"/>
                <w:szCs w:val="14"/>
              </w:rPr>
              <w:t>20</w:t>
            </w:r>
            <w:r w:rsidRPr="005B7B53">
              <w:rPr>
                <w:rFonts w:ascii="Verdana" w:hAnsi="Verdana"/>
                <w:i/>
                <w:sz w:val="14"/>
                <w:szCs w:val="14"/>
              </w:rPr>
              <w:t xml:space="preserve">)                   * Includes reinvestment of dividends. </w:t>
            </w:r>
          </w:p>
        </w:tc>
      </w:tr>
      <w:bookmarkEnd w:id="3"/>
    </w:tbl>
    <w:p w14:paraId="77AE55A4" w14:textId="0025D8BE" w:rsidR="007E1BE5" w:rsidRPr="00000A2B" w:rsidRDefault="007E1BE5" w:rsidP="00E744F9">
      <w:pPr>
        <w:tabs>
          <w:tab w:val="left" w:pos="8931"/>
        </w:tabs>
        <w:spacing w:after="120" w:line="280" w:lineRule="atLeast"/>
        <w:jc w:val="both"/>
        <w:rPr>
          <w:rFonts w:ascii="Verdana" w:hAnsi="Verdana"/>
          <w:sz w:val="18"/>
          <w:szCs w:val="18"/>
        </w:rPr>
        <w:sectPr w:rsidR="007E1BE5" w:rsidRPr="00000A2B" w:rsidSect="00A77061">
          <w:footerReference w:type="default" r:id="rId9"/>
          <w:pgSz w:w="11906" w:h="16838" w:code="9"/>
          <w:pgMar w:top="794" w:right="567" w:bottom="510" w:left="851" w:header="567" w:footer="227" w:gutter="0"/>
          <w:cols w:space="708"/>
          <w:docGrid w:linePitch="360"/>
        </w:sectPr>
      </w:pPr>
    </w:p>
    <w:p w14:paraId="61AEAF8E" w14:textId="77777777" w:rsidR="006C22DE" w:rsidRPr="00B81A28" w:rsidRDefault="006C22DE" w:rsidP="006C22DE">
      <w:pPr>
        <w:spacing w:after="0" w:line="240" w:lineRule="auto"/>
        <w:rPr>
          <w:rFonts w:ascii="Verdana" w:hAnsi="Verdana"/>
          <w:sz w:val="16"/>
          <w:szCs w:val="16"/>
        </w:rPr>
      </w:pPr>
      <w:bookmarkStart w:id="4" w:name="OLE_LINK2"/>
      <w:bookmarkStart w:id="5" w:name="_Hlk486833454"/>
      <w:bookmarkStart w:id="6" w:name="_Hlk507492151"/>
      <w:bookmarkEnd w:id="4"/>
      <w:r w:rsidRPr="00B81A28">
        <w:rPr>
          <w:rFonts w:ascii="Verdana" w:hAnsi="Verdana"/>
          <w:noProof/>
          <w:lang w:eastAsia="en-ZA"/>
        </w:rPr>
        <w:lastRenderedPageBreak/>
        <w:drawing>
          <wp:inline distT="0" distB="0" distL="0" distR="0" wp14:anchorId="7DAC2D31" wp14:editId="514EB14D">
            <wp:extent cx="3735070" cy="784860"/>
            <wp:effectExtent l="0" t="0" r="0" b="0"/>
            <wp:docPr id="5" name="Picture 5"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5070" cy="784860"/>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4F4C5C08" w14:textId="77777777" w:rsidTr="000B2FD6">
        <w:tc>
          <w:tcPr>
            <w:tcW w:w="14884" w:type="dxa"/>
            <w:gridSpan w:val="10"/>
            <w:shd w:val="clear" w:color="auto" w:fill="CB2229"/>
            <w:vAlign w:val="center"/>
          </w:tcPr>
          <w:p w14:paraId="0591CCEE" w14:textId="77777777" w:rsidR="006C22DE" w:rsidRPr="00B81A28" w:rsidRDefault="006C22DE" w:rsidP="000B2FD6">
            <w:pPr>
              <w:spacing w:before="40" w:after="40" w:line="320" w:lineRule="atLeast"/>
              <w:jc w:val="center"/>
              <w:rPr>
                <w:rFonts w:ascii="Verdana" w:hAnsi="Verdana"/>
                <w:b/>
                <w:color w:val="FFFFFF"/>
                <w:sz w:val="20"/>
                <w:szCs w:val="20"/>
              </w:rPr>
            </w:pPr>
            <w:bookmarkStart w:id="7" w:name="OLE_LINK3"/>
            <w:r w:rsidRPr="00B81A28">
              <w:rPr>
                <w:rFonts w:ascii="Verdana" w:hAnsi="Verdana"/>
                <w:b/>
                <w:color w:val="FFFFFF"/>
                <w:sz w:val="20"/>
                <w:szCs w:val="20"/>
              </w:rPr>
              <w:t>MONTHLY PERFORMANCE SURVEY OF INDEX TRACKING ETFS, ETNs AND UNIT TRUSTS</w:t>
            </w:r>
          </w:p>
          <w:p w14:paraId="456F80FB"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61B3F1B3"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7533A31C" w14:textId="77777777" w:rsidTr="000B2FD6">
        <w:tc>
          <w:tcPr>
            <w:tcW w:w="4536" w:type="dxa"/>
            <w:shd w:val="clear" w:color="auto" w:fill="4C4C4C"/>
          </w:tcPr>
          <w:p w14:paraId="3F739059" w14:textId="77777777" w:rsidR="006C22DE" w:rsidRPr="0067766B" w:rsidRDefault="006C22DE" w:rsidP="000B2FD6">
            <w:pPr>
              <w:spacing w:before="40" w:after="40" w:line="300" w:lineRule="atLeast"/>
              <w:rPr>
                <w:rFonts w:ascii="Verdana" w:hAnsi="Verdana"/>
                <w:b/>
                <w:caps/>
                <w:color w:val="FFFFFF"/>
                <w:sz w:val="16"/>
                <w:szCs w:val="16"/>
              </w:rPr>
            </w:pPr>
            <w:r w:rsidRPr="0067766B">
              <w:rPr>
                <w:rFonts w:ascii="Verdana" w:hAnsi="Verdana"/>
                <w:b/>
                <w:caps/>
                <w:color w:val="FFFFFF"/>
                <w:sz w:val="16"/>
                <w:szCs w:val="16"/>
              </w:rPr>
              <w:t>Domestic (SA) ETFs</w:t>
            </w:r>
          </w:p>
        </w:tc>
        <w:tc>
          <w:tcPr>
            <w:tcW w:w="1134" w:type="dxa"/>
            <w:shd w:val="clear" w:color="auto" w:fill="4C4C4C"/>
          </w:tcPr>
          <w:p w14:paraId="4F758052"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69C8A965"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52177F34"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6A77BCDD"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0E95555C"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11F8738E"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0375CCDB"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59409EDC"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1F1B4BB2"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3C4A006C" w14:textId="77777777" w:rsidTr="000B2FD6">
        <w:tc>
          <w:tcPr>
            <w:tcW w:w="14884" w:type="dxa"/>
            <w:gridSpan w:val="10"/>
            <w:shd w:val="clear" w:color="auto" w:fill="7583BD"/>
            <w:vAlign w:val="center"/>
          </w:tcPr>
          <w:p w14:paraId="590552E5" w14:textId="77777777" w:rsidR="006C22DE" w:rsidRPr="00B81A28" w:rsidRDefault="006C22DE" w:rsidP="000B2FD6">
            <w:pPr>
              <w:spacing w:before="40" w:after="40" w:line="320" w:lineRule="atLeast"/>
              <w:rPr>
                <w:rFonts w:ascii="Verdana" w:hAnsi="Verdana"/>
                <w:b/>
                <w:color w:val="FFFFFF" w:themeColor="background1"/>
                <w:sz w:val="16"/>
                <w:szCs w:val="16"/>
              </w:rPr>
            </w:pPr>
            <w:r w:rsidRPr="00B81A28">
              <w:rPr>
                <w:rFonts w:ascii="Verdana" w:hAnsi="Verdana"/>
                <w:b/>
                <w:color w:val="FFFFFF" w:themeColor="background1"/>
                <w:sz w:val="16"/>
                <w:szCs w:val="16"/>
              </w:rPr>
              <w:t>Broad Equity Market Access: Top 40</w:t>
            </w:r>
          </w:p>
        </w:tc>
      </w:tr>
      <w:tr w:rsidR="006C22DE" w:rsidRPr="00DC35BB" w14:paraId="354B664E" w14:textId="77777777" w:rsidTr="000B2FD6">
        <w:tc>
          <w:tcPr>
            <w:tcW w:w="4536" w:type="dxa"/>
          </w:tcPr>
          <w:p w14:paraId="7DFEF1EB" w14:textId="77777777" w:rsidR="006C22DE" w:rsidRPr="00DC35BB" w:rsidRDefault="006C22DE" w:rsidP="000B2FD6">
            <w:pPr>
              <w:spacing w:before="40" w:after="40" w:line="300" w:lineRule="atLeast"/>
              <w:rPr>
                <w:rFonts w:ascii="Verdana" w:hAnsi="Verdana"/>
                <w:b/>
                <w:sz w:val="16"/>
                <w:szCs w:val="16"/>
              </w:rPr>
            </w:pPr>
            <w:r>
              <w:rPr>
                <w:rFonts w:ascii="Verdana" w:hAnsi="Verdana"/>
                <w:b/>
                <w:sz w:val="16"/>
                <w:szCs w:val="16"/>
              </w:rPr>
              <w:t>FTSE/JSE Top 40 Index</w:t>
            </w:r>
          </w:p>
        </w:tc>
        <w:tc>
          <w:tcPr>
            <w:tcW w:w="1134" w:type="dxa"/>
          </w:tcPr>
          <w:p w14:paraId="3893B789" w14:textId="489C8643" w:rsidR="006C22DE" w:rsidRPr="00DC35BB" w:rsidRDefault="00A3331C" w:rsidP="000B2FD6">
            <w:pPr>
              <w:tabs>
                <w:tab w:val="left" w:pos="1050"/>
              </w:tabs>
              <w:spacing w:before="40" w:after="40" w:line="300" w:lineRule="atLeast"/>
              <w:jc w:val="center"/>
              <w:rPr>
                <w:rFonts w:ascii="Verdana" w:hAnsi="Verdana"/>
                <w:b/>
                <w:sz w:val="16"/>
                <w:szCs w:val="16"/>
              </w:rPr>
            </w:pPr>
            <w:r>
              <w:rPr>
                <w:rFonts w:ascii="Verdana" w:hAnsi="Verdana"/>
                <w:b/>
                <w:sz w:val="16"/>
                <w:szCs w:val="16"/>
              </w:rPr>
              <w:t>7,85%</w:t>
            </w:r>
          </w:p>
        </w:tc>
        <w:tc>
          <w:tcPr>
            <w:tcW w:w="1276" w:type="dxa"/>
          </w:tcPr>
          <w:p w14:paraId="15F4E3A8" w14:textId="14195444"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27,24%</w:t>
            </w:r>
          </w:p>
        </w:tc>
        <w:tc>
          <w:tcPr>
            <w:tcW w:w="1134" w:type="dxa"/>
          </w:tcPr>
          <w:p w14:paraId="6ECE522F" w14:textId="32687DC8"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(0,76%)</w:t>
            </w:r>
          </w:p>
        </w:tc>
        <w:tc>
          <w:tcPr>
            <w:tcW w:w="1134" w:type="dxa"/>
          </w:tcPr>
          <w:p w14:paraId="7C33D114" w14:textId="2D85FE1E"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(0,55%)</w:t>
            </w:r>
          </w:p>
        </w:tc>
        <w:tc>
          <w:tcPr>
            <w:tcW w:w="1134" w:type="dxa"/>
          </w:tcPr>
          <w:p w14:paraId="6AE8DDC8" w14:textId="3C2BCD9B"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1,00%</w:t>
            </w:r>
          </w:p>
        </w:tc>
        <w:tc>
          <w:tcPr>
            <w:tcW w:w="1134" w:type="dxa"/>
            <w:shd w:val="clear" w:color="auto" w:fill="auto"/>
          </w:tcPr>
          <w:p w14:paraId="029122B1" w14:textId="7B64D422"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6,68%</w:t>
            </w:r>
          </w:p>
        </w:tc>
        <w:tc>
          <w:tcPr>
            <w:tcW w:w="1134" w:type="dxa"/>
            <w:shd w:val="clear" w:color="auto" w:fill="auto"/>
          </w:tcPr>
          <w:p w14:paraId="14EC9C79" w14:textId="40F8E8C4"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4,82%</w:t>
            </w:r>
          </w:p>
        </w:tc>
        <w:tc>
          <w:tcPr>
            <w:tcW w:w="1134" w:type="dxa"/>
          </w:tcPr>
          <w:p w14:paraId="543B7BF7" w14:textId="22AF25A3"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8,49%</w:t>
            </w:r>
          </w:p>
        </w:tc>
        <w:tc>
          <w:tcPr>
            <w:tcW w:w="1134" w:type="dxa"/>
          </w:tcPr>
          <w:p w14:paraId="090F9172" w14:textId="4C153CE2"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11,23%</w:t>
            </w:r>
          </w:p>
        </w:tc>
      </w:tr>
      <w:tr w:rsidR="006C22DE" w:rsidRPr="00B81A28" w14:paraId="2175875F" w14:textId="77777777" w:rsidTr="000B2FD6">
        <w:tc>
          <w:tcPr>
            <w:tcW w:w="4536" w:type="dxa"/>
          </w:tcPr>
          <w:p w14:paraId="28A09867"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 xml:space="preserve">1nvest </w:t>
            </w:r>
            <w:r w:rsidRPr="00B81A28">
              <w:rPr>
                <w:rFonts w:ascii="Verdana" w:hAnsi="Verdana"/>
                <w:sz w:val="16"/>
                <w:szCs w:val="16"/>
              </w:rPr>
              <w:t>Top 40</w:t>
            </w:r>
          </w:p>
        </w:tc>
        <w:tc>
          <w:tcPr>
            <w:tcW w:w="1134" w:type="dxa"/>
            <w:vAlign w:val="center"/>
          </w:tcPr>
          <w:p w14:paraId="340367A2" w14:textId="73DFC3E0" w:rsidR="006C22DE" w:rsidRPr="00B81A28" w:rsidRDefault="00A3331C" w:rsidP="000B2FD6">
            <w:pPr>
              <w:tabs>
                <w:tab w:val="left" w:pos="1050"/>
              </w:tabs>
              <w:spacing w:before="40" w:after="40" w:line="300" w:lineRule="atLeast"/>
              <w:jc w:val="center"/>
              <w:rPr>
                <w:rFonts w:ascii="Verdana" w:hAnsi="Verdana"/>
                <w:sz w:val="16"/>
                <w:szCs w:val="16"/>
              </w:rPr>
            </w:pPr>
            <w:r>
              <w:rPr>
                <w:rFonts w:ascii="Verdana" w:hAnsi="Verdana"/>
                <w:sz w:val="16"/>
                <w:szCs w:val="16"/>
              </w:rPr>
              <w:t>7,74%</w:t>
            </w:r>
          </w:p>
        </w:tc>
        <w:tc>
          <w:tcPr>
            <w:tcW w:w="1276" w:type="dxa"/>
            <w:vAlign w:val="center"/>
          </w:tcPr>
          <w:p w14:paraId="01AB7EE2" w14:textId="082CFB62"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26,72%</w:t>
            </w:r>
          </w:p>
        </w:tc>
        <w:tc>
          <w:tcPr>
            <w:tcW w:w="1134" w:type="dxa"/>
            <w:vAlign w:val="center"/>
          </w:tcPr>
          <w:p w14:paraId="2B2F4D17" w14:textId="7CC4A7B2"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(0,96%)</w:t>
            </w:r>
          </w:p>
        </w:tc>
        <w:tc>
          <w:tcPr>
            <w:tcW w:w="1134" w:type="dxa"/>
            <w:vAlign w:val="center"/>
          </w:tcPr>
          <w:p w14:paraId="50AD2C8B" w14:textId="15B79FF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(2,04%)</w:t>
            </w:r>
          </w:p>
        </w:tc>
        <w:tc>
          <w:tcPr>
            <w:tcW w:w="1134" w:type="dxa"/>
            <w:vAlign w:val="center"/>
          </w:tcPr>
          <w:p w14:paraId="1E92C264" w14:textId="6BBF1A10"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1,11%</w:t>
            </w:r>
          </w:p>
        </w:tc>
        <w:tc>
          <w:tcPr>
            <w:tcW w:w="1134" w:type="dxa"/>
            <w:shd w:val="clear" w:color="auto" w:fill="auto"/>
          </w:tcPr>
          <w:p w14:paraId="7F382D66" w14:textId="1B45E62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5,99%</w:t>
            </w:r>
          </w:p>
        </w:tc>
        <w:tc>
          <w:tcPr>
            <w:tcW w:w="1134" w:type="dxa"/>
            <w:shd w:val="clear" w:color="auto" w:fill="auto"/>
          </w:tcPr>
          <w:p w14:paraId="29328F4D" w14:textId="5BDD3797"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4,19%</w:t>
            </w:r>
          </w:p>
        </w:tc>
        <w:tc>
          <w:tcPr>
            <w:tcW w:w="1134" w:type="dxa"/>
          </w:tcPr>
          <w:p w14:paraId="13B05085" w14:textId="24A4BA3B"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7,75%</w:t>
            </w:r>
          </w:p>
        </w:tc>
        <w:tc>
          <w:tcPr>
            <w:tcW w:w="1134" w:type="dxa"/>
          </w:tcPr>
          <w:p w14:paraId="6E0DC618"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628BB83D" w14:textId="77777777" w:rsidTr="000B2FD6">
        <w:tc>
          <w:tcPr>
            <w:tcW w:w="4536" w:type="dxa"/>
          </w:tcPr>
          <w:p w14:paraId="34D71CB5"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 Swix 40</w:t>
            </w:r>
          </w:p>
        </w:tc>
        <w:tc>
          <w:tcPr>
            <w:tcW w:w="1134" w:type="dxa"/>
          </w:tcPr>
          <w:p w14:paraId="3B751363" w14:textId="2F3CA492" w:rsidR="006C22DE" w:rsidRPr="00B81A28" w:rsidRDefault="00A3331C" w:rsidP="000B2FD6">
            <w:pPr>
              <w:tabs>
                <w:tab w:val="left" w:pos="1050"/>
              </w:tabs>
              <w:spacing w:before="40" w:after="40" w:line="300" w:lineRule="atLeast"/>
              <w:jc w:val="center"/>
              <w:rPr>
                <w:rFonts w:ascii="Verdana" w:hAnsi="Verdana"/>
                <w:sz w:val="16"/>
                <w:szCs w:val="16"/>
              </w:rPr>
            </w:pPr>
            <w:r>
              <w:rPr>
                <w:rFonts w:ascii="Verdana" w:hAnsi="Verdana"/>
                <w:sz w:val="16"/>
                <w:szCs w:val="16"/>
              </w:rPr>
              <w:t>8,26%</w:t>
            </w:r>
          </w:p>
        </w:tc>
        <w:tc>
          <w:tcPr>
            <w:tcW w:w="1276" w:type="dxa"/>
          </w:tcPr>
          <w:p w14:paraId="15758952" w14:textId="06B744E7"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27,05%</w:t>
            </w:r>
          </w:p>
        </w:tc>
        <w:tc>
          <w:tcPr>
            <w:tcW w:w="1134" w:type="dxa"/>
          </w:tcPr>
          <w:p w14:paraId="5921C5C9" w14:textId="0F2802A2"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(3,79%)</w:t>
            </w:r>
          </w:p>
        </w:tc>
        <w:tc>
          <w:tcPr>
            <w:tcW w:w="1134" w:type="dxa"/>
          </w:tcPr>
          <w:p w14:paraId="7FAD964B" w14:textId="70068345"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(4,13%)</w:t>
            </w:r>
          </w:p>
        </w:tc>
        <w:tc>
          <w:tcPr>
            <w:tcW w:w="1134" w:type="dxa"/>
          </w:tcPr>
          <w:p w14:paraId="416BB920" w14:textId="0C459C30"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(2,16%)</w:t>
            </w:r>
          </w:p>
        </w:tc>
        <w:tc>
          <w:tcPr>
            <w:tcW w:w="1134" w:type="dxa"/>
            <w:shd w:val="clear" w:color="auto" w:fill="auto"/>
          </w:tcPr>
          <w:p w14:paraId="5CA9E075" w14:textId="534F7A74"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2,80%</w:t>
            </w:r>
          </w:p>
        </w:tc>
        <w:tc>
          <w:tcPr>
            <w:tcW w:w="1134" w:type="dxa"/>
            <w:shd w:val="clear" w:color="auto" w:fill="auto"/>
          </w:tcPr>
          <w:p w14:paraId="7C14CE8E" w14:textId="070645D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2,03%</w:t>
            </w:r>
          </w:p>
        </w:tc>
        <w:tc>
          <w:tcPr>
            <w:tcW w:w="1134" w:type="dxa"/>
          </w:tcPr>
          <w:p w14:paraId="4545068F" w14:textId="0CC54E0F"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7,16%</w:t>
            </w:r>
          </w:p>
        </w:tc>
        <w:tc>
          <w:tcPr>
            <w:tcW w:w="1134" w:type="dxa"/>
          </w:tcPr>
          <w:p w14:paraId="0419883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172C82D0" w14:textId="77777777" w:rsidTr="000B2FD6">
        <w:tc>
          <w:tcPr>
            <w:tcW w:w="4536" w:type="dxa"/>
          </w:tcPr>
          <w:p w14:paraId="2527EB95"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Ashburton Top 40 Portfolio</w:t>
            </w:r>
          </w:p>
        </w:tc>
        <w:tc>
          <w:tcPr>
            <w:tcW w:w="1134" w:type="dxa"/>
            <w:vAlign w:val="center"/>
          </w:tcPr>
          <w:p w14:paraId="07856A6E" w14:textId="437A4E40" w:rsidR="006C22DE" w:rsidRPr="00B81A28" w:rsidRDefault="00A3331C" w:rsidP="000B2FD6">
            <w:pPr>
              <w:tabs>
                <w:tab w:val="left" w:pos="1050"/>
              </w:tabs>
              <w:spacing w:before="40" w:after="40" w:line="300" w:lineRule="atLeast"/>
              <w:jc w:val="center"/>
              <w:rPr>
                <w:rFonts w:ascii="Verdana" w:hAnsi="Verdana"/>
                <w:sz w:val="16"/>
                <w:szCs w:val="16"/>
              </w:rPr>
            </w:pPr>
            <w:r>
              <w:rPr>
                <w:rFonts w:ascii="Verdana" w:hAnsi="Verdana"/>
                <w:sz w:val="16"/>
                <w:szCs w:val="16"/>
              </w:rPr>
              <w:t>7,76%</w:t>
            </w:r>
          </w:p>
        </w:tc>
        <w:tc>
          <w:tcPr>
            <w:tcW w:w="1276" w:type="dxa"/>
            <w:vAlign w:val="center"/>
          </w:tcPr>
          <w:p w14:paraId="2450B363" w14:textId="4E56FD4A"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26,88%</w:t>
            </w:r>
          </w:p>
        </w:tc>
        <w:tc>
          <w:tcPr>
            <w:tcW w:w="1134" w:type="dxa"/>
            <w:vAlign w:val="center"/>
          </w:tcPr>
          <w:p w14:paraId="46FEA3FF" w14:textId="7C97D475"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(0,94%)</w:t>
            </w:r>
          </w:p>
        </w:tc>
        <w:tc>
          <w:tcPr>
            <w:tcW w:w="1134" w:type="dxa"/>
            <w:vAlign w:val="center"/>
          </w:tcPr>
          <w:p w14:paraId="31E64EF8" w14:textId="5A36992F"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(0,73%)</w:t>
            </w:r>
          </w:p>
        </w:tc>
        <w:tc>
          <w:tcPr>
            <w:tcW w:w="1134" w:type="dxa"/>
            <w:vAlign w:val="center"/>
          </w:tcPr>
          <w:p w14:paraId="6B70580F" w14:textId="07E200EE"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1,87%</w:t>
            </w:r>
          </w:p>
        </w:tc>
        <w:tc>
          <w:tcPr>
            <w:tcW w:w="1134" w:type="dxa"/>
            <w:shd w:val="clear" w:color="auto" w:fill="auto"/>
          </w:tcPr>
          <w:p w14:paraId="4FEF1ABB" w14:textId="43B82670"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6,52%</w:t>
            </w:r>
          </w:p>
        </w:tc>
        <w:tc>
          <w:tcPr>
            <w:tcW w:w="1134" w:type="dxa"/>
            <w:shd w:val="clear" w:color="auto" w:fill="auto"/>
          </w:tcPr>
          <w:p w14:paraId="22E14556" w14:textId="1B1D5A0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4,62%</w:t>
            </w:r>
          </w:p>
        </w:tc>
        <w:tc>
          <w:tcPr>
            <w:tcW w:w="1134" w:type="dxa"/>
          </w:tcPr>
          <w:p w14:paraId="372DC012" w14:textId="0A8F1AF8"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8,25%</w:t>
            </w:r>
          </w:p>
        </w:tc>
        <w:tc>
          <w:tcPr>
            <w:tcW w:w="1134" w:type="dxa"/>
          </w:tcPr>
          <w:p w14:paraId="712E457B" w14:textId="156E1961"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10,99%</w:t>
            </w:r>
          </w:p>
        </w:tc>
      </w:tr>
      <w:tr w:rsidR="006C22DE" w:rsidRPr="00B81A28" w14:paraId="3066CD8C" w14:textId="77777777" w:rsidTr="000B2FD6">
        <w:tc>
          <w:tcPr>
            <w:tcW w:w="4536" w:type="dxa"/>
          </w:tcPr>
          <w:p w14:paraId="21A3143F"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Satrix 40 Portfolio</w:t>
            </w:r>
          </w:p>
        </w:tc>
        <w:tc>
          <w:tcPr>
            <w:tcW w:w="1134" w:type="dxa"/>
          </w:tcPr>
          <w:p w14:paraId="084C6E96" w14:textId="3539E487"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7,76%</w:t>
            </w:r>
          </w:p>
        </w:tc>
        <w:tc>
          <w:tcPr>
            <w:tcW w:w="1276" w:type="dxa"/>
          </w:tcPr>
          <w:p w14:paraId="773B1EB8" w14:textId="7FCE17C8"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26,86%</w:t>
            </w:r>
          </w:p>
        </w:tc>
        <w:tc>
          <w:tcPr>
            <w:tcW w:w="1134" w:type="dxa"/>
          </w:tcPr>
          <w:p w14:paraId="32167BD2" w14:textId="52D2D401"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(0,94%)</w:t>
            </w:r>
          </w:p>
        </w:tc>
        <w:tc>
          <w:tcPr>
            <w:tcW w:w="1134" w:type="dxa"/>
          </w:tcPr>
          <w:p w14:paraId="2398EE40" w14:textId="5D9F73D5"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(0,80%)</w:t>
            </w:r>
          </w:p>
        </w:tc>
        <w:tc>
          <w:tcPr>
            <w:tcW w:w="1134" w:type="dxa"/>
          </w:tcPr>
          <w:p w14:paraId="3CF8C140" w14:textId="433C4C6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1,82%</w:t>
            </w:r>
          </w:p>
        </w:tc>
        <w:tc>
          <w:tcPr>
            <w:tcW w:w="1134" w:type="dxa"/>
            <w:shd w:val="clear" w:color="auto" w:fill="auto"/>
          </w:tcPr>
          <w:p w14:paraId="2E1A9057" w14:textId="155B3935"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6,50%</w:t>
            </w:r>
          </w:p>
        </w:tc>
        <w:tc>
          <w:tcPr>
            <w:tcW w:w="1134" w:type="dxa"/>
            <w:shd w:val="clear" w:color="auto" w:fill="auto"/>
          </w:tcPr>
          <w:p w14:paraId="4C201626" w14:textId="66A001CA"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4,54%</w:t>
            </w:r>
          </w:p>
        </w:tc>
        <w:tc>
          <w:tcPr>
            <w:tcW w:w="1134" w:type="dxa"/>
          </w:tcPr>
          <w:p w14:paraId="05FE80A8" w14:textId="7352CA5E"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8,11%</w:t>
            </w:r>
          </w:p>
        </w:tc>
        <w:tc>
          <w:tcPr>
            <w:tcW w:w="1134" w:type="dxa"/>
          </w:tcPr>
          <w:p w14:paraId="0F9A6023" w14:textId="7ED3BEE9"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10,81%</w:t>
            </w:r>
          </w:p>
        </w:tc>
      </w:tr>
      <w:tr w:rsidR="006C22DE" w:rsidRPr="00B81A28" w14:paraId="79937B8F" w14:textId="77777777" w:rsidTr="000B2FD6">
        <w:tc>
          <w:tcPr>
            <w:tcW w:w="4536" w:type="dxa"/>
          </w:tcPr>
          <w:p w14:paraId="72E83B7D"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Satrix SWIX Top 40 Portfolio </w:t>
            </w:r>
          </w:p>
        </w:tc>
        <w:tc>
          <w:tcPr>
            <w:tcW w:w="1134" w:type="dxa"/>
          </w:tcPr>
          <w:p w14:paraId="523F1D20" w14:textId="4CC6BBFB"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8,23%</w:t>
            </w:r>
          </w:p>
        </w:tc>
        <w:tc>
          <w:tcPr>
            <w:tcW w:w="1276" w:type="dxa"/>
          </w:tcPr>
          <w:p w14:paraId="5A4D320F" w14:textId="48B987C2"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26,96%</w:t>
            </w:r>
          </w:p>
        </w:tc>
        <w:tc>
          <w:tcPr>
            <w:tcW w:w="1134" w:type="dxa"/>
          </w:tcPr>
          <w:p w14:paraId="5E8656B1" w14:textId="4AF6AD0E"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(3,84%)</w:t>
            </w:r>
          </w:p>
        </w:tc>
        <w:tc>
          <w:tcPr>
            <w:tcW w:w="1134" w:type="dxa"/>
          </w:tcPr>
          <w:p w14:paraId="62B8BE0F" w14:textId="1F1522EB"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(3,34%)</w:t>
            </w:r>
          </w:p>
        </w:tc>
        <w:tc>
          <w:tcPr>
            <w:tcW w:w="1134" w:type="dxa"/>
          </w:tcPr>
          <w:p w14:paraId="646025A8" w14:textId="78BC844F"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(1,88%)</w:t>
            </w:r>
          </w:p>
        </w:tc>
        <w:tc>
          <w:tcPr>
            <w:tcW w:w="1134" w:type="dxa"/>
            <w:shd w:val="clear" w:color="auto" w:fill="auto"/>
          </w:tcPr>
          <w:p w14:paraId="57918090" w14:textId="02961A46"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2,8</w:t>
            </w:r>
            <w:r w:rsidR="00A54EC1">
              <w:rPr>
                <w:rFonts w:ascii="Verdana" w:hAnsi="Verdana"/>
                <w:sz w:val="16"/>
                <w:szCs w:val="16"/>
              </w:rPr>
              <w:t>9</w:t>
            </w:r>
            <w:r>
              <w:rPr>
                <w:rFonts w:ascii="Verdana" w:hAnsi="Verdana"/>
                <w:sz w:val="16"/>
                <w:szCs w:val="16"/>
              </w:rPr>
              <w:t>%</w:t>
            </w:r>
          </w:p>
        </w:tc>
        <w:tc>
          <w:tcPr>
            <w:tcW w:w="1134" w:type="dxa"/>
            <w:shd w:val="clear" w:color="auto" w:fill="auto"/>
          </w:tcPr>
          <w:p w14:paraId="03FDE8B0" w14:textId="4F4FE550"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2,03%</w:t>
            </w:r>
          </w:p>
        </w:tc>
        <w:tc>
          <w:tcPr>
            <w:tcW w:w="1134" w:type="dxa"/>
          </w:tcPr>
          <w:p w14:paraId="3ED44948" w14:textId="2B7E050B"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7,11%</w:t>
            </w:r>
          </w:p>
        </w:tc>
        <w:tc>
          <w:tcPr>
            <w:tcW w:w="1134" w:type="dxa"/>
          </w:tcPr>
          <w:p w14:paraId="710C2279" w14:textId="66D0764C"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10,46%</w:t>
            </w:r>
          </w:p>
        </w:tc>
      </w:tr>
      <w:tr w:rsidR="006C22DE" w:rsidRPr="00B81A28" w14:paraId="5AE4DB4B" w14:textId="77777777" w:rsidTr="000B2FD6">
        <w:tc>
          <w:tcPr>
            <w:tcW w:w="4536" w:type="dxa"/>
          </w:tcPr>
          <w:p w14:paraId="29F803AD"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Top 40 </w:t>
            </w:r>
          </w:p>
        </w:tc>
        <w:tc>
          <w:tcPr>
            <w:tcW w:w="1134" w:type="dxa"/>
          </w:tcPr>
          <w:p w14:paraId="2AB1DEE3" w14:textId="256285F2"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7,72%</w:t>
            </w:r>
          </w:p>
        </w:tc>
        <w:tc>
          <w:tcPr>
            <w:tcW w:w="1276" w:type="dxa"/>
          </w:tcPr>
          <w:p w14:paraId="04C0788B" w14:textId="3BD9763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26,79%</w:t>
            </w:r>
          </w:p>
        </w:tc>
        <w:tc>
          <w:tcPr>
            <w:tcW w:w="1134" w:type="dxa"/>
          </w:tcPr>
          <w:p w14:paraId="66DD2A4F" w14:textId="4E852ACC"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(1,00%)</w:t>
            </w:r>
          </w:p>
        </w:tc>
        <w:tc>
          <w:tcPr>
            <w:tcW w:w="1134" w:type="dxa"/>
          </w:tcPr>
          <w:p w14:paraId="4DAD1348" w14:textId="18E8F724"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(0,95%)</w:t>
            </w:r>
          </w:p>
        </w:tc>
        <w:tc>
          <w:tcPr>
            <w:tcW w:w="1134" w:type="dxa"/>
          </w:tcPr>
          <w:p w14:paraId="03C9914B" w14:textId="549274EE"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1,66%</w:t>
            </w:r>
          </w:p>
        </w:tc>
        <w:tc>
          <w:tcPr>
            <w:tcW w:w="1134" w:type="dxa"/>
            <w:shd w:val="clear" w:color="auto" w:fill="auto"/>
          </w:tcPr>
          <w:p w14:paraId="66D79F71"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790CB0E7"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76EB7B9C"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42F20CE1"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07DFEA25" w14:textId="77777777" w:rsidTr="000B2FD6">
        <w:tc>
          <w:tcPr>
            <w:tcW w:w="4536" w:type="dxa"/>
          </w:tcPr>
          <w:p w14:paraId="18BDB7FF"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SWIX 40</w:t>
            </w:r>
          </w:p>
        </w:tc>
        <w:tc>
          <w:tcPr>
            <w:tcW w:w="1134" w:type="dxa"/>
          </w:tcPr>
          <w:p w14:paraId="41486CC1" w14:textId="4A3BA21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8,21%</w:t>
            </w:r>
          </w:p>
        </w:tc>
        <w:tc>
          <w:tcPr>
            <w:tcW w:w="1276" w:type="dxa"/>
          </w:tcPr>
          <w:p w14:paraId="12810E05" w14:textId="40536CE2"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26,96%</w:t>
            </w:r>
          </w:p>
        </w:tc>
        <w:tc>
          <w:tcPr>
            <w:tcW w:w="1134" w:type="dxa"/>
          </w:tcPr>
          <w:p w14:paraId="7C038A7D" w14:textId="794D17D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(3,66%)</w:t>
            </w:r>
          </w:p>
        </w:tc>
        <w:tc>
          <w:tcPr>
            <w:tcW w:w="1134" w:type="dxa"/>
          </w:tcPr>
          <w:p w14:paraId="2EE4D1DA" w14:textId="129732F9"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(3,37%)</w:t>
            </w:r>
          </w:p>
        </w:tc>
        <w:tc>
          <w:tcPr>
            <w:tcW w:w="1134" w:type="dxa"/>
          </w:tcPr>
          <w:p w14:paraId="1B53562A" w14:textId="1C6C0969"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(1,78%)</w:t>
            </w:r>
          </w:p>
        </w:tc>
        <w:tc>
          <w:tcPr>
            <w:tcW w:w="1134" w:type="dxa"/>
            <w:shd w:val="clear" w:color="auto" w:fill="auto"/>
          </w:tcPr>
          <w:p w14:paraId="671D450C"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68EEDB9D"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2E6BF25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7E3D11C7"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3AB7C77E" w14:textId="77777777" w:rsidTr="000B2FD6">
        <w:tc>
          <w:tcPr>
            <w:tcW w:w="14884" w:type="dxa"/>
            <w:gridSpan w:val="10"/>
            <w:shd w:val="clear" w:color="auto" w:fill="7583BD"/>
            <w:vAlign w:val="center"/>
          </w:tcPr>
          <w:p w14:paraId="342641D1" w14:textId="77777777" w:rsidR="006C22DE" w:rsidRPr="00B81A28" w:rsidRDefault="006C22DE" w:rsidP="000B2FD6">
            <w:pPr>
              <w:spacing w:before="40" w:after="40" w:line="320" w:lineRule="atLeast"/>
              <w:rPr>
                <w:rFonts w:ascii="Verdana" w:hAnsi="Verdana"/>
                <w:b/>
                <w:color w:val="FFFFFF" w:themeColor="background1"/>
                <w:sz w:val="16"/>
                <w:szCs w:val="16"/>
              </w:rPr>
            </w:pPr>
            <w:r w:rsidRPr="00B81A28">
              <w:rPr>
                <w:rFonts w:ascii="Verdana" w:hAnsi="Verdana"/>
                <w:b/>
                <w:color w:val="FFFFFF" w:themeColor="background1"/>
                <w:sz w:val="16"/>
                <w:szCs w:val="16"/>
              </w:rPr>
              <w:t>Broad Equity Market Access: Top 50</w:t>
            </w:r>
          </w:p>
        </w:tc>
      </w:tr>
      <w:tr w:rsidR="006C22DE" w:rsidRPr="00DC35BB" w14:paraId="0F0EA965" w14:textId="77777777" w:rsidTr="000B2FD6">
        <w:tc>
          <w:tcPr>
            <w:tcW w:w="4536" w:type="dxa"/>
          </w:tcPr>
          <w:p w14:paraId="376CFB13" w14:textId="77777777" w:rsidR="006C22DE" w:rsidRPr="00DC35BB" w:rsidRDefault="006C22DE" w:rsidP="000B2FD6">
            <w:pPr>
              <w:spacing w:before="40" w:after="40" w:line="300" w:lineRule="atLeast"/>
              <w:rPr>
                <w:rFonts w:ascii="Verdana" w:hAnsi="Verdana"/>
                <w:b/>
                <w:sz w:val="16"/>
                <w:szCs w:val="16"/>
              </w:rPr>
            </w:pPr>
            <w:r>
              <w:rPr>
                <w:rFonts w:ascii="Verdana" w:hAnsi="Verdana"/>
                <w:b/>
                <w:sz w:val="16"/>
                <w:szCs w:val="16"/>
              </w:rPr>
              <w:t>FTSE/JSE All Share Index</w:t>
            </w:r>
          </w:p>
        </w:tc>
        <w:tc>
          <w:tcPr>
            <w:tcW w:w="1134" w:type="dxa"/>
          </w:tcPr>
          <w:p w14:paraId="6AE8DA9F" w14:textId="58B03058"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7,74%</w:t>
            </w:r>
          </w:p>
        </w:tc>
        <w:tc>
          <w:tcPr>
            <w:tcW w:w="1276" w:type="dxa"/>
          </w:tcPr>
          <w:p w14:paraId="0217F3FC" w14:textId="753A60BC"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26,23%</w:t>
            </w:r>
          </w:p>
        </w:tc>
        <w:tc>
          <w:tcPr>
            <w:tcW w:w="1134" w:type="dxa"/>
          </w:tcPr>
          <w:p w14:paraId="6BF7C583" w14:textId="537A9112"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(4,19%)</w:t>
            </w:r>
          </w:p>
        </w:tc>
        <w:tc>
          <w:tcPr>
            <w:tcW w:w="1134" w:type="dxa"/>
          </w:tcPr>
          <w:p w14:paraId="1B6130ED" w14:textId="28C1FF80"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(3,30%)</w:t>
            </w:r>
          </w:p>
        </w:tc>
        <w:tc>
          <w:tcPr>
            <w:tcW w:w="1134" w:type="dxa"/>
          </w:tcPr>
          <w:p w14:paraId="7A9EA1BA" w14:textId="7D5B2BC2"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0,48%</w:t>
            </w:r>
          </w:p>
        </w:tc>
        <w:tc>
          <w:tcPr>
            <w:tcW w:w="1134" w:type="dxa"/>
            <w:shd w:val="clear" w:color="auto" w:fill="auto"/>
          </w:tcPr>
          <w:p w14:paraId="32AF4E2A" w14:textId="463393C9"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5,11%</w:t>
            </w:r>
          </w:p>
        </w:tc>
        <w:tc>
          <w:tcPr>
            <w:tcW w:w="1134" w:type="dxa"/>
            <w:shd w:val="clear" w:color="auto" w:fill="auto"/>
          </w:tcPr>
          <w:p w14:paraId="0A5662D3" w14:textId="5D6735DD"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4,16%</w:t>
            </w:r>
          </w:p>
        </w:tc>
        <w:tc>
          <w:tcPr>
            <w:tcW w:w="1134" w:type="dxa"/>
          </w:tcPr>
          <w:p w14:paraId="2F19E9A8" w14:textId="431B5BEB"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7,93%</w:t>
            </w:r>
          </w:p>
        </w:tc>
        <w:tc>
          <w:tcPr>
            <w:tcW w:w="1134" w:type="dxa"/>
          </w:tcPr>
          <w:p w14:paraId="1025A3EE" w14:textId="3CBECBC5" w:rsidR="006C22DE" w:rsidRPr="00DC35BB" w:rsidRDefault="00A3331C" w:rsidP="000B2FD6">
            <w:pPr>
              <w:spacing w:before="40" w:after="40" w:line="300" w:lineRule="atLeast"/>
              <w:jc w:val="center"/>
              <w:rPr>
                <w:rFonts w:ascii="Verdana" w:hAnsi="Verdana"/>
                <w:b/>
                <w:sz w:val="16"/>
                <w:szCs w:val="16"/>
              </w:rPr>
            </w:pPr>
            <w:r>
              <w:rPr>
                <w:rFonts w:ascii="Verdana" w:hAnsi="Verdana"/>
                <w:b/>
                <w:sz w:val="16"/>
                <w:szCs w:val="16"/>
              </w:rPr>
              <w:t>10,89%</w:t>
            </w:r>
          </w:p>
        </w:tc>
      </w:tr>
      <w:tr w:rsidR="006C22DE" w:rsidRPr="00B81A28" w14:paraId="57E364A2" w14:textId="77777777" w:rsidTr="000B2FD6">
        <w:tc>
          <w:tcPr>
            <w:tcW w:w="4536" w:type="dxa"/>
          </w:tcPr>
          <w:p w14:paraId="4085498E"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CoreShares S&amp;P Top 50</w:t>
            </w:r>
          </w:p>
        </w:tc>
        <w:tc>
          <w:tcPr>
            <w:tcW w:w="1134" w:type="dxa"/>
          </w:tcPr>
          <w:p w14:paraId="54639976" w14:textId="20D77BB9"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6,99%</w:t>
            </w:r>
          </w:p>
        </w:tc>
        <w:tc>
          <w:tcPr>
            <w:tcW w:w="1276" w:type="dxa"/>
          </w:tcPr>
          <w:p w14:paraId="0C032BA5" w14:textId="0818648A"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25,81%</w:t>
            </w:r>
          </w:p>
        </w:tc>
        <w:tc>
          <w:tcPr>
            <w:tcW w:w="1134" w:type="dxa"/>
          </w:tcPr>
          <w:p w14:paraId="70AE225E" w14:textId="3B8B73C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(5,48%)</w:t>
            </w:r>
          </w:p>
        </w:tc>
        <w:tc>
          <w:tcPr>
            <w:tcW w:w="1134" w:type="dxa"/>
          </w:tcPr>
          <w:p w14:paraId="636970A6" w14:textId="7E3D648A"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(5,38%)</w:t>
            </w:r>
          </w:p>
        </w:tc>
        <w:tc>
          <w:tcPr>
            <w:tcW w:w="1134" w:type="dxa"/>
          </w:tcPr>
          <w:p w14:paraId="5F137DEC" w14:textId="08AFE721"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(0,24%)</w:t>
            </w:r>
          </w:p>
        </w:tc>
        <w:tc>
          <w:tcPr>
            <w:tcW w:w="1134" w:type="dxa"/>
            <w:shd w:val="clear" w:color="auto" w:fill="auto"/>
          </w:tcPr>
          <w:p w14:paraId="09D2BCFA" w14:textId="2BAAA1FC"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5,36%</w:t>
            </w:r>
          </w:p>
        </w:tc>
        <w:tc>
          <w:tcPr>
            <w:tcW w:w="1134" w:type="dxa"/>
            <w:shd w:val="clear" w:color="auto" w:fill="auto"/>
          </w:tcPr>
          <w:p w14:paraId="74A8680F" w14:textId="201C4EB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4,40%</w:t>
            </w:r>
          </w:p>
        </w:tc>
        <w:tc>
          <w:tcPr>
            <w:tcW w:w="1134" w:type="dxa"/>
          </w:tcPr>
          <w:p w14:paraId="7BACEBDA"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33E0F352"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7A3A0B07" w14:textId="77777777" w:rsidTr="000B2FD6">
        <w:tc>
          <w:tcPr>
            <w:tcW w:w="14884" w:type="dxa"/>
            <w:gridSpan w:val="10"/>
            <w:shd w:val="clear" w:color="auto" w:fill="7583BD"/>
          </w:tcPr>
          <w:p w14:paraId="49987E82" w14:textId="77777777" w:rsidR="006C22DE" w:rsidRPr="00B81A28" w:rsidRDefault="006C22DE" w:rsidP="000B2FD6">
            <w:pPr>
              <w:spacing w:before="40" w:after="40" w:line="320" w:lineRule="atLeast"/>
              <w:rPr>
                <w:rFonts w:ascii="Verdana" w:hAnsi="Verdana"/>
                <w:b/>
                <w:color w:val="FFFFFF" w:themeColor="background1"/>
                <w:sz w:val="16"/>
                <w:szCs w:val="16"/>
              </w:rPr>
            </w:pPr>
            <w:r w:rsidRPr="00B81A28">
              <w:rPr>
                <w:rFonts w:ascii="Verdana" w:hAnsi="Verdana"/>
                <w:b/>
                <w:color w:val="FFFFFF" w:themeColor="background1"/>
                <w:sz w:val="16"/>
                <w:szCs w:val="16"/>
              </w:rPr>
              <w:t>JSE Equity Sector Exposure</w:t>
            </w:r>
          </w:p>
        </w:tc>
      </w:tr>
      <w:tr w:rsidR="006C22DE" w:rsidRPr="00B81A28" w14:paraId="49E415F0" w14:textId="77777777" w:rsidTr="000B2FD6">
        <w:tc>
          <w:tcPr>
            <w:tcW w:w="4536" w:type="dxa"/>
          </w:tcPr>
          <w:p w14:paraId="1FC60887"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Ashburton MidCap</w:t>
            </w:r>
          </w:p>
        </w:tc>
        <w:tc>
          <w:tcPr>
            <w:tcW w:w="1134" w:type="dxa"/>
          </w:tcPr>
          <w:p w14:paraId="0B41D5A0" w14:textId="136C01CA"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5,97%</w:t>
            </w:r>
          </w:p>
        </w:tc>
        <w:tc>
          <w:tcPr>
            <w:tcW w:w="1276" w:type="dxa"/>
          </w:tcPr>
          <w:p w14:paraId="77ACFF89" w14:textId="2468C69E"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18,19%</w:t>
            </w:r>
          </w:p>
        </w:tc>
        <w:tc>
          <w:tcPr>
            <w:tcW w:w="1134" w:type="dxa"/>
          </w:tcPr>
          <w:p w14:paraId="42D4359D" w14:textId="01C29866"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(26,54%)</w:t>
            </w:r>
          </w:p>
        </w:tc>
        <w:tc>
          <w:tcPr>
            <w:tcW w:w="1134" w:type="dxa"/>
          </w:tcPr>
          <w:p w14:paraId="621991D6" w14:textId="1CC778F8"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(18,18%)</w:t>
            </w:r>
          </w:p>
        </w:tc>
        <w:tc>
          <w:tcPr>
            <w:tcW w:w="1134" w:type="dxa"/>
          </w:tcPr>
          <w:p w14:paraId="09FCBBBA" w14:textId="4F585AB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(7,50%)</w:t>
            </w:r>
          </w:p>
        </w:tc>
        <w:tc>
          <w:tcPr>
            <w:tcW w:w="1134" w:type="dxa"/>
            <w:shd w:val="clear" w:color="auto" w:fill="auto"/>
          </w:tcPr>
          <w:p w14:paraId="3FBA8126" w14:textId="517E8DB9"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(4,14%)</w:t>
            </w:r>
          </w:p>
        </w:tc>
        <w:tc>
          <w:tcPr>
            <w:tcW w:w="1134" w:type="dxa"/>
            <w:shd w:val="clear" w:color="auto" w:fill="auto"/>
          </w:tcPr>
          <w:p w14:paraId="70F95995" w14:textId="4DC4EEC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(1,24%)</w:t>
            </w:r>
          </w:p>
        </w:tc>
        <w:tc>
          <w:tcPr>
            <w:tcW w:w="1134" w:type="dxa"/>
          </w:tcPr>
          <w:p w14:paraId="28EE8D9C" w14:textId="59290EA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3,05%</w:t>
            </w:r>
          </w:p>
        </w:tc>
        <w:tc>
          <w:tcPr>
            <w:tcW w:w="1134" w:type="dxa"/>
          </w:tcPr>
          <w:p w14:paraId="62BB637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150B6882" w14:textId="77777777" w:rsidTr="000B2FD6">
        <w:tc>
          <w:tcPr>
            <w:tcW w:w="4536" w:type="dxa"/>
          </w:tcPr>
          <w:p w14:paraId="4E2A7120"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Satrix FINI 15</w:t>
            </w:r>
          </w:p>
        </w:tc>
        <w:tc>
          <w:tcPr>
            <w:tcW w:w="1134" w:type="dxa"/>
          </w:tcPr>
          <w:p w14:paraId="4D42C9C4" w14:textId="599BE0F9"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2,98%</w:t>
            </w:r>
          </w:p>
        </w:tc>
        <w:tc>
          <w:tcPr>
            <w:tcW w:w="1276" w:type="dxa"/>
          </w:tcPr>
          <w:p w14:paraId="164348AF" w14:textId="66DA719D"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18,55%</w:t>
            </w:r>
          </w:p>
        </w:tc>
        <w:tc>
          <w:tcPr>
            <w:tcW w:w="1134" w:type="dxa"/>
          </w:tcPr>
          <w:p w14:paraId="2E482B4E" w14:textId="40F90556"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(34,64%)</w:t>
            </w:r>
          </w:p>
        </w:tc>
        <w:tc>
          <w:tcPr>
            <w:tcW w:w="1134" w:type="dxa"/>
          </w:tcPr>
          <w:p w14:paraId="21B21EFD" w14:textId="430DF25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(37,26%)</w:t>
            </w:r>
          </w:p>
        </w:tc>
        <w:tc>
          <w:tcPr>
            <w:tcW w:w="1134" w:type="dxa"/>
          </w:tcPr>
          <w:p w14:paraId="495B869C" w14:textId="4DDD3F3C"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(16,67%)</w:t>
            </w:r>
          </w:p>
        </w:tc>
        <w:tc>
          <w:tcPr>
            <w:tcW w:w="1134" w:type="dxa"/>
            <w:shd w:val="clear" w:color="auto" w:fill="auto"/>
          </w:tcPr>
          <w:p w14:paraId="5747D913" w14:textId="60428826"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(7,01%)</w:t>
            </w:r>
          </w:p>
        </w:tc>
        <w:tc>
          <w:tcPr>
            <w:tcW w:w="1134" w:type="dxa"/>
            <w:shd w:val="clear" w:color="auto" w:fill="auto"/>
          </w:tcPr>
          <w:p w14:paraId="7A5F95E6" w14:textId="7393505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(5,24%)</w:t>
            </w:r>
          </w:p>
        </w:tc>
        <w:tc>
          <w:tcPr>
            <w:tcW w:w="1134" w:type="dxa"/>
          </w:tcPr>
          <w:p w14:paraId="40069D41" w14:textId="5FFF9313"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2,72%</w:t>
            </w:r>
          </w:p>
        </w:tc>
        <w:tc>
          <w:tcPr>
            <w:tcW w:w="1134" w:type="dxa"/>
          </w:tcPr>
          <w:p w14:paraId="58CB9476" w14:textId="02E1E278" w:rsidR="006C22DE" w:rsidRPr="00B81A28" w:rsidRDefault="00A3331C" w:rsidP="000B2FD6">
            <w:pPr>
              <w:spacing w:before="40" w:after="40" w:line="300" w:lineRule="atLeast"/>
              <w:jc w:val="center"/>
              <w:rPr>
                <w:rFonts w:ascii="Verdana" w:hAnsi="Verdana"/>
                <w:sz w:val="16"/>
                <w:szCs w:val="16"/>
              </w:rPr>
            </w:pPr>
            <w:r>
              <w:rPr>
                <w:rFonts w:ascii="Verdana" w:hAnsi="Verdana"/>
                <w:sz w:val="16"/>
                <w:szCs w:val="16"/>
              </w:rPr>
              <w:t>7,55%</w:t>
            </w:r>
          </w:p>
        </w:tc>
      </w:tr>
      <w:tr w:rsidR="00A3331C" w:rsidRPr="00B81A28" w14:paraId="34F6A138" w14:textId="77777777" w:rsidTr="000B2FD6">
        <w:tc>
          <w:tcPr>
            <w:tcW w:w="4536" w:type="dxa"/>
          </w:tcPr>
          <w:p w14:paraId="71B4FD71" w14:textId="77777777" w:rsidR="00A3331C" w:rsidRPr="00B81A28" w:rsidRDefault="00A3331C" w:rsidP="00A3331C">
            <w:pPr>
              <w:spacing w:before="40" w:after="40" w:line="300" w:lineRule="atLeast"/>
              <w:rPr>
                <w:rFonts w:ascii="Verdana" w:hAnsi="Verdana"/>
                <w:sz w:val="16"/>
                <w:szCs w:val="16"/>
              </w:rPr>
            </w:pPr>
            <w:r w:rsidRPr="00B81A28">
              <w:rPr>
                <w:rFonts w:ascii="Verdana" w:hAnsi="Verdana"/>
                <w:sz w:val="16"/>
                <w:szCs w:val="16"/>
              </w:rPr>
              <w:t xml:space="preserve">Satrix </w:t>
            </w:r>
            <w:r>
              <w:rPr>
                <w:rFonts w:ascii="Verdana" w:hAnsi="Verdana"/>
                <w:sz w:val="16"/>
                <w:szCs w:val="16"/>
              </w:rPr>
              <w:t xml:space="preserve">Capped </w:t>
            </w:r>
            <w:r w:rsidRPr="00B81A28">
              <w:rPr>
                <w:rFonts w:ascii="Verdana" w:hAnsi="Verdana"/>
                <w:sz w:val="16"/>
                <w:szCs w:val="16"/>
              </w:rPr>
              <w:t xml:space="preserve">INDI </w:t>
            </w:r>
          </w:p>
        </w:tc>
        <w:tc>
          <w:tcPr>
            <w:tcW w:w="1134" w:type="dxa"/>
          </w:tcPr>
          <w:p w14:paraId="476BDD6C" w14:textId="78BF3406"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7,30%</w:t>
            </w:r>
          </w:p>
        </w:tc>
        <w:tc>
          <w:tcPr>
            <w:tcW w:w="1276" w:type="dxa"/>
          </w:tcPr>
          <w:p w14:paraId="101A5E5D" w14:textId="79AB2E78"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18,41%</w:t>
            </w:r>
          </w:p>
        </w:tc>
        <w:tc>
          <w:tcPr>
            <w:tcW w:w="1134" w:type="dxa"/>
          </w:tcPr>
          <w:p w14:paraId="5EA2DF5D" w14:textId="705FB8C7"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5,20%</w:t>
            </w:r>
          </w:p>
        </w:tc>
        <w:tc>
          <w:tcPr>
            <w:tcW w:w="1134" w:type="dxa"/>
          </w:tcPr>
          <w:p w14:paraId="295FDADD" w14:textId="2340AC39"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3,27%</w:t>
            </w:r>
          </w:p>
        </w:tc>
        <w:tc>
          <w:tcPr>
            <w:tcW w:w="1134" w:type="dxa"/>
          </w:tcPr>
          <w:p w14:paraId="5D5C0F39" w14:textId="031BB8FD"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(0,56%)</w:t>
            </w:r>
          </w:p>
        </w:tc>
        <w:tc>
          <w:tcPr>
            <w:tcW w:w="1134" w:type="dxa"/>
            <w:shd w:val="clear" w:color="auto" w:fill="auto"/>
          </w:tcPr>
          <w:p w14:paraId="2FC0EDBA" w14:textId="599470D0"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2,12%</w:t>
            </w:r>
          </w:p>
        </w:tc>
        <w:tc>
          <w:tcPr>
            <w:tcW w:w="1134" w:type="dxa"/>
            <w:shd w:val="clear" w:color="auto" w:fill="auto"/>
          </w:tcPr>
          <w:p w14:paraId="176CC141" w14:textId="2EB8D087"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3,07%</w:t>
            </w:r>
          </w:p>
        </w:tc>
        <w:tc>
          <w:tcPr>
            <w:tcW w:w="1134" w:type="dxa"/>
          </w:tcPr>
          <w:p w14:paraId="423E956F" w14:textId="0324AA48"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8,30%</w:t>
            </w:r>
          </w:p>
        </w:tc>
        <w:tc>
          <w:tcPr>
            <w:tcW w:w="1134" w:type="dxa"/>
          </w:tcPr>
          <w:p w14:paraId="75F78D5A" w14:textId="30A53A77"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15,08%</w:t>
            </w:r>
          </w:p>
        </w:tc>
      </w:tr>
      <w:tr w:rsidR="00A3331C" w:rsidRPr="00B81A28" w14:paraId="623D48A0" w14:textId="77777777" w:rsidTr="000B2FD6">
        <w:tc>
          <w:tcPr>
            <w:tcW w:w="4536" w:type="dxa"/>
          </w:tcPr>
          <w:p w14:paraId="7493ADFE" w14:textId="77777777" w:rsidR="00A3331C" w:rsidRPr="00B81A28" w:rsidRDefault="00A3331C" w:rsidP="00A3331C">
            <w:pPr>
              <w:spacing w:before="40" w:after="40" w:line="300" w:lineRule="atLeast"/>
              <w:rPr>
                <w:rFonts w:ascii="Verdana" w:hAnsi="Verdana"/>
                <w:sz w:val="16"/>
                <w:szCs w:val="16"/>
              </w:rPr>
            </w:pPr>
            <w:r w:rsidRPr="00B81A28">
              <w:rPr>
                <w:rFonts w:ascii="Verdana" w:hAnsi="Verdana"/>
                <w:sz w:val="16"/>
                <w:szCs w:val="16"/>
              </w:rPr>
              <w:t>Satrix RESI 10</w:t>
            </w:r>
          </w:p>
        </w:tc>
        <w:tc>
          <w:tcPr>
            <w:tcW w:w="1134" w:type="dxa"/>
          </w:tcPr>
          <w:p w14:paraId="6086E281" w14:textId="76D640EB"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8,68%</w:t>
            </w:r>
          </w:p>
        </w:tc>
        <w:tc>
          <w:tcPr>
            <w:tcW w:w="1276" w:type="dxa"/>
          </w:tcPr>
          <w:p w14:paraId="31AC6B2C" w14:textId="6E02287A"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41,19%</w:t>
            </w:r>
          </w:p>
        </w:tc>
        <w:tc>
          <w:tcPr>
            <w:tcW w:w="1134" w:type="dxa"/>
          </w:tcPr>
          <w:p w14:paraId="3E983793" w14:textId="04AE2419"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4,73%</w:t>
            </w:r>
          </w:p>
        </w:tc>
        <w:tc>
          <w:tcPr>
            <w:tcW w:w="1134" w:type="dxa"/>
          </w:tcPr>
          <w:p w14:paraId="7098CBE8" w14:textId="106B698B"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11,35%</w:t>
            </w:r>
          </w:p>
        </w:tc>
        <w:tc>
          <w:tcPr>
            <w:tcW w:w="1134" w:type="dxa"/>
          </w:tcPr>
          <w:p w14:paraId="30D36464" w14:textId="62428D81"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13,98%</w:t>
            </w:r>
          </w:p>
        </w:tc>
        <w:tc>
          <w:tcPr>
            <w:tcW w:w="1134" w:type="dxa"/>
            <w:shd w:val="clear" w:color="auto" w:fill="auto"/>
          </w:tcPr>
          <w:p w14:paraId="38BF1364" w14:textId="3838940B"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22,64%</w:t>
            </w:r>
          </w:p>
        </w:tc>
        <w:tc>
          <w:tcPr>
            <w:tcW w:w="1134" w:type="dxa"/>
            <w:shd w:val="clear" w:color="auto" w:fill="auto"/>
          </w:tcPr>
          <w:p w14:paraId="1557AC9C" w14:textId="46EA681D"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8,78%</w:t>
            </w:r>
          </w:p>
        </w:tc>
        <w:tc>
          <w:tcPr>
            <w:tcW w:w="1134" w:type="dxa"/>
          </w:tcPr>
          <w:p w14:paraId="5F85A8DF" w14:textId="6BDC45E1"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5,95%</w:t>
            </w:r>
          </w:p>
        </w:tc>
        <w:tc>
          <w:tcPr>
            <w:tcW w:w="1134" w:type="dxa"/>
          </w:tcPr>
          <w:p w14:paraId="25AC68CD" w14:textId="3BC86A06" w:rsidR="00A3331C" w:rsidRPr="00B81A28" w:rsidRDefault="00A3331C" w:rsidP="00A3331C">
            <w:pPr>
              <w:spacing w:before="40" w:after="40" w:line="300" w:lineRule="atLeast"/>
              <w:jc w:val="center"/>
              <w:rPr>
                <w:rFonts w:ascii="Verdana" w:hAnsi="Verdana"/>
                <w:sz w:val="16"/>
                <w:szCs w:val="16"/>
              </w:rPr>
            </w:pPr>
            <w:r>
              <w:rPr>
                <w:rFonts w:ascii="Verdana" w:hAnsi="Verdana"/>
                <w:sz w:val="16"/>
                <w:szCs w:val="16"/>
              </w:rPr>
              <w:t>4,07%</w:t>
            </w:r>
          </w:p>
        </w:tc>
      </w:tr>
    </w:tbl>
    <w:p w14:paraId="64181F41" w14:textId="77777777" w:rsidR="006C22DE" w:rsidRDefault="006C22DE" w:rsidP="006C22DE">
      <w:pPr>
        <w:spacing w:after="0" w:line="240" w:lineRule="auto"/>
        <w:rPr>
          <w:rFonts w:ascii="Verdana" w:hAnsi="Verdana"/>
          <w:sz w:val="16"/>
          <w:szCs w:val="16"/>
        </w:rPr>
      </w:pPr>
    </w:p>
    <w:p w14:paraId="0C73E77E" w14:textId="77777777" w:rsidR="006C22DE" w:rsidRDefault="006C22DE" w:rsidP="006C22DE">
      <w:pPr>
        <w:spacing w:after="0" w:line="240" w:lineRule="auto"/>
        <w:rPr>
          <w:rFonts w:ascii="Verdana" w:hAnsi="Verdana"/>
          <w:sz w:val="16"/>
          <w:szCs w:val="16"/>
        </w:rPr>
      </w:pPr>
    </w:p>
    <w:p w14:paraId="55848F4F"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lastRenderedPageBreak/>
        <w:drawing>
          <wp:inline distT="0" distB="0" distL="0" distR="0" wp14:anchorId="52F4C498" wp14:editId="1326CB18">
            <wp:extent cx="3057525" cy="642486"/>
            <wp:effectExtent l="0" t="0" r="0" b="5715"/>
            <wp:docPr id="8" name="Picture 8"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1D63DC1E" w14:textId="77777777" w:rsidTr="000B2FD6">
        <w:tc>
          <w:tcPr>
            <w:tcW w:w="14884" w:type="dxa"/>
            <w:gridSpan w:val="10"/>
            <w:shd w:val="clear" w:color="auto" w:fill="CB2229"/>
            <w:vAlign w:val="center"/>
          </w:tcPr>
          <w:p w14:paraId="597AAEED"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5295A325"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51A0B59B"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4DD40392" w14:textId="77777777" w:rsidTr="000B2FD6">
        <w:tc>
          <w:tcPr>
            <w:tcW w:w="4536" w:type="dxa"/>
            <w:shd w:val="clear" w:color="auto" w:fill="4C4C4C"/>
          </w:tcPr>
          <w:p w14:paraId="1B003874" w14:textId="77777777" w:rsidR="006C22DE" w:rsidRPr="0067766B" w:rsidRDefault="006C22DE" w:rsidP="000B2FD6">
            <w:pPr>
              <w:spacing w:before="40" w:after="40" w:line="300" w:lineRule="atLeast"/>
              <w:rPr>
                <w:rFonts w:ascii="Verdana" w:hAnsi="Verdana"/>
                <w:b/>
                <w:caps/>
                <w:color w:val="FFFFFF"/>
                <w:sz w:val="16"/>
                <w:szCs w:val="16"/>
              </w:rPr>
            </w:pPr>
            <w:r w:rsidRPr="0067766B">
              <w:rPr>
                <w:rFonts w:ascii="Verdana" w:hAnsi="Verdana"/>
                <w:b/>
                <w:caps/>
                <w:color w:val="FFFFFF"/>
                <w:sz w:val="16"/>
                <w:szCs w:val="16"/>
              </w:rPr>
              <w:t>Domestic (SA) ETFs</w:t>
            </w:r>
          </w:p>
        </w:tc>
        <w:tc>
          <w:tcPr>
            <w:tcW w:w="1134" w:type="dxa"/>
            <w:shd w:val="clear" w:color="auto" w:fill="4C4C4C"/>
          </w:tcPr>
          <w:p w14:paraId="72826D8A"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10B13834"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79C5DA1C"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364D5F5B"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514FF136"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02E58594"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3A4233E4"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18CD835B"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1F34F627"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7AFBEE97" w14:textId="77777777" w:rsidTr="000B2FD6">
        <w:tc>
          <w:tcPr>
            <w:tcW w:w="14884" w:type="dxa"/>
            <w:gridSpan w:val="10"/>
            <w:shd w:val="clear" w:color="auto" w:fill="7583BD"/>
            <w:vAlign w:val="center"/>
          </w:tcPr>
          <w:p w14:paraId="5999C3DE" w14:textId="77777777" w:rsidR="006C22DE" w:rsidRPr="00B81A28" w:rsidRDefault="006C22DE" w:rsidP="000B2FD6">
            <w:pPr>
              <w:spacing w:before="40" w:after="40" w:line="320" w:lineRule="atLeast"/>
              <w:rPr>
                <w:rFonts w:ascii="Verdana" w:hAnsi="Verdana"/>
                <w:b/>
                <w:color w:val="FFFFFF" w:themeColor="background1"/>
                <w:sz w:val="16"/>
                <w:szCs w:val="16"/>
              </w:rPr>
            </w:pPr>
            <w:r>
              <w:rPr>
                <w:rFonts w:ascii="Verdana" w:hAnsi="Verdana"/>
                <w:b/>
                <w:color w:val="FFFFFF" w:themeColor="background1"/>
                <w:sz w:val="16"/>
                <w:szCs w:val="16"/>
              </w:rPr>
              <w:t>Floating Interest Rates</w:t>
            </w:r>
          </w:p>
        </w:tc>
      </w:tr>
      <w:tr w:rsidR="006C22DE" w:rsidRPr="00B81A28" w14:paraId="20C7252E" w14:textId="77777777" w:rsidTr="000B2FD6">
        <w:tc>
          <w:tcPr>
            <w:tcW w:w="4536" w:type="dxa"/>
          </w:tcPr>
          <w:p w14:paraId="2DFD19FB"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NewFunds TRACI (Total Return)</w:t>
            </w:r>
          </w:p>
        </w:tc>
        <w:tc>
          <w:tcPr>
            <w:tcW w:w="1134" w:type="dxa"/>
          </w:tcPr>
          <w:p w14:paraId="61DA873A" w14:textId="16D8E178"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0,38%</w:t>
            </w:r>
          </w:p>
        </w:tc>
        <w:tc>
          <w:tcPr>
            <w:tcW w:w="1276" w:type="dxa"/>
          </w:tcPr>
          <w:p w14:paraId="17829C22" w14:textId="109D63B3"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1,53%</w:t>
            </w:r>
          </w:p>
        </w:tc>
        <w:tc>
          <w:tcPr>
            <w:tcW w:w="1134" w:type="dxa"/>
          </w:tcPr>
          <w:p w14:paraId="08AC7296" w14:textId="695813D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3,27%</w:t>
            </w:r>
          </w:p>
        </w:tc>
        <w:tc>
          <w:tcPr>
            <w:tcW w:w="1134" w:type="dxa"/>
          </w:tcPr>
          <w:p w14:paraId="5AB49ABD" w14:textId="6D66AFD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6,89%</w:t>
            </w:r>
          </w:p>
        </w:tc>
        <w:tc>
          <w:tcPr>
            <w:tcW w:w="1134" w:type="dxa"/>
          </w:tcPr>
          <w:p w14:paraId="5DA131FB" w14:textId="78E6942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6,92%</w:t>
            </w:r>
          </w:p>
        </w:tc>
        <w:tc>
          <w:tcPr>
            <w:tcW w:w="1134" w:type="dxa"/>
            <w:shd w:val="clear" w:color="auto" w:fill="auto"/>
          </w:tcPr>
          <w:p w14:paraId="0C07448D" w14:textId="5E5EACF8"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6,95%</w:t>
            </w:r>
          </w:p>
        </w:tc>
        <w:tc>
          <w:tcPr>
            <w:tcW w:w="1134" w:type="dxa"/>
            <w:shd w:val="clear" w:color="auto" w:fill="auto"/>
          </w:tcPr>
          <w:p w14:paraId="0DDD8AF3" w14:textId="1E2758A4"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6,92%</w:t>
            </w:r>
          </w:p>
        </w:tc>
        <w:tc>
          <w:tcPr>
            <w:tcW w:w="1134" w:type="dxa"/>
          </w:tcPr>
          <w:p w14:paraId="072848D3" w14:textId="2EFCDA4A"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6,52%</w:t>
            </w:r>
          </w:p>
        </w:tc>
        <w:tc>
          <w:tcPr>
            <w:tcW w:w="1134" w:type="dxa"/>
          </w:tcPr>
          <w:p w14:paraId="2F7E7123"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7568647D" w14:textId="77777777" w:rsidTr="000B2FD6">
        <w:tc>
          <w:tcPr>
            <w:tcW w:w="4536" w:type="dxa"/>
          </w:tcPr>
          <w:p w14:paraId="12EA2AE8"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CoreShares PrefTrax</w:t>
            </w:r>
          </w:p>
        </w:tc>
        <w:tc>
          <w:tcPr>
            <w:tcW w:w="1134" w:type="dxa"/>
          </w:tcPr>
          <w:p w14:paraId="3C7CCDEA" w14:textId="2E1929F1"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2,64%</w:t>
            </w:r>
          </w:p>
        </w:tc>
        <w:tc>
          <w:tcPr>
            <w:tcW w:w="1276" w:type="dxa"/>
          </w:tcPr>
          <w:p w14:paraId="1AF4565D" w14:textId="37EF65F9"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19,00%</w:t>
            </w:r>
          </w:p>
        </w:tc>
        <w:tc>
          <w:tcPr>
            <w:tcW w:w="1134" w:type="dxa"/>
          </w:tcPr>
          <w:p w14:paraId="2AA1E4C9" w14:textId="7836B49A"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(19,37%)</w:t>
            </w:r>
          </w:p>
        </w:tc>
        <w:tc>
          <w:tcPr>
            <w:tcW w:w="1134" w:type="dxa"/>
          </w:tcPr>
          <w:p w14:paraId="1FD2B2F0" w14:textId="5BEB9FBF"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(14,76%)</w:t>
            </w:r>
          </w:p>
        </w:tc>
        <w:tc>
          <w:tcPr>
            <w:tcW w:w="1134" w:type="dxa"/>
          </w:tcPr>
          <w:p w14:paraId="71275256" w14:textId="5A04114F"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4,03%</w:t>
            </w:r>
          </w:p>
        </w:tc>
        <w:tc>
          <w:tcPr>
            <w:tcW w:w="1134" w:type="dxa"/>
            <w:shd w:val="clear" w:color="auto" w:fill="auto"/>
          </w:tcPr>
          <w:p w14:paraId="0C8EB371" w14:textId="4ED96623"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1,79%</w:t>
            </w:r>
          </w:p>
        </w:tc>
        <w:tc>
          <w:tcPr>
            <w:tcW w:w="1134" w:type="dxa"/>
            <w:shd w:val="clear" w:color="auto" w:fill="auto"/>
          </w:tcPr>
          <w:p w14:paraId="5986B5D0" w14:textId="1B547878"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4,73%</w:t>
            </w:r>
          </w:p>
        </w:tc>
        <w:tc>
          <w:tcPr>
            <w:tcW w:w="1134" w:type="dxa"/>
          </w:tcPr>
          <w:p w14:paraId="1FF9DC82" w14:textId="43FB317F"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3,88%</w:t>
            </w:r>
          </w:p>
        </w:tc>
        <w:tc>
          <w:tcPr>
            <w:tcW w:w="1134" w:type="dxa"/>
          </w:tcPr>
          <w:p w14:paraId="4F8D28F0"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05CAE7B8" w14:textId="77777777" w:rsidTr="000B2FD6">
        <w:tc>
          <w:tcPr>
            <w:tcW w:w="14884" w:type="dxa"/>
            <w:gridSpan w:val="10"/>
            <w:shd w:val="clear" w:color="auto" w:fill="7583BD"/>
            <w:vAlign w:val="center"/>
          </w:tcPr>
          <w:p w14:paraId="40E3FF6E" w14:textId="77777777" w:rsidR="006C22DE" w:rsidRPr="00E91BAA" w:rsidRDefault="006C22DE" w:rsidP="000B2FD6">
            <w:pPr>
              <w:spacing w:before="40" w:after="40" w:line="320" w:lineRule="atLeast"/>
              <w:rPr>
                <w:rFonts w:ascii="Verdana" w:hAnsi="Verdana"/>
                <w:b/>
                <w:sz w:val="16"/>
                <w:szCs w:val="16"/>
              </w:rPr>
            </w:pPr>
            <w:r w:rsidRPr="00E91BAA">
              <w:rPr>
                <w:rFonts w:ascii="Verdana" w:hAnsi="Verdana"/>
                <w:b/>
                <w:color w:val="FFFFFF" w:themeColor="background1"/>
                <w:sz w:val="16"/>
                <w:szCs w:val="16"/>
              </w:rPr>
              <w:t>Bond (fixed interest)</w:t>
            </w:r>
          </w:p>
        </w:tc>
      </w:tr>
      <w:tr w:rsidR="006C22DE" w:rsidRPr="00253513" w14:paraId="34937AF5" w14:textId="77777777" w:rsidTr="000B2FD6">
        <w:tc>
          <w:tcPr>
            <w:tcW w:w="4536" w:type="dxa"/>
          </w:tcPr>
          <w:p w14:paraId="54283FA1" w14:textId="77777777" w:rsidR="006C22DE" w:rsidRPr="00253513" w:rsidRDefault="006C22DE" w:rsidP="000B2FD6">
            <w:pPr>
              <w:spacing w:before="40" w:after="40" w:line="320" w:lineRule="atLeast"/>
              <w:rPr>
                <w:rFonts w:ascii="Verdana" w:hAnsi="Verdana"/>
                <w:b/>
                <w:sz w:val="16"/>
                <w:szCs w:val="16"/>
              </w:rPr>
            </w:pPr>
            <w:r>
              <w:rPr>
                <w:rFonts w:ascii="Verdana" w:hAnsi="Verdana"/>
                <w:b/>
                <w:sz w:val="16"/>
                <w:szCs w:val="16"/>
              </w:rPr>
              <w:t>All Bond Index</w:t>
            </w:r>
          </w:p>
        </w:tc>
        <w:tc>
          <w:tcPr>
            <w:tcW w:w="1134" w:type="dxa"/>
          </w:tcPr>
          <w:p w14:paraId="271DEFC3" w14:textId="01136F81" w:rsidR="006C22DE" w:rsidRPr="00253513" w:rsidRDefault="00FF2797" w:rsidP="000B2FD6">
            <w:pPr>
              <w:tabs>
                <w:tab w:val="left" w:pos="1050"/>
              </w:tabs>
              <w:spacing w:before="40" w:after="40" w:line="320" w:lineRule="atLeast"/>
              <w:jc w:val="center"/>
              <w:rPr>
                <w:rFonts w:ascii="Verdana" w:hAnsi="Verdana"/>
                <w:b/>
                <w:sz w:val="16"/>
                <w:szCs w:val="16"/>
              </w:rPr>
            </w:pPr>
            <w:r>
              <w:rPr>
                <w:rFonts w:ascii="Verdana" w:hAnsi="Verdana"/>
                <w:b/>
                <w:sz w:val="16"/>
                <w:szCs w:val="16"/>
              </w:rPr>
              <w:t>(1,13%)</w:t>
            </w:r>
          </w:p>
        </w:tc>
        <w:tc>
          <w:tcPr>
            <w:tcW w:w="1276" w:type="dxa"/>
          </w:tcPr>
          <w:p w14:paraId="4283D160" w14:textId="2F4E5A30"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14,40%</w:t>
            </w:r>
          </w:p>
        </w:tc>
        <w:tc>
          <w:tcPr>
            <w:tcW w:w="1134" w:type="dxa"/>
          </w:tcPr>
          <w:p w14:paraId="560418EE" w14:textId="283E4545"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0,10%</w:t>
            </w:r>
          </w:p>
        </w:tc>
        <w:tc>
          <w:tcPr>
            <w:tcW w:w="1134" w:type="dxa"/>
          </w:tcPr>
          <w:p w14:paraId="763D401E" w14:textId="0AB6AEAA"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2,90%</w:t>
            </w:r>
          </w:p>
        </w:tc>
        <w:tc>
          <w:tcPr>
            <w:tcW w:w="1134" w:type="dxa"/>
          </w:tcPr>
          <w:p w14:paraId="26D1C10D" w14:textId="4ACA1237"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7,10%</w:t>
            </w:r>
          </w:p>
        </w:tc>
        <w:tc>
          <w:tcPr>
            <w:tcW w:w="1134" w:type="dxa"/>
            <w:shd w:val="clear" w:color="auto" w:fill="auto"/>
          </w:tcPr>
          <w:p w14:paraId="57E7D6D4" w14:textId="0778B050"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8,11%</w:t>
            </w:r>
          </w:p>
        </w:tc>
        <w:tc>
          <w:tcPr>
            <w:tcW w:w="1134" w:type="dxa"/>
            <w:shd w:val="clear" w:color="auto" w:fill="auto"/>
          </w:tcPr>
          <w:p w14:paraId="74296B50" w14:textId="351236DF"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7,49%</w:t>
            </w:r>
          </w:p>
        </w:tc>
        <w:tc>
          <w:tcPr>
            <w:tcW w:w="1134" w:type="dxa"/>
          </w:tcPr>
          <w:p w14:paraId="7406D645" w14:textId="745C610E"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7,31%</w:t>
            </w:r>
          </w:p>
        </w:tc>
        <w:tc>
          <w:tcPr>
            <w:tcW w:w="1134" w:type="dxa"/>
          </w:tcPr>
          <w:p w14:paraId="4556F8CC" w14:textId="3CD50B2D"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8,30%</w:t>
            </w:r>
          </w:p>
        </w:tc>
      </w:tr>
      <w:tr w:rsidR="006C22DE" w:rsidRPr="00B81A28" w14:paraId="5C72A066" w14:textId="77777777" w:rsidTr="000B2FD6">
        <w:tc>
          <w:tcPr>
            <w:tcW w:w="4536" w:type="dxa"/>
          </w:tcPr>
          <w:p w14:paraId="18E0E279" w14:textId="77777777" w:rsidR="006C22DE" w:rsidRDefault="006C22DE" w:rsidP="000B2FD6">
            <w:pPr>
              <w:spacing w:before="40" w:after="40" w:line="320" w:lineRule="atLeast"/>
              <w:rPr>
                <w:rFonts w:ascii="Verdana" w:hAnsi="Verdana"/>
                <w:sz w:val="16"/>
                <w:szCs w:val="16"/>
              </w:rPr>
            </w:pPr>
            <w:r>
              <w:rPr>
                <w:rFonts w:ascii="Verdana" w:hAnsi="Verdana"/>
                <w:sz w:val="16"/>
                <w:szCs w:val="16"/>
              </w:rPr>
              <w:t>1nvest SA Bond ETF</w:t>
            </w:r>
          </w:p>
        </w:tc>
        <w:tc>
          <w:tcPr>
            <w:tcW w:w="1134" w:type="dxa"/>
          </w:tcPr>
          <w:p w14:paraId="065CEACB" w14:textId="4396B616" w:rsidR="006C22DE" w:rsidRPr="00B81A28" w:rsidRDefault="00A54EC1" w:rsidP="000B2FD6">
            <w:pPr>
              <w:tabs>
                <w:tab w:val="left" w:pos="1050"/>
              </w:tabs>
              <w:spacing w:before="40" w:after="40" w:line="320" w:lineRule="atLeast"/>
              <w:jc w:val="center"/>
              <w:rPr>
                <w:rFonts w:ascii="Verdana" w:hAnsi="Verdana"/>
                <w:sz w:val="16"/>
                <w:szCs w:val="16"/>
              </w:rPr>
            </w:pPr>
            <w:r>
              <w:rPr>
                <w:rFonts w:ascii="Verdana" w:hAnsi="Verdana"/>
                <w:sz w:val="16"/>
                <w:szCs w:val="16"/>
              </w:rPr>
              <w:t>(1,32%)</w:t>
            </w:r>
          </w:p>
        </w:tc>
        <w:tc>
          <w:tcPr>
            <w:tcW w:w="1276" w:type="dxa"/>
          </w:tcPr>
          <w:p w14:paraId="35A80F04" w14:textId="768EAF5F" w:rsidR="006C22DE" w:rsidRPr="00B81A28" w:rsidRDefault="00A54EC1" w:rsidP="000B2FD6">
            <w:pPr>
              <w:spacing w:before="40" w:after="40" w:line="320" w:lineRule="atLeast"/>
              <w:jc w:val="center"/>
              <w:rPr>
                <w:rFonts w:ascii="Verdana" w:hAnsi="Verdana"/>
                <w:sz w:val="16"/>
                <w:szCs w:val="16"/>
              </w:rPr>
            </w:pPr>
            <w:r>
              <w:rPr>
                <w:rFonts w:ascii="Verdana" w:hAnsi="Verdana"/>
                <w:sz w:val="16"/>
                <w:szCs w:val="16"/>
              </w:rPr>
              <w:t>9,95%</w:t>
            </w:r>
          </w:p>
        </w:tc>
        <w:tc>
          <w:tcPr>
            <w:tcW w:w="1134" w:type="dxa"/>
          </w:tcPr>
          <w:p w14:paraId="0B54D8CF" w14:textId="3C325074" w:rsidR="006C22DE" w:rsidRPr="00B81A28" w:rsidRDefault="00A54EC1" w:rsidP="000B2FD6">
            <w:pPr>
              <w:spacing w:before="40" w:after="40" w:line="320" w:lineRule="atLeast"/>
              <w:jc w:val="center"/>
              <w:rPr>
                <w:rFonts w:ascii="Verdana" w:hAnsi="Verdana"/>
                <w:sz w:val="16"/>
                <w:szCs w:val="16"/>
              </w:rPr>
            </w:pPr>
            <w:r>
              <w:rPr>
                <w:rFonts w:ascii="Verdana" w:hAnsi="Verdana"/>
                <w:sz w:val="16"/>
                <w:szCs w:val="16"/>
              </w:rPr>
              <w:t>(0,39%)</w:t>
            </w:r>
          </w:p>
        </w:tc>
        <w:tc>
          <w:tcPr>
            <w:tcW w:w="1134" w:type="dxa"/>
          </w:tcPr>
          <w:p w14:paraId="510E3432" w14:textId="5E6C73F9" w:rsidR="006C22DE" w:rsidRPr="00B81A28" w:rsidRDefault="00A54EC1" w:rsidP="000B2FD6">
            <w:pPr>
              <w:spacing w:before="40" w:after="40" w:line="320" w:lineRule="atLeast"/>
              <w:jc w:val="center"/>
              <w:rPr>
                <w:rFonts w:ascii="Verdana" w:hAnsi="Verdana"/>
                <w:sz w:val="16"/>
                <w:szCs w:val="16"/>
              </w:rPr>
            </w:pPr>
            <w:r>
              <w:rPr>
                <w:rFonts w:ascii="Verdana" w:hAnsi="Verdana"/>
                <w:sz w:val="16"/>
                <w:szCs w:val="16"/>
              </w:rPr>
              <w:t>1,31%</w:t>
            </w:r>
            <w:r w:rsidR="006C22DE">
              <w:rPr>
                <w:rFonts w:ascii="Verdana" w:hAnsi="Verdana"/>
                <w:sz w:val="16"/>
                <w:szCs w:val="16"/>
              </w:rPr>
              <w:t>-</w:t>
            </w:r>
          </w:p>
        </w:tc>
        <w:tc>
          <w:tcPr>
            <w:tcW w:w="1134" w:type="dxa"/>
          </w:tcPr>
          <w:p w14:paraId="28F54871"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64E8EE91"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7151082"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5E273147"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209A59C5"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r>
      <w:tr w:rsidR="006C22DE" w:rsidRPr="00B81A28" w14:paraId="39658EAC" w14:textId="77777777" w:rsidTr="000B2FD6">
        <w:tc>
          <w:tcPr>
            <w:tcW w:w="4536" w:type="dxa"/>
          </w:tcPr>
          <w:p w14:paraId="34804DFC"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NewFunds GOVI (Total Return)</w:t>
            </w:r>
          </w:p>
        </w:tc>
        <w:tc>
          <w:tcPr>
            <w:tcW w:w="1134" w:type="dxa"/>
          </w:tcPr>
          <w:p w14:paraId="393C89B9" w14:textId="7F178233"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(1,26%)</w:t>
            </w:r>
          </w:p>
        </w:tc>
        <w:tc>
          <w:tcPr>
            <w:tcW w:w="1276" w:type="dxa"/>
          </w:tcPr>
          <w:p w14:paraId="627C5B7E" w14:textId="608E884F"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14,23%</w:t>
            </w:r>
          </w:p>
        </w:tc>
        <w:tc>
          <w:tcPr>
            <w:tcW w:w="1134" w:type="dxa"/>
          </w:tcPr>
          <w:p w14:paraId="57CED015" w14:textId="1B6DF0C9"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(0,19%)</w:t>
            </w:r>
          </w:p>
        </w:tc>
        <w:tc>
          <w:tcPr>
            <w:tcW w:w="1134" w:type="dxa"/>
          </w:tcPr>
          <w:p w14:paraId="34119144" w14:textId="2983D85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2,20%</w:t>
            </w:r>
          </w:p>
        </w:tc>
        <w:tc>
          <w:tcPr>
            <w:tcW w:w="1134" w:type="dxa"/>
          </w:tcPr>
          <w:p w14:paraId="20FEBD2A" w14:textId="5AF9B83A"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6,38%</w:t>
            </w:r>
          </w:p>
        </w:tc>
        <w:tc>
          <w:tcPr>
            <w:tcW w:w="1134" w:type="dxa"/>
            <w:shd w:val="clear" w:color="auto" w:fill="auto"/>
          </w:tcPr>
          <w:p w14:paraId="67ABB777" w14:textId="182CBAB8"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7,34%</w:t>
            </w:r>
          </w:p>
        </w:tc>
        <w:tc>
          <w:tcPr>
            <w:tcW w:w="1134" w:type="dxa"/>
            <w:shd w:val="clear" w:color="auto" w:fill="auto"/>
          </w:tcPr>
          <w:p w14:paraId="41AA4DCF" w14:textId="1BCBCF77"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7,02%</w:t>
            </w:r>
          </w:p>
        </w:tc>
        <w:tc>
          <w:tcPr>
            <w:tcW w:w="1134" w:type="dxa"/>
          </w:tcPr>
          <w:p w14:paraId="3D77E886" w14:textId="533F60F6"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6,85%</w:t>
            </w:r>
          </w:p>
        </w:tc>
        <w:tc>
          <w:tcPr>
            <w:tcW w:w="1134" w:type="dxa"/>
          </w:tcPr>
          <w:p w14:paraId="3C202CDB"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4B5EE35C" w14:textId="77777777" w:rsidTr="000B2FD6">
        <w:tc>
          <w:tcPr>
            <w:tcW w:w="4536" w:type="dxa"/>
          </w:tcPr>
          <w:p w14:paraId="081F3068"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NewFunds ILBI (Inflation-Linked) (TR)</w:t>
            </w:r>
          </w:p>
        </w:tc>
        <w:tc>
          <w:tcPr>
            <w:tcW w:w="1134" w:type="dxa"/>
          </w:tcPr>
          <w:p w14:paraId="2F90CA0B" w14:textId="635A997C"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(1,04%)</w:t>
            </w:r>
          </w:p>
        </w:tc>
        <w:tc>
          <w:tcPr>
            <w:tcW w:w="1276" w:type="dxa"/>
          </w:tcPr>
          <w:p w14:paraId="60A3CDAE" w14:textId="2461245A"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16,51%</w:t>
            </w:r>
          </w:p>
        </w:tc>
        <w:tc>
          <w:tcPr>
            <w:tcW w:w="1134" w:type="dxa"/>
          </w:tcPr>
          <w:p w14:paraId="07166335" w14:textId="2917D922"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(2,68%)</w:t>
            </w:r>
          </w:p>
        </w:tc>
        <w:tc>
          <w:tcPr>
            <w:tcW w:w="1134" w:type="dxa"/>
          </w:tcPr>
          <w:p w14:paraId="00E89750" w14:textId="60808CB4"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(3,70%)</w:t>
            </w:r>
          </w:p>
        </w:tc>
        <w:tc>
          <w:tcPr>
            <w:tcW w:w="1134" w:type="dxa"/>
          </w:tcPr>
          <w:p w14:paraId="76018E3C" w14:textId="530B54FE"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(0,09%)</w:t>
            </w:r>
          </w:p>
        </w:tc>
        <w:tc>
          <w:tcPr>
            <w:tcW w:w="1134" w:type="dxa"/>
            <w:shd w:val="clear" w:color="auto" w:fill="auto"/>
          </w:tcPr>
          <w:p w14:paraId="34BA7A27" w14:textId="0CF3F0DF"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0,35%</w:t>
            </w:r>
          </w:p>
        </w:tc>
        <w:tc>
          <w:tcPr>
            <w:tcW w:w="1134" w:type="dxa"/>
            <w:shd w:val="clear" w:color="auto" w:fill="auto"/>
          </w:tcPr>
          <w:p w14:paraId="70ECEDD3" w14:textId="7C38CAA8"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1,67%</w:t>
            </w:r>
          </w:p>
        </w:tc>
        <w:tc>
          <w:tcPr>
            <w:tcW w:w="1134" w:type="dxa"/>
          </w:tcPr>
          <w:p w14:paraId="4C6CB8AE" w14:textId="63323C7C"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3,49%</w:t>
            </w:r>
          </w:p>
        </w:tc>
        <w:tc>
          <w:tcPr>
            <w:tcW w:w="1134" w:type="dxa"/>
          </w:tcPr>
          <w:p w14:paraId="01F5BCF6"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02D3D512" w14:textId="77777777" w:rsidTr="000B2FD6">
        <w:tc>
          <w:tcPr>
            <w:tcW w:w="4536" w:type="dxa"/>
          </w:tcPr>
          <w:p w14:paraId="775192BB"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 xml:space="preserve">Ashburton Government Inflation </w:t>
            </w:r>
          </w:p>
        </w:tc>
        <w:tc>
          <w:tcPr>
            <w:tcW w:w="1134" w:type="dxa"/>
          </w:tcPr>
          <w:p w14:paraId="0F771469" w14:textId="6B3C5D2A"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(1,04%)</w:t>
            </w:r>
          </w:p>
        </w:tc>
        <w:tc>
          <w:tcPr>
            <w:tcW w:w="1276" w:type="dxa"/>
          </w:tcPr>
          <w:p w14:paraId="6656B903" w14:textId="2C37515A"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16,35%</w:t>
            </w:r>
          </w:p>
        </w:tc>
        <w:tc>
          <w:tcPr>
            <w:tcW w:w="1134" w:type="dxa"/>
          </w:tcPr>
          <w:p w14:paraId="2804A320" w14:textId="3AE2AED4"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(2,71%)</w:t>
            </w:r>
          </w:p>
        </w:tc>
        <w:tc>
          <w:tcPr>
            <w:tcW w:w="1134" w:type="dxa"/>
          </w:tcPr>
          <w:p w14:paraId="54F2BFD7" w14:textId="6BF89107"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(3,80%)</w:t>
            </w:r>
          </w:p>
        </w:tc>
        <w:tc>
          <w:tcPr>
            <w:tcW w:w="1134" w:type="dxa"/>
          </w:tcPr>
          <w:p w14:paraId="7FB6844D" w14:textId="33A5A7DE"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(0,17%)</w:t>
            </w:r>
          </w:p>
        </w:tc>
        <w:tc>
          <w:tcPr>
            <w:tcW w:w="1134" w:type="dxa"/>
            <w:shd w:val="clear" w:color="auto" w:fill="auto"/>
          </w:tcPr>
          <w:p w14:paraId="17FE7F14" w14:textId="72EACFF5"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0,28%</w:t>
            </w:r>
          </w:p>
        </w:tc>
        <w:tc>
          <w:tcPr>
            <w:tcW w:w="1134" w:type="dxa"/>
            <w:shd w:val="clear" w:color="auto" w:fill="auto"/>
          </w:tcPr>
          <w:p w14:paraId="195DD48C" w14:textId="0798D180"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1,60%</w:t>
            </w:r>
          </w:p>
        </w:tc>
        <w:tc>
          <w:tcPr>
            <w:tcW w:w="1134" w:type="dxa"/>
          </w:tcPr>
          <w:p w14:paraId="3FAFADC4" w14:textId="31C649C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3,37%</w:t>
            </w:r>
          </w:p>
        </w:tc>
        <w:tc>
          <w:tcPr>
            <w:tcW w:w="1134" w:type="dxa"/>
          </w:tcPr>
          <w:p w14:paraId="51AA06CD" w14:textId="03E0151A"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5,54%</w:t>
            </w:r>
          </w:p>
        </w:tc>
      </w:tr>
      <w:tr w:rsidR="006C22DE" w:rsidRPr="00B81A28" w14:paraId="20FEA604" w14:textId="77777777" w:rsidTr="000B2FD6">
        <w:tc>
          <w:tcPr>
            <w:tcW w:w="4536" w:type="dxa"/>
          </w:tcPr>
          <w:p w14:paraId="13A1CAEA"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Satrix Inflation-Linked Bond (ILBI)</w:t>
            </w:r>
          </w:p>
        </w:tc>
        <w:tc>
          <w:tcPr>
            <w:tcW w:w="1134" w:type="dxa"/>
            <w:vAlign w:val="center"/>
          </w:tcPr>
          <w:p w14:paraId="40F22F67" w14:textId="44172CB5"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(0,87%)</w:t>
            </w:r>
          </w:p>
        </w:tc>
        <w:tc>
          <w:tcPr>
            <w:tcW w:w="1276" w:type="dxa"/>
            <w:vAlign w:val="center"/>
          </w:tcPr>
          <w:p w14:paraId="26115C55" w14:textId="04CDA16C"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16,54%</w:t>
            </w:r>
          </w:p>
        </w:tc>
        <w:tc>
          <w:tcPr>
            <w:tcW w:w="1134" w:type="dxa"/>
            <w:vAlign w:val="center"/>
          </w:tcPr>
          <w:p w14:paraId="03100186" w14:textId="78DF80F0"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(2,41%)</w:t>
            </w:r>
          </w:p>
        </w:tc>
        <w:tc>
          <w:tcPr>
            <w:tcW w:w="1134" w:type="dxa"/>
            <w:vAlign w:val="center"/>
          </w:tcPr>
          <w:p w14:paraId="18172096" w14:textId="0B00F385"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(3,30%)</w:t>
            </w:r>
          </w:p>
        </w:tc>
        <w:tc>
          <w:tcPr>
            <w:tcW w:w="1134" w:type="dxa"/>
            <w:vAlign w:val="center"/>
          </w:tcPr>
          <w:p w14:paraId="4A49E918" w14:textId="70002DD2"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0,34%</w:t>
            </w:r>
          </w:p>
        </w:tc>
        <w:tc>
          <w:tcPr>
            <w:tcW w:w="1134" w:type="dxa"/>
            <w:shd w:val="clear" w:color="auto" w:fill="auto"/>
          </w:tcPr>
          <w:p w14:paraId="10801CF5" w14:textId="33CCE69B"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0,87%</w:t>
            </w:r>
          </w:p>
        </w:tc>
        <w:tc>
          <w:tcPr>
            <w:tcW w:w="1134" w:type="dxa"/>
            <w:shd w:val="clear" w:color="auto" w:fill="auto"/>
          </w:tcPr>
          <w:p w14:paraId="1DE39150"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3E4A6748"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4768F7FE"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r>
      <w:tr w:rsidR="006C22DE" w:rsidRPr="00B81A28" w14:paraId="2A9A9055" w14:textId="77777777" w:rsidTr="000B2FD6">
        <w:tc>
          <w:tcPr>
            <w:tcW w:w="14884" w:type="dxa"/>
            <w:gridSpan w:val="10"/>
            <w:shd w:val="clear" w:color="auto" w:fill="7583BD"/>
          </w:tcPr>
          <w:p w14:paraId="643399A7" w14:textId="77777777" w:rsidR="006C22DE" w:rsidRPr="007637F2" w:rsidRDefault="006C22DE" w:rsidP="000B2FD6">
            <w:pPr>
              <w:spacing w:before="40" w:after="40" w:line="320" w:lineRule="atLeast"/>
              <w:rPr>
                <w:rFonts w:ascii="Verdana" w:hAnsi="Verdana"/>
                <w:b/>
                <w:color w:val="FFFFFF" w:themeColor="background1"/>
                <w:sz w:val="16"/>
                <w:szCs w:val="16"/>
              </w:rPr>
            </w:pPr>
            <w:r>
              <w:rPr>
                <w:rFonts w:ascii="Verdana" w:hAnsi="Verdana"/>
                <w:b/>
                <w:color w:val="FFFFFF" w:themeColor="background1"/>
                <w:sz w:val="16"/>
                <w:szCs w:val="16"/>
              </w:rPr>
              <w:t>Listed Property</w:t>
            </w:r>
          </w:p>
        </w:tc>
      </w:tr>
      <w:tr w:rsidR="006C22DE" w:rsidRPr="00253513" w14:paraId="556B8CCC" w14:textId="77777777" w:rsidTr="000B2FD6">
        <w:tc>
          <w:tcPr>
            <w:tcW w:w="4536" w:type="dxa"/>
          </w:tcPr>
          <w:p w14:paraId="069FDF9B" w14:textId="77777777" w:rsidR="006C22DE" w:rsidRPr="00253513" w:rsidRDefault="006C22DE" w:rsidP="000B2FD6">
            <w:pPr>
              <w:spacing w:before="40" w:after="40" w:line="320" w:lineRule="atLeast"/>
              <w:rPr>
                <w:rFonts w:ascii="Verdana" w:hAnsi="Verdana"/>
                <w:b/>
                <w:sz w:val="16"/>
                <w:szCs w:val="16"/>
              </w:rPr>
            </w:pPr>
            <w:r>
              <w:rPr>
                <w:rFonts w:ascii="Verdana" w:hAnsi="Verdana"/>
                <w:b/>
                <w:sz w:val="16"/>
                <w:szCs w:val="16"/>
              </w:rPr>
              <w:t>SA Listed Property Index (SAPY)</w:t>
            </w:r>
          </w:p>
        </w:tc>
        <w:tc>
          <w:tcPr>
            <w:tcW w:w="1134" w:type="dxa"/>
          </w:tcPr>
          <w:p w14:paraId="3E51DECD" w14:textId="71D18B63" w:rsidR="006C22DE" w:rsidRPr="00253513" w:rsidRDefault="00FF2797" w:rsidP="000B2FD6">
            <w:pPr>
              <w:tabs>
                <w:tab w:val="left" w:pos="1050"/>
              </w:tabs>
              <w:spacing w:before="40" w:after="40" w:line="320" w:lineRule="atLeast"/>
              <w:jc w:val="center"/>
              <w:rPr>
                <w:rFonts w:ascii="Verdana" w:hAnsi="Verdana"/>
                <w:b/>
                <w:sz w:val="16"/>
                <w:szCs w:val="16"/>
              </w:rPr>
            </w:pPr>
            <w:r>
              <w:rPr>
                <w:rFonts w:ascii="Verdana" w:hAnsi="Verdana"/>
                <w:b/>
                <w:sz w:val="16"/>
                <w:szCs w:val="16"/>
              </w:rPr>
              <w:t>13,41%</w:t>
            </w:r>
          </w:p>
        </w:tc>
        <w:tc>
          <w:tcPr>
            <w:tcW w:w="1276" w:type="dxa"/>
          </w:tcPr>
          <w:p w14:paraId="65DD3FBA" w14:textId="3153E809"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27,36%</w:t>
            </w:r>
          </w:p>
        </w:tc>
        <w:tc>
          <w:tcPr>
            <w:tcW w:w="1134" w:type="dxa"/>
          </w:tcPr>
          <w:p w14:paraId="73E2B9EE" w14:textId="1C3E194E"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(38,07%)</w:t>
            </w:r>
          </w:p>
        </w:tc>
        <w:tc>
          <w:tcPr>
            <w:tcW w:w="1134" w:type="dxa"/>
          </w:tcPr>
          <w:p w14:paraId="5C03C6DC" w14:textId="16511A2A"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(39,98%)</w:t>
            </w:r>
          </w:p>
        </w:tc>
        <w:tc>
          <w:tcPr>
            <w:tcW w:w="1134" w:type="dxa"/>
          </w:tcPr>
          <w:p w14:paraId="17F0D93D" w14:textId="79B95D24"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(22,22%)</w:t>
            </w:r>
          </w:p>
        </w:tc>
        <w:tc>
          <w:tcPr>
            <w:tcW w:w="1134" w:type="dxa"/>
            <w:shd w:val="clear" w:color="auto" w:fill="auto"/>
          </w:tcPr>
          <w:p w14:paraId="0DCAC18B" w14:textId="41FAE032"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(18,33%)</w:t>
            </w:r>
          </w:p>
        </w:tc>
        <w:tc>
          <w:tcPr>
            <w:tcW w:w="1134" w:type="dxa"/>
            <w:shd w:val="clear" w:color="auto" w:fill="auto"/>
          </w:tcPr>
          <w:p w14:paraId="366FB6CE" w14:textId="40D523F6"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(9,06%)</w:t>
            </w:r>
          </w:p>
        </w:tc>
        <w:tc>
          <w:tcPr>
            <w:tcW w:w="1134" w:type="dxa"/>
          </w:tcPr>
          <w:p w14:paraId="76C4D759" w14:textId="74889962"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(2,51%)</w:t>
            </w:r>
          </w:p>
        </w:tc>
        <w:tc>
          <w:tcPr>
            <w:tcW w:w="1134" w:type="dxa"/>
          </w:tcPr>
          <w:p w14:paraId="78865B5A" w14:textId="1632A848" w:rsidR="006C22DE" w:rsidRPr="00253513" w:rsidRDefault="00FF2797" w:rsidP="000B2FD6">
            <w:pPr>
              <w:spacing w:before="40" w:after="40" w:line="320" w:lineRule="atLeast"/>
              <w:jc w:val="center"/>
              <w:rPr>
                <w:rFonts w:ascii="Verdana" w:hAnsi="Verdana"/>
                <w:b/>
                <w:sz w:val="16"/>
                <w:szCs w:val="16"/>
              </w:rPr>
            </w:pPr>
            <w:r>
              <w:rPr>
                <w:rFonts w:ascii="Verdana" w:hAnsi="Verdana"/>
                <w:b/>
                <w:sz w:val="16"/>
                <w:szCs w:val="16"/>
              </w:rPr>
              <w:t>4,68%</w:t>
            </w:r>
          </w:p>
        </w:tc>
      </w:tr>
      <w:tr w:rsidR="006C22DE" w:rsidRPr="00B81A28" w14:paraId="4E922950" w14:textId="77777777" w:rsidTr="000B2FD6">
        <w:tc>
          <w:tcPr>
            <w:tcW w:w="4536" w:type="dxa"/>
          </w:tcPr>
          <w:p w14:paraId="1A0546C1"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1nvest SA Pr</w:t>
            </w:r>
            <w:r w:rsidRPr="00B81A28">
              <w:rPr>
                <w:rFonts w:ascii="Verdana" w:hAnsi="Verdana"/>
                <w:sz w:val="16"/>
                <w:szCs w:val="16"/>
              </w:rPr>
              <w:t xml:space="preserve">operty </w:t>
            </w:r>
          </w:p>
        </w:tc>
        <w:tc>
          <w:tcPr>
            <w:tcW w:w="1134" w:type="dxa"/>
          </w:tcPr>
          <w:p w14:paraId="57780904" w14:textId="369F837D"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13,19%</w:t>
            </w:r>
          </w:p>
        </w:tc>
        <w:tc>
          <w:tcPr>
            <w:tcW w:w="1276" w:type="dxa"/>
          </w:tcPr>
          <w:p w14:paraId="32FED36B" w14:textId="17823019"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26,24%</w:t>
            </w:r>
          </w:p>
        </w:tc>
        <w:tc>
          <w:tcPr>
            <w:tcW w:w="1134" w:type="dxa"/>
          </w:tcPr>
          <w:p w14:paraId="75017819" w14:textId="3FC8A02E"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(38,17%)</w:t>
            </w:r>
          </w:p>
        </w:tc>
        <w:tc>
          <w:tcPr>
            <w:tcW w:w="1134" w:type="dxa"/>
          </w:tcPr>
          <w:p w14:paraId="54695B2E" w14:textId="09745054"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(40,74%)</w:t>
            </w:r>
          </w:p>
        </w:tc>
        <w:tc>
          <w:tcPr>
            <w:tcW w:w="1134" w:type="dxa"/>
          </w:tcPr>
          <w:p w14:paraId="68DBD68A" w14:textId="71DD313E"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(22,87%)</w:t>
            </w:r>
          </w:p>
        </w:tc>
        <w:tc>
          <w:tcPr>
            <w:tcW w:w="1134" w:type="dxa"/>
            <w:shd w:val="clear" w:color="auto" w:fill="auto"/>
          </w:tcPr>
          <w:p w14:paraId="54C25C60" w14:textId="426A5DF4"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(18,90%)</w:t>
            </w:r>
          </w:p>
        </w:tc>
        <w:tc>
          <w:tcPr>
            <w:tcW w:w="1134" w:type="dxa"/>
            <w:shd w:val="clear" w:color="auto" w:fill="auto"/>
          </w:tcPr>
          <w:p w14:paraId="3F5EAC76" w14:textId="0669B3AD"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(2,63%)</w:t>
            </w:r>
          </w:p>
        </w:tc>
        <w:tc>
          <w:tcPr>
            <w:tcW w:w="1134" w:type="dxa"/>
          </w:tcPr>
          <w:p w14:paraId="2E0AFFB0" w14:textId="77777777" w:rsidR="006C22DE" w:rsidRPr="00B81A28" w:rsidRDefault="006C22DE" w:rsidP="000B2FD6">
            <w:pPr>
              <w:spacing w:before="40" w:after="40" w:line="320" w:lineRule="atLeast"/>
              <w:jc w:val="center"/>
              <w:rPr>
                <w:rFonts w:ascii="Verdana" w:hAnsi="Verdana"/>
                <w:sz w:val="16"/>
                <w:szCs w:val="16"/>
              </w:rPr>
            </w:pPr>
          </w:p>
        </w:tc>
        <w:tc>
          <w:tcPr>
            <w:tcW w:w="1134" w:type="dxa"/>
          </w:tcPr>
          <w:p w14:paraId="76FFCE16"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0BB049F0" w14:textId="77777777" w:rsidTr="000B2FD6">
        <w:tc>
          <w:tcPr>
            <w:tcW w:w="4536" w:type="dxa"/>
          </w:tcPr>
          <w:p w14:paraId="5847BDB3"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 xml:space="preserve">CoreShares </w:t>
            </w:r>
            <w:r>
              <w:rPr>
                <w:rFonts w:ascii="Verdana" w:hAnsi="Verdana"/>
                <w:sz w:val="16"/>
                <w:szCs w:val="16"/>
              </w:rPr>
              <w:t>SA Property Income</w:t>
            </w:r>
          </w:p>
        </w:tc>
        <w:tc>
          <w:tcPr>
            <w:tcW w:w="1134" w:type="dxa"/>
          </w:tcPr>
          <w:p w14:paraId="53455B7C" w14:textId="45267EFF"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12,03%</w:t>
            </w:r>
          </w:p>
        </w:tc>
        <w:tc>
          <w:tcPr>
            <w:tcW w:w="1276" w:type="dxa"/>
          </w:tcPr>
          <w:p w14:paraId="26D38D9F" w14:textId="19ACFE6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22,03%</w:t>
            </w:r>
          </w:p>
        </w:tc>
        <w:tc>
          <w:tcPr>
            <w:tcW w:w="1134" w:type="dxa"/>
          </w:tcPr>
          <w:p w14:paraId="1CECE3FB" w14:textId="4CFD3877"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(39,97%)</w:t>
            </w:r>
          </w:p>
        </w:tc>
        <w:tc>
          <w:tcPr>
            <w:tcW w:w="1134" w:type="dxa"/>
          </w:tcPr>
          <w:p w14:paraId="46F2D825"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6D5AD39D"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0751583"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36C71696"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0EBA43B9"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134" w:type="dxa"/>
          </w:tcPr>
          <w:p w14:paraId="1AC4D1C6"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r>
      <w:tr w:rsidR="006C22DE" w:rsidRPr="00B81A28" w14:paraId="23AB07EA" w14:textId="77777777" w:rsidTr="000B2FD6">
        <w:tc>
          <w:tcPr>
            <w:tcW w:w="4536" w:type="dxa"/>
          </w:tcPr>
          <w:p w14:paraId="051127BA"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Property</w:t>
            </w:r>
          </w:p>
        </w:tc>
        <w:tc>
          <w:tcPr>
            <w:tcW w:w="1134" w:type="dxa"/>
          </w:tcPr>
          <w:p w14:paraId="7E2DAC22" w14:textId="3DB77AC7" w:rsidR="006C22DE" w:rsidRPr="00B81A28" w:rsidRDefault="00FF2797" w:rsidP="000B2FD6">
            <w:pPr>
              <w:tabs>
                <w:tab w:val="left" w:pos="1050"/>
              </w:tabs>
              <w:spacing w:before="40" w:after="40" w:line="320" w:lineRule="atLeast"/>
              <w:jc w:val="center"/>
              <w:rPr>
                <w:rFonts w:ascii="Verdana" w:hAnsi="Verdana"/>
                <w:sz w:val="16"/>
                <w:szCs w:val="16"/>
              </w:rPr>
            </w:pPr>
            <w:r>
              <w:rPr>
                <w:rFonts w:ascii="Verdana" w:hAnsi="Verdana"/>
                <w:sz w:val="16"/>
                <w:szCs w:val="16"/>
              </w:rPr>
              <w:t>12,68%</w:t>
            </w:r>
          </w:p>
        </w:tc>
        <w:tc>
          <w:tcPr>
            <w:tcW w:w="1276" w:type="dxa"/>
          </w:tcPr>
          <w:p w14:paraId="3931A2F1" w14:textId="2CA6E9E1"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21,10%</w:t>
            </w:r>
          </w:p>
        </w:tc>
        <w:tc>
          <w:tcPr>
            <w:tcW w:w="1134" w:type="dxa"/>
          </w:tcPr>
          <w:p w14:paraId="4044C481" w14:textId="25C1D2EE"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(42,54%)</w:t>
            </w:r>
          </w:p>
        </w:tc>
        <w:tc>
          <w:tcPr>
            <w:tcW w:w="1134" w:type="dxa"/>
          </w:tcPr>
          <w:p w14:paraId="2933513F" w14:textId="22590DF4"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(44,68%)</w:t>
            </w:r>
          </w:p>
        </w:tc>
        <w:tc>
          <w:tcPr>
            <w:tcW w:w="1134" w:type="dxa"/>
          </w:tcPr>
          <w:p w14:paraId="30C0A332" w14:textId="6AF028C5"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(29,03%)</w:t>
            </w:r>
          </w:p>
        </w:tc>
        <w:tc>
          <w:tcPr>
            <w:tcW w:w="1134" w:type="dxa"/>
            <w:shd w:val="clear" w:color="auto" w:fill="auto"/>
          </w:tcPr>
          <w:p w14:paraId="69418FAD" w14:textId="6584DA5C" w:rsidR="006C22DE" w:rsidRPr="00B81A28" w:rsidRDefault="00FF2797" w:rsidP="000B2FD6">
            <w:pPr>
              <w:spacing w:before="40" w:after="40" w:line="320" w:lineRule="atLeast"/>
              <w:jc w:val="center"/>
              <w:rPr>
                <w:rFonts w:ascii="Verdana" w:hAnsi="Verdana"/>
                <w:sz w:val="16"/>
                <w:szCs w:val="16"/>
              </w:rPr>
            </w:pPr>
            <w:r>
              <w:rPr>
                <w:rFonts w:ascii="Verdana" w:hAnsi="Verdana"/>
                <w:sz w:val="16"/>
                <w:szCs w:val="16"/>
              </w:rPr>
              <w:t>(22,93%)</w:t>
            </w:r>
          </w:p>
        </w:tc>
        <w:tc>
          <w:tcPr>
            <w:tcW w:w="1134" w:type="dxa"/>
            <w:shd w:val="clear" w:color="auto" w:fill="auto"/>
          </w:tcPr>
          <w:p w14:paraId="1331C9E0"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c>
          <w:tcPr>
            <w:tcW w:w="1134" w:type="dxa"/>
          </w:tcPr>
          <w:p w14:paraId="781A4AAC"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c>
          <w:tcPr>
            <w:tcW w:w="1134" w:type="dxa"/>
          </w:tcPr>
          <w:p w14:paraId="23AFA072"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bl>
    <w:p w14:paraId="735B4EF5" w14:textId="77777777" w:rsidR="006C22DE" w:rsidRDefault="006C22DE" w:rsidP="006C22DE">
      <w:pPr>
        <w:rPr>
          <w:rFonts w:ascii="Verdana" w:hAnsi="Verdana"/>
        </w:rPr>
      </w:pPr>
    </w:p>
    <w:p w14:paraId="10F0FAA1" w14:textId="77777777" w:rsidR="006C22DE" w:rsidRDefault="006C22DE" w:rsidP="006C22DE">
      <w:pPr>
        <w:spacing w:after="160" w:line="259" w:lineRule="auto"/>
        <w:rPr>
          <w:rFonts w:ascii="Verdana" w:hAnsi="Verdana"/>
        </w:rPr>
      </w:pPr>
      <w:r>
        <w:rPr>
          <w:rFonts w:ascii="Verdana" w:hAnsi="Verdana"/>
        </w:rPr>
        <w:br w:type="page"/>
      </w:r>
    </w:p>
    <w:p w14:paraId="07CB9C14" w14:textId="77777777" w:rsidR="006C22DE" w:rsidRPr="00C01BC7" w:rsidRDefault="006C22DE" w:rsidP="006C22DE">
      <w:pPr>
        <w:spacing w:after="0" w:line="240" w:lineRule="auto"/>
        <w:rPr>
          <w:rFonts w:ascii="Verdana" w:hAnsi="Verdana"/>
          <w:sz w:val="12"/>
          <w:szCs w:val="12"/>
        </w:rPr>
      </w:pPr>
    </w:p>
    <w:p w14:paraId="292F577A"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drawing>
          <wp:inline distT="0" distB="0" distL="0" distR="0" wp14:anchorId="524A2352" wp14:editId="0139E532">
            <wp:extent cx="3057525" cy="642486"/>
            <wp:effectExtent l="0" t="0" r="0" b="5715"/>
            <wp:docPr id="12" name="Picture 12"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52ED7F06" w14:textId="77777777" w:rsidTr="000B2FD6">
        <w:tc>
          <w:tcPr>
            <w:tcW w:w="14884" w:type="dxa"/>
            <w:gridSpan w:val="10"/>
            <w:shd w:val="clear" w:color="auto" w:fill="CB2229"/>
            <w:vAlign w:val="center"/>
          </w:tcPr>
          <w:p w14:paraId="183B9D3E" w14:textId="77777777" w:rsidR="006C22DE" w:rsidRPr="00B81A28" w:rsidRDefault="006C22DE" w:rsidP="000B2FD6">
            <w:pPr>
              <w:spacing w:before="20" w:after="40" w:line="28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420C16A9" w14:textId="77777777" w:rsidR="006C22DE" w:rsidRPr="00B81A28" w:rsidRDefault="006C22DE" w:rsidP="000B2FD6">
            <w:pPr>
              <w:spacing w:before="20" w:after="40" w:line="28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64CE21A4" w14:textId="77777777" w:rsidR="006C22DE" w:rsidRPr="00B81A28" w:rsidRDefault="006C22DE" w:rsidP="000B2FD6">
            <w:pPr>
              <w:spacing w:before="20" w:after="40" w:line="28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29BFE045" w14:textId="77777777" w:rsidTr="000B2FD6">
        <w:tc>
          <w:tcPr>
            <w:tcW w:w="4536" w:type="dxa"/>
            <w:shd w:val="clear" w:color="auto" w:fill="4C4C4C"/>
          </w:tcPr>
          <w:p w14:paraId="7C2ED8FA" w14:textId="77777777" w:rsidR="006C22DE" w:rsidRPr="0067766B" w:rsidRDefault="006C22DE" w:rsidP="000B2FD6">
            <w:pPr>
              <w:spacing w:before="20" w:after="40" w:line="280" w:lineRule="atLeast"/>
              <w:rPr>
                <w:rFonts w:ascii="Verdana" w:hAnsi="Verdana"/>
                <w:b/>
                <w:caps/>
                <w:color w:val="FFFFFF"/>
                <w:sz w:val="16"/>
                <w:szCs w:val="16"/>
              </w:rPr>
            </w:pPr>
            <w:r w:rsidRPr="0067766B">
              <w:rPr>
                <w:rFonts w:ascii="Verdana" w:hAnsi="Verdana"/>
                <w:b/>
                <w:caps/>
                <w:color w:val="FFFFFF"/>
                <w:sz w:val="16"/>
                <w:szCs w:val="16"/>
              </w:rPr>
              <w:t>Domestic (SA) ETFs</w:t>
            </w:r>
          </w:p>
        </w:tc>
        <w:tc>
          <w:tcPr>
            <w:tcW w:w="1134" w:type="dxa"/>
            <w:shd w:val="clear" w:color="auto" w:fill="4C4C4C"/>
          </w:tcPr>
          <w:p w14:paraId="2C46D9D2"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351F0F74"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03A09788"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42E1ED56"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705AC72B"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6597AF09"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0722D433"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5E335987"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72FE884D" w14:textId="77777777" w:rsidR="006C22DE" w:rsidRPr="00B81A28" w:rsidRDefault="006C22DE" w:rsidP="000B2FD6">
            <w:pPr>
              <w:spacing w:before="20" w:after="40" w:line="28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702B0F56" w14:textId="77777777" w:rsidTr="000B2FD6">
        <w:tc>
          <w:tcPr>
            <w:tcW w:w="14884" w:type="dxa"/>
            <w:gridSpan w:val="10"/>
            <w:shd w:val="clear" w:color="auto" w:fill="7583BD"/>
            <w:vAlign w:val="center"/>
          </w:tcPr>
          <w:p w14:paraId="410B78EE" w14:textId="77777777" w:rsidR="006C22DE" w:rsidRPr="00B81A28" w:rsidRDefault="006C22DE" w:rsidP="000B2FD6">
            <w:pPr>
              <w:spacing w:before="20" w:after="40" w:line="280" w:lineRule="atLeast"/>
              <w:rPr>
                <w:rFonts w:ascii="Verdana" w:hAnsi="Verdana"/>
                <w:b/>
                <w:color w:val="FFFFFF" w:themeColor="background1"/>
                <w:sz w:val="16"/>
                <w:szCs w:val="16"/>
              </w:rPr>
            </w:pPr>
            <w:r>
              <w:rPr>
                <w:rFonts w:ascii="Verdana" w:hAnsi="Verdana"/>
                <w:b/>
                <w:color w:val="FFFFFF" w:themeColor="background1"/>
                <w:sz w:val="16"/>
                <w:szCs w:val="16"/>
              </w:rPr>
              <w:t>Style / Smart Beta</w:t>
            </w:r>
          </w:p>
        </w:tc>
      </w:tr>
      <w:tr w:rsidR="006C22DE" w:rsidRPr="00CE5E68" w14:paraId="74B56A11" w14:textId="77777777" w:rsidTr="000B2FD6">
        <w:tc>
          <w:tcPr>
            <w:tcW w:w="4536" w:type="dxa"/>
          </w:tcPr>
          <w:p w14:paraId="3EF83E05" w14:textId="77777777" w:rsidR="006C22DE" w:rsidRPr="00CE5E68" w:rsidRDefault="006C22DE" w:rsidP="000B2FD6">
            <w:pPr>
              <w:spacing w:before="40" w:after="40" w:line="280" w:lineRule="atLeast"/>
              <w:rPr>
                <w:rFonts w:ascii="Verdana" w:hAnsi="Verdana"/>
                <w:b/>
                <w:sz w:val="16"/>
                <w:szCs w:val="16"/>
              </w:rPr>
            </w:pPr>
            <w:r>
              <w:rPr>
                <w:rFonts w:ascii="Verdana" w:hAnsi="Verdana"/>
                <w:b/>
                <w:sz w:val="16"/>
                <w:szCs w:val="16"/>
              </w:rPr>
              <w:t>FTSE/JSE All Share Index</w:t>
            </w:r>
          </w:p>
        </w:tc>
        <w:tc>
          <w:tcPr>
            <w:tcW w:w="1134" w:type="dxa"/>
          </w:tcPr>
          <w:p w14:paraId="54700F52" w14:textId="35A8504C" w:rsidR="006C22DE" w:rsidRPr="00CE5E68" w:rsidRDefault="00FF2797" w:rsidP="000B2FD6">
            <w:pPr>
              <w:tabs>
                <w:tab w:val="left" w:pos="1050"/>
              </w:tabs>
              <w:spacing w:before="40" w:after="40" w:line="280" w:lineRule="atLeast"/>
              <w:jc w:val="center"/>
              <w:rPr>
                <w:rFonts w:ascii="Verdana" w:hAnsi="Verdana"/>
                <w:b/>
                <w:sz w:val="16"/>
                <w:szCs w:val="16"/>
              </w:rPr>
            </w:pPr>
            <w:r>
              <w:rPr>
                <w:rFonts w:ascii="Verdana" w:hAnsi="Verdana"/>
                <w:b/>
                <w:sz w:val="16"/>
                <w:szCs w:val="16"/>
              </w:rPr>
              <w:t>7,74%</w:t>
            </w:r>
          </w:p>
        </w:tc>
        <w:tc>
          <w:tcPr>
            <w:tcW w:w="1276" w:type="dxa"/>
          </w:tcPr>
          <w:p w14:paraId="6A089DE5" w14:textId="46E37D42"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26,23%</w:t>
            </w:r>
          </w:p>
        </w:tc>
        <w:tc>
          <w:tcPr>
            <w:tcW w:w="1134" w:type="dxa"/>
          </w:tcPr>
          <w:p w14:paraId="679E439D" w14:textId="1AE0497B"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(4,19%)</w:t>
            </w:r>
          </w:p>
        </w:tc>
        <w:tc>
          <w:tcPr>
            <w:tcW w:w="1134" w:type="dxa"/>
          </w:tcPr>
          <w:p w14:paraId="3D94CDAE" w14:textId="4DE460B1"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(3,30%)</w:t>
            </w:r>
          </w:p>
        </w:tc>
        <w:tc>
          <w:tcPr>
            <w:tcW w:w="1134" w:type="dxa"/>
          </w:tcPr>
          <w:p w14:paraId="10A3586B" w14:textId="5F8BDF0D"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0,48%</w:t>
            </w:r>
          </w:p>
        </w:tc>
        <w:tc>
          <w:tcPr>
            <w:tcW w:w="1134" w:type="dxa"/>
            <w:shd w:val="clear" w:color="auto" w:fill="auto"/>
          </w:tcPr>
          <w:p w14:paraId="6583A9EE" w14:textId="13F39718"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5,11%</w:t>
            </w:r>
          </w:p>
        </w:tc>
        <w:tc>
          <w:tcPr>
            <w:tcW w:w="1134" w:type="dxa"/>
            <w:shd w:val="clear" w:color="auto" w:fill="auto"/>
          </w:tcPr>
          <w:p w14:paraId="071AFDFC" w14:textId="22953397"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4,16%</w:t>
            </w:r>
          </w:p>
        </w:tc>
        <w:tc>
          <w:tcPr>
            <w:tcW w:w="1134" w:type="dxa"/>
          </w:tcPr>
          <w:p w14:paraId="318E5CF4" w14:textId="5CA658E4"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7,93%</w:t>
            </w:r>
          </w:p>
        </w:tc>
        <w:tc>
          <w:tcPr>
            <w:tcW w:w="1134" w:type="dxa"/>
          </w:tcPr>
          <w:p w14:paraId="3D90BD28" w14:textId="70E4D996" w:rsidR="006C22DE" w:rsidRPr="00CE5E68" w:rsidRDefault="00FF2797" w:rsidP="000B2FD6">
            <w:pPr>
              <w:spacing w:before="40" w:after="40" w:line="280" w:lineRule="atLeast"/>
              <w:jc w:val="center"/>
              <w:rPr>
                <w:rFonts w:ascii="Verdana" w:hAnsi="Verdana"/>
                <w:b/>
                <w:sz w:val="16"/>
                <w:szCs w:val="16"/>
              </w:rPr>
            </w:pPr>
            <w:r>
              <w:rPr>
                <w:rFonts w:ascii="Verdana" w:hAnsi="Verdana"/>
                <w:b/>
                <w:sz w:val="16"/>
                <w:szCs w:val="16"/>
              </w:rPr>
              <w:t>10,89%</w:t>
            </w:r>
          </w:p>
        </w:tc>
      </w:tr>
      <w:tr w:rsidR="006C22DE" w:rsidRPr="00B81A28" w14:paraId="30CB9C46" w14:textId="77777777" w:rsidTr="000B2FD6">
        <w:tc>
          <w:tcPr>
            <w:tcW w:w="4536" w:type="dxa"/>
          </w:tcPr>
          <w:p w14:paraId="6EB2F367"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NewFunds Equity Momentum Fund (TR)</w:t>
            </w:r>
          </w:p>
        </w:tc>
        <w:tc>
          <w:tcPr>
            <w:tcW w:w="1134" w:type="dxa"/>
          </w:tcPr>
          <w:p w14:paraId="62309F8A" w14:textId="51F865A6"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3,73%</w:t>
            </w:r>
          </w:p>
        </w:tc>
        <w:tc>
          <w:tcPr>
            <w:tcW w:w="1276" w:type="dxa"/>
          </w:tcPr>
          <w:p w14:paraId="7E656B56" w14:textId="121F0F8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21,88%</w:t>
            </w:r>
          </w:p>
        </w:tc>
        <w:tc>
          <w:tcPr>
            <w:tcW w:w="1134" w:type="dxa"/>
          </w:tcPr>
          <w:p w14:paraId="13D3CC43" w14:textId="409BE2C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(8,71%)</w:t>
            </w:r>
          </w:p>
        </w:tc>
        <w:tc>
          <w:tcPr>
            <w:tcW w:w="1134" w:type="dxa"/>
          </w:tcPr>
          <w:p w14:paraId="3F4FF04B" w14:textId="01AA10D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(6,24%)</w:t>
            </w:r>
          </w:p>
        </w:tc>
        <w:tc>
          <w:tcPr>
            <w:tcW w:w="1134" w:type="dxa"/>
          </w:tcPr>
          <w:p w14:paraId="78C251CC" w14:textId="45B303E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8,64%</w:t>
            </w:r>
          </w:p>
        </w:tc>
        <w:tc>
          <w:tcPr>
            <w:tcW w:w="1134" w:type="dxa"/>
            <w:shd w:val="clear" w:color="auto" w:fill="auto"/>
          </w:tcPr>
          <w:p w14:paraId="51C8F62B" w14:textId="25A7CF5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5,83%</w:t>
            </w:r>
          </w:p>
        </w:tc>
        <w:tc>
          <w:tcPr>
            <w:tcW w:w="1134" w:type="dxa"/>
            <w:shd w:val="clear" w:color="auto" w:fill="auto"/>
          </w:tcPr>
          <w:p w14:paraId="2598C197" w14:textId="34E7B46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4,08%</w:t>
            </w:r>
          </w:p>
        </w:tc>
        <w:tc>
          <w:tcPr>
            <w:tcW w:w="1134" w:type="dxa"/>
          </w:tcPr>
          <w:p w14:paraId="70477BE5" w14:textId="2EF35A8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7,44%</w:t>
            </w:r>
          </w:p>
        </w:tc>
        <w:tc>
          <w:tcPr>
            <w:tcW w:w="1134" w:type="dxa"/>
          </w:tcPr>
          <w:p w14:paraId="0168E952"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69F4051F" w14:textId="77777777" w:rsidTr="000B2FD6">
        <w:tc>
          <w:tcPr>
            <w:tcW w:w="4536" w:type="dxa"/>
          </w:tcPr>
          <w:p w14:paraId="0E36E6BA"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 NewFunds Low Volatility (TR)</w:t>
            </w:r>
          </w:p>
        </w:tc>
        <w:tc>
          <w:tcPr>
            <w:tcW w:w="1134" w:type="dxa"/>
          </w:tcPr>
          <w:p w14:paraId="6B3E1C83" w14:textId="151FA9A3"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2,83%</w:t>
            </w:r>
          </w:p>
        </w:tc>
        <w:tc>
          <w:tcPr>
            <w:tcW w:w="1276" w:type="dxa"/>
          </w:tcPr>
          <w:p w14:paraId="48D8B2DB" w14:textId="229C104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15,45%</w:t>
            </w:r>
          </w:p>
        </w:tc>
        <w:tc>
          <w:tcPr>
            <w:tcW w:w="1134" w:type="dxa"/>
          </w:tcPr>
          <w:p w14:paraId="3C5254F3" w14:textId="082DDFE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(23,17%)</w:t>
            </w:r>
          </w:p>
        </w:tc>
        <w:tc>
          <w:tcPr>
            <w:tcW w:w="1134" w:type="dxa"/>
          </w:tcPr>
          <w:p w14:paraId="3D91BC81" w14:textId="38C91CE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(19,61%)</w:t>
            </w:r>
          </w:p>
        </w:tc>
        <w:tc>
          <w:tcPr>
            <w:tcW w:w="1134" w:type="dxa"/>
          </w:tcPr>
          <w:p w14:paraId="1AF96C9E" w14:textId="6FCA0F5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(9,73%)</w:t>
            </w:r>
          </w:p>
        </w:tc>
        <w:tc>
          <w:tcPr>
            <w:tcW w:w="1134" w:type="dxa"/>
            <w:shd w:val="clear" w:color="auto" w:fill="auto"/>
          </w:tcPr>
          <w:p w14:paraId="6DC8B560"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47E304C2"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B3A5B11"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8C49E27"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3573FD4C" w14:textId="77777777" w:rsidTr="000B2FD6">
        <w:tc>
          <w:tcPr>
            <w:tcW w:w="4536" w:type="dxa"/>
          </w:tcPr>
          <w:p w14:paraId="517576FD"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NewFunds Shari’ah Top 40</w:t>
            </w:r>
          </w:p>
        </w:tc>
        <w:tc>
          <w:tcPr>
            <w:tcW w:w="1134" w:type="dxa"/>
          </w:tcPr>
          <w:p w14:paraId="2262A400" w14:textId="6DA54515"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7,62%</w:t>
            </w:r>
          </w:p>
        </w:tc>
        <w:tc>
          <w:tcPr>
            <w:tcW w:w="1276" w:type="dxa"/>
          </w:tcPr>
          <w:p w14:paraId="3D3A508B" w14:textId="4497896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29,59%</w:t>
            </w:r>
          </w:p>
        </w:tc>
        <w:tc>
          <w:tcPr>
            <w:tcW w:w="1134" w:type="dxa"/>
          </w:tcPr>
          <w:p w14:paraId="0130B559" w14:textId="4DE36EB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(7,60%)</w:t>
            </w:r>
          </w:p>
        </w:tc>
        <w:tc>
          <w:tcPr>
            <w:tcW w:w="1134" w:type="dxa"/>
          </w:tcPr>
          <w:p w14:paraId="44A9CA6F" w14:textId="70C143C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(5,02%)</w:t>
            </w:r>
          </w:p>
        </w:tc>
        <w:tc>
          <w:tcPr>
            <w:tcW w:w="1134" w:type="dxa"/>
          </w:tcPr>
          <w:p w14:paraId="40C7D985" w14:textId="7625957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1,57%</w:t>
            </w:r>
          </w:p>
        </w:tc>
        <w:tc>
          <w:tcPr>
            <w:tcW w:w="1134" w:type="dxa"/>
            <w:shd w:val="clear" w:color="auto" w:fill="auto"/>
          </w:tcPr>
          <w:p w14:paraId="4DF09669" w14:textId="1A9F13C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6,33%</w:t>
            </w:r>
          </w:p>
        </w:tc>
        <w:tc>
          <w:tcPr>
            <w:tcW w:w="1134" w:type="dxa"/>
            <w:shd w:val="clear" w:color="auto" w:fill="auto"/>
          </w:tcPr>
          <w:p w14:paraId="21C724D8" w14:textId="7A5DE0E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0,47%</w:t>
            </w:r>
          </w:p>
        </w:tc>
        <w:tc>
          <w:tcPr>
            <w:tcW w:w="1134" w:type="dxa"/>
          </w:tcPr>
          <w:p w14:paraId="6FDD3F1E" w14:textId="4F496AEC"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2,93%</w:t>
            </w:r>
          </w:p>
        </w:tc>
        <w:tc>
          <w:tcPr>
            <w:tcW w:w="1134" w:type="dxa"/>
          </w:tcPr>
          <w:p w14:paraId="15CB5B23" w14:textId="10DEBEA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4,51%</w:t>
            </w:r>
          </w:p>
        </w:tc>
      </w:tr>
      <w:tr w:rsidR="006C22DE" w:rsidRPr="00B81A28" w14:paraId="231F93C0" w14:textId="77777777" w:rsidTr="000B2FD6">
        <w:tc>
          <w:tcPr>
            <w:tcW w:w="4536" w:type="dxa"/>
          </w:tcPr>
          <w:p w14:paraId="3DC90D33"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 NewFunds Value Equity (TR)</w:t>
            </w:r>
          </w:p>
        </w:tc>
        <w:tc>
          <w:tcPr>
            <w:tcW w:w="1134" w:type="dxa"/>
          </w:tcPr>
          <w:p w14:paraId="650C2708" w14:textId="0B5E6FC9"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7,86%</w:t>
            </w:r>
          </w:p>
        </w:tc>
        <w:tc>
          <w:tcPr>
            <w:tcW w:w="1276" w:type="dxa"/>
          </w:tcPr>
          <w:p w14:paraId="1E423F04" w14:textId="27FFA64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26,68%</w:t>
            </w:r>
          </w:p>
        </w:tc>
        <w:tc>
          <w:tcPr>
            <w:tcW w:w="1134" w:type="dxa"/>
          </w:tcPr>
          <w:p w14:paraId="6E783F83" w14:textId="5A8B5FE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(23,21%)</w:t>
            </w:r>
          </w:p>
        </w:tc>
        <w:tc>
          <w:tcPr>
            <w:tcW w:w="1134" w:type="dxa"/>
          </w:tcPr>
          <w:p w14:paraId="1629743C" w14:textId="7C6F0642"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(25,03%)</w:t>
            </w:r>
          </w:p>
        </w:tc>
        <w:tc>
          <w:tcPr>
            <w:tcW w:w="1134" w:type="dxa"/>
          </w:tcPr>
          <w:p w14:paraId="4F5CEE26" w14:textId="363F6E9E"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(14,55%)</w:t>
            </w:r>
          </w:p>
        </w:tc>
        <w:tc>
          <w:tcPr>
            <w:tcW w:w="1134" w:type="dxa"/>
            <w:shd w:val="clear" w:color="auto" w:fill="auto"/>
          </w:tcPr>
          <w:p w14:paraId="3B29052A"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2FB80289"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41461949"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944E55B"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42825FA6" w14:textId="77777777" w:rsidTr="000B2FD6">
        <w:tc>
          <w:tcPr>
            <w:tcW w:w="4536" w:type="dxa"/>
          </w:tcPr>
          <w:p w14:paraId="0D73EF5D" w14:textId="77777777" w:rsidR="006C22DE" w:rsidRDefault="006C22DE" w:rsidP="000B2FD6">
            <w:pPr>
              <w:spacing w:before="40" w:after="40" w:line="280" w:lineRule="atLeast"/>
              <w:rPr>
                <w:rFonts w:ascii="Verdana" w:hAnsi="Verdana"/>
                <w:sz w:val="16"/>
                <w:szCs w:val="16"/>
              </w:rPr>
            </w:pPr>
            <w:r>
              <w:rPr>
                <w:rFonts w:ascii="Verdana" w:hAnsi="Verdana"/>
                <w:sz w:val="16"/>
                <w:szCs w:val="16"/>
              </w:rPr>
              <w:t>Absa NewFunds Volatility Managed Moderate Equity</w:t>
            </w:r>
          </w:p>
        </w:tc>
        <w:tc>
          <w:tcPr>
            <w:tcW w:w="1134" w:type="dxa"/>
          </w:tcPr>
          <w:p w14:paraId="33B2889F" w14:textId="51D1EFDE"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0,50%</w:t>
            </w:r>
          </w:p>
        </w:tc>
        <w:tc>
          <w:tcPr>
            <w:tcW w:w="1276" w:type="dxa"/>
          </w:tcPr>
          <w:p w14:paraId="632FFA53" w14:textId="377653B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0,88%</w:t>
            </w:r>
          </w:p>
        </w:tc>
        <w:tc>
          <w:tcPr>
            <w:tcW w:w="1134" w:type="dxa"/>
          </w:tcPr>
          <w:p w14:paraId="42A335B1" w14:textId="3D3D4752"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(15,62%)</w:t>
            </w:r>
          </w:p>
        </w:tc>
        <w:tc>
          <w:tcPr>
            <w:tcW w:w="1134" w:type="dxa"/>
          </w:tcPr>
          <w:p w14:paraId="0A4FA497" w14:textId="4435BBC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(9,75%)</w:t>
            </w:r>
          </w:p>
        </w:tc>
        <w:tc>
          <w:tcPr>
            <w:tcW w:w="1134" w:type="dxa"/>
          </w:tcPr>
          <w:p w14:paraId="2C69EDCD"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76D4AD1B"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801EAA1"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5C930C36"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04858C6"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40DC1E5B" w14:textId="77777777" w:rsidTr="000B2FD6">
        <w:tc>
          <w:tcPr>
            <w:tcW w:w="4536" w:type="dxa"/>
          </w:tcPr>
          <w:p w14:paraId="1E9C343B" w14:textId="77777777" w:rsidR="006C22DE" w:rsidRDefault="006C22DE" w:rsidP="000B2FD6">
            <w:pPr>
              <w:spacing w:before="40" w:after="40" w:line="280" w:lineRule="atLeast"/>
              <w:rPr>
                <w:rFonts w:ascii="Verdana" w:hAnsi="Verdana"/>
                <w:sz w:val="16"/>
                <w:szCs w:val="16"/>
              </w:rPr>
            </w:pPr>
            <w:r>
              <w:rPr>
                <w:rFonts w:ascii="Verdana" w:hAnsi="Verdana"/>
                <w:sz w:val="16"/>
                <w:szCs w:val="16"/>
              </w:rPr>
              <w:t>Absa NewFunds Volatility Managed Defensive</w:t>
            </w:r>
          </w:p>
        </w:tc>
        <w:tc>
          <w:tcPr>
            <w:tcW w:w="1134" w:type="dxa"/>
          </w:tcPr>
          <w:p w14:paraId="698C7580" w14:textId="35DE2BC9"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0,30%</w:t>
            </w:r>
          </w:p>
        </w:tc>
        <w:tc>
          <w:tcPr>
            <w:tcW w:w="1276" w:type="dxa"/>
          </w:tcPr>
          <w:p w14:paraId="4C84A6EF" w14:textId="330E8B4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1,01%</w:t>
            </w:r>
          </w:p>
        </w:tc>
        <w:tc>
          <w:tcPr>
            <w:tcW w:w="1134" w:type="dxa"/>
          </w:tcPr>
          <w:p w14:paraId="18050D32" w14:textId="4B3A0FD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(2,03%)</w:t>
            </w:r>
          </w:p>
        </w:tc>
        <w:tc>
          <w:tcPr>
            <w:tcW w:w="1134" w:type="dxa"/>
          </w:tcPr>
          <w:p w14:paraId="14D7FFFF" w14:textId="71BD277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(3,73%)</w:t>
            </w:r>
          </w:p>
        </w:tc>
        <w:tc>
          <w:tcPr>
            <w:tcW w:w="1134" w:type="dxa"/>
          </w:tcPr>
          <w:p w14:paraId="3D84A264"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2456BE7B"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2ED63A98"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B929EC0"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2E11B2A"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0C6222F5" w14:textId="77777777" w:rsidTr="000B2FD6">
        <w:tc>
          <w:tcPr>
            <w:tcW w:w="4536" w:type="dxa"/>
          </w:tcPr>
          <w:p w14:paraId="57856BE3" w14:textId="77777777" w:rsidR="006C22DE" w:rsidRDefault="006C22DE" w:rsidP="000B2FD6">
            <w:pPr>
              <w:spacing w:before="40" w:after="40" w:line="280" w:lineRule="atLeast"/>
              <w:rPr>
                <w:rFonts w:ascii="Verdana" w:hAnsi="Verdana"/>
                <w:sz w:val="16"/>
                <w:szCs w:val="16"/>
              </w:rPr>
            </w:pPr>
            <w:r>
              <w:rPr>
                <w:rFonts w:ascii="Verdana" w:hAnsi="Verdana"/>
                <w:sz w:val="16"/>
                <w:szCs w:val="16"/>
              </w:rPr>
              <w:t>Absa NewFunds Volatility Managed High Growth</w:t>
            </w:r>
          </w:p>
        </w:tc>
        <w:tc>
          <w:tcPr>
            <w:tcW w:w="1134" w:type="dxa"/>
          </w:tcPr>
          <w:p w14:paraId="3488D3B5" w14:textId="48D4A45B"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1,46%</w:t>
            </w:r>
          </w:p>
        </w:tc>
        <w:tc>
          <w:tcPr>
            <w:tcW w:w="1276" w:type="dxa"/>
          </w:tcPr>
          <w:p w14:paraId="002EA458" w14:textId="35F2FB6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2,77%</w:t>
            </w:r>
          </w:p>
        </w:tc>
        <w:tc>
          <w:tcPr>
            <w:tcW w:w="1134" w:type="dxa"/>
          </w:tcPr>
          <w:p w14:paraId="1863726D" w14:textId="246680C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(26,50%)</w:t>
            </w:r>
          </w:p>
        </w:tc>
        <w:tc>
          <w:tcPr>
            <w:tcW w:w="1134" w:type="dxa"/>
          </w:tcPr>
          <w:p w14:paraId="3A298AC1" w14:textId="657E390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(17,07%)</w:t>
            </w:r>
          </w:p>
        </w:tc>
        <w:tc>
          <w:tcPr>
            <w:tcW w:w="1134" w:type="dxa"/>
          </w:tcPr>
          <w:p w14:paraId="66BCD713"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7593D275"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42FDDB8C"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FDC6C3E"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6314CF4"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52C3C00F" w14:textId="77777777" w:rsidTr="000B2FD6">
        <w:tc>
          <w:tcPr>
            <w:tcW w:w="4536" w:type="dxa"/>
          </w:tcPr>
          <w:p w14:paraId="2BE3BD37"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 xml:space="preserve">CoreShares </w:t>
            </w:r>
            <w:r>
              <w:rPr>
                <w:rFonts w:ascii="Verdana" w:hAnsi="Verdana"/>
                <w:sz w:val="16"/>
                <w:szCs w:val="16"/>
              </w:rPr>
              <w:t xml:space="preserve">S&amp;P SA </w:t>
            </w:r>
            <w:r w:rsidRPr="00B81A28">
              <w:rPr>
                <w:rFonts w:ascii="Verdana" w:hAnsi="Verdana"/>
                <w:sz w:val="16"/>
                <w:szCs w:val="16"/>
              </w:rPr>
              <w:t>Dividends Aristocrat</w:t>
            </w:r>
          </w:p>
        </w:tc>
        <w:tc>
          <w:tcPr>
            <w:tcW w:w="1134" w:type="dxa"/>
          </w:tcPr>
          <w:p w14:paraId="5ADEA0E6" w14:textId="638297E6"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3,00%</w:t>
            </w:r>
          </w:p>
        </w:tc>
        <w:tc>
          <w:tcPr>
            <w:tcW w:w="1276" w:type="dxa"/>
          </w:tcPr>
          <w:p w14:paraId="29CF810E" w14:textId="1CF3D16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13,55%</w:t>
            </w:r>
          </w:p>
        </w:tc>
        <w:tc>
          <w:tcPr>
            <w:tcW w:w="1134" w:type="dxa"/>
          </w:tcPr>
          <w:p w14:paraId="1896C656" w14:textId="5AFBCB2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(21,32%)</w:t>
            </w:r>
          </w:p>
        </w:tc>
        <w:tc>
          <w:tcPr>
            <w:tcW w:w="1134" w:type="dxa"/>
          </w:tcPr>
          <w:p w14:paraId="6B439952" w14:textId="584CB6DC"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(19,92%)</w:t>
            </w:r>
          </w:p>
        </w:tc>
        <w:tc>
          <w:tcPr>
            <w:tcW w:w="1134" w:type="dxa"/>
          </w:tcPr>
          <w:p w14:paraId="1B5DD4F4" w14:textId="42D91C5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(10,21%)</w:t>
            </w:r>
          </w:p>
        </w:tc>
        <w:tc>
          <w:tcPr>
            <w:tcW w:w="1134" w:type="dxa"/>
            <w:shd w:val="clear" w:color="auto" w:fill="auto"/>
          </w:tcPr>
          <w:p w14:paraId="79BF5959" w14:textId="4175A64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(6,48%)</w:t>
            </w:r>
          </w:p>
        </w:tc>
        <w:tc>
          <w:tcPr>
            <w:tcW w:w="1134" w:type="dxa"/>
            <w:shd w:val="clear" w:color="auto" w:fill="auto"/>
          </w:tcPr>
          <w:p w14:paraId="3CD39AD3" w14:textId="56997F8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(3,31%)</w:t>
            </w:r>
          </w:p>
        </w:tc>
        <w:tc>
          <w:tcPr>
            <w:tcW w:w="1134" w:type="dxa"/>
          </w:tcPr>
          <w:p w14:paraId="1CE77549"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768B22D2"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1701A142" w14:textId="77777777" w:rsidTr="000B2FD6">
        <w:tc>
          <w:tcPr>
            <w:tcW w:w="4536" w:type="dxa"/>
          </w:tcPr>
          <w:p w14:paraId="3AABDD56"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CoreShares Scientific Beta Multi Factor</w:t>
            </w:r>
          </w:p>
        </w:tc>
        <w:tc>
          <w:tcPr>
            <w:tcW w:w="1134" w:type="dxa"/>
          </w:tcPr>
          <w:p w14:paraId="6E56F692" w14:textId="17BF737E"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6,66%</w:t>
            </w:r>
          </w:p>
        </w:tc>
        <w:tc>
          <w:tcPr>
            <w:tcW w:w="1276" w:type="dxa"/>
          </w:tcPr>
          <w:p w14:paraId="193E2013" w14:textId="60E8169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22,48%</w:t>
            </w:r>
          </w:p>
        </w:tc>
        <w:tc>
          <w:tcPr>
            <w:tcW w:w="1134" w:type="dxa"/>
          </w:tcPr>
          <w:p w14:paraId="7F613511" w14:textId="18B2976E"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(15,82%)</w:t>
            </w:r>
          </w:p>
        </w:tc>
        <w:tc>
          <w:tcPr>
            <w:tcW w:w="1134" w:type="dxa"/>
          </w:tcPr>
          <w:p w14:paraId="4F3DC7E8"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02AFD81"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C4BF8C1"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6992FB79"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46C6385C"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D6CEE60"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746752E2" w14:textId="77777777" w:rsidTr="000B2FD6">
        <w:tc>
          <w:tcPr>
            <w:tcW w:w="4536" w:type="dxa"/>
          </w:tcPr>
          <w:p w14:paraId="34942649"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Satrix DIVI Plus</w:t>
            </w:r>
          </w:p>
        </w:tc>
        <w:tc>
          <w:tcPr>
            <w:tcW w:w="1134" w:type="dxa"/>
          </w:tcPr>
          <w:p w14:paraId="328D9909" w14:textId="33D61D77"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3,55%</w:t>
            </w:r>
          </w:p>
        </w:tc>
        <w:tc>
          <w:tcPr>
            <w:tcW w:w="1276" w:type="dxa"/>
          </w:tcPr>
          <w:p w14:paraId="7D34B1ED" w14:textId="382ED37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26,64%</w:t>
            </w:r>
          </w:p>
        </w:tc>
        <w:tc>
          <w:tcPr>
            <w:tcW w:w="1134" w:type="dxa"/>
          </w:tcPr>
          <w:p w14:paraId="699AD21F" w14:textId="78A9A48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(15,63%)</w:t>
            </w:r>
          </w:p>
        </w:tc>
        <w:tc>
          <w:tcPr>
            <w:tcW w:w="1134" w:type="dxa"/>
          </w:tcPr>
          <w:p w14:paraId="737BE75E" w14:textId="7EB5DD8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(17,68%)</w:t>
            </w:r>
          </w:p>
        </w:tc>
        <w:tc>
          <w:tcPr>
            <w:tcW w:w="1134" w:type="dxa"/>
          </w:tcPr>
          <w:p w14:paraId="736807DE" w14:textId="570CC6F2"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(4,31%)</w:t>
            </w:r>
          </w:p>
        </w:tc>
        <w:tc>
          <w:tcPr>
            <w:tcW w:w="1134" w:type="dxa"/>
            <w:shd w:val="clear" w:color="auto" w:fill="auto"/>
          </w:tcPr>
          <w:p w14:paraId="7902C043" w14:textId="3DE3C49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4,61%</w:t>
            </w:r>
          </w:p>
        </w:tc>
        <w:tc>
          <w:tcPr>
            <w:tcW w:w="1134" w:type="dxa"/>
            <w:shd w:val="clear" w:color="auto" w:fill="auto"/>
          </w:tcPr>
          <w:p w14:paraId="7996CAD7" w14:textId="39D593F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2,20%</w:t>
            </w:r>
          </w:p>
        </w:tc>
        <w:tc>
          <w:tcPr>
            <w:tcW w:w="1134" w:type="dxa"/>
          </w:tcPr>
          <w:p w14:paraId="28F087BA" w14:textId="0F47F79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4,09%</w:t>
            </w:r>
          </w:p>
        </w:tc>
        <w:tc>
          <w:tcPr>
            <w:tcW w:w="1134" w:type="dxa"/>
          </w:tcPr>
          <w:p w14:paraId="2E93BA85" w14:textId="0693560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7,22%</w:t>
            </w:r>
          </w:p>
        </w:tc>
      </w:tr>
      <w:tr w:rsidR="006C22DE" w:rsidRPr="00B81A28" w14:paraId="1C310FE9" w14:textId="77777777" w:rsidTr="000B2FD6">
        <w:tc>
          <w:tcPr>
            <w:tcW w:w="4536" w:type="dxa"/>
          </w:tcPr>
          <w:p w14:paraId="3AE3AEC0"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Satrix Momentum</w:t>
            </w:r>
          </w:p>
        </w:tc>
        <w:tc>
          <w:tcPr>
            <w:tcW w:w="1134" w:type="dxa"/>
          </w:tcPr>
          <w:p w14:paraId="4BB3BEF6" w14:textId="3F2FAEF8"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4,04%</w:t>
            </w:r>
          </w:p>
        </w:tc>
        <w:tc>
          <w:tcPr>
            <w:tcW w:w="1276" w:type="dxa"/>
          </w:tcPr>
          <w:p w14:paraId="49B1BA95" w14:textId="0FB4417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20,46%</w:t>
            </w:r>
          </w:p>
        </w:tc>
        <w:tc>
          <w:tcPr>
            <w:tcW w:w="1134" w:type="dxa"/>
          </w:tcPr>
          <w:p w14:paraId="424FD074" w14:textId="6F6A4DC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(14,80%)</w:t>
            </w:r>
          </w:p>
        </w:tc>
        <w:tc>
          <w:tcPr>
            <w:tcW w:w="1134" w:type="dxa"/>
          </w:tcPr>
          <w:p w14:paraId="0AFCC251" w14:textId="64BB3D8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(11,02%)</w:t>
            </w:r>
          </w:p>
        </w:tc>
        <w:tc>
          <w:tcPr>
            <w:tcW w:w="1134" w:type="dxa"/>
          </w:tcPr>
          <w:p w14:paraId="1DB75E8A"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EB2A80E"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46E5E558"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C9C4D03"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3436973"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16CE976C" w14:textId="77777777" w:rsidTr="000B2FD6">
        <w:tc>
          <w:tcPr>
            <w:tcW w:w="4536" w:type="dxa"/>
          </w:tcPr>
          <w:p w14:paraId="213C1ACA"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 xml:space="preserve">Satrix Quality </w:t>
            </w:r>
          </w:p>
        </w:tc>
        <w:tc>
          <w:tcPr>
            <w:tcW w:w="1134" w:type="dxa"/>
          </w:tcPr>
          <w:p w14:paraId="19DC7341" w14:textId="680A61B9"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2,61%</w:t>
            </w:r>
          </w:p>
        </w:tc>
        <w:tc>
          <w:tcPr>
            <w:tcW w:w="1276" w:type="dxa"/>
          </w:tcPr>
          <w:p w14:paraId="393E3D1C" w14:textId="5C4B1D5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19,18%</w:t>
            </w:r>
          </w:p>
        </w:tc>
        <w:tc>
          <w:tcPr>
            <w:tcW w:w="1134" w:type="dxa"/>
          </w:tcPr>
          <w:p w14:paraId="23BB335D" w14:textId="018D4EEC"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(15,73%)</w:t>
            </w:r>
          </w:p>
        </w:tc>
        <w:tc>
          <w:tcPr>
            <w:tcW w:w="1134" w:type="dxa"/>
          </w:tcPr>
          <w:p w14:paraId="5FAE489B" w14:textId="09D6C87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(13,54%)</w:t>
            </w:r>
          </w:p>
        </w:tc>
        <w:tc>
          <w:tcPr>
            <w:tcW w:w="1134" w:type="dxa"/>
          </w:tcPr>
          <w:p w14:paraId="3C2449A3" w14:textId="05C73E0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(5,08%)</w:t>
            </w:r>
          </w:p>
        </w:tc>
        <w:tc>
          <w:tcPr>
            <w:tcW w:w="1134" w:type="dxa"/>
            <w:shd w:val="clear" w:color="auto" w:fill="auto"/>
          </w:tcPr>
          <w:p w14:paraId="5729B832"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768C4907"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7EDA7CD6"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1EF42225"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55C4D692" w14:textId="77777777" w:rsidTr="000B2FD6">
        <w:tc>
          <w:tcPr>
            <w:tcW w:w="14884" w:type="dxa"/>
            <w:gridSpan w:val="10"/>
            <w:shd w:val="clear" w:color="auto" w:fill="7583BD"/>
          </w:tcPr>
          <w:p w14:paraId="0E93C3A2" w14:textId="77777777" w:rsidR="006C22DE" w:rsidRPr="0046155F" w:rsidRDefault="006C22DE" w:rsidP="000B2FD6">
            <w:pPr>
              <w:spacing w:before="40" w:after="40" w:line="280" w:lineRule="atLeast"/>
              <w:rPr>
                <w:rFonts w:ascii="Verdana" w:hAnsi="Verdana"/>
                <w:b/>
                <w:color w:val="FFFFFF" w:themeColor="background1"/>
                <w:sz w:val="16"/>
                <w:szCs w:val="16"/>
              </w:rPr>
            </w:pPr>
            <w:r>
              <w:rPr>
                <w:rFonts w:ascii="Verdana" w:hAnsi="Verdana"/>
                <w:b/>
                <w:color w:val="FFFFFF" w:themeColor="background1"/>
                <w:sz w:val="16"/>
                <w:szCs w:val="16"/>
              </w:rPr>
              <w:t>“Balanced” Portfolios</w:t>
            </w:r>
          </w:p>
        </w:tc>
      </w:tr>
      <w:tr w:rsidR="006C22DE" w:rsidRPr="00B81A28" w14:paraId="7FCB5F6B" w14:textId="77777777" w:rsidTr="000B2FD6">
        <w:tc>
          <w:tcPr>
            <w:tcW w:w="4536" w:type="dxa"/>
          </w:tcPr>
          <w:p w14:paraId="7B688C22"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 NewFunds</w:t>
            </w:r>
            <w:r w:rsidRPr="00B81A28">
              <w:rPr>
                <w:rFonts w:ascii="Verdana" w:hAnsi="Verdana"/>
                <w:sz w:val="16"/>
                <w:szCs w:val="16"/>
              </w:rPr>
              <w:t xml:space="preserve"> MAPPS – Protect</w:t>
            </w:r>
          </w:p>
        </w:tc>
        <w:tc>
          <w:tcPr>
            <w:tcW w:w="1134" w:type="dxa"/>
          </w:tcPr>
          <w:p w14:paraId="74D4E02C" w14:textId="558ED21A"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3,11%</w:t>
            </w:r>
          </w:p>
        </w:tc>
        <w:tc>
          <w:tcPr>
            <w:tcW w:w="1276" w:type="dxa"/>
          </w:tcPr>
          <w:p w14:paraId="25A8E083" w14:textId="3962EFB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19,44%</w:t>
            </w:r>
          </w:p>
        </w:tc>
        <w:tc>
          <w:tcPr>
            <w:tcW w:w="1134" w:type="dxa"/>
          </w:tcPr>
          <w:p w14:paraId="5AB9C40D" w14:textId="12A39F8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(1,46%)</w:t>
            </w:r>
          </w:p>
        </w:tc>
        <w:tc>
          <w:tcPr>
            <w:tcW w:w="1134" w:type="dxa"/>
          </w:tcPr>
          <w:p w14:paraId="23A304FC" w14:textId="7D6F3F2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(1,17%)</w:t>
            </w:r>
          </w:p>
        </w:tc>
        <w:tc>
          <w:tcPr>
            <w:tcW w:w="1134" w:type="dxa"/>
          </w:tcPr>
          <w:p w14:paraId="4002FE5B" w14:textId="038CECE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1,02%</w:t>
            </w:r>
          </w:p>
        </w:tc>
        <w:tc>
          <w:tcPr>
            <w:tcW w:w="1134" w:type="dxa"/>
            <w:shd w:val="clear" w:color="auto" w:fill="auto"/>
          </w:tcPr>
          <w:p w14:paraId="4DE4B57C" w14:textId="0BB6CF0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3,06%</w:t>
            </w:r>
          </w:p>
        </w:tc>
        <w:tc>
          <w:tcPr>
            <w:tcW w:w="1134" w:type="dxa"/>
            <w:shd w:val="clear" w:color="auto" w:fill="auto"/>
          </w:tcPr>
          <w:p w14:paraId="5A133A60" w14:textId="16C878A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3,07%</w:t>
            </w:r>
          </w:p>
        </w:tc>
        <w:tc>
          <w:tcPr>
            <w:tcW w:w="1134" w:type="dxa"/>
          </w:tcPr>
          <w:p w14:paraId="2EB35708" w14:textId="674448B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5,62%</w:t>
            </w:r>
          </w:p>
        </w:tc>
        <w:tc>
          <w:tcPr>
            <w:tcW w:w="1134" w:type="dxa"/>
          </w:tcPr>
          <w:p w14:paraId="311EA5CC"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579E0D4E" w14:textId="77777777" w:rsidTr="000B2FD6">
        <w:tc>
          <w:tcPr>
            <w:tcW w:w="4536" w:type="dxa"/>
          </w:tcPr>
          <w:p w14:paraId="381883AF"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 NewFunds</w:t>
            </w:r>
            <w:r w:rsidRPr="00B81A28">
              <w:rPr>
                <w:rFonts w:ascii="Verdana" w:hAnsi="Verdana"/>
                <w:sz w:val="16"/>
                <w:szCs w:val="16"/>
              </w:rPr>
              <w:t xml:space="preserve"> MAPPS – Growth</w:t>
            </w:r>
          </w:p>
        </w:tc>
        <w:tc>
          <w:tcPr>
            <w:tcW w:w="1134" w:type="dxa"/>
          </w:tcPr>
          <w:p w14:paraId="1F809523" w14:textId="25C8C89C"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6,27%</w:t>
            </w:r>
          </w:p>
        </w:tc>
        <w:tc>
          <w:tcPr>
            <w:tcW w:w="1276" w:type="dxa"/>
          </w:tcPr>
          <w:p w14:paraId="22E61AE9" w14:textId="410D21F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23,81%</w:t>
            </w:r>
          </w:p>
        </w:tc>
        <w:tc>
          <w:tcPr>
            <w:tcW w:w="1134" w:type="dxa"/>
          </w:tcPr>
          <w:p w14:paraId="70A32326" w14:textId="35A479D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(2,55%)</w:t>
            </w:r>
          </w:p>
        </w:tc>
        <w:tc>
          <w:tcPr>
            <w:tcW w:w="1134" w:type="dxa"/>
          </w:tcPr>
          <w:p w14:paraId="3D886616" w14:textId="491BCF9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(2,15%)</w:t>
            </w:r>
          </w:p>
        </w:tc>
        <w:tc>
          <w:tcPr>
            <w:tcW w:w="1134" w:type="dxa"/>
          </w:tcPr>
          <w:p w14:paraId="34C12871" w14:textId="40CF2FD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(0,47%)</w:t>
            </w:r>
          </w:p>
        </w:tc>
        <w:tc>
          <w:tcPr>
            <w:tcW w:w="1134" w:type="dxa"/>
            <w:shd w:val="clear" w:color="auto" w:fill="auto"/>
          </w:tcPr>
          <w:p w14:paraId="713957B5" w14:textId="6BAB5A0C"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3,18%</w:t>
            </w:r>
          </w:p>
        </w:tc>
        <w:tc>
          <w:tcPr>
            <w:tcW w:w="1134" w:type="dxa"/>
            <w:shd w:val="clear" w:color="auto" w:fill="auto"/>
          </w:tcPr>
          <w:p w14:paraId="3FE6A0BB" w14:textId="7B064C2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2,63%</w:t>
            </w:r>
          </w:p>
        </w:tc>
        <w:tc>
          <w:tcPr>
            <w:tcW w:w="1134" w:type="dxa"/>
          </w:tcPr>
          <w:p w14:paraId="0DB10805" w14:textId="4334827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6,48%</w:t>
            </w:r>
          </w:p>
        </w:tc>
        <w:tc>
          <w:tcPr>
            <w:tcW w:w="1134" w:type="dxa"/>
          </w:tcPr>
          <w:p w14:paraId="5B8D5260"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499A53EF" w14:textId="77777777" w:rsidTr="000B2FD6">
        <w:tc>
          <w:tcPr>
            <w:tcW w:w="14884" w:type="dxa"/>
            <w:gridSpan w:val="10"/>
            <w:shd w:val="clear" w:color="auto" w:fill="7583BD"/>
          </w:tcPr>
          <w:p w14:paraId="657160C5" w14:textId="77777777" w:rsidR="006C22DE" w:rsidRPr="0046155F" w:rsidRDefault="006C22DE" w:rsidP="000B2FD6">
            <w:pPr>
              <w:spacing w:before="40" w:after="40" w:line="280" w:lineRule="atLeast"/>
              <w:rPr>
                <w:rFonts w:ascii="Verdana" w:hAnsi="Verdana"/>
                <w:b/>
                <w:color w:val="FFFFFF" w:themeColor="background1"/>
                <w:sz w:val="16"/>
                <w:szCs w:val="16"/>
              </w:rPr>
            </w:pPr>
            <w:r>
              <w:rPr>
                <w:rFonts w:ascii="Verdana" w:hAnsi="Verdana"/>
                <w:b/>
                <w:color w:val="FFFFFF" w:themeColor="background1"/>
                <w:sz w:val="16"/>
                <w:szCs w:val="16"/>
              </w:rPr>
              <w:t>“Fundamental” Value</w:t>
            </w:r>
          </w:p>
        </w:tc>
      </w:tr>
      <w:tr w:rsidR="006C22DE" w:rsidRPr="00B81A28" w14:paraId="580E7E77" w14:textId="77777777" w:rsidTr="000B2FD6">
        <w:tc>
          <w:tcPr>
            <w:tcW w:w="4536" w:type="dxa"/>
          </w:tcPr>
          <w:p w14:paraId="4092E705"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NewFunds S&amp;P GIVI Top 50</w:t>
            </w:r>
          </w:p>
        </w:tc>
        <w:tc>
          <w:tcPr>
            <w:tcW w:w="1134" w:type="dxa"/>
          </w:tcPr>
          <w:p w14:paraId="5EB57392" w14:textId="4392676F"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6,80%</w:t>
            </w:r>
          </w:p>
        </w:tc>
        <w:tc>
          <w:tcPr>
            <w:tcW w:w="1276" w:type="dxa"/>
          </w:tcPr>
          <w:p w14:paraId="721F9030" w14:textId="5D0BF51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25,94%</w:t>
            </w:r>
          </w:p>
        </w:tc>
        <w:tc>
          <w:tcPr>
            <w:tcW w:w="1134" w:type="dxa"/>
          </w:tcPr>
          <w:p w14:paraId="3FEB6DB6" w14:textId="6861BCE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(9,06%)</w:t>
            </w:r>
          </w:p>
        </w:tc>
        <w:tc>
          <w:tcPr>
            <w:tcW w:w="1134" w:type="dxa"/>
          </w:tcPr>
          <w:p w14:paraId="45DCA4BA" w14:textId="067A6FA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(8,29%)</w:t>
            </w:r>
          </w:p>
        </w:tc>
        <w:tc>
          <w:tcPr>
            <w:tcW w:w="1134" w:type="dxa"/>
          </w:tcPr>
          <w:p w14:paraId="3CA84398" w14:textId="46ECDC0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(4,25%)</w:t>
            </w:r>
          </w:p>
        </w:tc>
        <w:tc>
          <w:tcPr>
            <w:tcW w:w="1134" w:type="dxa"/>
            <w:shd w:val="clear" w:color="auto" w:fill="auto"/>
          </w:tcPr>
          <w:p w14:paraId="1E35F7C3" w14:textId="7D8D73D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(3,43%)</w:t>
            </w:r>
          </w:p>
        </w:tc>
        <w:tc>
          <w:tcPr>
            <w:tcW w:w="1134" w:type="dxa"/>
            <w:shd w:val="clear" w:color="auto" w:fill="auto"/>
          </w:tcPr>
          <w:p w14:paraId="176EA9A4" w14:textId="7EFFE2C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(2,29%)</w:t>
            </w:r>
          </w:p>
        </w:tc>
        <w:tc>
          <w:tcPr>
            <w:tcW w:w="1134" w:type="dxa"/>
          </w:tcPr>
          <w:p w14:paraId="0B6EBC18" w14:textId="695E60E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2,12%</w:t>
            </w:r>
          </w:p>
        </w:tc>
        <w:tc>
          <w:tcPr>
            <w:tcW w:w="1134" w:type="dxa"/>
          </w:tcPr>
          <w:p w14:paraId="32328B15" w14:textId="0B39216C"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5,77%</w:t>
            </w:r>
          </w:p>
        </w:tc>
      </w:tr>
      <w:tr w:rsidR="006C22DE" w:rsidRPr="00B81A28" w14:paraId="2D46E539" w14:textId="77777777" w:rsidTr="000B2FD6">
        <w:tc>
          <w:tcPr>
            <w:tcW w:w="4536" w:type="dxa"/>
          </w:tcPr>
          <w:p w14:paraId="3F169344"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Satrix RAFI Total Return</w:t>
            </w:r>
          </w:p>
        </w:tc>
        <w:tc>
          <w:tcPr>
            <w:tcW w:w="1134" w:type="dxa"/>
          </w:tcPr>
          <w:p w14:paraId="601C7117" w14:textId="5DECEABB"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6,83%</w:t>
            </w:r>
          </w:p>
        </w:tc>
        <w:tc>
          <w:tcPr>
            <w:tcW w:w="1276" w:type="dxa"/>
          </w:tcPr>
          <w:p w14:paraId="3E2B73F2" w14:textId="5EE92CA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26,47%</w:t>
            </w:r>
          </w:p>
        </w:tc>
        <w:tc>
          <w:tcPr>
            <w:tcW w:w="1134" w:type="dxa"/>
          </w:tcPr>
          <w:p w14:paraId="240BD6AB" w14:textId="4A8E3AA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(13,96%)</w:t>
            </w:r>
          </w:p>
        </w:tc>
        <w:tc>
          <w:tcPr>
            <w:tcW w:w="1134" w:type="dxa"/>
          </w:tcPr>
          <w:p w14:paraId="75372A18" w14:textId="186F761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(15,66%)</w:t>
            </w:r>
          </w:p>
        </w:tc>
        <w:tc>
          <w:tcPr>
            <w:tcW w:w="1134" w:type="dxa"/>
          </w:tcPr>
          <w:p w14:paraId="6056E1F6" w14:textId="47F4EA6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(5,14%)</w:t>
            </w:r>
          </w:p>
        </w:tc>
        <w:tc>
          <w:tcPr>
            <w:tcW w:w="1134" w:type="dxa"/>
            <w:shd w:val="clear" w:color="auto" w:fill="auto"/>
          </w:tcPr>
          <w:p w14:paraId="00279554" w14:textId="2CB89EC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1,96%</w:t>
            </w:r>
          </w:p>
        </w:tc>
        <w:tc>
          <w:tcPr>
            <w:tcW w:w="1134" w:type="dxa"/>
            <w:shd w:val="clear" w:color="auto" w:fill="auto"/>
          </w:tcPr>
          <w:p w14:paraId="09986DC4" w14:textId="0062F73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1,86%</w:t>
            </w:r>
          </w:p>
        </w:tc>
        <w:tc>
          <w:tcPr>
            <w:tcW w:w="1134" w:type="dxa"/>
          </w:tcPr>
          <w:p w14:paraId="37B7BF2A" w14:textId="107CDED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5,20%</w:t>
            </w:r>
          </w:p>
        </w:tc>
        <w:tc>
          <w:tcPr>
            <w:tcW w:w="1134" w:type="dxa"/>
          </w:tcPr>
          <w:p w14:paraId="1F2D70A3" w14:textId="066DA27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8,00%</w:t>
            </w:r>
          </w:p>
        </w:tc>
      </w:tr>
    </w:tbl>
    <w:p w14:paraId="13D4848A"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lastRenderedPageBreak/>
        <w:drawing>
          <wp:inline distT="0" distB="0" distL="0" distR="0" wp14:anchorId="251A71ED" wp14:editId="029164DF">
            <wp:extent cx="3057525" cy="642486"/>
            <wp:effectExtent l="0" t="0" r="0" b="5715"/>
            <wp:docPr id="13" name="Picture 13"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0FEEC13C" w14:textId="77777777" w:rsidTr="000B2FD6">
        <w:tc>
          <w:tcPr>
            <w:tcW w:w="14884" w:type="dxa"/>
            <w:gridSpan w:val="10"/>
            <w:shd w:val="clear" w:color="auto" w:fill="CB2229"/>
            <w:vAlign w:val="center"/>
          </w:tcPr>
          <w:p w14:paraId="5AED6AE3"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612A6E9D"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33E2694F"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0BF7263E" w14:textId="77777777" w:rsidTr="000B2FD6">
        <w:tc>
          <w:tcPr>
            <w:tcW w:w="4536" w:type="dxa"/>
            <w:shd w:val="clear" w:color="auto" w:fill="4C4C4C"/>
          </w:tcPr>
          <w:p w14:paraId="5577E3DA" w14:textId="77777777" w:rsidR="006C22DE" w:rsidRPr="0067766B" w:rsidRDefault="006C22DE" w:rsidP="000B2FD6">
            <w:pPr>
              <w:spacing w:before="40" w:after="40" w:line="300" w:lineRule="atLeast"/>
              <w:rPr>
                <w:rFonts w:ascii="Verdana" w:hAnsi="Verdana"/>
                <w:b/>
                <w:caps/>
                <w:color w:val="FFFFFF"/>
                <w:sz w:val="16"/>
                <w:szCs w:val="16"/>
              </w:rPr>
            </w:pPr>
            <w:r w:rsidRPr="0067766B">
              <w:rPr>
                <w:rFonts w:ascii="Verdana" w:hAnsi="Verdana"/>
                <w:b/>
                <w:caps/>
                <w:color w:val="FFFFFF"/>
                <w:sz w:val="16"/>
                <w:szCs w:val="16"/>
              </w:rPr>
              <w:t>FOREIGN ETFs</w:t>
            </w:r>
          </w:p>
        </w:tc>
        <w:tc>
          <w:tcPr>
            <w:tcW w:w="1134" w:type="dxa"/>
            <w:shd w:val="clear" w:color="auto" w:fill="4C4C4C"/>
          </w:tcPr>
          <w:p w14:paraId="736CFFDA"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37A05059"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1C372D71"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0BD709FE"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53A702C1"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492189C5"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26AF145F"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25AD5721"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05F465EF"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6D711B4E" w14:textId="77777777" w:rsidTr="000B2FD6">
        <w:tc>
          <w:tcPr>
            <w:tcW w:w="14884" w:type="dxa"/>
            <w:gridSpan w:val="10"/>
            <w:shd w:val="clear" w:color="auto" w:fill="7583BD"/>
          </w:tcPr>
          <w:p w14:paraId="2382D6A4" w14:textId="77777777" w:rsidR="006C22DE" w:rsidRPr="00971C8D" w:rsidRDefault="006C22DE" w:rsidP="000B2FD6">
            <w:pPr>
              <w:spacing w:before="40" w:after="40" w:line="300" w:lineRule="atLeast"/>
              <w:rPr>
                <w:rFonts w:ascii="Verdana" w:hAnsi="Verdana"/>
                <w:b/>
                <w:color w:val="FFFFFF" w:themeColor="background1"/>
                <w:sz w:val="16"/>
                <w:szCs w:val="16"/>
              </w:rPr>
            </w:pPr>
            <w:r>
              <w:rPr>
                <w:rFonts w:ascii="Verdana" w:hAnsi="Verdana"/>
                <w:b/>
                <w:color w:val="FFFFFF" w:themeColor="background1"/>
                <w:sz w:val="16"/>
                <w:szCs w:val="16"/>
              </w:rPr>
              <w:t>Broad Equity Market Access</w:t>
            </w:r>
          </w:p>
        </w:tc>
      </w:tr>
      <w:tr w:rsidR="006C22DE" w:rsidRPr="00CE5E68" w14:paraId="1799DC3C" w14:textId="77777777" w:rsidTr="000B2FD6">
        <w:tc>
          <w:tcPr>
            <w:tcW w:w="4536" w:type="dxa"/>
          </w:tcPr>
          <w:p w14:paraId="2731755A" w14:textId="77777777" w:rsidR="006C22DE" w:rsidRPr="00CE5E68" w:rsidRDefault="006C22DE" w:rsidP="000B2FD6">
            <w:pPr>
              <w:spacing w:before="40" w:after="40" w:line="300" w:lineRule="atLeast"/>
              <w:rPr>
                <w:rFonts w:ascii="Verdana" w:hAnsi="Verdana"/>
                <w:b/>
                <w:sz w:val="16"/>
                <w:szCs w:val="16"/>
              </w:rPr>
            </w:pPr>
            <w:r>
              <w:rPr>
                <w:rFonts w:ascii="Verdana" w:hAnsi="Verdana"/>
                <w:b/>
                <w:sz w:val="16"/>
                <w:szCs w:val="16"/>
              </w:rPr>
              <w:t>MSCI World Index (Rands)</w:t>
            </w:r>
          </w:p>
        </w:tc>
        <w:tc>
          <w:tcPr>
            <w:tcW w:w="1134" w:type="dxa"/>
            <w:vAlign w:val="center"/>
          </w:tcPr>
          <w:p w14:paraId="2F6FB478" w14:textId="209947DC" w:rsidR="006C22DE" w:rsidRPr="00CE5E68" w:rsidRDefault="00FF2797" w:rsidP="000B2FD6">
            <w:pPr>
              <w:tabs>
                <w:tab w:val="left" w:pos="1050"/>
              </w:tabs>
              <w:spacing w:before="40" w:after="40" w:line="300" w:lineRule="atLeast"/>
              <w:jc w:val="center"/>
              <w:rPr>
                <w:rFonts w:ascii="Verdana" w:hAnsi="Verdana"/>
                <w:b/>
                <w:sz w:val="16"/>
                <w:szCs w:val="16"/>
              </w:rPr>
            </w:pPr>
            <w:r>
              <w:rPr>
                <w:rFonts w:ascii="Verdana" w:hAnsi="Verdana"/>
                <w:b/>
                <w:sz w:val="16"/>
                <w:szCs w:val="16"/>
              </w:rPr>
              <w:t>1,39%</w:t>
            </w:r>
          </w:p>
        </w:tc>
        <w:tc>
          <w:tcPr>
            <w:tcW w:w="1276" w:type="dxa"/>
            <w:vAlign w:val="center"/>
          </w:tcPr>
          <w:p w14:paraId="6B6B30F7" w14:textId="2E6C1E61"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13,39%</w:t>
            </w:r>
          </w:p>
        </w:tc>
        <w:tc>
          <w:tcPr>
            <w:tcW w:w="1134" w:type="dxa"/>
            <w:vAlign w:val="center"/>
          </w:tcPr>
          <w:p w14:paraId="0A42579D" w14:textId="44FAC0C7"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15,03%</w:t>
            </w:r>
          </w:p>
        </w:tc>
        <w:tc>
          <w:tcPr>
            <w:tcW w:w="1134" w:type="dxa"/>
            <w:vAlign w:val="center"/>
          </w:tcPr>
          <w:p w14:paraId="2E27DA75" w14:textId="7FD553EE"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24,57%</w:t>
            </w:r>
          </w:p>
        </w:tc>
        <w:tc>
          <w:tcPr>
            <w:tcW w:w="1134" w:type="dxa"/>
            <w:vAlign w:val="center"/>
          </w:tcPr>
          <w:p w14:paraId="49F48BBA" w14:textId="1043217F"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15,65%</w:t>
            </w:r>
          </w:p>
        </w:tc>
        <w:tc>
          <w:tcPr>
            <w:tcW w:w="1134" w:type="dxa"/>
            <w:shd w:val="clear" w:color="auto" w:fill="auto"/>
          </w:tcPr>
          <w:p w14:paraId="45A13483" w14:textId="79D423B9"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15,23%</w:t>
            </w:r>
          </w:p>
        </w:tc>
        <w:tc>
          <w:tcPr>
            <w:tcW w:w="1134" w:type="dxa"/>
            <w:shd w:val="clear" w:color="auto" w:fill="auto"/>
          </w:tcPr>
          <w:p w14:paraId="54686C8A" w14:textId="1BE9E8AF"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12,51%</w:t>
            </w:r>
          </w:p>
        </w:tc>
        <w:tc>
          <w:tcPr>
            <w:tcW w:w="1134" w:type="dxa"/>
          </w:tcPr>
          <w:p w14:paraId="4518DA00" w14:textId="0EF19028"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15,15%</w:t>
            </w:r>
          </w:p>
        </w:tc>
        <w:tc>
          <w:tcPr>
            <w:tcW w:w="1134" w:type="dxa"/>
          </w:tcPr>
          <w:p w14:paraId="6570131B" w14:textId="32CB691F" w:rsidR="006C22DE" w:rsidRPr="00CE5E68" w:rsidRDefault="00FF2797" w:rsidP="000B2FD6">
            <w:pPr>
              <w:spacing w:before="40" w:after="40" w:line="300" w:lineRule="atLeast"/>
              <w:jc w:val="center"/>
              <w:rPr>
                <w:rFonts w:ascii="Verdana" w:hAnsi="Verdana"/>
                <w:b/>
                <w:sz w:val="16"/>
                <w:szCs w:val="16"/>
              </w:rPr>
            </w:pPr>
            <w:r>
              <w:rPr>
                <w:rFonts w:ascii="Verdana" w:hAnsi="Verdana"/>
                <w:b/>
                <w:sz w:val="16"/>
                <w:szCs w:val="16"/>
              </w:rPr>
              <w:t>16,95%</w:t>
            </w:r>
          </w:p>
        </w:tc>
      </w:tr>
      <w:tr w:rsidR="006C22DE" w:rsidRPr="00B81A28" w14:paraId="198D6B56" w14:textId="77777777" w:rsidTr="000B2FD6">
        <w:tc>
          <w:tcPr>
            <w:tcW w:w="4536" w:type="dxa"/>
          </w:tcPr>
          <w:p w14:paraId="04A2B315"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 MSCI World Index Feeder</w:t>
            </w:r>
          </w:p>
        </w:tc>
        <w:tc>
          <w:tcPr>
            <w:tcW w:w="1134" w:type="dxa"/>
          </w:tcPr>
          <w:p w14:paraId="70BCD277" w14:textId="6916C302" w:rsidR="006C22DE" w:rsidRPr="00B81A28" w:rsidRDefault="00A54EC1" w:rsidP="000B2FD6">
            <w:pPr>
              <w:tabs>
                <w:tab w:val="left" w:pos="1050"/>
              </w:tabs>
              <w:spacing w:before="40" w:after="40" w:line="300" w:lineRule="atLeast"/>
              <w:jc w:val="center"/>
              <w:rPr>
                <w:rFonts w:ascii="Verdana" w:hAnsi="Verdana"/>
                <w:sz w:val="16"/>
                <w:szCs w:val="16"/>
              </w:rPr>
            </w:pPr>
            <w:r>
              <w:rPr>
                <w:rFonts w:ascii="Verdana" w:hAnsi="Verdana"/>
                <w:sz w:val="16"/>
                <w:szCs w:val="16"/>
              </w:rPr>
              <w:t>1,63%</w:t>
            </w:r>
          </w:p>
        </w:tc>
        <w:tc>
          <w:tcPr>
            <w:tcW w:w="1276" w:type="dxa"/>
          </w:tcPr>
          <w:p w14:paraId="16E31505" w14:textId="61AA0584"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14,40%</w:t>
            </w:r>
          </w:p>
        </w:tc>
        <w:tc>
          <w:tcPr>
            <w:tcW w:w="1134" w:type="dxa"/>
          </w:tcPr>
          <w:p w14:paraId="20AA28F9" w14:textId="3E233739"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15,56%</w:t>
            </w:r>
          </w:p>
        </w:tc>
        <w:tc>
          <w:tcPr>
            <w:tcW w:w="1134" w:type="dxa"/>
          </w:tcPr>
          <w:p w14:paraId="3AF2AF3A" w14:textId="6B2472C0"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25,95%</w:t>
            </w:r>
          </w:p>
        </w:tc>
        <w:tc>
          <w:tcPr>
            <w:tcW w:w="1134" w:type="dxa"/>
          </w:tcPr>
          <w:p w14:paraId="0B390496" w14:textId="75D34911"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16,90%</w:t>
            </w:r>
          </w:p>
        </w:tc>
        <w:tc>
          <w:tcPr>
            <w:tcW w:w="1134" w:type="dxa"/>
            <w:shd w:val="clear" w:color="auto" w:fill="auto"/>
          </w:tcPr>
          <w:p w14:paraId="2571B108"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5A13EC6"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tcPr>
          <w:p w14:paraId="65F1F49D"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tcPr>
          <w:p w14:paraId="0E421E34"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52F41950" w14:textId="77777777" w:rsidTr="000B2FD6">
        <w:tc>
          <w:tcPr>
            <w:tcW w:w="4536" w:type="dxa"/>
          </w:tcPr>
          <w:p w14:paraId="615B8FCB"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 S&amp;P 500 Index Feeder</w:t>
            </w:r>
          </w:p>
        </w:tc>
        <w:tc>
          <w:tcPr>
            <w:tcW w:w="1134" w:type="dxa"/>
          </w:tcPr>
          <w:p w14:paraId="10A83883" w14:textId="0CCC77B5" w:rsidR="006C22DE" w:rsidRPr="00B81A28" w:rsidRDefault="00A54EC1" w:rsidP="000B2FD6">
            <w:pPr>
              <w:tabs>
                <w:tab w:val="left" w:pos="1050"/>
              </w:tabs>
              <w:spacing w:before="40" w:after="40" w:line="300" w:lineRule="atLeast"/>
              <w:jc w:val="center"/>
              <w:rPr>
                <w:rFonts w:ascii="Verdana" w:hAnsi="Verdana"/>
                <w:sz w:val="16"/>
                <w:szCs w:val="16"/>
              </w:rPr>
            </w:pPr>
            <w:r>
              <w:rPr>
                <w:rFonts w:ascii="Verdana" w:hAnsi="Verdana"/>
                <w:sz w:val="16"/>
                <w:szCs w:val="16"/>
              </w:rPr>
              <w:t>0,99%</w:t>
            </w:r>
          </w:p>
        </w:tc>
        <w:tc>
          <w:tcPr>
            <w:tcW w:w="1276" w:type="dxa"/>
          </w:tcPr>
          <w:p w14:paraId="208CC44C" w14:textId="2D0C9540"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14,72%</w:t>
            </w:r>
          </w:p>
        </w:tc>
        <w:tc>
          <w:tcPr>
            <w:tcW w:w="1134" w:type="dxa"/>
          </w:tcPr>
          <w:p w14:paraId="53534EC1" w14:textId="2ED427D4"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18,20%</w:t>
            </w:r>
          </w:p>
        </w:tc>
        <w:tc>
          <w:tcPr>
            <w:tcW w:w="1134" w:type="dxa"/>
          </w:tcPr>
          <w:p w14:paraId="3E013654" w14:textId="30E2C93F"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30,86%</w:t>
            </w:r>
          </w:p>
        </w:tc>
        <w:tc>
          <w:tcPr>
            <w:tcW w:w="1134" w:type="dxa"/>
          </w:tcPr>
          <w:p w14:paraId="4F8E03CA" w14:textId="6D8A6AAC" w:rsidR="006C22DE" w:rsidRPr="00B81A28" w:rsidRDefault="00A54EC1" w:rsidP="000B2FD6">
            <w:pPr>
              <w:spacing w:before="40" w:after="40" w:line="300" w:lineRule="atLeast"/>
              <w:jc w:val="center"/>
              <w:rPr>
                <w:rFonts w:ascii="Verdana" w:hAnsi="Verdana"/>
                <w:sz w:val="16"/>
                <w:szCs w:val="16"/>
              </w:rPr>
            </w:pPr>
            <w:r>
              <w:rPr>
                <w:rFonts w:ascii="Verdana" w:hAnsi="Verdana"/>
                <w:sz w:val="16"/>
                <w:szCs w:val="16"/>
              </w:rPr>
              <w:t>20,98%</w:t>
            </w:r>
          </w:p>
        </w:tc>
        <w:tc>
          <w:tcPr>
            <w:tcW w:w="1134" w:type="dxa"/>
            <w:shd w:val="clear" w:color="auto" w:fill="auto"/>
          </w:tcPr>
          <w:p w14:paraId="16343CF8"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6D13AEBD"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tcPr>
          <w:p w14:paraId="27236ECA"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tcPr>
          <w:p w14:paraId="155E050A"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7B5CE47D" w14:textId="77777777" w:rsidTr="000B2FD6">
        <w:tc>
          <w:tcPr>
            <w:tcW w:w="4536" w:type="dxa"/>
          </w:tcPr>
          <w:p w14:paraId="797BF33E"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Ashburton Global 1200 E</w:t>
            </w:r>
            <w:r>
              <w:rPr>
                <w:rFonts w:ascii="Verdana" w:hAnsi="Verdana"/>
                <w:sz w:val="16"/>
                <w:szCs w:val="16"/>
              </w:rPr>
              <w:t>quity</w:t>
            </w:r>
          </w:p>
        </w:tc>
        <w:tc>
          <w:tcPr>
            <w:tcW w:w="1134" w:type="dxa"/>
            <w:vAlign w:val="center"/>
          </w:tcPr>
          <w:p w14:paraId="232F81EB" w14:textId="4A34980C"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1,24%</w:t>
            </w:r>
          </w:p>
        </w:tc>
        <w:tc>
          <w:tcPr>
            <w:tcW w:w="1276" w:type="dxa"/>
            <w:vAlign w:val="center"/>
          </w:tcPr>
          <w:p w14:paraId="7097D987" w14:textId="5DBC8074"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13,81%</w:t>
            </w:r>
          </w:p>
        </w:tc>
        <w:tc>
          <w:tcPr>
            <w:tcW w:w="1134" w:type="dxa"/>
            <w:vAlign w:val="center"/>
          </w:tcPr>
          <w:p w14:paraId="0C8102FD" w14:textId="533EB86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16,12%</w:t>
            </w:r>
          </w:p>
        </w:tc>
        <w:tc>
          <w:tcPr>
            <w:tcW w:w="1134" w:type="dxa"/>
            <w:vAlign w:val="center"/>
          </w:tcPr>
          <w:p w14:paraId="4C5C4999" w14:textId="39F5EDDA"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26,46</w:t>
            </w:r>
          </w:p>
        </w:tc>
        <w:tc>
          <w:tcPr>
            <w:tcW w:w="1134" w:type="dxa"/>
            <w:vAlign w:val="center"/>
          </w:tcPr>
          <w:p w14:paraId="0B805A70" w14:textId="438CF323"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16,73%</w:t>
            </w:r>
          </w:p>
        </w:tc>
        <w:tc>
          <w:tcPr>
            <w:tcW w:w="1134" w:type="dxa"/>
            <w:shd w:val="clear" w:color="auto" w:fill="auto"/>
          </w:tcPr>
          <w:p w14:paraId="561A24B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43FFA33A"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4125AFA1"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5DCF78DF"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56593339" w14:textId="77777777" w:rsidTr="000B2FD6">
        <w:tc>
          <w:tcPr>
            <w:tcW w:w="4536" w:type="dxa"/>
          </w:tcPr>
          <w:p w14:paraId="35B69BAD"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Cloud Atlas AMI Big50 ex-SA </w:t>
            </w:r>
          </w:p>
        </w:tc>
        <w:tc>
          <w:tcPr>
            <w:tcW w:w="1134" w:type="dxa"/>
            <w:vAlign w:val="center"/>
          </w:tcPr>
          <w:p w14:paraId="397F16E3" w14:textId="2B34ED46"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0,57%</w:t>
            </w:r>
          </w:p>
        </w:tc>
        <w:tc>
          <w:tcPr>
            <w:tcW w:w="1276" w:type="dxa"/>
            <w:vAlign w:val="center"/>
          </w:tcPr>
          <w:p w14:paraId="5B9DD08A" w14:textId="43F095A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9,82%</w:t>
            </w:r>
          </w:p>
        </w:tc>
        <w:tc>
          <w:tcPr>
            <w:tcW w:w="1134" w:type="dxa"/>
            <w:vAlign w:val="center"/>
          </w:tcPr>
          <w:p w14:paraId="50562250" w14:textId="2CE7E38B"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2,76%</w:t>
            </w:r>
          </w:p>
        </w:tc>
        <w:tc>
          <w:tcPr>
            <w:tcW w:w="1134" w:type="dxa"/>
            <w:vAlign w:val="center"/>
          </w:tcPr>
          <w:p w14:paraId="136F2B49" w14:textId="79383A0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(9,96%)</w:t>
            </w:r>
          </w:p>
        </w:tc>
        <w:tc>
          <w:tcPr>
            <w:tcW w:w="1134" w:type="dxa"/>
            <w:vAlign w:val="center"/>
          </w:tcPr>
          <w:p w14:paraId="2ADC494A" w14:textId="0270E05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(3,86%)</w:t>
            </w:r>
          </w:p>
        </w:tc>
        <w:tc>
          <w:tcPr>
            <w:tcW w:w="1134" w:type="dxa"/>
            <w:shd w:val="clear" w:color="auto" w:fill="auto"/>
          </w:tcPr>
          <w:p w14:paraId="5FF47772" w14:textId="0BDF746C"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(0,37%)</w:t>
            </w:r>
          </w:p>
        </w:tc>
        <w:tc>
          <w:tcPr>
            <w:tcW w:w="1134" w:type="dxa"/>
            <w:shd w:val="clear" w:color="auto" w:fill="auto"/>
          </w:tcPr>
          <w:p w14:paraId="409728E8"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0209139E"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314244E1"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74848E2D" w14:textId="77777777" w:rsidTr="000B2FD6">
        <w:tc>
          <w:tcPr>
            <w:tcW w:w="4536" w:type="dxa"/>
          </w:tcPr>
          <w:p w14:paraId="370EE720"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CoreShares S&amp;P 500 </w:t>
            </w:r>
          </w:p>
        </w:tc>
        <w:tc>
          <w:tcPr>
            <w:tcW w:w="1134" w:type="dxa"/>
            <w:vAlign w:val="center"/>
          </w:tcPr>
          <w:p w14:paraId="51C59329" w14:textId="0E5E2FE8"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0,51%</w:t>
            </w:r>
          </w:p>
        </w:tc>
        <w:tc>
          <w:tcPr>
            <w:tcW w:w="1276" w:type="dxa"/>
            <w:vAlign w:val="center"/>
          </w:tcPr>
          <w:p w14:paraId="23AB7240" w14:textId="0A66B93D"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14,50%</w:t>
            </w:r>
          </w:p>
        </w:tc>
        <w:tc>
          <w:tcPr>
            <w:tcW w:w="1134" w:type="dxa"/>
            <w:vAlign w:val="center"/>
          </w:tcPr>
          <w:p w14:paraId="034AB960" w14:textId="43CE44EC"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17,12%</w:t>
            </w:r>
          </w:p>
        </w:tc>
        <w:tc>
          <w:tcPr>
            <w:tcW w:w="1134" w:type="dxa"/>
            <w:vAlign w:val="center"/>
          </w:tcPr>
          <w:p w14:paraId="64B64D39" w14:textId="12BDFA7A"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29,58%</w:t>
            </w:r>
          </w:p>
        </w:tc>
        <w:tc>
          <w:tcPr>
            <w:tcW w:w="1134" w:type="dxa"/>
            <w:vAlign w:val="center"/>
          </w:tcPr>
          <w:p w14:paraId="40BD6A23" w14:textId="7CAB1C1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20,45%</w:t>
            </w:r>
          </w:p>
        </w:tc>
        <w:tc>
          <w:tcPr>
            <w:tcW w:w="1134" w:type="dxa"/>
            <w:shd w:val="clear" w:color="auto" w:fill="auto"/>
          </w:tcPr>
          <w:p w14:paraId="3D9D96CF" w14:textId="3CC00344"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20,16%</w:t>
            </w:r>
          </w:p>
        </w:tc>
        <w:tc>
          <w:tcPr>
            <w:tcW w:w="1134" w:type="dxa"/>
            <w:shd w:val="clear" w:color="auto" w:fill="auto"/>
          </w:tcPr>
          <w:p w14:paraId="61AF51B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1DDF0DD6"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1122863D"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1C33C328" w14:textId="77777777" w:rsidTr="000B2FD6">
        <w:tc>
          <w:tcPr>
            <w:tcW w:w="4536" w:type="dxa"/>
          </w:tcPr>
          <w:p w14:paraId="1C4F4125"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Satrix MSCI Emerging Markets </w:t>
            </w:r>
          </w:p>
        </w:tc>
        <w:tc>
          <w:tcPr>
            <w:tcW w:w="1134" w:type="dxa"/>
            <w:vAlign w:val="center"/>
          </w:tcPr>
          <w:p w14:paraId="2782F864" w14:textId="23C02886"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6,63%</w:t>
            </w:r>
          </w:p>
        </w:tc>
        <w:tc>
          <w:tcPr>
            <w:tcW w:w="1276" w:type="dxa"/>
            <w:vAlign w:val="center"/>
          </w:tcPr>
          <w:p w14:paraId="667FE6E6" w14:textId="47D7553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16,42%</w:t>
            </w:r>
          </w:p>
        </w:tc>
        <w:tc>
          <w:tcPr>
            <w:tcW w:w="1134" w:type="dxa"/>
            <w:vAlign w:val="center"/>
          </w:tcPr>
          <w:p w14:paraId="53C9E5D6" w14:textId="24D18E48"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10,22%</w:t>
            </w:r>
          </w:p>
        </w:tc>
        <w:tc>
          <w:tcPr>
            <w:tcW w:w="1134" w:type="dxa"/>
            <w:vAlign w:val="center"/>
          </w:tcPr>
          <w:p w14:paraId="03832C3F" w14:textId="3BA798B3"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17,56%</w:t>
            </w:r>
          </w:p>
        </w:tc>
        <w:tc>
          <w:tcPr>
            <w:tcW w:w="1134" w:type="dxa"/>
            <w:vAlign w:val="center"/>
          </w:tcPr>
          <w:p w14:paraId="5A4516C5" w14:textId="730BEA23"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10,33%</w:t>
            </w:r>
          </w:p>
        </w:tc>
        <w:tc>
          <w:tcPr>
            <w:tcW w:w="1134" w:type="dxa"/>
            <w:shd w:val="clear" w:color="auto" w:fill="auto"/>
          </w:tcPr>
          <w:p w14:paraId="27877203"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122DACE4"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7D4E6B76"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447D7664"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230FE605" w14:textId="77777777" w:rsidTr="000B2FD6">
        <w:tc>
          <w:tcPr>
            <w:tcW w:w="4536" w:type="dxa"/>
          </w:tcPr>
          <w:p w14:paraId="08D28D6E"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Satrix MSCI World </w:t>
            </w:r>
            <w:r>
              <w:rPr>
                <w:rFonts w:ascii="Verdana" w:hAnsi="Verdana"/>
                <w:sz w:val="16"/>
                <w:szCs w:val="16"/>
              </w:rPr>
              <w:t>Equity Feeder</w:t>
            </w:r>
          </w:p>
        </w:tc>
        <w:tc>
          <w:tcPr>
            <w:tcW w:w="1134" w:type="dxa"/>
            <w:vAlign w:val="center"/>
          </w:tcPr>
          <w:p w14:paraId="10887BC5" w14:textId="00FF239C"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1,38%</w:t>
            </w:r>
          </w:p>
        </w:tc>
        <w:tc>
          <w:tcPr>
            <w:tcW w:w="1276" w:type="dxa"/>
            <w:vAlign w:val="center"/>
          </w:tcPr>
          <w:p w14:paraId="5F0100FE" w14:textId="597CEA88"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14,28%</w:t>
            </w:r>
          </w:p>
        </w:tc>
        <w:tc>
          <w:tcPr>
            <w:tcW w:w="1134" w:type="dxa"/>
            <w:vAlign w:val="center"/>
          </w:tcPr>
          <w:p w14:paraId="448FF49A" w14:textId="26744018"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15,98%</w:t>
            </w:r>
          </w:p>
        </w:tc>
        <w:tc>
          <w:tcPr>
            <w:tcW w:w="1134" w:type="dxa"/>
            <w:vAlign w:val="center"/>
          </w:tcPr>
          <w:p w14:paraId="61A79A1A" w14:textId="1377457B"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26,15%</w:t>
            </w:r>
          </w:p>
        </w:tc>
        <w:tc>
          <w:tcPr>
            <w:tcW w:w="1134" w:type="dxa"/>
            <w:vAlign w:val="center"/>
          </w:tcPr>
          <w:p w14:paraId="75CFAF55" w14:textId="3CE1713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17,12%</w:t>
            </w:r>
          </w:p>
        </w:tc>
        <w:tc>
          <w:tcPr>
            <w:tcW w:w="1134" w:type="dxa"/>
            <w:shd w:val="clear" w:color="auto" w:fill="auto"/>
          </w:tcPr>
          <w:p w14:paraId="3B86528E"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2B19E30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1B2794C2"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58828AB3"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21FCBAA0" w14:textId="77777777" w:rsidTr="000B2FD6">
        <w:tc>
          <w:tcPr>
            <w:tcW w:w="4536" w:type="dxa"/>
          </w:tcPr>
          <w:p w14:paraId="33F8245C" w14:textId="77777777" w:rsidR="006C22DE" w:rsidRPr="00F14A55" w:rsidRDefault="006C22DE" w:rsidP="000B2FD6">
            <w:pPr>
              <w:spacing w:before="40" w:after="40" w:line="300" w:lineRule="atLeast"/>
              <w:rPr>
                <w:rFonts w:ascii="Verdana" w:hAnsi="Verdana"/>
                <w:color w:val="000000" w:themeColor="text1"/>
                <w:sz w:val="16"/>
                <w:szCs w:val="16"/>
              </w:rPr>
            </w:pPr>
            <w:r w:rsidRPr="00B81A28">
              <w:rPr>
                <w:rFonts w:ascii="Verdana" w:hAnsi="Verdana"/>
                <w:sz w:val="16"/>
                <w:szCs w:val="16"/>
              </w:rPr>
              <w:t xml:space="preserve">Satrix S&amp;P 500 </w:t>
            </w:r>
          </w:p>
        </w:tc>
        <w:tc>
          <w:tcPr>
            <w:tcW w:w="1134" w:type="dxa"/>
            <w:vAlign w:val="center"/>
          </w:tcPr>
          <w:p w14:paraId="5197AF65" w14:textId="6DFC1E24"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0,74%</w:t>
            </w:r>
          </w:p>
        </w:tc>
        <w:tc>
          <w:tcPr>
            <w:tcW w:w="1276" w:type="dxa"/>
            <w:vAlign w:val="center"/>
          </w:tcPr>
          <w:p w14:paraId="43308497" w14:textId="2644CF5F"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14,66%</w:t>
            </w:r>
          </w:p>
        </w:tc>
        <w:tc>
          <w:tcPr>
            <w:tcW w:w="1134" w:type="dxa"/>
            <w:vAlign w:val="center"/>
          </w:tcPr>
          <w:p w14:paraId="375B78F6" w14:textId="31C6F58F"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18,77%</w:t>
            </w:r>
          </w:p>
        </w:tc>
        <w:tc>
          <w:tcPr>
            <w:tcW w:w="1134" w:type="dxa"/>
            <w:vAlign w:val="center"/>
          </w:tcPr>
          <w:p w14:paraId="4B3C429E" w14:textId="343C0D41"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31,16%</w:t>
            </w:r>
          </w:p>
        </w:tc>
        <w:tc>
          <w:tcPr>
            <w:tcW w:w="1134" w:type="dxa"/>
            <w:vAlign w:val="center"/>
          </w:tcPr>
          <w:p w14:paraId="61D48BA7" w14:textId="521EECC7"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21,12%</w:t>
            </w:r>
          </w:p>
        </w:tc>
        <w:tc>
          <w:tcPr>
            <w:tcW w:w="1134" w:type="dxa"/>
            <w:shd w:val="clear" w:color="auto" w:fill="auto"/>
          </w:tcPr>
          <w:p w14:paraId="31FE60DB"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06D68D93"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7001F5F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16464CCB"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3F5595C6" w14:textId="77777777" w:rsidTr="000B2FD6">
        <w:tc>
          <w:tcPr>
            <w:tcW w:w="4536" w:type="dxa"/>
          </w:tcPr>
          <w:p w14:paraId="77904C69" w14:textId="77777777" w:rsidR="006C22DE" w:rsidRPr="00F14A55" w:rsidRDefault="006C22DE" w:rsidP="000B2FD6">
            <w:pPr>
              <w:spacing w:before="40" w:after="40" w:line="300" w:lineRule="atLeast"/>
              <w:rPr>
                <w:rFonts w:ascii="Verdana" w:hAnsi="Verdana"/>
                <w:color w:val="000000" w:themeColor="text1"/>
                <w:sz w:val="16"/>
                <w:szCs w:val="16"/>
              </w:rPr>
            </w:pPr>
            <w:r w:rsidRPr="00F14A55">
              <w:rPr>
                <w:rFonts w:ascii="Verdana" w:hAnsi="Verdana"/>
                <w:color w:val="000000" w:themeColor="text1"/>
                <w:sz w:val="16"/>
                <w:szCs w:val="16"/>
              </w:rPr>
              <w:t>Satrix Nasdaq 100</w:t>
            </w:r>
          </w:p>
        </w:tc>
        <w:tc>
          <w:tcPr>
            <w:tcW w:w="1134" w:type="dxa"/>
            <w:vAlign w:val="center"/>
          </w:tcPr>
          <w:p w14:paraId="75D05280" w14:textId="5FCF5AAE"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5,51%</w:t>
            </w:r>
          </w:p>
        </w:tc>
        <w:tc>
          <w:tcPr>
            <w:tcW w:w="1276" w:type="dxa"/>
            <w:vAlign w:val="center"/>
          </w:tcPr>
          <w:p w14:paraId="53F9EA2A" w14:textId="4E79FC15"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24,47%</w:t>
            </w:r>
          </w:p>
        </w:tc>
        <w:tc>
          <w:tcPr>
            <w:tcW w:w="1134" w:type="dxa"/>
            <w:vAlign w:val="center"/>
          </w:tcPr>
          <w:p w14:paraId="35993C3A" w14:textId="24B8A7D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43,22%</w:t>
            </w:r>
          </w:p>
        </w:tc>
        <w:tc>
          <w:tcPr>
            <w:tcW w:w="1134" w:type="dxa"/>
            <w:vAlign w:val="center"/>
          </w:tcPr>
          <w:p w14:paraId="52A85748" w14:textId="3631FA71"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63,12%</w:t>
            </w:r>
          </w:p>
        </w:tc>
        <w:tc>
          <w:tcPr>
            <w:tcW w:w="1134" w:type="dxa"/>
            <w:vAlign w:val="center"/>
          </w:tcPr>
          <w:p w14:paraId="1F2959AC" w14:textId="122F1071"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34,40%</w:t>
            </w:r>
          </w:p>
        </w:tc>
        <w:tc>
          <w:tcPr>
            <w:tcW w:w="1134" w:type="dxa"/>
            <w:shd w:val="clear" w:color="auto" w:fill="auto"/>
          </w:tcPr>
          <w:p w14:paraId="1061E046"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5E5872B"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tcPr>
          <w:p w14:paraId="217F36C5"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134" w:type="dxa"/>
          </w:tcPr>
          <w:p w14:paraId="2864D53F"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26CD1BDC" w14:textId="77777777" w:rsidTr="000B2FD6">
        <w:tc>
          <w:tcPr>
            <w:tcW w:w="4536" w:type="dxa"/>
          </w:tcPr>
          <w:p w14:paraId="515F9622"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S&amp;P 500</w:t>
            </w:r>
          </w:p>
        </w:tc>
        <w:tc>
          <w:tcPr>
            <w:tcW w:w="1134" w:type="dxa"/>
            <w:vAlign w:val="center"/>
          </w:tcPr>
          <w:p w14:paraId="5B0F81F2" w14:textId="4FCEB9F7"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0,46%</w:t>
            </w:r>
          </w:p>
        </w:tc>
        <w:tc>
          <w:tcPr>
            <w:tcW w:w="1276" w:type="dxa"/>
            <w:vAlign w:val="center"/>
          </w:tcPr>
          <w:p w14:paraId="7CF91AD2" w14:textId="55C26CA4"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14,43%</w:t>
            </w:r>
          </w:p>
        </w:tc>
        <w:tc>
          <w:tcPr>
            <w:tcW w:w="1134" w:type="dxa"/>
            <w:vAlign w:val="center"/>
          </w:tcPr>
          <w:p w14:paraId="7B86D86E" w14:textId="04095FCE"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19,65%</w:t>
            </w:r>
          </w:p>
        </w:tc>
        <w:tc>
          <w:tcPr>
            <w:tcW w:w="1134" w:type="dxa"/>
            <w:vAlign w:val="center"/>
          </w:tcPr>
          <w:p w14:paraId="7F29F4C2" w14:textId="0150419A"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31,71%</w:t>
            </w:r>
          </w:p>
        </w:tc>
        <w:tc>
          <w:tcPr>
            <w:tcW w:w="1134" w:type="dxa"/>
            <w:vAlign w:val="center"/>
          </w:tcPr>
          <w:p w14:paraId="079FBFF9" w14:textId="3C58EB03"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22,11%</w:t>
            </w:r>
          </w:p>
        </w:tc>
        <w:tc>
          <w:tcPr>
            <w:tcW w:w="1134" w:type="dxa"/>
            <w:shd w:val="clear" w:color="auto" w:fill="auto"/>
          </w:tcPr>
          <w:p w14:paraId="169472ED"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58099BCE"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03AB0009"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c>
          <w:tcPr>
            <w:tcW w:w="1134" w:type="dxa"/>
          </w:tcPr>
          <w:p w14:paraId="522D16B6"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4C9821E0" w14:textId="77777777" w:rsidTr="000B2FD6">
        <w:tc>
          <w:tcPr>
            <w:tcW w:w="4536" w:type="dxa"/>
          </w:tcPr>
          <w:p w14:paraId="25B2954C"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Eurostoxx 50 </w:t>
            </w:r>
          </w:p>
        </w:tc>
        <w:tc>
          <w:tcPr>
            <w:tcW w:w="1134" w:type="dxa"/>
          </w:tcPr>
          <w:p w14:paraId="4F165E4C" w14:textId="271F8D6C"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5,75%</w:t>
            </w:r>
          </w:p>
        </w:tc>
        <w:tc>
          <w:tcPr>
            <w:tcW w:w="1276" w:type="dxa"/>
          </w:tcPr>
          <w:p w14:paraId="282C73B6" w14:textId="52A4A4C7"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16,06%</w:t>
            </w:r>
          </w:p>
        </w:tc>
        <w:tc>
          <w:tcPr>
            <w:tcW w:w="1134" w:type="dxa"/>
          </w:tcPr>
          <w:p w14:paraId="4C5FC863" w14:textId="308D34F4"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7,83%</w:t>
            </w:r>
          </w:p>
        </w:tc>
        <w:tc>
          <w:tcPr>
            <w:tcW w:w="1134" w:type="dxa"/>
          </w:tcPr>
          <w:p w14:paraId="11974B72" w14:textId="3788BAAE"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15,30%</w:t>
            </w:r>
          </w:p>
        </w:tc>
        <w:tc>
          <w:tcPr>
            <w:tcW w:w="1134" w:type="dxa"/>
          </w:tcPr>
          <w:p w14:paraId="743600D8" w14:textId="1ABB00B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10,26%</w:t>
            </w:r>
          </w:p>
        </w:tc>
        <w:tc>
          <w:tcPr>
            <w:tcW w:w="1134" w:type="dxa"/>
            <w:shd w:val="clear" w:color="auto" w:fill="auto"/>
          </w:tcPr>
          <w:p w14:paraId="56CB53A8" w14:textId="348D875B"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9,41%</w:t>
            </w:r>
          </w:p>
        </w:tc>
        <w:tc>
          <w:tcPr>
            <w:tcW w:w="1134" w:type="dxa"/>
            <w:shd w:val="clear" w:color="auto" w:fill="auto"/>
          </w:tcPr>
          <w:p w14:paraId="5155312B" w14:textId="736218FD"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8,97%</w:t>
            </w:r>
          </w:p>
        </w:tc>
        <w:tc>
          <w:tcPr>
            <w:tcW w:w="1134" w:type="dxa"/>
          </w:tcPr>
          <w:p w14:paraId="4C4C0FFE" w14:textId="7A82AD2E"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12,12%</w:t>
            </w:r>
          </w:p>
        </w:tc>
        <w:tc>
          <w:tcPr>
            <w:tcW w:w="1134" w:type="dxa"/>
          </w:tcPr>
          <w:p w14:paraId="1D0E6728" w14:textId="7D88240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13,21%</w:t>
            </w:r>
          </w:p>
        </w:tc>
      </w:tr>
      <w:tr w:rsidR="006C22DE" w:rsidRPr="00B81A28" w14:paraId="0325D977" w14:textId="77777777" w:rsidTr="000B2FD6">
        <w:tc>
          <w:tcPr>
            <w:tcW w:w="4536" w:type="dxa"/>
          </w:tcPr>
          <w:p w14:paraId="03587EFF"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FTSE 100 </w:t>
            </w:r>
          </w:p>
        </w:tc>
        <w:tc>
          <w:tcPr>
            <w:tcW w:w="1134" w:type="dxa"/>
          </w:tcPr>
          <w:p w14:paraId="750CB056" w14:textId="13A0522C"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(0,03%)</w:t>
            </w:r>
          </w:p>
        </w:tc>
        <w:tc>
          <w:tcPr>
            <w:tcW w:w="1276" w:type="dxa"/>
          </w:tcPr>
          <w:p w14:paraId="02D5B9D3" w14:textId="31A2DCE0"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6,61%</w:t>
            </w:r>
          </w:p>
        </w:tc>
        <w:tc>
          <w:tcPr>
            <w:tcW w:w="1134" w:type="dxa"/>
          </w:tcPr>
          <w:p w14:paraId="5C467A64" w14:textId="25CF6A8C"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(4,14%)</w:t>
            </w:r>
          </w:p>
        </w:tc>
        <w:tc>
          <w:tcPr>
            <w:tcW w:w="1134" w:type="dxa"/>
          </w:tcPr>
          <w:p w14:paraId="16D224A7" w14:textId="2D87A92E"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2,46%</w:t>
            </w:r>
          </w:p>
        </w:tc>
        <w:tc>
          <w:tcPr>
            <w:tcW w:w="1134" w:type="dxa"/>
          </w:tcPr>
          <w:p w14:paraId="16D4C861" w14:textId="0D1CE4DA"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6,65%</w:t>
            </w:r>
          </w:p>
        </w:tc>
        <w:tc>
          <w:tcPr>
            <w:tcW w:w="1134" w:type="dxa"/>
            <w:shd w:val="clear" w:color="auto" w:fill="auto"/>
          </w:tcPr>
          <w:p w14:paraId="7C17DD11" w14:textId="747D4ECC"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9,44%</w:t>
            </w:r>
          </w:p>
        </w:tc>
        <w:tc>
          <w:tcPr>
            <w:tcW w:w="1134" w:type="dxa"/>
            <w:shd w:val="clear" w:color="auto" w:fill="auto"/>
          </w:tcPr>
          <w:p w14:paraId="3A88DF58" w14:textId="2FB7529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4,47%</w:t>
            </w:r>
          </w:p>
        </w:tc>
        <w:tc>
          <w:tcPr>
            <w:tcW w:w="1134" w:type="dxa"/>
          </w:tcPr>
          <w:p w14:paraId="2FED0AB6" w14:textId="02F02FEB"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9,92%</w:t>
            </w:r>
          </w:p>
        </w:tc>
        <w:tc>
          <w:tcPr>
            <w:tcW w:w="1134" w:type="dxa"/>
          </w:tcPr>
          <w:p w14:paraId="33C0B67E" w14:textId="3083DB57"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13,28%</w:t>
            </w:r>
          </w:p>
        </w:tc>
      </w:tr>
      <w:tr w:rsidR="006C22DE" w:rsidRPr="00B81A28" w14:paraId="40568F57" w14:textId="77777777" w:rsidTr="000B2FD6">
        <w:tc>
          <w:tcPr>
            <w:tcW w:w="4536" w:type="dxa"/>
          </w:tcPr>
          <w:p w14:paraId="5E146DF7"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MSCI USA </w:t>
            </w:r>
          </w:p>
        </w:tc>
        <w:tc>
          <w:tcPr>
            <w:tcW w:w="1134" w:type="dxa"/>
          </w:tcPr>
          <w:p w14:paraId="50CB7E5D" w14:textId="30A15A77"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0,70%</w:t>
            </w:r>
          </w:p>
        </w:tc>
        <w:tc>
          <w:tcPr>
            <w:tcW w:w="1276" w:type="dxa"/>
          </w:tcPr>
          <w:p w14:paraId="29BB9A44" w14:textId="4D4B63F0"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15,42%</w:t>
            </w:r>
          </w:p>
        </w:tc>
        <w:tc>
          <w:tcPr>
            <w:tcW w:w="1134" w:type="dxa"/>
          </w:tcPr>
          <w:p w14:paraId="1D19EC6F" w14:textId="40CD8CE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20,47%</w:t>
            </w:r>
          </w:p>
        </w:tc>
        <w:tc>
          <w:tcPr>
            <w:tcW w:w="1134" w:type="dxa"/>
          </w:tcPr>
          <w:p w14:paraId="06902DFA" w14:textId="090D4F70"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32,30%</w:t>
            </w:r>
          </w:p>
        </w:tc>
        <w:tc>
          <w:tcPr>
            <w:tcW w:w="1134" w:type="dxa"/>
          </w:tcPr>
          <w:p w14:paraId="64408684" w14:textId="4F62EE7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21,95%</w:t>
            </w:r>
          </w:p>
        </w:tc>
        <w:tc>
          <w:tcPr>
            <w:tcW w:w="1134" w:type="dxa"/>
            <w:shd w:val="clear" w:color="auto" w:fill="auto"/>
          </w:tcPr>
          <w:p w14:paraId="1A7566B9" w14:textId="0642EE8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20,81%</w:t>
            </w:r>
          </w:p>
        </w:tc>
        <w:tc>
          <w:tcPr>
            <w:tcW w:w="1134" w:type="dxa"/>
            <w:shd w:val="clear" w:color="auto" w:fill="auto"/>
          </w:tcPr>
          <w:p w14:paraId="24F288D9" w14:textId="75A2D0AD"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17,87%</w:t>
            </w:r>
          </w:p>
        </w:tc>
        <w:tc>
          <w:tcPr>
            <w:tcW w:w="1134" w:type="dxa"/>
          </w:tcPr>
          <w:p w14:paraId="0778A4CF" w14:textId="26087E4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20,42%</w:t>
            </w:r>
          </w:p>
        </w:tc>
        <w:tc>
          <w:tcPr>
            <w:tcW w:w="1134" w:type="dxa"/>
          </w:tcPr>
          <w:p w14:paraId="3A57409D" w14:textId="5167CF74"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22,65%</w:t>
            </w:r>
          </w:p>
        </w:tc>
      </w:tr>
      <w:tr w:rsidR="006C22DE" w:rsidRPr="00B81A28" w14:paraId="091BDF7D" w14:textId="77777777" w:rsidTr="000B2FD6">
        <w:tc>
          <w:tcPr>
            <w:tcW w:w="4536" w:type="dxa"/>
          </w:tcPr>
          <w:p w14:paraId="53C5E14F"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MSCI Japan</w:t>
            </w:r>
          </w:p>
        </w:tc>
        <w:tc>
          <w:tcPr>
            <w:tcW w:w="1134" w:type="dxa"/>
            <w:vAlign w:val="center"/>
          </w:tcPr>
          <w:p w14:paraId="69617255" w14:textId="184F1C7E"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(1,46%)</w:t>
            </w:r>
          </w:p>
        </w:tc>
        <w:tc>
          <w:tcPr>
            <w:tcW w:w="1276" w:type="dxa"/>
            <w:vAlign w:val="center"/>
          </w:tcPr>
          <w:p w14:paraId="5A6C1087" w14:textId="64679F5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5,51%</w:t>
            </w:r>
          </w:p>
        </w:tc>
        <w:tc>
          <w:tcPr>
            <w:tcW w:w="1134" w:type="dxa"/>
            <w:vAlign w:val="center"/>
          </w:tcPr>
          <w:p w14:paraId="7EC2E939" w14:textId="680EBB59"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14,84%</w:t>
            </w:r>
          </w:p>
        </w:tc>
        <w:tc>
          <w:tcPr>
            <w:tcW w:w="1134" w:type="dxa"/>
            <w:vAlign w:val="center"/>
          </w:tcPr>
          <w:p w14:paraId="167A3C46" w14:textId="606DCFEB"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26,43%</w:t>
            </w:r>
          </w:p>
        </w:tc>
        <w:tc>
          <w:tcPr>
            <w:tcW w:w="1134" w:type="dxa"/>
            <w:vAlign w:val="center"/>
          </w:tcPr>
          <w:p w14:paraId="6A6719FA" w14:textId="4AB8294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11,31%</w:t>
            </w:r>
          </w:p>
        </w:tc>
        <w:tc>
          <w:tcPr>
            <w:tcW w:w="1134" w:type="dxa"/>
            <w:shd w:val="clear" w:color="auto" w:fill="auto"/>
          </w:tcPr>
          <w:p w14:paraId="105C6FC7" w14:textId="0B0B8FC4"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12,36%</w:t>
            </w:r>
          </w:p>
        </w:tc>
        <w:tc>
          <w:tcPr>
            <w:tcW w:w="1134" w:type="dxa"/>
            <w:shd w:val="clear" w:color="auto" w:fill="auto"/>
          </w:tcPr>
          <w:p w14:paraId="4538E49B" w14:textId="2D79282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10,26%</w:t>
            </w:r>
          </w:p>
        </w:tc>
        <w:tc>
          <w:tcPr>
            <w:tcW w:w="1134" w:type="dxa"/>
          </w:tcPr>
          <w:p w14:paraId="32A6FACE" w14:textId="1C3AB410"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12,94%</w:t>
            </w:r>
          </w:p>
        </w:tc>
        <w:tc>
          <w:tcPr>
            <w:tcW w:w="1134" w:type="dxa"/>
          </w:tcPr>
          <w:p w14:paraId="4AF08B46" w14:textId="5773AB5E"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14,50%</w:t>
            </w:r>
          </w:p>
        </w:tc>
      </w:tr>
      <w:tr w:rsidR="006C22DE" w:rsidRPr="00B81A28" w14:paraId="18FF4022" w14:textId="77777777" w:rsidTr="000B2FD6">
        <w:tc>
          <w:tcPr>
            <w:tcW w:w="4536" w:type="dxa"/>
          </w:tcPr>
          <w:p w14:paraId="0D5976D6"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MSCI World </w:t>
            </w:r>
          </w:p>
        </w:tc>
        <w:tc>
          <w:tcPr>
            <w:tcW w:w="1134" w:type="dxa"/>
            <w:vAlign w:val="center"/>
          </w:tcPr>
          <w:p w14:paraId="3C309A9A" w14:textId="52595300" w:rsidR="006C22DE" w:rsidRPr="00B81A28" w:rsidRDefault="00FF2797" w:rsidP="000B2FD6">
            <w:pPr>
              <w:tabs>
                <w:tab w:val="left" w:pos="1050"/>
              </w:tabs>
              <w:spacing w:before="40" w:after="40" w:line="300" w:lineRule="atLeast"/>
              <w:jc w:val="center"/>
              <w:rPr>
                <w:rFonts w:ascii="Verdana" w:hAnsi="Verdana"/>
                <w:sz w:val="16"/>
                <w:szCs w:val="16"/>
              </w:rPr>
            </w:pPr>
            <w:r>
              <w:rPr>
                <w:rFonts w:ascii="Verdana" w:hAnsi="Verdana"/>
                <w:sz w:val="16"/>
                <w:szCs w:val="16"/>
              </w:rPr>
              <w:t>1,10%</w:t>
            </w:r>
          </w:p>
        </w:tc>
        <w:tc>
          <w:tcPr>
            <w:tcW w:w="1276" w:type="dxa"/>
            <w:vAlign w:val="center"/>
          </w:tcPr>
          <w:p w14:paraId="2FA7DBE4" w14:textId="2428C8C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14,11%</w:t>
            </w:r>
          </w:p>
        </w:tc>
        <w:tc>
          <w:tcPr>
            <w:tcW w:w="1134" w:type="dxa"/>
            <w:vAlign w:val="center"/>
          </w:tcPr>
          <w:p w14:paraId="55AB7A6A" w14:textId="01E8DE58"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16,40%</w:t>
            </w:r>
          </w:p>
        </w:tc>
        <w:tc>
          <w:tcPr>
            <w:tcW w:w="1134" w:type="dxa"/>
            <w:vAlign w:val="center"/>
          </w:tcPr>
          <w:p w14:paraId="2E842461" w14:textId="577653EC"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26,42%</w:t>
            </w:r>
          </w:p>
        </w:tc>
        <w:tc>
          <w:tcPr>
            <w:tcW w:w="1134" w:type="dxa"/>
            <w:vAlign w:val="center"/>
          </w:tcPr>
          <w:p w14:paraId="1E7457FC" w14:textId="78FB219B"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17,63%</w:t>
            </w:r>
          </w:p>
        </w:tc>
        <w:tc>
          <w:tcPr>
            <w:tcW w:w="1134" w:type="dxa"/>
            <w:shd w:val="clear" w:color="auto" w:fill="auto"/>
          </w:tcPr>
          <w:p w14:paraId="7060219B" w14:textId="59C08AE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17,06%</w:t>
            </w:r>
          </w:p>
        </w:tc>
        <w:tc>
          <w:tcPr>
            <w:tcW w:w="1134" w:type="dxa"/>
            <w:shd w:val="clear" w:color="auto" w:fill="auto"/>
          </w:tcPr>
          <w:p w14:paraId="32F626F4" w14:textId="3CFC6C26"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14,69%</w:t>
            </w:r>
          </w:p>
        </w:tc>
        <w:tc>
          <w:tcPr>
            <w:tcW w:w="1134" w:type="dxa"/>
          </w:tcPr>
          <w:p w14:paraId="28412AFF" w14:textId="511DD312"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17,23%</w:t>
            </w:r>
          </w:p>
        </w:tc>
        <w:tc>
          <w:tcPr>
            <w:tcW w:w="1134" w:type="dxa"/>
          </w:tcPr>
          <w:p w14:paraId="671B2FA2" w14:textId="7AFBD4E0" w:rsidR="006C22DE" w:rsidRPr="00B81A28" w:rsidRDefault="00FF2797" w:rsidP="000B2FD6">
            <w:pPr>
              <w:spacing w:before="40" w:after="40" w:line="300" w:lineRule="atLeast"/>
              <w:jc w:val="center"/>
              <w:rPr>
                <w:rFonts w:ascii="Verdana" w:hAnsi="Verdana"/>
                <w:sz w:val="16"/>
                <w:szCs w:val="16"/>
              </w:rPr>
            </w:pPr>
            <w:r>
              <w:rPr>
                <w:rFonts w:ascii="Verdana" w:hAnsi="Verdana"/>
                <w:sz w:val="16"/>
                <w:szCs w:val="16"/>
              </w:rPr>
              <w:t>19,06%</w:t>
            </w:r>
          </w:p>
        </w:tc>
      </w:tr>
    </w:tbl>
    <w:p w14:paraId="134C0982" w14:textId="77777777" w:rsidR="006C22DE" w:rsidRDefault="006C22DE" w:rsidP="006C22DE">
      <w:pPr>
        <w:spacing w:after="0" w:line="240" w:lineRule="auto"/>
        <w:rPr>
          <w:rFonts w:ascii="Verdana" w:hAnsi="Verdana"/>
          <w:sz w:val="16"/>
          <w:szCs w:val="16"/>
        </w:rPr>
      </w:pPr>
    </w:p>
    <w:p w14:paraId="671579B2" w14:textId="77777777" w:rsidR="006C22DE" w:rsidRDefault="006C22DE" w:rsidP="006C22DE">
      <w:pPr>
        <w:spacing w:after="160" w:line="259" w:lineRule="auto"/>
        <w:rPr>
          <w:rFonts w:ascii="Verdana" w:hAnsi="Verdana"/>
          <w:sz w:val="16"/>
          <w:szCs w:val="16"/>
        </w:rPr>
      </w:pPr>
      <w:r>
        <w:rPr>
          <w:rFonts w:ascii="Verdana" w:hAnsi="Verdana"/>
          <w:sz w:val="16"/>
          <w:szCs w:val="16"/>
        </w:rPr>
        <w:br w:type="page"/>
      </w:r>
    </w:p>
    <w:p w14:paraId="3DEA87B8"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lastRenderedPageBreak/>
        <w:drawing>
          <wp:inline distT="0" distB="0" distL="0" distR="0" wp14:anchorId="1ED780D7" wp14:editId="4C766E51">
            <wp:extent cx="3057525" cy="642486"/>
            <wp:effectExtent l="0" t="0" r="0" b="5715"/>
            <wp:docPr id="14" name="Picture 14"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057D2B3D" w14:textId="77777777" w:rsidTr="000B2FD6">
        <w:tc>
          <w:tcPr>
            <w:tcW w:w="14884" w:type="dxa"/>
            <w:gridSpan w:val="10"/>
            <w:shd w:val="clear" w:color="auto" w:fill="CB2229"/>
            <w:vAlign w:val="center"/>
          </w:tcPr>
          <w:p w14:paraId="69656074" w14:textId="77777777" w:rsidR="006C22DE" w:rsidRPr="00B81A28" w:rsidRDefault="006C22DE" w:rsidP="000B2FD6">
            <w:pPr>
              <w:spacing w:before="20" w:after="20" w:line="32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71322E56" w14:textId="77777777" w:rsidR="006C22DE" w:rsidRPr="00B81A28" w:rsidRDefault="006C22DE" w:rsidP="000B2FD6">
            <w:pPr>
              <w:spacing w:before="20" w:after="2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2D287E2C" w14:textId="77777777" w:rsidR="006C22DE" w:rsidRPr="00B81A28" w:rsidRDefault="006C22DE" w:rsidP="000B2FD6">
            <w:pPr>
              <w:spacing w:before="20" w:after="20" w:line="32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062C3CD4" w14:textId="77777777" w:rsidTr="000B2FD6">
        <w:tc>
          <w:tcPr>
            <w:tcW w:w="4536" w:type="dxa"/>
            <w:shd w:val="clear" w:color="auto" w:fill="4C4C4C"/>
          </w:tcPr>
          <w:p w14:paraId="2DF0810D" w14:textId="77777777" w:rsidR="006C22DE" w:rsidRPr="0067766B" w:rsidRDefault="006C22DE" w:rsidP="000B2FD6">
            <w:pPr>
              <w:spacing w:before="20" w:after="20" w:line="300" w:lineRule="atLeast"/>
              <w:rPr>
                <w:rFonts w:ascii="Verdana" w:hAnsi="Verdana"/>
                <w:b/>
                <w:caps/>
                <w:color w:val="FFFFFF"/>
                <w:sz w:val="16"/>
                <w:szCs w:val="16"/>
              </w:rPr>
            </w:pPr>
            <w:r w:rsidRPr="0067766B">
              <w:rPr>
                <w:rFonts w:ascii="Verdana" w:hAnsi="Verdana"/>
                <w:b/>
                <w:caps/>
                <w:color w:val="FFFFFF"/>
                <w:sz w:val="16"/>
                <w:szCs w:val="16"/>
              </w:rPr>
              <w:t>FOREIGN ETFs</w:t>
            </w:r>
          </w:p>
        </w:tc>
        <w:tc>
          <w:tcPr>
            <w:tcW w:w="1134" w:type="dxa"/>
            <w:shd w:val="clear" w:color="auto" w:fill="4C4C4C"/>
          </w:tcPr>
          <w:p w14:paraId="7E93AAE8"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021088A9"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4F5770F8"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6895AF10"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5169E8E8"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6718DBEE"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3FBA1686"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60FEDD15"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2C7456A2" w14:textId="77777777" w:rsidR="006C22DE" w:rsidRPr="00B81A28" w:rsidRDefault="006C22DE" w:rsidP="000B2FD6">
            <w:pPr>
              <w:spacing w:before="20" w:after="20" w:line="30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574F9C44" w14:textId="77777777" w:rsidTr="000B2FD6">
        <w:tc>
          <w:tcPr>
            <w:tcW w:w="14884" w:type="dxa"/>
            <w:gridSpan w:val="10"/>
            <w:shd w:val="clear" w:color="auto" w:fill="7583BD"/>
            <w:vAlign w:val="center"/>
          </w:tcPr>
          <w:p w14:paraId="6A26386D" w14:textId="77777777" w:rsidR="006C22DE" w:rsidRPr="00B81A28" w:rsidRDefault="006C22DE" w:rsidP="000B2FD6">
            <w:pPr>
              <w:spacing w:before="20" w:after="40" w:line="280" w:lineRule="atLeast"/>
              <w:rPr>
                <w:rFonts w:ascii="Verdana" w:hAnsi="Verdana"/>
                <w:b/>
                <w:color w:val="FFFFFF" w:themeColor="background1"/>
                <w:sz w:val="16"/>
                <w:szCs w:val="16"/>
              </w:rPr>
            </w:pPr>
            <w:r>
              <w:rPr>
                <w:rFonts w:ascii="Verdana" w:hAnsi="Verdana"/>
                <w:b/>
                <w:color w:val="FFFFFF" w:themeColor="background1"/>
                <w:sz w:val="16"/>
                <w:szCs w:val="16"/>
              </w:rPr>
              <w:t>Foreign Bonds</w:t>
            </w:r>
          </w:p>
        </w:tc>
      </w:tr>
      <w:tr w:rsidR="006C22DE" w:rsidRPr="00B81A28" w14:paraId="310B84BD" w14:textId="77777777" w:rsidTr="000B2FD6">
        <w:tc>
          <w:tcPr>
            <w:tcW w:w="4536" w:type="dxa"/>
          </w:tcPr>
          <w:p w14:paraId="242AC169" w14:textId="77777777" w:rsidR="006C22DE" w:rsidRDefault="006C22DE" w:rsidP="000B2FD6">
            <w:pPr>
              <w:spacing w:before="40" w:after="40" w:line="280" w:lineRule="atLeast"/>
              <w:rPr>
                <w:rFonts w:ascii="Verdana" w:hAnsi="Verdana"/>
                <w:sz w:val="16"/>
                <w:szCs w:val="16"/>
              </w:rPr>
            </w:pPr>
            <w:r>
              <w:rPr>
                <w:rFonts w:ascii="Verdana" w:hAnsi="Verdana"/>
                <w:sz w:val="16"/>
                <w:szCs w:val="16"/>
              </w:rPr>
              <w:t>1nvest Global Government Bond Index Feeder</w:t>
            </w:r>
          </w:p>
        </w:tc>
        <w:tc>
          <w:tcPr>
            <w:tcW w:w="1134" w:type="dxa"/>
          </w:tcPr>
          <w:p w14:paraId="174A916B" w14:textId="3448E4AE" w:rsidR="006C22DE" w:rsidRPr="00B81A28" w:rsidRDefault="00A54EC1" w:rsidP="000B2FD6">
            <w:pPr>
              <w:tabs>
                <w:tab w:val="left" w:pos="1050"/>
              </w:tabs>
              <w:spacing w:before="40" w:after="40" w:line="280" w:lineRule="atLeast"/>
              <w:jc w:val="center"/>
              <w:rPr>
                <w:rFonts w:ascii="Verdana" w:hAnsi="Verdana"/>
                <w:sz w:val="16"/>
                <w:szCs w:val="16"/>
              </w:rPr>
            </w:pPr>
            <w:r>
              <w:rPr>
                <w:rFonts w:ascii="Verdana" w:hAnsi="Verdana"/>
                <w:sz w:val="16"/>
                <w:szCs w:val="16"/>
              </w:rPr>
              <w:t>(0,61%)</w:t>
            </w:r>
          </w:p>
        </w:tc>
        <w:tc>
          <w:tcPr>
            <w:tcW w:w="1276" w:type="dxa"/>
          </w:tcPr>
          <w:p w14:paraId="22B97929" w14:textId="17A5E7B5" w:rsidR="006C22DE" w:rsidRPr="00B81A28" w:rsidRDefault="00A54EC1" w:rsidP="000B2FD6">
            <w:pPr>
              <w:spacing w:before="40" w:after="40" w:line="280" w:lineRule="atLeast"/>
              <w:jc w:val="center"/>
              <w:rPr>
                <w:rFonts w:ascii="Verdana" w:hAnsi="Verdana"/>
                <w:sz w:val="16"/>
                <w:szCs w:val="16"/>
              </w:rPr>
            </w:pPr>
            <w:r>
              <w:rPr>
                <w:rFonts w:ascii="Verdana" w:hAnsi="Verdana"/>
                <w:sz w:val="16"/>
                <w:szCs w:val="16"/>
              </w:rPr>
              <w:t>(3,35%)</w:t>
            </w:r>
          </w:p>
        </w:tc>
        <w:tc>
          <w:tcPr>
            <w:tcW w:w="1134" w:type="dxa"/>
          </w:tcPr>
          <w:p w14:paraId="4069D1B7" w14:textId="49BE5A00" w:rsidR="006C22DE" w:rsidRPr="00B81A28" w:rsidRDefault="00A54EC1" w:rsidP="000B2FD6">
            <w:pPr>
              <w:spacing w:before="40" w:after="40" w:line="280" w:lineRule="atLeast"/>
              <w:jc w:val="center"/>
              <w:rPr>
                <w:rFonts w:ascii="Verdana" w:hAnsi="Verdana"/>
                <w:sz w:val="16"/>
                <w:szCs w:val="16"/>
              </w:rPr>
            </w:pPr>
            <w:r>
              <w:rPr>
                <w:rFonts w:ascii="Verdana" w:hAnsi="Verdana"/>
                <w:sz w:val="16"/>
                <w:szCs w:val="16"/>
              </w:rPr>
              <w:t>28,64%</w:t>
            </w:r>
          </w:p>
        </w:tc>
        <w:tc>
          <w:tcPr>
            <w:tcW w:w="1134" w:type="dxa"/>
          </w:tcPr>
          <w:p w14:paraId="369F3FAF" w14:textId="61CF7510" w:rsidR="006C22DE" w:rsidRPr="00B81A28" w:rsidRDefault="00A54EC1" w:rsidP="000B2FD6">
            <w:pPr>
              <w:spacing w:before="40" w:after="40" w:line="280" w:lineRule="atLeast"/>
              <w:jc w:val="center"/>
              <w:rPr>
                <w:rFonts w:ascii="Verdana" w:hAnsi="Verdana"/>
                <w:sz w:val="16"/>
                <w:szCs w:val="16"/>
              </w:rPr>
            </w:pPr>
            <w:r>
              <w:rPr>
                <w:rFonts w:ascii="Verdana" w:hAnsi="Verdana"/>
                <w:sz w:val="16"/>
                <w:szCs w:val="16"/>
              </w:rPr>
              <w:t>29,26%</w:t>
            </w:r>
          </w:p>
        </w:tc>
        <w:tc>
          <w:tcPr>
            <w:tcW w:w="1134" w:type="dxa"/>
          </w:tcPr>
          <w:p w14:paraId="165AED20" w14:textId="586D128E" w:rsidR="006C22DE" w:rsidRDefault="00A54EC1" w:rsidP="000B2FD6">
            <w:pPr>
              <w:spacing w:before="40" w:after="40" w:line="280" w:lineRule="atLeast"/>
              <w:jc w:val="center"/>
              <w:rPr>
                <w:rFonts w:ascii="Verdana" w:hAnsi="Verdana"/>
                <w:sz w:val="16"/>
                <w:szCs w:val="16"/>
              </w:rPr>
            </w:pPr>
            <w:r>
              <w:rPr>
                <w:rFonts w:ascii="Verdana" w:hAnsi="Verdana"/>
                <w:sz w:val="16"/>
                <w:szCs w:val="16"/>
              </w:rPr>
              <w:t>18,81%</w:t>
            </w:r>
          </w:p>
        </w:tc>
        <w:tc>
          <w:tcPr>
            <w:tcW w:w="1134" w:type="dxa"/>
            <w:shd w:val="clear" w:color="auto" w:fill="auto"/>
          </w:tcPr>
          <w:p w14:paraId="3947A237"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0C26FDA9"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4EDE0287"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613CF7B"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47BADE09" w14:textId="77777777" w:rsidTr="000B2FD6">
        <w:tc>
          <w:tcPr>
            <w:tcW w:w="4536" w:type="dxa"/>
          </w:tcPr>
          <w:p w14:paraId="3268BA43" w14:textId="24435248" w:rsidR="00FF2797" w:rsidRDefault="00FF2797" w:rsidP="00FF2797">
            <w:pPr>
              <w:spacing w:before="40" w:after="40" w:line="280" w:lineRule="atLeast"/>
              <w:rPr>
                <w:rFonts w:ascii="Verdana" w:hAnsi="Verdana"/>
                <w:sz w:val="16"/>
                <w:szCs w:val="16"/>
              </w:rPr>
            </w:pPr>
            <w:r>
              <w:rPr>
                <w:rFonts w:ascii="Verdana" w:hAnsi="Verdana"/>
                <w:sz w:val="16"/>
                <w:szCs w:val="16"/>
              </w:rPr>
              <w:t>Absa NewFunds S&amp;P Namibian Bond</w:t>
            </w:r>
          </w:p>
        </w:tc>
        <w:tc>
          <w:tcPr>
            <w:tcW w:w="1134" w:type="dxa"/>
          </w:tcPr>
          <w:p w14:paraId="76BE713B" w14:textId="4B2E00D8"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0,62%</w:t>
            </w:r>
          </w:p>
        </w:tc>
        <w:tc>
          <w:tcPr>
            <w:tcW w:w="1276" w:type="dxa"/>
          </w:tcPr>
          <w:p w14:paraId="030ADCEC" w14:textId="428EEE7D"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15,04%</w:t>
            </w:r>
          </w:p>
        </w:tc>
        <w:tc>
          <w:tcPr>
            <w:tcW w:w="1134" w:type="dxa"/>
          </w:tcPr>
          <w:p w14:paraId="52CA0035" w14:textId="52BFB674"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5,22%</w:t>
            </w:r>
          </w:p>
        </w:tc>
        <w:tc>
          <w:tcPr>
            <w:tcW w:w="1134" w:type="dxa"/>
          </w:tcPr>
          <w:p w14:paraId="2A76CD1F" w14:textId="45B85FC2"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2AA7DCE7" w14:textId="4D3E79E1"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04D25E11" w14:textId="70D695DC"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56F64FB" w14:textId="7340130D"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D81AA80" w14:textId="7C27DCEB"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2276EEFB" w14:textId="205325AC"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21A240CA" w14:textId="77777777" w:rsidTr="000B2FD6">
        <w:tc>
          <w:tcPr>
            <w:tcW w:w="4536" w:type="dxa"/>
          </w:tcPr>
          <w:p w14:paraId="21F02572" w14:textId="77777777" w:rsidR="00FF2797" w:rsidRPr="00B81A28" w:rsidRDefault="00FF2797" w:rsidP="00FF2797">
            <w:pPr>
              <w:spacing w:before="40" w:after="40" w:line="280" w:lineRule="atLeast"/>
              <w:rPr>
                <w:rFonts w:ascii="Verdana" w:hAnsi="Verdana"/>
                <w:sz w:val="16"/>
                <w:szCs w:val="16"/>
              </w:rPr>
            </w:pPr>
            <w:r>
              <w:rPr>
                <w:rFonts w:ascii="Verdana" w:hAnsi="Verdana"/>
                <w:sz w:val="16"/>
                <w:szCs w:val="16"/>
              </w:rPr>
              <w:t>Ashburton World Government Bond</w:t>
            </w:r>
          </w:p>
        </w:tc>
        <w:tc>
          <w:tcPr>
            <w:tcW w:w="1134" w:type="dxa"/>
          </w:tcPr>
          <w:p w14:paraId="14D957A4" w14:textId="0DAE01FB"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(0,95%)</w:t>
            </w:r>
          </w:p>
        </w:tc>
        <w:tc>
          <w:tcPr>
            <w:tcW w:w="1276" w:type="dxa"/>
          </w:tcPr>
          <w:p w14:paraId="7103DE28" w14:textId="4FF6A6C8"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(2,04%)</w:t>
            </w:r>
          </w:p>
        </w:tc>
        <w:tc>
          <w:tcPr>
            <w:tcW w:w="1134" w:type="dxa"/>
          </w:tcPr>
          <w:p w14:paraId="3C6E8B7C" w14:textId="1C312864"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27,94%</w:t>
            </w:r>
          </w:p>
        </w:tc>
        <w:tc>
          <w:tcPr>
            <w:tcW w:w="1134" w:type="dxa"/>
          </w:tcPr>
          <w:p w14:paraId="77E9DDB3" w14:textId="76650C70"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27,97%</w:t>
            </w:r>
          </w:p>
        </w:tc>
        <w:tc>
          <w:tcPr>
            <w:tcW w:w="1134" w:type="dxa"/>
          </w:tcPr>
          <w:p w14:paraId="61EB0B12" w14:textId="1E142C3B"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16,83%</w:t>
            </w:r>
          </w:p>
        </w:tc>
        <w:tc>
          <w:tcPr>
            <w:tcW w:w="1134" w:type="dxa"/>
            <w:shd w:val="clear" w:color="auto" w:fill="auto"/>
          </w:tcPr>
          <w:p w14:paraId="111492E0"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D534CFA"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5FBCF619"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F3A10C5"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78C8EFFE" w14:textId="77777777" w:rsidTr="000B2FD6">
        <w:tc>
          <w:tcPr>
            <w:tcW w:w="4536" w:type="dxa"/>
          </w:tcPr>
          <w:p w14:paraId="689C5C86" w14:textId="77777777" w:rsidR="00FF2797" w:rsidRPr="00B81A28" w:rsidRDefault="00FF2797" w:rsidP="00FF2797">
            <w:pPr>
              <w:spacing w:before="40" w:after="40" w:line="280" w:lineRule="atLeast"/>
              <w:rPr>
                <w:rFonts w:ascii="Verdana" w:hAnsi="Verdana"/>
                <w:sz w:val="16"/>
                <w:szCs w:val="16"/>
              </w:rPr>
            </w:pPr>
            <w:r>
              <w:rPr>
                <w:rFonts w:ascii="Verdana" w:hAnsi="Verdana"/>
                <w:sz w:val="16"/>
                <w:szCs w:val="16"/>
              </w:rPr>
              <w:t>FirstRand</w:t>
            </w:r>
            <w:r w:rsidRPr="00B81A28">
              <w:rPr>
                <w:rFonts w:ascii="Verdana" w:hAnsi="Verdana"/>
                <w:sz w:val="16"/>
                <w:szCs w:val="16"/>
              </w:rPr>
              <w:t xml:space="preserve"> US Dollar Custodian Certificate </w:t>
            </w:r>
          </w:p>
        </w:tc>
        <w:tc>
          <w:tcPr>
            <w:tcW w:w="1134" w:type="dxa"/>
          </w:tcPr>
          <w:p w14:paraId="51966409" w14:textId="06721439"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(0,19%)</w:t>
            </w:r>
          </w:p>
        </w:tc>
        <w:tc>
          <w:tcPr>
            <w:tcW w:w="1276" w:type="dxa"/>
          </w:tcPr>
          <w:p w14:paraId="11888191" w14:textId="78D56A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(2,99%)</w:t>
            </w:r>
          </w:p>
        </w:tc>
        <w:tc>
          <w:tcPr>
            <w:tcW w:w="1134" w:type="dxa"/>
          </w:tcPr>
          <w:p w14:paraId="3CDF586A" w14:textId="5D348B7E"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34,85%</w:t>
            </w:r>
          </w:p>
        </w:tc>
        <w:tc>
          <w:tcPr>
            <w:tcW w:w="1134" w:type="dxa"/>
          </w:tcPr>
          <w:p w14:paraId="5F4FB1F3" w14:textId="6648EC0D"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36,29%</w:t>
            </w:r>
          </w:p>
        </w:tc>
        <w:tc>
          <w:tcPr>
            <w:tcW w:w="1134" w:type="dxa"/>
          </w:tcPr>
          <w:p w14:paraId="0F6A9025" w14:textId="6565623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23,27%</w:t>
            </w:r>
          </w:p>
        </w:tc>
        <w:tc>
          <w:tcPr>
            <w:tcW w:w="1134" w:type="dxa"/>
            <w:shd w:val="clear" w:color="auto" w:fill="auto"/>
          </w:tcPr>
          <w:p w14:paraId="06289F41" w14:textId="442CC776"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16,17%</w:t>
            </w:r>
          </w:p>
        </w:tc>
        <w:tc>
          <w:tcPr>
            <w:tcW w:w="1134" w:type="dxa"/>
            <w:shd w:val="clear" w:color="auto" w:fill="auto"/>
          </w:tcPr>
          <w:p w14:paraId="5F7242D9"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3D7B6E8D"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434CEA65"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r>
      <w:tr w:rsidR="00FF2797" w:rsidRPr="00B81A28" w14:paraId="0DAA8EDF" w14:textId="77777777" w:rsidTr="000B2FD6">
        <w:tc>
          <w:tcPr>
            <w:tcW w:w="14884" w:type="dxa"/>
            <w:gridSpan w:val="10"/>
            <w:shd w:val="clear" w:color="auto" w:fill="7583BD"/>
          </w:tcPr>
          <w:p w14:paraId="4FABD22B" w14:textId="77777777" w:rsidR="00FF2797" w:rsidRPr="0067766B" w:rsidRDefault="00FF2797" w:rsidP="00FF2797">
            <w:pPr>
              <w:spacing w:before="20" w:after="40" w:line="280" w:lineRule="atLeast"/>
              <w:rPr>
                <w:rFonts w:ascii="Verdana" w:hAnsi="Verdana"/>
                <w:b/>
                <w:color w:val="FFFFFF" w:themeColor="background1"/>
                <w:sz w:val="16"/>
                <w:szCs w:val="16"/>
              </w:rPr>
            </w:pPr>
            <w:r>
              <w:rPr>
                <w:rFonts w:ascii="Verdana" w:hAnsi="Verdana"/>
                <w:b/>
                <w:color w:val="FFFFFF" w:themeColor="background1"/>
                <w:sz w:val="16"/>
                <w:szCs w:val="16"/>
              </w:rPr>
              <w:t>Foreign Listed Property</w:t>
            </w:r>
          </w:p>
        </w:tc>
      </w:tr>
      <w:tr w:rsidR="00FF2797" w:rsidRPr="00B81A28" w14:paraId="08679AA9" w14:textId="77777777" w:rsidTr="000B2FD6">
        <w:tc>
          <w:tcPr>
            <w:tcW w:w="4536" w:type="dxa"/>
          </w:tcPr>
          <w:p w14:paraId="6337ACEB" w14:textId="77777777" w:rsidR="00FF2797" w:rsidRDefault="00FF2797" w:rsidP="00FF2797">
            <w:pPr>
              <w:spacing w:before="40" w:after="40" w:line="280" w:lineRule="atLeast"/>
              <w:rPr>
                <w:rFonts w:ascii="Verdana" w:hAnsi="Verdana"/>
                <w:sz w:val="16"/>
                <w:szCs w:val="16"/>
              </w:rPr>
            </w:pPr>
            <w:r>
              <w:rPr>
                <w:rFonts w:ascii="Verdana" w:hAnsi="Verdana"/>
                <w:sz w:val="16"/>
                <w:szCs w:val="16"/>
              </w:rPr>
              <w:t>1nvest Global REIT Index Feeder</w:t>
            </w:r>
          </w:p>
        </w:tc>
        <w:tc>
          <w:tcPr>
            <w:tcW w:w="1134" w:type="dxa"/>
          </w:tcPr>
          <w:p w14:paraId="69F19E24" w14:textId="3CBBB830" w:rsidR="00FF2797" w:rsidRPr="00B81A28" w:rsidRDefault="00A54EC1" w:rsidP="00FF2797">
            <w:pPr>
              <w:tabs>
                <w:tab w:val="left" w:pos="1050"/>
              </w:tabs>
              <w:spacing w:before="40" w:after="40" w:line="280" w:lineRule="atLeast"/>
              <w:jc w:val="center"/>
              <w:rPr>
                <w:rFonts w:ascii="Verdana" w:hAnsi="Verdana"/>
                <w:sz w:val="16"/>
                <w:szCs w:val="16"/>
              </w:rPr>
            </w:pPr>
            <w:r>
              <w:rPr>
                <w:rFonts w:ascii="Verdana" w:hAnsi="Verdana"/>
                <w:sz w:val="16"/>
                <w:szCs w:val="16"/>
              </w:rPr>
              <w:t>1,13%</w:t>
            </w:r>
          </w:p>
        </w:tc>
        <w:tc>
          <w:tcPr>
            <w:tcW w:w="1276" w:type="dxa"/>
          </w:tcPr>
          <w:p w14:paraId="754CC50F" w14:textId="497C0706" w:rsidR="00FF2797" w:rsidRPr="00B81A28" w:rsidRDefault="00A54EC1" w:rsidP="00FF2797">
            <w:pPr>
              <w:spacing w:before="40" w:after="40" w:line="280" w:lineRule="atLeast"/>
              <w:jc w:val="center"/>
              <w:rPr>
                <w:rFonts w:ascii="Verdana" w:hAnsi="Verdana"/>
                <w:sz w:val="16"/>
                <w:szCs w:val="16"/>
              </w:rPr>
            </w:pPr>
            <w:r>
              <w:rPr>
                <w:rFonts w:ascii="Verdana" w:hAnsi="Verdana"/>
                <w:sz w:val="16"/>
                <w:szCs w:val="16"/>
              </w:rPr>
              <w:t>5,37%</w:t>
            </w:r>
          </w:p>
        </w:tc>
        <w:tc>
          <w:tcPr>
            <w:tcW w:w="1134" w:type="dxa"/>
          </w:tcPr>
          <w:p w14:paraId="1D30C591" w14:textId="6D0A1CBC" w:rsidR="00FF2797" w:rsidRPr="00B81A28" w:rsidRDefault="00A54EC1" w:rsidP="00FF2797">
            <w:pPr>
              <w:spacing w:before="40" w:after="40" w:line="280" w:lineRule="atLeast"/>
              <w:jc w:val="center"/>
              <w:rPr>
                <w:rFonts w:ascii="Verdana" w:hAnsi="Verdana"/>
                <w:sz w:val="16"/>
                <w:szCs w:val="16"/>
              </w:rPr>
            </w:pPr>
            <w:r>
              <w:rPr>
                <w:rFonts w:ascii="Verdana" w:hAnsi="Verdana"/>
                <w:sz w:val="16"/>
                <w:szCs w:val="16"/>
              </w:rPr>
              <w:t>(4,71%)</w:t>
            </w:r>
          </w:p>
        </w:tc>
        <w:tc>
          <w:tcPr>
            <w:tcW w:w="1134" w:type="dxa"/>
          </w:tcPr>
          <w:p w14:paraId="7317FB8D" w14:textId="423345FC" w:rsidR="00FF2797" w:rsidRPr="00B81A28" w:rsidRDefault="00A54EC1" w:rsidP="00FF2797">
            <w:pPr>
              <w:spacing w:before="40" w:after="40" w:line="280" w:lineRule="atLeast"/>
              <w:jc w:val="center"/>
              <w:rPr>
                <w:rFonts w:ascii="Verdana" w:hAnsi="Verdana"/>
                <w:sz w:val="16"/>
                <w:szCs w:val="16"/>
              </w:rPr>
            </w:pPr>
            <w:r>
              <w:rPr>
                <w:rFonts w:ascii="Verdana" w:hAnsi="Verdana"/>
                <w:sz w:val="16"/>
                <w:szCs w:val="16"/>
              </w:rPr>
              <w:t>0,53%</w:t>
            </w:r>
          </w:p>
        </w:tc>
        <w:tc>
          <w:tcPr>
            <w:tcW w:w="1134" w:type="dxa"/>
          </w:tcPr>
          <w:p w14:paraId="7A1A530B" w14:textId="3C909377" w:rsidR="00FF2797" w:rsidRDefault="00A54EC1" w:rsidP="00FF2797">
            <w:pPr>
              <w:spacing w:before="40" w:after="40" w:line="280" w:lineRule="atLeast"/>
              <w:jc w:val="center"/>
              <w:rPr>
                <w:rFonts w:ascii="Verdana" w:hAnsi="Verdana"/>
                <w:sz w:val="16"/>
                <w:szCs w:val="16"/>
              </w:rPr>
            </w:pPr>
            <w:r>
              <w:rPr>
                <w:rFonts w:ascii="Verdana" w:hAnsi="Verdana"/>
                <w:sz w:val="16"/>
                <w:szCs w:val="16"/>
              </w:rPr>
              <w:t>5,62%</w:t>
            </w:r>
          </w:p>
        </w:tc>
        <w:tc>
          <w:tcPr>
            <w:tcW w:w="1134" w:type="dxa"/>
            <w:shd w:val="clear" w:color="auto" w:fill="auto"/>
          </w:tcPr>
          <w:p w14:paraId="5EF0D2E4"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7D76572"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D5BA079"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F284EE6"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512E0E21" w14:textId="77777777" w:rsidTr="000B2FD6">
        <w:tc>
          <w:tcPr>
            <w:tcW w:w="4536" w:type="dxa"/>
          </w:tcPr>
          <w:p w14:paraId="09A4F55A" w14:textId="77777777" w:rsidR="00FF2797" w:rsidRPr="00B81A28" w:rsidRDefault="00FF2797" w:rsidP="00FF2797">
            <w:pPr>
              <w:spacing w:before="40" w:after="40" w:line="280" w:lineRule="atLeast"/>
              <w:rPr>
                <w:rFonts w:ascii="Verdana" w:hAnsi="Verdana"/>
                <w:sz w:val="16"/>
                <w:szCs w:val="16"/>
              </w:rPr>
            </w:pPr>
            <w:r>
              <w:rPr>
                <w:rFonts w:ascii="Verdana" w:hAnsi="Verdana"/>
                <w:sz w:val="16"/>
                <w:szCs w:val="16"/>
              </w:rPr>
              <w:t>Cloud Atlas Africa Real Estate ex-SA</w:t>
            </w:r>
          </w:p>
        </w:tc>
        <w:tc>
          <w:tcPr>
            <w:tcW w:w="1134" w:type="dxa"/>
          </w:tcPr>
          <w:p w14:paraId="18653AC4" w14:textId="3B637CED"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(2,25%)</w:t>
            </w:r>
          </w:p>
        </w:tc>
        <w:tc>
          <w:tcPr>
            <w:tcW w:w="1276" w:type="dxa"/>
          </w:tcPr>
          <w:p w14:paraId="7E8C2619" w14:textId="6833668A"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(15,63%)</w:t>
            </w:r>
          </w:p>
        </w:tc>
        <w:tc>
          <w:tcPr>
            <w:tcW w:w="1134" w:type="dxa"/>
          </w:tcPr>
          <w:p w14:paraId="619E966D" w14:textId="14EE1B83"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(13,41%)</w:t>
            </w:r>
          </w:p>
        </w:tc>
        <w:tc>
          <w:tcPr>
            <w:tcW w:w="1134" w:type="dxa"/>
          </w:tcPr>
          <w:p w14:paraId="1BFDAB7E" w14:textId="444DB310"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(31,51%)</w:t>
            </w:r>
          </w:p>
        </w:tc>
        <w:tc>
          <w:tcPr>
            <w:tcW w:w="1134" w:type="dxa"/>
          </w:tcPr>
          <w:p w14:paraId="6DA8B6B8" w14:textId="7840FE1D"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(23,18)</w:t>
            </w:r>
          </w:p>
        </w:tc>
        <w:tc>
          <w:tcPr>
            <w:tcW w:w="1134" w:type="dxa"/>
            <w:shd w:val="clear" w:color="auto" w:fill="auto"/>
          </w:tcPr>
          <w:p w14:paraId="7C76A8A7"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6F30F997"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44E3F77D"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89A43F5"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5C93EC9C" w14:textId="77777777" w:rsidTr="000B2FD6">
        <w:tc>
          <w:tcPr>
            <w:tcW w:w="4536" w:type="dxa"/>
          </w:tcPr>
          <w:p w14:paraId="6EE0F934" w14:textId="77777777" w:rsidR="00FF2797" w:rsidRPr="00B81A28" w:rsidRDefault="00FF2797" w:rsidP="00FF2797">
            <w:pPr>
              <w:spacing w:before="40" w:after="40" w:line="280" w:lineRule="atLeast"/>
              <w:rPr>
                <w:rFonts w:ascii="Verdana" w:hAnsi="Verdana"/>
                <w:sz w:val="16"/>
                <w:szCs w:val="16"/>
              </w:rPr>
            </w:pPr>
            <w:r w:rsidRPr="00B81A28">
              <w:rPr>
                <w:rFonts w:ascii="Verdana" w:hAnsi="Verdana"/>
                <w:sz w:val="16"/>
                <w:szCs w:val="16"/>
              </w:rPr>
              <w:t xml:space="preserve">CoreShares S&amp;P Global Property </w:t>
            </w:r>
          </w:p>
        </w:tc>
        <w:tc>
          <w:tcPr>
            <w:tcW w:w="1134" w:type="dxa"/>
          </w:tcPr>
          <w:p w14:paraId="47C52B56" w14:textId="1E423426"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0,00%</w:t>
            </w:r>
          </w:p>
        </w:tc>
        <w:tc>
          <w:tcPr>
            <w:tcW w:w="1276" w:type="dxa"/>
          </w:tcPr>
          <w:p w14:paraId="721C6E5C" w14:textId="616789D6"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3,69%</w:t>
            </w:r>
          </w:p>
        </w:tc>
        <w:tc>
          <w:tcPr>
            <w:tcW w:w="1134" w:type="dxa"/>
          </w:tcPr>
          <w:p w14:paraId="47C2C3BF" w14:textId="5F234880"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2,74%</w:t>
            </w:r>
          </w:p>
        </w:tc>
        <w:tc>
          <w:tcPr>
            <w:tcW w:w="1134" w:type="dxa"/>
          </w:tcPr>
          <w:p w14:paraId="15DC47D6" w14:textId="362C2570"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5,59%</w:t>
            </w:r>
          </w:p>
        </w:tc>
        <w:tc>
          <w:tcPr>
            <w:tcW w:w="1134" w:type="dxa"/>
          </w:tcPr>
          <w:p w14:paraId="3EBCA13A" w14:textId="5F6762D0"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8,22%</w:t>
            </w:r>
          </w:p>
        </w:tc>
        <w:tc>
          <w:tcPr>
            <w:tcW w:w="1134" w:type="dxa"/>
            <w:shd w:val="clear" w:color="auto" w:fill="auto"/>
          </w:tcPr>
          <w:p w14:paraId="658208A8" w14:textId="65FE1365"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7,32%</w:t>
            </w:r>
          </w:p>
        </w:tc>
        <w:tc>
          <w:tcPr>
            <w:tcW w:w="1134" w:type="dxa"/>
            <w:shd w:val="clear" w:color="auto" w:fill="auto"/>
          </w:tcPr>
          <w:p w14:paraId="48930606"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4B5AEAB9"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79EB8D2D"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r>
      <w:tr w:rsidR="00FF2797" w:rsidRPr="00B81A28" w14:paraId="0360F4D2" w14:textId="77777777" w:rsidTr="000B2FD6">
        <w:tc>
          <w:tcPr>
            <w:tcW w:w="4536" w:type="dxa"/>
          </w:tcPr>
          <w:p w14:paraId="31E900DA" w14:textId="77777777" w:rsidR="00FF2797" w:rsidRPr="00B81A28" w:rsidRDefault="00FF2797" w:rsidP="00FF2797">
            <w:pPr>
              <w:spacing w:before="40" w:after="40" w:line="280" w:lineRule="atLeast"/>
              <w:rPr>
                <w:rFonts w:ascii="Verdana" w:hAnsi="Verdana"/>
                <w:sz w:val="16"/>
                <w:szCs w:val="16"/>
              </w:rPr>
            </w:pPr>
            <w:r>
              <w:rPr>
                <w:rFonts w:ascii="Verdana" w:hAnsi="Verdana"/>
                <w:sz w:val="16"/>
                <w:szCs w:val="16"/>
              </w:rPr>
              <w:t>Sygnia Itrix</w:t>
            </w:r>
            <w:r w:rsidRPr="00B81A28">
              <w:rPr>
                <w:rFonts w:ascii="Verdana" w:hAnsi="Verdana"/>
                <w:sz w:val="16"/>
                <w:szCs w:val="16"/>
              </w:rPr>
              <w:t xml:space="preserve"> Global Property</w:t>
            </w:r>
          </w:p>
        </w:tc>
        <w:tc>
          <w:tcPr>
            <w:tcW w:w="1134" w:type="dxa"/>
          </w:tcPr>
          <w:p w14:paraId="52D27F6A" w14:textId="4A730B4C"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0,23%</w:t>
            </w:r>
          </w:p>
        </w:tc>
        <w:tc>
          <w:tcPr>
            <w:tcW w:w="1276" w:type="dxa"/>
          </w:tcPr>
          <w:p w14:paraId="706EE5A3" w14:textId="5A788CDC"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3,72%</w:t>
            </w:r>
          </w:p>
        </w:tc>
        <w:tc>
          <w:tcPr>
            <w:tcW w:w="1134" w:type="dxa"/>
          </w:tcPr>
          <w:p w14:paraId="696CA023" w14:textId="7A6911CF"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3,90%</w:t>
            </w:r>
          </w:p>
        </w:tc>
        <w:tc>
          <w:tcPr>
            <w:tcW w:w="1134" w:type="dxa"/>
          </w:tcPr>
          <w:p w14:paraId="07485DB9" w14:textId="6C9117C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6,35%</w:t>
            </w:r>
          </w:p>
        </w:tc>
        <w:tc>
          <w:tcPr>
            <w:tcW w:w="1134" w:type="dxa"/>
          </w:tcPr>
          <w:p w14:paraId="7E40311C" w14:textId="14067E33"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8,42%</w:t>
            </w:r>
          </w:p>
        </w:tc>
        <w:tc>
          <w:tcPr>
            <w:tcW w:w="1134" w:type="dxa"/>
            <w:shd w:val="clear" w:color="auto" w:fill="auto"/>
          </w:tcPr>
          <w:p w14:paraId="7FA8F422"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shd w:val="clear" w:color="auto" w:fill="auto"/>
          </w:tcPr>
          <w:p w14:paraId="0FAAAB06"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216FC399"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57AF83D2" w14:textId="77777777" w:rsidR="00FF2797" w:rsidRPr="00B81A28" w:rsidRDefault="00FF2797" w:rsidP="00FF2797">
            <w:pPr>
              <w:spacing w:before="40" w:after="40" w:line="280" w:lineRule="atLeast"/>
              <w:jc w:val="center"/>
              <w:rPr>
                <w:rFonts w:ascii="Verdana" w:hAnsi="Verdana"/>
                <w:sz w:val="16"/>
                <w:szCs w:val="16"/>
              </w:rPr>
            </w:pPr>
            <w:r w:rsidRPr="00B81A28">
              <w:rPr>
                <w:rFonts w:ascii="Verdana" w:hAnsi="Verdana"/>
                <w:sz w:val="16"/>
                <w:szCs w:val="16"/>
              </w:rPr>
              <w:t>-</w:t>
            </w:r>
          </w:p>
        </w:tc>
      </w:tr>
      <w:tr w:rsidR="00FF2797" w:rsidRPr="00B81A28" w14:paraId="50907BBA" w14:textId="77777777" w:rsidTr="000B2FD6">
        <w:tc>
          <w:tcPr>
            <w:tcW w:w="14884" w:type="dxa"/>
            <w:gridSpan w:val="10"/>
            <w:shd w:val="clear" w:color="auto" w:fill="7583BD"/>
          </w:tcPr>
          <w:p w14:paraId="399CD47C" w14:textId="77777777" w:rsidR="00FF2797" w:rsidRPr="0067766B" w:rsidRDefault="00FF2797" w:rsidP="00FF2797">
            <w:pPr>
              <w:spacing w:before="20" w:after="40" w:line="280" w:lineRule="atLeast"/>
              <w:rPr>
                <w:rFonts w:ascii="Verdana" w:hAnsi="Verdana"/>
                <w:b/>
                <w:color w:val="FFFFFF" w:themeColor="background1"/>
                <w:sz w:val="16"/>
                <w:szCs w:val="16"/>
              </w:rPr>
            </w:pPr>
            <w:r>
              <w:rPr>
                <w:rFonts w:ascii="Verdana" w:hAnsi="Verdana"/>
                <w:b/>
                <w:color w:val="FFFFFF" w:themeColor="background1"/>
                <w:sz w:val="16"/>
                <w:szCs w:val="16"/>
              </w:rPr>
              <w:t>Foreign Style / Smart Beta</w:t>
            </w:r>
          </w:p>
        </w:tc>
      </w:tr>
      <w:tr w:rsidR="00FF2797" w:rsidRPr="00B81A28" w14:paraId="65F17C7C" w14:textId="77777777" w:rsidTr="000B2FD6">
        <w:tc>
          <w:tcPr>
            <w:tcW w:w="4536" w:type="dxa"/>
          </w:tcPr>
          <w:p w14:paraId="51E770E0" w14:textId="77777777" w:rsidR="00FF2797" w:rsidRDefault="00FF2797" w:rsidP="00FF2797">
            <w:pPr>
              <w:spacing w:before="40" w:after="40" w:line="280" w:lineRule="atLeast"/>
              <w:rPr>
                <w:rFonts w:ascii="Verdana" w:hAnsi="Verdana"/>
                <w:sz w:val="16"/>
                <w:szCs w:val="16"/>
              </w:rPr>
            </w:pPr>
            <w:r>
              <w:rPr>
                <w:rFonts w:ascii="Verdana" w:hAnsi="Verdana"/>
                <w:sz w:val="16"/>
                <w:szCs w:val="16"/>
              </w:rPr>
              <w:t>1nvest S&amp;P 500 Info Tech Index Feeder</w:t>
            </w:r>
          </w:p>
        </w:tc>
        <w:tc>
          <w:tcPr>
            <w:tcW w:w="1134" w:type="dxa"/>
          </w:tcPr>
          <w:p w14:paraId="36E22734" w14:textId="4C6BD6B0" w:rsidR="00FF2797" w:rsidRPr="00B81A28" w:rsidRDefault="00A54EC1" w:rsidP="00FF2797">
            <w:pPr>
              <w:tabs>
                <w:tab w:val="left" w:pos="1050"/>
              </w:tabs>
              <w:spacing w:before="40" w:after="40" w:line="280" w:lineRule="atLeast"/>
              <w:jc w:val="center"/>
              <w:rPr>
                <w:rFonts w:ascii="Verdana" w:hAnsi="Verdana"/>
                <w:sz w:val="16"/>
                <w:szCs w:val="16"/>
              </w:rPr>
            </w:pPr>
            <w:r>
              <w:rPr>
                <w:rFonts w:ascii="Verdana" w:hAnsi="Verdana"/>
                <w:sz w:val="16"/>
                <w:szCs w:val="16"/>
              </w:rPr>
              <w:t>6,28%</w:t>
            </w:r>
          </w:p>
        </w:tc>
        <w:tc>
          <w:tcPr>
            <w:tcW w:w="1276" w:type="dxa"/>
          </w:tcPr>
          <w:p w14:paraId="1D06C9F6" w14:textId="01BD8D90" w:rsidR="00FF2797" w:rsidRPr="00B81A28" w:rsidRDefault="00A54EC1" w:rsidP="00FF2797">
            <w:pPr>
              <w:spacing w:before="40" w:after="40" w:line="280" w:lineRule="atLeast"/>
              <w:jc w:val="center"/>
              <w:rPr>
                <w:rFonts w:ascii="Verdana" w:hAnsi="Verdana"/>
                <w:sz w:val="16"/>
                <w:szCs w:val="16"/>
              </w:rPr>
            </w:pPr>
            <w:r>
              <w:rPr>
                <w:rFonts w:ascii="Verdana" w:hAnsi="Verdana"/>
                <w:sz w:val="16"/>
                <w:szCs w:val="16"/>
              </w:rPr>
              <w:t>22,97%</w:t>
            </w:r>
          </w:p>
        </w:tc>
        <w:tc>
          <w:tcPr>
            <w:tcW w:w="1134" w:type="dxa"/>
          </w:tcPr>
          <w:p w14:paraId="287EB491" w14:textId="55018839" w:rsidR="00FF2797" w:rsidRPr="00B81A28" w:rsidRDefault="00A54EC1" w:rsidP="00FF2797">
            <w:pPr>
              <w:spacing w:before="40" w:after="40" w:line="280" w:lineRule="atLeast"/>
              <w:jc w:val="center"/>
              <w:rPr>
                <w:rFonts w:ascii="Verdana" w:hAnsi="Verdana"/>
                <w:sz w:val="16"/>
                <w:szCs w:val="16"/>
              </w:rPr>
            </w:pPr>
            <w:r>
              <w:rPr>
                <w:rFonts w:ascii="Verdana" w:hAnsi="Verdana"/>
                <w:sz w:val="16"/>
                <w:szCs w:val="16"/>
              </w:rPr>
              <w:t>40,53%</w:t>
            </w:r>
          </w:p>
        </w:tc>
        <w:tc>
          <w:tcPr>
            <w:tcW w:w="1134" w:type="dxa"/>
          </w:tcPr>
          <w:p w14:paraId="1FE1DC1F" w14:textId="6195DB5C" w:rsidR="00FF2797" w:rsidRPr="00B81A28" w:rsidRDefault="00A54EC1" w:rsidP="00FF2797">
            <w:pPr>
              <w:spacing w:before="40" w:after="40" w:line="280" w:lineRule="atLeast"/>
              <w:jc w:val="center"/>
              <w:rPr>
                <w:rFonts w:ascii="Verdana" w:hAnsi="Verdana"/>
                <w:sz w:val="16"/>
                <w:szCs w:val="16"/>
              </w:rPr>
            </w:pPr>
            <w:r>
              <w:rPr>
                <w:rFonts w:ascii="Verdana" w:hAnsi="Verdana"/>
                <w:sz w:val="16"/>
                <w:szCs w:val="16"/>
              </w:rPr>
              <w:t>65,23%</w:t>
            </w:r>
          </w:p>
        </w:tc>
        <w:tc>
          <w:tcPr>
            <w:tcW w:w="1134" w:type="dxa"/>
          </w:tcPr>
          <w:p w14:paraId="36C642A4" w14:textId="0B620A07" w:rsidR="00FF2797" w:rsidRDefault="00A54EC1" w:rsidP="00FF2797">
            <w:pPr>
              <w:spacing w:before="40" w:after="40" w:line="280" w:lineRule="atLeast"/>
              <w:jc w:val="center"/>
              <w:rPr>
                <w:rFonts w:ascii="Verdana" w:hAnsi="Verdana"/>
                <w:sz w:val="16"/>
                <w:szCs w:val="16"/>
              </w:rPr>
            </w:pPr>
            <w:r>
              <w:rPr>
                <w:rFonts w:ascii="Verdana" w:hAnsi="Verdana"/>
                <w:sz w:val="16"/>
                <w:szCs w:val="16"/>
              </w:rPr>
              <w:t>38,38%</w:t>
            </w:r>
          </w:p>
        </w:tc>
        <w:tc>
          <w:tcPr>
            <w:tcW w:w="1134" w:type="dxa"/>
            <w:shd w:val="clear" w:color="auto" w:fill="auto"/>
          </w:tcPr>
          <w:p w14:paraId="6EF75BF3"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228F7955"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52E75B0"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265C98A" w14:textId="77777777" w:rsidR="00FF2797"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6030CF42" w14:textId="77777777" w:rsidTr="000B2FD6">
        <w:tc>
          <w:tcPr>
            <w:tcW w:w="4536" w:type="dxa"/>
          </w:tcPr>
          <w:p w14:paraId="7C419A94" w14:textId="77777777" w:rsidR="00FF2797" w:rsidRPr="00B81A28" w:rsidRDefault="00FF2797" w:rsidP="00FF2797">
            <w:pPr>
              <w:spacing w:before="40" w:after="40" w:line="280" w:lineRule="atLeast"/>
              <w:rPr>
                <w:rFonts w:ascii="Verdana" w:hAnsi="Verdana"/>
                <w:sz w:val="16"/>
                <w:szCs w:val="16"/>
              </w:rPr>
            </w:pPr>
            <w:r>
              <w:rPr>
                <w:rFonts w:ascii="Verdana" w:hAnsi="Verdana"/>
                <w:sz w:val="16"/>
                <w:szCs w:val="16"/>
              </w:rPr>
              <w:t xml:space="preserve">CoreShares S&amp;P Global Dividend Aristocrat </w:t>
            </w:r>
          </w:p>
        </w:tc>
        <w:tc>
          <w:tcPr>
            <w:tcW w:w="1134" w:type="dxa"/>
          </w:tcPr>
          <w:p w14:paraId="7BD4116E" w14:textId="24C7917D"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0,57%</w:t>
            </w:r>
          </w:p>
        </w:tc>
        <w:tc>
          <w:tcPr>
            <w:tcW w:w="1276" w:type="dxa"/>
          </w:tcPr>
          <w:p w14:paraId="11AD97EF" w14:textId="17252614"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11,18%</w:t>
            </w:r>
          </w:p>
        </w:tc>
        <w:tc>
          <w:tcPr>
            <w:tcW w:w="1134" w:type="dxa"/>
          </w:tcPr>
          <w:p w14:paraId="4BAA5FC0" w14:textId="0732938D"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7,91%</w:t>
            </w:r>
          </w:p>
        </w:tc>
        <w:tc>
          <w:tcPr>
            <w:tcW w:w="1134" w:type="dxa"/>
          </w:tcPr>
          <w:p w14:paraId="62281DDE" w14:textId="3A534A3C"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13,69%</w:t>
            </w:r>
          </w:p>
        </w:tc>
        <w:tc>
          <w:tcPr>
            <w:tcW w:w="1134" w:type="dxa"/>
          </w:tcPr>
          <w:p w14:paraId="380EB4AD" w14:textId="2853BA9D"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13,97%</w:t>
            </w:r>
          </w:p>
        </w:tc>
        <w:tc>
          <w:tcPr>
            <w:tcW w:w="1134" w:type="dxa"/>
            <w:shd w:val="clear" w:color="auto" w:fill="auto"/>
          </w:tcPr>
          <w:p w14:paraId="27362153"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62A923C6"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0DCE4CBB"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E6267B1"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B81A28" w14:paraId="038BD402" w14:textId="77777777" w:rsidTr="000B2FD6">
        <w:tc>
          <w:tcPr>
            <w:tcW w:w="4536" w:type="dxa"/>
          </w:tcPr>
          <w:p w14:paraId="4B8C0EA3" w14:textId="77777777" w:rsidR="00FF2797" w:rsidRPr="00B81A28" w:rsidRDefault="00FF2797" w:rsidP="00FF2797">
            <w:pPr>
              <w:spacing w:before="40" w:after="40" w:line="280" w:lineRule="atLeast"/>
              <w:rPr>
                <w:rFonts w:ascii="Verdana" w:hAnsi="Verdana"/>
                <w:sz w:val="16"/>
                <w:szCs w:val="16"/>
              </w:rPr>
            </w:pPr>
            <w:r>
              <w:rPr>
                <w:rFonts w:ascii="Verdana" w:hAnsi="Verdana"/>
                <w:sz w:val="16"/>
                <w:szCs w:val="16"/>
              </w:rPr>
              <w:t>Sygnia Itrix 4</w:t>
            </w:r>
            <w:r w:rsidRPr="0067766B">
              <w:rPr>
                <w:rFonts w:ascii="Verdana" w:hAnsi="Verdana"/>
                <w:sz w:val="16"/>
                <w:szCs w:val="16"/>
                <w:vertAlign w:val="superscript"/>
              </w:rPr>
              <w:t>th</w:t>
            </w:r>
            <w:r>
              <w:rPr>
                <w:rFonts w:ascii="Verdana" w:hAnsi="Verdana"/>
                <w:sz w:val="16"/>
                <w:szCs w:val="16"/>
              </w:rPr>
              <w:t xml:space="preserve"> Industrial Revolution</w:t>
            </w:r>
          </w:p>
        </w:tc>
        <w:tc>
          <w:tcPr>
            <w:tcW w:w="1134" w:type="dxa"/>
          </w:tcPr>
          <w:p w14:paraId="571A6020" w14:textId="7E0B626D" w:rsidR="00FF2797" w:rsidRPr="00B81A28"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4,99%</w:t>
            </w:r>
          </w:p>
        </w:tc>
        <w:tc>
          <w:tcPr>
            <w:tcW w:w="1276" w:type="dxa"/>
          </w:tcPr>
          <w:p w14:paraId="29E68E75" w14:textId="26C2AFF6"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26,14%</w:t>
            </w:r>
          </w:p>
        </w:tc>
        <w:tc>
          <w:tcPr>
            <w:tcW w:w="1134" w:type="dxa"/>
          </w:tcPr>
          <w:p w14:paraId="0CF3E863" w14:textId="7BDB5A68"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27,92%</w:t>
            </w:r>
          </w:p>
        </w:tc>
        <w:tc>
          <w:tcPr>
            <w:tcW w:w="1134" w:type="dxa"/>
          </w:tcPr>
          <w:p w14:paraId="0426D531" w14:textId="7D54C131"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38,36%</w:t>
            </w:r>
          </w:p>
        </w:tc>
        <w:tc>
          <w:tcPr>
            <w:tcW w:w="1134" w:type="dxa"/>
          </w:tcPr>
          <w:p w14:paraId="60CD6741" w14:textId="03393D3D"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23,32%</w:t>
            </w:r>
          </w:p>
        </w:tc>
        <w:tc>
          <w:tcPr>
            <w:tcW w:w="1134" w:type="dxa"/>
            <w:shd w:val="clear" w:color="auto" w:fill="auto"/>
          </w:tcPr>
          <w:p w14:paraId="42FF1A21"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4F9A44F2"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C53D366"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6E1E7F0" w14:textId="77777777" w:rsidR="00FF2797" w:rsidRPr="00B81A28" w:rsidRDefault="00FF2797" w:rsidP="00FF2797">
            <w:pPr>
              <w:spacing w:before="40" w:after="40" w:line="280" w:lineRule="atLeast"/>
              <w:jc w:val="center"/>
              <w:rPr>
                <w:rFonts w:ascii="Verdana" w:hAnsi="Verdana"/>
                <w:sz w:val="16"/>
                <w:szCs w:val="16"/>
              </w:rPr>
            </w:pPr>
            <w:r>
              <w:rPr>
                <w:rFonts w:ascii="Verdana" w:hAnsi="Verdana"/>
                <w:sz w:val="16"/>
                <w:szCs w:val="16"/>
              </w:rPr>
              <w:t>-</w:t>
            </w:r>
          </w:p>
        </w:tc>
      </w:tr>
      <w:tr w:rsidR="00FF2797" w:rsidRPr="00F17816" w14:paraId="0C99B663" w14:textId="77777777" w:rsidTr="000B2FD6">
        <w:tc>
          <w:tcPr>
            <w:tcW w:w="14884" w:type="dxa"/>
            <w:gridSpan w:val="10"/>
            <w:shd w:val="clear" w:color="auto" w:fill="4C4C4C"/>
          </w:tcPr>
          <w:p w14:paraId="265100D5" w14:textId="77777777" w:rsidR="00FF2797" w:rsidRPr="00F17816" w:rsidRDefault="00FF2797" w:rsidP="00FF2797">
            <w:pPr>
              <w:spacing w:before="20" w:after="40" w:line="280" w:lineRule="atLeast"/>
              <w:rPr>
                <w:rFonts w:ascii="Verdana" w:hAnsi="Verdana"/>
                <w:b/>
                <w:color w:val="FFFFFF" w:themeColor="background1"/>
                <w:sz w:val="16"/>
                <w:szCs w:val="16"/>
              </w:rPr>
            </w:pPr>
            <w:r>
              <w:rPr>
                <w:rFonts w:ascii="Verdana" w:hAnsi="Verdana"/>
                <w:b/>
                <w:color w:val="FFFFFF" w:themeColor="background1"/>
                <w:sz w:val="16"/>
                <w:szCs w:val="16"/>
              </w:rPr>
              <w:t>ACTIVELY MANAGED ETNS</w:t>
            </w:r>
          </w:p>
        </w:tc>
      </w:tr>
      <w:tr w:rsidR="00FF2797" w:rsidRPr="00D07A44" w14:paraId="54F27D6C" w14:textId="77777777" w:rsidTr="000B2FD6">
        <w:tc>
          <w:tcPr>
            <w:tcW w:w="4536" w:type="dxa"/>
            <w:vAlign w:val="center"/>
          </w:tcPr>
          <w:p w14:paraId="7FF6A09E" w14:textId="77777777" w:rsidR="00FF2797" w:rsidRPr="00D07A44" w:rsidRDefault="00FF2797" w:rsidP="00FF2797">
            <w:pPr>
              <w:spacing w:before="40" w:after="40" w:line="280" w:lineRule="atLeast"/>
              <w:rPr>
                <w:rFonts w:ascii="Verdana" w:hAnsi="Verdana"/>
                <w:caps/>
                <w:sz w:val="16"/>
                <w:szCs w:val="16"/>
              </w:rPr>
            </w:pPr>
            <w:r w:rsidRPr="00D07A44">
              <w:rPr>
                <w:rFonts w:ascii="Verdana" w:hAnsi="Verdana" w:cs="Arial"/>
                <w:sz w:val="16"/>
                <w:szCs w:val="16"/>
              </w:rPr>
              <w:t>UEFPC</w:t>
            </w:r>
            <w:r>
              <w:rPr>
                <w:rFonts w:ascii="Verdana" w:hAnsi="Verdana" w:cs="Arial"/>
                <w:sz w:val="16"/>
                <w:szCs w:val="16"/>
              </w:rPr>
              <w:t>B</w:t>
            </w:r>
            <w:r w:rsidRPr="00D07A44">
              <w:rPr>
                <w:rFonts w:ascii="Verdana" w:hAnsi="Verdana" w:cs="Arial"/>
                <w:sz w:val="16"/>
                <w:szCs w:val="16"/>
              </w:rPr>
              <w:t xml:space="preserve"> UBS </w:t>
            </w:r>
          </w:p>
        </w:tc>
        <w:tc>
          <w:tcPr>
            <w:tcW w:w="1134" w:type="dxa"/>
          </w:tcPr>
          <w:p w14:paraId="337CD77E" w14:textId="66ED69F7" w:rsidR="00FF2797" w:rsidRPr="00D07A44"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3,39%</w:t>
            </w:r>
          </w:p>
        </w:tc>
        <w:tc>
          <w:tcPr>
            <w:tcW w:w="1276" w:type="dxa"/>
          </w:tcPr>
          <w:p w14:paraId="5763CD9F" w14:textId="38C3B10C"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21,00%</w:t>
            </w:r>
          </w:p>
        </w:tc>
        <w:tc>
          <w:tcPr>
            <w:tcW w:w="1134" w:type="dxa"/>
          </w:tcPr>
          <w:p w14:paraId="2AD4263A" w14:textId="22B6C912"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(16,69%)</w:t>
            </w:r>
          </w:p>
        </w:tc>
        <w:tc>
          <w:tcPr>
            <w:tcW w:w="1134" w:type="dxa"/>
          </w:tcPr>
          <w:p w14:paraId="27CB5444" w14:textId="77777777"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E6C7C56"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62EABB98"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622B9394"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3CC97B0B"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18822C84"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r>
      <w:tr w:rsidR="00FF2797" w:rsidRPr="00D07A44" w14:paraId="1A02AF6F" w14:textId="77777777" w:rsidTr="000B2FD6">
        <w:tc>
          <w:tcPr>
            <w:tcW w:w="4536" w:type="dxa"/>
            <w:vAlign w:val="center"/>
          </w:tcPr>
          <w:p w14:paraId="75C27E49" w14:textId="77777777" w:rsidR="00FF2797" w:rsidRPr="00D07A44" w:rsidRDefault="00FF2797" w:rsidP="00FF2797">
            <w:pPr>
              <w:spacing w:before="40" w:after="40" w:line="280" w:lineRule="atLeast"/>
              <w:rPr>
                <w:rFonts w:ascii="Verdana" w:hAnsi="Verdana"/>
                <w:caps/>
                <w:sz w:val="16"/>
                <w:szCs w:val="16"/>
              </w:rPr>
            </w:pPr>
            <w:r w:rsidRPr="00D07A44">
              <w:rPr>
                <w:rFonts w:ascii="Verdana" w:hAnsi="Verdana" w:cs="Arial"/>
                <w:sz w:val="16"/>
                <w:szCs w:val="16"/>
              </w:rPr>
              <w:t xml:space="preserve">UABCPA UBS </w:t>
            </w:r>
          </w:p>
        </w:tc>
        <w:tc>
          <w:tcPr>
            <w:tcW w:w="1134" w:type="dxa"/>
          </w:tcPr>
          <w:p w14:paraId="41739F7F" w14:textId="037276E5" w:rsidR="00FF2797" w:rsidRPr="00D07A44"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12,72%</w:t>
            </w:r>
          </w:p>
        </w:tc>
        <w:tc>
          <w:tcPr>
            <w:tcW w:w="1276" w:type="dxa"/>
          </w:tcPr>
          <w:p w14:paraId="0BBA910C" w14:textId="28F3B9EF"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47,88%</w:t>
            </w:r>
          </w:p>
        </w:tc>
        <w:tc>
          <w:tcPr>
            <w:tcW w:w="1134" w:type="dxa"/>
          </w:tcPr>
          <w:p w14:paraId="0F5B3EE5" w14:textId="56523251"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39,60%</w:t>
            </w:r>
          </w:p>
        </w:tc>
        <w:tc>
          <w:tcPr>
            <w:tcW w:w="1134" w:type="dxa"/>
          </w:tcPr>
          <w:p w14:paraId="3A88A03F" w14:textId="5E91101F"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38,60%</w:t>
            </w:r>
          </w:p>
        </w:tc>
        <w:tc>
          <w:tcPr>
            <w:tcW w:w="1134" w:type="dxa"/>
          </w:tcPr>
          <w:p w14:paraId="26786E8D"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7535CCA5"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2BF8C357"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016A9B94"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71DF2E5E"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r>
      <w:tr w:rsidR="00FF2797" w:rsidRPr="00D07A44" w14:paraId="27022C7D" w14:textId="77777777" w:rsidTr="000B2FD6">
        <w:tc>
          <w:tcPr>
            <w:tcW w:w="4536" w:type="dxa"/>
            <w:vAlign w:val="center"/>
          </w:tcPr>
          <w:p w14:paraId="7410E7E6" w14:textId="77777777" w:rsidR="00FF2797" w:rsidRPr="00D07A44" w:rsidRDefault="00FF2797" w:rsidP="00FF2797">
            <w:pPr>
              <w:spacing w:before="40" w:after="40" w:line="280" w:lineRule="atLeast"/>
              <w:rPr>
                <w:rFonts w:ascii="Verdana" w:hAnsi="Verdana"/>
                <w:caps/>
                <w:sz w:val="16"/>
                <w:szCs w:val="16"/>
              </w:rPr>
            </w:pPr>
            <w:r w:rsidRPr="00D07A44">
              <w:rPr>
                <w:rFonts w:ascii="Verdana" w:hAnsi="Verdana" w:cs="Arial"/>
                <w:sz w:val="16"/>
                <w:szCs w:val="16"/>
              </w:rPr>
              <w:t xml:space="preserve">UABSPA UBS </w:t>
            </w:r>
          </w:p>
        </w:tc>
        <w:tc>
          <w:tcPr>
            <w:tcW w:w="1134" w:type="dxa"/>
          </w:tcPr>
          <w:p w14:paraId="479D53B2" w14:textId="68441DEE" w:rsidR="00FF2797" w:rsidRPr="00D07A44"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1,62%</w:t>
            </w:r>
          </w:p>
        </w:tc>
        <w:tc>
          <w:tcPr>
            <w:tcW w:w="1276" w:type="dxa"/>
          </w:tcPr>
          <w:p w14:paraId="79A0B84A" w14:textId="1402478A"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13,49%</w:t>
            </w:r>
          </w:p>
        </w:tc>
        <w:tc>
          <w:tcPr>
            <w:tcW w:w="1134" w:type="dxa"/>
          </w:tcPr>
          <w:p w14:paraId="25CAECEA" w14:textId="5FF4D796"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14,34%</w:t>
            </w:r>
          </w:p>
        </w:tc>
        <w:tc>
          <w:tcPr>
            <w:tcW w:w="1134" w:type="dxa"/>
          </w:tcPr>
          <w:p w14:paraId="74EF9490" w14:textId="61564EA7"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22,22%</w:t>
            </w:r>
          </w:p>
        </w:tc>
        <w:tc>
          <w:tcPr>
            <w:tcW w:w="1134" w:type="dxa"/>
          </w:tcPr>
          <w:p w14:paraId="26234410"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31F6D515"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6559541A"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2EFC629B"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235FA323"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r>
      <w:tr w:rsidR="00FF2797" w:rsidRPr="00D07A44" w14:paraId="500E2BC3" w14:textId="77777777" w:rsidTr="000B2FD6">
        <w:tc>
          <w:tcPr>
            <w:tcW w:w="4536" w:type="dxa"/>
            <w:vAlign w:val="center"/>
          </w:tcPr>
          <w:p w14:paraId="197188C9" w14:textId="77777777" w:rsidR="00FF2797" w:rsidRPr="00D07A44" w:rsidRDefault="00FF2797" w:rsidP="00FF2797">
            <w:pPr>
              <w:spacing w:before="40" w:after="40" w:line="280" w:lineRule="atLeast"/>
              <w:rPr>
                <w:rFonts w:ascii="Verdana" w:hAnsi="Verdana"/>
                <w:caps/>
                <w:sz w:val="16"/>
                <w:szCs w:val="16"/>
              </w:rPr>
            </w:pPr>
            <w:r w:rsidRPr="00D07A44">
              <w:rPr>
                <w:rFonts w:ascii="Verdana" w:hAnsi="Verdana" w:cs="Arial"/>
                <w:sz w:val="16"/>
                <w:szCs w:val="16"/>
              </w:rPr>
              <w:t xml:space="preserve">UMMIEA UBS </w:t>
            </w:r>
          </w:p>
        </w:tc>
        <w:tc>
          <w:tcPr>
            <w:tcW w:w="1134" w:type="dxa"/>
          </w:tcPr>
          <w:p w14:paraId="33994489" w14:textId="21695234" w:rsidR="00FF2797" w:rsidRPr="00D07A44"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1,27%</w:t>
            </w:r>
          </w:p>
        </w:tc>
        <w:tc>
          <w:tcPr>
            <w:tcW w:w="1276" w:type="dxa"/>
          </w:tcPr>
          <w:p w14:paraId="19E71A7B" w14:textId="6B946E46"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7,26%</w:t>
            </w:r>
          </w:p>
        </w:tc>
        <w:tc>
          <w:tcPr>
            <w:tcW w:w="1134" w:type="dxa"/>
          </w:tcPr>
          <w:p w14:paraId="51EFAAF0" w14:textId="152E554F"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11,96%</w:t>
            </w:r>
          </w:p>
        </w:tc>
        <w:tc>
          <w:tcPr>
            <w:tcW w:w="1134" w:type="dxa"/>
          </w:tcPr>
          <w:p w14:paraId="727D9340" w14:textId="4418A7E5"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18,08%</w:t>
            </w:r>
          </w:p>
        </w:tc>
        <w:tc>
          <w:tcPr>
            <w:tcW w:w="1134" w:type="dxa"/>
          </w:tcPr>
          <w:p w14:paraId="5686E4D3"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1005661F"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3A2B6337"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2D8A1869"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25D74F69"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r>
      <w:tr w:rsidR="00FF2797" w:rsidRPr="00D07A44" w14:paraId="2F3105BA" w14:textId="77777777" w:rsidTr="000B2FD6">
        <w:tc>
          <w:tcPr>
            <w:tcW w:w="4536" w:type="dxa"/>
            <w:vAlign w:val="center"/>
          </w:tcPr>
          <w:p w14:paraId="4AB1AFA8" w14:textId="77777777" w:rsidR="00FF2797" w:rsidRPr="00D07A44" w:rsidRDefault="00FF2797" w:rsidP="00FF2797">
            <w:pPr>
              <w:spacing w:before="40" w:after="40" w:line="280" w:lineRule="atLeast"/>
              <w:rPr>
                <w:rFonts w:ascii="Verdana" w:hAnsi="Verdana"/>
                <w:caps/>
                <w:sz w:val="16"/>
                <w:szCs w:val="16"/>
              </w:rPr>
            </w:pPr>
            <w:r w:rsidRPr="00D07A44">
              <w:rPr>
                <w:rFonts w:ascii="Verdana" w:hAnsi="Verdana" w:cs="Arial"/>
                <w:sz w:val="16"/>
                <w:szCs w:val="16"/>
              </w:rPr>
              <w:t xml:space="preserve">UMMIEB UBS </w:t>
            </w:r>
          </w:p>
        </w:tc>
        <w:tc>
          <w:tcPr>
            <w:tcW w:w="1134" w:type="dxa"/>
          </w:tcPr>
          <w:p w14:paraId="1DAC9561" w14:textId="04D350C0" w:rsidR="00FF2797" w:rsidRPr="00D07A44" w:rsidRDefault="00FF2797" w:rsidP="00FF2797">
            <w:pPr>
              <w:tabs>
                <w:tab w:val="left" w:pos="1050"/>
              </w:tabs>
              <w:spacing w:before="40" w:after="40" w:line="280" w:lineRule="atLeast"/>
              <w:jc w:val="center"/>
              <w:rPr>
                <w:rFonts w:ascii="Verdana" w:hAnsi="Verdana"/>
                <w:sz w:val="16"/>
                <w:szCs w:val="16"/>
              </w:rPr>
            </w:pPr>
            <w:r>
              <w:rPr>
                <w:rFonts w:ascii="Verdana" w:hAnsi="Verdana"/>
                <w:sz w:val="16"/>
                <w:szCs w:val="16"/>
              </w:rPr>
              <w:t>1,31%</w:t>
            </w:r>
          </w:p>
        </w:tc>
        <w:tc>
          <w:tcPr>
            <w:tcW w:w="1276" w:type="dxa"/>
          </w:tcPr>
          <w:p w14:paraId="00EB5973" w14:textId="469C8965"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7,10%</w:t>
            </w:r>
          </w:p>
        </w:tc>
        <w:tc>
          <w:tcPr>
            <w:tcW w:w="1134" w:type="dxa"/>
          </w:tcPr>
          <w:p w14:paraId="5FD32E86" w14:textId="73DE4D43"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11,90%</w:t>
            </w:r>
          </w:p>
        </w:tc>
        <w:tc>
          <w:tcPr>
            <w:tcW w:w="1134" w:type="dxa"/>
          </w:tcPr>
          <w:p w14:paraId="43ACA8CA" w14:textId="436AF98E" w:rsidR="00FF2797" w:rsidRPr="00D07A44" w:rsidRDefault="00FF2797" w:rsidP="00FF2797">
            <w:pPr>
              <w:spacing w:before="40" w:after="40" w:line="280" w:lineRule="atLeast"/>
              <w:jc w:val="center"/>
              <w:rPr>
                <w:rFonts w:ascii="Verdana" w:hAnsi="Verdana"/>
                <w:sz w:val="16"/>
                <w:szCs w:val="16"/>
              </w:rPr>
            </w:pPr>
            <w:r>
              <w:rPr>
                <w:rFonts w:ascii="Verdana" w:hAnsi="Verdana"/>
                <w:sz w:val="16"/>
                <w:szCs w:val="16"/>
              </w:rPr>
              <w:t>18,33%</w:t>
            </w:r>
          </w:p>
        </w:tc>
        <w:tc>
          <w:tcPr>
            <w:tcW w:w="1134" w:type="dxa"/>
          </w:tcPr>
          <w:p w14:paraId="51D43814"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55784A48"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shd w:val="clear" w:color="auto" w:fill="auto"/>
          </w:tcPr>
          <w:p w14:paraId="02C67F08"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14040557"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c>
          <w:tcPr>
            <w:tcW w:w="1134" w:type="dxa"/>
          </w:tcPr>
          <w:p w14:paraId="794D8D42" w14:textId="77777777" w:rsidR="00FF2797" w:rsidRPr="00D07A44" w:rsidRDefault="00FF2797" w:rsidP="00FF2797">
            <w:pPr>
              <w:spacing w:before="40" w:after="40" w:line="280" w:lineRule="atLeast"/>
              <w:jc w:val="center"/>
              <w:rPr>
                <w:rFonts w:ascii="Verdana" w:hAnsi="Verdana"/>
                <w:sz w:val="16"/>
                <w:szCs w:val="16"/>
              </w:rPr>
            </w:pPr>
            <w:r w:rsidRPr="00D07A44">
              <w:rPr>
                <w:rFonts w:ascii="Verdana" w:hAnsi="Verdana"/>
                <w:sz w:val="16"/>
                <w:szCs w:val="16"/>
              </w:rPr>
              <w:t>-</w:t>
            </w:r>
          </w:p>
        </w:tc>
      </w:tr>
    </w:tbl>
    <w:p w14:paraId="06B58804" w14:textId="77777777" w:rsidR="006C22DE" w:rsidRPr="00D07A44" w:rsidRDefault="006C22DE" w:rsidP="006C22DE">
      <w:pPr>
        <w:rPr>
          <w:rFonts w:ascii="Verdana" w:hAnsi="Verdana"/>
          <w:sz w:val="16"/>
          <w:szCs w:val="16"/>
        </w:rPr>
      </w:pPr>
      <w:bookmarkStart w:id="8" w:name="_Hlk15889625"/>
      <w:r w:rsidRPr="00D07A44">
        <w:rPr>
          <w:rFonts w:ascii="Verdana" w:hAnsi="Verdana"/>
          <w:sz w:val="16"/>
          <w:szCs w:val="16"/>
        </w:rPr>
        <w:t>Continued/…</w:t>
      </w:r>
    </w:p>
    <w:p w14:paraId="7D2FB3F4"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lastRenderedPageBreak/>
        <w:drawing>
          <wp:inline distT="0" distB="0" distL="0" distR="0" wp14:anchorId="76730715" wp14:editId="35E39722">
            <wp:extent cx="3057525" cy="642486"/>
            <wp:effectExtent l="0" t="0" r="0" b="5715"/>
            <wp:docPr id="3" name="Picture 3"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02EE411A" w14:textId="77777777" w:rsidTr="000B2FD6">
        <w:tc>
          <w:tcPr>
            <w:tcW w:w="14884" w:type="dxa"/>
            <w:gridSpan w:val="10"/>
            <w:shd w:val="clear" w:color="auto" w:fill="CB2229"/>
            <w:vAlign w:val="center"/>
          </w:tcPr>
          <w:p w14:paraId="2A1781D1"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62DBF13C"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2AC2817C"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7B4C035F" w14:textId="77777777" w:rsidTr="000B2FD6">
        <w:tc>
          <w:tcPr>
            <w:tcW w:w="4536" w:type="dxa"/>
            <w:shd w:val="clear" w:color="auto" w:fill="4C4C4C"/>
          </w:tcPr>
          <w:p w14:paraId="094427C3" w14:textId="77777777" w:rsidR="006C22DE" w:rsidRPr="0067766B" w:rsidRDefault="006C22DE" w:rsidP="000B2FD6">
            <w:pPr>
              <w:spacing w:before="40" w:after="40" w:line="300" w:lineRule="atLeast"/>
              <w:rPr>
                <w:rFonts w:ascii="Verdana" w:hAnsi="Verdana"/>
                <w:b/>
                <w:caps/>
                <w:color w:val="FFFFFF"/>
                <w:sz w:val="16"/>
                <w:szCs w:val="16"/>
              </w:rPr>
            </w:pPr>
            <w:r>
              <w:rPr>
                <w:rFonts w:ascii="Verdana" w:hAnsi="Verdana"/>
                <w:b/>
                <w:color w:val="FFFFFF" w:themeColor="background1"/>
                <w:sz w:val="16"/>
                <w:szCs w:val="16"/>
              </w:rPr>
              <w:t>ACTIVELY MANAGED ETNS (continued)</w:t>
            </w:r>
          </w:p>
        </w:tc>
        <w:tc>
          <w:tcPr>
            <w:tcW w:w="1134" w:type="dxa"/>
            <w:shd w:val="clear" w:color="auto" w:fill="4C4C4C"/>
          </w:tcPr>
          <w:p w14:paraId="16B628DB"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654A08D4"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64418F35"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421FD2D9"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59E8AC91"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4E31196E"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4CA97A3C"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1CC33181"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074EF650"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7BE3E9B7" w14:textId="77777777" w:rsidTr="000B2FD6">
        <w:tc>
          <w:tcPr>
            <w:tcW w:w="4536" w:type="dxa"/>
            <w:vAlign w:val="center"/>
          </w:tcPr>
          <w:p w14:paraId="2E2A4913" w14:textId="77777777" w:rsidR="006C22DE" w:rsidRDefault="006C22DE" w:rsidP="000B2FD6">
            <w:pPr>
              <w:spacing w:before="40" w:after="40" w:line="280" w:lineRule="atLeast"/>
              <w:rPr>
                <w:rFonts w:ascii="Verdana" w:hAnsi="Verdana"/>
                <w:caps/>
                <w:sz w:val="16"/>
                <w:szCs w:val="16"/>
              </w:rPr>
            </w:pPr>
            <w:r>
              <w:rPr>
                <w:rFonts w:ascii="Verdana" w:hAnsi="Verdana" w:cs="Arial"/>
                <w:sz w:val="16"/>
                <w:szCs w:val="16"/>
              </w:rPr>
              <w:t xml:space="preserve">USQCPA UBS </w:t>
            </w:r>
          </w:p>
        </w:tc>
        <w:tc>
          <w:tcPr>
            <w:tcW w:w="1134" w:type="dxa"/>
          </w:tcPr>
          <w:p w14:paraId="27423798" w14:textId="07821DA0" w:rsidR="006C22DE" w:rsidRPr="00B81A28" w:rsidRDefault="00F36A16" w:rsidP="000B2FD6">
            <w:pPr>
              <w:tabs>
                <w:tab w:val="left" w:pos="1050"/>
              </w:tabs>
              <w:spacing w:before="40" w:after="40" w:line="280" w:lineRule="atLeast"/>
              <w:jc w:val="center"/>
              <w:rPr>
                <w:rFonts w:ascii="Verdana" w:hAnsi="Verdana"/>
                <w:sz w:val="16"/>
                <w:szCs w:val="16"/>
              </w:rPr>
            </w:pPr>
            <w:r>
              <w:rPr>
                <w:rFonts w:ascii="Verdana" w:hAnsi="Verdana"/>
                <w:sz w:val="16"/>
                <w:szCs w:val="16"/>
              </w:rPr>
              <w:t>2,92%</w:t>
            </w:r>
          </w:p>
        </w:tc>
        <w:tc>
          <w:tcPr>
            <w:tcW w:w="1276" w:type="dxa"/>
          </w:tcPr>
          <w:p w14:paraId="325B85F5" w14:textId="2E10E177" w:rsidR="006C22DE" w:rsidRPr="00B81A28" w:rsidRDefault="00F36A16" w:rsidP="000B2FD6">
            <w:pPr>
              <w:spacing w:before="40" w:after="40" w:line="280" w:lineRule="atLeast"/>
              <w:jc w:val="center"/>
              <w:rPr>
                <w:rFonts w:ascii="Verdana" w:hAnsi="Verdana"/>
                <w:sz w:val="16"/>
                <w:szCs w:val="16"/>
              </w:rPr>
            </w:pPr>
            <w:r>
              <w:rPr>
                <w:rFonts w:ascii="Verdana" w:hAnsi="Verdana"/>
                <w:sz w:val="16"/>
                <w:szCs w:val="16"/>
              </w:rPr>
              <w:t>16,97%</w:t>
            </w:r>
          </w:p>
        </w:tc>
        <w:tc>
          <w:tcPr>
            <w:tcW w:w="1134" w:type="dxa"/>
          </w:tcPr>
          <w:p w14:paraId="7C2EC345" w14:textId="59ABFAC0" w:rsidR="006C22DE" w:rsidRDefault="00F36A16" w:rsidP="000B2FD6">
            <w:pPr>
              <w:spacing w:before="40" w:after="40" w:line="280" w:lineRule="atLeast"/>
              <w:jc w:val="center"/>
              <w:rPr>
                <w:rFonts w:ascii="Verdana" w:hAnsi="Verdana"/>
                <w:sz w:val="16"/>
                <w:szCs w:val="16"/>
              </w:rPr>
            </w:pPr>
            <w:r>
              <w:rPr>
                <w:rFonts w:ascii="Verdana" w:hAnsi="Verdana"/>
                <w:sz w:val="16"/>
                <w:szCs w:val="16"/>
              </w:rPr>
              <w:t>20,83%</w:t>
            </w:r>
          </w:p>
        </w:tc>
        <w:tc>
          <w:tcPr>
            <w:tcW w:w="1134" w:type="dxa"/>
          </w:tcPr>
          <w:p w14:paraId="290621E8" w14:textId="3A288FEC" w:rsidR="006C22DE" w:rsidRDefault="00F36A16" w:rsidP="000B2FD6">
            <w:pPr>
              <w:spacing w:before="40" w:after="40" w:line="280" w:lineRule="atLeast"/>
              <w:jc w:val="center"/>
              <w:rPr>
                <w:rFonts w:ascii="Verdana" w:hAnsi="Verdana"/>
                <w:sz w:val="16"/>
                <w:szCs w:val="16"/>
              </w:rPr>
            </w:pPr>
            <w:r>
              <w:rPr>
                <w:rFonts w:ascii="Verdana" w:hAnsi="Verdana"/>
                <w:sz w:val="16"/>
                <w:szCs w:val="16"/>
              </w:rPr>
              <w:t>29,74%</w:t>
            </w:r>
          </w:p>
        </w:tc>
        <w:tc>
          <w:tcPr>
            <w:tcW w:w="1134" w:type="dxa"/>
          </w:tcPr>
          <w:p w14:paraId="6B4F9439"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66F651D4"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2AE2D6D"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F11684B"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9DAD9D8"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bookmarkEnd w:id="8"/>
      <w:tr w:rsidR="006C22DE" w:rsidRPr="00B81A28" w14:paraId="31CC3DA6" w14:textId="77777777" w:rsidTr="000B2FD6">
        <w:tc>
          <w:tcPr>
            <w:tcW w:w="4536" w:type="dxa"/>
            <w:vAlign w:val="center"/>
          </w:tcPr>
          <w:p w14:paraId="7189FECC" w14:textId="77777777" w:rsidR="006C22DE" w:rsidRDefault="006C22DE" w:rsidP="000B2FD6">
            <w:pPr>
              <w:spacing w:before="40" w:after="40" w:line="280" w:lineRule="atLeast"/>
              <w:rPr>
                <w:rFonts w:ascii="Verdana" w:hAnsi="Verdana"/>
                <w:caps/>
                <w:sz w:val="16"/>
                <w:szCs w:val="16"/>
              </w:rPr>
            </w:pPr>
            <w:r w:rsidRPr="006B2FD2">
              <w:rPr>
                <w:rFonts w:ascii="Verdana" w:hAnsi="Verdana" w:cs="Arial"/>
                <w:sz w:val="16"/>
                <w:szCs w:val="16"/>
              </w:rPr>
              <w:t xml:space="preserve">UMMIES UBS </w:t>
            </w:r>
          </w:p>
        </w:tc>
        <w:tc>
          <w:tcPr>
            <w:tcW w:w="1134" w:type="dxa"/>
          </w:tcPr>
          <w:p w14:paraId="5600D8E9" w14:textId="2B986CAE"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(0,56%)</w:t>
            </w:r>
          </w:p>
        </w:tc>
        <w:tc>
          <w:tcPr>
            <w:tcW w:w="1276" w:type="dxa"/>
          </w:tcPr>
          <w:p w14:paraId="798E45C5"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217A2AE"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FC8E0D3"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865E2E9"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7BEB979"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0ADE0C9C"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03967240"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DA9AFDB"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1B7525AA" w14:textId="77777777" w:rsidTr="000B2FD6">
        <w:tc>
          <w:tcPr>
            <w:tcW w:w="4536" w:type="dxa"/>
            <w:vAlign w:val="center"/>
          </w:tcPr>
          <w:p w14:paraId="0365E206" w14:textId="77777777" w:rsidR="006C22DE" w:rsidRDefault="006C22DE" w:rsidP="000B2FD6">
            <w:pPr>
              <w:spacing w:before="40" w:after="40" w:line="280" w:lineRule="atLeast"/>
              <w:rPr>
                <w:rFonts w:ascii="Verdana" w:hAnsi="Verdana"/>
                <w:caps/>
                <w:sz w:val="16"/>
                <w:szCs w:val="16"/>
              </w:rPr>
            </w:pPr>
            <w:r>
              <w:rPr>
                <w:rFonts w:ascii="Verdana" w:hAnsi="Verdana" w:cs="Arial"/>
                <w:sz w:val="16"/>
                <w:szCs w:val="16"/>
              </w:rPr>
              <w:t>U</w:t>
            </w:r>
            <w:r w:rsidRPr="006B2FD2">
              <w:rPr>
                <w:rFonts w:ascii="Verdana" w:hAnsi="Verdana" w:cs="Arial"/>
                <w:sz w:val="16"/>
                <w:szCs w:val="16"/>
              </w:rPr>
              <w:t xml:space="preserve">EXGEP UBS </w:t>
            </w:r>
          </w:p>
        </w:tc>
        <w:tc>
          <w:tcPr>
            <w:tcW w:w="1134" w:type="dxa"/>
          </w:tcPr>
          <w:p w14:paraId="769CB60D" w14:textId="3A8DF8DF"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2,66%</w:t>
            </w:r>
          </w:p>
        </w:tc>
        <w:tc>
          <w:tcPr>
            <w:tcW w:w="1276" w:type="dxa"/>
          </w:tcPr>
          <w:p w14:paraId="75010190"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42A5E06E"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09FC42F"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C363251"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06350EFE"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3C8CD747"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022B90B2"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5C5A9E3B"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03AC765E" w14:textId="77777777" w:rsidTr="000B2FD6">
        <w:tc>
          <w:tcPr>
            <w:tcW w:w="4536" w:type="dxa"/>
            <w:vAlign w:val="center"/>
          </w:tcPr>
          <w:p w14:paraId="7832A845" w14:textId="77777777" w:rsidR="006C22DE" w:rsidRDefault="006C22DE" w:rsidP="000B2FD6">
            <w:pPr>
              <w:spacing w:before="40" w:after="40" w:line="280" w:lineRule="atLeast"/>
              <w:rPr>
                <w:rFonts w:ascii="Verdana" w:hAnsi="Verdana"/>
                <w:caps/>
                <w:sz w:val="16"/>
                <w:szCs w:val="16"/>
              </w:rPr>
            </w:pPr>
            <w:r w:rsidRPr="006B2FD2">
              <w:rPr>
                <w:rFonts w:ascii="Verdana" w:hAnsi="Verdana"/>
                <w:sz w:val="16"/>
                <w:szCs w:val="16"/>
                <w:lang w:val="en-US"/>
              </w:rPr>
              <w:t>URETGP</w:t>
            </w:r>
            <w:r w:rsidRPr="006B2FD2">
              <w:rPr>
                <w:rFonts w:ascii="Verdana" w:hAnsi="Verdana" w:cs="Arial"/>
                <w:sz w:val="16"/>
                <w:szCs w:val="16"/>
              </w:rPr>
              <w:t xml:space="preserve"> UBS </w:t>
            </w:r>
          </w:p>
        </w:tc>
        <w:tc>
          <w:tcPr>
            <w:tcW w:w="1134" w:type="dxa"/>
          </w:tcPr>
          <w:p w14:paraId="4A6E6424" w14:textId="20262912"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1,14%</w:t>
            </w:r>
          </w:p>
        </w:tc>
        <w:tc>
          <w:tcPr>
            <w:tcW w:w="1276" w:type="dxa"/>
          </w:tcPr>
          <w:p w14:paraId="08048356"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302F2DF2"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1D025D21"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EBB8803"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7B5DD0CD"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59203019"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42E21103"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5B38970"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15725F99" w14:textId="77777777" w:rsidTr="000B2FD6">
        <w:tc>
          <w:tcPr>
            <w:tcW w:w="4536" w:type="dxa"/>
            <w:vAlign w:val="center"/>
          </w:tcPr>
          <w:p w14:paraId="0A459E30" w14:textId="77777777" w:rsidR="006C22DE" w:rsidRDefault="006C22DE" w:rsidP="000B2FD6">
            <w:pPr>
              <w:spacing w:before="40" w:after="40" w:line="280" w:lineRule="atLeast"/>
              <w:rPr>
                <w:rFonts w:ascii="Verdana" w:hAnsi="Verdana"/>
                <w:caps/>
                <w:sz w:val="16"/>
                <w:szCs w:val="16"/>
              </w:rPr>
            </w:pPr>
            <w:r>
              <w:rPr>
                <w:rFonts w:ascii="Verdana" w:hAnsi="Verdana" w:cs="Arial"/>
                <w:sz w:val="16"/>
                <w:szCs w:val="16"/>
              </w:rPr>
              <w:t xml:space="preserve">FNBGSA </w:t>
            </w:r>
            <w:r w:rsidRPr="006B2FD2">
              <w:rPr>
                <w:rFonts w:ascii="Verdana" w:hAnsi="Verdana" w:cs="Arial"/>
                <w:sz w:val="16"/>
                <w:szCs w:val="16"/>
              </w:rPr>
              <w:t xml:space="preserve">UBS </w:t>
            </w:r>
          </w:p>
        </w:tc>
        <w:tc>
          <w:tcPr>
            <w:tcW w:w="1134" w:type="dxa"/>
          </w:tcPr>
          <w:p w14:paraId="2BD24718" w14:textId="5590155E"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0,40%</w:t>
            </w:r>
          </w:p>
        </w:tc>
        <w:tc>
          <w:tcPr>
            <w:tcW w:w="1276" w:type="dxa"/>
          </w:tcPr>
          <w:p w14:paraId="3CFE2B47"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DCF082C"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0A7987D5"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35CB5FD"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46BEB348"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CF09B1D"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557B65BA"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79FA6144"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024F024A" w14:textId="77777777" w:rsidTr="000B2FD6">
        <w:tc>
          <w:tcPr>
            <w:tcW w:w="4536" w:type="dxa"/>
            <w:vAlign w:val="center"/>
          </w:tcPr>
          <w:p w14:paraId="5FCA27A7" w14:textId="77777777" w:rsidR="006C22DE" w:rsidRDefault="006C22DE" w:rsidP="000B2FD6">
            <w:pPr>
              <w:spacing w:before="40" w:after="40" w:line="280" w:lineRule="atLeast"/>
              <w:rPr>
                <w:rFonts w:ascii="Verdana" w:hAnsi="Verdana"/>
                <w:caps/>
                <w:sz w:val="16"/>
                <w:szCs w:val="16"/>
              </w:rPr>
            </w:pPr>
            <w:r>
              <w:rPr>
                <w:rFonts w:ascii="Verdana" w:hAnsi="Verdana" w:cs="Arial"/>
                <w:sz w:val="16"/>
                <w:szCs w:val="16"/>
              </w:rPr>
              <w:t xml:space="preserve">FNBGSE </w:t>
            </w:r>
            <w:r w:rsidRPr="006B2FD2">
              <w:rPr>
                <w:rFonts w:ascii="Verdana" w:hAnsi="Verdana" w:cs="Arial"/>
                <w:sz w:val="16"/>
                <w:szCs w:val="16"/>
              </w:rPr>
              <w:t xml:space="preserve">UBS </w:t>
            </w:r>
          </w:p>
        </w:tc>
        <w:tc>
          <w:tcPr>
            <w:tcW w:w="1134" w:type="dxa"/>
          </w:tcPr>
          <w:p w14:paraId="69601EE9" w14:textId="5D6B4424"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1,07%</w:t>
            </w:r>
          </w:p>
        </w:tc>
        <w:tc>
          <w:tcPr>
            <w:tcW w:w="1276" w:type="dxa"/>
          </w:tcPr>
          <w:p w14:paraId="278ECA68" w14:textId="77777777" w:rsidR="006C22DE" w:rsidRPr="00B81A28"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2BF7B1A1"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586629A8"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6258E666"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078BC521"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shd w:val="clear" w:color="auto" w:fill="auto"/>
          </w:tcPr>
          <w:p w14:paraId="18162FF3"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263A3028"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c>
          <w:tcPr>
            <w:tcW w:w="1134" w:type="dxa"/>
          </w:tcPr>
          <w:p w14:paraId="21562ED2" w14:textId="77777777" w:rsidR="006C22DE" w:rsidRDefault="006C22DE" w:rsidP="000B2FD6">
            <w:pPr>
              <w:spacing w:before="40" w:after="40" w:line="280" w:lineRule="atLeast"/>
              <w:jc w:val="center"/>
              <w:rPr>
                <w:rFonts w:ascii="Verdana" w:hAnsi="Verdana"/>
                <w:sz w:val="16"/>
                <w:szCs w:val="16"/>
              </w:rPr>
            </w:pPr>
            <w:r>
              <w:rPr>
                <w:rFonts w:ascii="Verdana" w:hAnsi="Verdana"/>
                <w:sz w:val="16"/>
                <w:szCs w:val="16"/>
              </w:rPr>
              <w:t>-</w:t>
            </w:r>
          </w:p>
        </w:tc>
      </w:tr>
      <w:tr w:rsidR="006C22DE" w:rsidRPr="00B81A28" w14:paraId="433CF337" w14:textId="77777777" w:rsidTr="000B2FD6">
        <w:tc>
          <w:tcPr>
            <w:tcW w:w="4536" w:type="dxa"/>
            <w:shd w:val="clear" w:color="auto" w:fill="4C4C4C"/>
          </w:tcPr>
          <w:p w14:paraId="2C1775C0" w14:textId="77777777" w:rsidR="006C22DE" w:rsidRPr="0067766B" w:rsidRDefault="006C22DE" w:rsidP="000B2FD6">
            <w:pPr>
              <w:spacing w:before="40" w:after="40" w:line="300" w:lineRule="atLeast"/>
              <w:rPr>
                <w:rFonts w:ascii="Verdana" w:hAnsi="Verdana"/>
                <w:b/>
                <w:caps/>
                <w:color w:val="FFFFFF"/>
                <w:sz w:val="16"/>
                <w:szCs w:val="16"/>
              </w:rPr>
            </w:pPr>
            <w:r>
              <w:rPr>
                <w:rFonts w:ascii="Verdana" w:hAnsi="Verdana"/>
                <w:b/>
                <w:caps/>
                <w:color w:val="FFFFFF"/>
                <w:sz w:val="16"/>
                <w:szCs w:val="16"/>
              </w:rPr>
              <w:t>COMMODITIES</w:t>
            </w:r>
          </w:p>
        </w:tc>
        <w:tc>
          <w:tcPr>
            <w:tcW w:w="1134" w:type="dxa"/>
            <w:shd w:val="clear" w:color="auto" w:fill="4C4C4C"/>
          </w:tcPr>
          <w:p w14:paraId="1B0D0851"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276" w:type="dxa"/>
            <w:shd w:val="clear" w:color="auto" w:fill="4C4C4C"/>
          </w:tcPr>
          <w:p w14:paraId="5E04D36E"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7A301227"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2135514A"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157C45BF"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5B8C7D43"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37AE5B1E"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36EA5754" w14:textId="77777777" w:rsidR="006C22DE" w:rsidRPr="00B81A28" w:rsidRDefault="006C22DE" w:rsidP="000B2FD6">
            <w:pPr>
              <w:spacing w:before="40" w:after="40" w:line="300" w:lineRule="atLeast"/>
              <w:jc w:val="center"/>
              <w:rPr>
                <w:rFonts w:ascii="Verdana" w:hAnsi="Verdana"/>
                <w:b/>
                <w:color w:val="FFFFFF"/>
                <w:sz w:val="16"/>
                <w:szCs w:val="16"/>
              </w:rPr>
            </w:pPr>
          </w:p>
        </w:tc>
        <w:tc>
          <w:tcPr>
            <w:tcW w:w="1134" w:type="dxa"/>
            <w:shd w:val="clear" w:color="auto" w:fill="4C4C4C"/>
          </w:tcPr>
          <w:p w14:paraId="57250BA7" w14:textId="77777777" w:rsidR="006C22DE" w:rsidRPr="00B81A28" w:rsidRDefault="006C22DE" w:rsidP="000B2FD6">
            <w:pPr>
              <w:spacing w:before="40" w:after="40" w:line="300" w:lineRule="atLeast"/>
              <w:jc w:val="center"/>
              <w:rPr>
                <w:rFonts w:ascii="Verdana" w:hAnsi="Verdana"/>
                <w:b/>
                <w:color w:val="FFFFFF"/>
                <w:sz w:val="16"/>
                <w:szCs w:val="16"/>
              </w:rPr>
            </w:pPr>
          </w:p>
        </w:tc>
      </w:tr>
      <w:tr w:rsidR="006C22DE" w:rsidRPr="00B81A28" w14:paraId="27F7CD31" w14:textId="77777777" w:rsidTr="000B2FD6">
        <w:tc>
          <w:tcPr>
            <w:tcW w:w="14884" w:type="dxa"/>
            <w:gridSpan w:val="10"/>
            <w:shd w:val="clear" w:color="auto" w:fill="7583BD"/>
            <w:vAlign w:val="center"/>
          </w:tcPr>
          <w:p w14:paraId="144B4DE4" w14:textId="77777777" w:rsidR="006C22DE" w:rsidRPr="00B81A28" w:rsidRDefault="006C22DE" w:rsidP="000B2FD6">
            <w:pPr>
              <w:spacing w:before="40" w:after="40" w:line="280" w:lineRule="atLeast"/>
              <w:rPr>
                <w:rFonts w:ascii="Verdana" w:hAnsi="Verdana"/>
                <w:b/>
                <w:color w:val="FFFFFF" w:themeColor="background1"/>
                <w:sz w:val="16"/>
                <w:szCs w:val="16"/>
              </w:rPr>
            </w:pPr>
            <w:r>
              <w:rPr>
                <w:rFonts w:ascii="Verdana" w:hAnsi="Verdana"/>
                <w:b/>
                <w:color w:val="FFFFFF" w:themeColor="background1"/>
                <w:sz w:val="16"/>
                <w:szCs w:val="16"/>
              </w:rPr>
              <w:t>ETFS</w:t>
            </w:r>
          </w:p>
        </w:tc>
      </w:tr>
      <w:tr w:rsidR="006C22DE" w:rsidRPr="00B81A28" w14:paraId="7D3739CA" w14:textId="77777777" w:rsidTr="000B2FD6">
        <w:tc>
          <w:tcPr>
            <w:tcW w:w="4536" w:type="dxa"/>
          </w:tcPr>
          <w:p w14:paraId="68878E77"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Gold </w:t>
            </w:r>
          </w:p>
        </w:tc>
        <w:tc>
          <w:tcPr>
            <w:tcW w:w="1134" w:type="dxa"/>
          </w:tcPr>
          <w:p w14:paraId="337157E1" w14:textId="13AE9973"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1,46%</w:t>
            </w:r>
          </w:p>
        </w:tc>
        <w:tc>
          <w:tcPr>
            <w:tcW w:w="1276" w:type="dxa"/>
          </w:tcPr>
          <w:p w14:paraId="1E4514C1" w14:textId="5CBE3FA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5,84%</w:t>
            </w:r>
          </w:p>
        </w:tc>
        <w:tc>
          <w:tcPr>
            <w:tcW w:w="1134" w:type="dxa"/>
          </w:tcPr>
          <w:p w14:paraId="5B39E490" w14:textId="24C73D3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44,47%</w:t>
            </w:r>
          </w:p>
        </w:tc>
        <w:tc>
          <w:tcPr>
            <w:tcW w:w="1134" w:type="dxa"/>
          </w:tcPr>
          <w:p w14:paraId="570247D8" w14:textId="382FD15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54,55%</w:t>
            </w:r>
          </w:p>
        </w:tc>
        <w:tc>
          <w:tcPr>
            <w:tcW w:w="1134" w:type="dxa"/>
          </w:tcPr>
          <w:p w14:paraId="0D8B1A04" w14:textId="1A467DA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33,54%</w:t>
            </w:r>
          </w:p>
        </w:tc>
        <w:tc>
          <w:tcPr>
            <w:tcW w:w="1134" w:type="dxa"/>
            <w:shd w:val="clear" w:color="auto" w:fill="auto"/>
          </w:tcPr>
          <w:p w14:paraId="2C71B830" w14:textId="1702C0B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23,37%</w:t>
            </w:r>
          </w:p>
        </w:tc>
        <w:tc>
          <w:tcPr>
            <w:tcW w:w="1134" w:type="dxa"/>
            <w:shd w:val="clear" w:color="auto" w:fill="auto"/>
          </w:tcPr>
          <w:p w14:paraId="21B3CDC6" w14:textId="3716506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16,45%</w:t>
            </w:r>
          </w:p>
        </w:tc>
        <w:tc>
          <w:tcPr>
            <w:tcW w:w="1134" w:type="dxa"/>
          </w:tcPr>
          <w:p w14:paraId="09E9F196"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6EE5B3FF"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7E497918" w14:textId="77777777" w:rsidTr="000B2FD6">
        <w:tc>
          <w:tcPr>
            <w:tcW w:w="4536" w:type="dxa"/>
          </w:tcPr>
          <w:p w14:paraId="4AB0F9D6"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Palladium </w:t>
            </w:r>
          </w:p>
        </w:tc>
        <w:tc>
          <w:tcPr>
            <w:tcW w:w="1134" w:type="dxa"/>
          </w:tcPr>
          <w:p w14:paraId="026D5F89" w14:textId="17B1F9F4"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(0,33%)</w:t>
            </w:r>
          </w:p>
        </w:tc>
        <w:tc>
          <w:tcPr>
            <w:tcW w:w="1276" w:type="dxa"/>
          </w:tcPr>
          <w:p w14:paraId="38F6C79D" w14:textId="26E0E15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(19,08%)</w:t>
            </w:r>
          </w:p>
        </w:tc>
        <w:tc>
          <w:tcPr>
            <w:tcW w:w="1134" w:type="dxa"/>
          </w:tcPr>
          <w:p w14:paraId="6E549865" w14:textId="37FDBB5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23,80%</w:t>
            </w:r>
          </w:p>
        </w:tc>
        <w:tc>
          <w:tcPr>
            <w:tcW w:w="1134" w:type="dxa"/>
          </w:tcPr>
          <w:p w14:paraId="3E673AAD" w14:textId="7E8E4E2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52,29%</w:t>
            </w:r>
          </w:p>
        </w:tc>
        <w:tc>
          <w:tcPr>
            <w:tcW w:w="1134" w:type="dxa"/>
          </w:tcPr>
          <w:p w14:paraId="1942CC8D" w14:textId="1727631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58,60%</w:t>
            </w:r>
          </w:p>
        </w:tc>
        <w:tc>
          <w:tcPr>
            <w:tcW w:w="1134" w:type="dxa"/>
            <w:shd w:val="clear" w:color="auto" w:fill="auto"/>
          </w:tcPr>
          <w:p w14:paraId="32ADFE90" w14:textId="5F4D0CD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43,74%</w:t>
            </w:r>
          </w:p>
        </w:tc>
        <w:tc>
          <w:tcPr>
            <w:tcW w:w="1134" w:type="dxa"/>
            <w:shd w:val="clear" w:color="auto" w:fill="auto"/>
          </w:tcPr>
          <w:p w14:paraId="580B9CC6" w14:textId="047B4F9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31,93%</w:t>
            </w:r>
          </w:p>
        </w:tc>
        <w:tc>
          <w:tcPr>
            <w:tcW w:w="1134" w:type="dxa"/>
          </w:tcPr>
          <w:p w14:paraId="508A3630"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614DBC9B"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4E2F0107" w14:textId="77777777" w:rsidTr="000B2FD6">
        <w:tc>
          <w:tcPr>
            <w:tcW w:w="4536" w:type="dxa"/>
          </w:tcPr>
          <w:p w14:paraId="63B79869"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Platinum </w:t>
            </w:r>
          </w:p>
        </w:tc>
        <w:tc>
          <w:tcPr>
            <w:tcW w:w="1134" w:type="dxa"/>
          </w:tcPr>
          <w:p w14:paraId="155ED661" w14:textId="74666007"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(2,91%)</w:t>
            </w:r>
          </w:p>
        </w:tc>
        <w:tc>
          <w:tcPr>
            <w:tcW w:w="1276" w:type="dxa"/>
          </w:tcPr>
          <w:p w14:paraId="7252FFBB" w14:textId="29909B1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10,35%</w:t>
            </w:r>
          </w:p>
        </w:tc>
        <w:tc>
          <w:tcPr>
            <w:tcW w:w="1134" w:type="dxa"/>
          </w:tcPr>
          <w:p w14:paraId="7529A77C" w14:textId="6276188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6,16%</w:t>
            </w:r>
          </w:p>
        </w:tc>
        <w:tc>
          <w:tcPr>
            <w:tcW w:w="1134" w:type="dxa"/>
          </w:tcPr>
          <w:p w14:paraId="5A0B384E" w14:textId="22E06B5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22,24%</w:t>
            </w:r>
          </w:p>
        </w:tc>
        <w:tc>
          <w:tcPr>
            <w:tcW w:w="1134" w:type="dxa"/>
          </w:tcPr>
          <w:p w14:paraId="7B7BF6B4" w14:textId="468888CE"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10,23%</w:t>
            </w:r>
          </w:p>
        </w:tc>
        <w:tc>
          <w:tcPr>
            <w:tcW w:w="1134" w:type="dxa"/>
            <w:shd w:val="clear" w:color="auto" w:fill="auto"/>
          </w:tcPr>
          <w:p w14:paraId="5DB44695" w14:textId="15F924A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5,54%</w:t>
            </w:r>
          </w:p>
        </w:tc>
        <w:tc>
          <w:tcPr>
            <w:tcW w:w="1134" w:type="dxa"/>
            <w:shd w:val="clear" w:color="auto" w:fill="auto"/>
          </w:tcPr>
          <w:p w14:paraId="6804B13F" w14:textId="0E05771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1,46%</w:t>
            </w:r>
          </w:p>
        </w:tc>
        <w:tc>
          <w:tcPr>
            <w:tcW w:w="1134" w:type="dxa"/>
          </w:tcPr>
          <w:p w14:paraId="1710A60A"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74BE938A"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5584C144" w14:textId="77777777" w:rsidTr="000B2FD6">
        <w:tc>
          <w:tcPr>
            <w:tcW w:w="4536" w:type="dxa"/>
          </w:tcPr>
          <w:p w14:paraId="7C4758F5" w14:textId="77777777" w:rsidR="006C22DE" w:rsidRPr="00B81A28" w:rsidRDefault="006C22DE" w:rsidP="000B2FD6">
            <w:pPr>
              <w:spacing w:before="40" w:after="40" w:line="28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Rhodium </w:t>
            </w:r>
          </w:p>
        </w:tc>
        <w:tc>
          <w:tcPr>
            <w:tcW w:w="1134" w:type="dxa"/>
          </w:tcPr>
          <w:p w14:paraId="582CB307" w14:textId="1FB80F7D"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(24,54%)</w:t>
            </w:r>
          </w:p>
        </w:tc>
        <w:tc>
          <w:tcPr>
            <w:tcW w:w="1276" w:type="dxa"/>
          </w:tcPr>
          <w:p w14:paraId="45DCEF7B" w14:textId="18A762EE"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(24,89%)</w:t>
            </w:r>
          </w:p>
        </w:tc>
        <w:tc>
          <w:tcPr>
            <w:tcW w:w="1134" w:type="dxa"/>
          </w:tcPr>
          <w:p w14:paraId="47DC16A7" w14:textId="4EA894A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52,28%</w:t>
            </w:r>
          </w:p>
        </w:tc>
        <w:tc>
          <w:tcPr>
            <w:tcW w:w="1134" w:type="dxa"/>
          </w:tcPr>
          <w:p w14:paraId="615DDDC2" w14:textId="4FA7AC8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170,67%</w:t>
            </w:r>
          </w:p>
        </w:tc>
        <w:tc>
          <w:tcPr>
            <w:tcW w:w="1134" w:type="dxa"/>
          </w:tcPr>
          <w:p w14:paraId="69113431" w14:textId="4D2820A9"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103,96%</w:t>
            </w:r>
          </w:p>
        </w:tc>
        <w:tc>
          <w:tcPr>
            <w:tcW w:w="1134" w:type="dxa"/>
            <w:shd w:val="clear" w:color="auto" w:fill="auto"/>
          </w:tcPr>
          <w:p w14:paraId="540C1809" w14:textId="3272BCA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111,67%</w:t>
            </w:r>
          </w:p>
        </w:tc>
        <w:tc>
          <w:tcPr>
            <w:tcW w:w="1134" w:type="dxa"/>
            <w:shd w:val="clear" w:color="auto" w:fill="auto"/>
          </w:tcPr>
          <w:p w14:paraId="6F03021C"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6174DB24"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5B07CE5E"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0760A4EF" w14:textId="77777777" w:rsidTr="000B2FD6">
        <w:tc>
          <w:tcPr>
            <w:tcW w:w="4536" w:type="dxa"/>
          </w:tcPr>
          <w:p w14:paraId="60F734BA"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Absa NewGold</w:t>
            </w:r>
          </w:p>
        </w:tc>
        <w:tc>
          <w:tcPr>
            <w:tcW w:w="1134" w:type="dxa"/>
          </w:tcPr>
          <w:p w14:paraId="06AEBA69" w14:textId="0206E35F"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1,57%</w:t>
            </w:r>
          </w:p>
        </w:tc>
        <w:tc>
          <w:tcPr>
            <w:tcW w:w="1276" w:type="dxa"/>
          </w:tcPr>
          <w:p w14:paraId="783204C4" w14:textId="2966749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5,91%</w:t>
            </w:r>
          </w:p>
        </w:tc>
        <w:tc>
          <w:tcPr>
            <w:tcW w:w="1134" w:type="dxa"/>
          </w:tcPr>
          <w:p w14:paraId="31EDBD01" w14:textId="468D1211"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44,43%</w:t>
            </w:r>
          </w:p>
        </w:tc>
        <w:tc>
          <w:tcPr>
            <w:tcW w:w="1134" w:type="dxa"/>
          </w:tcPr>
          <w:p w14:paraId="08789520" w14:textId="31ED4A8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54,93%</w:t>
            </w:r>
          </w:p>
        </w:tc>
        <w:tc>
          <w:tcPr>
            <w:tcW w:w="1134" w:type="dxa"/>
          </w:tcPr>
          <w:p w14:paraId="14FDA43A" w14:textId="0046120A"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33,58%</w:t>
            </w:r>
          </w:p>
        </w:tc>
        <w:tc>
          <w:tcPr>
            <w:tcW w:w="1134" w:type="dxa"/>
            <w:shd w:val="clear" w:color="auto" w:fill="auto"/>
          </w:tcPr>
          <w:p w14:paraId="6191F001" w14:textId="059FE0B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23,29%</w:t>
            </w:r>
          </w:p>
        </w:tc>
        <w:tc>
          <w:tcPr>
            <w:tcW w:w="1134" w:type="dxa"/>
            <w:shd w:val="clear" w:color="auto" w:fill="auto"/>
          </w:tcPr>
          <w:p w14:paraId="36B13346" w14:textId="39B3357B"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16,35%</w:t>
            </w:r>
          </w:p>
        </w:tc>
        <w:tc>
          <w:tcPr>
            <w:tcW w:w="1134" w:type="dxa"/>
          </w:tcPr>
          <w:p w14:paraId="4708E743" w14:textId="73C3DC54"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13,94%</w:t>
            </w:r>
          </w:p>
        </w:tc>
        <w:tc>
          <w:tcPr>
            <w:tcW w:w="1134" w:type="dxa"/>
          </w:tcPr>
          <w:p w14:paraId="3B9CBF38" w14:textId="14687392"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12,06%</w:t>
            </w:r>
          </w:p>
        </w:tc>
      </w:tr>
      <w:tr w:rsidR="006C22DE" w:rsidRPr="00B81A28" w14:paraId="224A0E16" w14:textId="77777777" w:rsidTr="000B2FD6">
        <w:tc>
          <w:tcPr>
            <w:tcW w:w="4536" w:type="dxa"/>
          </w:tcPr>
          <w:p w14:paraId="21A41348"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Absa NewPlat</w:t>
            </w:r>
          </w:p>
        </w:tc>
        <w:tc>
          <w:tcPr>
            <w:tcW w:w="1134" w:type="dxa"/>
          </w:tcPr>
          <w:p w14:paraId="2E847C50" w14:textId="35C5C7E4"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(2,10%)</w:t>
            </w:r>
          </w:p>
        </w:tc>
        <w:tc>
          <w:tcPr>
            <w:tcW w:w="1276" w:type="dxa"/>
          </w:tcPr>
          <w:p w14:paraId="2BA1C3A8" w14:textId="7E6EE9A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8,24%</w:t>
            </w:r>
          </w:p>
        </w:tc>
        <w:tc>
          <w:tcPr>
            <w:tcW w:w="1134" w:type="dxa"/>
          </w:tcPr>
          <w:p w14:paraId="77DBDF84" w14:textId="23E897E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5,30%</w:t>
            </w:r>
          </w:p>
        </w:tc>
        <w:tc>
          <w:tcPr>
            <w:tcW w:w="1134" w:type="dxa"/>
          </w:tcPr>
          <w:p w14:paraId="491AC2D7" w14:textId="563E920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21,97%</w:t>
            </w:r>
          </w:p>
        </w:tc>
        <w:tc>
          <w:tcPr>
            <w:tcW w:w="1134" w:type="dxa"/>
          </w:tcPr>
          <w:p w14:paraId="22B17D8F" w14:textId="3E36C882"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9,28%</w:t>
            </w:r>
          </w:p>
        </w:tc>
        <w:tc>
          <w:tcPr>
            <w:tcW w:w="1134" w:type="dxa"/>
            <w:shd w:val="clear" w:color="auto" w:fill="auto"/>
          </w:tcPr>
          <w:p w14:paraId="0E2AAD6B" w14:textId="749D6A95"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4,97%</w:t>
            </w:r>
          </w:p>
        </w:tc>
        <w:tc>
          <w:tcPr>
            <w:tcW w:w="1134" w:type="dxa"/>
            <w:shd w:val="clear" w:color="auto" w:fill="auto"/>
          </w:tcPr>
          <w:p w14:paraId="164BACE1" w14:textId="1F8F6E9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1,14%</w:t>
            </w:r>
          </w:p>
        </w:tc>
        <w:tc>
          <w:tcPr>
            <w:tcW w:w="1134" w:type="dxa"/>
          </w:tcPr>
          <w:p w14:paraId="7033E065" w14:textId="6EF3762F"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0,61%</w:t>
            </w:r>
          </w:p>
        </w:tc>
        <w:tc>
          <w:tcPr>
            <w:tcW w:w="1134" w:type="dxa"/>
          </w:tcPr>
          <w:p w14:paraId="1134666D"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5615ADEA" w14:textId="77777777" w:rsidTr="000B2FD6">
        <w:tc>
          <w:tcPr>
            <w:tcW w:w="4536" w:type="dxa"/>
          </w:tcPr>
          <w:p w14:paraId="0E0B1519"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Absa New</w:t>
            </w:r>
            <w:r>
              <w:rPr>
                <w:rFonts w:ascii="Verdana" w:hAnsi="Verdana"/>
                <w:sz w:val="16"/>
                <w:szCs w:val="16"/>
              </w:rPr>
              <w:t>Gold</w:t>
            </w:r>
            <w:r w:rsidRPr="00B81A28">
              <w:rPr>
                <w:rFonts w:ascii="Verdana" w:hAnsi="Verdana"/>
                <w:sz w:val="16"/>
                <w:szCs w:val="16"/>
              </w:rPr>
              <w:t xml:space="preserve"> Palladium</w:t>
            </w:r>
          </w:p>
        </w:tc>
        <w:tc>
          <w:tcPr>
            <w:tcW w:w="1134" w:type="dxa"/>
          </w:tcPr>
          <w:p w14:paraId="5A350EE9" w14:textId="050E3A29"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(1,55%)</w:t>
            </w:r>
          </w:p>
        </w:tc>
        <w:tc>
          <w:tcPr>
            <w:tcW w:w="1276" w:type="dxa"/>
          </w:tcPr>
          <w:p w14:paraId="4089EEA4" w14:textId="63CC26F3"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(17,97%)</w:t>
            </w:r>
          </w:p>
        </w:tc>
        <w:tc>
          <w:tcPr>
            <w:tcW w:w="1134" w:type="dxa"/>
          </w:tcPr>
          <w:p w14:paraId="0694D5EF" w14:textId="14327440"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23,15%</w:t>
            </w:r>
          </w:p>
        </w:tc>
        <w:tc>
          <w:tcPr>
            <w:tcW w:w="1134" w:type="dxa"/>
          </w:tcPr>
          <w:p w14:paraId="16DFE8D3" w14:textId="6FEE7E90"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w:t>
            </w:r>
            <w:r w:rsidR="00F36A16">
              <w:rPr>
                <w:rFonts w:ascii="Verdana" w:hAnsi="Verdana"/>
                <w:sz w:val="16"/>
                <w:szCs w:val="16"/>
              </w:rPr>
              <w:t>3</w:t>
            </w:r>
            <w:r>
              <w:rPr>
                <w:rFonts w:ascii="Verdana" w:hAnsi="Verdana"/>
                <w:sz w:val="16"/>
                <w:szCs w:val="16"/>
              </w:rPr>
              <w:t>,20%</w:t>
            </w:r>
          </w:p>
        </w:tc>
        <w:tc>
          <w:tcPr>
            <w:tcW w:w="1134" w:type="dxa"/>
          </w:tcPr>
          <w:p w14:paraId="26F3A691" w14:textId="5DB0F607"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57,98%</w:t>
            </w:r>
          </w:p>
        </w:tc>
        <w:tc>
          <w:tcPr>
            <w:tcW w:w="1134" w:type="dxa"/>
            <w:shd w:val="clear" w:color="auto" w:fill="auto"/>
          </w:tcPr>
          <w:p w14:paraId="6C49E031" w14:textId="0F880438"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43,70%</w:t>
            </w:r>
          </w:p>
        </w:tc>
        <w:tc>
          <w:tcPr>
            <w:tcW w:w="1134" w:type="dxa"/>
            <w:shd w:val="clear" w:color="auto" w:fill="auto"/>
          </w:tcPr>
          <w:p w14:paraId="692A97A2" w14:textId="572BD396"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31,57%</w:t>
            </w:r>
          </w:p>
        </w:tc>
        <w:tc>
          <w:tcPr>
            <w:tcW w:w="1134" w:type="dxa"/>
          </w:tcPr>
          <w:p w14:paraId="220807FB"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2926F1C4"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7AA277DC" w14:textId="77777777" w:rsidTr="000B2FD6">
        <w:tc>
          <w:tcPr>
            <w:tcW w:w="4536" w:type="dxa"/>
          </w:tcPr>
          <w:p w14:paraId="18BDCF50" w14:textId="77777777" w:rsidR="006C22DE" w:rsidRPr="00B81A28" w:rsidRDefault="006C22DE" w:rsidP="000B2FD6">
            <w:pPr>
              <w:spacing w:before="40" w:after="40" w:line="280" w:lineRule="atLeast"/>
              <w:rPr>
                <w:rFonts w:ascii="Verdana" w:hAnsi="Verdana"/>
                <w:sz w:val="16"/>
                <w:szCs w:val="16"/>
              </w:rPr>
            </w:pPr>
            <w:r w:rsidRPr="00B81A28">
              <w:rPr>
                <w:rFonts w:ascii="Verdana" w:hAnsi="Verdana"/>
                <w:sz w:val="16"/>
                <w:szCs w:val="16"/>
              </w:rPr>
              <w:t>F</w:t>
            </w:r>
            <w:r>
              <w:rPr>
                <w:rFonts w:ascii="Verdana" w:hAnsi="Verdana"/>
                <w:sz w:val="16"/>
                <w:szCs w:val="16"/>
              </w:rPr>
              <w:t>irstRand</w:t>
            </w:r>
            <w:r w:rsidRPr="00B81A28">
              <w:rPr>
                <w:rFonts w:ascii="Verdana" w:hAnsi="Verdana"/>
                <w:sz w:val="16"/>
                <w:szCs w:val="16"/>
              </w:rPr>
              <w:t xml:space="preserve"> Krugerrand Custodian Certificate </w:t>
            </w:r>
          </w:p>
        </w:tc>
        <w:tc>
          <w:tcPr>
            <w:tcW w:w="1134" w:type="dxa"/>
          </w:tcPr>
          <w:p w14:paraId="44C6F9B8" w14:textId="1F0D5A9D" w:rsidR="006C22DE" w:rsidRPr="00B81A28" w:rsidRDefault="00FF2797" w:rsidP="000B2FD6">
            <w:pPr>
              <w:tabs>
                <w:tab w:val="left" w:pos="1050"/>
              </w:tabs>
              <w:spacing w:before="40" w:after="40" w:line="280" w:lineRule="atLeast"/>
              <w:jc w:val="center"/>
              <w:rPr>
                <w:rFonts w:ascii="Verdana" w:hAnsi="Verdana"/>
                <w:sz w:val="16"/>
                <w:szCs w:val="16"/>
              </w:rPr>
            </w:pPr>
            <w:r>
              <w:rPr>
                <w:rFonts w:ascii="Verdana" w:hAnsi="Verdana"/>
                <w:sz w:val="16"/>
                <w:szCs w:val="16"/>
              </w:rPr>
              <w:t>1,40%</w:t>
            </w:r>
          </w:p>
        </w:tc>
        <w:tc>
          <w:tcPr>
            <w:tcW w:w="1276" w:type="dxa"/>
          </w:tcPr>
          <w:p w14:paraId="2066D087" w14:textId="3AC05FB2"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6,13%</w:t>
            </w:r>
          </w:p>
        </w:tc>
        <w:tc>
          <w:tcPr>
            <w:tcW w:w="1134" w:type="dxa"/>
          </w:tcPr>
          <w:p w14:paraId="235A85DD" w14:textId="2C4826DE"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44,35%</w:t>
            </w:r>
          </w:p>
        </w:tc>
        <w:tc>
          <w:tcPr>
            <w:tcW w:w="1134" w:type="dxa"/>
          </w:tcPr>
          <w:p w14:paraId="62CE3950" w14:textId="298911C0"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54,37%</w:t>
            </w:r>
          </w:p>
        </w:tc>
        <w:tc>
          <w:tcPr>
            <w:tcW w:w="1134" w:type="dxa"/>
          </w:tcPr>
          <w:p w14:paraId="1C799D96" w14:textId="577E302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32,58%</w:t>
            </w:r>
          </w:p>
        </w:tc>
        <w:tc>
          <w:tcPr>
            <w:tcW w:w="1134" w:type="dxa"/>
            <w:shd w:val="clear" w:color="auto" w:fill="auto"/>
          </w:tcPr>
          <w:p w14:paraId="009F5013" w14:textId="76D9EC8D" w:rsidR="006C22DE" w:rsidRPr="00B81A28" w:rsidRDefault="00FF2797" w:rsidP="000B2FD6">
            <w:pPr>
              <w:spacing w:before="40" w:after="40" w:line="280" w:lineRule="atLeast"/>
              <w:jc w:val="center"/>
              <w:rPr>
                <w:rFonts w:ascii="Verdana" w:hAnsi="Verdana"/>
                <w:sz w:val="16"/>
                <w:szCs w:val="16"/>
              </w:rPr>
            </w:pPr>
            <w:r>
              <w:rPr>
                <w:rFonts w:ascii="Verdana" w:hAnsi="Verdana"/>
                <w:sz w:val="16"/>
                <w:szCs w:val="16"/>
              </w:rPr>
              <w:t>22,77%</w:t>
            </w:r>
          </w:p>
        </w:tc>
        <w:tc>
          <w:tcPr>
            <w:tcW w:w="1134" w:type="dxa"/>
            <w:shd w:val="clear" w:color="auto" w:fill="auto"/>
          </w:tcPr>
          <w:p w14:paraId="7ACF8E70"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07985EF8"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7B800DE8"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bl>
    <w:p w14:paraId="45DD396B" w14:textId="77777777" w:rsidR="006C22DE" w:rsidRDefault="006C22DE" w:rsidP="006C22DE"/>
    <w:p w14:paraId="52F09982" w14:textId="77777777" w:rsidR="006C22DE" w:rsidRDefault="006C22DE" w:rsidP="006C22DE">
      <w:pPr>
        <w:spacing w:after="160" w:line="259" w:lineRule="auto"/>
      </w:pPr>
      <w:r>
        <w:br w:type="page"/>
      </w:r>
    </w:p>
    <w:p w14:paraId="733DEFAF"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lastRenderedPageBreak/>
        <w:drawing>
          <wp:inline distT="0" distB="0" distL="0" distR="0" wp14:anchorId="7729B968" wp14:editId="16BAC49E">
            <wp:extent cx="3057525" cy="642486"/>
            <wp:effectExtent l="0" t="0" r="0" b="5715"/>
            <wp:docPr id="6" name="Picture 6"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6"/>
        <w:gridCol w:w="1134"/>
        <w:gridCol w:w="1276"/>
        <w:gridCol w:w="1134"/>
        <w:gridCol w:w="1134"/>
        <w:gridCol w:w="1134"/>
        <w:gridCol w:w="1134"/>
        <w:gridCol w:w="1134"/>
        <w:gridCol w:w="1134"/>
        <w:gridCol w:w="1134"/>
      </w:tblGrid>
      <w:tr w:rsidR="006C22DE" w:rsidRPr="00B81A28" w14:paraId="6112C024" w14:textId="77777777" w:rsidTr="000B2FD6">
        <w:tc>
          <w:tcPr>
            <w:tcW w:w="14884" w:type="dxa"/>
            <w:gridSpan w:val="10"/>
            <w:shd w:val="clear" w:color="auto" w:fill="CB2229"/>
            <w:vAlign w:val="center"/>
          </w:tcPr>
          <w:p w14:paraId="2A20F626" w14:textId="77777777" w:rsidR="006C22DE" w:rsidRPr="00B81A28" w:rsidRDefault="006C22DE" w:rsidP="000B2FD6">
            <w:pPr>
              <w:spacing w:before="20" w:after="20" w:line="26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4D8FE718" w14:textId="77777777" w:rsidR="006C22DE" w:rsidRPr="00B81A28" w:rsidRDefault="006C22DE" w:rsidP="000B2FD6">
            <w:pPr>
              <w:spacing w:before="20" w:after="20" w:line="26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30 June 2020</w:t>
            </w:r>
          </w:p>
          <w:p w14:paraId="24A17503" w14:textId="77777777" w:rsidR="006C22DE" w:rsidRPr="00B81A28" w:rsidRDefault="006C22DE" w:rsidP="000B2FD6">
            <w:pPr>
              <w:spacing w:before="20" w:after="20" w:line="260" w:lineRule="atLeast"/>
              <w:jc w:val="center"/>
              <w:rPr>
                <w:rFonts w:ascii="Verdana" w:hAnsi="Verdana"/>
                <w:b/>
                <w:color w:val="FFFFFF"/>
                <w:sz w:val="20"/>
                <w:szCs w:val="20"/>
              </w:rPr>
            </w:pPr>
            <w:r w:rsidRPr="00B81A28">
              <w:rPr>
                <w:rFonts w:ascii="Verdana" w:hAnsi="Verdana"/>
                <w:b/>
                <w:color w:val="FFFFFF"/>
                <w:sz w:val="20"/>
                <w:szCs w:val="20"/>
              </w:rPr>
              <w:t>(Total Returns – dividends reinvested)</w:t>
            </w:r>
          </w:p>
        </w:tc>
      </w:tr>
      <w:tr w:rsidR="006C22DE" w:rsidRPr="00B81A28" w14:paraId="7EECAE86" w14:textId="77777777" w:rsidTr="000B2FD6">
        <w:tc>
          <w:tcPr>
            <w:tcW w:w="4536" w:type="dxa"/>
            <w:shd w:val="clear" w:color="auto" w:fill="4C4C4C"/>
          </w:tcPr>
          <w:p w14:paraId="27620CEE" w14:textId="77777777" w:rsidR="006C22DE" w:rsidRPr="0067766B" w:rsidRDefault="006C22DE" w:rsidP="000B2FD6">
            <w:pPr>
              <w:spacing w:before="20" w:after="40" w:line="260" w:lineRule="atLeast"/>
              <w:rPr>
                <w:rFonts w:ascii="Verdana" w:hAnsi="Verdana"/>
                <w:b/>
                <w:caps/>
                <w:color w:val="FFFFFF"/>
                <w:sz w:val="16"/>
                <w:szCs w:val="16"/>
              </w:rPr>
            </w:pPr>
            <w:r>
              <w:rPr>
                <w:rFonts w:ascii="Verdana" w:hAnsi="Verdana"/>
                <w:b/>
                <w:caps/>
                <w:color w:val="FFFFFF"/>
                <w:sz w:val="16"/>
                <w:szCs w:val="16"/>
              </w:rPr>
              <w:t>COMMODITIES</w:t>
            </w:r>
          </w:p>
        </w:tc>
        <w:tc>
          <w:tcPr>
            <w:tcW w:w="1134" w:type="dxa"/>
            <w:shd w:val="clear" w:color="auto" w:fill="4C4C4C"/>
          </w:tcPr>
          <w:p w14:paraId="7796D6DB"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276" w:type="dxa"/>
            <w:shd w:val="clear" w:color="auto" w:fill="4C4C4C"/>
          </w:tcPr>
          <w:p w14:paraId="70BD8BF0"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134" w:type="dxa"/>
            <w:shd w:val="clear" w:color="auto" w:fill="4C4C4C"/>
          </w:tcPr>
          <w:p w14:paraId="32AE641C"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6 Months</w:t>
            </w:r>
          </w:p>
        </w:tc>
        <w:tc>
          <w:tcPr>
            <w:tcW w:w="1134" w:type="dxa"/>
            <w:shd w:val="clear" w:color="auto" w:fill="4C4C4C"/>
          </w:tcPr>
          <w:p w14:paraId="67434BA1"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134" w:type="dxa"/>
            <w:shd w:val="clear" w:color="auto" w:fill="4C4C4C"/>
          </w:tcPr>
          <w:p w14:paraId="1BB947F1"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2 years p.a.</w:t>
            </w:r>
          </w:p>
        </w:tc>
        <w:tc>
          <w:tcPr>
            <w:tcW w:w="1134" w:type="dxa"/>
            <w:shd w:val="clear" w:color="auto" w:fill="4C4C4C"/>
          </w:tcPr>
          <w:p w14:paraId="2E09A3F8"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134" w:type="dxa"/>
            <w:shd w:val="clear" w:color="auto" w:fill="4C4C4C"/>
          </w:tcPr>
          <w:p w14:paraId="42E43C82"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134" w:type="dxa"/>
            <w:shd w:val="clear" w:color="auto" w:fill="4C4C4C"/>
          </w:tcPr>
          <w:p w14:paraId="48F211C8"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7 Years p.a.</w:t>
            </w:r>
          </w:p>
        </w:tc>
        <w:tc>
          <w:tcPr>
            <w:tcW w:w="1134" w:type="dxa"/>
            <w:shd w:val="clear" w:color="auto" w:fill="4C4C4C"/>
          </w:tcPr>
          <w:p w14:paraId="09A0F53C" w14:textId="77777777" w:rsidR="006C22DE" w:rsidRPr="00B81A28" w:rsidRDefault="006C22DE" w:rsidP="000B2FD6">
            <w:pPr>
              <w:spacing w:before="20" w:after="40" w:line="26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13C3854E" w14:textId="77777777" w:rsidTr="000B2FD6">
        <w:tc>
          <w:tcPr>
            <w:tcW w:w="14884" w:type="dxa"/>
            <w:gridSpan w:val="10"/>
            <w:shd w:val="clear" w:color="auto" w:fill="7583BD"/>
          </w:tcPr>
          <w:p w14:paraId="58F03F91" w14:textId="77777777" w:rsidR="006C22DE" w:rsidRPr="00AB33B6" w:rsidRDefault="006C22DE" w:rsidP="000B2FD6">
            <w:pPr>
              <w:spacing w:before="20" w:after="40" w:line="260" w:lineRule="atLeast"/>
              <w:rPr>
                <w:rFonts w:ascii="Verdana" w:hAnsi="Verdana"/>
                <w:b/>
                <w:color w:val="FFFFFF" w:themeColor="background1"/>
                <w:sz w:val="16"/>
                <w:szCs w:val="16"/>
              </w:rPr>
            </w:pPr>
            <w:r>
              <w:rPr>
                <w:rFonts w:ascii="Verdana" w:hAnsi="Verdana"/>
                <w:b/>
                <w:color w:val="FFFFFF" w:themeColor="background1"/>
                <w:sz w:val="16"/>
                <w:szCs w:val="16"/>
              </w:rPr>
              <w:t>ETNS</w:t>
            </w:r>
          </w:p>
        </w:tc>
      </w:tr>
      <w:tr w:rsidR="006C22DE" w:rsidRPr="00B81A28" w14:paraId="1E8086B3" w14:textId="77777777" w:rsidTr="000B2FD6">
        <w:tc>
          <w:tcPr>
            <w:tcW w:w="4536" w:type="dxa"/>
          </w:tcPr>
          <w:p w14:paraId="4EDDBCD4"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NewWave Platinum</w:t>
            </w:r>
          </w:p>
        </w:tc>
        <w:tc>
          <w:tcPr>
            <w:tcW w:w="1134" w:type="dxa"/>
          </w:tcPr>
          <w:p w14:paraId="2BA1F366" w14:textId="17CD4F7E"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(2,32%)</w:t>
            </w:r>
          </w:p>
        </w:tc>
        <w:tc>
          <w:tcPr>
            <w:tcW w:w="1276" w:type="dxa"/>
          </w:tcPr>
          <w:p w14:paraId="7F03567C" w14:textId="793C11FD"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11,74%</w:t>
            </w:r>
          </w:p>
        </w:tc>
        <w:tc>
          <w:tcPr>
            <w:tcW w:w="1134" w:type="dxa"/>
          </w:tcPr>
          <w:p w14:paraId="3E19C95C" w14:textId="6E2BB59A"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7,45%</w:t>
            </w:r>
          </w:p>
        </w:tc>
        <w:tc>
          <w:tcPr>
            <w:tcW w:w="1134" w:type="dxa"/>
          </w:tcPr>
          <w:p w14:paraId="7E4EA110" w14:textId="619243D9"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21,94%</w:t>
            </w:r>
          </w:p>
        </w:tc>
        <w:tc>
          <w:tcPr>
            <w:tcW w:w="1134" w:type="dxa"/>
          </w:tcPr>
          <w:p w14:paraId="2985F06E" w14:textId="1DE00399"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10,06%</w:t>
            </w:r>
          </w:p>
        </w:tc>
        <w:tc>
          <w:tcPr>
            <w:tcW w:w="1134" w:type="dxa"/>
            <w:shd w:val="clear" w:color="auto" w:fill="auto"/>
          </w:tcPr>
          <w:p w14:paraId="12656B21" w14:textId="0A07993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5,65%</w:t>
            </w:r>
          </w:p>
        </w:tc>
        <w:tc>
          <w:tcPr>
            <w:tcW w:w="1134" w:type="dxa"/>
            <w:shd w:val="clear" w:color="auto" w:fill="auto"/>
          </w:tcPr>
          <w:p w14:paraId="57CB892F" w14:textId="1888E2CA"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1,64%</w:t>
            </w:r>
          </w:p>
        </w:tc>
        <w:tc>
          <w:tcPr>
            <w:tcW w:w="1134" w:type="dxa"/>
          </w:tcPr>
          <w:p w14:paraId="365AB2C1" w14:textId="3B9296C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0,96%</w:t>
            </w:r>
          </w:p>
        </w:tc>
        <w:tc>
          <w:tcPr>
            <w:tcW w:w="1134" w:type="dxa"/>
          </w:tcPr>
          <w:p w14:paraId="5088786B"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8CCCE2E" w14:textId="77777777" w:rsidTr="000B2FD6">
        <w:tc>
          <w:tcPr>
            <w:tcW w:w="4536" w:type="dxa"/>
          </w:tcPr>
          <w:p w14:paraId="43BC5519"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NewWave Silver</w:t>
            </w:r>
          </w:p>
        </w:tc>
        <w:tc>
          <w:tcPr>
            <w:tcW w:w="1134" w:type="dxa"/>
          </w:tcPr>
          <w:p w14:paraId="2B197248" w14:textId="6818A09E"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(0,33%)</w:t>
            </w:r>
          </w:p>
        </w:tc>
        <w:tc>
          <w:tcPr>
            <w:tcW w:w="1276" w:type="dxa"/>
          </w:tcPr>
          <w:p w14:paraId="0A41F19A" w14:textId="5121DD14"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23,58%</w:t>
            </w:r>
          </w:p>
        </w:tc>
        <w:tc>
          <w:tcPr>
            <w:tcW w:w="1134" w:type="dxa"/>
          </w:tcPr>
          <w:p w14:paraId="1EDE5253" w14:textId="048E641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22,58%</w:t>
            </w:r>
          </w:p>
        </w:tc>
        <w:tc>
          <w:tcPr>
            <w:tcW w:w="1134" w:type="dxa"/>
          </w:tcPr>
          <w:p w14:paraId="52090887" w14:textId="46EF2522"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44,74%</w:t>
            </w:r>
          </w:p>
        </w:tc>
        <w:tc>
          <w:tcPr>
            <w:tcW w:w="1134" w:type="dxa"/>
          </w:tcPr>
          <w:p w14:paraId="3F98FCBC" w14:textId="604BBC8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18,63%</w:t>
            </w:r>
          </w:p>
        </w:tc>
        <w:tc>
          <w:tcPr>
            <w:tcW w:w="1134" w:type="dxa"/>
            <w:shd w:val="clear" w:color="auto" w:fill="auto"/>
          </w:tcPr>
          <w:p w14:paraId="6B247C08" w14:textId="60B9F9B0"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12,41%</w:t>
            </w:r>
          </w:p>
        </w:tc>
        <w:tc>
          <w:tcPr>
            <w:tcW w:w="1134" w:type="dxa"/>
            <w:shd w:val="clear" w:color="auto" w:fill="auto"/>
          </w:tcPr>
          <w:p w14:paraId="71B72089" w14:textId="2D1AE3B0"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10,21%</w:t>
            </w:r>
          </w:p>
        </w:tc>
        <w:tc>
          <w:tcPr>
            <w:tcW w:w="1134" w:type="dxa"/>
          </w:tcPr>
          <w:p w14:paraId="19681BB0" w14:textId="600D34F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7,27%</w:t>
            </w:r>
          </w:p>
        </w:tc>
        <w:tc>
          <w:tcPr>
            <w:tcW w:w="1134" w:type="dxa"/>
          </w:tcPr>
          <w:p w14:paraId="49FAE26A"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1123F9A3" w14:textId="77777777" w:rsidTr="000B2FD6">
        <w:tc>
          <w:tcPr>
            <w:tcW w:w="4536" w:type="dxa"/>
          </w:tcPr>
          <w:p w14:paraId="240E941A"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Gold-Linker</w:t>
            </w:r>
          </w:p>
        </w:tc>
        <w:tc>
          <w:tcPr>
            <w:tcW w:w="1134" w:type="dxa"/>
          </w:tcPr>
          <w:p w14:paraId="5E5477AB" w14:textId="72916806"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1,68%</w:t>
            </w:r>
          </w:p>
        </w:tc>
        <w:tc>
          <w:tcPr>
            <w:tcW w:w="1276" w:type="dxa"/>
          </w:tcPr>
          <w:p w14:paraId="697FCD3C" w14:textId="02FCE21F"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5,91%</w:t>
            </w:r>
          </w:p>
        </w:tc>
        <w:tc>
          <w:tcPr>
            <w:tcW w:w="1134" w:type="dxa"/>
          </w:tcPr>
          <w:p w14:paraId="66F16923" w14:textId="5167CAC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44,01%</w:t>
            </w:r>
          </w:p>
        </w:tc>
        <w:tc>
          <w:tcPr>
            <w:tcW w:w="1134" w:type="dxa"/>
          </w:tcPr>
          <w:p w14:paraId="565B4499" w14:textId="6EF94019"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52,81%</w:t>
            </w:r>
          </w:p>
        </w:tc>
        <w:tc>
          <w:tcPr>
            <w:tcW w:w="1134" w:type="dxa"/>
          </w:tcPr>
          <w:p w14:paraId="0663761B" w14:textId="595FE354"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31,93%</w:t>
            </w:r>
          </w:p>
        </w:tc>
        <w:tc>
          <w:tcPr>
            <w:tcW w:w="1134" w:type="dxa"/>
            <w:shd w:val="clear" w:color="auto" w:fill="auto"/>
          </w:tcPr>
          <w:p w14:paraId="30B69917" w14:textId="784D611D"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22,11%</w:t>
            </w:r>
          </w:p>
        </w:tc>
        <w:tc>
          <w:tcPr>
            <w:tcW w:w="1134" w:type="dxa"/>
            <w:shd w:val="clear" w:color="auto" w:fill="auto"/>
          </w:tcPr>
          <w:p w14:paraId="681BD26E" w14:textId="0857A787"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15,88%</w:t>
            </w:r>
          </w:p>
        </w:tc>
        <w:tc>
          <w:tcPr>
            <w:tcW w:w="1134" w:type="dxa"/>
          </w:tcPr>
          <w:p w14:paraId="0E64C651" w14:textId="29D5181D"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13,67%</w:t>
            </w:r>
          </w:p>
        </w:tc>
        <w:tc>
          <w:tcPr>
            <w:tcW w:w="1134" w:type="dxa"/>
          </w:tcPr>
          <w:p w14:paraId="4B18CAAC"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0106498D" w14:textId="77777777" w:rsidTr="000B2FD6">
        <w:tc>
          <w:tcPr>
            <w:tcW w:w="4536" w:type="dxa"/>
          </w:tcPr>
          <w:p w14:paraId="2C2C8AD4"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Palladium-Linker</w:t>
            </w:r>
          </w:p>
        </w:tc>
        <w:tc>
          <w:tcPr>
            <w:tcW w:w="1134" w:type="dxa"/>
          </w:tcPr>
          <w:p w14:paraId="43D6ABBA" w14:textId="6BDD28ED"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1,11%</w:t>
            </w:r>
          </w:p>
        </w:tc>
        <w:tc>
          <w:tcPr>
            <w:tcW w:w="1276" w:type="dxa"/>
          </w:tcPr>
          <w:p w14:paraId="1D86C7B4" w14:textId="0551248A"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(13,18%)</w:t>
            </w:r>
          </w:p>
        </w:tc>
        <w:tc>
          <w:tcPr>
            <w:tcW w:w="1134" w:type="dxa"/>
          </w:tcPr>
          <w:p w14:paraId="56A802A8" w14:textId="4C743864"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27,98%</w:t>
            </w:r>
          </w:p>
        </w:tc>
        <w:tc>
          <w:tcPr>
            <w:tcW w:w="1134" w:type="dxa"/>
          </w:tcPr>
          <w:p w14:paraId="067ABEB4" w14:textId="2956A9FC"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56,58%</w:t>
            </w:r>
          </w:p>
        </w:tc>
        <w:tc>
          <w:tcPr>
            <w:tcW w:w="1134" w:type="dxa"/>
          </w:tcPr>
          <w:p w14:paraId="2DF2A06F" w14:textId="01DF1C32"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65,48%</w:t>
            </w:r>
          </w:p>
        </w:tc>
        <w:tc>
          <w:tcPr>
            <w:tcW w:w="1134" w:type="dxa"/>
            <w:shd w:val="clear" w:color="auto" w:fill="auto"/>
          </w:tcPr>
          <w:p w14:paraId="5001A022" w14:textId="607EF57A"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49,23%</w:t>
            </w:r>
          </w:p>
        </w:tc>
        <w:tc>
          <w:tcPr>
            <w:tcW w:w="1134" w:type="dxa"/>
            <w:shd w:val="clear" w:color="auto" w:fill="auto"/>
          </w:tcPr>
          <w:p w14:paraId="69692213" w14:textId="7D3BDB5F"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34,90%</w:t>
            </w:r>
          </w:p>
        </w:tc>
        <w:tc>
          <w:tcPr>
            <w:tcW w:w="1134" w:type="dxa"/>
          </w:tcPr>
          <w:p w14:paraId="014D180F" w14:textId="70BE67EF"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27,58%</w:t>
            </w:r>
          </w:p>
        </w:tc>
        <w:tc>
          <w:tcPr>
            <w:tcW w:w="1134" w:type="dxa"/>
          </w:tcPr>
          <w:p w14:paraId="05A0B32C"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13D835E5" w14:textId="77777777" w:rsidTr="000B2FD6">
        <w:tc>
          <w:tcPr>
            <w:tcW w:w="4536" w:type="dxa"/>
          </w:tcPr>
          <w:p w14:paraId="6940456C"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Platinum-Linker</w:t>
            </w:r>
          </w:p>
        </w:tc>
        <w:tc>
          <w:tcPr>
            <w:tcW w:w="1134" w:type="dxa"/>
          </w:tcPr>
          <w:p w14:paraId="61B43EB0" w14:textId="5F1DB04B"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(5,41%)</w:t>
            </w:r>
          </w:p>
        </w:tc>
        <w:tc>
          <w:tcPr>
            <w:tcW w:w="1276" w:type="dxa"/>
          </w:tcPr>
          <w:p w14:paraId="5AD5E2D7" w14:textId="15A0F89E"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11,96%</w:t>
            </w:r>
          </w:p>
        </w:tc>
        <w:tc>
          <w:tcPr>
            <w:tcW w:w="1134" w:type="dxa"/>
          </w:tcPr>
          <w:p w14:paraId="5A6C4A70" w14:textId="3207C513"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8,17%</w:t>
            </w:r>
          </w:p>
        </w:tc>
        <w:tc>
          <w:tcPr>
            <w:tcW w:w="1134" w:type="dxa"/>
          </w:tcPr>
          <w:p w14:paraId="07709FF4" w14:textId="6AB5685C"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23,70%</w:t>
            </w:r>
          </w:p>
        </w:tc>
        <w:tc>
          <w:tcPr>
            <w:tcW w:w="1134" w:type="dxa"/>
          </w:tcPr>
          <w:p w14:paraId="06B51163" w14:textId="52032A1D"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11,18%</w:t>
            </w:r>
          </w:p>
        </w:tc>
        <w:tc>
          <w:tcPr>
            <w:tcW w:w="1134" w:type="dxa"/>
            <w:shd w:val="clear" w:color="auto" w:fill="auto"/>
          </w:tcPr>
          <w:p w14:paraId="6B68A9DA" w14:textId="3003BCF8"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6,08%</w:t>
            </w:r>
          </w:p>
        </w:tc>
        <w:tc>
          <w:tcPr>
            <w:tcW w:w="1134" w:type="dxa"/>
            <w:shd w:val="clear" w:color="auto" w:fill="auto"/>
          </w:tcPr>
          <w:p w14:paraId="2948F473" w14:textId="47B21F07"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1,48%</w:t>
            </w:r>
          </w:p>
        </w:tc>
        <w:tc>
          <w:tcPr>
            <w:tcW w:w="1134" w:type="dxa"/>
          </w:tcPr>
          <w:p w14:paraId="6ED6BB1D" w14:textId="4418CA43"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0,67%</w:t>
            </w:r>
          </w:p>
        </w:tc>
        <w:tc>
          <w:tcPr>
            <w:tcW w:w="1134" w:type="dxa"/>
          </w:tcPr>
          <w:p w14:paraId="3ED5317C"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07D44098" w14:textId="77777777" w:rsidTr="000B2FD6">
        <w:tc>
          <w:tcPr>
            <w:tcW w:w="4536" w:type="dxa"/>
          </w:tcPr>
          <w:p w14:paraId="68984F7B"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Silver-Linker</w:t>
            </w:r>
          </w:p>
        </w:tc>
        <w:tc>
          <w:tcPr>
            <w:tcW w:w="1134" w:type="dxa"/>
          </w:tcPr>
          <w:p w14:paraId="362E11DA" w14:textId="2D97E401"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(0,94%)</w:t>
            </w:r>
          </w:p>
        </w:tc>
        <w:tc>
          <w:tcPr>
            <w:tcW w:w="1276" w:type="dxa"/>
          </w:tcPr>
          <w:p w14:paraId="206FAED1" w14:textId="39FDF75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23,09%</w:t>
            </w:r>
          </w:p>
        </w:tc>
        <w:tc>
          <w:tcPr>
            <w:tcW w:w="1134" w:type="dxa"/>
          </w:tcPr>
          <w:p w14:paraId="77923A80" w14:textId="5EFEEB76"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25,41%</w:t>
            </w:r>
          </w:p>
        </w:tc>
        <w:tc>
          <w:tcPr>
            <w:tcW w:w="1134" w:type="dxa"/>
          </w:tcPr>
          <w:p w14:paraId="3FDB31A4" w14:textId="318C080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45,17%</w:t>
            </w:r>
          </w:p>
        </w:tc>
        <w:tc>
          <w:tcPr>
            <w:tcW w:w="1134" w:type="dxa"/>
          </w:tcPr>
          <w:p w14:paraId="570C4535" w14:textId="0B942F2C"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18,51%</w:t>
            </w:r>
          </w:p>
        </w:tc>
        <w:tc>
          <w:tcPr>
            <w:tcW w:w="1134" w:type="dxa"/>
            <w:shd w:val="clear" w:color="auto" w:fill="auto"/>
          </w:tcPr>
          <w:p w14:paraId="0CC7D9EC" w14:textId="562C84F8"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12,31%</w:t>
            </w:r>
          </w:p>
        </w:tc>
        <w:tc>
          <w:tcPr>
            <w:tcW w:w="1134" w:type="dxa"/>
            <w:shd w:val="clear" w:color="auto" w:fill="auto"/>
          </w:tcPr>
          <w:p w14:paraId="69FFFA24" w14:textId="33F1A24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9,47%</w:t>
            </w:r>
          </w:p>
        </w:tc>
        <w:tc>
          <w:tcPr>
            <w:tcW w:w="1134" w:type="dxa"/>
          </w:tcPr>
          <w:p w14:paraId="1C2C14E4" w14:textId="62BAF8A3"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5,86%</w:t>
            </w:r>
          </w:p>
        </w:tc>
        <w:tc>
          <w:tcPr>
            <w:tcW w:w="1134" w:type="dxa"/>
          </w:tcPr>
          <w:p w14:paraId="622A3230"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00172B3" w14:textId="77777777" w:rsidTr="000B2FD6">
        <w:tc>
          <w:tcPr>
            <w:tcW w:w="4536" w:type="dxa"/>
          </w:tcPr>
          <w:p w14:paraId="74BEC2EF"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Copper </w:t>
            </w:r>
          </w:p>
        </w:tc>
        <w:tc>
          <w:tcPr>
            <w:tcW w:w="1134" w:type="dxa"/>
          </w:tcPr>
          <w:p w14:paraId="5549421C" w14:textId="3FBFEAA7"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11,01%</w:t>
            </w:r>
          </w:p>
        </w:tc>
        <w:tc>
          <w:tcPr>
            <w:tcW w:w="1276" w:type="dxa"/>
          </w:tcPr>
          <w:p w14:paraId="767A0C9A" w14:textId="3552A52C"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21,67%</w:t>
            </w:r>
          </w:p>
        </w:tc>
        <w:tc>
          <w:tcPr>
            <w:tcW w:w="1134" w:type="dxa"/>
          </w:tcPr>
          <w:p w14:paraId="43426762" w14:textId="277F38DA"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18,08%</w:t>
            </w:r>
          </w:p>
        </w:tc>
        <w:tc>
          <w:tcPr>
            <w:tcW w:w="1134" w:type="dxa"/>
          </w:tcPr>
          <w:p w14:paraId="6584E2C1" w14:textId="16D15032"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22,44%</w:t>
            </w:r>
          </w:p>
        </w:tc>
        <w:tc>
          <w:tcPr>
            <w:tcW w:w="1134" w:type="dxa"/>
          </w:tcPr>
          <w:p w14:paraId="35FC033F" w14:textId="27C07C9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7,57%</w:t>
            </w:r>
          </w:p>
        </w:tc>
        <w:tc>
          <w:tcPr>
            <w:tcW w:w="1134" w:type="dxa"/>
            <w:shd w:val="clear" w:color="auto" w:fill="auto"/>
          </w:tcPr>
          <w:p w14:paraId="20154867" w14:textId="4B0BEC1D"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9,20%</w:t>
            </w:r>
          </w:p>
        </w:tc>
        <w:tc>
          <w:tcPr>
            <w:tcW w:w="1134" w:type="dxa"/>
            <w:shd w:val="clear" w:color="auto" w:fill="auto"/>
          </w:tcPr>
          <w:p w14:paraId="6B8759F4" w14:textId="2B186630"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7,23%</w:t>
            </w:r>
          </w:p>
        </w:tc>
        <w:tc>
          <w:tcPr>
            <w:tcW w:w="1134" w:type="dxa"/>
          </w:tcPr>
          <w:p w14:paraId="4292CADE" w14:textId="4DE9073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5,38%</w:t>
            </w:r>
          </w:p>
        </w:tc>
        <w:tc>
          <w:tcPr>
            <w:tcW w:w="1134" w:type="dxa"/>
          </w:tcPr>
          <w:p w14:paraId="147D8FC7"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658A4FC6" w14:textId="77777777" w:rsidTr="000B2FD6">
        <w:tc>
          <w:tcPr>
            <w:tcW w:w="4536" w:type="dxa"/>
          </w:tcPr>
          <w:p w14:paraId="429A19B7"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Corn </w:t>
            </w:r>
          </w:p>
        </w:tc>
        <w:tc>
          <w:tcPr>
            <w:tcW w:w="1134" w:type="dxa"/>
          </w:tcPr>
          <w:p w14:paraId="2CD94F68" w14:textId="02DADFDE"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(1,17%)</w:t>
            </w:r>
          </w:p>
        </w:tc>
        <w:tc>
          <w:tcPr>
            <w:tcW w:w="1276" w:type="dxa"/>
          </w:tcPr>
          <w:p w14:paraId="27C81F07" w14:textId="5E61A440"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(9,85%)</w:t>
            </w:r>
          </w:p>
        </w:tc>
        <w:tc>
          <w:tcPr>
            <w:tcW w:w="1134" w:type="dxa"/>
          </w:tcPr>
          <w:p w14:paraId="435B05A4" w14:textId="7DD727D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(0,29%)</w:t>
            </w:r>
          </w:p>
        </w:tc>
        <w:tc>
          <w:tcPr>
            <w:tcW w:w="1134" w:type="dxa"/>
          </w:tcPr>
          <w:p w14:paraId="15F443F7" w14:textId="385DA8F1"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(16,42%)</w:t>
            </w:r>
          </w:p>
        </w:tc>
        <w:tc>
          <w:tcPr>
            <w:tcW w:w="1134" w:type="dxa"/>
          </w:tcPr>
          <w:p w14:paraId="56E016F9" w14:textId="42381108"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(2,56%)</w:t>
            </w:r>
          </w:p>
        </w:tc>
        <w:tc>
          <w:tcPr>
            <w:tcW w:w="1134" w:type="dxa"/>
            <w:shd w:val="clear" w:color="auto" w:fill="auto"/>
          </w:tcPr>
          <w:p w14:paraId="6DDE29CB" w14:textId="1570B124"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(5,88%)</w:t>
            </w:r>
          </w:p>
        </w:tc>
        <w:tc>
          <w:tcPr>
            <w:tcW w:w="1134" w:type="dxa"/>
            <w:shd w:val="clear" w:color="auto" w:fill="auto"/>
          </w:tcPr>
          <w:p w14:paraId="7EF63AB1" w14:textId="634A4BB2"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(9,18%)</w:t>
            </w:r>
          </w:p>
        </w:tc>
        <w:tc>
          <w:tcPr>
            <w:tcW w:w="1134" w:type="dxa"/>
          </w:tcPr>
          <w:p w14:paraId="47369282"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139F68F6"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CFA832E" w14:textId="77777777" w:rsidTr="000B2FD6">
        <w:tc>
          <w:tcPr>
            <w:tcW w:w="4536" w:type="dxa"/>
          </w:tcPr>
          <w:p w14:paraId="062357CB"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Oil </w:t>
            </w:r>
          </w:p>
        </w:tc>
        <w:tc>
          <w:tcPr>
            <w:tcW w:w="1134" w:type="dxa"/>
          </w:tcPr>
          <w:p w14:paraId="14EBB9B3" w14:textId="418D3C95"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15,02%</w:t>
            </w:r>
          </w:p>
        </w:tc>
        <w:tc>
          <w:tcPr>
            <w:tcW w:w="1276" w:type="dxa"/>
          </w:tcPr>
          <w:p w14:paraId="323FCF49" w14:textId="5D408097"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16,46%</w:t>
            </w:r>
          </w:p>
        </w:tc>
        <w:tc>
          <w:tcPr>
            <w:tcW w:w="1134" w:type="dxa"/>
          </w:tcPr>
          <w:p w14:paraId="54FFF364" w14:textId="11510E79"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(42,40%)</w:t>
            </w:r>
          </w:p>
        </w:tc>
        <w:tc>
          <w:tcPr>
            <w:tcW w:w="1134" w:type="dxa"/>
          </w:tcPr>
          <w:p w14:paraId="7A29354A" w14:textId="6D4E3CFB"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(38,95%)</w:t>
            </w:r>
          </w:p>
        </w:tc>
        <w:tc>
          <w:tcPr>
            <w:tcW w:w="1134" w:type="dxa"/>
          </w:tcPr>
          <w:p w14:paraId="19EE62A7" w14:textId="31DD14B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(27,25%)</w:t>
            </w:r>
          </w:p>
        </w:tc>
        <w:tc>
          <w:tcPr>
            <w:tcW w:w="1134" w:type="dxa"/>
            <w:shd w:val="clear" w:color="auto" w:fill="auto"/>
          </w:tcPr>
          <w:p w14:paraId="694B636D" w14:textId="7C81E753"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(3,04%)</w:t>
            </w:r>
          </w:p>
        </w:tc>
        <w:tc>
          <w:tcPr>
            <w:tcW w:w="1134" w:type="dxa"/>
            <w:shd w:val="clear" w:color="auto" w:fill="auto"/>
          </w:tcPr>
          <w:p w14:paraId="0C3246BC" w14:textId="4F15B442"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(11,94%)</w:t>
            </w:r>
          </w:p>
        </w:tc>
        <w:tc>
          <w:tcPr>
            <w:tcW w:w="1134" w:type="dxa"/>
          </w:tcPr>
          <w:p w14:paraId="7FD0509E" w14:textId="77777777" w:rsidR="006C22DE" w:rsidRPr="00B81A28" w:rsidRDefault="006C22DE" w:rsidP="000B2FD6">
            <w:pPr>
              <w:spacing w:before="20" w:after="40" w:line="280" w:lineRule="atLeast"/>
              <w:jc w:val="center"/>
              <w:rPr>
                <w:rFonts w:ascii="Verdana" w:hAnsi="Verdana"/>
                <w:sz w:val="16"/>
                <w:szCs w:val="16"/>
              </w:rPr>
            </w:pPr>
            <w:r>
              <w:rPr>
                <w:rFonts w:ascii="Verdana" w:hAnsi="Verdana"/>
                <w:sz w:val="16"/>
                <w:szCs w:val="16"/>
              </w:rPr>
              <w:t>-</w:t>
            </w:r>
          </w:p>
        </w:tc>
        <w:tc>
          <w:tcPr>
            <w:tcW w:w="1134" w:type="dxa"/>
          </w:tcPr>
          <w:p w14:paraId="75B1B1AF"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777545C3" w14:textId="77777777" w:rsidTr="000B2FD6">
        <w:tc>
          <w:tcPr>
            <w:tcW w:w="4536" w:type="dxa"/>
          </w:tcPr>
          <w:p w14:paraId="7187583F"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Standard Bank</w:t>
            </w:r>
            <w:r w:rsidRPr="00B81A28">
              <w:rPr>
                <w:rFonts w:ascii="Verdana" w:hAnsi="Verdana"/>
                <w:sz w:val="16"/>
                <w:szCs w:val="16"/>
              </w:rPr>
              <w:t xml:space="preserve"> Wheat </w:t>
            </w:r>
          </w:p>
        </w:tc>
        <w:tc>
          <w:tcPr>
            <w:tcW w:w="1134" w:type="dxa"/>
          </w:tcPr>
          <w:p w14:paraId="70514F3C" w14:textId="0B95E66E" w:rsidR="006C22DE" w:rsidRPr="00B81A28" w:rsidRDefault="00AC5CA3" w:rsidP="000B2FD6">
            <w:pPr>
              <w:tabs>
                <w:tab w:val="left" w:pos="1050"/>
              </w:tabs>
              <w:spacing w:before="20" w:after="40" w:line="280" w:lineRule="atLeast"/>
              <w:jc w:val="center"/>
              <w:rPr>
                <w:rFonts w:ascii="Verdana" w:hAnsi="Verdana"/>
                <w:sz w:val="16"/>
                <w:szCs w:val="16"/>
              </w:rPr>
            </w:pPr>
            <w:r>
              <w:rPr>
                <w:rFonts w:ascii="Verdana" w:hAnsi="Verdana"/>
                <w:sz w:val="16"/>
                <w:szCs w:val="16"/>
              </w:rPr>
              <w:t>(8,42%)</w:t>
            </w:r>
          </w:p>
        </w:tc>
        <w:tc>
          <w:tcPr>
            <w:tcW w:w="1276" w:type="dxa"/>
          </w:tcPr>
          <w:p w14:paraId="7A59B5CB" w14:textId="170949C4"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(15,82%)</w:t>
            </w:r>
          </w:p>
        </w:tc>
        <w:tc>
          <w:tcPr>
            <w:tcW w:w="1134" w:type="dxa"/>
          </w:tcPr>
          <w:p w14:paraId="5EA01678" w14:textId="65A4670E"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6,73%</w:t>
            </w:r>
          </w:p>
        </w:tc>
        <w:tc>
          <w:tcPr>
            <w:tcW w:w="1134" w:type="dxa"/>
          </w:tcPr>
          <w:p w14:paraId="3E8ADED3" w14:textId="61A439B5"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9,34%</w:t>
            </w:r>
          </w:p>
        </w:tc>
        <w:tc>
          <w:tcPr>
            <w:tcW w:w="1134" w:type="dxa"/>
          </w:tcPr>
          <w:p w14:paraId="70930756" w14:textId="4E800579"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9,13%</w:t>
            </w:r>
          </w:p>
        </w:tc>
        <w:tc>
          <w:tcPr>
            <w:tcW w:w="1134" w:type="dxa"/>
            <w:shd w:val="clear" w:color="auto" w:fill="auto"/>
          </w:tcPr>
          <w:p w14:paraId="538D6168" w14:textId="1831BBAD"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0,62%</w:t>
            </w:r>
          </w:p>
        </w:tc>
        <w:tc>
          <w:tcPr>
            <w:tcW w:w="1134" w:type="dxa"/>
            <w:shd w:val="clear" w:color="auto" w:fill="auto"/>
          </w:tcPr>
          <w:p w14:paraId="71DEB3A9" w14:textId="7095FB43" w:rsidR="006C22DE" w:rsidRPr="00B81A28" w:rsidRDefault="00AC5CA3" w:rsidP="000B2FD6">
            <w:pPr>
              <w:spacing w:before="20" w:after="40" w:line="280" w:lineRule="atLeast"/>
              <w:jc w:val="center"/>
              <w:rPr>
                <w:rFonts w:ascii="Verdana" w:hAnsi="Verdana"/>
                <w:sz w:val="16"/>
                <w:szCs w:val="16"/>
              </w:rPr>
            </w:pPr>
            <w:r>
              <w:rPr>
                <w:rFonts w:ascii="Verdana" w:hAnsi="Verdana"/>
                <w:sz w:val="16"/>
                <w:szCs w:val="16"/>
              </w:rPr>
              <w:t>(4,88%)</w:t>
            </w:r>
          </w:p>
        </w:tc>
        <w:tc>
          <w:tcPr>
            <w:tcW w:w="1134" w:type="dxa"/>
          </w:tcPr>
          <w:p w14:paraId="079F5548"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c>
          <w:tcPr>
            <w:tcW w:w="1134" w:type="dxa"/>
          </w:tcPr>
          <w:p w14:paraId="06975A71"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60A698E9" w14:textId="77777777" w:rsidTr="000B2FD6">
        <w:tc>
          <w:tcPr>
            <w:tcW w:w="4536" w:type="dxa"/>
            <w:shd w:val="clear" w:color="auto" w:fill="4C4C4C"/>
          </w:tcPr>
          <w:p w14:paraId="69024A31" w14:textId="77777777" w:rsidR="006C22DE" w:rsidRPr="0067766B" w:rsidRDefault="006C22DE" w:rsidP="000B2FD6">
            <w:pPr>
              <w:spacing w:before="20" w:after="40" w:line="280" w:lineRule="atLeast"/>
              <w:rPr>
                <w:rFonts w:ascii="Verdana" w:hAnsi="Verdana"/>
                <w:b/>
                <w:caps/>
                <w:color w:val="FFFFFF"/>
                <w:sz w:val="16"/>
                <w:szCs w:val="16"/>
              </w:rPr>
            </w:pPr>
            <w:r>
              <w:rPr>
                <w:rFonts w:ascii="Verdana" w:hAnsi="Verdana"/>
                <w:b/>
                <w:caps/>
                <w:color w:val="FFFFFF"/>
                <w:sz w:val="16"/>
                <w:szCs w:val="16"/>
              </w:rPr>
              <w:t>CURRENCIES</w:t>
            </w:r>
          </w:p>
        </w:tc>
        <w:tc>
          <w:tcPr>
            <w:tcW w:w="1134" w:type="dxa"/>
            <w:shd w:val="clear" w:color="auto" w:fill="4C4C4C"/>
          </w:tcPr>
          <w:p w14:paraId="17E5197D"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276" w:type="dxa"/>
            <w:shd w:val="clear" w:color="auto" w:fill="4C4C4C"/>
          </w:tcPr>
          <w:p w14:paraId="4B0F822A"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2D01501D"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266B2D9F"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78C1F25E"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437BF689"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05ADBF50"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759115DC" w14:textId="77777777" w:rsidR="006C22DE" w:rsidRPr="00B81A28" w:rsidRDefault="006C22DE" w:rsidP="000B2FD6">
            <w:pPr>
              <w:spacing w:before="20" w:after="40" w:line="280" w:lineRule="atLeast"/>
              <w:jc w:val="center"/>
              <w:rPr>
                <w:rFonts w:ascii="Verdana" w:hAnsi="Verdana"/>
                <w:b/>
                <w:color w:val="FFFFFF"/>
                <w:sz w:val="16"/>
                <w:szCs w:val="16"/>
              </w:rPr>
            </w:pPr>
          </w:p>
        </w:tc>
        <w:tc>
          <w:tcPr>
            <w:tcW w:w="1134" w:type="dxa"/>
            <w:shd w:val="clear" w:color="auto" w:fill="4C4C4C"/>
          </w:tcPr>
          <w:p w14:paraId="5A0082CB" w14:textId="77777777" w:rsidR="006C22DE" w:rsidRPr="00B81A28" w:rsidRDefault="006C22DE" w:rsidP="000B2FD6">
            <w:pPr>
              <w:spacing w:before="20" w:after="40" w:line="280" w:lineRule="atLeast"/>
              <w:jc w:val="center"/>
              <w:rPr>
                <w:rFonts w:ascii="Verdana" w:hAnsi="Verdana"/>
                <w:b/>
                <w:color w:val="FFFFFF"/>
                <w:sz w:val="16"/>
                <w:szCs w:val="16"/>
              </w:rPr>
            </w:pPr>
          </w:p>
        </w:tc>
      </w:tr>
      <w:tr w:rsidR="006C22DE" w:rsidRPr="00B81A28" w14:paraId="5CA246B1" w14:textId="77777777" w:rsidTr="000B2FD6">
        <w:tc>
          <w:tcPr>
            <w:tcW w:w="14884" w:type="dxa"/>
            <w:gridSpan w:val="10"/>
            <w:shd w:val="clear" w:color="auto" w:fill="7583BD"/>
            <w:vAlign w:val="center"/>
          </w:tcPr>
          <w:p w14:paraId="72450373" w14:textId="77777777" w:rsidR="006C22DE" w:rsidRPr="00B81A28" w:rsidRDefault="006C22DE" w:rsidP="000B2FD6">
            <w:pPr>
              <w:spacing w:before="20" w:after="40" w:line="260" w:lineRule="atLeast"/>
              <w:rPr>
                <w:rFonts w:ascii="Verdana" w:hAnsi="Verdana"/>
                <w:b/>
                <w:color w:val="FFFFFF" w:themeColor="background1"/>
                <w:sz w:val="16"/>
                <w:szCs w:val="16"/>
              </w:rPr>
            </w:pPr>
            <w:r>
              <w:rPr>
                <w:rFonts w:ascii="Verdana" w:hAnsi="Verdana"/>
                <w:b/>
                <w:color w:val="FFFFFF" w:themeColor="background1"/>
                <w:sz w:val="16"/>
                <w:szCs w:val="16"/>
              </w:rPr>
              <w:t>ETNS</w:t>
            </w:r>
          </w:p>
        </w:tc>
      </w:tr>
      <w:tr w:rsidR="006C22DE" w:rsidRPr="00B81A28" w14:paraId="27B2039B" w14:textId="77777777" w:rsidTr="000B2FD6">
        <w:tc>
          <w:tcPr>
            <w:tcW w:w="4536" w:type="dxa"/>
          </w:tcPr>
          <w:p w14:paraId="587ECE23"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NewWave EURO</w:t>
            </w:r>
          </w:p>
        </w:tc>
        <w:tc>
          <w:tcPr>
            <w:tcW w:w="1134" w:type="dxa"/>
          </w:tcPr>
          <w:p w14:paraId="13B70CC1" w14:textId="72C0714C" w:rsidR="006C22DE" w:rsidRPr="00B81A28" w:rsidRDefault="005D4900" w:rsidP="000B2FD6">
            <w:pPr>
              <w:tabs>
                <w:tab w:val="left" w:pos="1050"/>
              </w:tabs>
              <w:spacing w:before="20" w:after="40" w:line="280" w:lineRule="atLeast"/>
              <w:jc w:val="center"/>
              <w:rPr>
                <w:rFonts w:ascii="Verdana" w:hAnsi="Verdana"/>
                <w:sz w:val="16"/>
                <w:szCs w:val="16"/>
              </w:rPr>
            </w:pPr>
            <w:r>
              <w:rPr>
                <w:rFonts w:ascii="Verdana" w:hAnsi="Verdana"/>
                <w:sz w:val="16"/>
                <w:szCs w:val="16"/>
              </w:rPr>
              <w:t>(0,36%)</w:t>
            </w:r>
          </w:p>
        </w:tc>
        <w:tc>
          <w:tcPr>
            <w:tcW w:w="1276" w:type="dxa"/>
          </w:tcPr>
          <w:p w14:paraId="7070FB23" w14:textId="366E299A"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(1,77%)</w:t>
            </w:r>
          </w:p>
        </w:tc>
        <w:tc>
          <w:tcPr>
            <w:tcW w:w="1134" w:type="dxa"/>
          </w:tcPr>
          <w:p w14:paraId="395F624E" w14:textId="2FAE1984"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23,09%</w:t>
            </w:r>
          </w:p>
        </w:tc>
        <w:tc>
          <w:tcPr>
            <w:tcW w:w="1134" w:type="dxa"/>
          </w:tcPr>
          <w:p w14:paraId="1B4B1617" w14:textId="2190E16A"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21,02%</w:t>
            </w:r>
          </w:p>
        </w:tc>
        <w:tc>
          <w:tcPr>
            <w:tcW w:w="1134" w:type="dxa"/>
          </w:tcPr>
          <w:p w14:paraId="2A9B3C56" w14:textId="57EE438C"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10,08%</w:t>
            </w:r>
          </w:p>
        </w:tc>
        <w:tc>
          <w:tcPr>
            <w:tcW w:w="1134" w:type="dxa"/>
            <w:shd w:val="clear" w:color="auto" w:fill="auto"/>
          </w:tcPr>
          <w:p w14:paraId="206669C3" w14:textId="507063D7"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9,14%</w:t>
            </w:r>
          </w:p>
        </w:tc>
        <w:tc>
          <w:tcPr>
            <w:tcW w:w="1134" w:type="dxa"/>
            <w:shd w:val="clear" w:color="auto" w:fill="auto"/>
          </w:tcPr>
          <w:p w14:paraId="13F4325D" w14:textId="6EA3AFB5"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7,35%</w:t>
            </w:r>
          </w:p>
        </w:tc>
        <w:tc>
          <w:tcPr>
            <w:tcW w:w="1134" w:type="dxa"/>
          </w:tcPr>
          <w:p w14:paraId="1A3CC911" w14:textId="5CCA0B6D"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5,89%</w:t>
            </w:r>
          </w:p>
        </w:tc>
        <w:tc>
          <w:tcPr>
            <w:tcW w:w="1134" w:type="dxa"/>
          </w:tcPr>
          <w:p w14:paraId="28FA5C41"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92937DC" w14:textId="77777777" w:rsidTr="000B2FD6">
        <w:tc>
          <w:tcPr>
            <w:tcW w:w="4536" w:type="dxa"/>
          </w:tcPr>
          <w:p w14:paraId="73410A8D"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NewWave Pound</w:t>
            </w:r>
          </w:p>
        </w:tc>
        <w:tc>
          <w:tcPr>
            <w:tcW w:w="1134" w:type="dxa"/>
          </w:tcPr>
          <w:p w14:paraId="213EBABC" w14:textId="77B1A8A8" w:rsidR="006C22DE" w:rsidRPr="00B81A28" w:rsidRDefault="005D4900" w:rsidP="000B2FD6">
            <w:pPr>
              <w:tabs>
                <w:tab w:val="left" w:pos="1050"/>
              </w:tabs>
              <w:spacing w:before="20" w:after="40" w:line="280" w:lineRule="atLeast"/>
              <w:jc w:val="center"/>
              <w:rPr>
                <w:rFonts w:ascii="Verdana" w:hAnsi="Verdana"/>
                <w:sz w:val="16"/>
                <w:szCs w:val="16"/>
              </w:rPr>
            </w:pPr>
            <w:r>
              <w:rPr>
                <w:rFonts w:ascii="Verdana" w:hAnsi="Verdana"/>
                <w:sz w:val="16"/>
                <w:szCs w:val="16"/>
              </w:rPr>
              <w:t>(1,38%)</w:t>
            </w:r>
          </w:p>
        </w:tc>
        <w:tc>
          <w:tcPr>
            <w:tcW w:w="1276" w:type="dxa"/>
          </w:tcPr>
          <w:p w14:paraId="7E8E8D58" w14:textId="6F05B981"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(3,69%)</w:t>
            </w:r>
          </w:p>
        </w:tc>
        <w:tc>
          <w:tcPr>
            <w:tcW w:w="1134" w:type="dxa"/>
          </w:tcPr>
          <w:p w14:paraId="3DD15B03" w14:textId="52A0383A"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15,70%</w:t>
            </w:r>
          </w:p>
        </w:tc>
        <w:tc>
          <w:tcPr>
            <w:tcW w:w="1134" w:type="dxa"/>
          </w:tcPr>
          <w:p w14:paraId="239D4740" w14:textId="0BAF375A"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19,42%</w:t>
            </w:r>
          </w:p>
        </w:tc>
        <w:tc>
          <w:tcPr>
            <w:tcW w:w="1134" w:type="dxa"/>
          </w:tcPr>
          <w:p w14:paraId="63C32ED3" w14:textId="70D3B7C5"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9,03%</w:t>
            </w:r>
          </w:p>
        </w:tc>
        <w:tc>
          <w:tcPr>
            <w:tcW w:w="1134" w:type="dxa"/>
            <w:shd w:val="clear" w:color="auto" w:fill="auto"/>
          </w:tcPr>
          <w:p w14:paraId="51E846EB" w14:textId="4D98F2EB"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8,33%</w:t>
            </w:r>
          </w:p>
        </w:tc>
        <w:tc>
          <w:tcPr>
            <w:tcW w:w="1134" w:type="dxa"/>
            <w:shd w:val="clear" w:color="auto" w:fill="auto"/>
          </w:tcPr>
          <w:p w14:paraId="56F57F49" w14:textId="2AA5CC2B"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2,43%</w:t>
            </w:r>
          </w:p>
        </w:tc>
        <w:tc>
          <w:tcPr>
            <w:tcW w:w="1134" w:type="dxa"/>
          </w:tcPr>
          <w:p w14:paraId="2320EC29" w14:textId="3581CE1F"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5,34%</w:t>
            </w:r>
          </w:p>
        </w:tc>
        <w:tc>
          <w:tcPr>
            <w:tcW w:w="1134" w:type="dxa"/>
          </w:tcPr>
          <w:p w14:paraId="4110B62A"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0D72E161" w14:textId="77777777" w:rsidTr="000B2FD6">
        <w:tc>
          <w:tcPr>
            <w:tcW w:w="4536" w:type="dxa"/>
          </w:tcPr>
          <w:p w14:paraId="7D50BB26" w14:textId="77777777" w:rsidR="006C22DE" w:rsidRPr="00B81A28" w:rsidRDefault="006C22DE" w:rsidP="000B2FD6">
            <w:pPr>
              <w:spacing w:before="20" w:after="40" w:line="280" w:lineRule="atLeast"/>
              <w:rPr>
                <w:rFonts w:ascii="Verdana" w:hAnsi="Verdana"/>
                <w:sz w:val="16"/>
                <w:szCs w:val="16"/>
              </w:rPr>
            </w:pPr>
            <w:r>
              <w:rPr>
                <w:rFonts w:ascii="Verdana" w:hAnsi="Verdana"/>
                <w:sz w:val="16"/>
                <w:szCs w:val="16"/>
              </w:rPr>
              <w:t>Absa</w:t>
            </w:r>
            <w:r w:rsidRPr="00B81A28">
              <w:rPr>
                <w:rFonts w:ascii="Verdana" w:hAnsi="Verdana"/>
                <w:sz w:val="16"/>
                <w:szCs w:val="16"/>
              </w:rPr>
              <w:t xml:space="preserve"> NewWave US Dollar</w:t>
            </w:r>
          </w:p>
        </w:tc>
        <w:tc>
          <w:tcPr>
            <w:tcW w:w="1134" w:type="dxa"/>
          </w:tcPr>
          <w:p w14:paraId="1D28A4E8" w14:textId="43322B2C" w:rsidR="006C22DE" w:rsidRPr="00B81A28" w:rsidRDefault="005D4900" w:rsidP="000B2FD6">
            <w:pPr>
              <w:tabs>
                <w:tab w:val="left" w:pos="1050"/>
              </w:tabs>
              <w:spacing w:before="20" w:after="40" w:line="280" w:lineRule="atLeast"/>
              <w:jc w:val="center"/>
              <w:rPr>
                <w:rFonts w:ascii="Verdana" w:hAnsi="Verdana"/>
                <w:sz w:val="16"/>
                <w:szCs w:val="16"/>
              </w:rPr>
            </w:pPr>
            <w:r>
              <w:rPr>
                <w:rFonts w:ascii="Verdana" w:hAnsi="Verdana"/>
                <w:sz w:val="16"/>
                <w:szCs w:val="16"/>
              </w:rPr>
              <w:t>(1,02%)</w:t>
            </w:r>
          </w:p>
        </w:tc>
        <w:tc>
          <w:tcPr>
            <w:tcW w:w="1276" w:type="dxa"/>
          </w:tcPr>
          <w:p w14:paraId="3B4B14C0" w14:textId="75C79837"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(3,34%)</w:t>
            </w:r>
          </w:p>
        </w:tc>
        <w:tc>
          <w:tcPr>
            <w:tcW w:w="1134" w:type="dxa"/>
          </w:tcPr>
          <w:p w14:paraId="4A67D3A1" w14:textId="7A632BEF"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23,36%</w:t>
            </w:r>
          </w:p>
        </w:tc>
        <w:tc>
          <w:tcPr>
            <w:tcW w:w="1134" w:type="dxa"/>
          </w:tcPr>
          <w:p w14:paraId="0C2EA514" w14:textId="67538CEE"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24,29%</w:t>
            </w:r>
          </w:p>
        </w:tc>
        <w:tc>
          <w:tcPr>
            <w:tcW w:w="1134" w:type="dxa"/>
          </w:tcPr>
          <w:p w14:paraId="747F9EB8" w14:textId="4B712B05"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14,66%</w:t>
            </w:r>
          </w:p>
        </w:tc>
        <w:tc>
          <w:tcPr>
            <w:tcW w:w="1134" w:type="dxa"/>
            <w:shd w:val="clear" w:color="auto" w:fill="auto"/>
          </w:tcPr>
          <w:p w14:paraId="5EF8EA5C" w14:textId="0B0AADBE"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11,52%</w:t>
            </w:r>
          </w:p>
        </w:tc>
        <w:tc>
          <w:tcPr>
            <w:tcW w:w="1134" w:type="dxa"/>
            <w:shd w:val="clear" w:color="auto" w:fill="auto"/>
          </w:tcPr>
          <w:p w14:paraId="0E43AC75" w14:textId="734C4874"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8,48%</w:t>
            </w:r>
          </w:p>
        </w:tc>
        <w:tc>
          <w:tcPr>
            <w:tcW w:w="1134" w:type="dxa"/>
          </w:tcPr>
          <w:p w14:paraId="553BC098" w14:textId="0B24832A" w:rsidR="006C22DE" w:rsidRPr="00B81A28" w:rsidRDefault="005D4900" w:rsidP="000B2FD6">
            <w:pPr>
              <w:spacing w:before="20" w:after="40" w:line="280" w:lineRule="atLeast"/>
              <w:jc w:val="center"/>
              <w:rPr>
                <w:rFonts w:ascii="Verdana" w:hAnsi="Verdana"/>
                <w:sz w:val="16"/>
                <w:szCs w:val="16"/>
              </w:rPr>
            </w:pPr>
            <w:r>
              <w:rPr>
                <w:rFonts w:ascii="Verdana" w:hAnsi="Verdana"/>
                <w:sz w:val="16"/>
                <w:szCs w:val="16"/>
              </w:rPr>
              <w:t>8,89%</w:t>
            </w:r>
          </w:p>
        </w:tc>
        <w:tc>
          <w:tcPr>
            <w:tcW w:w="1134" w:type="dxa"/>
          </w:tcPr>
          <w:p w14:paraId="70587AFB" w14:textId="77777777" w:rsidR="006C22DE" w:rsidRPr="00B81A28" w:rsidRDefault="006C22DE" w:rsidP="000B2FD6">
            <w:pPr>
              <w:spacing w:before="2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C3C3F0D" w14:textId="77777777" w:rsidTr="000B2FD6">
        <w:tc>
          <w:tcPr>
            <w:tcW w:w="14884" w:type="dxa"/>
            <w:gridSpan w:val="10"/>
            <w:vAlign w:val="center"/>
          </w:tcPr>
          <w:p w14:paraId="0B3CF2D3" w14:textId="77777777" w:rsidR="006C22DE" w:rsidRPr="00FC742B" w:rsidRDefault="006C22DE" w:rsidP="000B2FD6">
            <w:pPr>
              <w:spacing w:after="40" w:line="260" w:lineRule="atLeast"/>
              <w:rPr>
                <w:rFonts w:ascii="Verdana" w:hAnsi="Verdana"/>
                <w:i/>
                <w:sz w:val="15"/>
                <w:szCs w:val="15"/>
              </w:rPr>
            </w:pPr>
            <w:r w:rsidRPr="00FC742B">
              <w:rPr>
                <w:rFonts w:ascii="Verdana" w:hAnsi="Verdana"/>
                <w:i/>
                <w:sz w:val="15"/>
                <w:szCs w:val="15"/>
              </w:rPr>
              <w:t>Source: etfSA.co.za / Profile Media – Funds Data (</w:t>
            </w:r>
            <w:r>
              <w:rPr>
                <w:rFonts w:ascii="Verdana" w:hAnsi="Verdana"/>
                <w:i/>
                <w:sz w:val="15"/>
                <w:szCs w:val="15"/>
              </w:rPr>
              <w:t>30</w:t>
            </w:r>
            <w:r w:rsidRPr="00FC742B">
              <w:rPr>
                <w:rFonts w:ascii="Verdana" w:hAnsi="Verdana"/>
                <w:i/>
                <w:sz w:val="15"/>
                <w:szCs w:val="15"/>
              </w:rPr>
              <w:t>/</w:t>
            </w:r>
            <w:r>
              <w:rPr>
                <w:rFonts w:ascii="Verdana" w:hAnsi="Verdana"/>
                <w:i/>
                <w:sz w:val="15"/>
                <w:szCs w:val="15"/>
              </w:rPr>
              <w:t>6</w:t>
            </w:r>
            <w:r w:rsidRPr="00FC742B">
              <w:rPr>
                <w:rFonts w:ascii="Verdana" w:hAnsi="Verdana"/>
                <w:i/>
                <w:sz w:val="15"/>
                <w:szCs w:val="15"/>
              </w:rPr>
              <w:t>/</w:t>
            </w:r>
            <w:r>
              <w:rPr>
                <w:rFonts w:ascii="Verdana" w:hAnsi="Verdana"/>
                <w:i/>
                <w:sz w:val="15"/>
                <w:szCs w:val="15"/>
              </w:rPr>
              <w:t>2020</w:t>
            </w:r>
            <w:r w:rsidRPr="00FC742B">
              <w:rPr>
                <w:rFonts w:ascii="Verdana" w:hAnsi="Verdana"/>
                <w:i/>
                <w:sz w:val="15"/>
                <w:szCs w:val="15"/>
              </w:rPr>
              <w:t>)</w:t>
            </w:r>
          </w:p>
        </w:tc>
      </w:tr>
      <w:bookmarkEnd w:id="7"/>
    </w:tbl>
    <w:p w14:paraId="6E4BAA9D" w14:textId="77777777" w:rsidR="006C22DE" w:rsidRPr="0054627D" w:rsidRDefault="006C22DE" w:rsidP="006C22DE">
      <w:pPr>
        <w:spacing w:after="0" w:line="240" w:lineRule="auto"/>
        <w:ind w:right="567"/>
        <w:jc w:val="both"/>
        <w:rPr>
          <w:rFonts w:ascii="Verdana" w:hAnsi="Verdana"/>
          <w:sz w:val="4"/>
          <w:szCs w:val="4"/>
        </w:rPr>
      </w:pPr>
    </w:p>
    <w:p w14:paraId="67DD4185" w14:textId="77777777" w:rsidR="006C22DE" w:rsidRPr="00020C60" w:rsidRDefault="006C22DE" w:rsidP="006C22DE">
      <w:pPr>
        <w:pBdr>
          <w:top w:val="single" w:sz="4" w:space="1" w:color="auto"/>
        </w:pBdr>
        <w:spacing w:after="0" w:line="240" w:lineRule="auto"/>
        <w:ind w:right="567"/>
        <w:rPr>
          <w:rFonts w:ascii="Verdana" w:hAnsi="Verdana"/>
          <w:sz w:val="12"/>
          <w:szCs w:val="12"/>
          <w:lang w:eastAsia="en-ZA"/>
        </w:rPr>
      </w:pPr>
      <w:r w:rsidRPr="00020C60">
        <w:rPr>
          <w:rFonts w:ascii="Verdana" w:hAnsi="Verdana"/>
          <w:b/>
          <w:i/>
          <w:color w:val="0F0D35"/>
          <w:sz w:val="12"/>
          <w:szCs w:val="12"/>
        </w:rPr>
        <w:t xml:space="preserve">Disclaimer: </w:t>
      </w:r>
      <w:r w:rsidRPr="00020C60">
        <w:rPr>
          <w:rFonts w:ascii="Verdana" w:hAnsi="Verdana"/>
          <w:color w:val="000000"/>
          <w:sz w:val="12"/>
          <w:szCs w:val="12"/>
          <w:shd w:val="clear" w:color="auto" w:fill="FFFFFF"/>
          <w:lang w:eastAsia="en-ZA"/>
        </w:rPr>
        <w:t>The Exchange Traded Products (ETPs) contained herein are mainly Collective Investment Schemes in Securities (CIS) and other listed securities which are generally medium to long-term investments that contain elements of risk and can be affected by market values, interest rates, exchange rates, volatility, dividend yields and issuer credit ratings. ETPs are listed on the Johannesburg, or other Stock Exchanges, and trade at ruling prices on such Exchanges.</w:t>
      </w:r>
    </w:p>
    <w:p w14:paraId="2E276827" w14:textId="77777777" w:rsidR="006C22DE" w:rsidRPr="00020C60" w:rsidRDefault="006C22DE" w:rsidP="006C22DE">
      <w:pPr>
        <w:pBdr>
          <w:bottom w:val="single" w:sz="4" w:space="1" w:color="auto"/>
        </w:pBdr>
        <w:shd w:val="clear" w:color="auto" w:fill="FFFFFF"/>
        <w:spacing w:after="0" w:line="240" w:lineRule="auto"/>
        <w:ind w:right="567"/>
        <w:jc w:val="both"/>
        <w:rPr>
          <w:rFonts w:ascii="Verdana" w:hAnsi="Verdana"/>
          <w:color w:val="000000"/>
          <w:sz w:val="12"/>
          <w:szCs w:val="12"/>
          <w:lang w:eastAsia="en-ZA"/>
        </w:rPr>
      </w:pPr>
      <w:r w:rsidRPr="00020C60">
        <w:rPr>
          <w:rFonts w:ascii="Verdana" w:hAnsi="Verdana"/>
          <w:color w:val="000000"/>
          <w:sz w:val="12"/>
          <w:szCs w:val="12"/>
          <w:lang w:eastAsia="en-ZA"/>
        </w:rPr>
        <w:t>The price of ETPs can go up as well as down and past performance is not necessarily a guide to the future. The ETP's herein are listed on the Johannesburg Stock Exchange Limited and trading in ETP securities will incur trading and settlement costs. ETF securities are traded at ruling prices and can engage in scrip lending.</w:t>
      </w:r>
    </w:p>
    <w:p w14:paraId="38D37C08" w14:textId="77777777" w:rsidR="006C22DE" w:rsidRPr="00020C60" w:rsidRDefault="006C22DE" w:rsidP="006C22DE">
      <w:pPr>
        <w:pBdr>
          <w:bottom w:val="single" w:sz="4" w:space="1" w:color="auto"/>
        </w:pBdr>
        <w:shd w:val="clear" w:color="auto" w:fill="FFFFFF"/>
        <w:spacing w:after="0" w:line="240" w:lineRule="auto"/>
        <w:ind w:right="567"/>
        <w:jc w:val="both"/>
        <w:rPr>
          <w:rFonts w:ascii="Verdana" w:hAnsi="Verdana"/>
          <w:color w:val="000000"/>
          <w:sz w:val="12"/>
          <w:szCs w:val="12"/>
          <w:lang w:eastAsia="en-ZA"/>
        </w:rPr>
      </w:pPr>
      <w:r w:rsidRPr="00020C60">
        <w:rPr>
          <w:rFonts w:ascii="Verdana" w:hAnsi="Verdana"/>
          <w:color w:val="000000"/>
          <w:sz w:val="12"/>
          <w:szCs w:val="12"/>
          <w:lang w:eastAsia="en-ZA"/>
        </w:rPr>
        <w:t>The information and opinions provided herein are of a general nature and do not constitute investment advice. Whilst every care has been taken, no representation, warranty or undertaking, expressed or implied, is given as to the accuracy or completeness thereof.</w:t>
      </w:r>
    </w:p>
    <w:p w14:paraId="244A0CE9" w14:textId="77777777" w:rsidR="006C22DE" w:rsidRPr="00020C60" w:rsidRDefault="006C22DE" w:rsidP="006C22DE">
      <w:pPr>
        <w:pBdr>
          <w:bottom w:val="single" w:sz="4" w:space="1" w:color="auto"/>
        </w:pBdr>
        <w:shd w:val="clear" w:color="auto" w:fill="FFFFFF"/>
        <w:spacing w:after="0" w:line="240" w:lineRule="auto"/>
        <w:ind w:right="567"/>
        <w:jc w:val="both"/>
        <w:rPr>
          <w:rFonts w:ascii="Verdana" w:hAnsi="Verdana"/>
          <w:color w:val="000000"/>
          <w:sz w:val="12"/>
          <w:szCs w:val="12"/>
          <w:lang w:eastAsia="en-ZA"/>
        </w:rPr>
      </w:pPr>
      <w:r w:rsidRPr="00020C60">
        <w:rPr>
          <w:rFonts w:ascii="Verdana" w:hAnsi="Verdana"/>
          <w:color w:val="000000"/>
          <w:sz w:val="12"/>
          <w:szCs w:val="12"/>
          <w:lang w:eastAsia="en-ZA"/>
        </w:rPr>
        <w:t>etfSA.co.za is managed by M F Brown, who is a registered financial services provider (FSP No. 39217). M F Brown has Professional Indemnity Insurance as required by FAIS. The etfSA Investment Services Company (Pty) Ltd (FSP No 40107) provides asset management as well as financial intermediary and advice services. It uses Exchange Traded Products to construct portfolios for use in Retirement Annuity, Tax Free and Discretionary investments. It holds Professional Indemnity insurance and Fidelity Guarantee insurance as required by FAIS.</w:t>
      </w:r>
    </w:p>
    <w:p w14:paraId="47DDFD7E" w14:textId="77777777" w:rsidR="006C22DE" w:rsidRPr="00020C60" w:rsidRDefault="006C22DE" w:rsidP="006C22DE">
      <w:pPr>
        <w:pBdr>
          <w:bottom w:val="single" w:sz="4" w:space="1" w:color="auto"/>
        </w:pBdr>
        <w:shd w:val="clear" w:color="auto" w:fill="FFFFFF"/>
        <w:spacing w:after="0" w:line="240" w:lineRule="auto"/>
        <w:ind w:right="567"/>
        <w:jc w:val="both"/>
        <w:rPr>
          <w:rFonts w:ascii="Verdana" w:hAnsi="Verdana"/>
          <w:color w:val="000000"/>
          <w:sz w:val="12"/>
          <w:szCs w:val="12"/>
          <w:lang w:eastAsia="en-ZA"/>
        </w:rPr>
      </w:pPr>
      <w:r w:rsidRPr="00020C60">
        <w:rPr>
          <w:rFonts w:ascii="Verdana" w:hAnsi="Verdana"/>
          <w:color w:val="000000"/>
          <w:sz w:val="12"/>
          <w:szCs w:val="12"/>
          <w:lang w:eastAsia="en-ZA"/>
        </w:rPr>
        <w:t>All opinions and information on this website may be changed at any time without notice. Redistribution, reproduction, the resale or transmission to any third party of the contents of this website, whether by email, newsletter, internet or website, is only possible with the written permission of etfSA. etfSA.co.za, its sponsors, administrators, contributors and product providers disclaim any liability for any loss, damage, or expense that might occur from the use of or reliance on the data and services provided through this website. etfSA.co.za® and etfSA The Home of Exchange Traded Funds® are registered trademarks in the Republic of South Africa.</w:t>
      </w:r>
    </w:p>
    <w:p w14:paraId="2A52A31E" w14:textId="77777777" w:rsidR="006C22DE" w:rsidRDefault="006C22DE" w:rsidP="006C22DE">
      <w:pPr>
        <w:pBdr>
          <w:top w:val="single" w:sz="4" w:space="1" w:color="auto"/>
        </w:pBdr>
        <w:spacing w:after="0" w:line="240" w:lineRule="auto"/>
        <w:jc w:val="center"/>
        <w:rPr>
          <w:rFonts w:ascii="Verdana" w:hAnsi="Verdana"/>
          <w:sz w:val="15"/>
          <w:szCs w:val="15"/>
        </w:rPr>
      </w:pPr>
      <w:r w:rsidRPr="00B81A28">
        <w:rPr>
          <w:rFonts w:ascii="Verdana" w:hAnsi="Verdana"/>
          <w:sz w:val="15"/>
          <w:szCs w:val="15"/>
        </w:rPr>
        <w:br w:type="page"/>
      </w:r>
    </w:p>
    <w:p w14:paraId="3F486F4B" w14:textId="77777777" w:rsidR="006C22DE" w:rsidRPr="00B81A28" w:rsidRDefault="006C22DE" w:rsidP="006C22DE">
      <w:pPr>
        <w:pBdr>
          <w:top w:val="single" w:sz="4" w:space="1" w:color="auto"/>
        </w:pBdr>
        <w:spacing w:after="0" w:line="240" w:lineRule="auto"/>
        <w:rPr>
          <w:rFonts w:ascii="Verdana" w:hAnsi="Verdana"/>
          <w:sz w:val="15"/>
          <w:szCs w:val="15"/>
        </w:rPr>
      </w:pPr>
    </w:p>
    <w:p w14:paraId="58E26F54"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drawing>
          <wp:inline distT="0" distB="0" distL="0" distR="0" wp14:anchorId="1615A25D" wp14:editId="57028FC4">
            <wp:extent cx="3057525" cy="642486"/>
            <wp:effectExtent l="0" t="0" r="0" b="5715"/>
            <wp:docPr id="17" name="Picture 17"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606"/>
        <w:gridCol w:w="1607"/>
        <w:gridCol w:w="1606"/>
        <w:gridCol w:w="1607"/>
        <w:gridCol w:w="1606"/>
        <w:gridCol w:w="1607"/>
      </w:tblGrid>
      <w:tr w:rsidR="006C22DE" w:rsidRPr="00B81A28" w14:paraId="547A6C3A" w14:textId="77777777" w:rsidTr="000B2FD6">
        <w:tc>
          <w:tcPr>
            <w:tcW w:w="14884" w:type="dxa"/>
            <w:gridSpan w:val="7"/>
            <w:shd w:val="clear" w:color="auto" w:fill="CB2229"/>
            <w:vAlign w:val="center"/>
          </w:tcPr>
          <w:p w14:paraId="01D5D69E"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03970A7F"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 xml:space="preserve">30 June 2020   </w:t>
            </w:r>
            <w:r w:rsidRPr="00B81A28">
              <w:rPr>
                <w:rFonts w:ascii="Verdana" w:hAnsi="Verdana"/>
                <w:b/>
                <w:color w:val="FFFFFF"/>
                <w:sz w:val="20"/>
                <w:szCs w:val="20"/>
              </w:rPr>
              <w:t>(Total Returns – dividends reinvested)</w:t>
            </w:r>
          </w:p>
        </w:tc>
      </w:tr>
      <w:tr w:rsidR="006C22DE" w:rsidRPr="00B81A28" w14:paraId="569DE2BC" w14:textId="77777777" w:rsidTr="000B2FD6">
        <w:tc>
          <w:tcPr>
            <w:tcW w:w="5245" w:type="dxa"/>
            <w:shd w:val="clear" w:color="auto" w:fill="4C4C4C"/>
          </w:tcPr>
          <w:p w14:paraId="7796BF7B" w14:textId="77777777" w:rsidR="006C22DE" w:rsidRPr="0067766B" w:rsidRDefault="006C22DE" w:rsidP="000B2FD6">
            <w:pPr>
              <w:spacing w:before="40" w:after="40" w:line="300" w:lineRule="atLeast"/>
              <w:rPr>
                <w:rFonts w:ascii="Verdana" w:hAnsi="Verdana"/>
                <w:b/>
                <w:caps/>
                <w:color w:val="FFFFFF"/>
                <w:sz w:val="16"/>
                <w:szCs w:val="16"/>
              </w:rPr>
            </w:pPr>
            <w:r>
              <w:rPr>
                <w:rFonts w:ascii="Verdana" w:hAnsi="Verdana"/>
                <w:b/>
                <w:caps/>
                <w:color w:val="FFFFFF"/>
                <w:sz w:val="16"/>
                <w:szCs w:val="16"/>
              </w:rPr>
              <w:t>INDEX TRACKING UNIT TRUSTS</w:t>
            </w:r>
          </w:p>
        </w:tc>
        <w:tc>
          <w:tcPr>
            <w:tcW w:w="1606" w:type="dxa"/>
            <w:shd w:val="clear" w:color="auto" w:fill="4C4C4C"/>
          </w:tcPr>
          <w:p w14:paraId="6D3CBB1B"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607" w:type="dxa"/>
            <w:shd w:val="clear" w:color="auto" w:fill="4C4C4C"/>
          </w:tcPr>
          <w:p w14:paraId="4DE2EA87"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606" w:type="dxa"/>
            <w:shd w:val="clear" w:color="auto" w:fill="4C4C4C"/>
          </w:tcPr>
          <w:p w14:paraId="154C104B"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607" w:type="dxa"/>
            <w:shd w:val="clear" w:color="auto" w:fill="4C4C4C"/>
          </w:tcPr>
          <w:p w14:paraId="2219B928"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606" w:type="dxa"/>
            <w:shd w:val="clear" w:color="auto" w:fill="4C4C4C"/>
          </w:tcPr>
          <w:p w14:paraId="4FE0F7F1"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607" w:type="dxa"/>
            <w:shd w:val="clear" w:color="auto" w:fill="4C4C4C"/>
          </w:tcPr>
          <w:p w14:paraId="0494AC2D" w14:textId="77777777" w:rsidR="006C22DE" w:rsidRPr="00B81A28" w:rsidRDefault="006C22DE" w:rsidP="000B2FD6">
            <w:pPr>
              <w:spacing w:before="40" w:after="40" w:line="30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2ED63438" w14:textId="77777777" w:rsidTr="000B2FD6">
        <w:tc>
          <w:tcPr>
            <w:tcW w:w="5245" w:type="dxa"/>
            <w:shd w:val="clear" w:color="auto" w:fill="auto"/>
          </w:tcPr>
          <w:p w14:paraId="02101C78" w14:textId="77777777" w:rsidR="006C22DE" w:rsidRPr="00AE5F39" w:rsidRDefault="006C22DE" w:rsidP="000B2FD6">
            <w:pPr>
              <w:spacing w:before="40" w:after="40" w:line="300" w:lineRule="atLeast"/>
              <w:rPr>
                <w:rFonts w:ascii="Verdana" w:hAnsi="Verdana"/>
                <w:b/>
                <w:color w:val="000000" w:themeColor="text1"/>
                <w:sz w:val="16"/>
                <w:szCs w:val="16"/>
              </w:rPr>
            </w:pPr>
            <w:r w:rsidRPr="00AE5F39">
              <w:rPr>
                <w:rFonts w:ascii="Verdana" w:hAnsi="Verdana"/>
                <w:b/>
                <w:color w:val="000000" w:themeColor="text1"/>
                <w:sz w:val="16"/>
                <w:szCs w:val="16"/>
              </w:rPr>
              <w:t>FTSE/JSE TOP 40 INDEX (Total Return)</w:t>
            </w:r>
          </w:p>
        </w:tc>
        <w:tc>
          <w:tcPr>
            <w:tcW w:w="1606" w:type="dxa"/>
            <w:shd w:val="clear" w:color="auto" w:fill="auto"/>
          </w:tcPr>
          <w:p w14:paraId="3F20D6B9" w14:textId="7E07CB3B" w:rsidR="006C22DE" w:rsidRPr="00AE5F39" w:rsidRDefault="005D4900" w:rsidP="000B2FD6">
            <w:pPr>
              <w:tabs>
                <w:tab w:val="left" w:pos="1050"/>
              </w:tabs>
              <w:spacing w:before="40" w:after="40" w:line="300" w:lineRule="atLeast"/>
              <w:jc w:val="center"/>
              <w:rPr>
                <w:rFonts w:ascii="Verdana" w:hAnsi="Verdana"/>
                <w:b/>
                <w:color w:val="000000" w:themeColor="text1"/>
                <w:sz w:val="16"/>
                <w:szCs w:val="16"/>
              </w:rPr>
            </w:pPr>
            <w:r>
              <w:rPr>
                <w:rFonts w:ascii="Verdana" w:hAnsi="Verdana"/>
                <w:b/>
                <w:color w:val="000000" w:themeColor="text1"/>
                <w:sz w:val="16"/>
                <w:szCs w:val="16"/>
              </w:rPr>
              <w:t>7,85%</w:t>
            </w:r>
          </w:p>
        </w:tc>
        <w:tc>
          <w:tcPr>
            <w:tcW w:w="1607" w:type="dxa"/>
            <w:shd w:val="clear" w:color="auto" w:fill="auto"/>
          </w:tcPr>
          <w:p w14:paraId="69DA5AB6" w14:textId="7B3D46A7" w:rsidR="006C22DE" w:rsidRPr="00AE5F39" w:rsidRDefault="005D4900" w:rsidP="000B2FD6">
            <w:pPr>
              <w:spacing w:before="40" w:after="40" w:line="300" w:lineRule="atLeast"/>
              <w:jc w:val="center"/>
              <w:rPr>
                <w:rFonts w:ascii="Verdana" w:hAnsi="Verdana"/>
                <w:b/>
                <w:color w:val="000000" w:themeColor="text1"/>
                <w:sz w:val="16"/>
                <w:szCs w:val="16"/>
              </w:rPr>
            </w:pPr>
            <w:r>
              <w:rPr>
                <w:rFonts w:ascii="Verdana" w:hAnsi="Verdana"/>
                <w:b/>
                <w:color w:val="000000" w:themeColor="text1"/>
                <w:sz w:val="16"/>
                <w:szCs w:val="16"/>
              </w:rPr>
              <w:t>27,24%</w:t>
            </w:r>
          </w:p>
        </w:tc>
        <w:tc>
          <w:tcPr>
            <w:tcW w:w="1606" w:type="dxa"/>
            <w:shd w:val="clear" w:color="auto" w:fill="auto"/>
          </w:tcPr>
          <w:p w14:paraId="78D6F159" w14:textId="77994048" w:rsidR="006C22DE" w:rsidRPr="00AE5F39" w:rsidRDefault="005D4900" w:rsidP="000B2FD6">
            <w:pPr>
              <w:spacing w:before="40" w:after="40" w:line="300" w:lineRule="atLeast"/>
              <w:jc w:val="center"/>
              <w:rPr>
                <w:rFonts w:ascii="Verdana" w:hAnsi="Verdana"/>
                <w:b/>
                <w:color w:val="000000" w:themeColor="text1"/>
                <w:sz w:val="16"/>
                <w:szCs w:val="16"/>
              </w:rPr>
            </w:pPr>
            <w:r>
              <w:rPr>
                <w:rFonts w:ascii="Verdana" w:hAnsi="Verdana"/>
                <w:b/>
                <w:color w:val="000000" w:themeColor="text1"/>
                <w:sz w:val="16"/>
                <w:szCs w:val="16"/>
              </w:rPr>
              <w:t>(0,55%)</w:t>
            </w:r>
          </w:p>
        </w:tc>
        <w:tc>
          <w:tcPr>
            <w:tcW w:w="1607" w:type="dxa"/>
            <w:shd w:val="clear" w:color="auto" w:fill="auto"/>
          </w:tcPr>
          <w:p w14:paraId="68F5DF7C" w14:textId="7DB2F3DC" w:rsidR="006C22DE" w:rsidRPr="00AE5F39" w:rsidRDefault="005D4900" w:rsidP="000B2FD6">
            <w:pPr>
              <w:spacing w:before="40" w:after="40" w:line="300" w:lineRule="atLeast"/>
              <w:jc w:val="center"/>
              <w:rPr>
                <w:rFonts w:ascii="Verdana" w:hAnsi="Verdana"/>
                <w:b/>
                <w:color w:val="000000" w:themeColor="text1"/>
                <w:sz w:val="16"/>
                <w:szCs w:val="16"/>
              </w:rPr>
            </w:pPr>
            <w:r>
              <w:rPr>
                <w:rFonts w:ascii="Verdana" w:hAnsi="Verdana"/>
                <w:b/>
                <w:color w:val="000000" w:themeColor="text1"/>
                <w:sz w:val="16"/>
                <w:szCs w:val="16"/>
              </w:rPr>
              <w:t>6,68%</w:t>
            </w:r>
          </w:p>
        </w:tc>
        <w:tc>
          <w:tcPr>
            <w:tcW w:w="1606" w:type="dxa"/>
            <w:shd w:val="clear" w:color="auto" w:fill="auto"/>
          </w:tcPr>
          <w:p w14:paraId="3B8B9780" w14:textId="3DD57CF1" w:rsidR="006C22DE" w:rsidRPr="00AE5F39" w:rsidRDefault="005D4900" w:rsidP="000B2FD6">
            <w:pPr>
              <w:spacing w:before="40" w:after="40" w:line="300" w:lineRule="atLeast"/>
              <w:jc w:val="center"/>
              <w:rPr>
                <w:rFonts w:ascii="Verdana" w:hAnsi="Verdana"/>
                <w:b/>
                <w:color w:val="000000" w:themeColor="text1"/>
                <w:sz w:val="16"/>
                <w:szCs w:val="16"/>
              </w:rPr>
            </w:pPr>
            <w:r>
              <w:rPr>
                <w:rFonts w:ascii="Verdana" w:hAnsi="Verdana"/>
                <w:b/>
                <w:color w:val="000000" w:themeColor="text1"/>
                <w:sz w:val="16"/>
                <w:szCs w:val="16"/>
              </w:rPr>
              <w:t>4,82%</w:t>
            </w:r>
          </w:p>
        </w:tc>
        <w:tc>
          <w:tcPr>
            <w:tcW w:w="1607" w:type="dxa"/>
            <w:shd w:val="clear" w:color="auto" w:fill="auto"/>
          </w:tcPr>
          <w:p w14:paraId="753FE236" w14:textId="0086B7E2" w:rsidR="006C22DE" w:rsidRPr="00AE5F39" w:rsidRDefault="005D4900" w:rsidP="000B2FD6">
            <w:pPr>
              <w:spacing w:before="40" w:after="40" w:line="280" w:lineRule="atLeast"/>
              <w:jc w:val="center"/>
              <w:rPr>
                <w:rFonts w:ascii="Verdana" w:hAnsi="Verdana"/>
                <w:b/>
                <w:color w:val="000000" w:themeColor="text1"/>
                <w:sz w:val="16"/>
                <w:szCs w:val="16"/>
              </w:rPr>
            </w:pPr>
            <w:r>
              <w:rPr>
                <w:rFonts w:ascii="Verdana" w:hAnsi="Verdana"/>
                <w:b/>
                <w:color w:val="000000" w:themeColor="text1"/>
                <w:sz w:val="16"/>
                <w:szCs w:val="16"/>
              </w:rPr>
              <w:t>11,23%</w:t>
            </w:r>
          </w:p>
        </w:tc>
      </w:tr>
      <w:tr w:rsidR="006C22DE" w:rsidRPr="00B81A28" w14:paraId="3377AFF3" w14:textId="77777777" w:rsidTr="000B2FD6">
        <w:tc>
          <w:tcPr>
            <w:tcW w:w="5245" w:type="dxa"/>
          </w:tcPr>
          <w:p w14:paraId="6A9E12E5"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 ALSI 40 Fund</w:t>
            </w:r>
          </w:p>
        </w:tc>
        <w:tc>
          <w:tcPr>
            <w:tcW w:w="1606" w:type="dxa"/>
          </w:tcPr>
          <w:p w14:paraId="4D47D121" w14:textId="1CAACE02"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7,80%</w:t>
            </w:r>
          </w:p>
        </w:tc>
        <w:tc>
          <w:tcPr>
            <w:tcW w:w="1607" w:type="dxa"/>
          </w:tcPr>
          <w:p w14:paraId="572EB514" w14:textId="55E0CFEB"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27,26%</w:t>
            </w:r>
          </w:p>
        </w:tc>
        <w:tc>
          <w:tcPr>
            <w:tcW w:w="1606" w:type="dxa"/>
          </w:tcPr>
          <w:p w14:paraId="35E5B528" w14:textId="4B3BCF03"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(0,94%)</w:t>
            </w:r>
          </w:p>
        </w:tc>
        <w:tc>
          <w:tcPr>
            <w:tcW w:w="1607" w:type="dxa"/>
          </w:tcPr>
          <w:p w14:paraId="486380CB" w14:textId="077E3861"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6,21%</w:t>
            </w:r>
          </w:p>
        </w:tc>
        <w:tc>
          <w:tcPr>
            <w:tcW w:w="1606" w:type="dxa"/>
          </w:tcPr>
          <w:p w14:paraId="2C50CD9B" w14:textId="30BE3CAF"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4,28%</w:t>
            </w:r>
          </w:p>
        </w:tc>
        <w:tc>
          <w:tcPr>
            <w:tcW w:w="1607" w:type="dxa"/>
            <w:shd w:val="clear" w:color="auto" w:fill="auto"/>
          </w:tcPr>
          <w:p w14:paraId="32EC6F54" w14:textId="45666DF0" w:rsidR="006C22DE" w:rsidRPr="00B81A28" w:rsidRDefault="005D4900" w:rsidP="000B2FD6">
            <w:pPr>
              <w:spacing w:before="40" w:after="40" w:line="280" w:lineRule="atLeast"/>
              <w:jc w:val="center"/>
              <w:rPr>
                <w:rFonts w:ascii="Verdana" w:hAnsi="Verdana"/>
                <w:sz w:val="16"/>
                <w:szCs w:val="16"/>
              </w:rPr>
            </w:pPr>
            <w:r>
              <w:rPr>
                <w:rFonts w:ascii="Verdana" w:hAnsi="Verdana"/>
                <w:sz w:val="16"/>
                <w:szCs w:val="16"/>
              </w:rPr>
              <w:t>10,62%</w:t>
            </w:r>
          </w:p>
        </w:tc>
      </w:tr>
      <w:tr w:rsidR="006C22DE" w:rsidRPr="00B81A28" w14:paraId="22D7EB18" w14:textId="77777777" w:rsidTr="000B2FD6">
        <w:tc>
          <w:tcPr>
            <w:tcW w:w="5245" w:type="dxa"/>
          </w:tcPr>
          <w:p w14:paraId="11A5CD3B"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Kagiso Top 40 Tracker Fund </w:t>
            </w:r>
          </w:p>
        </w:tc>
        <w:tc>
          <w:tcPr>
            <w:tcW w:w="1606" w:type="dxa"/>
          </w:tcPr>
          <w:p w14:paraId="20BEFCA5" w14:textId="63CAFCEE"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7,82%</w:t>
            </w:r>
          </w:p>
        </w:tc>
        <w:tc>
          <w:tcPr>
            <w:tcW w:w="1607" w:type="dxa"/>
          </w:tcPr>
          <w:p w14:paraId="59EEFFDC" w14:textId="2DEDF74B"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27,01%</w:t>
            </w:r>
          </w:p>
        </w:tc>
        <w:tc>
          <w:tcPr>
            <w:tcW w:w="1606" w:type="dxa"/>
          </w:tcPr>
          <w:p w14:paraId="40DA846C" w14:textId="1859E540"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1,86%</w:t>
            </w:r>
          </w:p>
        </w:tc>
        <w:tc>
          <w:tcPr>
            <w:tcW w:w="1607" w:type="dxa"/>
          </w:tcPr>
          <w:p w14:paraId="1A16F37C" w14:textId="01FB78D1"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6,94%</w:t>
            </w:r>
          </w:p>
        </w:tc>
        <w:tc>
          <w:tcPr>
            <w:tcW w:w="1606" w:type="dxa"/>
          </w:tcPr>
          <w:p w14:paraId="7D87A420" w14:textId="0FD491FB"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4,54%</w:t>
            </w:r>
          </w:p>
        </w:tc>
        <w:tc>
          <w:tcPr>
            <w:tcW w:w="1607" w:type="dxa"/>
            <w:shd w:val="clear" w:color="auto" w:fill="auto"/>
          </w:tcPr>
          <w:p w14:paraId="57B055C9" w14:textId="4A0C5A05" w:rsidR="006C22DE" w:rsidRPr="00B81A28" w:rsidRDefault="005D4900" w:rsidP="000B2FD6">
            <w:pPr>
              <w:spacing w:before="40" w:after="40" w:line="280" w:lineRule="atLeast"/>
              <w:jc w:val="center"/>
              <w:rPr>
                <w:rFonts w:ascii="Verdana" w:hAnsi="Verdana"/>
                <w:sz w:val="16"/>
                <w:szCs w:val="16"/>
              </w:rPr>
            </w:pPr>
            <w:r>
              <w:rPr>
                <w:rFonts w:ascii="Verdana" w:hAnsi="Verdana"/>
                <w:sz w:val="16"/>
                <w:szCs w:val="16"/>
              </w:rPr>
              <w:t>10,62%</w:t>
            </w:r>
          </w:p>
        </w:tc>
      </w:tr>
      <w:tr w:rsidR="006C22DE" w:rsidRPr="00B81A28" w14:paraId="4D1CDC39" w14:textId="77777777" w:rsidTr="000B2FD6">
        <w:tc>
          <w:tcPr>
            <w:tcW w:w="5245" w:type="dxa"/>
          </w:tcPr>
          <w:p w14:paraId="5062C0D9"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Momentum Top 40 Index Fund</w:t>
            </w:r>
          </w:p>
        </w:tc>
        <w:tc>
          <w:tcPr>
            <w:tcW w:w="1606" w:type="dxa"/>
          </w:tcPr>
          <w:p w14:paraId="778D2975" w14:textId="20947206"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7,57%</w:t>
            </w:r>
          </w:p>
        </w:tc>
        <w:tc>
          <w:tcPr>
            <w:tcW w:w="1607" w:type="dxa"/>
          </w:tcPr>
          <w:p w14:paraId="7D7C6B88" w14:textId="704F7A47"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25,</w:t>
            </w:r>
            <w:r w:rsidR="00F36A16">
              <w:rPr>
                <w:rFonts w:ascii="Verdana" w:hAnsi="Verdana"/>
                <w:sz w:val="16"/>
                <w:szCs w:val="16"/>
              </w:rPr>
              <w:t>3</w:t>
            </w:r>
            <w:r>
              <w:rPr>
                <w:rFonts w:ascii="Verdana" w:hAnsi="Verdana"/>
                <w:sz w:val="16"/>
                <w:szCs w:val="16"/>
              </w:rPr>
              <w:t>6%</w:t>
            </w:r>
          </w:p>
        </w:tc>
        <w:tc>
          <w:tcPr>
            <w:tcW w:w="1606" w:type="dxa"/>
          </w:tcPr>
          <w:p w14:paraId="29362E54" w14:textId="249E0077"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(1,53%)</w:t>
            </w:r>
          </w:p>
        </w:tc>
        <w:tc>
          <w:tcPr>
            <w:tcW w:w="1607" w:type="dxa"/>
          </w:tcPr>
          <w:p w14:paraId="1E9C11FA" w14:textId="3D547CA8"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5,90%</w:t>
            </w:r>
          </w:p>
        </w:tc>
        <w:tc>
          <w:tcPr>
            <w:tcW w:w="1606" w:type="dxa"/>
          </w:tcPr>
          <w:p w14:paraId="646A65E8" w14:textId="77737FAA"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3,95%</w:t>
            </w:r>
          </w:p>
        </w:tc>
        <w:tc>
          <w:tcPr>
            <w:tcW w:w="1607" w:type="dxa"/>
            <w:shd w:val="clear" w:color="auto" w:fill="auto"/>
          </w:tcPr>
          <w:p w14:paraId="60D45710" w14:textId="591C4FB4" w:rsidR="006C22DE" w:rsidRPr="00B81A28" w:rsidRDefault="005D4900" w:rsidP="000B2FD6">
            <w:pPr>
              <w:spacing w:before="40" w:after="40" w:line="280" w:lineRule="atLeast"/>
              <w:jc w:val="center"/>
              <w:rPr>
                <w:rFonts w:ascii="Verdana" w:hAnsi="Verdana"/>
                <w:sz w:val="16"/>
                <w:szCs w:val="16"/>
              </w:rPr>
            </w:pPr>
            <w:r>
              <w:rPr>
                <w:rFonts w:ascii="Verdana" w:hAnsi="Verdana"/>
                <w:sz w:val="16"/>
                <w:szCs w:val="16"/>
              </w:rPr>
              <w:t>10,33%</w:t>
            </w:r>
          </w:p>
        </w:tc>
      </w:tr>
      <w:tr w:rsidR="006C22DE" w:rsidRPr="00B81A28" w14:paraId="025B0936" w14:textId="77777777" w:rsidTr="000B2FD6">
        <w:tc>
          <w:tcPr>
            <w:tcW w:w="5245" w:type="dxa"/>
          </w:tcPr>
          <w:p w14:paraId="6739679F"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Satrix Equally Weighted Top 40 Index Fund</w:t>
            </w:r>
          </w:p>
        </w:tc>
        <w:tc>
          <w:tcPr>
            <w:tcW w:w="1606" w:type="dxa"/>
          </w:tcPr>
          <w:p w14:paraId="204934B3" w14:textId="4F2CC285"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7,24%</w:t>
            </w:r>
          </w:p>
        </w:tc>
        <w:tc>
          <w:tcPr>
            <w:tcW w:w="1607" w:type="dxa"/>
          </w:tcPr>
          <w:p w14:paraId="33778D1F" w14:textId="726333B2"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30,39%</w:t>
            </w:r>
          </w:p>
        </w:tc>
        <w:tc>
          <w:tcPr>
            <w:tcW w:w="1606" w:type="dxa"/>
          </w:tcPr>
          <w:p w14:paraId="0C6DACCA" w14:textId="76DB6379"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(7,37%)</w:t>
            </w:r>
          </w:p>
        </w:tc>
        <w:tc>
          <w:tcPr>
            <w:tcW w:w="1607" w:type="dxa"/>
          </w:tcPr>
          <w:p w14:paraId="668A82A5" w14:textId="61D7FB39"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(1,43%)</w:t>
            </w:r>
          </w:p>
        </w:tc>
        <w:tc>
          <w:tcPr>
            <w:tcW w:w="1606" w:type="dxa"/>
          </w:tcPr>
          <w:p w14:paraId="6AC2D5CC" w14:textId="0D1C036F"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(1,49%)</w:t>
            </w:r>
          </w:p>
        </w:tc>
        <w:tc>
          <w:tcPr>
            <w:tcW w:w="1607" w:type="dxa"/>
            <w:shd w:val="clear" w:color="auto" w:fill="auto"/>
          </w:tcPr>
          <w:p w14:paraId="4F90D57D"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41D3CB6" w14:textId="77777777" w:rsidTr="000B2FD6">
        <w:tc>
          <w:tcPr>
            <w:tcW w:w="5245" w:type="dxa"/>
          </w:tcPr>
          <w:p w14:paraId="797D0633"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Satrix Top 40 Index Fund</w:t>
            </w:r>
          </w:p>
        </w:tc>
        <w:tc>
          <w:tcPr>
            <w:tcW w:w="1606" w:type="dxa"/>
          </w:tcPr>
          <w:p w14:paraId="4C63CB77" w14:textId="40F3C1F3"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7,77%</w:t>
            </w:r>
          </w:p>
        </w:tc>
        <w:tc>
          <w:tcPr>
            <w:tcW w:w="1607" w:type="dxa"/>
          </w:tcPr>
          <w:p w14:paraId="2B81653B" w14:textId="7D4A62DE"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26,87%</w:t>
            </w:r>
          </w:p>
        </w:tc>
        <w:tc>
          <w:tcPr>
            <w:tcW w:w="1606" w:type="dxa"/>
          </w:tcPr>
          <w:p w14:paraId="1E154979" w14:textId="7F38CB37"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(1,38%)</w:t>
            </w:r>
          </w:p>
        </w:tc>
        <w:tc>
          <w:tcPr>
            <w:tcW w:w="1607" w:type="dxa"/>
          </w:tcPr>
          <w:p w14:paraId="31B073E9" w14:textId="4955F82B"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5,94%</w:t>
            </w:r>
          </w:p>
        </w:tc>
        <w:tc>
          <w:tcPr>
            <w:tcW w:w="1606" w:type="dxa"/>
          </w:tcPr>
          <w:p w14:paraId="595B7A06" w14:textId="0343D6B0"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4,05%</w:t>
            </w:r>
          </w:p>
        </w:tc>
        <w:tc>
          <w:tcPr>
            <w:tcW w:w="1607" w:type="dxa"/>
            <w:shd w:val="clear" w:color="auto" w:fill="auto"/>
          </w:tcPr>
          <w:p w14:paraId="256523DB"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307A3244" w14:textId="77777777" w:rsidTr="000B2FD6">
        <w:tc>
          <w:tcPr>
            <w:tcW w:w="5245" w:type="dxa"/>
          </w:tcPr>
          <w:p w14:paraId="60AED5C7"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Sygnia Top 40 Index Fund</w:t>
            </w:r>
          </w:p>
        </w:tc>
        <w:tc>
          <w:tcPr>
            <w:tcW w:w="1606" w:type="dxa"/>
          </w:tcPr>
          <w:p w14:paraId="2E4C0DF5" w14:textId="32EB39EF"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7,37%</w:t>
            </w:r>
          </w:p>
        </w:tc>
        <w:tc>
          <w:tcPr>
            <w:tcW w:w="1607" w:type="dxa"/>
          </w:tcPr>
          <w:p w14:paraId="36C0419A" w14:textId="4EA8DAE3"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25,06%</w:t>
            </w:r>
          </w:p>
        </w:tc>
        <w:tc>
          <w:tcPr>
            <w:tcW w:w="1606" w:type="dxa"/>
          </w:tcPr>
          <w:p w14:paraId="08A1835F" w14:textId="7E7ADA67"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(2,01%)</w:t>
            </w:r>
          </w:p>
        </w:tc>
        <w:tc>
          <w:tcPr>
            <w:tcW w:w="1607" w:type="dxa"/>
          </w:tcPr>
          <w:p w14:paraId="37397F7F" w14:textId="3645947D"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5,55%</w:t>
            </w:r>
          </w:p>
        </w:tc>
        <w:tc>
          <w:tcPr>
            <w:tcW w:w="1606" w:type="dxa"/>
          </w:tcPr>
          <w:p w14:paraId="33DCF684" w14:textId="039BAA27"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3,91%</w:t>
            </w:r>
          </w:p>
        </w:tc>
        <w:tc>
          <w:tcPr>
            <w:tcW w:w="1607" w:type="dxa"/>
            <w:shd w:val="clear" w:color="auto" w:fill="auto"/>
          </w:tcPr>
          <w:p w14:paraId="3EE9F574"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14AAB0C4" w14:textId="77777777" w:rsidTr="000B2FD6">
        <w:tc>
          <w:tcPr>
            <w:tcW w:w="5245" w:type="dxa"/>
          </w:tcPr>
          <w:p w14:paraId="5AE72D59"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Sygnia SWIX Index Fund</w:t>
            </w:r>
          </w:p>
        </w:tc>
        <w:tc>
          <w:tcPr>
            <w:tcW w:w="1606" w:type="dxa"/>
          </w:tcPr>
          <w:p w14:paraId="71C39695" w14:textId="713629D7" w:rsidR="006C22DE" w:rsidRPr="00B81A28" w:rsidRDefault="005D4900" w:rsidP="000B2FD6">
            <w:pPr>
              <w:tabs>
                <w:tab w:val="left" w:pos="1050"/>
              </w:tabs>
              <w:spacing w:before="40" w:after="40" w:line="300" w:lineRule="atLeast"/>
              <w:jc w:val="center"/>
              <w:rPr>
                <w:rFonts w:ascii="Verdana" w:hAnsi="Verdana"/>
                <w:sz w:val="16"/>
                <w:szCs w:val="16"/>
              </w:rPr>
            </w:pPr>
            <w:r>
              <w:rPr>
                <w:rFonts w:ascii="Verdana" w:hAnsi="Verdana"/>
                <w:sz w:val="16"/>
                <w:szCs w:val="16"/>
              </w:rPr>
              <w:t>7,98%</w:t>
            </w:r>
          </w:p>
        </w:tc>
        <w:tc>
          <w:tcPr>
            <w:tcW w:w="1607" w:type="dxa"/>
          </w:tcPr>
          <w:p w14:paraId="7774B781" w14:textId="411A6113"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24,36%</w:t>
            </w:r>
          </w:p>
        </w:tc>
        <w:tc>
          <w:tcPr>
            <w:tcW w:w="1606" w:type="dxa"/>
          </w:tcPr>
          <w:p w14:paraId="53B0C6EC" w14:textId="3CFA162E"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(6,61%)</w:t>
            </w:r>
          </w:p>
        </w:tc>
        <w:tc>
          <w:tcPr>
            <w:tcW w:w="1607" w:type="dxa"/>
          </w:tcPr>
          <w:p w14:paraId="3FCC3DB3" w14:textId="4D00697E"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1,34%</w:t>
            </w:r>
          </w:p>
        </w:tc>
        <w:tc>
          <w:tcPr>
            <w:tcW w:w="1606" w:type="dxa"/>
          </w:tcPr>
          <w:p w14:paraId="1967E06F" w14:textId="118C61D3" w:rsidR="006C22DE" w:rsidRPr="00B81A28" w:rsidRDefault="005D4900" w:rsidP="000B2FD6">
            <w:pPr>
              <w:spacing w:before="40" w:after="40" w:line="300" w:lineRule="atLeast"/>
              <w:jc w:val="center"/>
              <w:rPr>
                <w:rFonts w:ascii="Verdana" w:hAnsi="Verdana"/>
                <w:sz w:val="16"/>
                <w:szCs w:val="16"/>
              </w:rPr>
            </w:pPr>
            <w:r>
              <w:rPr>
                <w:rFonts w:ascii="Verdana" w:hAnsi="Verdana"/>
                <w:sz w:val="16"/>
                <w:szCs w:val="16"/>
              </w:rPr>
              <w:t>1,38%</w:t>
            </w:r>
          </w:p>
        </w:tc>
        <w:tc>
          <w:tcPr>
            <w:tcW w:w="1607" w:type="dxa"/>
            <w:shd w:val="clear" w:color="auto" w:fill="auto"/>
          </w:tcPr>
          <w:p w14:paraId="4119C516" w14:textId="77777777" w:rsidR="006C22DE" w:rsidRPr="00B81A28" w:rsidRDefault="006C22DE" w:rsidP="000B2FD6">
            <w:pPr>
              <w:spacing w:before="40" w:after="40" w:line="280" w:lineRule="atLeast"/>
              <w:jc w:val="center"/>
              <w:rPr>
                <w:rFonts w:ascii="Verdana" w:hAnsi="Verdana"/>
                <w:sz w:val="16"/>
                <w:szCs w:val="16"/>
              </w:rPr>
            </w:pPr>
            <w:r w:rsidRPr="00B81A28">
              <w:rPr>
                <w:rFonts w:ascii="Verdana" w:hAnsi="Verdana"/>
                <w:sz w:val="16"/>
                <w:szCs w:val="16"/>
              </w:rPr>
              <w:t>-</w:t>
            </w:r>
          </w:p>
        </w:tc>
      </w:tr>
      <w:tr w:rsidR="006C22DE" w:rsidRPr="00B81A28" w14:paraId="467CD9F8" w14:textId="77777777" w:rsidTr="000B2FD6">
        <w:tc>
          <w:tcPr>
            <w:tcW w:w="14884" w:type="dxa"/>
            <w:gridSpan w:val="7"/>
            <w:shd w:val="clear" w:color="auto" w:fill="7583BD"/>
            <w:vAlign w:val="center"/>
          </w:tcPr>
          <w:p w14:paraId="734C0586" w14:textId="77777777" w:rsidR="006C22DE" w:rsidRPr="00B81A28" w:rsidRDefault="006C22DE" w:rsidP="000B2FD6">
            <w:pPr>
              <w:spacing w:before="40" w:after="20" w:line="260" w:lineRule="atLeast"/>
              <w:rPr>
                <w:rFonts w:ascii="Verdana" w:hAnsi="Verdana"/>
                <w:b/>
                <w:color w:val="FFFFFF" w:themeColor="background1"/>
                <w:sz w:val="16"/>
                <w:szCs w:val="16"/>
              </w:rPr>
            </w:pPr>
            <w:r>
              <w:rPr>
                <w:rFonts w:ascii="Verdana" w:hAnsi="Verdana"/>
                <w:b/>
                <w:color w:val="FFFFFF" w:themeColor="background1"/>
                <w:sz w:val="16"/>
                <w:szCs w:val="16"/>
              </w:rPr>
              <w:t>BOND INDEX TRACKING UNIT TRUSTS (Total Return)</w:t>
            </w:r>
          </w:p>
        </w:tc>
      </w:tr>
      <w:tr w:rsidR="006C22DE" w:rsidRPr="00BC54C5" w14:paraId="4C6D64B4" w14:textId="77777777" w:rsidTr="000B2FD6">
        <w:tc>
          <w:tcPr>
            <w:tcW w:w="5245" w:type="dxa"/>
          </w:tcPr>
          <w:p w14:paraId="3EC2D556" w14:textId="77777777" w:rsidR="006C22DE" w:rsidRPr="00BC54C5" w:rsidRDefault="006C22DE" w:rsidP="000B2FD6">
            <w:pPr>
              <w:spacing w:before="40" w:after="20" w:line="300" w:lineRule="atLeast"/>
              <w:rPr>
                <w:rFonts w:ascii="Verdana" w:hAnsi="Verdana"/>
                <w:b/>
                <w:sz w:val="16"/>
                <w:szCs w:val="16"/>
              </w:rPr>
            </w:pPr>
            <w:r>
              <w:rPr>
                <w:rFonts w:ascii="Verdana" w:hAnsi="Verdana"/>
                <w:b/>
                <w:sz w:val="16"/>
                <w:szCs w:val="16"/>
              </w:rPr>
              <w:t>All Bond Index</w:t>
            </w:r>
          </w:p>
        </w:tc>
        <w:tc>
          <w:tcPr>
            <w:tcW w:w="1606" w:type="dxa"/>
          </w:tcPr>
          <w:p w14:paraId="537F20B4" w14:textId="6FBF18EE" w:rsidR="006C22DE" w:rsidRPr="00BC54C5" w:rsidRDefault="005D4900" w:rsidP="000B2FD6">
            <w:pPr>
              <w:tabs>
                <w:tab w:val="left" w:pos="1050"/>
              </w:tabs>
              <w:spacing w:before="40" w:after="20" w:line="300" w:lineRule="atLeast"/>
              <w:jc w:val="center"/>
              <w:rPr>
                <w:rFonts w:ascii="Verdana" w:hAnsi="Verdana"/>
                <w:b/>
                <w:sz w:val="16"/>
                <w:szCs w:val="16"/>
              </w:rPr>
            </w:pPr>
            <w:r>
              <w:rPr>
                <w:rFonts w:ascii="Verdana" w:hAnsi="Verdana"/>
                <w:b/>
                <w:sz w:val="16"/>
                <w:szCs w:val="16"/>
              </w:rPr>
              <w:t>(1,13%)</w:t>
            </w:r>
          </w:p>
        </w:tc>
        <w:tc>
          <w:tcPr>
            <w:tcW w:w="1607" w:type="dxa"/>
          </w:tcPr>
          <w:p w14:paraId="4F1678C6" w14:textId="0EE209BF"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14,40%</w:t>
            </w:r>
          </w:p>
        </w:tc>
        <w:tc>
          <w:tcPr>
            <w:tcW w:w="1606" w:type="dxa"/>
          </w:tcPr>
          <w:p w14:paraId="2C242689" w14:textId="46248663"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2,90%</w:t>
            </w:r>
          </w:p>
        </w:tc>
        <w:tc>
          <w:tcPr>
            <w:tcW w:w="1607" w:type="dxa"/>
          </w:tcPr>
          <w:p w14:paraId="01E7311C" w14:textId="1A5581F5"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8,11%</w:t>
            </w:r>
          </w:p>
        </w:tc>
        <w:tc>
          <w:tcPr>
            <w:tcW w:w="1606" w:type="dxa"/>
          </w:tcPr>
          <w:p w14:paraId="1D53C2C2" w14:textId="33BDCEDD"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7,49%</w:t>
            </w:r>
          </w:p>
        </w:tc>
        <w:tc>
          <w:tcPr>
            <w:tcW w:w="1607" w:type="dxa"/>
            <w:shd w:val="clear" w:color="auto" w:fill="auto"/>
          </w:tcPr>
          <w:p w14:paraId="3163602D" w14:textId="143B7EA2" w:rsidR="006C22DE" w:rsidRPr="00BC54C5" w:rsidRDefault="005D4900" w:rsidP="000B2FD6">
            <w:pPr>
              <w:spacing w:before="40" w:after="20" w:line="260" w:lineRule="atLeast"/>
              <w:jc w:val="center"/>
              <w:rPr>
                <w:rFonts w:ascii="Verdana" w:hAnsi="Verdana"/>
                <w:b/>
                <w:sz w:val="16"/>
                <w:szCs w:val="16"/>
              </w:rPr>
            </w:pPr>
            <w:r>
              <w:rPr>
                <w:rFonts w:ascii="Verdana" w:hAnsi="Verdana"/>
                <w:b/>
                <w:sz w:val="16"/>
                <w:szCs w:val="16"/>
              </w:rPr>
              <w:t>8,30%</w:t>
            </w:r>
          </w:p>
        </w:tc>
      </w:tr>
      <w:tr w:rsidR="006C22DE" w:rsidRPr="00B81A28" w14:paraId="132F4AF6" w14:textId="77777777" w:rsidTr="000B2FD6">
        <w:tc>
          <w:tcPr>
            <w:tcW w:w="5245" w:type="dxa"/>
          </w:tcPr>
          <w:p w14:paraId="1BBD3CBD" w14:textId="77777777" w:rsidR="006C22DE" w:rsidRDefault="006C22DE" w:rsidP="000B2FD6">
            <w:pPr>
              <w:spacing w:before="40" w:after="20" w:line="30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 ALBI Tracker Fund</w:t>
            </w:r>
          </w:p>
        </w:tc>
        <w:tc>
          <w:tcPr>
            <w:tcW w:w="1606" w:type="dxa"/>
          </w:tcPr>
          <w:p w14:paraId="45CFCEFD" w14:textId="341155EE"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(1,19%)</w:t>
            </w:r>
          </w:p>
        </w:tc>
        <w:tc>
          <w:tcPr>
            <w:tcW w:w="1607" w:type="dxa"/>
          </w:tcPr>
          <w:p w14:paraId="50449FD1" w14:textId="5B216951"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14,19%</w:t>
            </w:r>
          </w:p>
        </w:tc>
        <w:tc>
          <w:tcPr>
            <w:tcW w:w="1606" w:type="dxa"/>
          </w:tcPr>
          <w:p w14:paraId="73B401F2" w14:textId="4F221B5A"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2,29%</w:t>
            </w:r>
          </w:p>
        </w:tc>
        <w:tc>
          <w:tcPr>
            <w:tcW w:w="1607" w:type="dxa"/>
          </w:tcPr>
          <w:p w14:paraId="5BBB85C4" w14:textId="052ED13E" w:rsidR="006C22DE" w:rsidRDefault="005D4900" w:rsidP="000B2FD6">
            <w:pPr>
              <w:spacing w:before="40" w:after="20" w:line="300" w:lineRule="atLeast"/>
              <w:jc w:val="center"/>
              <w:rPr>
                <w:rFonts w:ascii="Verdana" w:hAnsi="Verdana"/>
                <w:sz w:val="16"/>
                <w:szCs w:val="16"/>
              </w:rPr>
            </w:pPr>
            <w:r>
              <w:rPr>
                <w:rFonts w:ascii="Verdana" w:hAnsi="Verdana"/>
                <w:sz w:val="16"/>
                <w:szCs w:val="16"/>
              </w:rPr>
              <w:t>7,53%</w:t>
            </w:r>
          </w:p>
        </w:tc>
        <w:tc>
          <w:tcPr>
            <w:tcW w:w="1606" w:type="dxa"/>
          </w:tcPr>
          <w:p w14:paraId="44079CED" w14:textId="32B4BCC3" w:rsidR="006C22DE" w:rsidRDefault="005D4900" w:rsidP="000B2FD6">
            <w:pPr>
              <w:spacing w:before="40" w:after="20" w:line="300" w:lineRule="atLeast"/>
              <w:jc w:val="center"/>
              <w:rPr>
                <w:rFonts w:ascii="Verdana" w:hAnsi="Verdana"/>
                <w:sz w:val="16"/>
                <w:szCs w:val="16"/>
              </w:rPr>
            </w:pPr>
            <w:r>
              <w:rPr>
                <w:rFonts w:ascii="Verdana" w:hAnsi="Verdana"/>
                <w:sz w:val="16"/>
                <w:szCs w:val="16"/>
              </w:rPr>
              <w:t>6,77%</w:t>
            </w:r>
          </w:p>
        </w:tc>
        <w:tc>
          <w:tcPr>
            <w:tcW w:w="1607" w:type="dxa"/>
            <w:shd w:val="clear" w:color="auto" w:fill="auto"/>
          </w:tcPr>
          <w:p w14:paraId="731BF913" w14:textId="77777777" w:rsidR="006C22DE" w:rsidRDefault="006C22DE" w:rsidP="000B2FD6">
            <w:pPr>
              <w:spacing w:before="40" w:after="20" w:line="260" w:lineRule="atLeast"/>
              <w:jc w:val="center"/>
              <w:rPr>
                <w:rFonts w:ascii="Verdana" w:hAnsi="Verdana"/>
                <w:sz w:val="16"/>
                <w:szCs w:val="16"/>
              </w:rPr>
            </w:pPr>
            <w:r w:rsidRPr="00B81A28">
              <w:rPr>
                <w:rFonts w:ascii="Verdana" w:hAnsi="Verdana"/>
                <w:sz w:val="16"/>
                <w:szCs w:val="16"/>
              </w:rPr>
              <w:t>-</w:t>
            </w:r>
          </w:p>
        </w:tc>
      </w:tr>
      <w:tr w:rsidR="006C22DE" w:rsidRPr="00B81A28" w14:paraId="20E6A4D2" w14:textId="77777777" w:rsidTr="000B2FD6">
        <w:tc>
          <w:tcPr>
            <w:tcW w:w="5245" w:type="dxa"/>
          </w:tcPr>
          <w:p w14:paraId="185B78FD" w14:textId="77777777" w:rsidR="006C22DE" w:rsidRDefault="006C22DE" w:rsidP="000B2FD6">
            <w:pPr>
              <w:spacing w:before="40" w:after="20" w:line="30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 Inflation-Linked Bond Tracker Fund</w:t>
            </w:r>
          </w:p>
        </w:tc>
        <w:tc>
          <w:tcPr>
            <w:tcW w:w="1606" w:type="dxa"/>
          </w:tcPr>
          <w:p w14:paraId="083D4F8A" w14:textId="46ED2F2B"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(0,90%)</w:t>
            </w:r>
          </w:p>
        </w:tc>
        <w:tc>
          <w:tcPr>
            <w:tcW w:w="1607" w:type="dxa"/>
          </w:tcPr>
          <w:p w14:paraId="33211B81" w14:textId="58DC4FAE"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16,53%</w:t>
            </w:r>
          </w:p>
        </w:tc>
        <w:tc>
          <w:tcPr>
            <w:tcW w:w="1606" w:type="dxa"/>
          </w:tcPr>
          <w:p w14:paraId="1828EA73" w14:textId="73F907F4"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(3,95%)</w:t>
            </w:r>
          </w:p>
        </w:tc>
        <w:tc>
          <w:tcPr>
            <w:tcW w:w="1607" w:type="dxa"/>
          </w:tcPr>
          <w:p w14:paraId="74B6F54C" w14:textId="0EAB89DE" w:rsidR="006C22DE" w:rsidRDefault="005D4900" w:rsidP="000B2FD6">
            <w:pPr>
              <w:spacing w:before="40" w:after="20" w:line="300" w:lineRule="atLeast"/>
              <w:jc w:val="center"/>
              <w:rPr>
                <w:rFonts w:ascii="Verdana" w:hAnsi="Verdana"/>
                <w:sz w:val="16"/>
                <w:szCs w:val="16"/>
              </w:rPr>
            </w:pPr>
            <w:r>
              <w:rPr>
                <w:rFonts w:ascii="Verdana" w:hAnsi="Verdana"/>
                <w:sz w:val="16"/>
                <w:szCs w:val="16"/>
              </w:rPr>
              <w:t>0,12%</w:t>
            </w:r>
          </w:p>
        </w:tc>
        <w:tc>
          <w:tcPr>
            <w:tcW w:w="1606" w:type="dxa"/>
          </w:tcPr>
          <w:p w14:paraId="29ED554E" w14:textId="77777777" w:rsidR="006C22DE" w:rsidRDefault="006C22DE" w:rsidP="000B2FD6">
            <w:pPr>
              <w:spacing w:before="40" w:after="20" w:line="300" w:lineRule="atLeast"/>
              <w:jc w:val="center"/>
              <w:rPr>
                <w:rFonts w:ascii="Verdana" w:hAnsi="Verdana"/>
                <w:sz w:val="16"/>
                <w:szCs w:val="16"/>
              </w:rPr>
            </w:pPr>
            <w:r w:rsidRPr="00B81A28">
              <w:rPr>
                <w:rFonts w:ascii="Verdana" w:hAnsi="Verdana"/>
                <w:sz w:val="16"/>
                <w:szCs w:val="16"/>
              </w:rPr>
              <w:t>-</w:t>
            </w:r>
          </w:p>
        </w:tc>
        <w:tc>
          <w:tcPr>
            <w:tcW w:w="1607" w:type="dxa"/>
            <w:shd w:val="clear" w:color="auto" w:fill="auto"/>
          </w:tcPr>
          <w:p w14:paraId="10EE4C02" w14:textId="77777777" w:rsidR="006C22DE" w:rsidRDefault="006C22DE" w:rsidP="000B2FD6">
            <w:pPr>
              <w:spacing w:before="40" w:after="20" w:line="260" w:lineRule="atLeast"/>
              <w:jc w:val="center"/>
              <w:rPr>
                <w:rFonts w:ascii="Verdana" w:hAnsi="Verdana"/>
                <w:sz w:val="16"/>
                <w:szCs w:val="16"/>
              </w:rPr>
            </w:pPr>
            <w:r w:rsidRPr="00B81A28">
              <w:rPr>
                <w:rFonts w:ascii="Verdana" w:hAnsi="Verdana"/>
                <w:sz w:val="16"/>
                <w:szCs w:val="16"/>
              </w:rPr>
              <w:t>-</w:t>
            </w:r>
          </w:p>
        </w:tc>
      </w:tr>
      <w:tr w:rsidR="006C22DE" w:rsidRPr="00B81A28" w14:paraId="3EAE1BE1" w14:textId="77777777" w:rsidTr="000B2FD6">
        <w:tc>
          <w:tcPr>
            <w:tcW w:w="5245" w:type="dxa"/>
          </w:tcPr>
          <w:p w14:paraId="4B4DD9B1" w14:textId="77777777" w:rsidR="006C22DE" w:rsidRPr="00B81A28" w:rsidRDefault="006C22DE" w:rsidP="000B2FD6">
            <w:pPr>
              <w:spacing w:before="40" w:after="20" w:line="300" w:lineRule="atLeast"/>
              <w:rPr>
                <w:rFonts w:ascii="Verdana" w:hAnsi="Verdana"/>
                <w:sz w:val="16"/>
                <w:szCs w:val="16"/>
              </w:rPr>
            </w:pPr>
            <w:r>
              <w:rPr>
                <w:rFonts w:ascii="Verdana" w:hAnsi="Verdana"/>
                <w:sz w:val="16"/>
                <w:szCs w:val="16"/>
              </w:rPr>
              <w:t>Absa Bond Index Fund</w:t>
            </w:r>
          </w:p>
        </w:tc>
        <w:tc>
          <w:tcPr>
            <w:tcW w:w="1606" w:type="dxa"/>
          </w:tcPr>
          <w:p w14:paraId="04A52722" w14:textId="6A668ADF"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(1,17%)</w:t>
            </w:r>
          </w:p>
        </w:tc>
        <w:tc>
          <w:tcPr>
            <w:tcW w:w="1607" w:type="dxa"/>
          </w:tcPr>
          <w:p w14:paraId="4EDAEFEF" w14:textId="3E629CDF"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14,23%</w:t>
            </w:r>
          </w:p>
        </w:tc>
        <w:tc>
          <w:tcPr>
            <w:tcW w:w="1606" w:type="dxa"/>
          </w:tcPr>
          <w:p w14:paraId="40338096" w14:textId="44001518"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2,49%</w:t>
            </w:r>
          </w:p>
        </w:tc>
        <w:tc>
          <w:tcPr>
            <w:tcW w:w="1607" w:type="dxa"/>
          </w:tcPr>
          <w:p w14:paraId="12D8CF64" w14:textId="77777777" w:rsidR="006C22DE" w:rsidRPr="00B81A28" w:rsidRDefault="006C22DE" w:rsidP="000B2FD6">
            <w:pPr>
              <w:spacing w:before="40" w:after="20" w:line="300" w:lineRule="atLeast"/>
              <w:jc w:val="center"/>
              <w:rPr>
                <w:rFonts w:ascii="Verdana" w:hAnsi="Verdana"/>
                <w:sz w:val="16"/>
                <w:szCs w:val="16"/>
              </w:rPr>
            </w:pPr>
            <w:r>
              <w:rPr>
                <w:rFonts w:ascii="Verdana" w:hAnsi="Verdana"/>
                <w:sz w:val="16"/>
                <w:szCs w:val="16"/>
              </w:rPr>
              <w:t>-</w:t>
            </w:r>
          </w:p>
        </w:tc>
        <w:tc>
          <w:tcPr>
            <w:tcW w:w="1606" w:type="dxa"/>
          </w:tcPr>
          <w:p w14:paraId="2298DB17" w14:textId="77777777" w:rsidR="006C22DE" w:rsidRPr="00B81A28" w:rsidRDefault="006C22DE" w:rsidP="000B2FD6">
            <w:pPr>
              <w:spacing w:before="40" w:after="20" w:line="30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5D19B7D4" w14:textId="77777777" w:rsidR="006C22DE" w:rsidRPr="00B81A28" w:rsidRDefault="006C22DE" w:rsidP="000B2FD6">
            <w:pPr>
              <w:spacing w:before="40" w:after="20" w:line="260" w:lineRule="atLeast"/>
              <w:jc w:val="center"/>
              <w:rPr>
                <w:rFonts w:ascii="Verdana" w:hAnsi="Verdana"/>
                <w:sz w:val="16"/>
                <w:szCs w:val="16"/>
              </w:rPr>
            </w:pPr>
            <w:r>
              <w:rPr>
                <w:rFonts w:ascii="Verdana" w:hAnsi="Verdana"/>
                <w:sz w:val="16"/>
                <w:szCs w:val="16"/>
              </w:rPr>
              <w:t>-</w:t>
            </w:r>
          </w:p>
        </w:tc>
      </w:tr>
      <w:tr w:rsidR="006C22DE" w:rsidRPr="00B81A28" w14:paraId="081876B5" w14:textId="77777777" w:rsidTr="000B2FD6">
        <w:tc>
          <w:tcPr>
            <w:tcW w:w="5245" w:type="dxa"/>
          </w:tcPr>
          <w:p w14:paraId="387054BD" w14:textId="77777777" w:rsidR="006C22DE" w:rsidRPr="00B81A28" w:rsidRDefault="006C22DE" w:rsidP="000B2FD6">
            <w:pPr>
              <w:spacing w:before="40" w:after="20" w:line="300" w:lineRule="atLeast"/>
              <w:rPr>
                <w:rFonts w:ascii="Verdana" w:hAnsi="Verdana"/>
                <w:sz w:val="16"/>
                <w:szCs w:val="16"/>
              </w:rPr>
            </w:pPr>
            <w:r w:rsidRPr="00B81A28">
              <w:rPr>
                <w:rFonts w:ascii="Verdana" w:hAnsi="Verdana"/>
                <w:sz w:val="16"/>
                <w:szCs w:val="16"/>
              </w:rPr>
              <w:t>Ashburton GOVI Tracker Fund</w:t>
            </w:r>
          </w:p>
        </w:tc>
        <w:tc>
          <w:tcPr>
            <w:tcW w:w="1606" w:type="dxa"/>
          </w:tcPr>
          <w:p w14:paraId="486FB3DF" w14:textId="27965DF8"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(1,31%)</w:t>
            </w:r>
          </w:p>
        </w:tc>
        <w:tc>
          <w:tcPr>
            <w:tcW w:w="1607" w:type="dxa"/>
          </w:tcPr>
          <w:p w14:paraId="00544A5B" w14:textId="14FB4A38"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14,10%</w:t>
            </w:r>
          </w:p>
        </w:tc>
        <w:tc>
          <w:tcPr>
            <w:tcW w:w="1606" w:type="dxa"/>
          </w:tcPr>
          <w:p w14:paraId="3CB53E74" w14:textId="2C85E308"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2,50%</w:t>
            </w:r>
          </w:p>
        </w:tc>
        <w:tc>
          <w:tcPr>
            <w:tcW w:w="1607" w:type="dxa"/>
          </w:tcPr>
          <w:p w14:paraId="1029C73B" w14:textId="739E278E"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7,14%</w:t>
            </w:r>
          </w:p>
        </w:tc>
        <w:tc>
          <w:tcPr>
            <w:tcW w:w="1606" w:type="dxa"/>
          </w:tcPr>
          <w:p w14:paraId="2DCCD131" w14:textId="77777777" w:rsidR="006C22DE" w:rsidRPr="00B81A28" w:rsidRDefault="006C22DE" w:rsidP="000B2FD6">
            <w:pPr>
              <w:spacing w:before="40" w:after="20" w:line="300" w:lineRule="atLeast"/>
              <w:jc w:val="center"/>
              <w:rPr>
                <w:rFonts w:ascii="Verdana" w:hAnsi="Verdana"/>
                <w:sz w:val="16"/>
                <w:szCs w:val="16"/>
              </w:rPr>
            </w:pPr>
            <w:r w:rsidRPr="00B81A28">
              <w:rPr>
                <w:rFonts w:ascii="Verdana" w:hAnsi="Verdana"/>
                <w:sz w:val="16"/>
                <w:szCs w:val="16"/>
              </w:rPr>
              <w:t>-</w:t>
            </w:r>
          </w:p>
        </w:tc>
        <w:tc>
          <w:tcPr>
            <w:tcW w:w="1607" w:type="dxa"/>
            <w:shd w:val="clear" w:color="auto" w:fill="auto"/>
          </w:tcPr>
          <w:p w14:paraId="25820577" w14:textId="77777777" w:rsidR="006C22DE" w:rsidRPr="00B81A28" w:rsidRDefault="006C22DE" w:rsidP="000B2FD6">
            <w:pPr>
              <w:spacing w:before="40" w:after="20" w:line="260" w:lineRule="atLeast"/>
              <w:jc w:val="center"/>
              <w:rPr>
                <w:rFonts w:ascii="Verdana" w:hAnsi="Verdana"/>
                <w:sz w:val="16"/>
                <w:szCs w:val="16"/>
              </w:rPr>
            </w:pPr>
            <w:r w:rsidRPr="00B81A28">
              <w:rPr>
                <w:rFonts w:ascii="Verdana" w:hAnsi="Verdana"/>
                <w:sz w:val="16"/>
                <w:szCs w:val="16"/>
              </w:rPr>
              <w:t>-</w:t>
            </w:r>
          </w:p>
        </w:tc>
      </w:tr>
      <w:tr w:rsidR="006C22DE" w:rsidRPr="00B81A28" w14:paraId="0700EB6D" w14:textId="77777777" w:rsidTr="000B2FD6">
        <w:tc>
          <w:tcPr>
            <w:tcW w:w="5245" w:type="dxa"/>
          </w:tcPr>
          <w:p w14:paraId="2D8EB461" w14:textId="77777777" w:rsidR="006C22DE" w:rsidRPr="00B81A28" w:rsidRDefault="006C22DE" w:rsidP="000B2FD6">
            <w:pPr>
              <w:spacing w:before="40" w:after="20" w:line="300" w:lineRule="atLeast"/>
              <w:rPr>
                <w:rFonts w:ascii="Verdana" w:hAnsi="Verdana"/>
                <w:sz w:val="16"/>
                <w:szCs w:val="16"/>
              </w:rPr>
            </w:pPr>
            <w:r w:rsidRPr="00B81A28">
              <w:rPr>
                <w:rFonts w:ascii="Verdana" w:hAnsi="Verdana"/>
                <w:sz w:val="16"/>
                <w:szCs w:val="16"/>
              </w:rPr>
              <w:t>Satrix Bond Index Fund</w:t>
            </w:r>
          </w:p>
        </w:tc>
        <w:tc>
          <w:tcPr>
            <w:tcW w:w="1606" w:type="dxa"/>
          </w:tcPr>
          <w:p w14:paraId="56AAB0AC" w14:textId="20CC3005"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(1,18%)</w:t>
            </w:r>
          </w:p>
        </w:tc>
        <w:tc>
          <w:tcPr>
            <w:tcW w:w="1607" w:type="dxa"/>
          </w:tcPr>
          <w:p w14:paraId="6D48A29A" w14:textId="0E040CCF"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14,18%</w:t>
            </w:r>
          </w:p>
        </w:tc>
        <w:tc>
          <w:tcPr>
            <w:tcW w:w="1606" w:type="dxa"/>
          </w:tcPr>
          <w:p w14:paraId="1692F246" w14:textId="49FD113F"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2,17%</w:t>
            </w:r>
          </w:p>
        </w:tc>
        <w:tc>
          <w:tcPr>
            <w:tcW w:w="1607" w:type="dxa"/>
          </w:tcPr>
          <w:p w14:paraId="1E651284" w14:textId="199B0518"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7,50%</w:t>
            </w:r>
          </w:p>
        </w:tc>
        <w:tc>
          <w:tcPr>
            <w:tcW w:w="1606" w:type="dxa"/>
          </w:tcPr>
          <w:p w14:paraId="26841671" w14:textId="1EE9ADA5"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6,88%</w:t>
            </w:r>
          </w:p>
        </w:tc>
        <w:tc>
          <w:tcPr>
            <w:tcW w:w="1607" w:type="dxa"/>
            <w:shd w:val="clear" w:color="auto" w:fill="auto"/>
          </w:tcPr>
          <w:p w14:paraId="345DA147" w14:textId="77777777" w:rsidR="006C22DE" w:rsidRPr="00B81A28" w:rsidRDefault="006C22DE" w:rsidP="000B2FD6">
            <w:pPr>
              <w:spacing w:before="40" w:after="20" w:line="260" w:lineRule="atLeast"/>
              <w:jc w:val="center"/>
              <w:rPr>
                <w:rFonts w:ascii="Verdana" w:hAnsi="Verdana"/>
                <w:sz w:val="16"/>
                <w:szCs w:val="16"/>
              </w:rPr>
            </w:pPr>
            <w:r w:rsidRPr="00B81A28">
              <w:rPr>
                <w:rFonts w:ascii="Verdana" w:hAnsi="Verdana"/>
                <w:sz w:val="16"/>
                <w:szCs w:val="16"/>
              </w:rPr>
              <w:t>-</w:t>
            </w:r>
          </w:p>
        </w:tc>
      </w:tr>
      <w:tr w:rsidR="006C22DE" w:rsidRPr="00B81A28" w14:paraId="17C8DB5A" w14:textId="77777777" w:rsidTr="000B2FD6">
        <w:tc>
          <w:tcPr>
            <w:tcW w:w="5245" w:type="dxa"/>
          </w:tcPr>
          <w:p w14:paraId="495464C7" w14:textId="77777777" w:rsidR="006C22DE" w:rsidRDefault="006C22DE" w:rsidP="000B2FD6">
            <w:pPr>
              <w:spacing w:before="40" w:after="20" w:line="300" w:lineRule="atLeast"/>
              <w:rPr>
                <w:rFonts w:ascii="Verdana" w:hAnsi="Verdana"/>
                <w:sz w:val="16"/>
                <w:szCs w:val="16"/>
              </w:rPr>
            </w:pPr>
            <w:r w:rsidRPr="00B81A28">
              <w:rPr>
                <w:rFonts w:ascii="Verdana" w:hAnsi="Verdana"/>
                <w:sz w:val="16"/>
                <w:szCs w:val="16"/>
              </w:rPr>
              <w:t>Sygnia All Bond Index Fund</w:t>
            </w:r>
          </w:p>
        </w:tc>
        <w:tc>
          <w:tcPr>
            <w:tcW w:w="1606" w:type="dxa"/>
          </w:tcPr>
          <w:p w14:paraId="45AAF844" w14:textId="67D9A6E1"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(0,69%)</w:t>
            </w:r>
          </w:p>
        </w:tc>
        <w:tc>
          <w:tcPr>
            <w:tcW w:w="1607" w:type="dxa"/>
          </w:tcPr>
          <w:p w14:paraId="4B03179A" w14:textId="0D2C9396"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15,24%</w:t>
            </w:r>
          </w:p>
        </w:tc>
        <w:tc>
          <w:tcPr>
            <w:tcW w:w="1606" w:type="dxa"/>
          </w:tcPr>
          <w:p w14:paraId="50AD530C" w14:textId="434492AC" w:rsidR="006C22DE" w:rsidRDefault="005D4900" w:rsidP="000B2FD6">
            <w:pPr>
              <w:spacing w:before="40" w:after="20" w:line="300" w:lineRule="atLeast"/>
              <w:jc w:val="center"/>
              <w:rPr>
                <w:rFonts w:ascii="Verdana" w:hAnsi="Verdana"/>
                <w:sz w:val="16"/>
                <w:szCs w:val="16"/>
              </w:rPr>
            </w:pPr>
            <w:r>
              <w:rPr>
                <w:rFonts w:ascii="Verdana" w:hAnsi="Verdana"/>
                <w:sz w:val="16"/>
                <w:szCs w:val="16"/>
              </w:rPr>
              <w:t>3,01%</w:t>
            </w:r>
          </w:p>
        </w:tc>
        <w:tc>
          <w:tcPr>
            <w:tcW w:w="1607" w:type="dxa"/>
          </w:tcPr>
          <w:p w14:paraId="2457E6FA" w14:textId="7FAA4712" w:rsidR="006C22DE" w:rsidRDefault="005D4900" w:rsidP="000B2FD6">
            <w:pPr>
              <w:spacing w:before="40" w:after="20" w:line="300" w:lineRule="atLeast"/>
              <w:jc w:val="center"/>
              <w:rPr>
                <w:rFonts w:ascii="Verdana" w:hAnsi="Verdana"/>
                <w:sz w:val="16"/>
                <w:szCs w:val="16"/>
              </w:rPr>
            </w:pPr>
            <w:r>
              <w:rPr>
                <w:rFonts w:ascii="Verdana" w:hAnsi="Verdana"/>
                <w:sz w:val="16"/>
                <w:szCs w:val="16"/>
              </w:rPr>
              <w:t>7,67%</w:t>
            </w:r>
          </w:p>
        </w:tc>
        <w:tc>
          <w:tcPr>
            <w:tcW w:w="1606" w:type="dxa"/>
          </w:tcPr>
          <w:p w14:paraId="5B44C2B6" w14:textId="2263D8EF" w:rsidR="006C22DE" w:rsidRDefault="005D4900" w:rsidP="000B2FD6">
            <w:pPr>
              <w:spacing w:before="40" w:after="20" w:line="300" w:lineRule="atLeast"/>
              <w:jc w:val="center"/>
              <w:rPr>
                <w:rFonts w:ascii="Verdana" w:hAnsi="Verdana"/>
                <w:sz w:val="16"/>
                <w:szCs w:val="16"/>
              </w:rPr>
            </w:pPr>
            <w:r>
              <w:rPr>
                <w:rFonts w:ascii="Verdana" w:hAnsi="Verdana"/>
                <w:sz w:val="16"/>
                <w:szCs w:val="16"/>
              </w:rPr>
              <w:t>6,94%</w:t>
            </w:r>
          </w:p>
        </w:tc>
        <w:tc>
          <w:tcPr>
            <w:tcW w:w="1607" w:type="dxa"/>
            <w:shd w:val="clear" w:color="auto" w:fill="auto"/>
          </w:tcPr>
          <w:p w14:paraId="77EE9B4D" w14:textId="77777777" w:rsidR="006C22DE" w:rsidRDefault="006C22DE" w:rsidP="000B2FD6">
            <w:pPr>
              <w:spacing w:before="40" w:after="20" w:line="260" w:lineRule="atLeast"/>
              <w:jc w:val="center"/>
              <w:rPr>
                <w:rFonts w:ascii="Verdana" w:hAnsi="Verdana"/>
                <w:sz w:val="16"/>
                <w:szCs w:val="16"/>
              </w:rPr>
            </w:pPr>
            <w:r w:rsidRPr="00B81A28">
              <w:rPr>
                <w:rFonts w:ascii="Verdana" w:hAnsi="Verdana"/>
                <w:sz w:val="16"/>
                <w:szCs w:val="16"/>
              </w:rPr>
              <w:t>-</w:t>
            </w:r>
          </w:p>
        </w:tc>
      </w:tr>
      <w:tr w:rsidR="006C22DE" w:rsidRPr="00FC742B" w14:paraId="326A4909" w14:textId="77777777" w:rsidTr="000B2FD6">
        <w:tc>
          <w:tcPr>
            <w:tcW w:w="14884" w:type="dxa"/>
            <w:gridSpan w:val="7"/>
            <w:shd w:val="clear" w:color="auto" w:fill="7583BD"/>
            <w:vAlign w:val="center"/>
          </w:tcPr>
          <w:p w14:paraId="0F93C146" w14:textId="77777777" w:rsidR="006C22DE" w:rsidRPr="00FC742B" w:rsidRDefault="006C22DE" w:rsidP="000B2FD6">
            <w:pPr>
              <w:spacing w:before="40" w:after="20" w:line="260" w:lineRule="atLeast"/>
              <w:rPr>
                <w:rFonts w:ascii="Verdana" w:hAnsi="Verdana"/>
                <w:b/>
                <w:color w:val="FFFFFF" w:themeColor="background1"/>
                <w:sz w:val="16"/>
                <w:szCs w:val="16"/>
              </w:rPr>
            </w:pPr>
            <w:r>
              <w:rPr>
                <w:rFonts w:ascii="Verdana" w:hAnsi="Verdana"/>
                <w:b/>
                <w:color w:val="FFFFFF" w:themeColor="background1"/>
                <w:sz w:val="16"/>
                <w:szCs w:val="16"/>
              </w:rPr>
              <w:t>PROPERTY INDEX TRACKING UNIT TRUSTS (Total Return)</w:t>
            </w:r>
          </w:p>
        </w:tc>
      </w:tr>
      <w:tr w:rsidR="006C22DE" w:rsidRPr="00BC54C5" w14:paraId="52B32A79" w14:textId="77777777" w:rsidTr="000B2FD6">
        <w:tc>
          <w:tcPr>
            <w:tcW w:w="5245" w:type="dxa"/>
          </w:tcPr>
          <w:p w14:paraId="3280B75C" w14:textId="77777777" w:rsidR="006C22DE" w:rsidRPr="00BC54C5" w:rsidRDefault="006C22DE" w:rsidP="000B2FD6">
            <w:pPr>
              <w:spacing w:before="40" w:after="20" w:line="300" w:lineRule="atLeast"/>
              <w:rPr>
                <w:rFonts w:ascii="Verdana" w:hAnsi="Verdana"/>
                <w:b/>
                <w:sz w:val="16"/>
                <w:szCs w:val="16"/>
              </w:rPr>
            </w:pPr>
            <w:r>
              <w:rPr>
                <w:rFonts w:ascii="Verdana" w:hAnsi="Verdana"/>
                <w:b/>
                <w:sz w:val="16"/>
                <w:szCs w:val="16"/>
              </w:rPr>
              <w:t>FTSE/JSE SA Listed Property Index (SAPY)</w:t>
            </w:r>
          </w:p>
        </w:tc>
        <w:tc>
          <w:tcPr>
            <w:tcW w:w="1606" w:type="dxa"/>
          </w:tcPr>
          <w:p w14:paraId="0F071D24" w14:textId="03F6CBB8" w:rsidR="006C22DE" w:rsidRPr="00BC54C5" w:rsidRDefault="005D4900" w:rsidP="000B2FD6">
            <w:pPr>
              <w:tabs>
                <w:tab w:val="left" w:pos="1050"/>
              </w:tabs>
              <w:spacing w:before="40" w:after="20" w:line="300" w:lineRule="atLeast"/>
              <w:jc w:val="center"/>
              <w:rPr>
                <w:rFonts w:ascii="Verdana" w:hAnsi="Verdana"/>
                <w:b/>
                <w:sz w:val="16"/>
                <w:szCs w:val="16"/>
              </w:rPr>
            </w:pPr>
            <w:r>
              <w:rPr>
                <w:rFonts w:ascii="Verdana" w:hAnsi="Verdana"/>
                <w:b/>
                <w:sz w:val="16"/>
                <w:szCs w:val="16"/>
              </w:rPr>
              <w:t>13,41%</w:t>
            </w:r>
          </w:p>
        </w:tc>
        <w:tc>
          <w:tcPr>
            <w:tcW w:w="1607" w:type="dxa"/>
          </w:tcPr>
          <w:p w14:paraId="1EF5A3F4" w14:textId="522548F6"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27,36%</w:t>
            </w:r>
          </w:p>
        </w:tc>
        <w:tc>
          <w:tcPr>
            <w:tcW w:w="1606" w:type="dxa"/>
          </w:tcPr>
          <w:p w14:paraId="509F921E" w14:textId="6D0003A3"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(39,98%)</w:t>
            </w:r>
          </w:p>
        </w:tc>
        <w:tc>
          <w:tcPr>
            <w:tcW w:w="1607" w:type="dxa"/>
          </w:tcPr>
          <w:p w14:paraId="14B577DF" w14:textId="5613A167"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(18,33%)</w:t>
            </w:r>
          </w:p>
        </w:tc>
        <w:tc>
          <w:tcPr>
            <w:tcW w:w="1606" w:type="dxa"/>
          </w:tcPr>
          <w:p w14:paraId="10C459DE" w14:textId="00172D9F"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(9,06%)</w:t>
            </w:r>
          </w:p>
        </w:tc>
        <w:tc>
          <w:tcPr>
            <w:tcW w:w="1607" w:type="dxa"/>
            <w:shd w:val="clear" w:color="auto" w:fill="auto"/>
          </w:tcPr>
          <w:p w14:paraId="57B8416F" w14:textId="2568A483" w:rsidR="006C22DE" w:rsidRPr="00BC54C5" w:rsidRDefault="005D4900" w:rsidP="000B2FD6">
            <w:pPr>
              <w:spacing w:before="40" w:after="20" w:line="300" w:lineRule="atLeast"/>
              <w:jc w:val="center"/>
              <w:rPr>
                <w:rFonts w:ascii="Verdana" w:hAnsi="Verdana"/>
                <w:b/>
                <w:sz w:val="16"/>
                <w:szCs w:val="16"/>
              </w:rPr>
            </w:pPr>
            <w:r>
              <w:rPr>
                <w:rFonts w:ascii="Verdana" w:hAnsi="Verdana"/>
                <w:b/>
                <w:sz w:val="16"/>
                <w:szCs w:val="16"/>
              </w:rPr>
              <w:t>4,68%</w:t>
            </w:r>
          </w:p>
        </w:tc>
      </w:tr>
      <w:tr w:rsidR="006C22DE" w:rsidRPr="00B81A28" w14:paraId="5F566323" w14:textId="77777777" w:rsidTr="000B2FD6">
        <w:tc>
          <w:tcPr>
            <w:tcW w:w="5245" w:type="dxa"/>
          </w:tcPr>
          <w:p w14:paraId="3E71340E" w14:textId="77777777" w:rsidR="006C22DE" w:rsidRPr="00B81A28" w:rsidRDefault="006C22DE" w:rsidP="000B2FD6">
            <w:pPr>
              <w:spacing w:before="40" w:after="20" w:line="300" w:lineRule="atLeast"/>
              <w:rPr>
                <w:rFonts w:ascii="Verdana" w:hAnsi="Verdana"/>
                <w:sz w:val="16"/>
                <w:szCs w:val="16"/>
              </w:rPr>
            </w:pPr>
            <w:r w:rsidRPr="00B81A28">
              <w:rPr>
                <w:rFonts w:ascii="Verdana" w:hAnsi="Verdana"/>
                <w:sz w:val="16"/>
                <w:szCs w:val="16"/>
              </w:rPr>
              <w:t>Satrix Property Index Fund</w:t>
            </w:r>
          </w:p>
        </w:tc>
        <w:tc>
          <w:tcPr>
            <w:tcW w:w="1606" w:type="dxa"/>
          </w:tcPr>
          <w:p w14:paraId="17E6DD99" w14:textId="0F27549C"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13,33%</w:t>
            </w:r>
          </w:p>
        </w:tc>
        <w:tc>
          <w:tcPr>
            <w:tcW w:w="1607" w:type="dxa"/>
          </w:tcPr>
          <w:p w14:paraId="0ECFE843" w14:textId="4BCFF502"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27,22%</w:t>
            </w:r>
          </w:p>
        </w:tc>
        <w:tc>
          <w:tcPr>
            <w:tcW w:w="1606" w:type="dxa"/>
          </w:tcPr>
          <w:p w14:paraId="590E1639" w14:textId="749E2F9C"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(39,98%)</w:t>
            </w:r>
          </w:p>
        </w:tc>
        <w:tc>
          <w:tcPr>
            <w:tcW w:w="1607" w:type="dxa"/>
          </w:tcPr>
          <w:p w14:paraId="0C777847" w14:textId="34954F53"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(18,67%)</w:t>
            </w:r>
          </w:p>
        </w:tc>
        <w:tc>
          <w:tcPr>
            <w:tcW w:w="1606" w:type="dxa"/>
          </w:tcPr>
          <w:p w14:paraId="5E4E0106" w14:textId="55071B32"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(9,33%)</w:t>
            </w:r>
          </w:p>
        </w:tc>
        <w:tc>
          <w:tcPr>
            <w:tcW w:w="1607" w:type="dxa"/>
            <w:shd w:val="clear" w:color="auto" w:fill="auto"/>
          </w:tcPr>
          <w:p w14:paraId="718A3D16" w14:textId="77777777" w:rsidR="006C22DE" w:rsidRPr="00B81A28" w:rsidRDefault="006C22DE" w:rsidP="000B2FD6">
            <w:pPr>
              <w:spacing w:before="40" w:after="20" w:line="300" w:lineRule="atLeast"/>
              <w:jc w:val="center"/>
              <w:rPr>
                <w:rFonts w:ascii="Verdana" w:hAnsi="Verdana"/>
                <w:sz w:val="16"/>
                <w:szCs w:val="16"/>
              </w:rPr>
            </w:pPr>
            <w:r>
              <w:rPr>
                <w:rFonts w:ascii="Verdana" w:hAnsi="Verdana"/>
                <w:sz w:val="16"/>
                <w:szCs w:val="16"/>
              </w:rPr>
              <w:t>-</w:t>
            </w:r>
          </w:p>
        </w:tc>
      </w:tr>
      <w:tr w:rsidR="006C22DE" w:rsidRPr="00B81A28" w14:paraId="37A01755" w14:textId="77777777" w:rsidTr="000B2FD6">
        <w:tc>
          <w:tcPr>
            <w:tcW w:w="5245" w:type="dxa"/>
          </w:tcPr>
          <w:p w14:paraId="10261028" w14:textId="77777777" w:rsidR="006C22DE" w:rsidRPr="00B81A28" w:rsidRDefault="006C22DE" w:rsidP="000B2FD6">
            <w:pPr>
              <w:spacing w:before="40" w:after="20" w:line="300" w:lineRule="atLeast"/>
              <w:rPr>
                <w:rFonts w:ascii="Verdana" w:hAnsi="Verdana"/>
                <w:sz w:val="16"/>
                <w:szCs w:val="16"/>
              </w:rPr>
            </w:pPr>
            <w:r w:rsidRPr="00B81A28">
              <w:rPr>
                <w:rFonts w:ascii="Verdana" w:hAnsi="Verdana"/>
                <w:sz w:val="16"/>
                <w:szCs w:val="16"/>
              </w:rPr>
              <w:t>Prudential Enhanced SA Property Tracker Fund</w:t>
            </w:r>
          </w:p>
        </w:tc>
        <w:tc>
          <w:tcPr>
            <w:tcW w:w="1606" w:type="dxa"/>
          </w:tcPr>
          <w:p w14:paraId="1F468B3A" w14:textId="7FA1323F"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12,14%</w:t>
            </w:r>
          </w:p>
        </w:tc>
        <w:tc>
          <w:tcPr>
            <w:tcW w:w="1607" w:type="dxa"/>
          </w:tcPr>
          <w:p w14:paraId="7057E87D" w14:textId="77375124"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22,30%</w:t>
            </w:r>
          </w:p>
        </w:tc>
        <w:tc>
          <w:tcPr>
            <w:tcW w:w="1606" w:type="dxa"/>
          </w:tcPr>
          <w:p w14:paraId="777EFAFE" w14:textId="1DBAFE8A"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(40,71%)</w:t>
            </w:r>
          </w:p>
        </w:tc>
        <w:tc>
          <w:tcPr>
            <w:tcW w:w="1607" w:type="dxa"/>
          </w:tcPr>
          <w:p w14:paraId="5D6FDE94" w14:textId="65F2E6F2"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(19,86%)</w:t>
            </w:r>
          </w:p>
        </w:tc>
        <w:tc>
          <w:tcPr>
            <w:tcW w:w="1606" w:type="dxa"/>
          </w:tcPr>
          <w:p w14:paraId="27BABACB" w14:textId="59734158"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(9,71%)</w:t>
            </w:r>
          </w:p>
        </w:tc>
        <w:tc>
          <w:tcPr>
            <w:tcW w:w="1607" w:type="dxa"/>
            <w:shd w:val="clear" w:color="auto" w:fill="auto"/>
          </w:tcPr>
          <w:p w14:paraId="419CCE38" w14:textId="7B4A50C9"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4,18%</w:t>
            </w:r>
          </w:p>
        </w:tc>
      </w:tr>
      <w:tr w:rsidR="006C22DE" w:rsidRPr="00B81A28" w14:paraId="2F56B15D" w14:textId="77777777" w:rsidTr="000B2FD6">
        <w:tc>
          <w:tcPr>
            <w:tcW w:w="5245" w:type="dxa"/>
          </w:tcPr>
          <w:p w14:paraId="13ABDB51" w14:textId="77777777" w:rsidR="006C22DE" w:rsidRPr="00B81A28" w:rsidRDefault="006C22DE" w:rsidP="000B2FD6">
            <w:pPr>
              <w:spacing w:before="40" w:after="20" w:line="300" w:lineRule="atLeast"/>
              <w:rPr>
                <w:rFonts w:ascii="Verdana" w:hAnsi="Verdana"/>
                <w:sz w:val="16"/>
                <w:szCs w:val="16"/>
              </w:rPr>
            </w:pPr>
            <w:r w:rsidRPr="00B81A28">
              <w:rPr>
                <w:rFonts w:ascii="Verdana" w:hAnsi="Verdana"/>
                <w:sz w:val="16"/>
                <w:szCs w:val="16"/>
              </w:rPr>
              <w:t>Sygnia Listed Property Index Fund</w:t>
            </w:r>
          </w:p>
        </w:tc>
        <w:tc>
          <w:tcPr>
            <w:tcW w:w="1606" w:type="dxa"/>
          </w:tcPr>
          <w:p w14:paraId="4309782F" w14:textId="144CA196" w:rsidR="006C22DE" w:rsidRPr="00B81A28" w:rsidRDefault="005D4900" w:rsidP="000B2FD6">
            <w:pPr>
              <w:tabs>
                <w:tab w:val="left" w:pos="1050"/>
              </w:tabs>
              <w:spacing w:before="40" w:after="20" w:line="300" w:lineRule="atLeast"/>
              <w:jc w:val="center"/>
              <w:rPr>
                <w:rFonts w:ascii="Verdana" w:hAnsi="Verdana"/>
                <w:sz w:val="16"/>
                <w:szCs w:val="16"/>
              </w:rPr>
            </w:pPr>
            <w:r>
              <w:rPr>
                <w:rFonts w:ascii="Verdana" w:hAnsi="Verdana"/>
                <w:sz w:val="16"/>
                <w:szCs w:val="16"/>
              </w:rPr>
              <w:t>15,08%</w:t>
            </w:r>
          </w:p>
        </w:tc>
        <w:tc>
          <w:tcPr>
            <w:tcW w:w="1607" w:type="dxa"/>
          </w:tcPr>
          <w:p w14:paraId="5D548108" w14:textId="09645CD6"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28,95%</w:t>
            </w:r>
          </w:p>
        </w:tc>
        <w:tc>
          <w:tcPr>
            <w:tcW w:w="1606" w:type="dxa"/>
          </w:tcPr>
          <w:p w14:paraId="0DE70792" w14:textId="09A95177"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(39,61%)</w:t>
            </w:r>
          </w:p>
        </w:tc>
        <w:tc>
          <w:tcPr>
            <w:tcW w:w="1607" w:type="dxa"/>
          </w:tcPr>
          <w:p w14:paraId="731A2296" w14:textId="37AAE2F7"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(18,48%)</w:t>
            </w:r>
          </w:p>
        </w:tc>
        <w:tc>
          <w:tcPr>
            <w:tcW w:w="1606" w:type="dxa"/>
          </w:tcPr>
          <w:p w14:paraId="4CADB752" w14:textId="03C47BEA" w:rsidR="006C22DE" w:rsidRPr="00B81A28" w:rsidRDefault="005D4900" w:rsidP="000B2FD6">
            <w:pPr>
              <w:spacing w:before="40" w:after="20" w:line="300" w:lineRule="atLeast"/>
              <w:jc w:val="center"/>
              <w:rPr>
                <w:rFonts w:ascii="Verdana" w:hAnsi="Verdana"/>
                <w:sz w:val="16"/>
                <w:szCs w:val="16"/>
              </w:rPr>
            </w:pPr>
            <w:r>
              <w:rPr>
                <w:rFonts w:ascii="Verdana" w:hAnsi="Verdana"/>
                <w:sz w:val="16"/>
                <w:szCs w:val="16"/>
              </w:rPr>
              <w:t>9,13%</w:t>
            </w:r>
          </w:p>
        </w:tc>
        <w:tc>
          <w:tcPr>
            <w:tcW w:w="1607" w:type="dxa"/>
            <w:shd w:val="clear" w:color="auto" w:fill="auto"/>
          </w:tcPr>
          <w:p w14:paraId="3F5EB51B" w14:textId="77777777" w:rsidR="006C22DE" w:rsidRPr="00B81A28" w:rsidRDefault="006C22DE" w:rsidP="000B2FD6">
            <w:pPr>
              <w:spacing w:before="40" w:after="20" w:line="300" w:lineRule="atLeast"/>
              <w:jc w:val="center"/>
              <w:rPr>
                <w:rFonts w:ascii="Verdana" w:hAnsi="Verdana"/>
                <w:sz w:val="16"/>
                <w:szCs w:val="16"/>
              </w:rPr>
            </w:pPr>
            <w:r w:rsidRPr="00B81A28">
              <w:rPr>
                <w:rFonts w:ascii="Verdana" w:hAnsi="Verdana"/>
                <w:sz w:val="16"/>
                <w:szCs w:val="16"/>
              </w:rPr>
              <w:t>-</w:t>
            </w:r>
          </w:p>
        </w:tc>
      </w:tr>
    </w:tbl>
    <w:p w14:paraId="2BDF0D7C" w14:textId="77777777" w:rsidR="006C22DE" w:rsidRDefault="006C22DE" w:rsidP="006C22DE">
      <w:pPr>
        <w:spacing w:after="160" w:line="259" w:lineRule="auto"/>
      </w:pPr>
      <w:r>
        <w:br w:type="page"/>
      </w:r>
    </w:p>
    <w:p w14:paraId="27151994" w14:textId="77777777" w:rsidR="006C22DE" w:rsidRDefault="006C22DE" w:rsidP="006C22DE">
      <w:pPr>
        <w:spacing w:after="0" w:line="240" w:lineRule="auto"/>
        <w:rPr>
          <w:rFonts w:ascii="Verdana" w:hAnsi="Verdana"/>
          <w:sz w:val="15"/>
          <w:szCs w:val="15"/>
        </w:rPr>
      </w:pPr>
    </w:p>
    <w:p w14:paraId="6F82F9D6" w14:textId="77777777" w:rsidR="006C22DE" w:rsidRPr="00B81A28" w:rsidRDefault="006C22DE" w:rsidP="006C22DE">
      <w:pPr>
        <w:spacing w:after="0" w:line="240" w:lineRule="auto"/>
        <w:rPr>
          <w:rFonts w:ascii="Verdana" w:hAnsi="Verdana"/>
          <w:sz w:val="15"/>
          <w:szCs w:val="15"/>
        </w:rPr>
      </w:pPr>
    </w:p>
    <w:p w14:paraId="0EB773FE"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drawing>
          <wp:inline distT="0" distB="0" distL="0" distR="0" wp14:anchorId="18524512" wp14:editId="2730887A">
            <wp:extent cx="3057525" cy="642486"/>
            <wp:effectExtent l="0" t="0" r="0" b="5715"/>
            <wp:docPr id="2" name="Picture 2"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606"/>
        <w:gridCol w:w="1607"/>
        <w:gridCol w:w="1606"/>
        <w:gridCol w:w="1607"/>
        <w:gridCol w:w="1606"/>
        <w:gridCol w:w="1607"/>
      </w:tblGrid>
      <w:tr w:rsidR="006C22DE" w:rsidRPr="00B81A28" w14:paraId="2CC77ECF" w14:textId="77777777" w:rsidTr="000B2FD6">
        <w:tc>
          <w:tcPr>
            <w:tcW w:w="14884" w:type="dxa"/>
            <w:gridSpan w:val="7"/>
            <w:shd w:val="clear" w:color="auto" w:fill="CB2229"/>
            <w:vAlign w:val="center"/>
          </w:tcPr>
          <w:p w14:paraId="2EE98475"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4F8B4449" w14:textId="77777777" w:rsidR="006C22DE" w:rsidRPr="00B81A28" w:rsidRDefault="006C22DE" w:rsidP="000B2FD6">
            <w:pPr>
              <w:spacing w:before="40" w:after="40" w:line="32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 xml:space="preserve">30 June 2020   </w:t>
            </w:r>
            <w:r w:rsidRPr="00B81A28">
              <w:rPr>
                <w:rFonts w:ascii="Verdana" w:hAnsi="Verdana"/>
                <w:b/>
                <w:color w:val="FFFFFF"/>
                <w:sz w:val="20"/>
                <w:szCs w:val="20"/>
              </w:rPr>
              <w:t>(Total Returns – dividends reinvested)</w:t>
            </w:r>
          </w:p>
        </w:tc>
      </w:tr>
      <w:tr w:rsidR="006C22DE" w:rsidRPr="00B81A28" w14:paraId="5D4F5958" w14:textId="77777777" w:rsidTr="000B2FD6">
        <w:tc>
          <w:tcPr>
            <w:tcW w:w="5245" w:type="dxa"/>
            <w:shd w:val="clear" w:color="auto" w:fill="4C4C4C"/>
          </w:tcPr>
          <w:p w14:paraId="7C58A050" w14:textId="77777777" w:rsidR="006C22DE" w:rsidRPr="0067766B" w:rsidRDefault="006C22DE" w:rsidP="000B2FD6">
            <w:pPr>
              <w:spacing w:before="40" w:after="40" w:line="320" w:lineRule="atLeast"/>
              <w:rPr>
                <w:rFonts w:ascii="Verdana" w:hAnsi="Verdana"/>
                <w:b/>
                <w:caps/>
                <w:color w:val="FFFFFF"/>
                <w:sz w:val="16"/>
                <w:szCs w:val="16"/>
              </w:rPr>
            </w:pPr>
            <w:r>
              <w:rPr>
                <w:rFonts w:ascii="Verdana" w:hAnsi="Verdana"/>
                <w:b/>
                <w:caps/>
                <w:color w:val="FFFFFF"/>
                <w:sz w:val="16"/>
                <w:szCs w:val="16"/>
              </w:rPr>
              <w:t>INDEX TRACKING UNIT TRUSTS</w:t>
            </w:r>
          </w:p>
        </w:tc>
        <w:tc>
          <w:tcPr>
            <w:tcW w:w="1606" w:type="dxa"/>
            <w:shd w:val="clear" w:color="auto" w:fill="4C4C4C"/>
          </w:tcPr>
          <w:p w14:paraId="6F0B2A73" w14:textId="77777777" w:rsidR="006C22DE" w:rsidRPr="00B81A28" w:rsidRDefault="006C22DE" w:rsidP="000B2FD6">
            <w:pPr>
              <w:spacing w:before="40" w:after="40" w:line="32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607" w:type="dxa"/>
            <w:shd w:val="clear" w:color="auto" w:fill="4C4C4C"/>
          </w:tcPr>
          <w:p w14:paraId="1A6874B1" w14:textId="77777777" w:rsidR="006C22DE" w:rsidRPr="00B81A28" w:rsidRDefault="006C22DE" w:rsidP="000B2FD6">
            <w:pPr>
              <w:spacing w:before="40" w:after="40" w:line="32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606" w:type="dxa"/>
            <w:shd w:val="clear" w:color="auto" w:fill="4C4C4C"/>
          </w:tcPr>
          <w:p w14:paraId="345167F8" w14:textId="77777777" w:rsidR="006C22DE" w:rsidRPr="00B81A28" w:rsidRDefault="006C22DE" w:rsidP="000B2FD6">
            <w:pPr>
              <w:spacing w:before="40" w:after="40" w:line="32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607" w:type="dxa"/>
            <w:shd w:val="clear" w:color="auto" w:fill="4C4C4C"/>
          </w:tcPr>
          <w:p w14:paraId="320E5B61" w14:textId="77777777" w:rsidR="006C22DE" w:rsidRPr="00B81A28" w:rsidRDefault="006C22DE" w:rsidP="000B2FD6">
            <w:pPr>
              <w:spacing w:before="40" w:after="40" w:line="32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606" w:type="dxa"/>
            <w:shd w:val="clear" w:color="auto" w:fill="4C4C4C"/>
          </w:tcPr>
          <w:p w14:paraId="6BD45A3F" w14:textId="77777777" w:rsidR="006C22DE" w:rsidRPr="00B81A28" w:rsidRDefault="006C22DE" w:rsidP="000B2FD6">
            <w:pPr>
              <w:spacing w:before="40" w:after="40" w:line="32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607" w:type="dxa"/>
            <w:shd w:val="clear" w:color="auto" w:fill="4C4C4C"/>
          </w:tcPr>
          <w:p w14:paraId="4C972410" w14:textId="77777777" w:rsidR="006C22DE" w:rsidRPr="00B81A28" w:rsidRDefault="006C22DE" w:rsidP="000B2FD6">
            <w:pPr>
              <w:spacing w:before="40" w:after="40" w:line="32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15268117" w14:textId="77777777" w:rsidTr="000B2FD6">
        <w:tc>
          <w:tcPr>
            <w:tcW w:w="5245" w:type="dxa"/>
            <w:shd w:val="clear" w:color="auto" w:fill="auto"/>
          </w:tcPr>
          <w:p w14:paraId="48237583" w14:textId="77777777" w:rsidR="006C22DE" w:rsidRPr="00AE5F39" w:rsidRDefault="006C22DE" w:rsidP="000B2FD6">
            <w:pPr>
              <w:spacing w:before="40" w:after="40" w:line="320" w:lineRule="atLeast"/>
              <w:rPr>
                <w:rFonts w:ascii="Verdana" w:hAnsi="Verdana"/>
                <w:color w:val="000000" w:themeColor="text1"/>
                <w:sz w:val="16"/>
                <w:szCs w:val="16"/>
              </w:rPr>
            </w:pPr>
            <w:r w:rsidRPr="00AE5F39">
              <w:rPr>
                <w:rFonts w:ascii="Verdana" w:hAnsi="Verdana"/>
                <w:b/>
                <w:color w:val="000000" w:themeColor="text1"/>
                <w:sz w:val="16"/>
                <w:szCs w:val="16"/>
              </w:rPr>
              <w:t>FTSE/JSE ALL SHARE INDEX (Total Return)</w:t>
            </w:r>
          </w:p>
        </w:tc>
        <w:tc>
          <w:tcPr>
            <w:tcW w:w="1606" w:type="dxa"/>
            <w:shd w:val="clear" w:color="auto" w:fill="auto"/>
          </w:tcPr>
          <w:p w14:paraId="135FF5B0" w14:textId="4DE8B344" w:rsidR="006C22DE" w:rsidRPr="00AE5F39" w:rsidRDefault="00583496" w:rsidP="000B2FD6">
            <w:pPr>
              <w:tabs>
                <w:tab w:val="left" w:pos="1050"/>
              </w:tabs>
              <w:spacing w:before="40" w:after="40" w:line="320" w:lineRule="atLeast"/>
              <w:jc w:val="center"/>
              <w:rPr>
                <w:rFonts w:ascii="Verdana" w:hAnsi="Verdana"/>
                <w:b/>
                <w:color w:val="000000" w:themeColor="text1"/>
                <w:sz w:val="16"/>
                <w:szCs w:val="16"/>
              </w:rPr>
            </w:pPr>
            <w:r>
              <w:rPr>
                <w:rFonts w:ascii="Verdana" w:hAnsi="Verdana"/>
                <w:b/>
                <w:color w:val="000000" w:themeColor="text1"/>
                <w:sz w:val="16"/>
                <w:szCs w:val="16"/>
              </w:rPr>
              <w:t>7,74%</w:t>
            </w:r>
          </w:p>
        </w:tc>
        <w:tc>
          <w:tcPr>
            <w:tcW w:w="1607" w:type="dxa"/>
            <w:shd w:val="clear" w:color="auto" w:fill="auto"/>
          </w:tcPr>
          <w:p w14:paraId="63612545" w14:textId="5129084D" w:rsidR="006C22DE" w:rsidRPr="00AE5F39" w:rsidRDefault="00583496" w:rsidP="000B2FD6">
            <w:pPr>
              <w:spacing w:before="40" w:after="40" w:line="320" w:lineRule="atLeast"/>
              <w:jc w:val="center"/>
              <w:rPr>
                <w:rFonts w:ascii="Verdana" w:hAnsi="Verdana"/>
                <w:b/>
                <w:color w:val="000000" w:themeColor="text1"/>
                <w:sz w:val="16"/>
                <w:szCs w:val="16"/>
              </w:rPr>
            </w:pPr>
            <w:r>
              <w:rPr>
                <w:rFonts w:ascii="Verdana" w:hAnsi="Verdana"/>
                <w:b/>
                <w:color w:val="000000" w:themeColor="text1"/>
                <w:sz w:val="16"/>
                <w:szCs w:val="16"/>
              </w:rPr>
              <w:t>26,23%</w:t>
            </w:r>
          </w:p>
        </w:tc>
        <w:tc>
          <w:tcPr>
            <w:tcW w:w="1606" w:type="dxa"/>
            <w:shd w:val="clear" w:color="auto" w:fill="auto"/>
          </w:tcPr>
          <w:p w14:paraId="20DFBB15" w14:textId="53F56961" w:rsidR="006C22DE" w:rsidRPr="00AE5F39" w:rsidRDefault="00583496" w:rsidP="000B2FD6">
            <w:pPr>
              <w:spacing w:before="40" w:after="40" w:line="320" w:lineRule="atLeast"/>
              <w:jc w:val="center"/>
              <w:rPr>
                <w:rFonts w:ascii="Verdana" w:hAnsi="Verdana"/>
                <w:b/>
                <w:color w:val="000000" w:themeColor="text1"/>
                <w:sz w:val="16"/>
                <w:szCs w:val="16"/>
              </w:rPr>
            </w:pPr>
            <w:r>
              <w:rPr>
                <w:rFonts w:ascii="Verdana" w:hAnsi="Verdana"/>
                <w:b/>
                <w:color w:val="000000" w:themeColor="text1"/>
                <w:sz w:val="16"/>
                <w:szCs w:val="16"/>
              </w:rPr>
              <w:t>(3,30%)</w:t>
            </w:r>
          </w:p>
        </w:tc>
        <w:tc>
          <w:tcPr>
            <w:tcW w:w="1607" w:type="dxa"/>
            <w:shd w:val="clear" w:color="auto" w:fill="auto"/>
          </w:tcPr>
          <w:p w14:paraId="4218E780" w14:textId="51604377" w:rsidR="006C22DE" w:rsidRPr="00AE5F39" w:rsidRDefault="00583496" w:rsidP="000B2FD6">
            <w:pPr>
              <w:spacing w:before="40" w:after="40" w:line="320" w:lineRule="atLeast"/>
              <w:jc w:val="center"/>
              <w:rPr>
                <w:rFonts w:ascii="Verdana" w:hAnsi="Verdana"/>
                <w:b/>
                <w:color w:val="000000" w:themeColor="text1"/>
                <w:sz w:val="16"/>
                <w:szCs w:val="16"/>
              </w:rPr>
            </w:pPr>
            <w:r>
              <w:rPr>
                <w:rFonts w:ascii="Verdana" w:hAnsi="Verdana"/>
                <w:b/>
                <w:color w:val="000000" w:themeColor="text1"/>
                <w:sz w:val="16"/>
                <w:szCs w:val="16"/>
              </w:rPr>
              <w:t>5,11%</w:t>
            </w:r>
          </w:p>
        </w:tc>
        <w:tc>
          <w:tcPr>
            <w:tcW w:w="1606" w:type="dxa"/>
            <w:shd w:val="clear" w:color="auto" w:fill="auto"/>
          </w:tcPr>
          <w:p w14:paraId="5075EF4B" w14:textId="36B24858" w:rsidR="006C22DE" w:rsidRPr="00AE5F39" w:rsidRDefault="00583496" w:rsidP="000B2FD6">
            <w:pPr>
              <w:spacing w:before="40" w:after="40" w:line="320" w:lineRule="atLeast"/>
              <w:jc w:val="center"/>
              <w:rPr>
                <w:rFonts w:ascii="Verdana" w:hAnsi="Verdana"/>
                <w:b/>
                <w:color w:val="000000" w:themeColor="text1"/>
                <w:sz w:val="16"/>
                <w:szCs w:val="16"/>
              </w:rPr>
            </w:pPr>
            <w:r>
              <w:rPr>
                <w:rFonts w:ascii="Verdana" w:hAnsi="Verdana"/>
                <w:b/>
                <w:color w:val="000000" w:themeColor="text1"/>
                <w:sz w:val="16"/>
                <w:szCs w:val="16"/>
              </w:rPr>
              <w:t>4,16%</w:t>
            </w:r>
          </w:p>
        </w:tc>
        <w:tc>
          <w:tcPr>
            <w:tcW w:w="1607" w:type="dxa"/>
            <w:shd w:val="clear" w:color="auto" w:fill="auto"/>
          </w:tcPr>
          <w:p w14:paraId="5769E943" w14:textId="102B904C" w:rsidR="006C22DE" w:rsidRPr="00AE5F39" w:rsidRDefault="00583496" w:rsidP="000B2FD6">
            <w:pPr>
              <w:spacing w:before="40" w:after="40" w:line="320" w:lineRule="atLeast"/>
              <w:jc w:val="center"/>
              <w:rPr>
                <w:rFonts w:ascii="Verdana" w:hAnsi="Verdana"/>
                <w:b/>
                <w:color w:val="000000" w:themeColor="text1"/>
                <w:sz w:val="16"/>
                <w:szCs w:val="16"/>
              </w:rPr>
            </w:pPr>
            <w:r>
              <w:rPr>
                <w:rFonts w:ascii="Verdana" w:hAnsi="Verdana"/>
                <w:b/>
                <w:color w:val="000000" w:themeColor="text1"/>
                <w:sz w:val="16"/>
                <w:szCs w:val="16"/>
              </w:rPr>
              <w:t>10,89%</w:t>
            </w:r>
          </w:p>
        </w:tc>
      </w:tr>
      <w:tr w:rsidR="006C22DE" w:rsidRPr="00B81A28" w14:paraId="34440B55" w14:textId="77777777" w:rsidTr="000B2FD6">
        <w:tc>
          <w:tcPr>
            <w:tcW w:w="5245" w:type="dxa"/>
          </w:tcPr>
          <w:p w14:paraId="0133095B"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1nvest</w:t>
            </w:r>
            <w:r w:rsidRPr="00B81A28">
              <w:rPr>
                <w:rFonts w:ascii="Verdana" w:hAnsi="Verdana"/>
                <w:sz w:val="16"/>
                <w:szCs w:val="16"/>
              </w:rPr>
              <w:t xml:space="preserve"> Index Fund</w:t>
            </w:r>
          </w:p>
        </w:tc>
        <w:tc>
          <w:tcPr>
            <w:tcW w:w="1606" w:type="dxa"/>
          </w:tcPr>
          <w:p w14:paraId="1DFA8BCD" w14:textId="26FE266E"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7,94%</w:t>
            </w:r>
          </w:p>
        </w:tc>
        <w:tc>
          <w:tcPr>
            <w:tcW w:w="1607" w:type="dxa"/>
          </w:tcPr>
          <w:p w14:paraId="2FD2039A" w14:textId="0A0C2E36"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25,67%</w:t>
            </w:r>
          </w:p>
        </w:tc>
        <w:tc>
          <w:tcPr>
            <w:tcW w:w="1606" w:type="dxa"/>
          </w:tcPr>
          <w:p w14:paraId="26E0FEE8" w14:textId="507B1070"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(6,40%)</w:t>
            </w:r>
          </w:p>
        </w:tc>
        <w:tc>
          <w:tcPr>
            <w:tcW w:w="1607" w:type="dxa"/>
          </w:tcPr>
          <w:p w14:paraId="209FBED8" w14:textId="33B7607B"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1,73%</w:t>
            </w:r>
          </w:p>
        </w:tc>
        <w:tc>
          <w:tcPr>
            <w:tcW w:w="1606" w:type="dxa"/>
          </w:tcPr>
          <w:p w14:paraId="2B693B46" w14:textId="2B108DEC"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1,29%</w:t>
            </w:r>
          </w:p>
        </w:tc>
        <w:tc>
          <w:tcPr>
            <w:tcW w:w="1607" w:type="dxa"/>
            <w:shd w:val="clear" w:color="auto" w:fill="auto"/>
          </w:tcPr>
          <w:p w14:paraId="7F13C39B" w14:textId="0FAAB4F4"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9,07%</w:t>
            </w:r>
          </w:p>
        </w:tc>
      </w:tr>
      <w:tr w:rsidR="006C22DE" w:rsidRPr="00B81A28" w14:paraId="05D2C4E1" w14:textId="77777777" w:rsidTr="000B2FD6">
        <w:tc>
          <w:tcPr>
            <w:tcW w:w="5245" w:type="dxa"/>
          </w:tcPr>
          <w:p w14:paraId="31737B0B"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Gryphon All Share Tracker Fund</w:t>
            </w:r>
          </w:p>
        </w:tc>
        <w:tc>
          <w:tcPr>
            <w:tcW w:w="1606" w:type="dxa"/>
          </w:tcPr>
          <w:p w14:paraId="3644338E" w14:textId="5F82A16F"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6,68%</w:t>
            </w:r>
          </w:p>
        </w:tc>
        <w:tc>
          <w:tcPr>
            <w:tcW w:w="1607" w:type="dxa"/>
          </w:tcPr>
          <w:p w14:paraId="717AB144" w14:textId="3CBBA087"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22,68%</w:t>
            </w:r>
          </w:p>
        </w:tc>
        <w:tc>
          <w:tcPr>
            <w:tcW w:w="1606" w:type="dxa"/>
          </w:tcPr>
          <w:p w14:paraId="0AEF6003" w14:textId="78377C57"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(2,69%)</w:t>
            </w:r>
          </w:p>
        </w:tc>
        <w:tc>
          <w:tcPr>
            <w:tcW w:w="1607" w:type="dxa"/>
          </w:tcPr>
          <w:p w14:paraId="1C43128E" w14:textId="4587CA17"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4,86%</w:t>
            </w:r>
          </w:p>
        </w:tc>
        <w:tc>
          <w:tcPr>
            <w:tcW w:w="1606" w:type="dxa"/>
          </w:tcPr>
          <w:p w14:paraId="542BA5A8" w14:textId="7426395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3,88%</w:t>
            </w:r>
          </w:p>
        </w:tc>
        <w:tc>
          <w:tcPr>
            <w:tcW w:w="1607" w:type="dxa"/>
            <w:shd w:val="clear" w:color="auto" w:fill="auto"/>
          </w:tcPr>
          <w:p w14:paraId="297EF03B" w14:textId="07923848"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10,81%</w:t>
            </w:r>
          </w:p>
        </w:tc>
      </w:tr>
      <w:tr w:rsidR="006C22DE" w:rsidRPr="00B81A28" w14:paraId="326D925A" w14:textId="77777777" w:rsidTr="000B2FD6">
        <w:tc>
          <w:tcPr>
            <w:tcW w:w="5245" w:type="dxa"/>
          </w:tcPr>
          <w:p w14:paraId="01D79D1F"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ALSI Index Fund</w:t>
            </w:r>
          </w:p>
        </w:tc>
        <w:tc>
          <w:tcPr>
            <w:tcW w:w="1606" w:type="dxa"/>
          </w:tcPr>
          <w:p w14:paraId="47B35646" w14:textId="0721C58E"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7,72%</w:t>
            </w:r>
          </w:p>
        </w:tc>
        <w:tc>
          <w:tcPr>
            <w:tcW w:w="1607" w:type="dxa"/>
          </w:tcPr>
          <w:p w14:paraId="4601951F" w14:textId="692A32D0"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25,96%</w:t>
            </w:r>
          </w:p>
        </w:tc>
        <w:tc>
          <w:tcPr>
            <w:tcW w:w="1606" w:type="dxa"/>
          </w:tcPr>
          <w:p w14:paraId="45C2A100" w14:textId="568FABC2"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(3,74%)</w:t>
            </w:r>
          </w:p>
        </w:tc>
        <w:tc>
          <w:tcPr>
            <w:tcW w:w="1607" w:type="dxa"/>
          </w:tcPr>
          <w:p w14:paraId="56A75590" w14:textId="732EB1E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4,48%</w:t>
            </w:r>
          </w:p>
        </w:tc>
        <w:tc>
          <w:tcPr>
            <w:tcW w:w="1606" w:type="dxa"/>
          </w:tcPr>
          <w:p w14:paraId="6C8A69F9" w14:textId="14025656"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3,52%</w:t>
            </w:r>
          </w:p>
        </w:tc>
        <w:tc>
          <w:tcPr>
            <w:tcW w:w="1607" w:type="dxa"/>
            <w:shd w:val="clear" w:color="auto" w:fill="auto"/>
          </w:tcPr>
          <w:p w14:paraId="15106E8B" w14:textId="5D2EE899"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10,18%</w:t>
            </w:r>
          </w:p>
        </w:tc>
      </w:tr>
      <w:tr w:rsidR="006C22DE" w:rsidRPr="00B81A28" w14:paraId="390312D0" w14:textId="77777777" w:rsidTr="000B2FD6">
        <w:tc>
          <w:tcPr>
            <w:tcW w:w="5245" w:type="dxa"/>
          </w:tcPr>
          <w:p w14:paraId="309467F4"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RAFI 40 Index Fund</w:t>
            </w:r>
          </w:p>
        </w:tc>
        <w:tc>
          <w:tcPr>
            <w:tcW w:w="1606" w:type="dxa"/>
          </w:tcPr>
          <w:p w14:paraId="4864CCA3" w14:textId="16789C9D"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6,78%</w:t>
            </w:r>
          </w:p>
        </w:tc>
        <w:tc>
          <w:tcPr>
            <w:tcW w:w="1607" w:type="dxa"/>
          </w:tcPr>
          <w:p w14:paraId="5E0B709D" w14:textId="069CCD6A"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27,11%</w:t>
            </w:r>
          </w:p>
        </w:tc>
        <w:tc>
          <w:tcPr>
            <w:tcW w:w="1606" w:type="dxa"/>
          </w:tcPr>
          <w:p w14:paraId="77EC2A59" w14:textId="6810E8FE"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(15,42%)</w:t>
            </w:r>
          </w:p>
        </w:tc>
        <w:tc>
          <w:tcPr>
            <w:tcW w:w="1607" w:type="dxa"/>
          </w:tcPr>
          <w:p w14:paraId="3A218714" w14:textId="27081A6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2,17%</w:t>
            </w:r>
          </w:p>
        </w:tc>
        <w:tc>
          <w:tcPr>
            <w:tcW w:w="1606" w:type="dxa"/>
          </w:tcPr>
          <w:p w14:paraId="3347CFBA" w14:textId="7D644DB3"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2,06%</w:t>
            </w:r>
          </w:p>
        </w:tc>
        <w:tc>
          <w:tcPr>
            <w:tcW w:w="1607" w:type="dxa"/>
            <w:shd w:val="clear" w:color="auto" w:fill="auto"/>
          </w:tcPr>
          <w:p w14:paraId="64F8D4A8"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466097FA" w14:textId="77777777" w:rsidTr="000B2FD6">
        <w:tc>
          <w:tcPr>
            <w:tcW w:w="5245" w:type="dxa"/>
          </w:tcPr>
          <w:p w14:paraId="45F590FA"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Momentum Index Fund</w:t>
            </w:r>
          </w:p>
        </w:tc>
        <w:tc>
          <w:tcPr>
            <w:tcW w:w="1606" w:type="dxa"/>
          </w:tcPr>
          <w:p w14:paraId="78C7915F" w14:textId="685AE884"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4,00%</w:t>
            </w:r>
          </w:p>
        </w:tc>
        <w:tc>
          <w:tcPr>
            <w:tcW w:w="1607" w:type="dxa"/>
          </w:tcPr>
          <w:p w14:paraId="1B20DF74" w14:textId="24C4E9B3"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20,36%</w:t>
            </w:r>
          </w:p>
        </w:tc>
        <w:tc>
          <w:tcPr>
            <w:tcW w:w="1606" w:type="dxa"/>
          </w:tcPr>
          <w:p w14:paraId="57291505" w14:textId="63FAB109"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(11,21%)</w:t>
            </w:r>
          </w:p>
        </w:tc>
        <w:tc>
          <w:tcPr>
            <w:tcW w:w="1607" w:type="dxa"/>
          </w:tcPr>
          <w:p w14:paraId="5E183D47" w14:textId="419C2F07"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2,00%</w:t>
            </w:r>
          </w:p>
        </w:tc>
        <w:tc>
          <w:tcPr>
            <w:tcW w:w="1606" w:type="dxa"/>
          </w:tcPr>
          <w:p w14:paraId="62F3AC2D" w14:textId="6EAB4104"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1,89%</w:t>
            </w:r>
          </w:p>
        </w:tc>
        <w:tc>
          <w:tcPr>
            <w:tcW w:w="1607" w:type="dxa"/>
            <w:shd w:val="clear" w:color="auto" w:fill="auto"/>
          </w:tcPr>
          <w:p w14:paraId="39211CF4"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3FA86A05" w14:textId="77777777" w:rsidTr="000B2FD6">
        <w:tc>
          <w:tcPr>
            <w:tcW w:w="5245" w:type="dxa"/>
          </w:tcPr>
          <w:p w14:paraId="02B33BC6"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 xml:space="preserve">Old Mutual RAFI 40 </w:t>
            </w:r>
            <w:r>
              <w:rPr>
                <w:rFonts w:ascii="Verdana" w:hAnsi="Verdana"/>
                <w:sz w:val="16"/>
                <w:szCs w:val="16"/>
              </w:rPr>
              <w:t>Index</w:t>
            </w:r>
            <w:r w:rsidRPr="00B81A28">
              <w:rPr>
                <w:rFonts w:ascii="Verdana" w:hAnsi="Verdana"/>
                <w:sz w:val="16"/>
                <w:szCs w:val="16"/>
              </w:rPr>
              <w:t xml:space="preserve"> Fund</w:t>
            </w:r>
          </w:p>
        </w:tc>
        <w:tc>
          <w:tcPr>
            <w:tcW w:w="1606" w:type="dxa"/>
          </w:tcPr>
          <w:p w14:paraId="3108C843" w14:textId="0D5F34D8"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6,87%</w:t>
            </w:r>
          </w:p>
        </w:tc>
        <w:tc>
          <w:tcPr>
            <w:tcW w:w="1607" w:type="dxa"/>
          </w:tcPr>
          <w:p w14:paraId="38F78810" w14:textId="585EC724"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25,81%</w:t>
            </w:r>
          </w:p>
        </w:tc>
        <w:tc>
          <w:tcPr>
            <w:tcW w:w="1606" w:type="dxa"/>
          </w:tcPr>
          <w:p w14:paraId="0B2B9081" w14:textId="1AF0EA26"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(15,41%)</w:t>
            </w:r>
          </w:p>
        </w:tc>
        <w:tc>
          <w:tcPr>
            <w:tcW w:w="1607" w:type="dxa"/>
          </w:tcPr>
          <w:p w14:paraId="21534B4E" w14:textId="2C2E80DE"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2,14%</w:t>
            </w:r>
          </w:p>
        </w:tc>
        <w:tc>
          <w:tcPr>
            <w:tcW w:w="1606" w:type="dxa"/>
          </w:tcPr>
          <w:p w14:paraId="137CA9C8" w14:textId="68A125E2"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2,00%</w:t>
            </w:r>
          </w:p>
        </w:tc>
        <w:tc>
          <w:tcPr>
            <w:tcW w:w="1607" w:type="dxa"/>
            <w:shd w:val="clear" w:color="auto" w:fill="auto"/>
          </w:tcPr>
          <w:p w14:paraId="308A2B35" w14:textId="50647F5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7,99%</w:t>
            </w:r>
          </w:p>
        </w:tc>
      </w:tr>
      <w:tr w:rsidR="006C22DE" w:rsidRPr="00B81A28" w14:paraId="4274D7CC" w14:textId="77777777" w:rsidTr="000B2FD6">
        <w:tc>
          <w:tcPr>
            <w:tcW w:w="5245" w:type="dxa"/>
          </w:tcPr>
          <w:p w14:paraId="3AF80C85"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1nvest Sector Neutral Growth &amp; Quality Index Tracker Fund</w:t>
            </w:r>
          </w:p>
        </w:tc>
        <w:tc>
          <w:tcPr>
            <w:tcW w:w="1606" w:type="dxa"/>
          </w:tcPr>
          <w:p w14:paraId="590527D3" w14:textId="20CFA9A2"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6,70%</w:t>
            </w:r>
          </w:p>
        </w:tc>
        <w:tc>
          <w:tcPr>
            <w:tcW w:w="1607" w:type="dxa"/>
          </w:tcPr>
          <w:p w14:paraId="35D5BDDE" w14:textId="5F98D3BF"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20,92%</w:t>
            </w:r>
          </w:p>
        </w:tc>
        <w:tc>
          <w:tcPr>
            <w:tcW w:w="1606" w:type="dxa"/>
          </w:tcPr>
          <w:p w14:paraId="63E1BCEC" w14:textId="02B6D029"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(4,56%)</w:t>
            </w:r>
          </w:p>
        </w:tc>
        <w:tc>
          <w:tcPr>
            <w:tcW w:w="1607" w:type="dxa"/>
          </w:tcPr>
          <w:p w14:paraId="66198A51" w14:textId="41A05E66"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0,47%</w:t>
            </w:r>
          </w:p>
        </w:tc>
        <w:tc>
          <w:tcPr>
            <w:tcW w:w="1606" w:type="dxa"/>
          </w:tcPr>
          <w:p w14:paraId="7CDC246E"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246E9C74"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r>
      <w:tr w:rsidR="006C22DE" w:rsidRPr="00B81A28" w14:paraId="5A2D8CF3" w14:textId="77777777" w:rsidTr="000B2FD6">
        <w:tc>
          <w:tcPr>
            <w:tcW w:w="5245" w:type="dxa"/>
          </w:tcPr>
          <w:p w14:paraId="178775CB"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1nvest Sector Neutral Momentum Index Tracker Fund</w:t>
            </w:r>
          </w:p>
        </w:tc>
        <w:tc>
          <w:tcPr>
            <w:tcW w:w="1606" w:type="dxa"/>
          </w:tcPr>
          <w:p w14:paraId="42BEA791" w14:textId="347048EC"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8,67%</w:t>
            </w:r>
          </w:p>
        </w:tc>
        <w:tc>
          <w:tcPr>
            <w:tcW w:w="1607" w:type="dxa"/>
          </w:tcPr>
          <w:p w14:paraId="272F2FB5" w14:textId="06CAA517"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29,92%</w:t>
            </w:r>
          </w:p>
        </w:tc>
        <w:tc>
          <w:tcPr>
            <w:tcW w:w="1606" w:type="dxa"/>
          </w:tcPr>
          <w:p w14:paraId="5845F7E9" w14:textId="0C80FED6"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5,41%</w:t>
            </w:r>
          </w:p>
        </w:tc>
        <w:tc>
          <w:tcPr>
            <w:tcW w:w="1607" w:type="dxa"/>
          </w:tcPr>
          <w:p w14:paraId="0F449896" w14:textId="78D9CED2"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5,78%</w:t>
            </w:r>
          </w:p>
        </w:tc>
        <w:tc>
          <w:tcPr>
            <w:tcW w:w="1606" w:type="dxa"/>
          </w:tcPr>
          <w:p w14:paraId="559E7E65"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3C63C29B"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r>
      <w:tr w:rsidR="006C22DE" w:rsidRPr="00B81A28" w14:paraId="17552DD7" w14:textId="77777777" w:rsidTr="000B2FD6">
        <w:tc>
          <w:tcPr>
            <w:tcW w:w="5245" w:type="dxa"/>
          </w:tcPr>
          <w:p w14:paraId="20851B8C" w14:textId="77777777" w:rsidR="006C22DE" w:rsidRPr="00B81A28" w:rsidRDefault="006C22DE" w:rsidP="000B2FD6">
            <w:pPr>
              <w:spacing w:before="40" w:after="40" w:line="320" w:lineRule="atLeast"/>
              <w:rPr>
                <w:rFonts w:ascii="Verdana" w:hAnsi="Verdana"/>
                <w:sz w:val="16"/>
                <w:szCs w:val="16"/>
              </w:rPr>
            </w:pPr>
            <w:r>
              <w:rPr>
                <w:rFonts w:ascii="Verdana" w:hAnsi="Verdana"/>
                <w:sz w:val="16"/>
                <w:szCs w:val="16"/>
              </w:rPr>
              <w:t>1nvest Sector Neutral Value Index Tracker Fund</w:t>
            </w:r>
          </w:p>
        </w:tc>
        <w:tc>
          <w:tcPr>
            <w:tcW w:w="1606" w:type="dxa"/>
          </w:tcPr>
          <w:p w14:paraId="2D7E9876" w14:textId="721661B9"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9,77%</w:t>
            </w:r>
          </w:p>
        </w:tc>
        <w:tc>
          <w:tcPr>
            <w:tcW w:w="1607" w:type="dxa"/>
          </w:tcPr>
          <w:p w14:paraId="6CABAF18" w14:textId="45B01919"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23,66%</w:t>
            </w:r>
          </w:p>
        </w:tc>
        <w:tc>
          <w:tcPr>
            <w:tcW w:w="1606" w:type="dxa"/>
          </w:tcPr>
          <w:p w14:paraId="11692FD2" w14:textId="06775B81"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(25,66%)</w:t>
            </w:r>
          </w:p>
        </w:tc>
        <w:tc>
          <w:tcPr>
            <w:tcW w:w="1607" w:type="dxa"/>
          </w:tcPr>
          <w:p w14:paraId="0B5C47C2" w14:textId="72E80F2F"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(5,85%)</w:t>
            </w:r>
          </w:p>
        </w:tc>
        <w:tc>
          <w:tcPr>
            <w:tcW w:w="1606" w:type="dxa"/>
          </w:tcPr>
          <w:p w14:paraId="6E39A75A"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34D62BA5" w14:textId="77777777" w:rsidR="006C22DE" w:rsidRPr="00B81A28" w:rsidRDefault="006C22DE" w:rsidP="000B2FD6">
            <w:pPr>
              <w:spacing w:before="40" w:after="40" w:line="320" w:lineRule="atLeast"/>
              <w:jc w:val="center"/>
              <w:rPr>
                <w:rFonts w:ascii="Verdana" w:hAnsi="Verdana"/>
                <w:sz w:val="16"/>
                <w:szCs w:val="16"/>
              </w:rPr>
            </w:pPr>
            <w:r>
              <w:rPr>
                <w:rFonts w:ascii="Verdana" w:hAnsi="Verdana"/>
                <w:sz w:val="16"/>
                <w:szCs w:val="16"/>
              </w:rPr>
              <w:t>-</w:t>
            </w:r>
          </w:p>
        </w:tc>
      </w:tr>
      <w:tr w:rsidR="006C22DE" w:rsidRPr="00B81A28" w14:paraId="224EE44A" w14:textId="77777777" w:rsidTr="000B2FD6">
        <w:tc>
          <w:tcPr>
            <w:tcW w:w="5245" w:type="dxa"/>
          </w:tcPr>
          <w:p w14:paraId="39CC3CDD"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Balanced Index Fund</w:t>
            </w:r>
          </w:p>
        </w:tc>
        <w:tc>
          <w:tcPr>
            <w:tcW w:w="1606" w:type="dxa"/>
          </w:tcPr>
          <w:p w14:paraId="6B47C71E" w14:textId="0A72233A"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3,33%</w:t>
            </w:r>
          </w:p>
        </w:tc>
        <w:tc>
          <w:tcPr>
            <w:tcW w:w="1607" w:type="dxa"/>
          </w:tcPr>
          <w:p w14:paraId="3BAECC20" w14:textId="15AF0553"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19,14%</w:t>
            </w:r>
          </w:p>
        </w:tc>
        <w:tc>
          <w:tcPr>
            <w:tcW w:w="1606" w:type="dxa"/>
          </w:tcPr>
          <w:p w14:paraId="3BD9B5C7" w14:textId="6F0C9692"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(2,32%)</w:t>
            </w:r>
          </w:p>
        </w:tc>
        <w:tc>
          <w:tcPr>
            <w:tcW w:w="1607" w:type="dxa"/>
          </w:tcPr>
          <w:p w14:paraId="2A1F5814" w14:textId="73028114"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5,20%</w:t>
            </w:r>
          </w:p>
        </w:tc>
        <w:tc>
          <w:tcPr>
            <w:tcW w:w="1606" w:type="dxa"/>
          </w:tcPr>
          <w:p w14:paraId="0F82C75E" w14:textId="557CEC5A"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4,59%</w:t>
            </w:r>
          </w:p>
        </w:tc>
        <w:tc>
          <w:tcPr>
            <w:tcW w:w="1607" w:type="dxa"/>
            <w:shd w:val="clear" w:color="auto" w:fill="auto"/>
          </w:tcPr>
          <w:p w14:paraId="27271B4B"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312D798C" w14:textId="77777777" w:rsidTr="000B2FD6">
        <w:tc>
          <w:tcPr>
            <w:tcW w:w="5245" w:type="dxa"/>
          </w:tcPr>
          <w:p w14:paraId="4798AEC5"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Low Equity Balanced Index Fund</w:t>
            </w:r>
          </w:p>
        </w:tc>
        <w:tc>
          <w:tcPr>
            <w:tcW w:w="1606" w:type="dxa"/>
          </w:tcPr>
          <w:p w14:paraId="477584C5" w14:textId="74CD2319"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2,02%</w:t>
            </w:r>
          </w:p>
        </w:tc>
        <w:tc>
          <w:tcPr>
            <w:tcW w:w="1607" w:type="dxa"/>
          </w:tcPr>
          <w:p w14:paraId="0273652B" w14:textId="624994F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14,58%</w:t>
            </w:r>
          </w:p>
        </w:tc>
        <w:tc>
          <w:tcPr>
            <w:tcW w:w="1606" w:type="dxa"/>
          </w:tcPr>
          <w:p w14:paraId="1FFCCFCE" w14:textId="730C1A50"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2,66%</w:t>
            </w:r>
          </w:p>
        </w:tc>
        <w:tc>
          <w:tcPr>
            <w:tcW w:w="1607" w:type="dxa"/>
          </w:tcPr>
          <w:p w14:paraId="40BCD99F" w14:textId="78039388"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5,34%</w:t>
            </w:r>
          </w:p>
        </w:tc>
        <w:tc>
          <w:tcPr>
            <w:tcW w:w="1606" w:type="dxa"/>
          </w:tcPr>
          <w:p w14:paraId="27F573B1" w14:textId="705BD90E"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5,27%</w:t>
            </w:r>
          </w:p>
        </w:tc>
        <w:tc>
          <w:tcPr>
            <w:tcW w:w="1607" w:type="dxa"/>
            <w:shd w:val="clear" w:color="auto" w:fill="auto"/>
          </w:tcPr>
          <w:p w14:paraId="0E64195B"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57019BEE" w14:textId="77777777" w:rsidTr="000B2FD6">
        <w:tc>
          <w:tcPr>
            <w:tcW w:w="5245" w:type="dxa"/>
          </w:tcPr>
          <w:p w14:paraId="389CC042"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Satrix Dividend Plus Index Fund</w:t>
            </w:r>
          </w:p>
        </w:tc>
        <w:tc>
          <w:tcPr>
            <w:tcW w:w="1606" w:type="dxa"/>
          </w:tcPr>
          <w:p w14:paraId="708879FE" w14:textId="32CA0B7C"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3,52%</w:t>
            </w:r>
          </w:p>
        </w:tc>
        <w:tc>
          <w:tcPr>
            <w:tcW w:w="1607" w:type="dxa"/>
          </w:tcPr>
          <w:p w14:paraId="3EBCF332" w14:textId="5368BB3C"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28,90%</w:t>
            </w:r>
          </w:p>
        </w:tc>
        <w:tc>
          <w:tcPr>
            <w:tcW w:w="1606" w:type="dxa"/>
          </w:tcPr>
          <w:p w14:paraId="71CA8A9F" w14:textId="196119C9"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(18,01%)</w:t>
            </w:r>
          </w:p>
        </w:tc>
        <w:tc>
          <w:tcPr>
            <w:tcW w:w="1607" w:type="dxa"/>
          </w:tcPr>
          <w:p w14:paraId="0234DE37" w14:textId="2D68CC5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4,16%</w:t>
            </w:r>
          </w:p>
        </w:tc>
        <w:tc>
          <w:tcPr>
            <w:tcW w:w="1606" w:type="dxa"/>
          </w:tcPr>
          <w:p w14:paraId="413D9F8C" w14:textId="5F434180"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1,75%</w:t>
            </w:r>
          </w:p>
        </w:tc>
        <w:tc>
          <w:tcPr>
            <w:tcW w:w="1607" w:type="dxa"/>
            <w:shd w:val="clear" w:color="auto" w:fill="auto"/>
          </w:tcPr>
          <w:p w14:paraId="741EA735"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r w:rsidR="006C22DE" w:rsidRPr="00B81A28" w14:paraId="78001F3B" w14:textId="77777777" w:rsidTr="000B2FD6">
        <w:tc>
          <w:tcPr>
            <w:tcW w:w="5245" w:type="dxa"/>
          </w:tcPr>
          <w:p w14:paraId="73C7E714" w14:textId="77777777" w:rsidR="006C22DE" w:rsidRPr="00B81A28" w:rsidRDefault="006C22DE" w:rsidP="000B2FD6">
            <w:pPr>
              <w:spacing w:before="40" w:after="40" w:line="320" w:lineRule="atLeast"/>
              <w:rPr>
                <w:rFonts w:ascii="Verdana" w:hAnsi="Verdana"/>
                <w:sz w:val="16"/>
                <w:szCs w:val="16"/>
              </w:rPr>
            </w:pPr>
            <w:r w:rsidRPr="00B81A28">
              <w:rPr>
                <w:rFonts w:ascii="Verdana" w:hAnsi="Verdana"/>
                <w:sz w:val="16"/>
                <w:szCs w:val="16"/>
              </w:rPr>
              <w:t>Sygnia Dividend Index Fund</w:t>
            </w:r>
          </w:p>
        </w:tc>
        <w:tc>
          <w:tcPr>
            <w:tcW w:w="1606" w:type="dxa"/>
          </w:tcPr>
          <w:p w14:paraId="56F8E080" w14:textId="7D2C02AF" w:rsidR="006C22DE" w:rsidRPr="00B81A28" w:rsidRDefault="00583496" w:rsidP="000B2FD6">
            <w:pPr>
              <w:tabs>
                <w:tab w:val="left" w:pos="1050"/>
              </w:tabs>
              <w:spacing w:before="40" w:after="40" w:line="320" w:lineRule="atLeast"/>
              <w:jc w:val="center"/>
              <w:rPr>
                <w:rFonts w:ascii="Verdana" w:hAnsi="Verdana"/>
                <w:sz w:val="16"/>
                <w:szCs w:val="16"/>
              </w:rPr>
            </w:pPr>
            <w:r>
              <w:rPr>
                <w:rFonts w:ascii="Verdana" w:hAnsi="Verdana"/>
                <w:sz w:val="16"/>
                <w:szCs w:val="16"/>
              </w:rPr>
              <w:t>4,25%</w:t>
            </w:r>
          </w:p>
        </w:tc>
        <w:tc>
          <w:tcPr>
            <w:tcW w:w="1607" w:type="dxa"/>
          </w:tcPr>
          <w:p w14:paraId="24C9809E" w14:textId="72DFEB34"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28,53%</w:t>
            </w:r>
          </w:p>
        </w:tc>
        <w:tc>
          <w:tcPr>
            <w:tcW w:w="1606" w:type="dxa"/>
          </w:tcPr>
          <w:p w14:paraId="6157F960" w14:textId="4EA49F37"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(17,66%)</w:t>
            </w:r>
          </w:p>
        </w:tc>
        <w:tc>
          <w:tcPr>
            <w:tcW w:w="1607" w:type="dxa"/>
          </w:tcPr>
          <w:p w14:paraId="0706B8C3" w14:textId="6B6D5E55"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4,53%</w:t>
            </w:r>
          </w:p>
        </w:tc>
        <w:tc>
          <w:tcPr>
            <w:tcW w:w="1606" w:type="dxa"/>
          </w:tcPr>
          <w:p w14:paraId="27EABEFF" w14:textId="2472B532" w:rsidR="006C22DE" w:rsidRPr="00B81A28" w:rsidRDefault="00583496" w:rsidP="000B2FD6">
            <w:pPr>
              <w:spacing w:before="40" w:after="40" w:line="320" w:lineRule="atLeast"/>
              <w:jc w:val="center"/>
              <w:rPr>
                <w:rFonts w:ascii="Verdana" w:hAnsi="Verdana"/>
                <w:sz w:val="16"/>
                <w:szCs w:val="16"/>
              </w:rPr>
            </w:pPr>
            <w:r>
              <w:rPr>
                <w:rFonts w:ascii="Verdana" w:hAnsi="Verdana"/>
                <w:sz w:val="16"/>
                <w:szCs w:val="16"/>
              </w:rPr>
              <w:t>2,00%</w:t>
            </w:r>
          </w:p>
        </w:tc>
        <w:tc>
          <w:tcPr>
            <w:tcW w:w="1607" w:type="dxa"/>
            <w:shd w:val="clear" w:color="auto" w:fill="auto"/>
          </w:tcPr>
          <w:p w14:paraId="73AE1247" w14:textId="77777777" w:rsidR="006C22DE" w:rsidRPr="00B81A28" w:rsidRDefault="006C22DE" w:rsidP="000B2FD6">
            <w:pPr>
              <w:spacing w:before="40" w:after="40" w:line="320" w:lineRule="atLeast"/>
              <w:jc w:val="center"/>
              <w:rPr>
                <w:rFonts w:ascii="Verdana" w:hAnsi="Verdana"/>
                <w:sz w:val="16"/>
                <w:szCs w:val="16"/>
              </w:rPr>
            </w:pPr>
            <w:r w:rsidRPr="00B81A28">
              <w:rPr>
                <w:rFonts w:ascii="Verdana" w:hAnsi="Verdana"/>
                <w:sz w:val="16"/>
                <w:szCs w:val="16"/>
              </w:rPr>
              <w:t>-</w:t>
            </w:r>
          </w:p>
        </w:tc>
      </w:tr>
    </w:tbl>
    <w:p w14:paraId="37BB1AF0" w14:textId="77777777" w:rsidR="006C22DE" w:rsidRDefault="006C22DE" w:rsidP="006C22DE">
      <w:pPr>
        <w:spacing w:after="160" w:line="259" w:lineRule="auto"/>
        <w:rPr>
          <w:rFonts w:ascii="Verdana" w:hAnsi="Verdana"/>
          <w:sz w:val="15"/>
          <w:szCs w:val="15"/>
        </w:rPr>
      </w:pPr>
      <w:r>
        <w:rPr>
          <w:rFonts w:ascii="Verdana" w:hAnsi="Verdana"/>
          <w:sz w:val="15"/>
          <w:szCs w:val="15"/>
        </w:rPr>
        <w:br w:type="page"/>
      </w:r>
    </w:p>
    <w:p w14:paraId="20053072" w14:textId="77777777" w:rsidR="006C22DE" w:rsidRPr="00B81A28" w:rsidRDefault="006C22DE" w:rsidP="006C22DE">
      <w:pPr>
        <w:spacing w:after="0" w:line="240" w:lineRule="auto"/>
        <w:rPr>
          <w:rFonts w:ascii="Verdana" w:hAnsi="Verdana"/>
          <w:sz w:val="15"/>
          <w:szCs w:val="15"/>
        </w:rPr>
      </w:pPr>
    </w:p>
    <w:p w14:paraId="0220554B" w14:textId="77777777" w:rsidR="006C22DE" w:rsidRPr="00B81A28" w:rsidRDefault="006C22DE" w:rsidP="006C22DE">
      <w:pPr>
        <w:spacing w:after="0" w:line="240" w:lineRule="auto"/>
        <w:rPr>
          <w:rFonts w:ascii="Verdana" w:hAnsi="Verdana"/>
          <w:sz w:val="16"/>
          <w:szCs w:val="16"/>
        </w:rPr>
      </w:pPr>
      <w:r w:rsidRPr="00B81A28">
        <w:rPr>
          <w:rFonts w:ascii="Verdana" w:hAnsi="Verdana"/>
          <w:noProof/>
          <w:lang w:eastAsia="en-ZA"/>
        </w:rPr>
        <w:drawing>
          <wp:inline distT="0" distB="0" distL="0" distR="0" wp14:anchorId="0BF067FF" wp14:editId="20D2538B">
            <wp:extent cx="3057525" cy="642486"/>
            <wp:effectExtent l="0" t="0" r="0" b="5715"/>
            <wp:docPr id="18" name="Picture 18" descr="etfsa_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fsa_r_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3010" cy="647841"/>
                    </a:xfrm>
                    <a:prstGeom prst="rect">
                      <a:avLst/>
                    </a:prstGeom>
                    <a:noFill/>
                    <a:ln>
                      <a:noFill/>
                    </a:ln>
                  </pic:spPr>
                </pic:pic>
              </a:graphicData>
            </a:graphic>
          </wp:inline>
        </w:drawing>
      </w:r>
    </w:p>
    <w:tbl>
      <w:tblPr>
        <w:tblW w:w="1488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1606"/>
        <w:gridCol w:w="1607"/>
        <w:gridCol w:w="1606"/>
        <w:gridCol w:w="1607"/>
        <w:gridCol w:w="1606"/>
        <w:gridCol w:w="1607"/>
      </w:tblGrid>
      <w:tr w:rsidR="006C22DE" w:rsidRPr="00B81A28" w14:paraId="03274BE9" w14:textId="77777777" w:rsidTr="000B2FD6">
        <w:tc>
          <w:tcPr>
            <w:tcW w:w="14884" w:type="dxa"/>
            <w:gridSpan w:val="7"/>
            <w:shd w:val="clear" w:color="auto" w:fill="CB2229"/>
            <w:vAlign w:val="center"/>
          </w:tcPr>
          <w:p w14:paraId="2D74C37D" w14:textId="77777777" w:rsidR="006C22DE" w:rsidRPr="00B81A28" w:rsidRDefault="006C22DE" w:rsidP="000B2FD6">
            <w:pPr>
              <w:spacing w:before="40" w:after="40" w:line="280" w:lineRule="atLeast"/>
              <w:jc w:val="center"/>
              <w:rPr>
                <w:rFonts w:ascii="Verdana" w:hAnsi="Verdana"/>
                <w:b/>
                <w:color w:val="FFFFFF"/>
                <w:sz w:val="20"/>
                <w:szCs w:val="20"/>
              </w:rPr>
            </w:pPr>
            <w:r w:rsidRPr="00B81A28">
              <w:rPr>
                <w:rFonts w:ascii="Verdana" w:hAnsi="Verdana"/>
                <w:b/>
                <w:color w:val="FFFFFF"/>
                <w:sz w:val="20"/>
                <w:szCs w:val="20"/>
              </w:rPr>
              <w:t>MONTHLY PERFORMANCE SURVEY OF INDEX TRACKING ETFS, ETNs AND UNIT TRUSTS</w:t>
            </w:r>
          </w:p>
          <w:p w14:paraId="737C5073" w14:textId="77777777" w:rsidR="006C22DE" w:rsidRPr="00B81A28" w:rsidRDefault="006C22DE" w:rsidP="000B2FD6">
            <w:pPr>
              <w:spacing w:before="40" w:after="40" w:line="280" w:lineRule="atLeast"/>
              <w:jc w:val="center"/>
              <w:rPr>
                <w:rFonts w:ascii="Verdana" w:hAnsi="Verdana"/>
                <w:b/>
                <w:color w:val="FFFFFF"/>
                <w:sz w:val="20"/>
                <w:szCs w:val="20"/>
              </w:rPr>
            </w:pPr>
            <w:r w:rsidRPr="00B81A28">
              <w:rPr>
                <w:rFonts w:ascii="Verdana" w:hAnsi="Verdana"/>
                <w:b/>
                <w:color w:val="FFFFFF"/>
                <w:sz w:val="20"/>
                <w:szCs w:val="20"/>
              </w:rPr>
              <w:t xml:space="preserve">For Period Ended </w:t>
            </w:r>
            <w:r>
              <w:rPr>
                <w:rFonts w:ascii="Verdana" w:hAnsi="Verdana"/>
                <w:b/>
                <w:color w:val="FFFFFF"/>
                <w:sz w:val="20"/>
                <w:szCs w:val="20"/>
              </w:rPr>
              <w:t xml:space="preserve">30 June 2020   </w:t>
            </w:r>
            <w:r w:rsidRPr="00B81A28">
              <w:rPr>
                <w:rFonts w:ascii="Verdana" w:hAnsi="Verdana"/>
                <w:b/>
                <w:color w:val="FFFFFF"/>
                <w:sz w:val="20"/>
                <w:szCs w:val="20"/>
              </w:rPr>
              <w:t>(Total Returns – dividends reinvested)</w:t>
            </w:r>
          </w:p>
        </w:tc>
      </w:tr>
      <w:tr w:rsidR="006C22DE" w:rsidRPr="00B81A28" w14:paraId="3185059B" w14:textId="77777777" w:rsidTr="000B2FD6">
        <w:tc>
          <w:tcPr>
            <w:tcW w:w="5245" w:type="dxa"/>
            <w:shd w:val="clear" w:color="auto" w:fill="4C4C4C"/>
          </w:tcPr>
          <w:p w14:paraId="1597CE23" w14:textId="77777777" w:rsidR="006C22DE" w:rsidRPr="0067766B" w:rsidRDefault="006C22DE" w:rsidP="000B2FD6">
            <w:pPr>
              <w:spacing w:before="40" w:after="40" w:line="280" w:lineRule="atLeast"/>
              <w:rPr>
                <w:rFonts w:ascii="Verdana" w:hAnsi="Verdana"/>
                <w:b/>
                <w:caps/>
                <w:color w:val="FFFFFF"/>
                <w:sz w:val="16"/>
                <w:szCs w:val="16"/>
              </w:rPr>
            </w:pPr>
            <w:r>
              <w:rPr>
                <w:rFonts w:ascii="Verdana" w:hAnsi="Verdana"/>
                <w:b/>
                <w:caps/>
                <w:color w:val="FFFFFF"/>
                <w:sz w:val="16"/>
                <w:szCs w:val="16"/>
              </w:rPr>
              <w:t>INDEX TRACKING UNIT TRUSTS</w:t>
            </w:r>
          </w:p>
        </w:tc>
        <w:tc>
          <w:tcPr>
            <w:tcW w:w="1606" w:type="dxa"/>
            <w:shd w:val="clear" w:color="auto" w:fill="4C4C4C"/>
          </w:tcPr>
          <w:p w14:paraId="7BCBD9CC" w14:textId="77777777" w:rsidR="006C22DE" w:rsidRPr="00B81A28" w:rsidRDefault="006C22DE" w:rsidP="000B2FD6">
            <w:pPr>
              <w:spacing w:before="40" w:after="40" w:line="280" w:lineRule="atLeast"/>
              <w:jc w:val="center"/>
              <w:rPr>
                <w:rFonts w:ascii="Verdana" w:hAnsi="Verdana"/>
                <w:b/>
                <w:color w:val="FFFFFF"/>
                <w:sz w:val="16"/>
                <w:szCs w:val="16"/>
              </w:rPr>
            </w:pPr>
            <w:r w:rsidRPr="00B81A28">
              <w:rPr>
                <w:rFonts w:ascii="Verdana" w:hAnsi="Verdana"/>
                <w:b/>
                <w:color w:val="FFFFFF"/>
                <w:sz w:val="16"/>
                <w:szCs w:val="16"/>
              </w:rPr>
              <w:t>1 Month</w:t>
            </w:r>
          </w:p>
        </w:tc>
        <w:tc>
          <w:tcPr>
            <w:tcW w:w="1607" w:type="dxa"/>
            <w:shd w:val="clear" w:color="auto" w:fill="4C4C4C"/>
          </w:tcPr>
          <w:p w14:paraId="566F6A15" w14:textId="77777777" w:rsidR="006C22DE" w:rsidRPr="00B81A28" w:rsidRDefault="006C22DE" w:rsidP="000B2FD6">
            <w:pPr>
              <w:spacing w:before="40" w:after="40" w:line="280" w:lineRule="atLeast"/>
              <w:jc w:val="center"/>
              <w:rPr>
                <w:rFonts w:ascii="Verdana" w:hAnsi="Verdana"/>
                <w:b/>
                <w:color w:val="FFFFFF"/>
                <w:sz w:val="16"/>
                <w:szCs w:val="16"/>
              </w:rPr>
            </w:pPr>
            <w:r w:rsidRPr="00B81A28">
              <w:rPr>
                <w:rFonts w:ascii="Verdana" w:hAnsi="Verdana"/>
                <w:b/>
                <w:color w:val="FFFFFF"/>
                <w:sz w:val="16"/>
                <w:szCs w:val="16"/>
              </w:rPr>
              <w:t>3 Months</w:t>
            </w:r>
          </w:p>
        </w:tc>
        <w:tc>
          <w:tcPr>
            <w:tcW w:w="1606" w:type="dxa"/>
            <w:shd w:val="clear" w:color="auto" w:fill="4C4C4C"/>
          </w:tcPr>
          <w:p w14:paraId="0B4594F4" w14:textId="77777777" w:rsidR="006C22DE" w:rsidRPr="00B81A28" w:rsidRDefault="006C22DE" w:rsidP="000B2FD6">
            <w:pPr>
              <w:spacing w:before="40" w:after="40" w:line="280" w:lineRule="atLeast"/>
              <w:jc w:val="center"/>
              <w:rPr>
                <w:rFonts w:ascii="Verdana" w:hAnsi="Verdana"/>
                <w:b/>
                <w:color w:val="FFFFFF"/>
                <w:sz w:val="16"/>
                <w:szCs w:val="16"/>
              </w:rPr>
            </w:pPr>
            <w:r w:rsidRPr="00B81A28">
              <w:rPr>
                <w:rFonts w:ascii="Verdana" w:hAnsi="Verdana"/>
                <w:b/>
                <w:color w:val="FFFFFF"/>
                <w:sz w:val="16"/>
                <w:szCs w:val="16"/>
              </w:rPr>
              <w:t>1 Year</w:t>
            </w:r>
          </w:p>
        </w:tc>
        <w:tc>
          <w:tcPr>
            <w:tcW w:w="1607" w:type="dxa"/>
            <w:shd w:val="clear" w:color="auto" w:fill="4C4C4C"/>
          </w:tcPr>
          <w:p w14:paraId="077008A5" w14:textId="77777777" w:rsidR="006C22DE" w:rsidRPr="00B81A28" w:rsidRDefault="006C22DE" w:rsidP="000B2FD6">
            <w:pPr>
              <w:spacing w:before="40" w:after="40" w:line="280" w:lineRule="atLeast"/>
              <w:jc w:val="center"/>
              <w:rPr>
                <w:rFonts w:ascii="Verdana" w:hAnsi="Verdana"/>
                <w:b/>
                <w:color w:val="FFFFFF"/>
                <w:sz w:val="16"/>
                <w:szCs w:val="16"/>
              </w:rPr>
            </w:pPr>
            <w:r w:rsidRPr="00B81A28">
              <w:rPr>
                <w:rFonts w:ascii="Verdana" w:hAnsi="Verdana"/>
                <w:b/>
                <w:color w:val="FFFFFF"/>
                <w:sz w:val="16"/>
                <w:szCs w:val="16"/>
              </w:rPr>
              <w:t>3 years p.a.</w:t>
            </w:r>
          </w:p>
        </w:tc>
        <w:tc>
          <w:tcPr>
            <w:tcW w:w="1606" w:type="dxa"/>
            <w:shd w:val="clear" w:color="auto" w:fill="4C4C4C"/>
          </w:tcPr>
          <w:p w14:paraId="700857AA" w14:textId="77777777" w:rsidR="006C22DE" w:rsidRPr="00B81A28" w:rsidRDefault="006C22DE" w:rsidP="000B2FD6">
            <w:pPr>
              <w:spacing w:before="40" w:after="40" w:line="280" w:lineRule="atLeast"/>
              <w:jc w:val="center"/>
              <w:rPr>
                <w:rFonts w:ascii="Verdana" w:hAnsi="Verdana"/>
                <w:b/>
                <w:color w:val="FFFFFF"/>
                <w:sz w:val="16"/>
                <w:szCs w:val="16"/>
              </w:rPr>
            </w:pPr>
            <w:r w:rsidRPr="00B81A28">
              <w:rPr>
                <w:rFonts w:ascii="Verdana" w:hAnsi="Verdana"/>
                <w:b/>
                <w:color w:val="FFFFFF"/>
                <w:sz w:val="16"/>
                <w:szCs w:val="16"/>
              </w:rPr>
              <w:t>5 years p.a.</w:t>
            </w:r>
          </w:p>
        </w:tc>
        <w:tc>
          <w:tcPr>
            <w:tcW w:w="1607" w:type="dxa"/>
            <w:shd w:val="clear" w:color="auto" w:fill="4C4C4C"/>
          </w:tcPr>
          <w:p w14:paraId="0B17F7AB" w14:textId="77777777" w:rsidR="006C22DE" w:rsidRPr="00B81A28" w:rsidRDefault="006C22DE" w:rsidP="000B2FD6">
            <w:pPr>
              <w:spacing w:before="40" w:after="40" w:line="280" w:lineRule="atLeast"/>
              <w:jc w:val="center"/>
              <w:rPr>
                <w:rFonts w:ascii="Verdana" w:hAnsi="Verdana"/>
                <w:b/>
                <w:color w:val="FFFFFF"/>
                <w:sz w:val="16"/>
                <w:szCs w:val="16"/>
              </w:rPr>
            </w:pPr>
            <w:r w:rsidRPr="00B81A28">
              <w:rPr>
                <w:rFonts w:ascii="Verdana" w:hAnsi="Verdana"/>
                <w:b/>
                <w:color w:val="FFFFFF"/>
                <w:sz w:val="16"/>
                <w:szCs w:val="16"/>
              </w:rPr>
              <w:t>10 Years p.a.</w:t>
            </w:r>
          </w:p>
        </w:tc>
      </w:tr>
      <w:tr w:rsidR="006C22DE" w:rsidRPr="00B81A28" w14:paraId="23395520" w14:textId="77777777" w:rsidTr="000B2FD6">
        <w:tc>
          <w:tcPr>
            <w:tcW w:w="14884" w:type="dxa"/>
            <w:gridSpan w:val="7"/>
            <w:shd w:val="clear" w:color="auto" w:fill="7583BD"/>
            <w:vAlign w:val="center"/>
          </w:tcPr>
          <w:p w14:paraId="5734E4C6" w14:textId="77777777" w:rsidR="006C22DE" w:rsidRPr="00FC742B" w:rsidRDefault="006C22DE" w:rsidP="000B2FD6">
            <w:pPr>
              <w:spacing w:before="40" w:after="40" w:line="280" w:lineRule="atLeast"/>
              <w:rPr>
                <w:rFonts w:ascii="Verdana" w:hAnsi="Verdana"/>
                <w:b/>
                <w:color w:val="FFFFFF" w:themeColor="background1"/>
                <w:sz w:val="16"/>
                <w:szCs w:val="16"/>
              </w:rPr>
            </w:pPr>
            <w:r>
              <w:rPr>
                <w:rFonts w:ascii="Verdana" w:hAnsi="Verdana"/>
                <w:b/>
                <w:color w:val="FFFFFF" w:themeColor="background1"/>
                <w:sz w:val="16"/>
                <w:szCs w:val="16"/>
              </w:rPr>
              <w:t>WORLD INDEX TRACKING UNIT TRUSTS (Total Return)</w:t>
            </w:r>
          </w:p>
        </w:tc>
      </w:tr>
      <w:tr w:rsidR="006C22DE" w:rsidRPr="00BC54C5" w14:paraId="0CA64C60" w14:textId="77777777" w:rsidTr="000B2FD6">
        <w:tc>
          <w:tcPr>
            <w:tcW w:w="5245" w:type="dxa"/>
          </w:tcPr>
          <w:p w14:paraId="69837441" w14:textId="77777777" w:rsidR="006C22DE" w:rsidRPr="00BC54C5" w:rsidRDefault="006C22DE" w:rsidP="000B2FD6">
            <w:pPr>
              <w:spacing w:before="40" w:after="40" w:line="300" w:lineRule="atLeast"/>
              <w:rPr>
                <w:rFonts w:ascii="Verdana" w:hAnsi="Verdana"/>
                <w:b/>
                <w:sz w:val="16"/>
                <w:szCs w:val="16"/>
              </w:rPr>
            </w:pPr>
            <w:r>
              <w:rPr>
                <w:rFonts w:ascii="Verdana" w:hAnsi="Verdana"/>
                <w:b/>
                <w:sz w:val="16"/>
                <w:szCs w:val="16"/>
              </w:rPr>
              <w:t>MSCI World Index (Rands)</w:t>
            </w:r>
          </w:p>
        </w:tc>
        <w:tc>
          <w:tcPr>
            <w:tcW w:w="1606" w:type="dxa"/>
          </w:tcPr>
          <w:p w14:paraId="730FD453" w14:textId="0EC55F9F" w:rsidR="006C22DE" w:rsidRPr="00BC54C5" w:rsidRDefault="00A66D5A" w:rsidP="000B2FD6">
            <w:pPr>
              <w:tabs>
                <w:tab w:val="left" w:pos="1050"/>
              </w:tabs>
              <w:spacing w:before="40" w:after="40" w:line="300" w:lineRule="atLeast"/>
              <w:jc w:val="center"/>
              <w:rPr>
                <w:rFonts w:ascii="Verdana" w:hAnsi="Verdana"/>
                <w:b/>
                <w:sz w:val="16"/>
                <w:szCs w:val="16"/>
              </w:rPr>
            </w:pPr>
            <w:r>
              <w:rPr>
                <w:rFonts w:ascii="Verdana" w:hAnsi="Verdana"/>
                <w:b/>
                <w:sz w:val="16"/>
                <w:szCs w:val="16"/>
              </w:rPr>
              <w:t>1,39%</w:t>
            </w:r>
          </w:p>
        </w:tc>
        <w:tc>
          <w:tcPr>
            <w:tcW w:w="1607" w:type="dxa"/>
          </w:tcPr>
          <w:p w14:paraId="415177E0" w14:textId="668623C2" w:rsidR="006C22DE" w:rsidRPr="00BC54C5" w:rsidRDefault="00A66D5A" w:rsidP="000B2FD6">
            <w:pPr>
              <w:spacing w:before="40" w:after="40" w:line="300" w:lineRule="atLeast"/>
              <w:jc w:val="center"/>
              <w:rPr>
                <w:rFonts w:ascii="Verdana" w:hAnsi="Verdana"/>
                <w:b/>
                <w:sz w:val="16"/>
                <w:szCs w:val="16"/>
              </w:rPr>
            </w:pPr>
            <w:r>
              <w:rPr>
                <w:rFonts w:ascii="Verdana" w:hAnsi="Verdana"/>
                <w:b/>
                <w:sz w:val="16"/>
                <w:szCs w:val="16"/>
              </w:rPr>
              <w:t>13,97%</w:t>
            </w:r>
          </w:p>
        </w:tc>
        <w:tc>
          <w:tcPr>
            <w:tcW w:w="1606" w:type="dxa"/>
          </w:tcPr>
          <w:p w14:paraId="6D70B2CD" w14:textId="2A6C2236" w:rsidR="006C22DE" w:rsidRPr="00BC54C5" w:rsidRDefault="00A66D5A" w:rsidP="000B2FD6">
            <w:pPr>
              <w:spacing w:before="40" w:after="40" w:line="300" w:lineRule="atLeast"/>
              <w:jc w:val="center"/>
              <w:rPr>
                <w:rFonts w:ascii="Verdana" w:hAnsi="Verdana"/>
                <w:b/>
                <w:sz w:val="16"/>
                <w:szCs w:val="16"/>
              </w:rPr>
            </w:pPr>
            <w:r>
              <w:rPr>
                <w:rFonts w:ascii="Verdana" w:hAnsi="Verdana"/>
                <w:b/>
                <w:sz w:val="16"/>
                <w:szCs w:val="16"/>
              </w:rPr>
              <w:t>24,57%</w:t>
            </w:r>
          </w:p>
        </w:tc>
        <w:tc>
          <w:tcPr>
            <w:tcW w:w="1607" w:type="dxa"/>
          </w:tcPr>
          <w:p w14:paraId="178847EE" w14:textId="337A1FB9" w:rsidR="006C22DE" w:rsidRPr="00BC54C5" w:rsidRDefault="00A66D5A" w:rsidP="000B2FD6">
            <w:pPr>
              <w:spacing w:before="40" w:after="40" w:line="300" w:lineRule="atLeast"/>
              <w:jc w:val="center"/>
              <w:rPr>
                <w:rFonts w:ascii="Verdana" w:hAnsi="Verdana"/>
                <w:b/>
                <w:sz w:val="16"/>
                <w:szCs w:val="16"/>
              </w:rPr>
            </w:pPr>
            <w:r>
              <w:rPr>
                <w:rFonts w:ascii="Verdana" w:hAnsi="Verdana"/>
                <w:b/>
                <w:sz w:val="16"/>
                <w:szCs w:val="16"/>
              </w:rPr>
              <w:t>15,23%</w:t>
            </w:r>
          </w:p>
        </w:tc>
        <w:tc>
          <w:tcPr>
            <w:tcW w:w="1606" w:type="dxa"/>
          </w:tcPr>
          <w:p w14:paraId="623C26D6" w14:textId="6291E565" w:rsidR="006C22DE" w:rsidRPr="00BC54C5" w:rsidRDefault="00A66D5A" w:rsidP="000B2FD6">
            <w:pPr>
              <w:spacing w:before="40" w:after="40" w:line="300" w:lineRule="atLeast"/>
              <w:jc w:val="center"/>
              <w:rPr>
                <w:rFonts w:ascii="Verdana" w:hAnsi="Verdana"/>
                <w:b/>
                <w:sz w:val="16"/>
                <w:szCs w:val="16"/>
              </w:rPr>
            </w:pPr>
            <w:r>
              <w:rPr>
                <w:rFonts w:ascii="Verdana" w:hAnsi="Verdana"/>
                <w:b/>
                <w:sz w:val="16"/>
                <w:szCs w:val="16"/>
              </w:rPr>
              <w:t>12,51%</w:t>
            </w:r>
          </w:p>
        </w:tc>
        <w:tc>
          <w:tcPr>
            <w:tcW w:w="1607" w:type="dxa"/>
            <w:shd w:val="clear" w:color="auto" w:fill="auto"/>
          </w:tcPr>
          <w:p w14:paraId="38AAD47B" w14:textId="45C77562" w:rsidR="006C22DE" w:rsidRPr="00BC54C5" w:rsidRDefault="00A66D5A" w:rsidP="000B2FD6">
            <w:pPr>
              <w:spacing w:before="40" w:after="40" w:line="300" w:lineRule="atLeast"/>
              <w:jc w:val="center"/>
              <w:rPr>
                <w:rFonts w:ascii="Verdana" w:hAnsi="Verdana"/>
                <w:b/>
                <w:sz w:val="16"/>
                <w:szCs w:val="16"/>
              </w:rPr>
            </w:pPr>
            <w:r>
              <w:rPr>
                <w:rFonts w:ascii="Verdana" w:hAnsi="Verdana"/>
                <w:b/>
                <w:sz w:val="16"/>
                <w:szCs w:val="16"/>
              </w:rPr>
              <w:t>16,95%</w:t>
            </w:r>
          </w:p>
        </w:tc>
      </w:tr>
      <w:tr w:rsidR="006C22DE" w:rsidRPr="00B81A28" w14:paraId="570E291A" w14:textId="77777777" w:rsidTr="000B2FD6">
        <w:tc>
          <w:tcPr>
            <w:tcW w:w="5245" w:type="dxa"/>
          </w:tcPr>
          <w:p w14:paraId="62CCC29C" w14:textId="3A2F06CE" w:rsidR="006C22DE" w:rsidRPr="00B81A28" w:rsidRDefault="006C22DE" w:rsidP="000B2FD6">
            <w:pPr>
              <w:spacing w:before="40" w:after="40" w:line="300" w:lineRule="atLeast"/>
              <w:rPr>
                <w:rFonts w:ascii="Verdana" w:hAnsi="Verdana"/>
                <w:sz w:val="16"/>
                <w:szCs w:val="16"/>
              </w:rPr>
            </w:pPr>
            <w:r>
              <w:rPr>
                <w:rFonts w:ascii="Verdana" w:hAnsi="Verdana"/>
                <w:sz w:val="16"/>
                <w:szCs w:val="16"/>
              </w:rPr>
              <w:t xml:space="preserve">1nvest S&amp;P </w:t>
            </w:r>
            <w:r w:rsidR="00A66D5A">
              <w:rPr>
                <w:rFonts w:ascii="Verdana" w:hAnsi="Verdana"/>
                <w:sz w:val="16"/>
                <w:szCs w:val="16"/>
              </w:rPr>
              <w:t xml:space="preserve">500 </w:t>
            </w:r>
            <w:r>
              <w:rPr>
                <w:rFonts w:ascii="Verdana" w:hAnsi="Verdana"/>
                <w:sz w:val="16"/>
                <w:szCs w:val="16"/>
              </w:rPr>
              <w:t>Index Feeder Fund</w:t>
            </w:r>
          </w:p>
        </w:tc>
        <w:tc>
          <w:tcPr>
            <w:tcW w:w="1606" w:type="dxa"/>
          </w:tcPr>
          <w:p w14:paraId="6452BC4D" w14:textId="27E6DA49"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0,97%</w:t>
            </w:r>
          </w:p>
        </w:tc>
        <w:tc>
          <w:tcPr>
            <w:tcW w:w="1607" w:type="dxa"/>
          </w:tcPr>
          <w:p w14:paraId="550EC9D0" w14:textId="1050723B"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14,39%</w:t>
            </w:r>
          </w:p>
        </w:tc>
        <w:tc>
          <w:tcPr>
            <w:tcW w:w="1606" w:type="dxa"/>
          </w:tcPr>
          <w:p w14:paraId="3361035C" w14:textId="21C46F59"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30,15%</w:t>
            </w:r>
          </w:p>
        </w:tc>
        <w:tc>
          <w:tcPr>
            <w:tcW w:w="1607" w:type="dxa"/>
          </w:tcPr>
          <w:p w14:paraId="2BCAAF3F"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6" w:type="dxa"/>
          </w:tcPr>
          <w:p w14:paraId="19B1E106"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5812748D"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1552168C" w14:textId="77777777" w:rsidTr="000B2FD6">
        <w:tc>
          <w:tcPr>
            <w:tcW w:w="5245" w:type="dxa"/>
          </w:tcPr>
          <w:p w14:paraId="554BA927" w14:textId="4A9CFF68" w:rsidR="006C22DE" w:rsidRPr="00B81A28" w:rsidRDefault="006C22DE" w:rsidP="000B2FD6">
            <w:pPr>
              <w:spacing w:before="40" w:after="40" w:line="300" w:lineRule="atLeast"/>
              <w:rPr>
                <w:rFonts w:ascii="Verdana" w:hAnsi="Verdana"/>
                <w:sz w:val="16"/>
                <w:szCs w:val="16"/>
              </w:rPr>
            </w:pPr>
            <w:r>
              <w:rPr>
                <w:rFonts w:ascii="Verdana" w:hAnsi="Verdana"/>
                <w:sz w:val="16"/>
                <w:szCs w:val="16"/>
              </w:rPr>
              <w:t xml:space="preserve">1nvest S&amp;P </w:t>
            </w:r>
            <w:r w:rsidR="00F36A16">
              <w:rPr>
                <w:rFonts w:ascii="Verdana" w:hAnsi="Verdana"/>
                <w:sz w:val="16"/>
                <w:szCs w:val="16"/>
              </w:rPr>
              <w:t xml:space="preserve">500 </w:t>
            </w:r>
            <w:r>
              <w:rPr>
                <w:rFonts w:ascii="Verdana" w:hAnsi="Verdana"/>
                <w:sz w:val="16"/>
                <w:szCs w:val="16"/>
              </w:rPr>
              <w:t>Info Tech Feeder Fund</w:t>
            </w:r>
          </w:p>
        </w:tc>
        <w:tc>
          <w:tcPr>
            <w:tcW w:w="1606" w:type="dxa"/>
          </w:tcPr>
          <w:p w14:paraId="52A52DC9" w14:textId="79047ED3"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6,27%</w:t>
            </w:r>
          </w:p>
        </w:tc>
        <w:tc>
          <w:tcPr>
            <w:tcW w:w="1607" w:type="dxa"/>
          </w:tcPr>
          <w:p w14:paraId="25DA5216" w14:textId="6D17F9CE"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22,45%</w:t>
            </w:r>
          </w:p>
        </w:tc>
        <w:tc>
          <w:tcPr>
            <w:tcW w:w="1606" w:type="dxa"/>
          </w:tcPr>
          <w:p w14:paraId="438BD635" w14:textId="366C6F8B"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63,29%</w:t>
            </w:r>
          </w:p>
        </w:tc>
        <w:tc>
          <w:tcPr>
            <w:tcW w:w="1607" w:type="dxa"/>
          </w:tcPr>
          <w:p w14:paraId="66A57C47"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6" w:type="dxa"/>
          </w:tcPr>
          <w:p w14:paraId="759DA581"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3BE32D6A"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516CA629" w14:textId="77777777" w:rsidTr="000B2FD6">
        <w:tc>
          <w:tcPr>
            <w:tcW w:w="5245" w:type="dxa"/>
          </w:tcPr>
          <w:p w14:paraId="0937C6F0"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 MSCI World Index Feeder Fund</w:t>
            </w:r>
          </w:p>
        </w:tc>
        <w:tc>
          <w:tcPr>
            <w:tcW w:w="1606" w:type="dxa"/>
          </w:tcPr>
          <w:p w14:paraId="3BD7A301" w14:textId="50E6591A"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1,63%</w:t>
            </w:r>
          </w:p>
        </w:tc>
        <w:tc>
          <w:tcPr>
            <w:tcW w:w="1607" w:type="dxa"/>
          </w:tcPr>
          <w:p w14:paraId="5A953195" w14:textId="0EAB1538"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14,40%</w:t>
            </w:r>
          </w:p>
        </w:tc>
        <w:tc>
          <w:tcPr>
            <w:tcW w:w="1606" w:type="dxa"/>
          </w:tcPr>
          <w:p w14:paraId="289C0143" w14:textId="41C23668"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25,95%</w:t>
            </w:r>
          </w:p>
        </w:tc>
        <w:tc>
          <w:tcPr>
            <w:tcW w:w="1607" w:type="dxa"/>
          </w:tcPr>
          <w:p w14:paraId="03E942E8"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6" w:type="dxa"/>
          </w:tcPr>
          <w:p w14:paraId="26B87069"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0CBD337B"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49D8D74C" w14:textId="77777777" w:rsidTr="000B2FD6">
        <w:tc>
          <w:tcPr>
            <w:tcW w:w="5245" w:type="dxa"/>
          </w:tcPr>
          <w:p w14:paraId="502F60BD"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 Global Govt. Bond Index Feeder</w:t>
            </w:r>
          </w:p>
        </w:tc>
        <w:tc>
          <w:tcPr>
            <w:tcW w:w="1606" w:type="dxa"/>
          </w:tcPr>
          <w:p w14:paraId="449F1770" w14:textId="239BCFAE"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(0,61%)</w:t>
            </w:r>
          </w:p>
        </w:tc>
        <w:tc>
          <w:tcPr>
            <w:tcW w:w="1607" w:type="dxa"/>
          </w:tcPr>
          <w:p w14:paraId="2653094B" w14:textId="6C68859D"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(3,35%)</w:t>
            </w:r>
          </w:p>
        </w:tc>
        <w:tc>
          <w:tcPr>
            <w:tcW w:w="1606" w:type="dxa"/>
          </w:tcPr>
          <w:p w14:paraId="5A984169" w14:textId="55AEF1FD"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29,26%</w:t>
            </w:r>
          </w:p>
        </w:tc>
        <w:tc>
          <w:tcPr>
            <w:tcW w:w="1607" w:type="dxa"/>
          </w:tcPr>
          <w:p w14:paraId="1E1237B5"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6" w:type="dxa"/>
          </w:tcPr>
          <w:p w14:paraId="3BEFD712"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7B1AAFD7"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0F89556E" w14:textId="77777777" w:rsidTr="000B2FD6">
        <w:tc>
          <w:tcPr>
            <w:tcW w:w="5245" w:type="dxa"/>
          </w:tcPr>
          <w:p w14:paraId="1EC852C2" w14:textId="77777777" w:rsidR="006C22DE" w:rsidRPr="00B81A28" w:rsidRDefault="006C22DE" w:rsidP="000B2FD6">
            <w:pPr>
              <w:spacing w:before="40" w:after="40" w:line="300" w:lineRule="atLeast"/>
              <w:rPr>
                <w:rFonts w:ascii="Verdana" w:hAnsi="Verdana"/>
                <w:sz w:val="16"/>
                <w:szCs w:val="16"/>
              </w:rPr>
            </w:pPr>
            <w:r>
              <w:rPr>
                <w:rFonts w:ascii="Verdana" w:hAnsi="Verdana"/>
                <w:sz w:val="16"/>
                <w:szCs w:val="16"/>
              </w:rPr>
              <w:t>1nvest Global REIT Index Feeder</w:t>
            </w:r>
          </w:p>
        </w:tc>
        <w:tc>
          <w:tcPr>
            <w:tcW w:w="1606" w:type="dxa"/>
          </w:tcPr>
          <w:p w14:paraId="061B8F48" w14:textId="5CDDC03F"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1,13%</w:t>
            </w:r>
          </w:p>
        </w:tc>
        <w:tc>
          <w:tcPr>
            <w:tcW w:w="1607" w:type="dxa"/>
          </w:tcPr>
          <w:p w14:paraId="6A547679" w14:textId="6CF00CAB"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5,37%</w:t>
            </w:r>
          </w:p>
        </w:tc>
        <w:tc>
          <w:tcPr>
            <w:tcW w:w="1606" w:type="dxa"/>
          </w:tcPr>
          <w:p w14:paraId="4551FE70" w14:textId="62A9EE3D"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0,53%</w:t>
            </w:r>
          </w:p>
        </w:tc>
        <w:tc>
          <w:tcPr>
            <w:tcW w:w="1607" w:type="dxa"/>
          </w:tcPr>
          <w:p w14:paraId="759AD98A"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6" w:type="dxa"/>
          </w:tcPr>
          <w:p w14:paraId="50986E94"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c>
          <w:tcPr>
            <w:tcW w:w="1607" w:type="dxa"/>
            <w:shd w:val="clear" w:color="auto" w:fill="auto"/>
          </w:tcPr>
          <w:p w14:paraId="02D70FE4" w14:textId="77777777" w:rsidR="006C22DE" w:rsidRPr="00B81A28" w:rsidRDefault="006C22DE" w:rsidP="000B2FD6">
            <w:pPr>
              <w:spacing w:before="40" w:after="40" w:line="300" w:lineRule="atLeast"/>
              <w:jc w:val="center"/>
              <w:rPr>
                <w:rFonts w:ascii="Verdana" w:hAnsi="Verdana"/>
                <w:sz w:val="16"/>
                <w:szCs w:val="16"/>
              </w:rPr>
            </w:pPr>
            <w:r>
              <w:rPr>
                <w:rFonts w:ascii="Verdana" w:hAnsi="Verdana"/>
                <w:sz w:val="16"/>
                <w:szCs w:val="16"/>
              </w:rPr>
              <w:t>-</w:t>
            </w:r>
          </w:p>
        </w:tc>
      </w:tr>
      <w:tr w:rsidR="006C22DE" w:rsidRPr="00B81A28" w14:paraId="1BF684C8" w14:textId="77777777" w:rsidTr="000B2FD6">
        <w:tc>
          <w:tcPr>
            <w:tcW w:w="5245" w:type="dxa"/>
          </w:tcPr>
          <w:p w14:paraId="229F07E6"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 xml:space="preserve">Old Mutual </w:t>
            </w:r>
            <w:r>
              <w:rPr>
                <w:rFonts w:ascii="Verdana" w:hAnsi="Verdana"/>
                <w:sz w:val="16"/>
                <w:szCs w:val="16"/>
              </w:rPr>
              <w:t>FTSE</w:t>
            </w:r>
            <w:r w:rsidRPr="00B81A28">
              <w:rPr>
                <w:rFonts w:ascii="Verdana" w:hAnsi="Verdana"/>
                <w:sz w:val="16"/>
                <w:szCs w:val="16"/>
              </w:rPr>
              <w:t xml:space="preserve"> RAFI </w:t>
            </w:r>
            <w:r>
              <w:rPr>
                <w:rFonts w:ascii="Verdana" w:hAnsi="Verdana"/>
                <w:sz w:val="16"/>
                <w:szCs w:val="16"/>
              </w:rPr>
              <w:t xml:space="preserve">All World </w:t>
            </w:r>
            <w:r w:rsidRPr="00B81A28">
              <w:rPr>
                <w:rFonts w:ascii="Verdana" w:hAnsi="Verdana"/>
                <w:sz w:val="16"/>
                <w:szCs w:val="16"/>
              </w:rPr>
              <w:t>Index Fund</w:t>
            </w:r>
          </w:p>
        </w:tc>
        <w:tc>
          <w:tcPr>
            <w:tcW w:w="1606" w:type="dxa"/>
          </w:tcPr>
          <w:p w14:paraId="49FED01B" w14:textId="0F0FB5EC"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0,36%</w:t>
            </w:r>
          </w:p>
        </w:tc>
        <w:tc>
          <w:tcPr>
            <w:tcW w:w="1607" w:type="dxa"/>
          </w:tcPr>
          <w:p w14:paraId="4F827592" w14:textId="15F8C495"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11.90%</w:t>
            </w:r>
          </w:p>
        </w:tc>
        <w:tc>
          <w:tcPr>
            <w:tcW w:w="1606" w:type="dxa"/>
          </w:tcPr>
          <w:p w14:paraId="5AE5531B" w14:textId="4E2BB830"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9,48%</w:t>
            </w:r>
          </w:p>
        </w:tc>
        <w:tc>
          <w:tcPr>
            <w:tcW w:w="1607" w:type="dxa"/>
          </w:tcPr>
          <w:p w14:paraId="2AB21052" w14:textId="0D33EA75"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8,16%</w:t>
            </w:r>
          </w:p>
        </w:tc>
        <w:tc>
          <w:tcPr>
            <w:tcW w:w="1606" w:type="dxa"/>
          </w:tcPr>
          <w:p w14:paraId="0C28E7A5" w14:textId="6B5EA052"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8,47%</w:t>
            </w:r>
          </w:p>
        </w:tc>
        <w:tc>
          <w:tcPr>
            <w:tcW w:w="1607" w:type="dxa"/>
            <w:shd w:val="clear" w:color="auto" w:fill="auto"/>
          </w:tcPr>
          <w:p w14:paraId="184B4DDB"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773169E3" w14:textId="77777777" w:rsidTr="000B2FD6">
        <w:tc>
          <w:tcPr>
            <w:tcW w:w="5245" w:type="dxa"/>
          </w:tcPr>
          <w:p w14:paraId="5B50A54D" w14:textId="77777777" w:rsidR="006C22DE" w:rsidRPr="00B81A28" w:rsidRDefault="006C22DE" w:rsidP="000B2FD6">
            <w:pPr>
              <w:spacing w:before="40" w:after="40" w:line="300" w:lineRule="atLeast"/>
              <w:rPr>
                <w:rFonts w:ascii="Verdana" w:hAnsi="Verdana"/>
                <w:sz w:val="16"/>
                <w:szCs w:val="16"/>
              </w:rPr>
            </w:pPr>
            <w:r w:rsidRPr="00B81A28">
              <w:rPr>
                <w:rFonts w:ascii="Verdana" w:hAnsi="Verdana"/>
                <w:sz w:val="16"/>
                <w:szCs w:val="16"/>
              </w:rPr>
              <w:t>Satrix MSCI World Equity Index Feeder Fund</w:t>
            </w:r>
          </w:p>
        </w:tc>
        <w:tc>
          <w:tcPr>
            <w:tcW w:w="1606" w:type="dxa"/>
          </w:tcPr>
          <w:p w14:paraId="3FE2611A" w14:textId="01242DFB" w:rsidR="006C22DE" w:rsidRPr="00B81A28" w:rsidRDefault="00A66D5A" w:rsidP="000B2FD6">
            <w:pPr>
              <w:tabs>
                <w:tab w:val="left" w:pos="1050"/>
              </w:tabs>
              <w:spacing w:before="40" w:after="40" w:line="300" w:lineRule="atLeast"/>
              <w:jc w:val="center"/>
              <w:rPr>
                <w:rFonts w:ascii="Verdana" w:hAnsi="Verdana"/>
                <w:sz w:val="16"/>
                <w:szCs w:val="16"/>
              </w:rPr>
            </w:pPr>
            <w:r>
              <w:rPr>
                <w:rFonts w:ascii="Verdana" w:hAnsi="Verdana"/>
                <w:sz w:val="16"/>
                <w:szCs w:val="16"/>
              </w:rPr>
              <w:t>(0,13%)</w:t>
            </w:r>
          </w:p>
        </w:tc>
        <w:tc>
          <w:tcPr>
            <w:tcW w:w="1607" w:type="dxa"/>
          </w:tcPr>
          <w:p w14:paraId="6AB3EC06" w14:textId="2E08092D"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15,02%</w:t>
            </w:r>
          </w:p>
        </w:tc>
        <w:tc>
          <w:tcPr>
            <w:tcW w:w="1606" w:type="dxa"/>
          </w:tcPr>
          <w:p w14:paraId="13728A42" w14:textId="4A2169B4"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24,38%</w:t>
            </w:r>
          </w:p>
        </w:tc>
        <w:tc>
          <w:tcPr>
            <w:tcW w:w="1607" w:type="dxa"/>
          </w:tcPr>
          <w:p w14:paraId="2C2EC4EB" w14:textId="439FB81B"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15,54%</w:t>
            </w:r>
          </w:p>
        </w:tc>
        <w:tc>
          <w:tcPr>
            <w:tcW w:w="1606" w:type="dxa"/>
          </w:tcPr>
          <w:p w14:paraId="19453507" w14:textId="56BC9DDA" w:rsidR="006C22DE" w:rsidRPr="00B81A28" w:rsidRDefault="00A66D5A" w:rsidP="000B2FD6">
            <w:pPr>
              <w:spacing w:before="40" w:after="40" w:line="300" w:lineRule="atLeast"/>
              <w:jc w:val="center"/>
              <w:rPr>
                <w:rFonts w:ascii="Verdana" w:hAnsi="Verdana"/>
                <w:sz w:val="16"/>
                <w:szCs w:val="16"/>
              </w:rPr>
            </w:pPr>
            <w:r>
              <w:rPr>
                <w:rFonts w:ascii="Verdana" w:hAnsi="Verdana"/>
                <w:sz w:val="16"/>
                <w:szCs w:val="16"/>
              </w:rPr>
              <w:t>13,48%</w:t>
            </w:r>
          </w:p>
        </w:tc>
        <w:tc>
          <w:tcPr>
            <w:tcW w:w="1607" w:type="dxa"/>
            <w:shd w:val="clear" w:color="auto" w:fill="auto"/>
          </w:tcPr>
          <w:p w14:paraId="0F10163A" w14:textId="77777777" w:rsidR="006C22DE" w:rsidRPr="00B81A28" w:rsidRDefault="006C22DE" w:rsidP="000B2FD6">
            <w:pPr>
              <w:spacing w:before="40" w:after="40" w:line="300" w:lineRule="atLeast"/>
              <w:jc w:val="center"/>
              <w:rPr>
                <w:rFonts w:ascii="Verdana" w:hAnsi="Verdana"/>
                <w:sz w:val="16"/>
                <w:szCs w:val="16"/>
              </w:rPr>
            </w:pPr>
            <w:r w:rsidRPr="00B81A28">
              <w:rPr>
                <w:rFonts w:ascii="Verdana" w:hAnsi="Verdana"/>
                <w:sz w:val="16"/>
                <w:szCs w:val="16"/>
              </w:rPr>
              <w:t>-</w:t>
            </w:r>
          </w:p>
        </w:tc>
      </w:tr>
      <w:tr w:rsidR="006C22DE" w:rsidRPr="00B81A28" w14:paraId="5AC4D214" w14:textId="77777777" w:rsidTr="000B2FD6">
        <w:tc>
          <w:tcPr>
            <w:tcW w:w="14884" w:type="dxa"/>
            <w:gridSpan w:val="7"/>
            <w:vAlign w:val="center"/>
          </w:tcPr>
          <w:p w14:paraId="3DB819DC" w14:textId="77777777" w:rsidR="006C22DE" w:rsidRPr="00B81A28" w:rsidRDefault="006C22DE" w:rsidP="000B2FD6">
            <w:pPr>
              <w:spacing w:before="20" w:after="20" w:line="260" w:lineRule="atLeast"/>
              <w:rPr>
                <w:rFonts w:ascii="Verdana" w:hAnsi="Verdana"/>
                <w:sz w:val="16"/>
                <w:szCs w:val="16"/>
              </w:rPr>
            </w:pPr>
            <w:r w:rsidRPr="00FC742B">
              <w:rPr>
                <w:rFonts w:ascii="Verdana" w:hAnsi="Verdana"/>
                <w:i/>
                <w:sz w:val="15"/>
                <w:szCs w:val="15"/>
              </w:rPr>
              <w:t>Source: etfSA.co.za / Profile Media – Funds Data (</w:t>
            </w:r>
            <w:r>
              <w:rPr>
                <w:rFonts w:ascii="Verdana" w:hAnsi="Verdana"/>
                <w:i/>
                <w:sz w:val="15"/>
                <w:szCs w:val="15"/>
              </w:rPr>
              <w:t>30</w:t>
            </w:r>
            <w:r w:rsidRPr="00FC742B">
              <w:rPr>
                <w:rFonts w:ascii="Verdana" w:hAnsi="Verdana"/>
                <w:i/>
                <w:sz w:val="15"/>
                <w:szCs w:val="15"/>
              </w:rPr>
              <w:t>/</w:t>
            </w:r>
            <w:r>
              <w:rPr>
                <w:rFonts w:ascii="Verdana" w:hAnsi="Verdana"/>
                <w:i/>
                <w:sz w:val="15"/>
                <w:szCs w:val="15"/>
              </w:rPr>
              <w:t>6</w:t>
            </w:r>
            <w:r w:rsidRPr="00FC742B">
              <w:rPr>
                <w:rFonts w:ascii="Verdana" w:hAnsi="Verdana"/>
                <w:i/>
                <w:sz w:val="15"/>
                <w:szCs w:val="15"/>
              </w:rPr>
              <w:t>/</w:t>
            </w:r>
            <w:r>
              <w:rPr>
                <w:rFonts w:ascii="Verdana" w:hAnsi="Verdana"/>
                <w:i/>
                <w:sz w:val="15"/>
                <w:szCs w:val="15"/>
              </w:rPr>
              <w:t>2020</w:t>
            </w:r>
            <w:r w:rsidRPr="00FC742B">
              <w:rPr>
                <w:rFonts w:ascii="Verdana" w:hAnsi="Verdana"/>
                <w:i/>
                <w:sz w:val="15"/>
                <w:szCs w:val="15"/>
              </w:rPr>
              <w:t>)</w:t>
            </w:r>
          </w:p>
        </w:tc>
      </w:tr>
    </w:tbl>
    <w:p w14:paraId="4BBC3C35" w14:textId="77777777" w:rsidR="006C22DE" w:rsidRDefault="006C22DE" w:rsidP="006C22DE">
      <w:pPr>
        <w:pStyle w:val="BodyText2"/>
        <w:spacing w:after="0" w:line="240" w:lineRule="auto"/>
        <w:rPr>
          <w:rFonts w:ascii="Verdana" w:hAnsi="Verdana"/>
          <w:sz w:val="15"/>
          <w:szCs w:val="15"/>
        </w:rPr>
      </w:pPr>
    </w:p>
    <w:p w14:paraId="0F5E8929" w14:textId="77777777" w:rsidR="006C22DE" w:rsidRDefault="006C22DE" w:rsidP="006C22DE">
      <w:pPr>
        <w:pStyle w:val="BodyText2"/>
        <w:spacing w:after="0" w:line="240" w:lineRule="auto"/>
        <w:rPr>
          <w:rFonts w:ascii="Verdana" w:hAnsi="Verdana"/>
          <w:sz w:val="15"/>
          <w:szCs w:val="15"/>
        </w:rPr>
      </w:pPr>
    </w:p>
    <w:p w14:paraId="38C09D72" w14:textId="77777777" w:rsidR="006C22DE" w:rsidRDefault="006C22DE" w:rsidP="006C22DE">
      <w:pPr>
        <w:pStyle w:val="BodyText2"/>
        <w:spacing w:after="0" w:line="240" w:lineRule="auto"/>
        <w:rPr>
          <w:rFonts w:ascii="Verdana" w:hAnsi="Verdana"/>
          <w:sz w:val="15"/>
          <w:szCs w:val="15"/>
        </w:rPr>
      </w:pPr>
    </w:p>
    <w:p w14:paraId="5064F70E" w14:textId="77777777" w:rsidR="006C22DE" w:rsidRDefault="006C22DE" w:rsidP="006C22DE">
      <w:pPr>
        <w:pStyle w:val="BodyText2"/>
        <w:spacing w:after="0" w:line="240" w:lineRule="auto"/>
        <w:rPr>
          <w:rFonts w:ascii="Verdana" w:hAnsi="Verdana"/>
          <w:sz w:val="15"/>
          <w:szCs w:val="15"/>
        </w:rPr>
      </w:pPr>
    </w:p>
    <w:p w14:paraId="4C66A95B" w14:textId="77777777" w:rsidR="006C22DE" w:rsidRDefault="006C22DE" w:rsidP="006C22DE">
      <w:pPr>
        <w:pStyle w:val="BodyText2"/>
        <w:spacing w:after="0" w:line="240" w:lineRule="auto"/>
        <w:rPr>
          <w:rFonts w:ascii="Verdana" w:hAnsi="Verdana"/>
          <w:sz w:val="15"/>
          <w:szCs w:val="15"/>
        </w:rPr>
      </w:pPr>
    </w:p>
    <w:p w14:paraId="197BD6A9" w14:textId="77777777" w:rsidR="006C22DE" w:rsidRDefault="006C22DE" w:rsidP="006C22DE">
      <w:pPr>
        <w:pStyle w:val="BodyText2"/>
        <w:spacing w:after="0" w:line="240" w:lineRule="auto"/>
        <w:rPr>
          <w:rFonts w:ascii="Verdana" w:hAnsi="Verdana"/>
          <w:sz w:val="15"/>
          <w:szCs w:val="15"/>
        </w:rPr>
      </w:pPr>
    </w:p>
    <w:p w14:paraId="3EE6D9A0" w14:textId="77777777" w:rsidR="006C22DE" w:rsidRDefault="006C22DE" w:rsidP="006C22DE">
      <w:pPr>
        <w:pStyle w:val="BodyText2"/>
        <w:spacing w:after="0" w:line="240" w:lineRule="auto"/>
        <w:rPr>
          <w:rFonts w:ascii="Verdana" w:hAnsi="Verdana"/>
          <w:sz w:val="15"/>
          <w:szCs w:val="15"/>
        </w:rPr>
      </w:pPr>
    </w:p>
    <w:p w14:paraId="3937ACDC" w14:textId="77777777" w:rsidR="006C22DE" w:rsidRDefault="006C22DE" w:rsidP="006C22DE">
      <w:pPr>
        <w:pStyle w:val="BodyText2"/>
        <w:spacing w:after="0" w:line="240" w:lineRule="auto"/>
        <w:rPr>
          <w:rFonts w:ascii="Verdana" w:hAnsi="Verdana"/>
          <w:sz w:val="15"/>
          <w:szCs w:val="15"/>
        </w:rPr>
      </w:pPr>
    </w:p>
    <w:p w14:paraId="27EF56AE" w14:textId="77777777" w:rsidR="006C22DE" w:rsidRDefault="006C22DE" w:rsidP="006C22DE">
      <w:pPr>
        <w:pStyle w:val="BodyText2"/>
        <w:spacing w:after="0" w:line="240" w:lineRule="auto"/>
        <w:rPr>
          <w:rFonts w:ascii="Verdana" w:hAnsi="Verdana"/>
          <w:sz w:val="15"/>
          <w:szCs w:val="15"/>
        </w:rPr>
      </w:pPr>
    </w:p>
    <w:p w14:paraId="23DD1420" w14:textId="77777777" w:rsidR="006C22DE" w:rsidRPr="00B81A28" w:rsidRDefault="006C22DE" w:rsidP="006C22DE">
      <w:pPr>
        <w:pStyle w:val="BodyText2"/>
        <w:spacing w:after="0" w:line="240" w:lineRule="auto"/>
        <w:rPr>
          <w:rFonts w:ascii="Verdana" w:hAnsi="Verdana"/>
          <w:sz w:val="15"/>
          <w:szCs w:val="15"/>
        </w:rPr>
      </w:pPr>
    </w:p>
    <w:p w14:paraId="7359CAF7" w14:textId="77777777" w:rsidR="006C22DE" w:rsidRPr="0015061A" w:rsidRDefault="006C22DE" w:rsidP="006C22DE">
      <w:pPr>
        <w:pBdr>
          <w:top w:val="single" w:sz="4" w:space="1" w:color="auto"/>
        </w:pBdr>
        <w:spacing w:after="0" w:line="240" w:lineRule="auto"/>
        <w:ind w:right="567"/>
        <w:rPr>
          <w:rFonts w:ascii="Verdana" w:hAnsi="Verdana"/>
          <w:sz w:val="14"/>
          <w:szCs w:val="14"/>
          <w:lang w:eastAsia="en-ZA"/>
        </w:rPr>
      </w:pPr>
      <w:r w:rsidRPr="0015061A">
        <w:rPr>
          <w:rFonts w:ascii="Verdana" w:hAnsi="Verdana"/>
          <w:b/>
          <w:i/>
          <w:color w:val="0F0D35"/>
          <w:sz w:val="14"/>
          <w:szCs w:val="14"/>
        </w:rPr>
        <w:t xml:space="preserve">Disclaimer: </w:t>
      </w:r>
      <w:r w:rsidRPr="0015061A">
        <w:rPr>
          <w:rFonts w:ascii="Verdana" w:hAnsi="Verdana"/>
          <w:color w:val="000000"/>
          <w:sz w:val="14"/>
          <w:szCs w:val="14"/>
          <w:shd w:val="clear" w:color="auto" w:fill="FFFFFF"/>
          <w:lang w:eastAsia="en-ZA"/>
        </w:rPr>
        <w:t>The Exchange Traded Products (ETPs) contained herein are mainly Collective Investment Schemes in Securities (CIS) and other listed securities which are generally medium to long-term investments that contain elements of risk and can be affected by market values, interest rates, exchange rates, volatility, dividend yields and issuer credit ratings. ETPs are listed on the Johannesburg, or other Stock Exchanges, and trade at ruling prices on such Exchanges.</w:t>
      </w:r>
    </w:p>
    <w:p w14:paraId="56CC6089" w14:textId="77777777" w:rsidR="006C22DE" w:rsidRPr="0015061A" w:rsidRDefault="006C22DE" w:rsidP="006C22DE">
      <w:pPr>
        <w:pBdr>
          <w:bottom w:val="single" w:sz="4" w:space="1" w:color="auto"/>
        </w:pBdr>
        <w:shd w:val="clear" w:color="auto" w:fill="FFFFFF"/>
        <w:spacing w:after="0" w:line="240" w:lineRule="auto"/>
        <w:ind w:right="567"/>
        <w:jc w:val="both"/>
        <w:rPr>
          <w:rFonts w:ascii="Verdana" w:hAnsi="Verdana"/>
          <w:color w:val="000000"/>
          <w:sz w:val="14"/>
          <w:szCs w:val="14"/>
          <w:lang w:eastAsia="en-ZA"/>
        </w:rPr>
      </w:pPr>
      <w:r w:rsidRPr="0015061A">
        <w:rPr>
          <w:rFonts w:ascii="Verdana" w:hAnsi="Verdana"/>
          <w:color w:val="000000"/>
          <w:sz w:val="14"/>
          <w:szCs w:val="14"/>
          <w:lang w:eastAsia="en-ZA"/>
        </w:rPr>
        <w:t>The price of ETPs can go up as well as down and past performance is not necessarily a guide to the future. The ETP's herein are listed on the Johannesburg Stock Exchange Limited and trading in ETP securities will incur trading and settlement costs. ETF securities are traded at ruling prices and can engage in scrip lending.</w:t>
      </w:r>
    </w:p>
    <w:p w14:paraId="79A05CE1" w14:textId="77777777" w:rsidR="006C22DE" w:rsidRPr="0015061A" w:rsidRDefault="006C22DE" w:rsidP="006C22DE">
      <w:pPr>
        <w:pBdr>
          <w:bottom w:val="single" w:sz="4" w:space="1" w:color="auto"/>
        </w:pBdr>
        <w:shd w:val="clear" w:color="auto" w:fill="FFFFFF"/>
        <w:spacing w:after="0" w:line="240" w:lineRule="auto"/>
        <w:ind w:right="567"/>
        <w:jc w:val="both"/>
        <w:rPr>
          <w:rFonts w:ascii="Verdana" w:hAnsi="Verdana"/>
          <w:color w:val="000000"/>
          <w:sz w:val="14"/>
          <w:szCs w:val="14"/>
          <w:lang w:eastAsia="en-ZA"/>
        </w:rPr>
      </w:pPr>
      <w:r w:rsidRPr="0015061A">
        <w:rPr>
          <w:rFonts w:ascii="Verdana" w:hAnsi="Verdana"/>
          <w:color w:val="000000"/>
          <w:sz w:val="14"/>
          <w:szCs w:val="14"/>
          <w:lang w:eastAsia="en-ZA"/>
        </w:rPr>
        <w:t>The information and opinions provided herein are of a general nature and do not constitute investment advice. Whilst every care has been taken, no representation, warranty or undertaking, expressed or implied, is given as to the accuracy or completeness thereof.</w:t>
      </w:r>
    </w:p>
    <w:p w14:paraId="18182046" w14:textId="77777777" w:rsidR="006C22DE" w:rsidRPr="0015061A" w:rsidRDefault="006C22DE" w:rsidP="006C22DE">
      <w:pPr>
        <w:pBdr>
          <w:bottom w:val="single" w:sz="4" w:space="1" w:color="auto"/>
        </w:pBdr>
        <w:shd w:val="clear" w:color="auto" w:fill="FFFFFF"/>
        <w:spacing w:after="0" w:line="240" w:lineRule="auto"/>
        <w:ind w:right="567"/>
        <w:jc w:val="both"/>
        <w:rPr>
          <w:rFonts w:ascii="Verdana" w:hAnsi="Verdana"/>
          <w:color w:val="000000"/>
          <w:sz w:val="14"/>
          <w:szCs w:val="14"/>
          <w:lang w:eastAsia="en-ZA"/>
        </w:rPr>
      </w:pPr>
      <w:r w:rsidRPr="0015061A">
        <w:rPr>
          <w:rFonts w:ascii="Verdana" w:hAnsi="Verdana"/>
          <w:color w:val="000000"/>
          <w:sz w:val="14"/>
          <w:szCs w:val="14"/>
          <w:lang w:eastAsia="en-ZA"/>
        </w:rPr>
        <w:t>etfSA.co.za is managed by M F Brown, who is a registered financial services provider (FSP No. 39217). M F Brown has Professional Indemnity Insurance as required by FAIS. The etfSA Investment Services Company (Pty) Ltd (FSP No 40107) provides asset management as well as financial intermediary and advice services. It uses Exchange Traded Products to construct portfolios for use in Retirement Annuity, Tax Free and Discretionary investments. It holds Professional Indemnity insurance and Fidelity Guarantee insurance as required by FAIS.</w:t>
      </w:r>
    </w:p>
    <w:p w14:paraId="709ACCB5" w14:textId="77777777" w:rsidR="006C22DE" w:rsidRPr="0015061A" w:rsidRDefault="006C22DE" w:rsidP="006C22DE">
      <w:pPr>
        <w:pBdr>
          <w:bottom w:val="single" w:sz="4" w:space="1" w:color="auto"/>
        </w:pBdr>
        <w:shd w:val="clear" w:color="auto" w:fill="FFFFFF"/>
        <w:spacing w:after="0" w:line="240" w:lineRule="auto"/>
        <w:ind w:right="567"/>
        <w:jc w:val="both"/>
        <w:rPr>
          <w:rFonts w:ascii="Verdana" w:hAnsi="Verdana"/>
          <w:sz w:val="14"/>
          <w:szCs w:val="14"/>
        </w:rPr>
      </w:pPr>
      <w:r w:rsidRPr="0015061A">
        <w:rPr>
          <w:rFonts w:ascii="Verdana" w:hAnsi="Verdana"/>
          <w:color w:val="000000"/>
          <w:sz w:val="14"/>
          <w:szCs w:val="14"/>
          <w:lang w:eastAsia="en-ZA"/>
        </w:rPr>
        <w:t>All opinions and information on this website may be changed at any time without notice. Redistribution, reproduction, the resale or transmission to any third party of the contents of this website, whether by email, newsletter, internet or website, is only possible with the written permission of etfSA. etfSA.co.za, its sponsors, administrators, contributors and product providers disclaim any liability for any loss, damage, or expense that might occur from the use of or reliance on the data and services provided through this website. etfSA.co.za® and etfSA The Home of Exchange Traded Funds® are registered trademarks in the Republic of South Africa.</w:t>
      </w:r>
    </w:p>
    <w:bookmarkEnd w:id="5"/>
    <w:bookmarkEnd w:id="6"/>
    <w:p w14:paraId="0D891842" w14:textId="2832F13B" w:rsidR="00EF16BE" w:rsidRPr="00B81A28" w:rsidRDefault="00EF16BE" w:rsidP="00EF16BE">
      <w:pPr>
        <w:spacing w:after="0" w:line="240" w:lineRule="auto"/>
        <w:rPr>
          <w:rFonts w:ascii="Verdana" w:hAnsi="Verdana"/>
          <w:sz w:val="16"/>
          <w:szCs w:val="16"/>
        </w:rPr>
      </w:pPr>
    </w:p>
    <w:sectPr w:rsidR="00EF16BE" w:rsidRPr="00B81A28" w:rsidSect="000B2FD6">
      <w:footerReference w:type="default" r:id="rId10"/>
      <w:pgSz w:w="16838" w:h="11906" w:orient="landscape" w:code="9"/>
      <w:pgMar w:top="567" w:right="851" w:bottom="567" w:left="454"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31381" w14:textId="77777777" w:rsidR="00CD466F" w:rsidRDefault="00CD466F">
      <w:pPr>
        <w:spacing w:after="0" w:line="240" w:lineRule="auto"/>
      </w:pPr>
      <w:r>
        <w:separator/>
      </w:r>
    </w:p>
  </w:endnote>
  <w:endnote w:type="continuationSeparator" w:id="0">
    <w:p w14:paraId="29FAE337" w14:textId="77777777" w:rsidR="00CD466F" w:rsidRDefault="00CD466F">
      <w:pPr>
        <w:spacing w:after="0" w:line="240" w:lineRule="auto"/>
      </w:pPr>
      <w:r>
        <w:continuationSeparator/>
      </w:r>
    </w:p>
  </w:endnote>
  <w:endnote w:type="continuationNotice" w:id="1">
    <w:p w14:paraId="1B5233D3" w14:textId="77777777" w:rsidR="00CD466F" w:rsidRDefault="00CD46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E5B13" w14:textId="5D7A59F2" w:rsidR="000B2FD6" w:rsidRPr="000E643A" w:rsidRDefault="000B2FD6" w:rsidP="009D6F66">
    <w:pPr>
      <w:pStyle w:val="Footer"/>
      <w:jc w:val="center"/>
      <w:rPr>
        <w:rFonts w:ascii="Verdana" w:hAnsi="Verdana"/>
        <w:sz w:val="20"/>
        <w:szCs w:val="20"/>
      </w:rPr>
    </w:pPr>
    <w:r w:rsidRPr="000E643A">
      <w:rPr>
        <w:rFonts w:ascii="Verdana" w:hAnsi="Verdana"/>
        <w:sz w:val="20"/>
        <w:szCs w:val="20"/>
      </w:rPr>
      <w:fldChar w:fldCharType="begin"/>
    </w:r>
    <w:r w:rsidRPr="000E643A">
      <w:rPr>
        <w:rFonts w:ascii="Verdana" w:hAnsi="Verdana"/>
        <w:sz w:val="20"/>
        <w:szCs w:val="20"/>
      </w:rPr>
      <w:instrText xml:space="preserve"> PAGE   \* MERGEFORMAT </w:instrText>
    </w:r>
    <w:r w:rsidRPr="000E643A">
      <w:rPr>
        <w:rFonts w:ascii="Verdana" w:hAnsi="Verdana"/>
        <w:sz w:val="20"/>
        <w:szCs w:val="20"/>
      </w:rPr>
      <w:fldChar w:fldCharType="separate"/>
    </w:r>
    <w:r>
      <w:rPr>
        <w:rFonts w:ascii="Verdana" w:hAnsi="Verdana"/>
        <w:noProof/>
        <w:sz w:val="20"/>
        <w:szCs w:val="20"/>
      </w:rPr>
      <w:t>1</w:t>
    </w:r>
    <w:r w:rsidRPr="000E643A">
      <w:rPr>
        <w:rFonts w:ascii="Verdana" w:hAnsi="Verdan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BADEC" w14:textId="77777777" w:rsidR="000B2FD6" w:rsidRDefault="000B2FD6" w:rsidP="000B2FD6">
    <w:pPr>
      <w:pStyle w:val="Footer"/>
      <w:jc w:val="center"/>
    </w:pPr>
    <w:r>
      <w:fldChar w:fldCharType="begin"/>
    </w:r>
    <w:r>
      <w:instrText xml:space="preserve"> PAGE   \* MERGEFORMAT </w:instrText>
    </w:r>
    <w:r>
      <w:fldChar w:fldCharType="separate"/>
    </w:r>
    <w:r>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62B001" w14:textId="77777777" w:rsidR="00CD466F" w:rsidRDefault="00CD466F">
      <w:pPr>
        <w:spacing w:after="0" w:line="240" w:lineRule="auto"/>
      </w:pPr>
      <w:r>
        <w:separator/>
      </w:r>
    </w:p>
  </w:footnote>
  <w:footnote w:type="continuationSeparator" w:id="0">
    <w:p w14:paraId="7205E361" w14:textId="77777777" w:rsidR="00CD466F" w:rsidRDefault="00CD466F">
      <w:pPr>
        <w:spacing w:after="0" w:line="240" w:lineRule="auto"/>
      </w:pPr>
      <w:r>
        <w:continuationSeparator/>
      </w:r>
    </w:p>
  </w:footnote>
  <w:footnote w:type="continuationNotice" w:id="1">
    <w:p w14:paraId="42FECB03" w14:textId="77777777" w:rsidR="00CD466F" w:rsidRDefault="00CD466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32CB9"/>
    <w:multiLevelType w:val="hybridMultilevel"/>
    <w:tmpl w:val="043827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4CF7D0E"/>
    <w:multiLevelType w:val="hybridMultilevel"/>
    <w:tmpl w:val="B7466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0E43C3"/>
    <w:multiLevelType w:val="hybridMultilevel"/>
    <w:tmpl w:val="AFBE9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9D1B63"/>
    <w:multiLevelType w:val="hybridMultilevel"/>
    <w:tmpl w:val="D5825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EF5657"/>
    <w:multiLevelType w:val="hybridMultilevel"/>
    <w:tmpl w:val="FC44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8C2"/>
    <w:rsid w:val="00000002"/>
    <w:rsid w:val="00000B5C"/>
    <w:rsid w:val="00001C11"/>
    <w:rsid w:val="00002A65"/>
    <w:rsid w:val="00002E78"/>
    <w:rsid w:val="00004449"/>
    <w:rsid w:val="00005213"/>
    <w:rsid w:val="000053FE"/>
    <w:rsid w:val="0000566B"/>
    <w:rsid w:val="000059C1"/>
    <w:rsid w:val="00007EE4"/>
    <w:rsid w:val="0001210A"/>
    <w:rsid w:val="0001213B"/>
    <w:rsid w:val="00012253"/>
    <w:rsid w:val="00012F14"/>
    <w:rsid w:val="0001470B"/>
    <w:rsid w:val="00015C7C"/>
    <w:rsid w:val="000162A0"/>
    <w:rsid w:val="000164B1"/>
    <w:rsid w:val="00016F20"/>
    <w:rsid w:val="00017518"/>
    <w:rsid w:val="00017678"/>
    <w:rsid w:val="00017C50"/>
    <w:rsid w:val="00020D6A"/>
    <w:rsid w:val="00020E51"/>
    <w:rsid w:val="0002139D"/>
    <w:rsid w:val="000216AF"/>
    <w:rsid w:val="000226AC"/>
    <w:rsid w:val="00022A9E"/>
    <w:rsid w:val="00022FB0"/>
    <w:rsid w:val="00023482"/>
    <w:rsid w:val="000245F8"/>
    <w:rsid w:val="000266F1"/>
    <w:rsid w:val="000267DB"/>
    <w:rsid w:val="00027875"/>
    <w:rsid w:val="0003150A"/>
    <w:rsid w:val="0003202F"/>
    <w:rsid w:val="00032320"/>
    <w:rsid w:val="00032872"/>
    <w:rsid w:val="0003298B"/>
    <w:rsid w:val="00032E68"/>
    <w:rsid w:val="00033094"/>
    <w:rsid w:val="00034689"/>
    <w:rsid w:val="00034AC6"/>
    <w:rsid w:val="00034F2E"/>
    <w:rsid w:val="000350DA"/>
    <w:rsid w:val="000355AC"/>
    <w:rsid w:val="000371E1"/>
    <w:rsid w:val="00037770"/>
    <w:rsid w:val="00037CC6"/>
    <w:rsid w:val="000408DA"/>
    <w:rsid w:val="000419BE"/>
    <w:rsid w:val="0004226E"/>
    <w:rsid w:val="000431AE"/>
    <w:rsid w:val="00045016"/>
    <w:rsid w:val="00045484"/>
    <w:rsid w:val="000461B1"/>
    <w:rsid w:val="00046703"/>
    <w:rsid w:val="00046BB7"/>
    <w:rsid w:val="00050652"/>
    <w:rsid w:val="000507BA"/>
    <w:rsid w:val="00050946"/>
    <w:rsid w:val="00051177"/>
    <w:rsid w:val="000516A6"/>
    <w:rsid w:val="000516BD"/>
    <w:rsid w:val="00051926"/>
    <w:rsid w:val="00052BAD"/>
    <w:rsid w:val="00052C58"/>
    <w:rsid w:val="000537F7"/>
    <w:rsid w:val="00053B5A"/>
    <w:rsid w:val="000542A0"/>
    <w:rsid w:val="000545F1"/>
    <w:rsid w:val="00054D23"/>
    <w:rsid w:val="0005590C"/>
    <w:rsid w:val="00057FBB"/>
    <w:rsid w:val="0006256D"/>
    <w:rsid w:val="00064779"/>
    <w:rsid w:val="00064E2B"/>
    <w:rsid w:val="00064E9C"/>
    <w:rsid w:val="000665A1"/>
    <w:rsid w:val="00066A15"/>
    <w:rsid w:val="000674F0"/>
    <w:rsid w:val="00070D1C"/>
    <w:rsid w:val="00073F54"/>
    <w:rsid w:val="00074D38"/>
    <w:rsid w:val="00075349"/>
    <w:rsid w:val="00075B0F"/>
    <w:rsid w:val="00075B58"/>
    <w:rsid w:val="000769D0"/>
    <w:rsid w:val="00076DAE"/>
    <w:rsid w:val="000772CD"/>
    <w:rsid w:val="00077397"/>
    <w:rsid w:val="00077EE5"/>
    <w:rsid w:val="00081234"/>
    <w:rsid w:val="0008168B"/>
    <w:rsid w:val="00083EEA"/>
    <w:rsid w:val="00085AD4"/>
    <w:rsid w:val="00085D45"/>
    <w:rsid w:val="00086728"/>
    <w:rsid w:val="00086D14"/>
    <w:rsid w:val="00090B72"/>
    <w:rsid w:val="00091CD5"/>
    <w:rsid w:val="000928ED"/>
    <w:rsid w:val="00093136"/>
    <w:rsid w:val="00094491"/>
    <w:rsid w:val="0009494A"/>
    <w:rsid w:val="00094D7B"/>
    <w:rsid w:val="00096269"/>
    <w:rsid w:val="00096B65"/>
    <w:rsid w:val="000976B1"/>
    <w:rsid w:val="000A01B6"/>
    <w:rsid w:val="000A073B"/>
    <w:rsid w:val="000A138E"/>
    <w:rsid w:val="000A1C87"/>
    <w:rsid w:val="000A225A"/>
    <w:rsid w:val="000A3C3A"/>
    <w:rsid w:val="000A3FD5"/>
    <w:rsid w:val="000A5913"/>
    <w:rsid w:val="000A5B3A"/>
    <w:rsid w:val="000A610F"/>
    <w:rsid w:val="000A7BCA"/>
    <w:rsid w:val="000A7DBE"/>
    <w:rsid w:val="000A7F4C"/>
    <w:rsid w:val="000B02F3"/>
    <w:rsid w:val="000B2714"/>
    <w:rsid w:val="000B2FD6"/>
    <w:rsid w:val="000B3385"/>
    <w:rsid w:val="000B4833"/>
    <w:rsid w:val="000B65AD"/>
    <w:rsid w:val="000B6604"/>
    <w:rsid w:val="000B6904"/>
    <w:rsid w:val="000B762E"/>
    <w:rsid w:val="000C0C6C"/>
    <w:rsid w:val="000C0FA1"/>
    <w:rsid w:val="000C2255"/>
    <w:rsid w:val="000C3675"/>
    <w:rsid w:val="000C38DE"/>
    <w:rsid w:val="000C4209"/>
    <w:rsid w:val="000C4FD3"/>
    <w:rsid w:val="000C5D49"/>
    <w:rsid w:val="000D0C2B"/>
    <w:rsid w:val="000D1527"/>
    <w:rsid w:val="000D1550"/>
    <w:rsid w:val="000D18E0"/>
    <w:rsid w:val="000D2236"/>
    <w:rsid w:val="000D22F3"/>
    <w:rsid w:val="000D34D3"/>
    <w:rsid w:val="000D3D84"/>
    <w:rsid w:val="000D538E"/>
    <w:rsid w:val="000D543C"/>
    <w:rsid w:val="000D5AAF"/>
    <w:rsid w:val="000D7725"/>
    <w:rsid w:val="000E1EBE"/>
    <w:rsid w:val="000E2BD0"/>
    <w:rsid w:val="000E322D"/>
    <w:rsid w:val="000E43DD"/>
    <w:rsid w:val="000E463F"/>
    <w:rsid w:val="000E4E35"/>
    <w:rsid w:val="000E51D0"/>
    <w:rsid w:val="000F00A4"/>
    <w:rsid w:val="000F03B3"/>
    <w:rsid w:val="000F0E33"/>
    <w:rsid w:val="000F0EEC"/>
    <w:rsid w:val="000F16A1"/>
    <w:rsid w:val="000F1A7C"/>
    <w:rsid w:val="000F4481"/>
    <w:rsid w:val="000F5164"/>
    <w:rsid w:val="000F5EAD"/>
    <w:rsid w:val="000F6FBA"/>
    <w:rsid w:val="000F70C4"/>
    <w:rsid w:val="000F7847"/>
    <w:rsid w:val="00100282"/>
    <w:rsid w:val="00101B92"/>
    <w:rsid w:val="0010285E"/>
    <w:rsid w:val="00102C42"/>
    <w:rsid w:val="00103507"/>
    <w:rsid w:val="001048C7"/>
    <w:rsid w:val="001053FF"/>
    <w:rsid w:val="00106203"/>
    <w:rsid w:val="00106B44"/>
    <w:rsid w:val="001070DB"/>
    <w:rsid w:val="0010791D"/>
    <w:rsid w:val="001100B5"/>
    <w:rsid w:val="0011080B"/>
    <w:rsid w:val="00110898"/>
    <w:rsid w:val="00110A0C"/>
    <w:rsid w:val="00110D45"/>
    <w:rsid w:val="001110F6"/>
    <w:rsid w:val="00111652"/>
    <w:rsid w:val="00111C5B"/>
    <w:rsid w:val="00111F10"/>
    <w:rsid w:val="00111FDC"/>
    <w:rsid w:val="001122AC"/>
    <w:rsid w:val="00112D90"/>
    <w:rsid w:val="00113CCA"/>
    <w:rsid w:val="001141F0"/>
    <w:rsid w:val="00115749"/>
    <w:rsid w:val="0011656F"/>
    <w:rsid w:val="00116714"/>
    <w:rsid w:val="001169EF"/>
    <w:rsid w:val="00116CFD"/>
    <w:rsid w:val="00116DC7"/>
    <w:rsid w:val="00117F06"/>
    <w:rsid w:val="001209A4"/>
    <w:rsid w:val="0012237B"/>
    <w:rsid w:val="001249B2"/>
    <w:rsid w:val="001265E2"/>
    <w:rsid w:val="00126AFC"/>
    <w:rsid w:val="00127EA3"/>
    <w:rsid w:val="001305E8"/>
    <w:rsid w:val="0013143F"/>
    <w:rsid w:val="0013215B"/>
    <w:rsid w:val="00133056"/>
    <w:rsid w:val="00133D96"/>
    <w:rsid w:val="001347C5"/>
    <w:rsid w:val="00134976"/>
    <w:rsid w:val="00134BC8"/>
    <w:rsid w:val="0013656D"/>
    <w:rsid w:val="001366F2"/>
    <w:rsid w:val="00141119"/>
    <w:rsid w:val="001412F8"/>
    <w:rsid w:val="00141761"/>
    <w:rsid w:val="001422F1"/>
    <w:rsid w:val="00142D23"/>
    <w:rsid w:val="001431DC"/>
    <w:rsid w:val="00143C95"/>
    <w:rsid w:val="00143F46"/>
    <w:rsid w:val="00146B64"/>
    <w:rsid w:val="001477D5"/>
    <w:rsid w:val="00150DD1"/>
    <w:rsid w:val="00151360"/>
    <w:rsid w:val="001517BA"/>
    <w:rsid w:val="00152411"/>
    <w:rsid w:val="00152425"/>
    <w:rsid w:val="001529BD"/>
    <w:rsid w:val="001530C3"/>
    <w:rsid w:val="00153C2D"/>
    <w:rsid w:val="001553EE"/>
    <w:rsid w:val="0015594B"/>
    <w:rsid w:val="00157885"/>
    <w:rsid w:val="0016131A"/>
    <w:rsid w:val="00161955"/>
    <w:rsid w:val="00161D46"/>
    <w:rsid w:val="001626BE"/>
    <w:rsid w:val="0016390F"/>
    <w:rsid w:val="001647F8"/>
    <w:rsid w:val="00165B6C"/>
    <w:rsid w:val="00167714"/>
    <w:rsid w:val="00170B38"/>
    <w:rsid w:val="00171D05"/>
    <w:rsid w:val="00172B86"/>
    <w:rsid w:val="00172F38"/>
    <w:rsid w:val="001732F3"/>
    <w:rsid w:val="00173455"/>
    <w:rsid w:val="001735CB"/>
    <w:rsid w:val="00173F02"/>
    <w:rsid w:val="00174116"/>
    <w:rsid w:val="00174925"/>
    <w:rsid w:val="00174B9D"/>
    <w:rsid w:val="001752B7"/>
    <w:rsid w:val="0017668C"/>
    <w:rsid w:val="00176D21"/>
    <w:rsid w:val="00177B23"/>
    <w:rsid w:val="00183178"/>
    <w:rsid w:val="00184532"/>
    <w:rsid w:val="00184827"/>
    <w:rsid w:val="00187301"/>
    <w:rsid w:val="001904F4"/>
    <w:rsid w:val="00191506"/>
    <w:rsid w:val="00193390"/>
    <w:rsid w:val="00194089"/>
    <w:rsid w:val="00195540"/>
    <w:rsid w:val="0019623B"/>
    <w:rsid w:val="00196518"/>
    <w:rsid w:val="00196A64"/>
    <w:rsid w:val="0019755E"/>
    <w:rsid w:val="00197C27"/>
    <w:rsid w:val="001A0A67"/>
    <w:rsid w:val="001A1568"/>
    <w:rsid w:val="001A198B"/>
    <w:rsid w:val="001A2584"/>
    <w:rsid w:val="001A352B"/>
    <w:rsid w:val="001A410D"/>
    <w:rsid w:val="001A65AA"/>
    <w:rsid w:val="001A6880"/>
    <w:rsid w:val="001A73A2"/>
    <w:rsid w:val="001A7471"/>
    <w:rsid w:val="001A7BE6"/>
    <w:rsid w:val="001B00E7"/>
    <w:rsid w:val="001B09BE"/>
    <w:rsid w:val="001B0F2E"/>
    <w:rsid w:val="001B1342"/>
    <w:rsid w:val="001B14DD"/>
    <w:rsid w:val="001B305F"/>
    <w:rsid w:val="001B3153"/>
    <w:rsid w:val="001B4A41"/>
    <w:rsid w:val="001B5538"/>
    <w:rsid w:val="001B57C2"/>
    <w:rsid w:val="001B7764"/>
    <w:rsid w:val="001B79C5"/>
    <w:rsid w:val="001B7F29"/>
    <w:rsid w:val="001B7FFC"/>
    <w:rsid w:val="001C0F98"/>
    <w:rsid w:val="001C21C3"/>
    <w:rsid w:val="001C2A0B"/>
    <w:rsid w:val="001C46CF"/>
    <w:rsid w:val="001C5234"/>
    <w:rsid w:val="001D016C"/>
    <w:rsid w:val="001D0CCD"/>
    <w:rsid w:val="001D0EE8"/>
    <w:rsid w:val="001D14D4"/>
    <w:rsid w:val="001D1E55"/>
    <w:rsid w:val="001D234E"/>
    <w:rsid w:val="001D30A9"/>
    <w:rsid w:val="001D3A32"/>
    <w:rsid w:val="001D3E1C"/>
    <w:rsid w:val="001D4149"/>
    <w:rsid w:val="001D494B"/>
    <w:rsid w:val="001D4B00"/>
    <w:rsid w:val="001D5021"/>
    <w:rsid w:val="001D56BE"/>
    <w:rsid w:val="001D60F7"/>
    <w:rsid w:val="001D66F5"/>
    <w:rsid w:val="001D6A85"/>
    <w:rsid w:val="001D6D25"/>
    <w:rsid w:val="001D78A3"/>
    <w:rsid w:val="001E0201"/>
    <w:rsid w:val="001E038E"/>
    <w:rsid w:val="001E16AC"/>
    <w:rsid w:val="001E1CCE"/>
    <w:rsid w:val="001E1D4D"/>
    <w:rsid w:val="001E222F"/>
    <w:rsid w:val="001E4D69"/>
    <w:rsid w:val="001E7383"/>
    <w:rsid w:val="001F0421"/>
    <w:rsid w:val="001F30D6"/>
    <w:rsid w:val="001F3AF6"/>
    <w:rsid w:val="001F4014"/>
    <w:rsid w:val="001F41D7"/>
    <w:rsid w:val="001F5210"/>
    <w:rsid w:val="001F5783"/>
    <w:rsid w:val="001F5B54"/>
    <w:rsid w:val="002002A7"/>
    <w:rsid w:val="0020095D"/>
    <w:rsid w:val="00200D21"/>
    <w:rsid w:val="00200E25"/>
    <w:rsid w:val="00201B4B"/>
    <w:rsid w:val="00202043"/>
    <w:rsid w:val="0020214D"/>
    <w:rsid w:val="002021B4"/>
    <w:rsid w:val="00202240"/>
    <w:rsid w:val="002030A6"/>
    <w:rsid w:val="00205516"/>
    <w:rsid w:val="00206499"/>
    <w:rsid w:val="00206FB4"/>
    <w:rsid w:val="002071F1"/>
    <w:rsid w:val="00211755"/>
    <w:rsid w:val="00211777"/>
    <w:rsid w:val="00212D6A"/>
    <w:rsid w:val="0021395E"/>
    <w:rsid w:val="002160D6"/>
    <w:rsid w:val="00217AE8"/>
    <w:rsid w:val="002218F2"/>
    <w:rsid w:val="00223CDD"/>
    <w:rsid w:val="00224204"/>
    <w:rsid w:val="0022496C"/>
    <w:rsid w:val="00224F19"/>
    <w:rsid w:val="00225310"/>
    <w:rsid w:val="002263DF"/>
    <w:rsid w:val="00226A54"/>
    <w:rsid w:val="0022723F"/>
    <w:rsid w:val="002315E2"/>
    <w:rsid w:val="00232328"/>
    <w:rsid w:val="00232B11"/>
    <w:rsid w:val="00232E52"/>
    <w:rsid w:val="0023426C"/>
    <w:rsid w:val="0023575D"/>
    <w:rsid w:val="00235F3A"/>
    <w:rsid w:val="0023609B"/>
    <w:rsid w:val="00236256"/>
    <w:rsid w:val="00236BDB"/>
    <w:rsid w:val="00236E40"/>
    <w:rsid w:val="00236EDE"/>
    <w:rsid w:val="002371D8"/>
    <w:rsid w:val="00241BD3"/>
    <w:rsid w:val="00241ECF"/>
    <w:rsid w:val="00243081"/>
    <w:rsid w:val="002431F5"/>
    <w:rsid w:val="00243D59"/>
    <w:rsid w:val="00244B48"/>
    <w:rsid w:val="00245098"/>
    <w:rsid w:val="00246C54"/>
    <w:rsid w:val="00247481"/>
    <w:rsid w:val="00247C23"/>
    <w:rsid w:val="002508FA"/>
    <w:rsid w:val="00251179"/>
    <w:rsid w:val="00251912"/>
    <w:rsid w:val="00252077"/>
    <w:rsid w:val="00253647"/>
    <w:rsid w:val="00253D55"/>
    <w:rsid w:val="002559BC"/>
    <w:rsid w:val="00257351"/>
    <w:rsid w:val="00257A56"/>
    <w:rsid w:val="002602E4"/>
    <w:rsid w:val="00260A82"/>
    <w:rsid w:val="00260DAF"/>
    <w:rsid w:val="002616C8"/>
    <w:rsid w:val="00261F82"/>
    <w:rsid w:val="00262FE6"/>
    <w:rsid w:val="002631CF"/>
    <w:rsid w:val="002639CF"/>
    <w:rsid w:val="002642E4"/>
    <w:rsid w:val="0026444B"/>
    <w:rsid w:val="00265497"/>
    <w:rsid w:val="00265C03"/>
    <w:rsid w:val="002661A1"/>
    <w:rsid w:val="002671E3"/>
    <w:rsid w:val="00267FC4"/>
    <w:rsid w:val="00270CC2"/>
    <w:rsid w:val="00272F22"/>
    <w:rsid w:val="00273D7B"/>
    <w:rsid w:val="00274B0F"/>
    <w:rsid w:val="00275B9E"/>
    <w:rsid w:val="00276D87"/>
    <w:rsid w:val="00281358"/>
    <w:rsid w:val="002814EC"/>
    <w:rsid w:val="0028202B"/>
    <w:rsid w:val="00282414"/>
    <w:rsid w:val="00283BE8"/>
    <w:rsid w:val="00287B4E"/>
    <w:rsid w:val="00287F17"/>
    <w:rsid w:val="00287F6E"/>
    <w:rsid w:val="00290585"/>
    <w:rsid w:val="00290C7D"/>
    <w:rsid w:val="00291F5F"/>
    <w:rsid w:val="00292091"/>
    <w:rsid w:val="0029255F"/>
    <w:rsid w:val="002926AE"/>
    <w:rsid w:val="00293511"/>
    <w:rsid w:val="00293F99"/>
    <w:rsid w:val="00294176"/>
    <w:rsid w:val="00295A6F"/>
    <w:rsid w:val="00296763"/>
    <w:rsid w:val="00296BCF"/>
    <w:rsid w:val="00296C17"/>
    <w:rsid w:val="002979DF"/>
    <w:rsid w:val="002A014D"/>
    <w:rsid w:val="002A05AB"/>
    <w:rsid w:val="002A0875"/>
    <w:rsid w:val="002A1604"/>
    <w:rsid w:val="002A1A42"/>
    <w:rsid w:val="002A1E35"/>
    <w:rsid w:val="002A2387"/>
    <w:rsid w:val="002A2DE7"/>
    <w:rsid w:val="002A3D46"/>
    <w:rsid w:val="002A4C83"/>
    <w:rsid w:val="002A5BB8"/>
    <w:rsid w:val="002A60F2"/>
    <w:rsid w:val="002A6107"/>
    <w:rsid w:val="002A6DDB"/>
    <w:rsid w:val="002A7AE1"/>
    <w:rsid w:val="002B0188"/>
    <w:rsid w:val="002B119C"/>
    <w:rsid w:val="002B1A42"/>
    <w:rsid w:val="002B1ACA"/>
    <w:rsid w:val="002B392A"/>
    <w:rsid w:val="002B46BB"/>
    <w:rsid w:val="002B46CC"/>
    <w:rsid w:val="002B4C37"/>
    <w:rsid w:val="002B4FA2"/>
    <w:rsid w:val="002B5A98"/>
    <w:rsid w:val="002B5EEF"/>
    <w:rsid w:val="002B7589"/>
    <w:rsid w:val="002B7668"/>
    <w:rsid w:val="002B7817"/>
    <w:rsid w:val="002B7E78"/>
    <w:rsid w:val="002C0B33"/>
    <w:rsid w:val="002C105D"/>
    <w:rsid w:val="002C2E4C"/>
    <w:rsid w:val="002C3130"/>
    <w:rsid w:val="002C3B26"/>
    <w:rsid w:val="002C455E"/>
    <w:rsid w:val="002C4AFD"/>
    <w:rsid w:val="002C5068"/>
    <w:rsid w:val="002C54B1"/>
    <w:rsid w:val="002C5D2D"/>
    <w:rsid w:val="002C6CD1"/>
    <w:rsid w:val="002C726B"/>
    <w:rsid w:val="002D039B"/>
    <w:rsid w:val="002D256E"/>
    <w:rsid w:val="002D3681"/>
    <w:rsid w:val="002D3D09"/>
    <w:rsid w:val="002D5AB3"/>
    <w:rsid w:val="002E09B3"/>
    <w:rsid w:val="002E0AB7"/>
    <w:rsid w:val="002E22C6"/>
    <w:rsid w:val="002E2E18"/>
    <w:rsid w:val="002E37FB"/>
    <w:rsid w:val="002E3E15"/>
    <w:rsid w:val="002E4309"/>
    <w:rsid w:val="002E4863"/>
    <w:rsid w:val="002E69D1"/>
    <w:rsid w:val="002E7004"/>
    <w:rsid w:val="002F0609"/>
    <w:rsid w:val="002F06A1"/>
    <w:rsid w:val="002F10CA"/>
    <w:rsid w:val="002F1904"/>
    <w:rsid w:val="002F23D3"/>
    <w:rsid w:val="002F2464"/>
    <w:rsid w:val="002F266F"/>
    <w:rsid w:val="002F2EA1"/>
    <w:rsid w:val="002F3ACE"/>
    <w:rsid w:val="002F3E64"/>
    <w:rsid w:val="002F5DEB"/>
    <w:rsid w:val="002F62C9"/>
    <w:rsid w:val="002F6AC6"/>
    <w:rsid w:val="002F6B02"/>
    <w:rsid w:val="002F7FB8"/>
    <w:rsid w:val="003003F6"/>
    <w:rsid w:val="00300466"/>
    <w:rsid w:val="003007D0"/>
    <w:rsid w:val="003013DE"/>
    <w:rsid w:val="003013F0"/>
    <w:rsid w:val="00301C70"/>
    <w:rsid w:val="00302ECA"/>
    <w:rsid w:val="00303316"/>
    <w:rsid w:val="00303600"/>
    <w:rsid w:val="00303852"/>
    <w:rsid w:val="00303DDC"/>
    <w:rsid w:val="00303F22"/>
    <w:rsid w:val="003046FC"/>
    <w:rsid w:val="00310563"/>
    <w:rsid w:val="00312132"/>
    <w:rsid w:val="0031293E"/>
    <w:rsid w:val="00313765"/>
    <w:rsid w:val="00313DA1"/>
    <w:rsid w:val="003141B1"/>
    <w:rsid w:val="00314EC9"/>
    <w:rsid w:val="00315A22"/>
    <w:rsid w:val="0031759E"/>
    <w:rsid w:val="003210EB"/>
    <w:rsid w:val="0032178C"/>
    <w:rsid w:val="00321839"/>
    <w:rsid w:val="003221E5"/>
    <w:rsid w:val="00322A18"/>
    <w:rsid w:val="003237D9"/>
    <w:rsid w:val="00323D0A"/>
    <w:rsid w:val="00323DF1"/>
    <w:rsid w:val="00326CB0"/>
    <w:rsid w:val="00327332"/>
    <w:rsid w:val="003275AF"/>
    <w:rsid w:val="00327BF9"/>
    <w:rsid w:val="00330E18"/>
    <w:rsid w:val="00331296"/>
    <w:rsid w:val="003314E8"/>
    <w:rsid w:val="00331AE1"/>
    <w:rsid w:val="00331C8A"/>
    <w:rsid w:val="00332CB1"/>
    <w:rsid w:val="003334D9"/>
    <w:rsid w:val="00333A81"/>
    <w:rsid w:val="003346DF"/>
    <w:rsid w:val="00335B66"/>
    <w:rsid w:val="00335E45"/>
    <w:rsid w:val="00336468"/>
    <w:rsid w:val="003367FE"/>
    <w:rsid w:val="00340142"/>
    <w:rsid w:val="00341819"/>
    <w:rsid w:val="00341C5B"/>
    <w:rsid w:val="00342E4F"/>
    <w:rsid w:val="0034464C"/>
    <w:rsid w:val="00344C04"/>
    <w:rsid w:val="00345C8A"/>
    <w:rsid w:val="00346295"/>
    <w:rsid w:val="00346C37"/>
    <w:rsid w:val="003476DD"/>
    <w:rsid w:val="00351CD6"/>
    <w:rsid w:val="003522EB"/>
    <w:rsid w:val="0035519C"/>
    <w:rsid w:val="00357F6C"/>
    <w:rsid w:val="0036056F"/>
    <w:rsid w:val="0036191F"/>
    <w:rsid w:val="003619F7"/>
    <w:rsid w:val="00362C04"/>
    <w:rsid w:val="003643ED"/>
    <w:rsid w:val="003655D0"/>
    <w:rsid w:val="00365C9F"/>
    <w:rsid w:val="00365F35"/>
    <w:rsid w:val="003700F1"/>
    <w:rsid w:val="00370222"/>
    <w:rsid w:val="00371EE8"/>
    <w:rsid w:val="003731D7"/>
    <w:rsid w:val="003737A6"/>
    <w:rsid w:val="0037422F"/>
    <w:rsid w:val="0037467E"/>
    <w:rsid w:val="003761C2"/>
    <w:rsid w:val="0038020F"/>
    <w:rsid w:val="00380411"/>
    <w:rsid w:val="003804C3"/>
    <w:rsid w:val="00380DAC"/>
    <w:rsid w:val="00380F0F"/>
    <w:rsid w:val="0038172D"/>
    <w:rsid w:val="00382579"/>
    <w:rsid w:val="00382F4F"/>
    <w:rsid w:val="003839E4"/>
    <w:rsid w:val="00383D2D"/>
    <w:rsid w:val="00383E89"/>
    <w:rsid w:val="00383F2F"/>
    <w:rsid w:val="00384FC5"/>
    <w:rsid w:val="00385D9F"/>
    <w:rsid w:val="0038641F"/>
    <w:rsid w:val="00386547"/>
    <w:rsid w:val="00386551"/>
    <w:rsid w:val="003873E8"/>
    <w:rsid w:val="00387893"/>
    <w:rsid w:val="003906A1"/>
    <w:rsid w:val="00390C48"/>
    <w:rsid w:val="00390CDF"/>
    <w:rsid w:val="0039176D"/>
    <w:rsid w:val="00391FC7"/>
    <w:rsid w:val="00392B5B"/>
    <w:rsid w:val="00392DCA"/>
    <w:rsid w:val="00392ED2"/>
    <w:rsid w:val="00393EEB"/>
    <w:rsid w:val="0039505B"/>
    <w:rsid w:val="003A095F"/>
    <w:rsid w:val="003A1757"/>
    <w:rsid w:val="003A1AA5"/>
    <w:rsid w:val="003A1C29"/>
    <w:rsid w:val="003A1D02"/>
    <w:rsid w:val="003A3459"/>
    <w:rsid w:val="003A42C8"/>
    <w:rsid w:val="003A75F0"/>
    <w:rsid w:val="003B175D"/>
    <w:rsid w:val="003B29B3"/>
    <w:rsid w:val="003B33C2"/>
    <w:rsid w:val="003B401C"/>
    <w:rsid w:val="003B4418"/>
    <w:rsid w:val="003B5EF2"/>
    <w:rsid w:val="003B6289"/>
    <w:rsid w:val="003B674F"/>
    <w:rsid w:val="003B7570"/>
    <w:rsid w:val="003B7C18"/>
    <w:rsid w:val="003B7C86"/>
    <w:rsid w:val="003C04A0"/>
    <w:rsid w:val="003C0523"/>
    <w:rsid w:val="003C0F03"/>
    <w:rsid w:val="003C155E"/>
    <w:rsid w:val="003C285B"/>
    <w:rsid w:val="003C28EB"/>
    <w:rsid w:val="003C4A8C"/>
    <w:rsid w:val="003C661C"/>
    <w:rsid w:val="003C7FA5"/>
    <w:rsid w:val="003D0DE6"/>
    <w:rsid w:val="003D1B30"/>
    <w:rsid w:val="003D1D70"/>
    <w:rsid w:val="003D1E0A"/>
    <w:rsid w:val="003D2311"/>
    <w:rsid w:val="003D552F"/>
    <w:rsid w:val="003D56E7"/>
    <w:rsid w:val="003D5875"/>
    <w:rsid w:val="003D66ED"/>
    <w:rsid w:val="003E24C0"/>
    <w:rsid w:val="003E3D3E"/>
    <w:rsid w:val="003E4028"/>
    <w:rsid w:val="003E560F"/>
    <w:rsid w:val="003E6C10"/>
    <w:rsid w:val="003E7271"/>
    <w:rsid w:val="003E73E8"/>
    <w:rsid w:val="003F104F"/>
    <w:rsid w:val="003F1531"/>
    <w:rsid w:val="003F188D"/>
    <w:rsid w:val="003F2B99"/>
    <w:rsid w:val="003F33D4"/>
    <w:rsid w:val="003F45BB"/>
    <w:rsid w:val="003F467C"/>
    <w:rsid w:val="003F63C2"/>
    <w:rsid w:val="003F6ED8"/>
    <w:rsid w:val="003F7D5D"/>
    <w:rsid w:val="00400144"/>
    <w:rsid w:val="00400535"/>
    <w:rsid w:val="00400DEF"/>
    <w:rsid w:val="004018C4"/>
    <w:rsid w:val="004023D8"/>
    <w:rsid w:val="00403464"/>
    <w:rsid w:val="004037EE"/>
    <w:rsid w:val="00405D89"/>
    <w:rsid w:val="00406E32"/>
    <w:rsid w:val="00410D81"/>
    <w:rsid w:val="00410FD0"/>
    <w:rsid w:val="00412981"/>
    <w:rsid w:val="00413C94"/>
    <w:rsid w:val="00414C25"/>
    <w:rsid w:val="00420163"/>
    <w:rsid w:val="004217C4"/>
    <w:rsid w:val="00421F1C"/>
    <w:rsid w:val="00425E65"/>
    <w:rsid w:val="004261C5"/>
    <w:rsid w:val="004262AE"/>
    <w:rsid w:val="004272AA"/>
    <w:rsid w:val="00427AFF"/>
    <w:rsid w:val="00433F03"/>
    <w:rsid w:val="004356A6"/>
    <w:rsid w:val="004364E4"/>
    <w:rsid w:val="00436A33"/>
    <w:rsid w:val="00440A5C"/>
    <w:rsid w:val="00440B25"/>
    <w:rsid w:val="00440D2D"/>
    <w:rsid w:val="00440F74"/>
    <w:rsid w:val="004429EE"/>
    <w:rsid w:val="0044319E"/>
    <w:rsid w:val="00443C28"/>
    <w:rsid w:val="00443C97"/>
    <w:rsid w:val="00444919"/>
    <w:rsid w:val="0044563E"/>
    <w:rsid w:val="0044631B"/>
    <w:rsid w:val="00446517"/>
    <w:rsid w:val="004469A1"/>
    <w:rsid w:val="00447140"/>
    <w:rsid w:val="004474AA"/>
    <w:rsid w:val="00447E80"/>
    <w:rsid w:val="00447F35"/>
    <w:rsid w:val="004513B0"/>
    <w:rsid w:val="004520BF"/>
    <w:rsid w:val="00452525"/>
    <w:rsid w:val="004528D3"/>
    <w:rsid w:val="00452BD1"/>
    <w:rsid w:val="00452E73"/>
    <w:rsid w:val="004532B4"/>
    <w:rsid w:val="004540AB"/>
    <w:rsid w:val="00454970"/>
    <w:rsid w:val="004563FA"/>
    <w:rsid w:val="004573A0"/>
    <w:rsid w:val="00460B3E"/>
    <w:rsid w:val="004611DD"/>
    <w:rsid w:val="00461F57"/>
    <w:rsid w:val="00463637"/>
    <w:rsid w:val="004639ED"/>
    <w:rsid w:val="004652A4"/>
    <w:rsid w:val="00466BBF"/>
    <w:rsid w:val="00466FBA"/>
    <w:rsid w:val="004675AA"/>
    <w:rsid w:val="00470AC6"/>
    <w:rsid w:val="00471C6F"/>
    <w:rsid w:val="00471DA4"/>
    <w:rsid w:val="0047280F"/>
    <w:rsid w:val="00475EF4"/>
    <w:rsid w:val="00476728"/>
    <w:rsid w:val="004767AB"/>
    <w:rsid w:val="00476CDA"/>
    <w:rsid w:val="0048292C"/>
    <w:rsid w:val="004830DF"/>
    <w:rsid w:val="00483DCB"/>
    <w:rsid w:val="00484EC5"/>
    <w:rsid w:val="00484F73"/>
    <w:rsid w:val="00485528"/>
    <w:rsid w:val="00486AC8"/>
    <w:rsid w:val="00487297"/>
    <w:rsid w:val="004872BD"/>
    <w:rsid w:val="004905C3"/>
    <w:rsid w:val="00490B70"/>
    <w:rsid w:val="00490E0D"/>
    <w:rsid w:val="00491BF5"/>
    <w:rsid w:val="00493012"/>
    <w:rsid w:val="00494488"/>
    <w:rsid w:val="00494859"/>
    <w:rsid w:val="004969CE"/>
    <w:rsid w:val="00496B90"/>
    <w:rsid w:val="004A190D"/>
    <w:rsid w:val="004A2054"/>
    <w:rsid w:val="004A3F39"/>
    <w:rsid w:val="004A4C68"/>
    <w:rsid w:val="004A5068"/>
    <w:rsid w:val="004A5666"/>
    <w:rsid w:val="004A7444"/>
    <w:rsid w:val="004B1A20"/>
    <w:rsid w:val="004B1D7C"/>
    <w:rsid w:val="004B2049"/>
    <w:rsid w:val="004B2F2D"/>
    <w:rsid w:val="004B563F"/>
    <w:rsid w:val="004B5945"/>
    <w:rsid w:val="004B7EC3"/>
    <w:rsid w:val="004B7F2C"/>
    <w:rsid w:val="004C11EB"/>
    <w:rsid w:val="004C1EAA"/>
    <w:rsid w:val="004C1F2F"/>
    <w:rsid w:val="004C3166"/>
    <w:rsid w:val="004C3555"/>
    <w:rsid w:val="004C39A8"/>
    <w:rsid w:val="004C3CE1"/>
    <w:rsid w:val="004C45BF"/>
    <w:rsid w:val="004C5E99"/>
    <w:rsid w:val="004D108A"/>
    <w:rsid w:val="004D28D3"/>
    <w:rsid w:val="004D43A9"/>
    <w:rsid w:val="004D47C7"/>
    <w:rsid w:val="004D6242"/>
    <w:rsid w:val="004D740C"/>
    <w:rsid w:val="004D76CC"/>
    <w:rsid w:val="004D7EB5"/>
    <w:rsid w:val="004E2A1A"/>
    <w:rsid w:val="004E3C93"/>
    <w:rsid w:val="004E4D0D"/>
    <w:rsid w:val="004E5B03"/>
    <w:rsid w:val="004E6342"/>
    <w:rsid w:val="004E7229"/>
    <w:rsid w:val="004E72A2"/>
    <w:rsid w:val="004F00AB"/>
    <w:rsid w:val="004F0A4B"/>
    <w:rsid w:val="004F1AED"/>
    <w:rsid w:val="004F2946"/>
    <w:rsid w:val="004F2A55"/>
    <w:rsid w:val="004F2DAA"/>
    <w:rsid w:val="004F2EE9"/>
    <w:rsid w:val="004F35C5"/>
    <w:rsid w:val="004F397D"/>
    <w:rsid w:val="004F3A82"/>
    <w:rsid w:val="004F6A60"/>
    <w:rsid w:val="004F6E23"/>
    <w:rsid w:val="004F78B7"/>
    <w:rsid w:val="004F7DBF"/>
    <w:rsid w:val="00500268"/>
    <w:rsid w:val="00500F8E"/>
    <w:rsid w:val="0050303F"/>
    <w:rsid w:val="005037C1"/>
    <w:rsid w:val="00503DFD"/>
    <w:rsid w:val="00504CDB"/>
    <w:rsid w:val="00506FB1"/>
    <w:rsid w:val="005112C3"/>
    <w:rsid w:val="00512BC3"/>
    <w:rsid w:val="00513ACC"/>
    <w:rsid w:val="005147B3"/>
    <w:rsid w:val="005159D2"/>
    <w:rsid w:val="005165D4"/>
    <w:rsid w:val="0051698C"/>
    <w:rsid w:val="00516D00"/>
    <w:rsid w:val="00520140"/>
    <w:rsid w:val="00521688"/>
    <w:rsid w:val="00521DEF"/>
    <w:rsid w:val="00522143"/>
    <w:rsid w:val="005244BF"/>
    <w:rsid w:val="005244EE"/>
    <w:rsid w:val="00524C86"/>
    <w:rsid w:val="005266BA"/>
    <w:rsid w:val="00527637"/>
    <w:rsid w:val="00527B41"/>
    <w:rsid w:val="00531001"/>
    <w:rsid w:val="00531FDD"/>
    <w:rsid w:val="005324A9"/>
    <w:rsid w:val="00532954"/>
    <w:rsid w:val="005329AD"/>
    <w:rsid w:val="0053368F"/>
    <w:rsid w:val="00533927"/>
    <w:rsid w:val="00535956"/>
    <w:rsid w:val="00535AD6"/>
    <w:rsid w:val="00536D68"/>
    <w:rsid w:val="0053736D"/>
    <w:rsid w:val="005374D0"/>
    <w:rsid w:val="00537712"/>
    <w:rsid w:val="00537B4E"/>
    <w:rsid w:val="00537D14"/>
    <w:rsid w:val="00540932"/>
    <w:rsid w:val="00541B94"/>
    <w:rsid w:val="00541CD2"/>
    <w:rsid w:val="00542089"/>
    <w:rsid w:val="005420A9"/>
    <w:rsid w:val="005426B8"/>
    <w:rsid w:val="00542996"/>
    <w:rsid w:val="00543E85"/>
    <w:rsid w:val="00544491"/>
    <w:rsid w:val="00545F9D"/>
    <w:rsid w:val="00545FC5"/>
    <w:rsid w:val="005466AD"/>
    <w:rsid w:val="00546815"/>
    <w:rsid w:val="00547B42"/>
    <w:rsid w:val="005502A8"/>
    <w:rsid w:val="00551C0F"/>
    <w:rsid w:val="0055282E"/>
    <w:rsid w:val="00552A16"/>
    <w:rsid w:val="00552FC7"/>
    <w:rsid w:val="005530F5"/>
    <w:rsid w:val="00553F0E"/>
    <w:rsid w:val="00554058"/>
    <w:rsid w:val="00554AEF"/>
    <w:rsid w:val="00555003"/>
    <w:rsid w:val="005556C2"/>
    <w:rsid w:val="00555CBD"/>
    <w:rsid w:val="00556CB1"/>
    <w:rsid w:val="005572B6"/>
    <w:rsid w:val="00557888"/>
    <w:rsid w:val="005578EE"/>
    <w:rsid w:val="0056034D"/>
    <w:rsid w:val="00560BF6"/>
    <w:rsid w:val="00561F77"/>
    <w:rsid w:val="00561F9A"/>
    <w:rsid w:val="005632C8"/>
    <w:rsid w:val="00564A95"/>
    <w:rsid w:val="00564B2C"/>
    <w:rsid w:val="005650F7"/>
    <w:rsid w:val="005719EA"/>
    <w:rsid w:val="00571D9E"/>
    <w:rsid w:val="00573EFB"/>
    <w:rsid w:val="0057405E"/>
    <w:rsid w:val="0057580E"/>
    <w:rsid w:val="005765B6"/>
    <w:rsid w:val="00576B44"/>
    <w:rsid w:val="0058197F"/>
    <w:rsid w:val="00582FEE"/>
    <w:rsid w:val="00583496"/>
    <w:rsid w:val="0058373A"/>
    <w:rsid w:val="005844E7"/>
    <w:rsid w:val="0058488A"/>
    <w:rsid w:val="00584E07"/>
    <w:rsid w:val="00586B17"/>
    <w:rsid w:val="00586E39"/>
    <w:rsid w:val="00587729"/>
    <w:rsid w:val="00590EC5"/>
    <w:rsid w:val="00591B98"/>
    <w:rsid w:val="00592851"/>
    <w:rsid w:val="00592CC7"/>
    <w:rsid w:val="005932AD"/>
    <w:rsid w:val="00593BF3"/>
    <w:rsid w:val="00597059"/>
    <w:rsid w:val="005973AF"/>
    <w:rsid w:val="005A09D3"/>
    <w:rsid w:val="005A0EE8"/>
    <w:rsid w:val="005A173A"/>
    <w:rsid w:val="005A1A47"/>
    <w:rsid w:val="005A3C33"/>
    <w:rsid w:val="005A4428"/>
    <w:rsid w:val="005A46B5"/>
    <w:rsid w:val="005A545A"/>
    <w:rsid w:val="005A6474"/>
    <w:rsid w:val="005A758C"/>
    <w:rsid w:val="005A7E70"/>
    <w:rsid w:val="005B0727"/>
    <w:rsid w:val="005B07E2"/>
    <w:rsid w:val="005B0EA1"/>
    <w:rsid w:val="005B0FE4"/>
    <w:rsid w:val="005B1265"/>
    <w:rsid w:val="005B2D03"/>
    <w:rsid w:val="005B35EB"/>
    <w:rsid w:val="005B49D9"/>
    <w:rsid w:val="005B4E6C"/>
    <w:rsid w:val="005B5271"/>
    <w:rsid w:val="005B5CC0"/>
    <w:rsid w:val="005C1940"/>
    <w:rsid w:val="005C23B4"/>
    <w:rsid w:val="005C26CB"/>
    <w:rsid w:val="005C2F9B"/>
    <w:rsid w:val="005C533F"/>
    <w:rsid w:val="005C5A84"/>
    <w:rsid w:val="005C7EC0"/>
    <w:rsid w:val="005D13EA"/>
    <w:rsid w:val="005D1583"/>
    <w:rsid w:val="005D21C8"/>
    <w:rsid w:val="005D2611"/>
    <w:rsid w:val="005D2F43"/>
    <w:rsid w:val="005D3262"/>
    <w:rsid w:val="005D3DD7"/>
    <w:rsid w:val="005D4900"/>
    <w:rsid w:val="005D4F80"/>
    <w:rsid w:val="005D5373"/>
    <w:rsid w:val="005D565C"/>
    <w:rsid w:val="005D588C"/>
    <w:rsid w:val="005D5927"/>
    <w:rsid w:val="005D5AA4"/>
    <w:rsid w:val="005E0025"/>
    <w:rsid w:val="005E03ED"/>
    <w:rsid w:val="005E0B21"/>
    <w:rsid w:val="005E0C8E"/>
    <w:rsid w:val="005E1064"/>
    <w:rsid w:val="005E19E1"/>
    <w:rsid w:val="005E22C2"/>
    <w:rsid w:val="005E3964"/>
    <w:rsid w:val="005E3A36"/>
    <w:rsid w:val="005E43C6"/>
    <w:rsid w:val="005E4ED2"/>
    <w:rsid w:val="005E525F"/>
    <w:rsid w:val="005E53D2"/>
    <w:rsid w:val="005E59E1"/>
    <w:rsid w:val="005E5A97"/>
    <w:rsid w:val="005E6B49"/>
    <w:rsid w:val="005E75DE"/>
    <w:rsid w:val="005E7823"/>
    <w:rsid w:val="005E7AB0"/>
    <w:rsid w:val="005F0330"/>
    <w:rsid w:val="005F04FF"/>
    <w:rsid w:val="005F077D"/>
    <w:rsid w:val="005F08B8"/>
    <w:rsid w:val="005F09E3"/>
    <w:rsid w:val="005F0CD6"/>
    <w:rsid w:val="005F0DA5"/>
    <w:rsid w:val="005F0FF3"/>
    <w:rsid w:val="005F1467"/>
    <w:rsid w:val="005F1825"/>
    <w:rsid w:val="005F1E80"/>
    <w:rsid w:val="005F2361"/>
    <w:rsid w:val="005F38A5"/>
    <w:rsid w:val="005F46B0"/>
    <w:rsid w:val="005F48B2"/>
    <w:rsid w:val="005F6BCB"/>
    <w:rsid w:val="0060068C"/>
    <w:rsid w:val="006006EA"/>
    <w:rsid w:val="0060106F"/>
    <w:rsid w:val="0060108C"/>
    <w:rsid w:val="006014B8"/>
    <w:rsid w:val="00603CB8"/>
    <w:rsid w:val="006041EE"/>
    <w:rsid w:val="00605B57"/>
    <w:rsid w:val="00610DEA"/>
    <w:rsid w:val="0061117A"/>
    <w:rsid w:val="006114F6"/>
    <w:rsid w:val="00611BC1"/>
    <w:rsid w:val="006121BD"/>
    <w:rsid w:val="00612B7A"/>
    <w:rsid w:val="00613320"/>
    <w:rsid w:val="0061409B"/>
    <w:rsid w:val="006143E3"/>
    <w:rsid w:val="006144FD"/>
    <w:rsid w:val="0061458E"/>
    <w:rsid w:val="00614CF5"/>
    <w:rsid w:val="006177E2"/>
    <w:rsid w:val="00617AFA"/>
    <w:rsid w:val="00617D5D"/>
    <w:rsid w:val="00621A1B"/>
    <w:rsid w:val="00621DFE"/>
    <w:rsid w:val="006229FF"/>
    <w:rsid w:val="006232B3"/>
    <w:rsid w:val="00623323"/>
    <w:rsid w:val="0062428E"/>
    <w:rsid w:val="006247DE"/>
    <w:rsid w:val="006263C8"/>
    <w:rsid w:val="00627822"/>
    <w:rsid w:val="00627AB5"/>
    <w:rsid w:val="0063002E"/>
    <w:rsid w:val="006300DC"/>
    <w:rsid w:val="00631C0D"/>
    <w:rsid w:val="00631D36"/>
    <w:rsid w:val="00632D2D"/>
    <w:rsid w:val="00634822"/>
    <w:rsid w:val="006357DA"/>
    <w:rsid w:val="00635AC2"/>
    <w:rsid w:val="00635B8F"/>
    <w:rsid w:val="00637EEB"/>
    <w:rsid w:val="006406EE"/>
    <w:rsid w:val="006417AC"/>
    <w:rsid w:val="00642187"/>
    <w:rsid w:val="00642DE4"/>
    <w:rsid w:val="0064456B"/>
    <w:rsid w:val="0064469C"/>
    <w:rsid w:val="006446C4"/>
    <w:rsid w:val="006470B6"/>
    <w:rsid w:val="006471E1"/>
    <w:rsid w:val="0064733D"/>
    <w:rsid w:val="006476FC"/>
    <w:rsid w:val="0064781B"/>
    <w:rsid w:val="00647AD6"/>
    <w:rsid w:val="006507EC"/>
    <w:rsid w:val="00652616"/>
    <w:rsid w:val="00652F7E"/>
    <w:rsid w:val="0065340A"/>
    <w:rsid w:val="0065388F"/>
    <w:rsid w:val="006548D1"/>
    <w:rsid w:val="00656053"/>
    <w:rsid w:val="00656DFC"/>
    <w:rsid w:val="006577FE"/>
    <w:rsid w:val="006578F1"/>
    <w:rsid w:val="00657A17"/>
    <w:rsid w:val="00657FCF"/>
    <w:rsid w:val="006600F7"/>
    <w:rsid w:val="00660160"/>
    <w:rsid w:val="0066027F"/>
    <w:rsid w:val="00660C29"/>
    <w:rsid w:val="00660E22"/>
    <w:rsid w:val="006614D4"/>
    <w:rsid w:val="0066162B"/>
    <w:rsid w:val="0066223A"/>
    <w:rsid w:val="00663840"/>
    <w:rsid w:val="00664DA4"/>
    <w:rsid w:val="0066651B"/>
    <w:rsid w:val="00666B7D"/>
    <w:rsid w:val="00667AD0"/>
    <w:rsid w:val="006712D8"/>
    <w:rsid w:val="00671457"/>
    <w:rsid w:val="006717C7"/>
    <w:rsid w:val="00671A9D"/>
    <w:rsid w:val="0067248B"/>
    <w:rsid w:val="00672858"/>
    <w:rsid w:val="00672C3D"/>
    <w:rsid w:val="00673D78"/>
    <w:rsid w:val="00673E48"/>
    <w:rsid w:val="00674431"/>
    <w:rsid w:val="0067463A"/>
    <w:rsid w:val="00675669"/>
    <w:rsid w:val="00677A77"/>
    <w:rsid w:val="00682A36"/>
    <w:rsid w:val="00682DBE"/>
    <w:rsid w:val="00683FBE"/>
    <w:rsid w:val="006841F4"/>
    <w:rsid w:val="00684949"/>
    <w:rsid w:val="00684D06"/>
    <w:rsid w:val="00685427"/>
    <w:rsid w:val="00685A06"/>
    <w:rsid w:val="0068651F"/>
    <w:rsid w:val="00687EA9"/>
    <w:rsid w:val="00690195"/>
    <w:rsid w:val="006908EB"/>
    <w:rsid w:val="00693056"/>
    <w:rsid w:val="006932DC"/>
    <w:rsid w:val="00693E61"/>
    <w:rsid w:val="006960A0"/>
    <w:rsid w:val="006A06B5"/>
    <w:rsid w:val="006A087B"/>
    <w:rsid w:val="006A0DAC"/>
    <w:rsid w:val="006A2104"/>
    <w:rsid w:val="006A35E8"/>
    <w:rsid w:val="006A3687"/>
    <w:rsid w:val="006A6116"/>
    <w:rsid w:val="006A68ED"/>
    <w:rsid w:val="006A6EFD"/>
    <w:rsid w:val="006B0BC2"/>
    <w:rsid w:val="006B0E6A"/>
    <w:rsid w:val="006B11A5"/>
    <w:rsid w:val="006B2252"/>
    <w:rsid w:val="006B2707"/>
    <w:rsid w:val="006B2BC2"/>
    <w:rsid w:val="006B2EC6"/>
    <w:rsid w:val="006B3D5E"/>
    <w:rsid w:val="006B412E"/>
    <w:rsid w:val="006B4153"/>
    <w:rsid w:val="006B4561"/>
    <w:rsid w:val="006B5AF1"/>
    <w:rsid w:val="006B6D3F"/>
    <w:rsid w:val="006B7BBB"/>
    <w:rsid w:val="006C04BC"/>
    <w:rsid w:val="006C1167"/>
    <w:rsid w:val="006C206F"/>
    <w:rsid w:val="006C22DE"/>
    <w:rsid w:val="006C235C"/>
    <w:rsid w:val="006C29EE"/>
    <w:rsid w:val="006C2D38"/>
    <w:rsid w:val="006C452F"/>
    <w:rsid w:val="006C4A35"/>
    <w:rsid w:val="006D0075"/>
    <w:rsid w:val="006D0F75"/>
    <w:rsid w:val="006D1405"/>
    <w:rsid w:val="006D2B8D"/>
    <w:rsid w:val="006D2EC5"/>
    <w:rsid w:val="006D3DF3"/>
    <w:rsid w:val="006D43EB"/>
    <w:rsid w:val="006D5153"/>
    <w:rsid w:val="006D5245"/>
    <w:rsid w:val="006D5891"/>
    <w:rsid w:val="006D5964"/>
    <w:rsid w:val="006D5F6E"/>
    <w:rsid w:val="006D7553"/>
    <w:rsid w:val="006D75D7"/>
    <w:rsid w:val="006E1893"/>
    <w:rsid w:val="006E1F7E"/>
    <w:rsid w:val="006E2FD3"/>
    <w:rsid w:val="006E3C09"/>
    <w:rsid w:val="006E3CFA"/>
    <w:rsid w:val="006E4191"/>
    <w:rsid w:val="006E4269"/>
    <w:rsid w:val="006E5458"/>
    <w:rsid w:val="006E55C8"/>
    <w:rsid w:val="006E55E5"/>
    <w:rsid w:val="006E59B6"/>
    <w:rsid w:val="006E5ED3"/>
    <w:rsid w:val="006E608D"/>
    <w:rsid w:val="006E6D2B"/>
    <w:rsid w:val="006E71B2"/>
    <w:rsid w:val="006E74FA"/>
    <w:rsid w:val="006E77AC"/>
    <w:rsid w:val="006F024B"/>
    <w:rsid w:val="006F05A7"/>
    <w:rsid w:val="006F0E7C"/>
    <w:rsid w:val="006F2886"/>
    <w:rsid w:val="006F2E11"/>
    <w:rsid w:val="006F5D12"/>
    <w:rsid w:val="006F6E4E"/>
    <w:rsid w:val="006F6F32"/>
    <w:rsid w:val="006F788E"/>
    <w:rsid w:val="0070032A"/>
    <w:rsid w:val="00701EBD"/>
    <w:rsid w:val="0070214E"/>
    <w:rsid w:val="00702161"/>
    <w:rsid w:val="00702B97"/>
    <w:rsid w:val="00702F47"/>
    <w:rsid w:val="00703924"/>
    <w:rsid w:val="00704C87"/>
    <w:rsid w:val="00705229"/>
    <w:rsid w:val="00705459"/>
    <w:rsid w:val="007069C0"/>
    <w:rsid w:val="00710068"/>
    <w:rsid w:val="007111F4"/>
    <w:rsid w:val="007115C5"/>
    <w:rsid w:val="00712E6E"/>
    <w:rsid w:val="00715810"/>
    <w:rsid w:val="00716932"/>
    <w:rsid w:val="00716B11"/>
    <w:rsid w:val="00717190"/>
    <w:rsid w:val="00717BE3"/>
    <w:rsid w:val="00720375"/>
    <w:rsid w:val="007231BE"/>
    <w:rsid w:val="007240C0"/>
    <w:rsid w:val="007243E2"/>
    <w:rsid w:val="00724424"/>
    <w:rsid w:val="00724541"/>
    <w:rsid w:val="00725A2F"/>
    <w:rsid w:val="007261B2"/>
    <w:rsid w:val="007267E8"/>
    <w:rsid w:val="00726E33"/>
    <w:rsid w:val="00727428"/>
    <w:rsid w:val="00727615"/>
    <w:rsid w:val="00727E08"/>
    <w:rsid w:val="00730349"/>
    <w:rsid w:val="00730807"/>
    <w:rsid w:val="007310EC"/>
    <w:rsid w:val="00731F62"/>
    <w:rsid w:val="0073313A"/>
    <w:rsid w:val="007332BA"/>
    <w:rsid w:val="00733502"/>
    <w:rsid w:val="0073378E"/>
    <w:rsid w:val="0073408A"/>
    <w:rsid w:val="00734F57"/>
    <w:rsid w:val="00735E75"/>
    <w:rsid w:val="00736882"/>
    <w:rsid w:val="007373D9"/>
    <w:rsid w:val="00737E7C"/>
    <w:rsid w:val="00740D0C"/>
    <w:rsid w:val="00740DB9"/>
    <w:rsid w:val="00741320"/>
    <w:rsid w:val="00741FC3"/>
    <w:rsid w:val="007425DB"/>
    <w:rsid w:val="00742A1F"/>
    <w:rsid w:val="00742CC1"/>
    <w:rsid w:val="00743096"/>
    <w:rsid w:val="007433F5"/>
    <w:rsid w:val="00743FF9"/>
    <w:rsid w:val="00745125"/>
    <w:rsid w:val="00745BD9"/>
    <w:rsid w:val="00746A05"/>
    <w:rsid w:val="00747C88"/>
    <w:rsid w:val="00747E71"/>
    <w:rsid w:val="00751EB8"/>
    <w:rsid w:val="0075388B"/>
    <w:rsid w:val="00754F4A"/>
    <w:rsid w:val="0075502A"/>
    <w:rsid w:val="00756368"/>
    <w:rsid w:val="00756498"/>
    <w:rsid w:val="0075797D"/>
    <w:rsid w:val="00761D06"/>
    <w:rsid w:val="00762A47"/>
    <w:rsid w:val="00763149"/>
    <w:rsid w:val="00763E15"/>
    <w:rsid w:val="0076453D"/>
    <w:rsid w:val="00766758"/>
    <w:rsid w:val="00766C84"/>
    <w:rsid w:val="00767A92"/>
    <w:rsid w:val="00767CB5"/>
    <w:rsid w:val="007711A1"/>
    <w:rsid w:val="00771F58"/>
    <w:rsid w:val="007727F5"/>
    <w:rsid w:val="0077490B"/>
    <w:rsid w:val="007764C6"/>
    <w:rsid w:val="007767BD"/>
    <w:rsid w:val="00776CF0"/>
    <w:rsid w:val="00777577"/>
    <w:rsid w:val="00777823"/>
    <w:rsid w:val="00780A8B"/>
    <w:rsid w:val="00780C9D"/>
    <w:rsid w:val="007814BE"/>
    <w:rsid w:val="00781D9C"/>
    <w:rsid w:val="00782373"/>
    <w:rsid w:val="007824B0"/>
    <w:rsid w:val="00782E98"/>
    <w:rsid w:val="0078467D"/>
    <w:rsid w:val="00784E06"/>
    <w:rsid w:val="007859C9"/>
    <w:rsid w:val="00785B2A"/>
    <w:rsid w:val="00785F49"/>
    <w:rsid w:val="00787467"/>
    <w:rsid w:val="007906CD"/>
    <w:rsid w:val="007933E2"/>
    <w:rsid w:val="007934AE"/>
    <w:rsid w:val="0079498B"/>
    <w:rsid w:val="00795134"/>
    <w:rsid w:val="00796BE8"/>
    <w:rsid w:val="00796D8F"/>
    <w:rsid w:val="007A138D"/>
    <w:rsid w:val="007A13E0"/>
    <w:rsid w:val="007A24D3"/>
    <w:rsid w:val="007A37FF"/>
    <w:rsid w:val="007A3D28"/>
    <w:rsid w:val="007A453E"/>
    <w:rsid w:val="007A4ACB"/>
    <w:rsid w:val="007A6B17"/>
    <w:rsid w:val="007A70F6"/>
    <w:rsid w:val="007A719F"/>
    <w:rsid w:val="007A735F"/>
    <w:rsid w:val="007A7889"/>
    <w:rsid w:val="007A7A45"/>
    <w:rsid w:val="007B0681"/>
    <w:rsid w:val="007B1572"/>
    <w:rsid w:val="007B1622"/>
    <w:rsid w:val="007B1CD4"/>
    <w:rsid w:val="007B2507"/>
    <w:rsid w:val="007B360E"/>
    <w:rsid w:val="007B3B94"/>
    <w:rsid w:val="007B51D4"/>
    <w:rsid w:val="007B5F8B"/>
    <w:rsid w:val="007B6240"/>
    <w:rsid w:val="007B6ED9"/>
    <w:rsid w:val="007B7142"/>
    <w:rsid w:val="007B7418"/>
    <w:rsid w:val="007B7733"/>
    <w:rsid w:val="007B7F25"/>
    <w:rsid w:val="007C0F7D"/>
    <w:rsid w:val="007C1607"/>
    <w:rsid w:val="007C2E6F"/>
    <w:rsid w:val="007C3532"/>
    <w:rsid w:val="007C37CB"/>
    <w:rsid w:val="007C3CE8"/>
    <w:rsid w:val="007C47E7"/>
    <w:rsid w:val="007C5375"/>
    <w:rsid w:val="007C62BE"/>
    <w:rsid w:val="007C6C35"/>
    <w:rsid w:val="007C7402"/>
    <w:rsid w:val="007D032A"/>
    <w:rsid w:val="007D1112"/>
    <w:rsid w:val="007D120C"/>
    <w:rsid w:val="007D2BEE"/>
    <w:rsid w:val="007D2D6B"/>
    <w:rsid w:val="007D3BB2"/>
    <w:rsid w:val="007D46EB"/>
    <w:rsid w:val="007D4EC3"/>
    <w:rsid w:val="007D6B41"/>
    <w:rsid w:val="007E12BE"/>
    <w:rsid w:val="007E186E"/>
    <w:rsid w:val="007E1BE5"/>
    <w:rsid w:val="007E3531"/>
    <w:rsid w:val="007E459C"/>
    <w:rsid w:val="007E4F2A"/>
    <w:rsid w:val="007E5C22"/>
    <w:rsid w:val="007E5FE6"/>
    <w:rsid w:val="007E622F"/>
    <w:rsid w:val="007E6895"/>
    <w:rsid w:val="007E6DE8"/>
    <w:rsid w:val="007E7CBA"/>
    <w:rsid w:val="007E7DA3"/>
    <w:rsid w:val="007F1C22"/>
    <w:rsid w:val="007F2782"/>
    <w:rsid w:val="007F3010"/>
    <w:rsid w:val="007F312E"/>
    <w:rsid w:val="007F432B"/>
    <w:rsid w:val="007F47EF"/>
    <w:rsid w:val="007F4AB9"/>
    <w:rsid w:val="007F4F9A"/>
    <w:rsid w:val="007F6CF1"/>
    <w:rsid w:val="007F6D3A"/>
    <w:rsid w:val="00800AB4"/>
    <w:rsid w:val="00801E3E"/>
    <w:rsid w:val="00803A9B"/>
    <w:rsid w:val="00806C16"/>
    <w:rsid w:val="00810020"/>
    <w:rsid w:val="008101D8"/>
    <w:rsid w:val="0081162D"/>
    <w:rsid w:val="00812548"/>
    <w:rsid w:val="008136F6"/>
    <w:rsid w:val="00813C3E"/>
    <w:rsid w:val="0081400C"/>
    <w:rsid w:val="0081440A"/>
    <w:rsid w:val="00814A05"/>
    <w:rsid w:val="0081748E"/>
    <w:rsid w:val="00820885"/>
    <w:rsid w:val="008217D5"/>
    <w:rsid w:val="0082391F"/>
    <w:rsid w:val="00825A33"/>
    <w:rsid w:val="0082694E"/>
    <w:rsid w:val="00827065"/>
    <w:rsid w:val="008340CA"/>
    <w:rsid w:val="00834D8B"/>
    <w:rsid w:val="00835858"/>
    <w:rsid w:val="00835B79"/>
    <w:rsid w:val="008363AC"/>
    <w:rsid w:val="0084039A"/>
    <w:rsid w:val="00841B0F"/>
    <w:rsid w:val="008420B0"/>
    <w:rsid w:val="00844032"/>
    <w:rsid w:val="008442F1"/>
    <w:rsid w:val="00845276"/>
    <w:rsid w:val="00845324"/>
    <w:rsid w:val="00845BCD"/>
    <w:rsid w:val="0085010E"/>
    <w:rsid w:val="008510E5"/>
    <w:rsid w:val="00851243"/>
    <w:rsid w:val="00851330"/>
    <w:rsid w:val="00851619"/>
    <w:rsid w:val="0085301B"/>
    <w:rsid w:val="008533A2"/>
    <w:rsid w:val="00853D98"/>
    <w:rsid w:val="008556C6"/>
    <w:rsid w:val="00856757"/>
    <w:rsid w:val="0086065B"/>
    <w:rsid w:val="008616F2"/>
    <w:rsid w:val="00862531"/>
    <w:rsid w:val="0086339C"/>
    <w:rsid w:val="00863646"/>
    <w:rsid w:val="00863C90"/>
    <w:rsid w:val="0086462A"/>
    <w:rsid w:val="00865198"/>
    <w:rsid w:val="008656D1"/>
    <w:rsid w:val="00866469"/>
    <w:rsid w:val="008669E8"/>
    <w:rsid w:val="00871566"/>
    <w:rsid w:val="00874D66"/>
    <w:rsid w:val="008753CD"/>
    <w:rsid w:val="008757D7"/>
    <w:rsid w:val="008761C0"/>
    <w:rsid w:val="00883294"/>
    <w:rsid w:val="00883298"/>
    <w:rsid w:val="008843CB"/>
    <w:rsid w:val="008847AD"/>
    <w:rsid w:val="00884941"/>
    <w:rsid w:val="00884C07"/>
    <w:rsid w:val="00885688"/>
    <w:rsid w:val="00885A64"/>
    <w:rsid w:val="00886A3A"/>
    <w:rsid w:val="00887C3E"/>
    <w:rsid w:val="008903B1"/>
    <w:rsid w:val="0089210D"/>
    <w:rsid w:val="00893552"/>
    <w:rsid w:val="00893785"/>
    <w:rsid w:val="00893EA7"/>
    <w:rsid w:val="00894031"/>
    <w:rsid w:val="008946A9"/>
    <w:rsid w:val="008949C5"/>
    <w:rsid w:val="00895A27"/>
    <w:rsid w:val="00895CBD"/>
    <w:rsid w:val="008973EA"/>
    <w:rsid w:val="00897917"/>
    <w:rsid w:val="00897F9D"/>
    <w:rsid w:val="008A0399"/>
    <w:rsid w:val="008A063C"/>
    <w:rsid w:val="008A0674"/>
    <w:rsid w:val="008A0931"/>
    <w:rsid w:val="008A2375"/>
    <w:rsid w:val="008A2870"/>
    <w:rsid w:val="008A4FD6"/>
    <w:rsid w:val="008A5E84"/>
    <w:rsid w:val="008A62B1"/>
    <w:rsid w:val="008A74A2"/>
    <w:rsid w:val="008A77DD"/>
    <w:rsid w:val="008B0986"/>
    <w:rsid w:val="008B1DFC"/>
    <w:rsid w:val="008B2433"/>
    <w:rsid w:val="008B36E9"/>
    <w:rsid w:val="008B4262"/>
    <w:rsid w:val="008B704F"/>
    <w:rsid w:val="008B74A6"/>
    <w:rsid w:val="008C0886"/>
    <w:rsid w:val="008C288A"/>
    <w:rsid w:val="008C2E98"/>
    <w:rsid w:val="008C33F3"/>
    <w:rsid w:val="008C359E"/>
    <w:rsid w:val="008C6305"/>
    <w:rsid w:val="008C65A2"/>
    <w:rsid w:val="008D0691"/>
    <w:rsid w:val="008D1799"/>
    <w:rsid w:val="008D1EB3"/>
    <w:rsid w:val="008D2130"/>
    <w:rsid w:val="008D3499"/>
    <w:rsid w:val="008D34E1"/>
    <w:rsid w:val="008D3BA0"/>
    <w:rsid w:val="008D56FA"/>
    <w:rsid w:val="008D58CE"/>
    <w:rsid w:val="008D679E"/>
    <w:rsid w:val="008D7762"/>
    <w:rsid w:val="008D777A"/>
    <w:rsid w:val="008D77DA"/>
    <w:rsid w:val="008E0CBB"/>
    <w:rsid w:val="008E0CF9"/>
    <w:rsid w:val="008E2ECF"/>
    <w:rsid w:val="008E3391"/>
    <w:rsid w:val="008E41E0"/>
    <w:rsid w:val="008E4814"/>
    <w:rsid w:val="008E4DD7"/>
    <w:rsid w:val="008E6011"/>
    <w:rsid w:val="008E6D34"/>
    <w:rsid w:val="008E6DC9"/>
    <w:rsid w:val="008E7196"/>
    <w:rsid w:val="008F0228"/>
    <w:rsid w:val="008F06FF"/>
    <w:rsid w:val="008F0BEC"/>
    <w:rsid w:val="008F1EC5"/>
    <w:rsid w:val="008F223F"/>
    <w:rsid w:val="008F31FF"/>
    <w:rsid w:val="008F40D8"/>
    <w:rsid w:val="008F4769"/>
    <w:rsid w:val="008F47F4"/>
    <w:rsid w:val="008F4C64"/>
    <w:rsid w:val="008F52E3"/>
    <w:rsid w:val="008F6B2D"/>
    <w:rsid w:val="008F6DBD"/>
    <w:rsid w:val="008F76DA"/>
    <w:rsid w:val="00900051"/>
    <w:rsid w:val="00901CC7"/>
    <w:rsid w:val="00902640"/>
    <w:rsid w:val="009028DE"/>
    <w:rsid w:val="00902906"/>
    <w:rsid w:val="00903610"/>
    <w:rsid w:val="009036CF"/>
    <w:rsid w:val="00903F8A"/>
    <w:rsid w:val="00904D12"/>
    <w:rsid w:val="00904EA1"/>
    <w:rsid w:val="009055A2"/>
    <w:rsid w:val="00905CBB"/>
    <w:rsid w:val="00906294"/>
    <w:rsid w:val="00906388"/>
    <w:rsid w:val="00906C0F"/>
    <w:rsid w:val="00906E63"/>
    <w:rsid w:val="00907254"/>
    <w:rsid w:val="00907E27"/>
    <w:rsid w:val="00911FC2"/>
    <w:rsid w:val="00913351"/>
    <w:rsid w:val="009143AD"/>
    <w:rsid w:val="00915385"/>
    <w:rsid w:val="009157B1"/>
    <w:rsid w:val="00915985"/>
    <w:rsid w:val="009162CA"/>
    <w:rsid w:val="00916462"/>
    <w:rsid w:val="0091796C"/>
    <w:rsid w:val="00917A5F"/>
    <w:rsid w:val="00921273"/>
    <w:rsid w:val="00921719"/>
    <w:rsid w:val="0092173D"/>
    <w:rsid w:val="0092286E"/>
    <w:rsid w:val="009254A0"/>
    <w:rsid w:val="00925A98"/>
    <w:rsid w:val="00926B8B"/>
    <w:rsid w:val="00930048"/>
    <w:rsid w:val="009318FF"/>
    <w:rsid w:val="009323E7"/>
    <w:rsid w:val="009334DD"/>
    <w:rsid w:val="009335DD"/>
    <w:rsid w:val="00935C11"/>
    <w:rsid w:val="00935D6C"/>
    <w:rsid w:val="009363D5"/>
    <w:rsid w:val="0093709A"/>
    <w:rsid w:val="00937ECC"/>
    <w:rsid w:val="009400FE"/>
    <w:rsid w:val="00941AFA"/>
    <w:rsid w:val="009422E5"/>
    <w:rsid w:val="0094248C"/>
    <w:rsid w:val="009445C0"/>
    <w:rsid w:val="00944D03"/>
    <w:rsid w:val="00945695"/>
    <w:rsid w:val="00945B7C"/>
    <w:rsid w:val="00945C85"/>
    <w:rsid w:val="0094711E"/>
    <w:rsid w:val="009508D4"/>
    <w:rsid w:val="009526E4"/>
    <w:rsid w:val="00954AEA"/>
    <w:rsid w:val="009565CC"/>
    <w:rsid w:val="009579FE"/>
    <w:rsid w:val="00960F5B"/>
    <w:rsid w:val="0096225F"/>
    <w:rsid w:val="009630FF"/>
    <w:rsid w:val="0097121D"/>
    <w:rsid w:val="00971865"/>
    <w:rsid w:val="00972909"/>
    <w:rsid w:val="0097294D"/>
    <w:rsid w:val="00973354"/>
    <w:rsid w:val="00973FCA"/>
    <w:rsid w:val="00974525"/>
    <w:rsid w:val="00974A97"/>
    <w:rsid w:val="009772D2"/>
    <w:rsid w:val="0097763C"/>
    <w:rsid w:val="0098024E"/>
    <w:rsid w:val="009808D4"/>
    <w:rsid w:val="009812DC"/>
    <w:rsid w:val="0098194F"/>
    <w:rsid w:val="00981AD8"/>
    <w:rsid w:val="00982637"/>
    <w:rsid w:val="0098279F"/>
    <w:rsid w:val="00983269"/>
    <w:rsid w:val="009862F6"/>
    <w:rsid w:val="00986EA1"/>
    <w:rsid w:val="00987A9E"/>
    <w:rsid w:val="00992C7A"/>
    <w:rsid w:val="00993F63"/>
    <w:rsid w:val="00995B87"/>
    <w:rsid w:val="0099674E"/>
    <w:rsid w:val="00997455"/>
    <w:rsid w:val="009A02C3"/>
    <w:rsid w:val="009A2BE0"/>
    <w:rsid w:val="009A4719"/>
    <w:rsid w:val="009A4A16"/>
    <w:rsid w:val="009A6919"/>
    <w:rsid w:val="009A731F"/>
    <w:rsid w:val="009A7ED1"/>
    <w:rsid w:val="009B1390"/>
    <w:rsid w:val="009B3ED9"/>
    <w:rsid w:val="009B5566"/>
    <w:rsid w:val="009B57B8"/>
    <w:rsid w:val="009B5A7B"/>
    <w:rsid w:val="009B6C02"/>
    <w:rsid w:val="009B6DB4"/>
    <w:rsid w:val="009B7157"/>
    <w:rsid w:val="009B7C43"/>
    <w:rsid w:val="009C0DA0"/>
    <w:rsid w:val="009C1093"/>
    <w:rsid w:val="009C2421"/>
    <w:rsid w:val="009C25E5"/>
    <w:rsid w:val="009C27A0"/>
    <w:rsid w:val="009C3614"/>
    <w:rsid w:val="009C3E85"/>
    <w:rsid w:val="009C450D"/>
    <w:rsid w:val="009C598E"/>
    <w:rsid w:val="009C643E"/>
    <w:rsid w:val="009C685F"/>
    <w:rsid w:val="009C692D"/>
    <w:rsid w:val="009C70CB"/>
    <w:rsid w:val="009C74D2"/>
    <w:rsid w:val="009C7D57"/>
    <w:rsid w:val="009D0966"/>
    <w:rsid w:val="009D0BC6"/>
    <w:rsid w:val="009D0C63"/>
    <w:rsid w:val="009D108A"/>
    <w:rsid w:val="009D246D"/>
    <w:rsid w:val="009D30FA"/>
    <w:rsid w:val="009D48BF"/>
    <w:rsid w:val="009D4BC4"/>
    <w:rsid w:val="009D516D"/>
    <w:rsid w:val="009D574B"/>
    <w:rsid w:val="009D57B9"/>
    <w:rsid w:val="009D59CD"/>
    <w:rsid w:val="009D6F66"/>
    <w:rsid w:val="009D7E54"/>
    <w:rsid w:val="009E035C"/>
    <w:rsid w:val="009E12FA"/>
    <w:rsid w:val="009E2089"/>
    <w:rsid w:val="009E246C"/>
    <w:rsid w:val="009E32AD"/>
    <w:rsid w:val="009E53E9"/>
    <w:rsid w:val="009E6860"/>
    <w:rsid w:val="009E6B51"/>
    <w:rsid w:val="009E701D"/>
    <w:rsid w:val="009E734C"/>
    <w:rsid w:val="009E73DF"/>
    <w:rsid w:val="009E7499"/>
    <w:rsid w:val="009F1D55"/>
    <w:rsid w:val="009F1F74"/>
    <w:rsid w:val="009F2B4A"/>
    <w:rsid w:val="009F3443"/>
    <w:rsid w:val="009F37F1"/>
    <w:rsid w:val="009F53E9"/>
    <w:rsid w:val="009F5B63"/>
    <w:rsid w:val="009F7030"/>
    <w:rsid w:val="00A002C2"/>
    <w:rsid w:val="00A00A17"/>
    <w:rsid w:val="00A044D5"/>
    <w:rsid w:val="00A05349"/>
    <w:rsid w:val="00A06CCB"/>
    <w:rsid w:val="00A076AD"/>
    <w:rsid w:val="00A078B1"/>
    <w:rsid w:val="00A07BDA"/>
    <w:rsid w:val="00A10548"/>
    <w:rsid w:val="00A11277"/>
    <w:rsid w:val="00A11A88"/>
    <w:rsid w:val="00A127BC"/>
    <w:rsid w:val="00A12BC6"/>
    <w:rsid w:val="00A14A76"/>
    <w:rsid w:val="00A151D7"/>
    <w:rsid w:val="00A15A31"/>
    <w:rsid w:val="00A16EF4"/>
    <w:rsid w:val="00A201A2"/>
    <w:rsid w:val="00A20CCA"/>
    <w:rsid w:val="00A20F51"/>
    <w:rsid w:val="00A21431"/>
    <w:rsid w:val="00A23025"/>
    <w:rsid w:val="00A2313B"/>
    <w:rsid w:val="00A23B40"/>
    <w:rsid w:val="00A23E02"/>
    <w:rsid w:val="00A24261"/>
    <w:rsid w:val="00A2563E"/>
    <w:rsid w:val="00A25B9A"/>
    <w:rsid w:val="00A261A5"/>
    <w:rsid w:val="00A271CA"/>
    <w:rsid w:val="00A30B2E"/>
    <w:rsid w:val="00A30FF8"/>
    <w:rsid w:val="00A3189E"/>
    <w:rsid w:val="00A3331C"/>
    <w:rsid w:val="00A351BB"/>
    <w:rsid w:val="00A35EAA"/>
    <w:rsid w:val="00A36473"/>
    <w:rsid w:val="00A376C3"/>
    <w:rsid w:val="00A37DF1"/>
    <w:rsid w:val="00A37E78"/>
    <w:rsid w:val="00A410C9"/>
    <w:rsid w:val="00A41533"/>
    <w:rsid w:val="00A41C79"/>
    <w:rsid w:val="00A43595"/>
    <w:rsid w:val="00A464D7"/>
    <w:rsid w:val="00A46D60"/>
    <w:rsid w:val="00A47148"/>
    <w:rsid w:val="00A472C0"/>
    <w:rsid w:val="00A503A8"/>
    <w:rsid w:val="00A50BEE"/>
    <w:rsid w:val="00A521BC"/>
    <w:rsid w:val="00A54EC1"/>
    <w:rsid w:val="00A5510C"/>
    <w:rsid w:val="00A551B8"/>
    <w:rsid w:val="00A552E7"/>
    <w:rsid w:val="00A553AB"/>
    <w:rsid w:val="00A56E5F"/>
    <w:rsid w:val="00A56F5A"/>
    <w:rsid w:val="00A56F6D"/>
    <w:rsid w:val="00A60313"/>
    <w:rsid w:val="00A60EFB"/>
    <w:rsid w:val="00A63FAB"/>
    <w:rsid w:val="00A66AA3"/>
    <w:rsid w:val="00A66D5A"/>
    <w:rsid w:val="00A67470"/>
    <w:rsid w:val="00A70E63"/>
    <w:rsid w:val="00A71B17"/>
    <w:rsid w:val="00A71DD1"/>
    <w:rsid w:val="00A71FA4"/>
    <w:rsid w:val="00A7232B"/>
    <w:rsid w:val="00A77061"/>
    <w:rsid w:val="00A77C2C"/>
    <w:rsid w:val="00A80067"/>
    <w:rsid w:val="00A82649"/>
    <w:rsid w:val="00A828BA"/>
    <w:rsid w:val="00A82F1A"/>
    <w:rsid w:val="00A83E75"/>
    <w:rsid w:val="00A8577A"/>
    <w:rsid w:val="00A87BC6"/>
    <w:rsid w:val="00A90A83"/>
    <w:rsid w:val="00A9291D"/>
    <w:rsid w:val="00A92B56"/>
    <w:rsid w:val="00A92BB1"/>
    <w:rsid w:val="00A93723"/>
    <w:rsid w:val="00A93D38"/>
    <w:rsid w:val="00A93FCD"/>
    <w:rsid w:val="00A94AA7"/>
    <w:rsid w:val="00A9581B"/>
    <w:rsid w:val="00A96221"/>
    <w:rsid w:val="00A96647"/>
    <w:rsid w:val="00A9719F"/>
    <w:rsid w:val="00A97E97"/>
    <w:rsid w:val="00AA023D"/>
    <w:rsid w:val="00AA11BE"/>
    <w:rsid w:val="00AA3705"/>
    <w:rsid w:val="00AA38F5"/>
    <w:rsid w:val="00AA3DA6"/>
    <w:rsid w:val="00AA47E5"/>
    <w:rsid w:val="00AA6486"/>
    <w:rsid w:val="00AA6B91"/>
    <w:rsid w:val="00AB0705"/>
    <w:rsid w:val="00AB10A1"/>
    <w:rsid w:val="00AB1695"/>
    <w:rsid w:val="00AB1733"/>
    <w:rsid w:val="00AB1AF8"/>
    <w:rsid w:val="00AB25A8"/>
    <w:rsid w:val="00AB3294"/>
    <w:rsid w:val="00AB34B9"/>
    <w:rsid w:val="00AB41F1"/>
    <w:rsid w:val="00AB4462"/>
    <w:rsid w:val="00AB4514"/>
    <w:rsid w:val="00AB4918"/>
    <w:rsid w:val="00AB56E7"/>
    <w:rsid w:val="00AB7023"/>
    <w:rsid w:val="00AB778D"/>
    <w:rsid w:val="00AC01C2"/>
    <w:rsid w:val="00AC0FA8"/>
    <w:rsid w:val="00AC14E7"/>
    <w:rsid w:val="00AC2F98"/>
    <w:rsid w:val="00AC388A"/>
    <w:rsid w:val="00AC5CA3"/>
    <w:rsid w:val="00AC5CCC"/>
    <w:rsid w:val="00AC608E"/>
    <w:rsid w:val="00AD214C"/>
    <w:rsid w:val="00AD2973"/>
    <w:rsid w:val="00AD3C41"/>
    <w:rsid w:val="00AD3E31"/>
    <w:rsid w:val="00AD5183"/>
    <w:rsid w:val="00AD7314"/>
    <w:rsid w:val="00AE0805"/>
    <w:rsid w:val="00AE0E8F"/>
    <w:rsid w:val="00AE16C8"/>
    <w:rsid w:val="00AE2640"/>
    <w:rsid w:val="00AE2A9C"/>
    <w:rsid w:val="00AE2EA6"/>
    <w:rsid w:val="00AE4025"/>
    <w:rsid w:val="00AE4761"/>
    <w:rsid w:val="00AE5D88"/>
    <w:rsid w:val="00AE622B"/>
    <w:rsid w:val="00AE6D36"/>
    <w:rsid w:val="00AE7070"/>
    <w:rsid w:val="00AF0AC1"/>
    <w:rsid w:val="00AF197D"/>
    <w:rsid w:val="00AF1DAD"/>
    <w:rsid w:val="00AF1FD2"/>
    <w:rsid w:val="00AF344F"/>
    <w:rsid w:val="00AF39D8"/>
    <w:rsid w:val="00AF4C80"/>
    <w:rsid w:val="00AF539F"/>
    <w:rsid w:val="00AF62AB"/>
    <w:rsid w:val="00AF68FC"/>
    <w:rsid w:val="00AF7DDA"/>
    <w:rsid w:val="00B00451"/>
    <w:rsid w:val="00B0084F"/>
    <w:rsid w:val="00B04C21"/>
    <w:rsid w:val="00B0595A"/>
    <w:rsid w:val="00B061C5"/>
    <w:rsid w:val="00B06F77"/>
    <w:rsid w:val="00B07B9D"/>
    <w:rsid w:val="00B10852"/>
    <w:rsid w:val="00B12DA7"/>
    <w:rsid w:val="00B1329B"/>
    <w:rsid w:val="00B1359D"/>
    <w:rsid w:val="00B1394B"/>
    <w:rsid w:val="00B13DC1"/>
    <w:rsid w:val="00B13ED9"/>
    <w:rsid w:val="00B15F5F"/>
    <w:rsid w:val="00B22F4F"/>
    <w:rsid w:val="00B24A97"/>
    <w:rsid w:val="00B24B22"/>
    <w:rsid w:val="00B2566A"/>
    <w:rsid w:val="00B26555"/>
    <w:rsid w:val="00B266B2"/>
    <w:rsid w:val="00B3024D"/>
    <w:rsid w:val="00B30966"/>
    <w:rsid w:val="00B30D8D"/>
    <w:rsid w:val="00B3127F"/>
    <w:rsid w:val="00B3181C"/>
    <w:rsid w:val="00B31D2C"/>
    <w:rsid w:val="00B31E84"/>
    <w:rsid w:val="00B3228C"/>
    <w:rsid w:val="00B32D6E"/>
    <w:rsid w:val="00B3339E"/>
    <w:rsid w:val="00B338C9"/>
    <w:rsid w:val="00B34C48"/>
    <w:rsid w:val="00B34E18"/>
    <w:rsid w:val="00B35395"/>
    <w:rsid w:val="00B354A5"/>
    <w:rsid w:val="00B356CE"/>
    <w:rsid w:val="00B36927"/>
    <w:rsid w:val="00B40472"/>
    <w:rsid w:val="00B4107F"/>
    <w:rsid w:val="00B416CF"/>
    <w:rsid w:val="00B41F0E"/>
    <w:rsid w:val="00B420C2"/>
    <w:rsid w:val="00B43081"/>
    <w:rsid w:val="00B434B4"/>
    <w:rsid w:val="00B43A78"/>
    <w:rsid w:val="00B44900"/>
    <w:rsid w:val="00B44FB1"/>
    <w:rsid w:val="00B4536F"/>
    <w:rsid w:val="00B467EB"/>
    <w:rsid w:val="00B50B72"/>
    <w:rsid w:val="00B51A31"/>
    <w:rsid w:val="00B51BC6"/>
    <w:rsid w:val="00B51E22"/>
    <w:rsid w:val="00B535B9"/>
    <w:rsid w:val="00B53E5F"/>
    <w:rsid w:val="00B5483A"/>
    <w:rsid w:val="00B55233"/>
    <w:rsid w:val="00B55837"/>
    <w:rsid w:val="00B560ED"/>
    <w:rsid w:val="00B56197"/>
    <w:rsid w:val="00B562BF"/>
    <w:rsid w:val="00B564DB"/>
    <w:rsid w:val="00B5782C"/>
    <w:rsid w:val="00B60B59"/>
    <w:rsid w:val="00B60D45"/>
    <w:rsid w:val="00B61AC2"/>
    <w:rsid w:val="00B64EC7"/>
    <w:rsid w:val="00B65094"/>
    <w:rsid w:val="00B65CC8"/>
    <w:rsid w:val="00B6778A"/>
    <w:rsid w:val="00B70ED0"/>
    <w:rsid w:val="00B71429"/>
    <w:rsid w:val="00B723E1"/>
    <w:rsid w:val="00B73509"/>
    <w:rsid w:val="00B745FF"/>
    <w:rsid w:val="00B74AE3"/>
    <w:rsid w:val="00B758C3"/>
    <w:rsid w:val="00B75CF5"/>
    <w:rsid w:val="00B76913"/>
    <w:rsid w:val="00B77A40"/>
    <w:rsid w:val="00B802A3"/>
    <w:rsid w:val="00B80FD5"/>
    <w:rsid w:val="00B81B27"/>
    <w:rsid w:val="00B81DC5"/>
    <w:rsid w:val="00B840E5"/>
    <w:rsid w:val="00B8456C"/>
    <w:rsid w:val="00B84A3C"/>
    <w:rsid w:val="00B85699"/>
    <w:rsid w:val="00B859C0"/>
    <w:rsid w:val="00B86C42"/>
    <w:rsid w:val="00B87E2D"/>
    <w:rsid w:val="00B90148"/>
    <w:rsid w:val="00B9279E"/>
    <w:rsid w:val="00B952B8"/>
    <w:rsid w:val="00B95EDD"/>
    <w:rsid w:val="00B966CA"/>
    <w:rsid w:val="00B972A2"/>
    <w:rsid w:val="00BA217E"/>
    <w:rsid w:val="00BA239E"/>
    <w:rsid w:val="00BA3099"/>
    <w:rsid w:val="00BA383C"/>
    <w:rsid w:val="00BA3D75"/>
    <w:rsid w:val="00BA43F8"/>
    <w:rsid w:val="00BA45D2"/>
    <w:rsid w:val="00BA4BC3"/>
    <w:rsid w:val="00BA5582"/>
    <w:rsid w:val="00BA71C6"/>
    <w:rsid w:val="00BA783B"/>
    <w:rsid w:val="00BB1D56"/>
    <w:rsid w:val="00BB2658"/>
    <w:rsid w:val="00BB2B77"/>
    <w:rsid w:val="00BB3845"/>
    <w:rsid w:val="00BB394E"/>
    <w:rsid w:val="00BB4891"/>
    <w:rsid w:val="00BB50E1"/>
    <w:rsid w:val="00BB5566"/>
    <w:rsid w:val="00BB6907"/>
    <w:rsid w:val="00BC04AB"/>
    <w:rsid w:val="00BC15AB"/>
    <w:rsid w:val="00BC1A28"/>
    <w:rsid w:val="00BC1A60"/>
    <w:rsid w:val="00BC1DAD"/>
    <w:rsid w:val="00BC31DB"/>
    <w:rsid w:val="00BC3ABF"/>
    <w:rsid w:val="00BC46A5"/>
    <w:rsid w:val="00BC536D"/>
    <w:rsid w:val="00BC5804"/>
    <w:rsid w:val="00BC6841"/>
    <w:rsid w:val="00BC6852"/>
    <w:rsid w:val="00BC7ADD"/>
    <w:rsid w:val="00BD152B"/>
    <w:rsid w:val="00BD1743"/>
    <w:rsid w:val="00BD2184"/>
    <w:rsid w:val="00BD393F"/>
    <w:rsid w:val="00BD4408"/>
    <w:rsid w:val="00BD5BCA"/>
    <w:rsid w:val="00BD5CE7"/>
    <w:rsid w:val="00BD6223"/>
    <w:rsid w:val="00BD77AF"/>
    <w:rsid w:val="00BE046C"/>
    <w:rsid w:val="00BE1F32"/>
    <w:rsid w:val="00BE33E5"/>
    <w:rsid w:val="00BE34FA"/>
    <w:rsid w:val="00BE392F"/>
    <w:rsid w:val="00BE3E60"/>
    <w:rsid w:val="00BE4E4A"/>
    <w:rsid w:val="00BE6ACD"/>
    <w:rsid w:val="00BE6CCB"/>
    <w:rsid w:val="00BE7AA4"/>
    <w:rsid w:val="00BF206C"/>
    <w:rsid w:val="00BF30B1"/>
    <w:rsid w:val="00BF351C"/>
    <w:rsid w:val="00BF427D"/>
    <w:rsid w:val="00BF493A"/>
    <w:rsid w:val="00BF4EF2"/>
    <w:rsid w:val="00BF6E4B"/>
    <w:rsid w:val="00C001A6"/>
    <w:rsid w:val="00C03B58"/>
    <w:rsid w:val="00C04341"/>
    <w:rsid w:val="00C05038"/>
    <w:rsid w:val="00C058A8"/>
    <w:rsid w:val="00C0647E"/>
    <w:rsid w:val="00C06BC8"/>
    <w:rsid w:val="00C06E5E"/>
    <w:rsid w:val="00C078CE"/>
    <w:rsid w:val="00C0790E"/>
    <w:rsid w:val="00C0791E"/>
    <w:rsid w:val="00C12093"/>
    <w:rsid w:val="00C1335F"/>
    <w:rsid w:val="00C14379"/>
    <w:rsid w:val="00C14B83"/>
    <w:rsid w:val="00C15068"/>
    <w:rsid w:val="00C159EB"/>
    <w:rsid w:val="00C15D05"/>
    <w:rsid w:val="00C166A1"/>
    <w:rsid w:val="00C16BF5"/>
    <w:rsid w:val="00C209CE"/>
    <w:rsid w:val="00C20BEA"/>
    <w:rsid w:val="00C21177"/>
    <w:rsid w:val="00C215C0"/>
    <w:rsid w:val="00C216EE"/>
    <w:rsid w:val="00C21C31"/>
    <w:rsid w:val="00C2202A"/>
    <w:rsid w:val="00C240C9"/>
    <w:rsid w:val="00C24817"/>
    <w:rsid w:val="00C25CF1"/>
    <w:rsid w:val="00C25E4B"/>
    <w:rsid w:val="00C267CE"/>
    <w:rsid w:val="00C26EEC"/>
    <w:rsid w:val="00C27619"/>
    <w:rsid w:val="00C27C6E"/>
    <w:rsid w:val="00C27D7F"/>
    <w:rsid w:val="00C30AC1"/>
    <w:rsid w:val="00C30DE8"/>
    <w:rsid w:val="00C3281D"/>
    <w:rsid w:val="00C3298E"/>
    <w:rsid w:val="00C35FA4"/>
    <w:rsid w:val="00C37393"/>
    <w:rsid w:val="00C375FB"/>
    <w:rsid w:val="00C3790E"/>
    <w:rsid w:val="00C37D4D"/>
    <w:rsid w:val="00C40387"/>
    <w:rsid w:val="00C40634"/>
    <w:rsid w:val="00C40ADE"/>
    <w:rsid w:val="00C42BB4"/>
    <w:rsid w:val="00C42E92"/>
    <w:rsid w:val="00C435D9"/>
    <w:rsid w:val="00C438C8"/>
    <w:rsid w:val="00C43BA5"/>
    <w:rsid w:val="00C461B4"/>
    <w:rsid w:val="00C46EA2"/>
    <w:rsid w:val="00C47A13"/>
    <w:rsid w:val="00C47C66"/>
    <w:rsid w:val="00C50137"/>
    <w:rsid w:val="00C50F58"/>
    <w:rsid w:val="00C51A3B"/>
    <w:rsid w:val="00C53CAC"/>
    <w:rsid w:val="00C543F9"/>
    <w:rsid w:val="00C55472"/>
    <w:rsid w:val="00C556A0"/>
    <w:rsid w:val="00C55716"/>
    <w:rsid w:val="00C55CDB"/>
    <w:rsid w:val="00C5613E"/>
    <w:rsid w:val="00C57063"/>
    <w:rsid w:val="00C57F0F"/>
    <w:rsid w:val="00C60640"/>
    <w:rsid w:val="00C60C47"/>
    <w:rsid w:val="00C614D1"/>
    <w:rsid w:val="00C62934"/>
    <w:rsid w:val="00C6356A"/>
    <w:rsid w:val="00C635D5"/>
    <w:rsid w:val="00C63A74"/>
    <w:rsid w:val="00C664F4"/>
    <w:rsid w:val="00C7228C"/>
    <w:rsid w:val="00C72B81"/>
    <w:rsid w:val="00C73F7A"/>
    <w:rsid w:val="00C754D1"/>
    <w:rsid w:val="00C7584C"/>
    <w:rsid w:val="00C7693F"/>
    <w:rsid w:val="00C76F3A"/>
    <w:rsid w:val="00C77C46"/>
    <w:rsid w:val="00C80653"/>
    <w:rsid w:val="00C80F79"/>
    <w:rsid w:val="00C840B8"/>
    <w:rsid w:val="00C87A24"/>
    <w:rsid w:val="00C87AAA"/>
    <w:rsid w:val="00C90570"/>
    <w:rsid w:val="00C90B1A"/>
    <w:rsid w:val="00C90FAC"/>
    <w:rsid w:val="00C91A60"/>
    <w:rsid w:val="00C91B45"/>
    <w:rsid w:val="00C92251"/>
    <w:rsid w:val="00C9474D"/>
    <w:rsid w:val="00C94E0F"/>
    <w:rsid w:val="00C94F64"/>
    <w:rsid w:val="00C94F6C"/>
    <w:rsid w:val="00C96442"/>
    <w:rsid w:val="00C964DB"/>
    <w:rsid w:val="00C965CA"/>
    <w:rsid w:val="00C971DA"/>
    <w:rsid w:val="00C97724"/>
    <w:rsid w:val="00CA00B6"/>
    <w:rsid w:val="00CA0680"/>
    <w:rsid w:val="00CA1A3B"/>
    <w:rsid w:val="00CA2722"/>
    <w:rsid w:val="00CA2EEF"/>
    <w:rsid w:val="00CA3D63"/>
    <w:rsid w:val="00CA4EAA"/>
    <w:rsid w:val="00CA6F0D"/>
    <w:rsid w:val="00CA777A"/>
    <w:rsid w:val="00CA79D2"/>
    <w:rsid w:val="00CA7B01"/>
    <w:rsid w:val="00CA7BD8"/>
    <w:rsid w:val="00CB0232"/>
    <w:rsid w:val="00CB21F9"/>
    <w:rsid w:val="00CB23F8"/>
    <w:rsid w:val="00CB262D"/>
    <w:rsid w:val="00CB2637"/>
    <w:rsid w:val="00CB2C91"/>
    <w:rsid w:val="00CB411A"/>
    <w:rsid w:val="00CB58A1"/>
    <w:rsid w:val="00CB7682"/>
    <w:rsid w:val="00CB7BE9"/>
    <w:rsid w:val="00CC00D4"/>
    <w:rsid w:val="00CC1582"/>
    <w:rsid w:val="00CC1BB6"/>
    <w:rsid w:val="00CC1C72"/>
    <w:rsid w:val="00CC249E"/>
    <w:rsid w:val="00CC2E6A"/>
    <w:rsid w:val="00CC31A1"/>
    <w:rsid w:val="00CC487C"/>
    <w:rsid w:val="00CC4BDE"/>
    <w:rsid w:val="00CC4DC5"/>
    <w:rsid w:val="00CC5736"/>
    <w:rsid w:val="00CC5E95"/>
    <w:rsid w:val="00CC5F1E"/>
    <w:rsid w:val="00CC63EA"/>
    <w:rsid w:val="00CC6569"/>
    <w:rsid w:val="00CC7929"/>
    <w:rsid w:val="00CC7A4D"/>
    <w:rsid w:val="00CD1635"/>
    <w:rsid w:val="00CD2E46"/>
    <w:rsid w:val="00CD41F2"/>
    <w:rsid w:val="00CD4441"/>
    <w:rsid w:val="00CD466F"/>
    <w:rsid w:val="00CD4833"/>
    <w:rsid w:val="00CD4EFC"/>
    <w:rsid w:val="00CD7B55"/>
    <w:rsid w:val="00CE1CE1"/>
    <w:rsid w:val="00CE345B"/>
    <w:rsid w:val="00CE499C"/>
    <w:rsid w:val="00CE63F1"/>
    <w:rsid w:val="00CE6519"/>
    <w:rsid w:val="00CE6895"/>
    <w:rsid w:val="00CE6FC4"/>
    <w:rsid w:val="00CF083F"/>
    <w:rsid w:val="00CF1143"/>
    <w:rsid w:val="00CF2C75"/>
    <w:rsid w:val="00CF317A"/>
    <w:rsid w:val="00CF396B"/>
    <w:rsid w:val="00CF4534"/>
    <w:rsid w:val="00CF4973"/>
    <w:rsid w:val="00CF4AAB"/>
    <w:rsid w:val="00CF533D"/>
    <w:rsid w:val="00CF5523"/>
    <w:rsid w:val="00CF6F99"/>
    <w:rsid w:val="00CF7498"/>
    <w:rsid w:val="00CF7B14"/>
    <w:rsid w:val="00CF7E1B"/>
    <w:rsid w:val="00D0228A"/>
    <w:rsid w:val="00D02C82"/>
    <w:rsid w:val="00D04BB2"/>
    <w:rsid w:val="00D05090"/>
    <w:rsid w:val="00D059EF"/>
    <w:rsid w:val="00D06038"/>
    <w:rsid w:val="00D07432"/>
    <w:rsid w:val="00D1001D"/>
    <w:rsid w:val="00D108C2"/>
    <w:rsid w:val="00D121A1"/>
    <w:rsid w:val="00D126C9"/>
    <w:rsid w:val="00D13518"/>
    <w:rsid w:val="00D137D9"/>
    <w:rsid w:val="00D13FF3"/>
    <w:rsid w:val="00D1434B"/>
    <w:rsid w:val="00D14DD2"/>
    <w:rsid w:val="00D1549D"/>
    <w:rsid w:val="00D1578D"/>
    <w:rsid w:val="00D16230"/>
    <w:rsid w:val="00D166F8"/>
    <w:rsid w:val="00D1708F"/>
    <w:rsid w:val="00D20201"/>
    <w:rsid w:val="00D2097F"/>
    <w:rsid w:val="00D216D3"/>
    <w:rsid w:val="00D21EF8"/>
    <w:rsid w:val="00D22048"/>
    <w:rsid w:val="00D221F0"/>
    <w:rsid w:val="00D2375B"/>
    <w:rsid w:val="00D24B34"/>
    <w:rsid w:val="00D269BB"/>
    <w:rsid w:val="00D27CD2"/>
    <w:rsid w:val="00D30344"/>
    <w:rsid w:val="00D3034D"/>
    <w:rsid w:val="00D30860"/>
    <w:rsid w:val="00D30E6A"/>
    <w:rsid w:val="00D30FF7"/>
    <w:rsid w:val="00D31125"/>
    <w:rsid w:val="00D324B7"/>
    <w:rsid w:val="00D334C6"/>
    <w:rsid w:val="00D34B6E"/>
    <w:rsid w:val="00D34F49"/>
    <w:rsid w:val="00D357C6"/>
    <w:rsid w:val="00D36F20"/>
    <w:rsid w:val="00D40716"/>
    <w:rsid w:val="00D40BB4"/>
    <w:rsid w:val="00D42938"/>
    <w:rsid w:val="00D431B6"/>
    <w:rsid w:val="00D43DEC"/>
    <w:rsid w:val="00D44E0B"/>
    <w:rsid w:val="00D4628C"/>
    <w:rsid w:val="00D4793B"/>
    <w:rsid w:val="00D479FF"/>
    <w:rsid w:val="00D504F9"/>
    <w:rsid w:val="00D50704"/>
    <w:rsid w:val="00D5180D"/>
    <w:rsid w:val="00D5229E"/>
    <w:rsid w:val="00D55258"/>
    <w:rsid w:val="00D55AB4"/>
    <w:rsid w:val="00D60068"/>
    <w:rsid w:val="00D62CC0"/>
    <w:rsid w:val="00D6394A"/>
    <w:rsid w:val="00D63E03"/>
    <w:rsid w:val="00D64E59"/>
    <w:rsid w:val="00D65A90"/>
    <w:rsid w:val="00D6617A"/>
    <w:rsid w:val="00D66309"/>
    <w:rsid w:val="00D66F1D"/>
    <w:rsid w:val="00D7075A"/>
    <w:rsid w:val="00D71AB0"/>
    <w:rsid w:val="00D71DC5"/>
    <w:rsid w:val="00D73429"/>
    <w:rsid w:val="00D73C79"/>
    <w:rsid w:val="00D755C7"/>
    <w:rsid w:val="00D75CBE"/>
    <w:rsid w:val="00D76193"/>
    <w:rsid w:val="00D76BF0"/>
    <w:rsid w:val="00D818A1"/>
    <w:rsid w:val="00D820E5"/>
    <w:rsid w:val="00D83988"/>
    <w:rsid w:val="00D850F7"/>
    <w:rsid w:val="00D86A60"/>
    <w:rsid w:val="00D907B4"/>
    <w:rsid w:val="00D910B2"/>
    <w:rsid w:val="00D92248"/>
    <w:rsid w:val="00D9397A"/>
    <w:rsid w:val="00D94123"/>
    <w:rsid w:val="00D944DC"/>
    <w:rsid w:val="00D9492E"/>
    <w:rsid w:val="00D94D5E"/>
    <w:rsid w:val="00D952A9"/>
    <w:rsid w:val="00D9689B"/>
    <w:rsid w:val="00D96AD2"/>
    <w:rsid w:val="00DA0900"/>
    <w:rsid w:val="00DA13C9"/>
    <w:rsid w:val="00DA24DD"/>
    <w:rsid w:val="00DA2F8C"/>
    <w:rsid w:val="00DA32DB"/>
    <w:rsid w:val="00DA36C1"/>
    <w:rsid w:val="00DA49AD"/>
    <w:rsid w:val="00DA54AD"/>
    <w:rsid w:val="00DA5BD8"/>
    <w:rsid w:val="00DA5F4D"/>
    <w:rsid w:val="00DA7316"/>
    <w:rsid w:val="00DA74EF"/>
    <w:rsid w:val="00DB0844"/>
    <w:rsid w:val="00DB30E0"/>
    <w:rsid w:val="00DB3804"/>
    <w:rsid w:val="00DB3BEC"/>
    <w:rsid w:val="00DB3D58"/>
    <w:rsid w:val="00DB515B"/>
    <w:rsid w:val="00DB5BD4"/>
    <w:rsid w:val="00DC0119"/>
    <w:rsid w:val="00DC0CF3"/>
    <w:rsid w:val="00DC109E"/>
    <w:rsid w:val="00DC11D7"/>
    <w:rsid w:val="00DC1268"/>
    <w:rsid w:val="00DC195D"/>
    <w:rsid w:val="00DC4D10"/>
    <w:rsid w:val="00DC4FDD"/>
    <w:rsid w:val="00DC6D1C"/>
    <w:rsid w:val="00DC7D46"/>
    <w:rsid w:val="00DD0AF9"/>
    <w:rsid w:val="00DD0D5E"/>
    <w:rsid w:val="00DD37EE"/>
    <w:rsid w:val="00DD396A"/>
    <w:rsid w:val="00DD3B1A"/>
    <w:rsid w:val="00DD53B6"/>
    <w:rsid w:val="00DD57FF"/>
    <w:rsid w:val="00DD6AC2"/>
    <w:rsid w:val="00DD6E39"/>
    <w:rsid w:val="00DD7C53"/>
    <w:rsid w:val="00DE0550"/>
    <w:rsid w:val="00DE0D14"/>
    <w:rsid w:val="00DE1781"/>
    <w:rsid w:val="00DE268A"/>
    <w:rsid w:val="00DE28EA"/>
    <w:rsid w:val="00DE2EC3"/>
    <w:rsid w:val="00DE3981"/>
    <w:rsid w:val="00DE4207"/>
    <w:rsid w:val="00DE46F2"/>
    <w:rsid w:val="00DE5A21"/>
    <w:rsid w:val="00DE6247"/>
    <w:rsid w:val="00DE76FF"/>
    <w:rsid w:val="00DF0C90"/>
    <w:rsid w:val="00DF1402"/>
    <w:rsid w:val="00DF48EC"/>
    <w:rsid w:val="00DF4AF4"/>
    <w:rsid w:val="00DF642B"/>
    <w:rsid w:val="00DF6790"/>
    <w:rsid w:val="00E00F95"/>
    <w:rsid w:val="00E017D3"/>
    <w:rsid w:val="00E03AEB"/>
    <w:rsid w:val="00E04973"/>
    <w:rsid w:val="00E04CD0"/>
    <w:rsid w:val="00E04EDF"/>
    <w:rsid w:val="00E0523F"/>
    <w:rsid w:val="00E05985"/>
    <w:rsid w:val="00E1043F"/>
    <w:rsid w:val="00E109EB"/>
    <w:rsid w:val="00E119E5"/>
    <w:rsid w:val="00E122C6"/>
    <w:rsid w:val="00E1253D"/>
    <w:rsid w:val="00E14080"/>
    <w:rsid w:val="00E1707F"/>
    <w:rsid w:val="00E1726A"/>
    <w:rsid w:val="00E20707"/>
    <w:rsid w:val="00E20AE3"/>
    <w:rsid w:val="00E20FF7"/>
    <w:rsid w:val="00E25709"/>
    <w:rsid w:val="00E25AAE"/>
    <w:rsid w:val="00E26A34"/>
    <w:rsid w:val="00E27067"/>
    <w:rsid w:val="00E312BF"/>
    <w:rsid w:val="00E315C3"/>
    <w:rsid w:val="00E31A5C"/>
    <w:rsid w:val="00E31A9F"/>
    <w:rsid w:val="00E31D51"/>
    <w:rsid w:val="00E31F61"/>
    <w:rsid w:val="00E32D58"/>
    <w:rsid w:val="00E349A1"/>
    <w:rsid w:val="00E3541E"/>
    <w:rsid w:val="00E362DD"/>
    <w:rsid w:val="00E36CAD"/>
    <w:rsid w:val="00E40231"/>
    <w:rsid w:val="00E40EC3"/>
    <w:rsid w:val="00E41116"/>
    <w:rsid w:val="00E41FC3"/>
    <w:rsid w:val="00E4204B"/>
    <w:rsid w:val="00E42A5C"/>
    <w:rsid w:val="00E42AE8"/>
    <w:rsid w:val="00E42C35"/>
    <w:rsid w:val="00E42F08"/>
    <w:rsid w:val="00E44686"/>
    <w:rsid w:val="00E448BE"/>
    <w:rsid w:val="00E4490E"/>
    <w:rsid w:val="00E4624D"/>
    <w:rsid w:val="00E46967"/>
    <w:rsid w:val="00E47F2C"/>
    <w:rsid w:val="00E503CB"/>
    <w:rsid w:val="00E50488"/>
    <w:rsid w:val="00E5066F"/>
    <w:rsid w:val="00E5088F"/>
    <w:rsid w:val="00E50B79"/>
    <w:rsid w:val="00E50C40"/>
    <w:rsid w:val="00E51D99"/>
    <w:rsid w:val="00E5296F"/>
    <w:rsid w:val="00E52A5A"/>
    <w:rsid w:val="00E52C89"/>
    <w:rsid w:val="00E52EA9"/>
    <w:rsid w:val="00E54205"/>
    <w:rsid w:val="00E54E2C"/>
    <w:rsid w:val="00E56297"/>
    <w:rsid w:val="00E56509"/>
    <w:rsid w:val="00E56C45"/>
    <w:rsid w:val="00E57D8F"/>
    <w:rsid w:val="00E57DAA"/>
    <w:rsid w:val="00E61162"/>
    <w:rsid w:val="00E623CF"/>
    <w:rsid w:val="00E639C7"/>
    <w:rsid w:val="00E641E4"/>
    <w:rsid w:val="00E6480A"/>
    <w:rsid w:val="00E65B2C"/>
    <w:rsid w:val="00E65B8F"/>
    <w:rsid w:val="00E65E75"/>
    <w:rsid w:val="00E65E7D"/>
    <w:rsid w:val="00E66ACE"/>
    <w:rsid w:val="00E66B72"/>
    <w:rsid w:val="00E67974"/>
    <w:rsid w:val="00E7026D"/>
    <w:rsid w:val="00E705EB"/>
    <w:rsid w:val="00E7098F"/>
    <w:rsid w:val="00E712C5"/>
    <w:rsid w:val="00E72137"/>
    <w:rsid w:val="00E7242C"/>
    <w:rsid w:val="00E72470"/>
    <w:rsid w:val="00E7249B"/>
    <w:rsid w:val="00E7305B"/>
    <w:rsid w:val="00E736C0"/>
    <w:rsid w:val="00E73EDC"/>
    <w:rsid w:val="00E744F9"/>
    <w:rsid w:val="00E75037"/>
    <w:rsid w:val="00E75160"/>
    <w:rsid w:val="00E75FC1"/>
    <w:rsid w:val="00E765F5"/>
    <w:rsid w:val="00E769DA"/>
    <w:rsid w:val="00E81AE1"/>
    <w:rsid w:val="00E8212C"/>
    <w:rsid w:val="00E839F4"/>
    <w:rsid w:val="00E8464A"/>
    <w:rsid w:val="00E8563B"/>
    <w:rsid w:val="00E85875"/>
    <w:rsid w:val="00E878D3"/>
    <w:rsid w:val="00E87B28"/>
    <w:rsid w:val="00E87BD7"/>
    <w:rsid w:val="00E92AF7"/>
    <w:rsid w:val="00E92D8E"/>
    <w:rsid w:val="00E932C4"/>
    <w:rsid w:val="00E95CBE"/>
    <w:rsid w:val="00EA047D"/>
    <w:rsid w:val="00EA2517"/>
    <w:rsid w:val="00EA2912"/>
    <w:rsid w:val="00EA2E4C"/>
    <w:rsid w:val="00EA3024"/>
    <w:rsid w:val="00EA307B"/>
    <w:rsid w:val="00EA3294"/>
    <w:rsid w:val="00EA45DE"/>
    <w:rsid w:val="00EA55DB"/>
    <w:rsid w:val="00EA6CA3"/>
    <w:rsid w:val="00EB069C"/>
    <w:rsid w:val="00EB0804"/>
    <w:rsid w:val="00EB207B"/>
    <w:rsid w:val="00EB28CA"/>
    <w:rsid w:val="00EB30BD"/>
    <w:rsid w:val="00EB4208"/>
    <w:rsid w:val="00EB42CC"/>
    <w:rsid w:val="00EB4B7C"/>
    <w:rsid w:val="00EB5FA3"/>
    <w:rsid w:val="00EB6134"/>
    <w:rsid w:val="00EB61A9"/>
    <w:rsid w:val="00EB6F3D"/>
    <w:rsid w:val="00EB7D82"/>
    <w:rsid w:val="00EC00C6"/>
    <w:rsid w:val="00EC1C4D"/>
    <w:rsid w:val="00EC25A9"/>
    <w:rsid w:val="00EC2F46"/>
    <w:rsid w:val="00EC34E5"/>
    <w:rsid w:val="00EC380F"/>
    <w:rsid w:val="00EC3C54"/>
    <w:rsid w:val="00EC51A8"/>
    <w:rsid w:val="00EC548F"/>
    <w:rsid w:val="00EC6600"/>
    <w:rsid w:val="00EC6A13"/>
    <w:rsid w:val="00EC7CF6"/>
    <w:rsid w:val="00EC7D4C"/>
    <w:rsid w:val="00EC7FF3"/>
    <w:rsid w:val="00ED2B0F"/>
    <w:rsid w:val="00ED2B60"/>
    <w:rsid w:val="00ED4361"/>
    <w:rsid w:val="00ED5035"/>
    <w:rsid w:val="00ED6817"/>
    <w:rsid w:val="00EE221E"/>
    <w:rsid w:val="00EE449D"/>
    <w:rsid w:val="00EE5240"/>
    <w:rsid w:val="00EE5A18"/>
    <w:rsid w:val="00EF0016"/>
    <w:rsid w:val="00EF07A5"/>
    <w:rsid w:val="00EF16BE"/>
    <w:rsid w:val="00EF1A21"/>
    <w:rsid w:val="00EF2586"/>
    <w:rsid w:val="00EF5214"/>
    <w:rsid w:val="00EF67FA"/>
    <w:rsid w:val="00F00CA4"/>
    <w:rsid w:val="00F00CBE"/>
    <w:rsid w:val="00F027BA"/>
    <w:rsid w:val="00F03364"/>
    <w:rsid w:val="00F043CC"/>
    <w:rsid w:val="00F05E6C"/>
    <w:rsid w:val="00F104BB"/>
    <w:rsid w:val="00F117FF"/>
    <w:rsid w:val="00F11C6F"/>
    <w:rsid w:val="00F1229C"/>
    <w:rsid w:val="00F13EC5"/>
    <w:rsid w:val="00F143F8"/>
    <w:rsid w:val="00F16A8F"/>
    <w:rsid w:val="00F17829"/>
    <w:rsid w:val="00F201E6"/>
    <w:rsid w:val="00F20C84"/>
    <w:rsid w:val="00F2163E"/>
    <w:rsid w:val="00F225B1"/>
    <w:rsid w:val="00F22D23"/>
    <w:rsid w:val="00F23039"/>
    <w:rsid w:val="00F23A4C"/>
    <w:rsid w:val="00F24999"/>
    <w:rsid w:val="00F2769D"/>
    <w:rsid w:val="00F276E1"/>
    <w:rsid w:val="00F27AEF"/>
    <w:rsid w:val="00F27BBE"/>
    <w:rsid w:val="00F30A5F"/>
    <w:rsid w:val="00F323C4"/>
    <w:rsid w:val="00F327B7"/>
    <w:rsid w:val="00F32F09"/>
    <w:rsid w:val="00F363B3"/>
    <w:rsid w:val="00F36A16"/>
    <w:rsid w:val="00F41083"/>
    <w:rsid w:val="00F41C15"/>
    <w:rsid w:val="00F4308E"/>
    <w:rsid w:val="00F43263"/>
    <w:rsid w:val="00F4350F"/>
    <w:rsid w:val="00F4415B"/>
    <w:rsid w:val="00F44CCD"/>
    <w:rsid w:val="00F4533D"/>
    <w:rsid w:val="00F458FD"/>
    <w:rsid w:val="00F45A8E"/>
    <w:rsid w:val="00F45C8F"/>
    <w:rsid w:val="00F46CC4"/>
    <w:rsid w:val="00F4733E"/>
    <w:rsid w:val="00F50C26"/>
    <w:rsid w:val="00F5180D"/>
    <w:rsid w:val="00F51835"/>
    <w:rsid w:val="00F5218F"/>
    <w:rsid w:val="00F527BF"/>
    <w:rsid w:val="00F52804"/>
    <w:rsid w:val="00F53985"/>
    <w:rsid w:val="00F5456B"/>
    <w:rsid w:val="00F5473A"/>
    <w:rsid w:val="00F54DAC"/>
    <w:rsid w:val="00F55B3F"/>
    <w:rsid w:val="00F6071E"/>
    <w:rsid w:val="00F63820"/>
    <w:rsid w:val="00F64A82"/>
    <w:rsid w:val="00F651F8"/>
    <w:rsid w:val="00F655B8"/>
    <w:rsid w:val="00F6626D"/>
    <w:rsid w:val="00F70E8E"/>
    <w:rsid w:val="00F70F71"/>
    <w:rsid w:val="00F7241E"/>
    <w:rsid w:val="00F73819"/>
    <w:rsid w:val="00F745AF"/>
    <w:rsid w:val="00F75077"/>
    <w:rsid w:val="00F76B83"/>
    <w:rsid w:val="00F80451"/>
    <w:rsid w:val="00F80F01"/>
    <w:rsid w:val="00F80F3C"/>
    <w:rsid w:val="00F8380C"/>
    <w:rsid w:val="00F83914"/>
    <w:rsid w:val="00F83C7F"/>
    <w:rsid w:val="00F83F8B"/>
    <w:rsid w:val="00F8435F"/>
    <w:rsid w:val="00F84A06"/>
    <w:rsid w:val="00F851B8"/>
    <w:rsid w:val="00F85D6F"/>
    <w:rsid w:val="00F86E3D"/>
    <w:rsid w:val="00F872ED"/>
    <w:rsid w:val="00F87362"/>
    <w:rsid w:val="00F87FB7"/>
    <w:rsid w:val="00F918EE"/>
    <w:rsid w:val="00F92357"/>
    <w:rsid w:val="00F92FFC"/>
    <w:rsid w:val="00F93199"/>
    <w:rsid w:val="00F9336C"/>
    <w:rsid w:val="00F9374C"/>
    <w:rsid w:val="00F93855"/>
    <w:rsid w:val="00F9391E"/>
    <w:rsid w:val="00F941A1"/>
    <w:rsid w:val="00F94B1C"/>
    <w:rsid w:val="00F9789C"/>
    <w:rsid w:val="00F97C97"/>
    <w:rsid w:val="00FA0F9B"/>
    <w:rsid w:val="00FA151A"/>
    <w:rsid w:val="00FA1A89"/>
    <w:rsid w:val="00FA1BA6"/>
    <w:rsid w:val="00FA1BBE"/>
    <w:rsid w:val="00FA3132"/>
    <w:rsid w:val="00FA395B"/>
    <w:rsid w:val="00FA61CF"/>
    <w:rsid w:val="00FA66D8"/>
    <w:rsid w:val="00FA6A83"/>
    <w:rsid w:val="00FA7D7E"/>
    <w:rsid w:val="00FB02F5"/>
    <w:rsid w:val="00FB0A09"/>
    <w:rsid w:val="00FB0F1F"/>
    <w:rsid w:val="00FB3733"/>
    <w:rsid w:val="00FB3F09"/>
    <w:rsid w:val="00FB5D8A"/>
    <w:rsid w:val="00FB6ABA"/>
    <w:rsid w:val="00FC223E"/>
    <w:rsid w:val="00FC2D6E"/>
    <w:rsid w:val="00FC2F45"/>
    <w:rsid w:val="00FC304C"/>
    <w:rsid w:val="00FC428B"/>
    <w:rsid w:val="00FC4528"/>
    <w:rsid w:val="00FC4D97"/>
    <w:rsid w:val="00FC4E9C"/>
    <w:rsid w:val="00FC721A"/>
    <w:rsid w:val="00FD0649"/>
    <w:rsid w:val="00FD0EAE"/>
    <w:rsid w:val="00FD21A2"/>
    <w:rsid w:val="00FD2BCE"/>
    <w:rsid w:val="00FD3777"/>
    <w:rsid w:val="00FD45E3"/>
    <w:rsid w:val="00FD4FA2"/>
    <w:rsid w:val="00FD50CE"/>
    <w:rsid w:val="00FD556E"/>
    <w:rsid w:val="00FD57DF"/>
    <w:rsid w:val="00FD62F2"/>
    <w:rsid w:val="00FD6B5E"/>
    <w:rsid w:val="00FD6D4A"/>
    <w:rsid w:val="00FE1989"/>
    <w:rsid w:val="00FE1FAC"/>
    <w:rsid w:val="00FE2BF8"/>
    <w:rsid w:val="00FE3862"/>
    <w:rsid w:val="00FE3A2C"/>
    <w:rsid w:val="00FE3C5A"/>
    <w:rsid w:val="00FE616B"/>
    <w:rsid w:val="00FE6E90"/>
    <w:rsid w:val="00FE73F0"/>
    <w:rsid w:val="00FF0B53"/>
    <w:rsid w:val="00FF0D36"/>
    <w:rsid w:val="00FF0D6E"/>
    <w:rsid w:val="00FF1F10"/>
    <w:rsid w:val="00FF2797"/>
    <w:rsid w:val="00FF3686"/>
    <w:rsid w:val="00FF45E5"/>
    <w:rsid w:val="00FF5565"/>
    <w:rsid w:val="00FF65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5506"/>
  <w15:chartTrackingRefBased/>
  <w15:docId w15:val="{5E1F472D-31D0-4ACB-A9D5-06B96910B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8C2"/>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D108C2"/>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08C2"/>
    <w:rPr>
      <w:rFonts w:ascii="Arial" w:eastAsia="Times New Roman" w:hAnsi="Arial" w:cs="Arial"/>
      <w:b/>
      <w:bCs/>
      <w:kern w:val="32"/>
      <w:sz w:val="32"/>
      <w:szCs w:val="32"/>
    </w:rPr>
  </w:style>
  <w:style w:type="paragraph" w:styleId="Header">
    <w:name w:val="header"/>
    <w:basedOn w:val="Normal"/>
    <w:link w:val="HeaderChar"/>
    <w:uiPriority w:val="99"/>
    <w:unhideWhenUsed/>
    <w:rsid w:val="00D108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8C2"/>
    <w:rPr>
      <w:rFonts w:ascii="Calibri" w:eastAsia="Calibri" w:hAnsi="Calibri" w:cs="Times New Roman"/>
    </w:rPr>
  </w:style>
  <w:style w:type="paragraph" w:styleId="Footer">
    <w:name w:val="footer"/>
    <w:basedOn w:val="Normal"/>
    <w:link w:val="FooterChar"/>
    <w:uiPriority w:val="99"/>
    <w:unhideWhenUsed/>
    <w:rsid w:val="00D108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8C2"/>
    <w:rPr>
      <w:rFonts w:ascii="Calibri" w:eastAsia="Calibri" w:hAnsi="Calibri" w:cs="Times New Roman"/>
    </w:rPr>
  </w:style>
  <w:style w:type="table" w:styleId="TableGrid">
    <w:name w:val="Table Grid"/>
    <w:basedOn w:val="TableNormal"/>
    <w:uiPriority w:val="39"/>
    <w:rsid w:val="00D108C2"/>
    <w:pPr>
      <w:spacing w:after="0" w:line="240" w:lineRule="auto"/>
    </w:pPr>
    <w:rPr>
      <w:rFonts w:ascii="Calibri" w:eastAsia="Calibri" w:hAnsi="Calibri"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D108C2"/>
    <w:pPr>
      <w:spacing w:after="120" w:line="480" w:lineRule="auto"/>
    </w:pPr>
    <w:rPr>
      <w:rFonts w:ascii="Century Gothic" w:eastAsia="Times New Roman" w:hAnsi="Century Gothic" w:cs="Arial"/>
      <w:sz w:val="20"/>
      <w:szCs w:val="20"/>
    </w:rPr>
  </w:style>
  <w:style w:type="character" w:customStyle="1" w:styleId="BodyText2Char">
    <w:name w:val="Body Text 2 Char"/>
    <w:basedOn w:val="DefaultParagraphFont"/>
    <w:link w:val="BodyText2"/>
    <w:rsid w:val="00D108C2"/>
    <w:rPr>
      <w:rFonts w:ascii="Century Gothic" w:eastAsia="Times New Roman" w:hAnsi="Century Gothic" w:cs="Arial"/>
      <w:sz w:val="20"/>
      <w:szCs w:val="20"/>
    </w:rPr>
  </w:style>
  <w:style w:type="paragraph" w:styleId="BalloonText">
    <w:name w:val="Balloon Text"/>
    <w:basedOn w:val="Normal"/>
    <w:link w:val="BalloonTextChar"/>
    <w:uiPriority w:val="99"/>
    <w:semiHidden/>
    <w:unhideWhenUsed/>
    <w:rsid w:val="00D108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C2"/>
    <w:rPr>
      <w:rFonts w:ascii="Tahoma" w:eastAsia="Calibri" w:hAnsi="Tahoma" w:cs="Tahoma"/>
      <w:sz w:val="16"/>
      <w:szCs w:val="16"/>
    </w:rPr>
  </w:style>
  <w:style w:type="paragraph" w:styleId="ListParagraph">
    <w:name w:val="List Paragraph"/>
    <w:basedOn w:val="Normal"/>
    <w:uiPriority w:val="34"/>
    <w:qFormat/>
    <w:rsid w:val="00D108C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2358F-0BF0-42D3-9CE9-EADA9B4F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12</Pages>
  <Words>3326</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Sherryl Fortuin</dc:creator>
  <cp:keywords/>
  <dc:description/>
  <cp:lastModifiedBy>Sherryl Fortuin</cp:lastModifiedBy>
  <cp:revision>25</cp:revision>
  <cp:lastPrinted>2020-07-06T14:55:00Z</cp:lastPrinted>
  <dcterms:created xsi:type="dcterms:W3CDTF">2020-07-01T09:40:00Z</dcterms:created>
  <dcterms:modified xsi:type="dcterms:W3CDTF">2020-07-06T14:55:00Z</dcterms:modified>
</cp:coreProperties>
</file>