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41762" w14:textId="77777777" w:rsidR="00382ADA" w:rsidRDefault="00AB5637">
      <w:r>
        <w:rPr>
          <w:rFonts w:ascii="Verdana" w:hAnsi="Verdana"/>
          <w:noProof/>
          <w:lang w:eastAsia="en-ZA"/>
        </w:rPr>
        <w:drawing>
          <wp:inline distT="0" distB="0" distL="0" distR="0" wp14:anchorId="540417E4" wp14:editId="540417E5">
            <wp:extent cx="3562350" cy="752475"/>
            <wp:effectExtent l="0" t="0" r="0" b="9525"/>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752475"/>
                    </a:xfrm>
                    <a:prstGeom prst="rect">
                      <a:avLst/>
                    </a:prstGeom>
                    <a:noFill/>
                    <a:ln>
                      <a:noFill/>
                    </a:ln>
                  </pic:spPr>
                </pic:pic>
              </a:graphicData>
            </a:graphic>
          </wp:inline>
        </w:drawing>
      </w:r>
    </w:p>
    <w:p w14:paraId="54041764" w14:textId="4C16CE3C" w:rsidR="00AB5637" w:rsidRPr="00A06583" w:rsidRDefault="008C19C4" w:rsidP="001976A7">
      <w:pPr>
        <w:pStyle w:val="Heading1"/>
        <w:spacing w:before="0" w:after="0" w:line="320" w:lineRule="atLeast"/>
        <w:rPr>
          <w:rFonts w:ascii="Verdana" w:hAnsi="Verdana"/>
          <w:sz w:val="24"/>
          <w:szCs w:val="24"/>
        </w:rPr>
      </w:pPr>
      <w:r>
        <w:rPr>
          <w:rFonts w:ascii="Verdana" w:hAnsi="Verdana"/>
          <w:sz w:val="24"/>
          <w:szCs w:val="24"/>
        </w:rPr>
        <w:t xml:space="preserve">State of the </w:t>
      </w:r>
      <w:r w:rsidR="00FC15C7">
        <w:rPr>
          <w:rFonts w:ascii="Verdana" w:hAnsi="Verdana"/>
          <w:sz w:val="24"/>
          <w:szCs w:val="24"/>
        </w:rPr>
        <w:t>S</w:t>
      </w:r>
      <w:r w:rsidR="00834896">
        <w:rPr>
          <w:rFonts w:ascii="Verdana" w:hAnsi="Verdana"/>
          <w:sz w:val="24"/>
          <w:szCs w:val="24"/>
        </w:rPr>
        <w:t xml:space="preserve">outh </w:t>
      </w:r>
      <w:r w:rsidR="00FC15C7">
        <w:rPr>
          <w:rFonts w:ascii="Verdana" w:hAnsi="Verdana"/>
          <w:sz w:val="24"/>
          <w:szCs w:val="24"/>
        </w:rPr>
        <w:t>A</w:t>
      </w:r>
      <w:r w:rsidR="00834896">
        <w:rPr>
          <w:rFonts w:ascii="Verdana" w:hAnsi="Verdana"/>
          <w:sz w:val="24"/>
          <w:szCs w:val="24"/>
        </w:rPr>
        <w:t>frican</w:t>
      </w:r>
      <w:r w:rsidR="00FC15C7">
        <w:rPr>
          <w:rFonts w:ascii="Verdana" w:hAnsi="Verdana"/>
          <w:sz w:val="24"/>
          <w:szCs w:val="24"/>
        </w:rPr>
        <w:t xml:space="preserve"> </w:t>
      </w:r>
      <w:r w:rsidR="00D3426D">
        <w:rPr>
          <w:rFonts w:ascii="Verdana" w:hAnsi="Verdana"/>
          <w:sz w:val="24"/>
          <w:szCs w:val="24"/>
        </w:rPr>
        <w:t>E</w:t>
      </w:r>
      <w:r w:rsidR="00834896">
        <w:rPr>
          <w:rFonts w:ascii="Verdana" w:hAnsi="Verdana"/>
          <w:sz w:val="24"/>
          <w:szCs w:val="24"/>
        </w:rPr>
        <w:t xml:space="preserve">xchange </w:t>
      </w:r>
      <w:r w:rsidR="00D3426D">
        <w:rPr>
          <w:rFonts w:ascii="Verdana" w:hAnsi="Verdana"/>
          <w:sz w:val="24"/>
          <w:szCs w:val="24"/>
        </w:rPr>
        <w:t>T</w:t>
      </w:r>
      <w:r w:rsidR="00834896">
        <w:rPr>
          <w:rFonts w:ascii="Verdana" w:hAnsi="Verdana"/>
          <w:sz w:val="24"/>
          <w:szCs w:val="24"/>
        </w:rPr>
        <w:t xml:space="preserve">raded </w:t>
      </w:r>
      <w:r w:rsidR="00D3426D">
        <w:rPr>
          <w:rFonts w:ascii="Verdana" w:hAnsi="Verdana"/>
          <w:sz w:val="24"/>
          <w:szCs w:val="24"/>
        </w:rPr>
        <w:t>P</w:t>
      </w:r>
      <w:r w:rsidR="00834896">
        <w:rPr>
          <w:rFonts w:ascii="Verdana" w:hAnsi="Verdana"/>
          <w:sz w:val="24"/>
          <w:szCs w:val="24"/>
        </w:rPr>
        <w:t>roduct (ETP)</w:t>
      </w:r>
      <w:r>
        <w:rPr>
          <w:rFonts w:ascii="Verdana" w:hAnsi="Verdana"/>
          <w:sz w:val="24"/>
          <w:szCs w:val="24"/>
        </w:rPr>
        <w:t xml:space="preserve"> Industry </w:t>
      </w:r>
      <w:r w:rsidR="00FC15C7">
        <w:rPr>
          <w:rFonts w:ascii="Verdana" w:hAnsi="Verdana"/>
          <w:sz w:val="24"/>
          <w:szCs w:val="24"/>
        </w:rPr>
        <w:t xml:space="preserve">– </w:t>
      </w:r>
      <w:r w:rsidR="00DB291B">
        <w:rPr>
          <w:rFonts w:ascii="Verdana" w:hAnsi="Verdana"/>
          <w:sz w:val="24"/>
          <w:szCs w:val="24"/>
        </w:rPr>
        <w:t>a</w:t>
      </w:r>
      <w:r w:rsidR="00441724">
        <w:rPr>
          <w:rFonts w:ascii="Verdana" w:hAnsi="Verdana"/>
          <w:sz w:val="24"/>
          <w:szCs w:val="24"/>
        </w:rPr>
        <w:t xml:space="preserve">s </w:t>
      </w:r>
      <w:r w:rsidR="00B6448D">
        <w:rPr>
          <w:rFonts w:ascii="Verdana" w:hAnsi="Verdana"/>
          <w:sz w:val="24"/>
          <w:szCs w:val="24"/>
        </w:rPr>
        <w:t>a</w:t>
      </w:r>
      <w:r w:rsidR="00441724">
        <w:rPr>
          <w:rFonts w:ascii="Verdana" w:hAnsi="Verdana"/>
          <w:sz w:val="24"/>
          <w:szCs w:val="24"/>
        </w:rPr>
        <w:t xml:space="preserve">t </w:t>
      </w:r>
      <w:r w:rsidR="003C6031">
        <w:rPr>
          <w:rFonts w:ascii="Verdana" w:hAnsi="Verdana"/>
          <w:sz w:val="24"/>
          <w:szCs w:val="24"/>
        </w:rPr>
        <w:t>3</w:t>
      </w:r>
      <w:r w:rsidR="006C780E">
        <w:rPr>
          <w:rFonts w:ascii="Verdana" w:hAnsi="Verdana"/>
          <w:sz w:val="24"/>
          <w:szCs w:val="24"/>
        </w:rPr>
        <w:t>0</w:t>
      </w:r>
      <w:r w:rsidR="006C780E" w:rsidRPr="006C780E">
        <w:rPr>
          <w:rFonts w:ascii="Verdana" w:hAnsi="Verdana"/>
          <w:sz w:val="24"/>
          <w:szCs w:val="24"/>
          <w:vertAlign w:val="superscript"/>
        </w:rPr>
        <w:t>th</w:t>
      </w:r>
      <w:r w:rsidR="006C780E">
        <w:rPr>
          <w:rFonts w:ascii="Verdana" w:hAnsi="Verdana"/>
          <w:sz w:val="24"/>
          <w:szCs w:val="24"/>
        </w:rPr>
        <w:t xml:space="preserve"> </w:t>
      </w:r>
      <w:r w:rsidR="00573EA2">
        <w:rPr>
          <w:rFonts w:ascii="Verdana" w:hAnsi="Verdana"/>
          <w:sz w:val="24"/>
          <w:szCs w:val="24"/>
        </w:rPr>
        <w:t>September</w:t>
      </w:r>
      <w:r w:rsidR="00870751">
        <w:rPr>
          <w:rFonts w:ascii="Verdana" w:hAnsi="Verdana"/>
          <w:sz w:val="24"/>
          <w:szCs w:val="24"/>
        </w:rPr>
        <w:t xml:space="preserve"> 20</w:t>
      </w:r>
      <w:r w:rsidR="00863949">
        <w:rPr>
          <w:rFonts w:ascii="Verdana" w:hAnsi="Verdana"/>
          <w:sz w:val="24"/>
          <w:szCs w:val="24"/>
        </w:rPr>
        <w:t>20</w:t>
      </w:r>
    </w:p>
    <w:p w14:paraId="54041766" w14:textId="77777777" w:rsidR="00AB5637" w:rsidRPr="00F7786F" w:rsidRDefault="00AB5637" w:rsidP="001976A7">
      <w:pPr>
        <w:pStyle w:val="Heading1"/>
        <w:spacing w:before="0" w:after="0" w:line="320" w:lineRule="atLeast"/>
        <w:rPr>
          <w:rFonts w:ascii="Verdana" w:hAnsi="Verdana"/>
          <w:b w:val="0"/>
          <w:sz w:val="22"/>
          <w:szCs w:val="22"/>
        </w:rPr>
      </w:pPr>
      <w:r w:rsidRPr="00F7786F">
        <w:rPr>
          <w:rFonts w:ascii="Verdana" w:hAnsi="Verdana"/>
          <w:sz w:val="22"/>
          <w:szCs w:val="22"/>
        </w:rPr>
        <w:t>Mike Brown, Managing Director, etfSA.co.za</w:t>
      </w:r>
    </w:p>
    <w:p w14:paraId="1B1021F2" w14:textId="0A238CED" w:rsidR="005D7F9E" w:rsidRDefault="005D7F9E" w:rsidP="001976A7">
      <w:pPr>
        <w:spacing w:after="0" w:line="320" w:lineRule="atLeast"/>
        <w:jc w:val="both"/>
        <w:rPr>
          <w:rFonts w:ascii="Verdana" w:hAnsi="Verdana"/>
          <w:sz w:val="21"/>
          <w:szCs w:val="21"/>
        </w:rPr>
      </w:pPr>
    </w:p>
    <w:p w14:paraId="10E219DF" w14:textId="77777777" w:rsidR="00DD75B5" w:rsidRDefault="00DD75B5" w:rsidP="001976A7">
      <w:pPr>
        <w:spacing w:after="0" w:line="320" w:lineRule="atLeast"/>
        <w:jc w:val="both"/>
        <w:rPr>
          <w:rFonts w:ascii="Verdana" w:hAnsi="Verdana"/>
          <w:sz w:val="21"/>
          <w:szCs w:val="21"/>
        </w:rPr>
      </w:pPr>
    </w:p>
    <w:p w14:paraId="02968165" w14:textId="03B3257E" w:rsidR="007D1C48" w:rsidRDefault="00511FB5" w:rsidP="00FC62D1">
      <w:pPr>
        <w:spacing w:after="0" w:line="300" w:lineRule="atLeast"/>
        <w:jc w:val="both"/>
        <w:rPr>
          <w:rFonts w:ascii="Verdana" w:hAnsi="Verdana"/>
          <w:b/>
          <w:color w:val="C00000"/>
          <w:sz w:val="24"/>
          <w:szCs w:val="24"/>
        </w:rPr>
      </w:pPr>
      <w:r w:rsidRPr="003A3D19">
        <w:rPr>
          <w:rFonts w:ascii="Verdana" w:hAnsi="Verdana"/>
          <w:b/>
          <w:color w:val="C00000"/>
          <w:sz w:val="24"/>
          <w:szCs w:val="24"/>
        </w:rPr>
        <w:t>Market Capitalisation</w:t>
      </w:r>
    </w:p>
    <w:p w14:paraId="55BE0BF4" w14:textId="45B77F5E" w:rsidR="00D72BC0" w:rsidRDefault="006C780E" w:rsidP="00FC7345">
      <w:pPr>
        <w:spacing w:after="0" w:line="340" w:lineRule="atLeast"/>
        <w:jc w:val="both"/>
        <w:rPr>
          <w:rFonts w:ascii="Verdana" w:hAnsi="Verdana"/>
          <w:color w:val="000000" w:themeColor="text1"/>
          <w:sz w:val="21"/>
          <w:szCs w:val="21"/>
        </w:rPr>
      </w:pPr>
      <w:r>
        <w:rPr>
          <w:rFonts w:ascii="Verdana" w:hAnsi="Verdana"/>
          <w:color w:val="000000" w:themeColor="text1"/>
          <w:sz w:val="21"/>
          <w:szCs w:val="21"/>
        </w:rPr>
        <w:t>T</w:t>
      </w:r>
      <w:r w:rsidR="004E7608">
        <w:rPr>
          <w:rFonts w:ascii="Verdana" w:hAnsi="Verdana"/>
          <w:color w:val="000000" w:themeColor="text1"/>
          <w:sz w:val="21"/>
          <w:szCs w:val="21"/>
        </w:rPr>
        <w:t>he total market capitalisation</w:t>
      </w:r>
      <w:r w:rsidR="004A53EA">
        <w:rPr>
          <w:rFonts w:ascii="Verdana" w:hAnsi="Verdana"/>
          <w:color w:val="000000" w:themeColor="text1"/>
          <w:sz w:val="21"/>
          <w:szCs w:val="21"/>
        </w:rPr>
        <w:t xml:space="preserve"> of </w:t>
      </w:r>
      <w:r>
        <w:rPr>
          <w:rFonts w:ascii="Verdana" w:hAnsi="Verdana"/>
          <w:color w:val="000000" w:themeColor="text1"/>
          <w:sz w:val="21"/>
          <w:szCs w:val="21"/>
        </w:rPr>
        <w:t>all</w:t>
      </w:r>
      <w:r w:rsidR="004A53EA">
        <w:rPr>
          <w:rFonts w:ascii="Verdana" w:hAnsi="Verdana"/>
          <w:color w:val="000000" w:themeColor="text1"/>
          <w:sz w:val="21"/>
          <w:szCs w:val="21"/>
        </w:rPr>
        <w:t xml:space="preserve"> </w:t>
      </w:r>
      <w:r>
        <w:rPr>
          <w:rFonts w:ascii="Verdana" w:hAnsi="Verdana"/>
          <w:color w:val="000000" w:themeColor="text1"/>
          <w:sz w:val="21"/>
          <w:szCs w:val="21"/>
        </w:rPr>
        <w:t>E</w:t>
      </w:r>
      <w:r w:rsidR="004A53EA">
        <w:rPr>
          <w:rFonts w:ascii="Verdana" w:hAnsi="Verdana"/>
          <w:color w:val="000000" w:themeColor="text1"/>
          <w:sz w:val="21"/>
          <w:szCs w:val="21"/>
        </w:rPr>
        <w:t>TF</w:t>
      </w:r>
      <w:r>
        <w:rPr>
          <w:rFonts w:ascii="Verdana" w:hAnsi="Verdana"/>
          <w:color w:val="000000" w:themeColor="text1"/>
          <w:sz w:val="21"/>
          <w:szCs w:val="21"/>
        </w:rPr>
        <w:t>s/</w:t>
      </w:r>
      <w:r w:rsidR="004A53EA">
        <w:rPr>
          <w:rFonts w:ascii="Verdana" w:hAnsi="Verdana"/>
          <w:color w:val="000000" w:themeColor="text1"/>
          <w:sz w:val="21"/>
          <w:szCs w:val="21"/>
        </w:rPr>
        <w:t>ETNs</w:t>
      </w:r>
      <w:r w:rsidR="007D0DE9">
        <w:rPr>
          <w:rFonts w:ascii="Verdana" w:hAnsi="Verdana"/>
          <w:color w:val="000000" w:themeColor="text1"/>
          <w:sz w:val="21"/>
          <w:szCs w:val="21"/>
        </w:rPr>
        <w:t xml:space="preserve">, listed on the JSE, </w:t>
      </w:r>
      <w:r>
        <w:rPr>
          <w:rFonts w:ascii="Verdana" w:hAnsi="Verdana"/>
          <w:color w:val="000000" w:themeColor="text1"/>
          <w:sz w:val="21"/>
          <w:szCs w:val="21"/>
        </w:rPr>
        <w:t>has risen from R100,8 billion at the end of 2019 to R1</w:t>
      </w:r>
      <w:r w:rsidR="00573EA2">
        <w:rPr>
          <w:rFonts w:ascii="Verdana" w:hAnsi="Verdana"/>
          <w:color w:val="000000" w:themeColor="text1"/>
          <w:sz w:val="21"/>
          <w:szCs w:val="21"/>
        </w:rPr>
        <w:t>12</w:t>
      </w:r>
      <w:r>
        <w:rPr>
          <w:rFonts w:ascii="Verdana" w:hAnsi="Verdana"/>
          <w:color w:val="000000" w:themeColor="text1"/>
          <w:sz w:val="21"/>
          <w:szCs w:val="21"/>
        </w:rPr>
        <w:t>,</w:t>
      </w:r>
      <w:r w:rsidR="00573EA2">
        <w:rPr>
          <w:rFonts w:ascii="Verdana" w:hAnsi="Verdana"/>
          <w:color w:val="000000" w:themeColor="text1"/>
          <w:sz w:val="21"/>
          <w:szCs w:val="21"/>
        </w:rPr>
        <w:t>9</w:t>
      </w:r>
      <w:r>
        <w:rPr>
          <w:rFonts w:ascii="Verdana" w:hAnsi="Verdana"/>
          <w:color w:val="000000" w:themeColor="text1"/>
          <w:sz w:val="21"/>
          <w:szCs w:val="21"/>
        </w:rPr>
        <w:t xml:space="preserve"> billion as at 30 </w:t>
      </w:r>
      <w:r w:rsidR="00573EA2">
        <w:rPr>
          <w:rFonts w:ascii="Verdana" w:hAnsi="Verdana"/>
          <w:color w:val="000000" w:themeColor="text1"/>
          <w:sz w:val="21"/>
          <w:szCs w:val="21"/>
        </w:rPr>
        <w:t>September</w:t>
      </w:r>
      <w:r>
        <w:rPr>
          <w:rFonts w:ascii="Verdana" w:hAnsi="Verdana"/>
          <w:color w:val="000000" w:themeColor="text1"/>
          <w:sz w:val="21"/>
          <w:szCs w:val="21"/>
        </w:rPr>
        <w:t xml:space="preserve"> 2020, an increase of </w:t>
      </w:r>
      <w:r w:rsidR="00573EA2">
        <w:rPr>
          <w:rFonts w:ascii="Verdana" w:hAnsi="Verdana"/>
          <w:color w:val="000000" w:themeColor="text1"/>
          <w:sz w:val="21"/>
          <w:szCs w:val="21"/>
        </w:rPr>
        <w:t>12</w:t>
      </w:r>
      <w:r>
        <w:rPr>
          <w:rFonts w:ascii="Verdana" w:hAnsi="Verdana"/>
          <w:color w:val="000000" w:themeColor="text1"/>
          <w:sz w:val="21"/>
          <w:szCs w:val="21"/>
        </w:rPr>
        <w:t>,</w:t>
      </w:r>
      <w:r w:rsidR="00573EA2">
        <w:rPr>
          <w:rFonts w:ascii="Verdana" w:hAnsi="Verdana"/>
          <w:color w:val="000000" w:themeColor="text1"/>
          <w:sz w:val="21"/>
          <w:szCs w:val="21"/>
        </w:rPr>
        <w:t>0</w:t>
      </w:r>
      <w:r>
        <w:rPr>
          <w:rFonts w:ascii="Verdana" w:hAnsi="Verdana"/>
          <w:color w:val="000000" w:themeColor="text1"/>
          <w:sz w:val="21"/>
          <w:szCs w:val="21"/>
        </w:rPr>
        <w:t xml:space="preserve">%.  </w:t>
      </w:r>
    </w:p>
    <w:p w14:paraId="07AF6E62" w14:textId="702A6942" w:rsidR="00D826DB" w:rsidRDefault="00D826DB" w:rsidP="00137500">
      <w:pPr>
        <w:spacing w:after="0" w:line="340" w:lineRule="atLeast"/>
        <w:jc w:val="both"/>
        <w:rPr>
          <w:rFonts w:ascii="Verdana" w:hAnsi="Verdana"/>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7236"/>
      </w:tblGrid>
      <w:tr w:rsidR="00F411F7" w14:paraId="02D18F07" w14:textId="77777777" w:rsidTr="00573EA2">
        <w:tc>
          <w:tcPr>
            <w:tcW w:w="2685" w:type="dxa"/>
            <w:vAlign w:val="center"/>
          </w:tcPr>
          <w:p w14:paraId="02258EFA" w14:textId="05E72A72" w:rsidR="00F13A0B" w:rsidRDefault="00F13A0B" w:rsidP="00FC7345">
            <w:pPr>
              <w:spacing w:line="340" w:lineRule="atLeast"/>
              <w:rPr>
                <w:rFonts w:ascii="Verdana" w:hAnsi="Verdana"/>
                <w:color w:val="000000" w:themeColor="text1"/>
                <w:sz w:val="21"/>
                <w:szCs w:val="21"/>
              </w:rPr>
            </w:pPr>
            <w:r>
              <w:rPr>
                <w:rFonts w:ascii="Verdana" w:hAnsi="Verdana"/>
                <w:color w:val="000000" w:themeColor="text1"/>
                <w:sz w:val="21"/>
                <w:szCs w:val="21"/>
              </w:rPr>
              <w:t>T</w:t>
            </w:r>
            <w:r w:rsidR="00573EA2">
              <w:rPr>
                <w:rFonts w:ascii="Verdana" w:hAnsi="Verdana"/>
                <w:color w:val="000000" w:themeColor="text1"/>
                <w:sz w:val="21"/>
                <w:szCs w:val="21"/>
              </w:rPr>
              <w:t xml:space="preserve">he total market capitalisation of the SA ETP industry declined to R91,7 billion, </w:t>
            </w:r>
            <w:r>
              <w:rPr>
                <w:rFonts w:ascii="Verdana" w:hAnsi="Verdana"/>
                <w:color w:val="000000" w:themeColor="text1"/>
                <w:sz w:val="21"/>
                <w:szCs w:val="21"/>
              </w:rPr>
              <w:t xml:space="preserve">in the first quarter of 2020, when the impending COVID-19 crises and other uncertainties led to a sharp drop in global and local equity markets. </w:t>
            </w:r>
          </w:p>
          <w:p w14:paraId="498C9909" w14:textId="77777777" w:rsidR="00F13A0B" w:rsidRDefault="00F13A0B" w:rsidP="00FC7345">
            <w:pPr>
              <w:spacing w:line="340" w:lineRule="atLeast"/>
              <w:rPr>
                <w:rFonts w:ascii="Verdana" w:hAnsi="Verdana"/>
                <w:color w:val="000000" w:themeColor="text1"/>
                <w:sz w:val="21"/>
                <w:szCs w:val="21"/>
              </w:rPr>
            </w:pPr>
          </w:p>
          <w:p w14:paraId="1EC26A6C" w14:textId="2E396B4F" w:rsidR="00185009" w:rsidRPr="00FB21A9" w:rsidRDefault="00F13A0B" w:rsidP="00FC7345">
            <w:pPr>
              <w:spacing w:line="340" w:lineRule="atLeast"/>
              <w:rPr>
                <w:rFonts w:ascii="Verdana" w:hAnsi="Verdana"/>
                <w:color w:val="000000" w:themeColor="text1"/>
                <w:sz w:val="21"/>
                <w:szCs w:val="21"/>
              </w:rPr>
            </w:pPr>
            <w:r>
              <w:rPr>
                <w:rFonts w:ascii="Verdana" w:hAnsi="Verdana"/>
                <w:color w:val="000000" w:themeColor="text1"/>
                <w:sz w:val="21"/>
                <w:szCs w:val="21"/>
              </w:rPr>
              <w:t xml:space="preserve">The subsequent </w:t>
            </w:r>
            <w:r w:rsidR="00573EA2">
              <w:rPr>
                <w:rFonts w:ascii="Verdana" w:hAnsi="Verdana"/>
                <w:color w:val="000000" w:themeColor="text1"/>
                <w:sz w:val="21"/>
                <w:szCs w:val="21"/>
              </w:rPr>
              <w:t xml:space="preserve">recovery in the next two quarters has been significant. </w:t>
            </w:r>
          </w:p>
        </w:tc>
        <w:tc>
          <w:tcPr>
            <w:tcW w:w="7236" w:type="dxa"/>
            <w:vAlign w:val="center"/>
          </w:tcPr>
          <w:p w14:paraId="237962D7" w14:textId="56EE60A6" w:rsidR="00D826DB" w:rsidRDefault="00573EA2" w:rsidP="00F411F7">
            <w:pPr>
              <w:spacing w:line="340" w:lineRule="atLeast"/>
              <w:jc w:val="right"/>
              <w:rPr>
                <w:rFonts w:ascii="Verdana" w:hAnsi="Verdana"/>
                <w:color w:val="000000" w:themeColor="text1"/>
                <w:sz w:val="21"/>
                <w:szCs w:val="21"/>
              </w:rPr>
            </w:pPr>
            <w:r>
              <w:rPr>
                <w:noProof/>
              </w:rPr>
              <w:drawing>
                <wp:inline distT="0" distB="0" distL="0" distR="0" wp14:anchorId="11FE9C9F" wp14:editId="378A63A1">
                  <wp:extent cx="4451351" cy="2860676"/>
                  <wp:effectExtent l="0" t="0" r="6350" b="15875"/>
                  <wp:docPr id="2" name="Chart 2">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CCC5C48" w14:textId="5F694416" w:rsidR="00AE720D" w:rsidRDefault="00AE720D" w:rsidP="00CD37BB">
      <w:pPr>
        <w:spacing w:after="0" w:line="320" w:lineRule="atLeast"/>
        <w:jc w:val="both"/>
        <w:rPr>
          <w:rFonts w:ascii="Verdana" w:hAnsi="Verdana"/>
          <w:color w:val="000000" w:themeColor="text1"/>
          <w:sz w:val="21"/>
          <w:szCs w:val="21"/>
        </w:rPr>
      </w:pPr>
    </w:p>
    <w:p w14:paraId="0EBC0DC7" w14:textId="04305ACF" w:rsidR="004A7DA9" w:rsidRDefault="00573EA2" w:rsidP="00FC7345">
      <w:pPr>
        <w:spacing w:after="0" w:line="340" w:lineRule="atLeast"/>
        <w:jc w:val="both"/>
        <w:rPr>
          <w:rFonts w:ascii="Verdana" w:hAnsi="Verdana"/>
          <w:color w:val="000000" w:themeColor="text1"/>
          <w:sz w:val="21"/>
          <w:szCs w:val="21"/>
        </w:rPr>
      </w:pPr>
      <w:r>
        <w:rPr>
          <w:rFonts w:ascii="Verdana" w:hAnsi="Verdana"/>
          <w:color w:val="000000" w:themeColor="text1"/>
          <w:sz w:val="21"/>
          <w:szCs w:val="21"/>
        </w:rPr>
        <w:t xml:space="preserve">Behind this big increase (by over R21 billion) in the size of the industry over the past 2 quarters, has been: </w:t>
      </w:r>
    </w:p>
    <w:p w14:paraId="4E186BF3" w14:textId="19F23551" w:rsidR="00573EA2" w:rsidRDefault="00573EA2" w:rsidP="00FC7345">
      <w:pPr>
        <w:spacing w:after="0" w:line="340" w:lineRule="atLeast"/>
        <w:jc w:val="both"/>
        <w:rPr>
          <w:rFonts w:ascii="Verdana" w:hAnsi="Verdana"/>
          <w:color w:val="000000" w:themeColor="text1"/>
          <w:sz w:val="21"/>
          <w:szCs w:val="21"/>
        </w:rPr>
      </w:pPr>
    </w:p>
    <w:p w14:paraId="7BF42C21" w14:textId="1B086684" w:rsidR="00573EA2" w:rsidRDefault="00573EA2" w:rsidP="00573EA2">
      <w:pPr>
        <w:pStyle w:val="ListParagraph"/>
        <w:numPr>
          <w:ilvl w:val="0"/>
          <w:numId w:val="16"/>
        </w:numPr>
        <w:spacing w:after="0" w:line="340" w:lineRule="atLeast"/>
        <w:jc w:val="both"/>
        <w:rPr>
          <w:rFonts w:ascii="Verdana" w:hAnsi="Verdana"/>
          <w:color w:val="000000" w:themeColor="text1"/>
          <w:sz w:val="21"/>
          <w:szCs w:val="21"/>
        </w:rPr>
      </w:pPr>
      <w:r>
        <w:rPr>
          <w:rFonts w:ascii="Verdana" w:hAnsi="Verdana"/>
          <w:color w:val="000000" w:themeColor="text1"/>
          <w:sz w:val="21"/>
          <w:szCs w:val="21"/>
        </w:rPr>
        <w:t xml:space="preserve">The </w:t>
      </w:r>
      <w:r w:rsidR="001D296F">
        <w:rPr>
          <w:rFonts w:ascii="Verdana" w:hAnsi="Verdana"/>
          <w:color w:val="000000" w:themeColor="text1"/>
          <w:sz w:val="21"/>
          <w:szCs w:val="21"/>
        </w:rPr>
        <w:t>rebound in global equity markets, particularly in the US.</w:t>
      </w:r>
    </w:p>
    <w:p w14:paraId="1817A3FF" w14:textId="2D3481EC" w:rsidR="001D296F" w:rsidRDefault="001D296F" w:rsidP="00573EA2">
      <w:pPr>
        <w:pStyle w:val="ListParagraph"/>
        <w:numPr>
          <w:ilvl w:val="0"/>
          <w:numId w:val="16"/>
        </w:numPr>
        <w:spacing w:after="0" w:line="340" w:lineRule="atLeast"/>
        <w:jc w:val="both"/>
        <w:rPr>
          <w:rFonts w:ascii="Verdana" w:hAnsi="Verdana"/>
          <w:color w:val="000000" w:themeColor="text1"/>
          <w:sz w:val="21"/>
          <w:szCs w:val="21"/>
        </w:rPr>
      </w:pPr>
      <w:r>
        <w:rPr>
          <w:rFonts w:ascii="Verdana" w:hAnsi="Verdana"/>
          <w:color w:val="000000" w:themeColor="text1"/>
          <w:sz w:val="21"/>
          <w:szCs w:val="21"/>
        </w:rPr>
        <w:t xml:space="preserve">A </w:t>
      </w:r>
      <w:r w:rsidR="00F13A0B">
        <w:rPr>
          <w:rFonts w:ascii="Verdana" w:hAnsi="Verdana"/>
          <w:color w:val="000000" w:themeColor="text1"/>
          <w:sz w:val="21"/>
          <w:szCs w:val="21"/>
        </w:rPr>
        <w:t>broad</w:t>
      </w:r>
      <w:r>
        <w:rPr>
          <w:rFonts w:ascii="Verdana" w:hAnsi="Verdana"/>
          <w:color w:val="000000" w:themeColor="text1"/>
          <w:sz w:val="21"/>
          <w:szCs w:val="21"/>
        </w:rPr>
        <w:t xml:space="preserve"> increase in commodity prices, notably precious metals and PGM metals, </w:t>
      </w:r>
      <w:r w:rsidR="00F13A0B">
        <w:rPr>
          <w:rFonts w:ascii="Verdana" w:hAnsi="Verdana"/>
          <w:color w:val="000000" w:themeColor="text1"/>
          <w:sz w:val="21"/>
          <w:szCs w:val="21"/>
        </w:rPr>
        <w:t>which</w:t>
      </w:r>
      <w:r>
        <w:rPr>
          <w:rFonts w:ascii="Verdana" w:hAnsi="Verdana"/>
          <w:color w:val="000000" w:themeColor="text1"/>
          <w:sz w:val="21"/>
          <w:szCs w:val="21"/>
        </w:rPr>
        <w:t xml:space="preserve"> have attracted attention as an alternative investment</w:t>
      </w:r>
      <w:r w:rsidR="00F13A0B">
        <w:rPr>
          <w:rFonts w:ascii="Verdana" w:hAnsi="Verdana"/>
          <w:color w:val="000000" w:themeColor="text1"/>
          <w:sz w:val="21"/>
          <w:szCs w:val="21"/>
        </w:rPr>
        <w:t xml:space="preserve"> asset class</w:t>
      </w:r>
      <w:r>
        <w:rPr>
          <w:rFonts w:ascii="Verdana" w:hAnsi="Verdana"/>
          <w:color w:val="000000" w:themeColor="text1"/>
          <w:sz w:val="21"/>
          <w:szCs w:val="21"/>
        </w:rPr>
        <w:t xml:space="preserve">. </w:t>
      </w:r>
    </w:p>
    <w:p w14:paraId="01582F97" w14:textId="4AA04391" w:rsidR="001D296F" w:rsidRDefault="001D296F" w:rsidP="00573EA2">
      <w:pPr>
        <w:pStyle w:val="ListParagraph"/>
        <w:numPr>
          <w:ilvl w:val="0"/>
          <w:numId w:val="16"/>
        </w:numPr>
        <w:spacing w:after="0" w:line="340" w:lineRule="atLeast"/>
        <w:jc w:val="both"/>
        <w:rPr>
          <w:rFonts w:ascii="Verdana" w:hAnsi="Verdana"/>
          <w:color w:val="000000" w:themeColor="text1"/>
          <w:sz w:val="21"/>
          <w:szCs w:val="21"/>
        </w:rPr>
      </w:pPr>
      <w:r>
        <w:rPr>
          <w:rFonts w:ascii="Verdana" w:hAnsi="Verdana"/>
          <w:color w:val="000000" w:themeColor="text1"/>
          <w:sz w:val="21"/>
          <w:szCs w:val="21"/>
        </w:rPr>
        <w:t xml:space="preserve">A rebound in the SA equity market, although it still remains well below its previous highs. </w:t>
      </w:r>
    </w:p>
    <w:p w14:paraId="014CEBAB" w14:textId="4CA357E0" w:rsidR="001D296F" w:rsidRDefault="001D296F" w:rsidP="001D296F">
      <w:pPr>
        <w:spacing w:after="0" w:line="340" w:lineRule="atLeast"/>
        <w:jc w:val="both"/>
        <w:rPr>
          <w:rFonts w:ascii="Verdana" w:hAnsi="Verdana"/>
          <w:color w:val="000000" w:themeColor="text1"/>
          <w:sz w:val="21"/>
          <w:szCs w:val="21"/>
        </w:rPr>
      </w:pPr>
    </w:p>
    <w:p w14:paraId="316EFB6D" w14:textId="0FB6BD8A" w:rsidR="001D296F" w:rsidRPr="001D296F" w:rsidRDefault="001D296F" w:rsidP="001D296F">
      <w:pPr>
        <w:spacing w:after="0" w:line="340" w:lineRule="atLeast"/>
        <w:jc w:val="both"/>
        <w:rPr>
          <w:rFonts w:ascii="Verdana" w:hAnsi="Verdana"/>
          <w:color w:val="000000" w:themeColor="text1"/>
          <w:sz w:val="21"/>
          <w:szCs w:val="21"/>
        </w:rPr>
      </w:pPr>
      <w:r>
        <w:rPr>
          <w:rFonts w:ascii="Verdana" w:hAnsi="Verdana"/>
          <w:color w:val="000000" w:themeColor="text1"/>
          <w:sz w:val="21"/>
          <w:szCs w:val="21"/>
        </w:rPr>
        <w:t xml:space="preserve">As well over 70% of the market capitalisation of the South African Exchange Traded Product industry is contributed by foreign referenced equity and commodity tracking ETFs and ETNs, the global revival, aided by some depreciation in the rand exchange rate, has been the key factor in the </w:t>
      </w:r>
      <w:r w:rsidR="00F13A0B">
        <w:rPr>
          <w:rFonts w:ascii="Verdana" w:hAnsi="Verdana"/>
          <w:color w:val="000000" w:themeColor="text1"/>
          <w:sz w:val="21"/>
          <w:szCs w:val="21"/>
        </w:rPr>
        <w:t xml:space="preserve">recent </w:t>
      </w:r>
      <w:r>
        <w:rPr>
          <w:rFonts w:ascii="Verdana" w:hAnsi="Verdana"/>
          <w:color w:val="000000" w:themeColor="text1"/>
          <w:sz w:val="21"/>
          <w:szCs w:val="21"/>
        </w:rPr>
        <w:t xml:space="preserve">ETP industry revival. </w:t>
      </w:r>
    </w:p>
    <w:p w14:paraId="512BBC6C" w14:textId="78426D26" w:rsidR="001D296F" w:rsidRDefault="001D296F">
      <w:pPr>
        <w:rPr>
          <w:rFonts w:ascii="Verdana" w:hAnsi="Verdana"/>
          <w:color w:val="000000" w:themeColor="text1"/>
          <w:sz w:val="21"/>
          <w:szCs w:val="21"/>
        </w:rPr>
      </w:pPr>
      <w:r>
        <w:rPr>
          <w:rFonts w:ascii="Verdana" w:hAnsi="Verdana"/>
          <w:color w:val="000000" w:themeColor="text1"/>
          <w:sz w:val="21"/>
          <w:szCs w:val="21"/>
        </w:rPr>
        <w:br w:type="page"/>
      </w:r>
    </w:p>
    <w:p w14:paraId="27624384" w14:textId="77777777" w:rsidR="00573EA2" w:rsidRPr="00E01C02" w:rsidRDefault="00573EA2" w:rsidP="00E01C02">
      <w:pPr>
        <w:spacing w:after="0" w:line="240" w:lineRule="auto"/>
        <w:jc w:val="both"/>
        <w:rPr>
          <w:rFonts w:ascii="Verdana" w:hAnsi="Verdana"/>
          <w:color w:val="000000" w:themeColor="text1"/>
          <w:sz w:val="16"/>
          <w:szCs w:val="16"/>
        </w:rPr>
      </w:pPr>
    </w:p>
    <w:p w14:paraId="6B7A6171" w14:textId="31509AA9" w:rsidR="004B0713" w:rsidRPr="003A3D19" w:rsidRDefault="00B5062D" w:rsidP="00FC7345">
      <w:pPr>
        <w:spacing w:after="0" w:line="340" w:lineRule="atLeast"/>
        <w:jc w:val="both"/>
        <w:rPr>
          <w:rFonts w:ascii="Verdana" w:hAnsi="Verdana"/>
          <w:b/>
          <w:color w:val="C00000"/>
          <w:sz w:val="24"/>
          <w:szCs w:val="24"/>
        </w:rPr>
      </w:pPr>
      <w:r>
        <w:rPr>
          <w:rFonts w:ascii="Verdana" w:hAnsi="Verdana"/>
          <w:b/>
          <w:color w:val="C00000"/>
          <w:sz w:val="24"/>
          <w:szCs w:val="24"/>
        </w:rPr>
        <w:t>New Capital Raised</w:t>
      </w:r>
    </w:p>
    <w:p w14:paraId="09EDFA33" w14:textId="74307FE9" w:rsidR="003F76E0" w:rsidRDefault="00DD75B5" w:rsidP="00FC7345">
      <w:pPr>
        <w:spacing w:after="0" w:line="340" w:lineRule="atLeast"/>
        <w:rPr>
          <w:rFonts w:ascii="Verdana" w:hAnsi="Verdana"/>
          <w:color w:val="000000"/>
          <w:sz w:val="21"/>
          <w:szCs w:val="21"/>
        </w:rPr>
      </w:pPr>
      <w:r>
        <w:rPr>
          <w:rFonts w:ascii="Verdana" w:hAnsi="Verdana"/>
          <w:color w:val="000000"/>
          <w:sz w:val="21"/>
          <w:szCs w:val="21"/>
        </w:rPr>
        <w:t xml:space="preserve">The growth in the size of the local ETP industry </w:t>
      </w:r>
      <w:r w:rsidR="00F13A0B">
        <w:rPr>
          <w:rFonts w:ascii="Verdana" w:hAnsi="Verdana"/>
          <w:color w:val="000000"/>
          <w:sz w:val="21"/>
          <w:szCs w:val="21"/>
        </w:rPr>
        <w:t xml:space="preserve">to date this year </w:t>
      </w:r>
      <w:r>
        <w:rPr>
          <w:rFonts w:ascii="Verdana" w:hAnsi="Verdana"/>
          <w:color w:val="000000"/>
          <w:sz w:val="21"/>
          <w:szCs w:val="21"/>
        </w:rPr>
        <w:t>has been due to the recovery in prices of m</w:t>
      </w:r>
      <w:r w:rsidR="00147712">
        <w:rPr>
          <w:rFonts w:ascii="Verdana" w:hAnsi="Verdana"/>
          <w:color w:val="000000"/>
          <w:sz w:val="21"/>
          <w:szCs w:val="21"/>
        </w:rPr>
        <w:t>any</w:t>
      </w:r>
      <w:r>
        <w:rPr>
          <w:rFonts w:ascii="Verdana" w:hAnsi="Verdana"/>
          <w:color w:val="000000"/>
          <w:sz w:val="21"/>
          <w:szCs w:val="21"/>
        </w:rPr>
        <w:t xml:space="preserve"> of the market</w:t>
      </w:r>
      <w:r w:rsidR="00147712">
        <w:rPr>
          <w:rFonts w:ascii="Verdana" w:hAnsi="Verdana"/>
          <w:color w:val="000000"/>
          <w:sz w:val="21"/>
          <w:szCs w:val="21"/>
        </w:rPr>
        <w:t>s</w:t>
      </w:r>
      <w:r>
        <w:rPr>
          <w:rFonts w:ascii="Verdana" w:hAnsi="Verdana"/>
          <w:color w:val="000000"/>
          <w:sz w:val="21"/>
          <w:szCs w:val="21"/>
        </w:rPr>
        <w:t xml:space="preserve"> and assets </w:t>
      </w:r>
      <w:r w:rsidR="00147712">
        <w:rPr>
          <w:rFonts w:ascii="Verdana" w:hAnsi="Verdana"/>
          <w:color w:val="000000"/>
          <w:sz w:val="21"/>
          <w:szCs w:val="21"/>
        </w:rPr>
        <w:t>tracked</w:t>
      </w:r>
      <w:r>
        <w:rPr>
          <w:rFonts w:ascii="Verdana" w:hAnsi="Verdana"/>
          <w:color w:val="000000"/>
          <w:sz w:val="21"/>
          <w:szCs w:val="21"/>
        </w:rPr>
        <w:t xml:space="preserve">, rather than because of new capital raised by the listing of new ETPs, or the issue of new securities </w:t>
      </w:r>
      <w:r w:rsidR="00F13A0B">
        <w:rPr>
          <w:rFonts w:ascii="Verdana" w:hAnsi="Verdana"/>
          <w:color w:val="000000"/>
          <w:sz w:val="21"/>
          <w:szCs w:val="21"/>
        </w:rPr>
        <w:t xml:space="preserve">for ETPs </w:t>
      </w:r>
      <w:r>
        <w:rPr>
          <w:rFonts w:ascii="Verdana" w:hAnsi="Verdana"/>
          <w:color w:val="000000"/>
          <w:sz w:val="21"/>
          <w:szCs w:val="21"/>
        </w:rPr>
        <w:t xml:space="preserve">already listed on the JSE. </w:t>
      </w:r>
    </w:p>
    <w:p w14:paraId="65911C7F" w14:textId="0AFF2C8D" w:rsidR="00DD75B5" w:rsidRDefault="00DD75B5" w:rsidP="00FC7345">
      <w:pPr>
        <w:spacing w:after="0" w:line="340" w:lineRule="atLeast"/>
        <w:rPr>
          <w:rFonts w:ascii="Verdana" w:hAnsi="Verdana"/>
          <w:color w:val="000000"/>
          <w:sz w:val="21"/>
          <w:szCs w:val="21"/>
        </w:rPr>
      </w:pPr>
    </w:p>
    <w:p w14:paraId="7A5CCCB9" w14:textId="2B96DFB9" w:rsidR="00DD75B5" w:rsidRDefault="00DD75B5" w:rsidP="00FC7345">
      <w:pPr>
        <w:spacing w:after="0" w:line="340" w:lineRule="atLeast"/>
        <w:rPr>
          <w:rFonts w:ascii="Verdana" w:hAnsi="Verdana"/>
          <w:color w:val="000000"/>
          <w:sz w:val="21"/>
          <w:szCs w:val="21"/>
        </w:rPr>
      </w:pPr>
      <w:r>
        <w:rPr>
          <w:rFonts w:ascii="Verdana" w:hAnsi="Verdana"/>
          <w:color w:val="000000"/>
          <w:sz w:val="21"/>
          <w:szCs w:val="21"/>
        </w:rPr>
        <w:t xml:space="preserve">For the first </w:t>
      </w:r>
      <w:r w:rsidR="001D296F">
        <w:rPr>
          <w:rFonts w:ascii="Verdana" w:hAnsi="Verdana"/>
          <w:color w:val="000000"/>
          <w:sz w:val="21"/>
          <w:szCs w:val="21"/>
        </w:rPr>
        <w:t>9</w:t>
      </w:r>
      <w:r>
        <w:rPr>
          <w:rFonts w:ascii="Verdana" w:hAnsi="Verdana"/>
          <w:color w:val="000000"/>
          <w:sz w:val="21"/>
          <w:szCs w:val="21"/>
        </w:rPr>
        <w:t xml:space="preserve"> months of 2020, the total capital i</w:t>
      </w:r>
      <w:r w:rsidR="00F13A0B">
        <w:rPr>
          <w:rFonts w:ascii="Verdana" w:hAnsi="Verdana"/>
          <w:color w:val="000000"/>
          <w:sz w:val="21"/>
          <w:szCs w:val="21"/>
        </w:rPr>
        <w:t>n the industry,</w:t>
      </w:r>
      <w:r>
        <w:rPr>
          <w:rFonts w:ascii="Verdana" w:hAnsi="Verdana"/>
          <w:color w:val="000000"/>
          <w:sz w:val="21"/>
          <w:szCs w:val="21"/>
        </w:rPr>
        <w:t xml:space="preserve"> fell by R</w:t>
      </w:r>
      <w:r w:rsidR="001D296F">
        <w:rPr>
          <w:rFonts w:ascii="Verdana" w:hAnsi="Verdana"/>
          <w:color w:val="000000"/>
          <w:sz w:val="21"/>
          <w:szCs w:val="21"/>
        </w:rPr>
        <w:t>4</w:t>
      </w:r>
      <w:r>
        <w:rPr>
          <w:rFonts w:ascii="Verdana" w:hAnsi="Verdana"/>
          <w:color w:val="000000"/>
          <w:sz w:val="21"/>
          <w:szCs w:val="21"/>
        </w:rPr>
        <w:t> </w:t>
      </w:r>
      <w:r w:rsidR="001D296F">
        <w:rPr>
          <w:rFonts w:ascii="Verdana" w:hAnsi="Verdana"/>
          <w:color w:val="000000"/>
          <w:sz w:val="21"/>
          <w:szCs w:val="21"/>
        </w:rPr>
        <w:t>684</w:t>
      </w:r>
      <w:r>
        <w:rPr>
          <w:rFonts w:ascii="Verdana" w:hAnsi="Verdana"/>
          <w:color w:val="000000"/>
          <w:sz w:val="21"/>
          <w:szCs w:val="21"/>
        </w:rPr>
        <w:t>,</w:t>
      </w:r>
      <w:r w:rsidR="001D296F">
        <w:rPr>
          <w:rFonts w:ascii="Verdana" w:hAnsi="Verdana"/>
          <w:color w:val="000000"/>
          <w:sz w:val="21"/>
          <w:szCs w:val="21"/>
        </w:rPr>
        <w:t>2</w:t>
      </w:r>
      <w:r>
        <w:rPr>
          <w:rFonts w:ascii="Verdana" w:hAnsi="Verdana"/>
          <w:color w:val="000000"/>
          <w:sz w:val="21"/>
          <w:szCs w:val="21"/>
        </w:rPr>
        <w:t xml:space="preserve"> million.  The key contributor was the delisting of the three global ETNs issued by Deutsche Bank, which covered the Chinese, Emerging and Africa</w:t>
      </w:r>
      <w:r w:rsidR="00147712">
        <w:rPr>
          <w:rFonts w:ascii="Verdana" w:hAnsi="Verdana"/>
          <w:color w:val="000000"/>
          <w:sz w:val="21"/>
          <w:szCs w:val="21"/>
        </w:rPr>
        <w:t>n</w:t>
      </w:r>
      <w:r>
        <w:rPr>
          <w:rFonts w:ascii="Verdana" w:hAnsi="Verdana"/>
          <w:color w:val="000000"/>
          <w:sz w:val="21"/>
          <w:szCs w:val="21"/>
        </w:rPr>
        <w:t xml:space="preserve"> Equity Markets</w:t>
      </w:r>
      <w:r w:rsidR="00F13A0B">
        <w:rPr>
          <w:rFonts w:ascii="Verdana" w:hAnsi="Verdana"/>
          <w:color w:val="000000"/>
          <w:sz w:val="21"/>
          <w:szCs w:val="21"/>
        </w:rPr>
        <w:t xml:space="preserve"> in January 2020</w:t>
      </w:r>
      <w:r>
        <w:rPr>
          <w:rFonts w:ascii="Verdana" w:hAnsi="Verdana"/>
          <w:color w:val="000000"/>
          <w:sz w:val="21"/>
          <w:szCs w:val="21"/>
        </w:rPr>
        <w:t>.  This delisting, as the</w:t>
      </w:r>
      <w:r w:rsidR="00147712">
        <w:rPr>
          <w:rFonts w:ascii="Verdana" w:hAnsi="Verdana"/>
          <w:color w:val="000000"/>
          <w:sz w:val="21"/>
          <w:szCs w:val="21"/>
        </w:rPr>
        <w:t>se</w:t>
      </w:r>
      <w:r>
        <w:rPr>
          <w:rFonts w:ascii="Verdana" w:hAnsi="Verdana"/>
          <w:color w:val="000000"/>
          <w:sz w:val="21"/>
          <w:szCs w:val="21"/>
        </w:rPr>
        <w:t xml:space="preserve"> ETNs matured, resulted in a net capital redemption of R5 672,2 million. </w:t>
      </w:r>
      <w:r w:rsidR="001D296F">
        <w:rPr>
          <w:rFonts w:ascii="Verdana" w:hAnsi="Verdana"/>
          <w:color w:val="000000"/>
          <w:sz w:val="21"/>
          <w:szCs w:val="21"/>
        </w:rPr>
        <w:t xml:space="preserve"> In addition, six ETNs, listed by Standard Bank, also reached their 10-year maturity date in the third quarter of 2020 and the delisting of these products accounted for a </w:t>
      </w:r>
      <w:r w:rsidR="00F13A0B">
        <w:rPr>
          <w:rFonts w:ascii="Verdana" w:hAnsi="Verdana"/>
          <w:color w:val="000000"/>
          <w:sz w:val="21"/>
          <w:szCs w:val="21"/>
        </w:rPr>
        <w:t xml:space="preserve">further </w:t>
      </w:r>
      <w:r w:rsidR="001D296F">
        <w:rPr>
          <w:rFonts w:ascii="Verdana" w:hAnsi="Verdana"/>
          <w:color w:val="000000"/>
          <w:sz w:val="21"/>
          <w:szCs w:val="21"/>
        </w:rPr>
        <w:t xml:space="preserve">net redemption of R1 520 million. </w:t>
      </w:r>
      <w:r w:rsidR="00E01C02">
        <w:rPr>
          <w:rFonts w:ascii="Verdana" w:hAnsi="Verdana"/>
          <w:color w:val="000000"/>
          <w:sz w:val="21"/>
          <w:szCs w:val="21"/>
        </w:rPr>
        <w:t xml:space="preserve"> The Standard Bank Oil ETF was able to raise new capital and list additional units as interest in oil, as an investment, picked up in the second quarter of 2020. </w:t>
      </w:r>
    </w:p>
    <w:p w14:paraId="50492CD3" w14:textId="224968CE" w:rsidR="001D296F" w:rsidRDefault="001D296F" w:rsidP="00FC7345">
      <w:pPr>
        <w:spacing w:after="0" w:line="340" w:lineRule="atLeast"/>
        <w:rPr>
          <w:rFonts w:ascii="Verdana" w:hAnsi="Verdana"/>
          <w:color w:val="000000"/>
          <w:sz w:val="21"/>
          <w:szCs w:val="21"/>
        </w:rPr>
      </w:pPr>
    </w:p>
    <w:p w14:paraId="75466B9E" w14:textId="60A67616" w:rsidR="001D296F" w:rsidRDefault="001D296F" w:rsidP="00FC7345">
      <w:pPr>
        <w:spacing w:after="0" w:line="340" w:lineRule="atLeast"/>
        <w:rPr>
          <w:rFonts w:ascii="Verdana" w:hAnsi="Verdana"/>
          <w:color w:val="000000"/>
          <w:sz w:val="21"/>
          <w:szCs w:val="21"/>
        </w:rPr>
      </w:pPr>
      <w:r>
        <w:rPr>
          <w:rFonts w:ascii="Verdana" w:hAnsi="Verdana"/>
          <w:color w:val="000000"/>
          <w:sz w:val="21"/>
          <w:szCs w:val="21"/>
        </w:rPr>
        <w:t xml:space="preserve">The delisting of the Deutsche and Standard Bank ETNs was only partially offset by new listings of ETFs over this period.  </w:t>
      </w:r>
    </w:p>
    <w:p w14:paraId="6D0D1F1A" w14:textId="2B6F24FA" w:rsidR="001D296F" w:rsidRDefault="001D296F" w:rsidP="00FC7345">
      <w:pPr>
        <w:spacing w:after="0" w:line="340" w:lineRule="atLeast"/>
        <w:rPr>
          <w:rFonts w:ascii="Verdana" w:hAnsi="Verdana"/>
          <w:color w:val="000000"/>
          <w:sz w:val="21"/>
          <w:szCs w:val="21"/>
        </w:rPr>
      </w:pPr>
    </w:p>
    <w:p w14:paraId="61EA6076" w14:textId="23077B22" w:rsidR="001D296F" w:rsidRDefault="001D296F" w:rsidP="00FC7345">
      <w:pPr>
        <w:spacing w:after="0" w:line="340" w:lineRule="atLeast"/>
        <w:rPr>
          <w:rFonts w:ascii="Verdana" w:hAnsi="Verdana"/>
          <w:color w:val="000000"/>
          <w:sz w:val="21"/>
          <w:szCs w:val="21"/>
        </w:rPr>
      </w:pPr>
      <w:r>
        <w:rPr>
          <w:rFonts w:ascii="Verdana" w:hAnsi="Verdana"/>
          <w:color w:val="000000"/>
          <w:sz w:val="21"/>
          <w:szCs w:val="21"/>
        </w:rPr>
        <w:t>Table A shows the net capital raised or redeemed by the issue</w:t>
      </w:r>
      <w:r w:rsidR="00F13A0B">
        <w:rPr>
          <w:rFonts w:ascii="Verdana" w:hAnsi="Verdana"/>
          <w:color w:val="000000"/>
          <w:sz w:val="21"/>
          <w:szCs w:val="21"/>
        </w:rPr>
        <w:t>r</w:t>
      </w:r>
      <w:r>
        <w:rPr>
          <w:rFonts w:ascii="Verdana" w:hAnsi="Verdana"/>
          <w:color w:val="000000"/>
          <w:sz w:val="21"/>
          <w:szCs w:val="21"/>
        </w:rPr>
        <w:t xml:space="preserve">s of ETPs on the JSE, for the 9-month period, ending 30 September 2020.  </w:t>
      </w:r>
    </w:p>
    <w:p w14:paraId="286DCE39" w14:textId="77777777" w:rsidR="00A25A8D" w:rsidRDefault="00A25A8D" w:rsidP="00BA7F27">
      <w:pPr>
        <w:spacing w:after="0" w:line="320" w:lineRule="atLeast"/>
        <w:rPr>
          <w:rFonts w:ascii="Verdana" w:hAnsi="Verdana"/>
          <w:color w:val="000000"/>
          <w:sz w:val="21"/>
          <w:szCs w:val="21"/>
        </w:rPr>
      </w:pPr>
    </w:p>
    <w:p w14:paraId="35A558F8" w14:textId="77777777" w:rsidR="0042225F" w:rsidRPr="00340ED3" w:rsidRDefault="0042225F" w:rsidP="0042225F">
      <w:pPr>
        <w:spacing w:after="0" w:line="360" w:lineRule="atLeast"/>
        <w:rPr>
          <w:rFonts w:ascii="Verdana" w:hAnsi="Verdana"/>
          <w:b/>
          <w:color w:val="000000"/>
          <w:sz w:val="21"/>
          <w:szCs w:val="21"/>
        </w:rPr>
      </w:pPr>
      <w:r>
        <w:rPr>
          <w:rFonts w:ascii="Verdana" w:hAnsi="Verdana"/>
          <w:b/>
          <w:color w:val="000000"/>
          <w:sz w:val="21"/>
          <w:szCs w:val="21"/>
        </w:rPr>
        <w:t>Table A</w:t>
      </w:r>
    </w:p>
    <w:tbl>
      <w:tblPr>
        <w:tblW w:w="76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2410"/>
      </w:tblGrid>
      <w:tr w:rsidR="00DD75B5" w:rsidRPr="00AB6CBE" w14:paraId="66B25586" w14:textId="77777777" w:rsidTr="00760C92">
        <w:tc>
          <w:tcPr>
            <w:tcW w:w="7655" w:type="dxa"/>
            <w:gridSpan w:val="3"/>
            <w:shd w:val="clear" w:color="auto" w:fill="C00000"/>
          </w:tcPr>
          <w:p w14:paraId="432F6E41" w14:textId="5D32150D" w:rsidR="00DD75B5" w:rsidRDefault="00DD75B5" w:rsidP="00DF6902">
            <w:pPr>
              <w:spacing w:before="40" w:after="40" w:line="320" w:lineRule="atLeast"/>
              <w:jc w:val="center"/>
              <w:rPr>
                <w:rFonts w:ascii="Verdana" w:hAnsi="Verdana"/>
                <w:b/>
                <w:color w:val="FFFFFF"/>
                <w:sz w:val="18"/>
                <w:szCs w:val="18"/>
              </w:rPr>
            </w:pPr>
            <w:r>
              <w:rPr>
                <w:rFonts w:ascii="Verdana" w:hAnsi="Verdana"/>
                <w:b/>
                <w:color w:val="FFFFFF"/>
                <w:sz w:val="18"/>
                <w:szCs w:val="18"/>
              </w:rPr>
              <w:t>Total Capital Issued/(Redeemed) by ETP Issuers</w:t>
            </w:r>
          </w:p>
          <w:p w14:paraId="40DFD9C6" w14:textId="4486A7C3" w:rsidR="00DD75B5" w:rsidRPr="003B4F95" w:rsidRDefault="00DD75B5" w:rsidP="00DF6902">
            <w:pPr>
              <w:spacing w:before="40" w:after="40" w:line="320" w:lineRule="atLeast"/>
              <w:jc w:val="center"/>
              <w:rPr>
                <w:rFonts w:ascii="Verdana" w:hAnsi="Verdana"/>
                <w:b/>
                <w:color w:val="FFFFFF"/>
                <w:sz w:val="18"/>
                <w:szCs w:val="18"/>
              </w:rPr>
            </w:pPr>
            <w:r>
              <w:rPr>
                <w:rFonts w:ascii="Verdana" w:hAnsi="Verdana"/>
                <w:b/>
                <w:color w:val="FFFFFF"/>
                <w:sz w:val="18"/>
                <w:szCs w:val="18"/>
              </w:rPr>
              <w:t xml:space="preserve">31 December 2019 to 30 </w:t>
            </w:r>
            <w:r w:rsidR="001D296F">
              <w:rPr>
                <w:rFonts w:ascii="Verdana" w:hAnsi="Verdana"/>
                <w:b/>
                <w:color w:val="FFFFFF"/>
                <w:sz w:val="18"/>
                <w:szCs w:val="18"/>
              </w:rPr>
              <w:t>September</w:t>
            </w:r>
            <w:r>
              <w:rPr>
                <w:rFonts w:ascii="Verdana" w:hAnsi="Verdana"/>
                <w:b/>
                <w:color w:val="FFFFFF"/>
                <w:sz w:val="18"/>
                <w:szCs w:val="18"/>
              </w:rPr>
              <w:t xml:space="preserve"> 2020</w:t>
            </w:r>
          </w:p>
        </w:tc>
      </w:tr>
      <w:tr w:rsidR="00DD75B5" w:rsidRPr="00AB6CBE" w14:paraId="44633A99" w14:textId="77777777" w:rsidTr="00DD75B5">
        <w:trPr>
          <w:trHeight w:val="360"/>
        </w:trPr>
        <w:tc>
          <w:tcPr>
            <w:tcW w:w="709" w:type="dxa"/>
            <w:shd w:val="clear" w:color="auto" w:fill="4C4C4C"/>
          </w:tcPr>
          <w:p w14:paraId="51369863" w14:textId="77777777" w:rsidR="00DD75B5" w:rsidRDefault="00DD75B5" w:rsidP="00DF6902">
            <w:pPr>
              <w:spacing w:before="40" w:after="40" w:line="320" w:lineRule="atLeast"/>
              <w:rPr>
                <w:rFonts w:ascii="Verdana" w:hAnsi="Verdana"/>
                <w:b/>
                <w:color w:val="FFFFFF"/>
                <w:sz w:val="18"/>
                <w:szCs w:val="18"/>
              </w:rPr>
            </w:pPr>
          </w:p>
        </w:tc>
        <w:tc>
          <w:tcPr>
            <w:tcW w:w="4536" w:type="dxa"/>
            <w:shd w:val="clear" w:color="auto" w:fill="4C4C4C"/>
          </w:tcPr>
          <w:p w14:paraId="40E23C79" w14:textId="762A561D" w:rsidR="00DD75B5" w:rsidRPr="003B4F95" w:rsidRDefault="00DD75B5" w:rsidP="00DF6902">
            <w:pPr>
              <w:spacing w:before="40" w:after="40" w:line="320" w:lineRule="atLeast"/>
              <w:rPr>
                <w:rFonts w:ascii="Verdana" w:hAnsi="Verdana"/>
                <w:b/>
                <w:color w:val="FFFFFF"/>
                <w:sz w:val="18"/>
                <w:szCs w:val="18"/>
              </w:rPr>
            </w:pPr>
            <w:r>
              <w:rPr>
                <w:rFonts w:ascii="Verdana" w:hAnsi="Verdana"/>
                <w:b/>
                <w:color w:val="FFFFFF"/>
                <w:sz w:val="18"/>
                <w:szCs w:val="18"/>
              </w:rPr>
              <w:t xml:space="preserve">Issuing House </w:t>
            </w:r>
          </w:p>
        </w:tc>
        <w:tc>
          <w:tcPr>
            <w:tcW w:w="2410" w:type="dxa"/>
            <w:shd w:val="clear" w:color="auto" w:fill="4C4C4C"/>
            <w:vAlign w:val="center"/>
          </w:tcPr>
          <w:p w14:paraId="6E441194" w14:textId="43EFF0AC" w:rsidR="00DD75B5" w:rsidRPr="003B4F95" w:rsidRDefault="00DD75B5" w:rsidP="00DF6902">
            <w:pPr>
              <w:spacing w:before="40" w:after="40" w:line="320" w:lineRule="atLeast"/>
              <w:jc w:val="right"/>
              <w:rPr>
                <w:rFonts w:ascii="Verdana" w:hAnsi="Verdana"/>
                <w:b/>
                <w:color w:val="FFFFFF"/>
                <w:sz w:val="18"/>
                <w:szCs w:val="18"/>
              </w:rPr>
            </w:pPr>
            <w:r>
              <w:rPr>
                <w:rFonts w:ascii="Verdana" w:hAnsi="Verdana"/>
                <w:b/>
                <w:color w:val="FFFFFF"/>
                <w:sz w:val="18"/>
                <w:szCs w:val="18"/>
              </w:rPr>
              <w:t>Total Capital Issued/(Redeemed) (R million)</w:t>
            </w:r>
          </w:p>
        </w:tc>
      </w:tr>
      <w:tr w:rsidR="001D296F" w:rsidRPr="00AB6CBE" w14:paraId="2A870CDE" w14:textId="77777777" w:rsidTr="00DD75B5">
        <w:tc>
          <w:tcPr>
            <w:tcW w:w="709" w:type="dxa"/>
          </w:tcPr>
          <w:p w14:paraId="64267966" w14:textId="77777777" w:rsidR="001D296F" w:rsidRPr="00DD75B5" w:rsidRDefault="001D296F"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330C1FFD" w14:textId="5171CE7E" w:rsidR="001D296F" w:rsidRDefault="001D296F" w:rsidP="00DF6902">
            <w:pPr>
              <w:spacing w:before="40" w:after="40" w:line="320" w:lineRule="atLeast"/>
              <w:rPr>
                <w:rFonts w:ascii="Verdana" w:hAnsi="Verdana"/>
                <w:color w:val="000000"/>
                <w:sz w:val="18"/>
                <w:szCs w:val="18"/>
              </w:rPr>
            </w:pPr>
            <w:r>
              <w:rPr>
                <w:rFonts w:ascii="Verdana" w:hAnsi="Verdana"/>
                <w:color w:val="000000"/>
                <w:sz w:val="18"/>
                <w:szCs w:val="18"/>
              </w:rPr>
              <w:t>Satrix Managers (ETFs)</w:t>
            </w:r>
          </w:p>
        </w:tc>
        <w:tc>
          <w:tcPr>
            <w:tcW w:w="2410" w:type="dxa"/>
            <w:vAlign w:val="center"/>
          </w:tcPr>
          <w:p w14:paraId="7333EFE5" w14:textId="21094179" w:rsidR="001D296F" w:rsidRDefault="001D296F" w:rsidP="00DF6902">
            <w:pPr>
              <w:spacing w:before="40" w:after="40" w:line="320" w:lineRule="atLeast"/>
              <w:jc w:val="right"/>
              <w:rPr>
                <w:rFonts w:ascii="Verdana" w:hAnsi="Verdana"/>
                <w:color w:val="000000"/>
                <w:sz w:val="18"/>
                <w:szCs w:val="18"/>
              </w:rPr>
            </w:pPr>
            <w:r>
              <w:rPr>
                <w:rFonts w:ascii="Verdana" w:hAnsi="Verdana"/>
                <w:color w:val="000000"/>
                <w:sz w:val="18"/>
                <w:szCs w:val="18"/>
              </w:rPr>
              <w:t>2 194,8</w:t>
            </w:r>
          </w:p>
        </w:tc>
      </w:tr>
      <w:tr w:rsidR="00DD75B5" w:rsidRPr="00AB6CBE" w14:paraId="10504CE8" w14:textId="77777777" w:rsidTr="00DD75B5">
        <w:tc>
          <w:tcPr>
            <w:tcW w:w="709" w:type="dxa"/>
          </w:tcPr>
          <w:p w14:paraId="090D69BD" w14:textId="15FF60FF" w:rsidR="00DD75B5" w:rsidRPr="00DD75B5" w:rsidRDefault="00DD75B5"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023840B3" w14:textId="79F0AF06" w:rsidR="00DD75B5" w:rsidRPr="003B4F95" w:rsidRDefault="00DD75B5" w:rsidP="00DF6902">
            <w:pPr>
              <w:spacing w:before="40" w:after="40" w:line="320" w:lineRule="atLeast"/>
              <w:rPr>
                <w:rFonts w:ascii="Verdana" w:hAnsi="Verdana"/>
                <w:color w:val="000000"/>
                <w:sz w:val="18"/>
                <w:szCs w:val="18"/>
              </w:rPr>
            </w:pPr>
            <w:r>
              <w:rPr>
                <w:rFonts w:ascii="Verdana" w:hAnsi="Verdana"/>
                <w:color w:val="000000"/>
                <w:sz w:val="18"/>
                <w:szCs w:val="18"/>
              </w:rPr>
              <w:t>Union Bank of Switzerland (ETNs)</w:t>
            </w:r>
          </w:p>
        </w:tc>
        <w:tc>
          <w:tcPr>
            <w:tcW w:w="2410" w:type="dxa"/>
            <w:vAlign w:val="center"/>
          </w:tcPr>
          <w:p w14:paraId="623B198E" w14:textId="2CEF4996" w:rsidR="00DD75B5" w:rsidRPr="003B4F95" w:rsidRDefault="001D296F" w:rsidP="00DF6902">
            <w:pPr>
              <w:spacing w:before="40" w:after="40" w:line="320" w:lineRule="atLeast"/>
              <w:jc w:val="right"/>
              <w:rPr>
                <w:rFonts w:ascii="Verdana" w:hAnsi="Verdana"/>
                <w:color w:val="000000"/>
                <w:sz w:val="18"/>
                <w:szCs w:val="18"/>
              </w:rPr>
            </w:pPr>
            <w:r>
              <w:rPr>
                <w:rFonts w:ascii="Verdana" w:hAnsi="Verdana"/>
                <w:color w:val="000000"/>
                <w:sz w:val="18"/>
                <w:szCs w:val="18"/>
              </w:rPr>
              <w:t>902,1</w:t>
            </w:r>
          </w:p>
        </w:tc>
      </w:tr>
      <w:tr w:rsidR="00DD75B5" w:rsidRPr="00AB6CBE" w14:paraId="5291853B" w14:textId="77777777" w:rsidTr="00DD75B5">
        <w:tc>
          <w:tcPr>
            <w:tcW w:w="709" w:type="dxa"/>
          </w:tcPr>
          <w:p w14:paraId="67CA3C51" w14:textId="0138CBFD" w:rsidR="00DD75B5" w:rsidRPr="00DD75B5" w:rsidRDefault="00DD75B5"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53D4D8A7" w14:textId="7EF8B058" w:rsidR="00DD75B5" w:rsidRPr="003B4F95" w:rsidRDefault="001D296F" w:rsidP="00DF6902">
            <w:pPr>
              <w:spacing w:before="40" w:after="40" w:line="320" w:lineRule="atLeast"/>
              <w:rPr>
                <w:rFonts w:ascii="Verdana" w:hAnsi="Verdana"/>
                <w:color w:val="000000"/>
                <w:sz w:val="18"/>
                <w:szCs w:val="18"/>
              </w:rPr>
            </w:pPr>
            <w:r>
              <w:rPr>
                <w:rFonts w:ascii="Verdana" w:hAnsi="Verdana"/>
                <w:color w:val="000000"/>
                <w:sz w:val="18"/>
                <w:szCs w:val="18"/>
              </w:rPr>
              <w:t>Absa Capital (ETNs)</w:t>
            </w:r>
          </w:p>
        </w:tc>
        <w:tc>
          <w:tcPr>
            <w:tcW w:w="2410" w:type="dxa"/>
            <w:vAlign w:val="center"/>
          </w:tcPr>
          <w:p w14:paraId="19CFC3A6" w14:textId="5EB8B9F8" w:rsidR="00DD75B5" w:rsidRPr="003B4F95" w:rsidRDefault="001D296F" w:rsidP="00DF6902">
            <w:pPr>
              <w:spacing w:before="40" w:after="40" w:line="320" w:lineRule="atLeast"/>
              <w:jc w:val="right"/>
              <w:rPr>
                <w:rFonts w:ascii="Verdana" w:hAnsi="Verdana"/>
                <w:color w:val="000000"/>
                <w:sz w:val="18"/>
                <w:szCs w:val="18"/>
              </w:rPr>
            </w:pPr>
            <w:r>
              <w:rPr>
                <w:rFonts w:ascii="Verdana" w:hAnsi="Verdana"/>
                <w:color w:val="000000"/>
                <w:sz w:val="18"/>
                <w:szCs w:val="18"/>
              </w:rPr>
              <w:t>436,0</w:t>
            </w:r>
          </w:p>
        </w:tc>
      </w:tr>
      <w:tr w:rsidR="001D296F" w:rsidRPr="00AB6CBE" w14:paraId="0B7C44ED" w14:textId="77777777" w:rsidTr="00DD75B5">
        <w:tc>
          <w:tcPr>
            <w:tcW w:w="709" w:type="dxa"/>
          </w:tcPr>
          <w:p w14:paraId="10369674" w14:textId="77777777" w:rsidR="001D296F" w:rsidRPr="00DD75B5" w:rsidRDefault="001D296F"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1936A620" w14:textId="396CEFC5" w:rsidR="001D296F" w:rsidRDefault="001D296F" w:rsidP="00DF6902">
            <w:pPr>
              <w:spacing w:before="40" w:after="40" w:line="320" w:lineRule="atLeast"/>
              <w:rPr>
                <w:rFonts w:ascii="Verdana" w:hAnsi="Verdana"/>
                <w:color w:val="000000"/>
                <w:sz w:val="18"/>
                <w:szCs w:val="18"/>
              </w:rPr>
            </w:pPr>
            <w:r>
              <w:rPr>
                <w:rFonts w:ascii="Verdana" w:hAnsi="Verdana"/>
                <w:color w:val="000000"/>
                <w:sz w:val="18"/>
                <w:szCs w:val="18"/>
              </w:rPr>
              <w:t>1nvest (ETFs)</w:t>
            </w:r>
          </w:p>
        </w:tc>
        <w:tc>
          <w:tcPr>
            <w:tcW w:w="2410" w:type="dxa"/>
            <w:vAlign w:val="center"/>
          </w:tcPr>
          <w:p w14:paraId="608FE620" w14:textId="5F4D1776" w:rsidR="001D296F" w:rsidRDefault="001D296F" w:rsidP="00DF6902">
            <w:pPr>
              <w:spacing w:before="40" w:after="40" w:line="320" w:lineRule="atLeast"/>
              <w:jc w:val="right"/>
              <w:rPr>
                <w:rFonts w:ascii="Verdana" w:hAnsi="Verdana"/>
                <w:color w:val="000000"/>
                <w:sz w:val="18"/>
                <w:szCs w:val="18"/>
              </w:rPr>
            </w:pPr>
            <w:r>
              <w:rPr>
                <w:rFonts w:ascii="Verdana" w:hAnsi="Verdana"/>
                <w:color w:val="000000"/>
                <w:sz w:val="18"/>
                <w:szCs w:val="18"/>
              </w:rPr>
              <w:t>205,7</w:t>
            </w:r>
          </w:p>
        </w:tc>
      </w:tr>
      <w:tr w:rsidR="001D296F" w:rsidRPr="00AB6CBE" w14:paraId="6C7FB128" w14:textId="77777777" w:rsidTr="00DD75B5">
        <w:tc>
          <w:tcPr>
            <w:tcW w:w="709" w:type="dxa"/>
          </w:tcPr>
          <w:p w14:paraId="4C17E35F" w14:textId="77777777" w:rsidR="001D296F" w:rsidRPr="00DD75B5" w:rsidRDefault="001D296F"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4B7AA2DB" w14:textId="2FF2AC20" w:rsidR="001D296F" w:rsidRDefault="001D296F" w:rsidP="00DF6902">
            <w:pPr>
              <w:spacing w:before="40" w:after="40" w:line="320" w:lineRule="atLeast"/>
              <w:rPr>
                <w:rFonts w:ascii="Verdana" w:hAnsi="Verdana"/>
                <w:color w:val="000000"/>
                <w:sz w:val="18"/>
                <w:szCs w:val="18"/>
              </w:rPr>
            </w:pPr>
            <w:r>
              <w:rPr>
                <w:rFonts w:ascii="Verdana" w:hAnsi="Verdana"/>
                <w:color w:val="000000"/>
                <w:sz w:val="18"/>
                <w:szCs w:val="18"/>
              </w:rPr>
              <w:t>FirstRand (ETFs)</w:t>
            </w:r>
          </w:p>
        </w:tc>
        <w:tc>
          <w:tcPr>
            <w:tcW w:w="2410" w:type="dxa"/>
            <w:vAlign w:val="center"/>
          </w:tcPr>
          <w:p w14:paraId="3AC68240" w14:textId="627A6318" w:rsidR="001D296F" w:rsidRDefault="001D296F" w:rsidP="00DF6902">
            <w:pPr>
              <w:spacing w:before="40" w:after="40" w:line="320" w:lineRule="atLeast"/>
              <w:jc w:val="right"/>
              <w:rPr>
                <w:rFonts w:ascii="Verdana" w:hAnsi="Verdana"/>
                <w:color w:val="000000"/>
                <w:sz w:val="18"/>
                <w:szCs w:val="18"/>
              </w:rPr>
            </w:pPr>
            <w:r>
              <w:rPr>
                <w:rFonts w:ascii="Verdana" w:hAnsi="Verdana"/>
                <w:color w:val="000000"/>
                <w:sz w:val="18"/>
                <w:szCs w:val="18"/>
              </w:rPr>
              <w:t>47,0</w:t>
            </w:r>
          </w:p>
        </w:tc>
      </w:tr>
      <w:tr w:rsidR="001D296F" w:rsidRPr="00AB6CBE" w14:paraId="47CE536E" w14:textId="77777777" w:rsidTr="00DD75B5">
        <w:tc>
          <w:tcPr>
            <w:tcW w:w="709" w:type="dxa"/>
          </w:tcPr>
          <w:p w14:paraId="1F8F7E94" w14:textId="77777777" w:rsidR="001D296F" w:rsidRPr="00DD75B5" w:rsidRDefault="001D296F"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5EF7A6A4" w14:textId="1C74BC38" w:rsidR="001D296F" w:rsidRDefault="001D296F" w:rsidP="00DF6902">
            <w:pPr>
              <w:spacing w:before="40" w:after="40" w:line="320" w:lineRule="atLeast"/>
              <w:rPr>
                <w:rFonts w:ascii="Verdana" w:hAnsi="Verdana"/>
                <w:color w:val="000000"/>
                <w:sz w:val="18"/>
                <w:szCs w:val="18"/>
              </w:rPr>
            </w:pPr>
            <w:r>
              <w:rPr>
                <w:rFonts w:ascii="Verdana" w:hAnsi="Verdana"/>
                <w:color w:val="000000"/>
                <w:sz w:val="18"/>
                <w:szCs w:val="18"/>
              </w:rPr>
              <w:t>Ashburton (ETFs)</w:t>
            </w:r>
          </w:p>
        </w:tc>
        <w:tc>
          <w:tcPr>
            <w:tcW w:w="2410" w:type="dxa"/>
            <w:vAlign w:val="center"/>
          </w:tcPr>
          <w:p w14:paraId="5DC0C83A" w14:textId="6B19948E" w:rsidR="001D296F" w:rsidRDefault="001D296F" w:rsidP="00DF6902">
            <w:pPr>
              <w:spacing w:before="40" w:after="40" w:line="320" w:lineRule="atLeast"/>
              <w:jc w:val="right"/>
              <w:rPr>
                <w:rFonts w:ascii="Verdana" w:hAnsi="Verdana"/>
                <w:color w:val="000000"/>
                <w:sz w:val="18"/>
                <w:szCs w:val="18"/>
              </w:rPr>
            </w:pPr>
            <w:r>
              <w:rPr>
                <w:rFonts w:ascii="Verdana" w:hAnsi="Verdana"/>
                <w:color w:val="000000"/>
                <w:sz w:val="18"/>
                <w:szCs w:val="18"/>
              </w:rPr>
              <w:t>45,6</w:t>
            </w:r>
          </w:p>
        </w:tc>
      </w:tr>
      <w:tr w:rsidR="001D296F" w:rsidRPr="00AB6CBE" w14:paraId="7AE90974" w14:textId="77777777" w:rsidTr="00DD75B5">
        <w:tc>
          <w:tcPr>
            <w:tcW w:w="709" w:type="dxa"/>
          </w:tcPr>
          <w:p w14:paraId="566DA3F4" w14:textId="77777777" w:rsidR="001D296F" w:rsidRPr="00DD75B5" w:rsidRDefault="001D296F"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4737B4A9" w14:textId="511CE4CC" w:rsidR="001D296F" w:rsidRDefault="001D296F" w:rsidP="00DF6902">
            <w:pPr>
              <w:spacing w:before="40" w:after="40" w:line="320" w:lineRule="atLeast"/>
              <w:rPr>
                <w:rFonts w:ascii="Verdana" w:hAnsi="Verdana"/>
                <w:color w:val="000000"/>
                <w:sz w:val="18"/>
                <w:szCs w:val="18"/>
              </w:rPr>
            </w:pPr>
            <w:r>
              <w:rPr>
                <w:rFonts w:ascii="Verdana" w:hAnsi="Verdana"/>
                <w:color w:val="000000"/>
                <w:sz w:val="18"/>
                <w:szCs w:val="18"/>
              </w:rPr>
              <w:t>Cloud Atlas (ETFs)</w:t>
            </w:r>
          </w:p>
        </w:tc>
        <w:tc>
          <w:tcPr>
            <w:tcW w:w="2410" w:type="dxa"/>
            <w:vAlign w:val="center"/>
          </w:tcPr>
          <w:p w14:paraId="3F1A9C40" w14:textId="70C8674F" w:rsidR="001D296F" w:rsidRDefault="00E674AE" w:rsidP="00DF6902">
            <w:pPr>
              <w:spacing w:before="40" w:after="40" w:line="320" w:lineRule="atLeast"/>
              <w:jc w:val="right"/>
              <w:rPr>
                <w:rFonts w:ascii="Verdana" w:hAnsi="Verdana"/>
                <w:color w:val="000000"/>
                <w:sz w:val="18"/>
                <w:szCs w:val="18"/>
              </w:rPr>
            </w:pPr>
            <w:r>
              <w:rPr>
                <w:rFonts w:ascii="Verdana" w:hAnsi="Verdana"/>
                <w:color w:val="000000"/>
                <w:sz w:val="18"/>
                <w:szCs w:val="18"/>
              </w:rPr>
              <w:t>(3,3)</w:t>
            </w:r>
          </w:p>
        </w:tc>
      </w:tr>
      <w:tr w:rsidR="00DD75B5" w:rsidRPr="00AB6CBE" w14:paraId="69C2292D" w14:textId="77777777" w:rsidTr="00DD75B5">
        <w:tc>
          <w:tcPr>
            <w:tcW w:w="709" w:type="dxa"/>
          </w:tcPr>
          <w:p w14:paraId="3D011702" w14:textId="77777777" w:rsidR="00DD75B5" w:rsidRPr="00DD75B5" w:rsidRDefault="00DD75B5"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64A9024E" w14:textId="30ED73C1" w:rsidR="00DD75B5" w:rsidRDefault="00DD75B5" w:rsidP="00DF6902">
            <w:pPr>
              <w:spacing w:before="40" w:after="40" w:line="320" w:lineRule="atLeast"/>
              <w:rPr>
                <w:rFonts w:ascii="Verdana" w:hAnsi="Verdana"/>
                <w:color w:val="000000"/>
                <w:sz w:val="18"/>
                <w:szCs w:val="18"/>
              </w:rPr>
            </w:pPr>
            <w:r>
              <w:rPr>
                <w:rFonts w:ascii="Verdana" w:hAnsi="Verdana"/>
                <w:color w:val="000000"/>
                <w:sz w:val="18"/>
                <w:szCs w:val="18"/>
              </w:rPr>
              <w:t>CoreShares (ETFs)</w:t>
            </w:r>
          </w:p>
        </w:tc>
        <w:tc>
          <w:tcPr>
            <w:tcW w:w="2410" w:type="dxa"/>
            <w:vAlign w:val="center"/>
          </w:tcPr>
          <w:p w14:paraId="42CA6644" w14:textId="2BF2F70D" w:rsidR="00DD75B5" w:rsidRPr="003B4F95" w:rsidRDefault="00E674AE" w:rsidP="00DF6902">
            <w:pPr>
              <w:spacing w:before="40" w:after="40" w:line="320" w:lineRule="atLeast"/>
              <w:jc w:val="right"/>
              <w:rPr>
                <w:rFonts w:ascii="Verdana" w:hAnsi="Verdana"/>
                <w:color w:val="000000"/>
                <w:sz w:val="18"/>
                <w:szCs w:val="18"/>
              </w:rPr>
            </w:pPr>
            <w:r>
              <w:rPr>
                <w:rFonts w:ascii="Verdana" w:hAnsi="Verdana"/>
                <w:color w:val="000000"/>
                <w:sz w:val="18"/>
                <w:szCs w:val="18"/>
              </w:rPr>
              <w:t>(3,6)</w:t>
            </w:r>
          </w:p>
        </w:tc>
      </w:tr>
      <w:tr w:rsidR="001D296F" w:rsidRPr="00AB6CBE" w14:paraId="79ADC4C3" w14:textId="77777777" w:rsidTr="00DD75B5">
        <w:tc>
          <w:tcPr>
            <w:tcW w:w="709" w:type="dxa"/>
          </w:tcPr>
          <w:p w14:paraId="04D7E256" w14:textId="77777777" w:rsidR="001D296F" w:rsidRPr="00DD75B5" w:rsidRDefault="001D296F"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6912AFBE" w14:textId="621D48DB" w:rsidR="001D296F" w:rsidRDefault="001D296F" w:rsidP="00DF6902">
            <w:pPr>
              <w:spacing w:before="40" w:after="40" w:line="320" w:lineRule="atLeast"/>
              <w:rPr>
                <w:rFonts w:ascii="Verdana" w:hAnsi="Verdana"/>
                <w:color w:val="000000"/>
                <w:sz w:val="18"/>
                <w:szCs w:val="18"/>
              </w:rPr>
            </w:pPr>
            <w:r>
              <w:rPr>
                <w:rFonts w:ascii="Verdana" w:hAnsi="Verdana"/>
                <w:color w:val="000000"/>
                <w:sz w:val="18"/>
                <w:szCs w:val="18"/>
              </w:rPr>
              <w:t>Sygnia Itrix (ETFs)</w:t>
            </w:r>
          </w:p>
        </w:tc>
        <w:tc>
          <w:tcPr>
            <w:tcW w:w="2410" w:type="dxa"/>
            <w:vAlign w:val="center"/>
          </w:tcPr>
          <w:p w14:paraId="0CECF633" w14:textId="7B8A08C1" w:rsidR="001D296F" w:rsidRDefault="00E674AE" w:rsidP="00DF6902">
            <w:pPr>
              <w:spacing w:before="40" w:after="40" w:line="320" w:lineRule="atLeast"/>
              <w:jc w:val="right"/>
              <w:rPr>
                <w:rFonts w:ascii="Verdana" w:hAnsi="Verdana"/>
                <w:color w:val="000000"/>
                <w:sz w:val="18"/>
                <w:szCs w:val="18"/>
              </w:rPr>
            </w:pPr>
            <w:r>
              <w:rPr>
                <w:rFonts w:ascii="Verdana" w:hAnsi="Verdana"/>
                <w:color w:val="000000"/>
                <w:sz w:val="18"/>
                <w:szCs w:val="18"/>
              </w:rPr>
              <w:t>(133,8)</w:t>
            </w:r>
          </w:p>
        </w:tc>
      </w:tr>
      <w:tr w:rsidR="00E674AE" w:rsidRPr="00AB6CBE" w14:paraId="35E68D46" w14:textId="77777777" w:rsidTr="00DD75B5">
        <w:tc>
          <w:tcPr>
            <w:tcW w:w="709" w:type="dxa"/>
          </w:tcPr>
          <w:p w14:paraId="4BE6C2D0" w14:textId="77777777" w:rsidR="00E674AE" w:rsidRPr="00DD75B5" w:rsidRDefault="00E674AE"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6ECC8133" w14:textId="0105DBC1" w:rsidR="00E674AE" w:rsidRDefault="00E674AE" w:rsidP="00DF6902">
            <w:pPr>
              <w:spacing w:before="40" w:after="40" w:line="320" w:lineRule="atLeast"/>
              <w:rPr>
                <w:rFonts w:ascii="Verdana" w:hAnsi="Verdana"/>
                <w:color w:val="000000"/>
                <w:sz w:val="18"/>
                <w:szCs w:val="18"/>
              </w:rPr>
            </w:pPr>
            <w:r>
              <w:rPr>
                <w:rFonts w:ascii="Verdana" w:hAnsi="Verdana"/>
                <w:color w:val="000000"/>
                <w:sz w:val="18"/>
                <w:szCs w:val="18"/>
              </w:rPr>
              <w:t>Standard Bank (ETNs)</w:t>
            </w:r>
          </w:p>
        </w:tc>
        <w:tc>
          <w:tcPr>
            <w:tcW w:w="2410" w:type="dxa"/>
            <w:vAlign w:val="center"/>
          </w:tcPr>
          <w:p w14:paraId="368560FD" w14:textId="55D92A14" w:rsidR="00E674AE" w:rsidRDefault="00E674AE" w:rsidP="00DF6902">
            <w:pPr>
              <w:spacing w:before="40" w:after="40" w:line="320" w:lineRule="atLeast"/>
              <w:jc w:val="right"/>
              <w:rPr>
                <w:rFonts w:ascii="Verdana" w:hAnsi="Verdana"/>
                <w:color w:val="000000"/>
                <w:sz w:val="18"/>
                <w:szCs w:val="18"/>
              </w:rPr>
            </w:pPr>
            <w:r>
              <w:rPr>
                <w:rFonts w:ascii="Verdana" w:hAnsi="Verdana"/>
                <w:color w:val="000000"/>
                <w:sz w:val="18"/>
                <w:szCs w:val="18"/>
              </w:rPr>
              <w:t>(1 346,6)</w:t>
            </w:r>
          </w:p>
        </w:tc>
      </w:tr>
      <w:tr w:rsidR="00E674AE" w:rsidRPr="00AB6CBE" w14:paraId="4F4D5889" w14:textId="77777777" w:rsidTr="00DD75B5">
        <w:tc>
          <w:tcPr>
            <w:tcW w:w="709" w:type="dxa"/>
          </w:tcPr>
          <w:p w14:paraId="5AB53D0C" w14:textId="77777777" w:rsidR="00E674AE" w:rsidRPr="00DD75B5" w:rsidRDefault="00E674AE"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75F3CA06" w14:textId="6C83C116" w:rsidR="00E674AE" w:rsidRDefault="00E674AE" w:rsidP="00DF6902">
            <w:pPr>
              <w:spacing w:before="40" w:after="40" w:line="320" w:lineRule="atLeast"/>
              <w:rPr>
                <w:rFonts w:ascii="Verdana" w:hAnsi="Verdana"/>
                <w:color w:val="000000"/>
                <w:sz w:val="18"/>
                <w:szCs w:val="18"/>
              </w:rPr>
            </w:pPr>
            <w:r>
              <w:rPr>
                <w:rFonts w:ascii="Verdana" w:hAnsi="Verdana"/>
                <w:color w:val="000000"/>
                <w:sz w:val="18"/>
                <w:szCs w:val="18"/>
              </w:rPr>
              <w:t>Absa Capital (ETFs)</w:t>
            </w:r>
          </w:p>
        </w:tc>
        <w:tc>
          <w:tcPr>
            <w:tcW w:w="2410" w:type="dxa"/>
            <w:vAlign w:val="center"/>
          </w:tcPr>
          <w:p w14:paraId="249A5220" w14:textId="52C11E9B" w:rsidR="00E674AE" w:rsidRDefault="00E674AE" w:rsidP="00DF6902">
            <w:pPr>
              <w:spacing w:before="40" w:after="40" w:line="320" w:lineRule="atLeast"/>
              <w:jc w:val="right"/>
              <w:rPr>
                <w:rFonts w:ascii="Verdana" w:hAnsi="Verdana"/>
                <w:color w:val="000000"/>
                <w:sz w:val="18"/>
                <w:szCs w:val="18"/>
              </w:rPr>
            </w:pPr>
            <w:r>
              <w:rPr>
                <w:rFonts w:ascii="Verdana" w:hAnsi="Verdana"/>
                <w:color w:val="000000"/>
                <w:sz w:val="18"/>
                <w:szCs w:val="18"/>
              </w:rPr>
              <w:t>(1 354,9)</w:t>
            </w:r>
          </w:p>
        </w:tc>
      </w:tr>
      <w:tr w:rsidR="00DD75B5" w:rsidRPr="00AB6CBE" w14:paraId="30392D17" w14:textId="77777777" w:rsidTr="00DD75B5">
        <w:tc>
          <w:tcPr>
            <w:tcW w:w="709" w:type="dxa"/>
          </w:tcPr>
          <w:p w14:paraId="48087E6E" w14:textId="77777777" w:rsidR="00DD75B5" w:rsidRPr="00DD75B5" w:rsidRDefault="00DD75B5" w:rsidP="00DF6902">
            <w:pPr>
              <w:pStyle w:val="ListParagraph"/>
              <w:numPr>
                <w:ilvl w:val="0"/>
                <w:numId w:val="15"/>
              </w:numPr>
              <w:spacing w:before="40" w:after="40" w:line="320" w:lineRule="atLeast"/>
              <w:ind w:left="357" w:hanging="357"/>
              <w:rPr>
                <w:rFonts w:ascii="Verdana" w:hAnsi="Verdana"/>
                <w:color w:val="000000"/>
                <w:sz w:val="18"/>
                <w:szCs w:val="18"/>
              </w:rPr>
            </w:pPr>
          </w:p>
        </w:tc>
        <w:tc>
          <w:tcPr>
            <w:tcW w:w="4536" w:type="dxa"/>
            <w:shd w:val="clear" w:color="auto" w:fill="auto"/>
          </w:tcPr>
          <w:p w14:paraId="08E70A7F" w14:textId="0B976F68" w:rsidR="00DD75B5" w:rsidRDefault="00DD75B5" w:rsidP="00DF6902">
            <w:pPr>
              <w:spacing w:before="40" w:after="40" w:line="320" w:lineRule="atLeast"/>
              <w:rPr>
                <w:rFonts w:ascii="Verdana" w:hAnsi="Verdana"/>
                <w:color w:val="000000"/>
                <w:sz w:val="18"/>
                <w:szCs w:val="18"/>
              </w:rPr>
            </w:pPr>
            <w:r>
              <w:rPr>
                <w:rFonts w:ascii="Verdana" w:hAnsi="Verdana"/>
                <w:color w:val="000000"/>
                <w:sz w:val="18"/>
                <w:szCs w:val="18"/>
              </w:rPr>
              <w:t>Deutsche Bank (ETNs)</w:t>
            </w:r>
          </w:p>
        </w:tc>
        <w:tc>
          <w:tcPr>
            <w:tcW w:w="2410" w:type="dxa"/>
            <w:vAlign w:val="center"/>
          </w:tcPr>
          <w:p w14:paraId="228A5705" w14:textId="61712F1D" w:rsidR="00DD75B5" w:rsidRDefault="00E674AE" w:rsidP="00DF6902">
            <w:pPr>
              <w:spacing w:before="40" w:after="40" w:line="320" w:lineRule="atLeast"/>
              <w:jc w:val="right"/>
              <w:rPr>
                <w:rFonts w:ascii="Verdana" w:hAnsi="Verdana"/>
                <w:color w:val="000000"/>
                <w:sz w:val="18"/>
                <w:szCs w:val="18"/>
              </w:rPr>
            </w:pPr>
            <w:r>
              <w:rPr>
                <w:rFonts w:ascii="Verdana" w:hAnsi="Verdana"/>
                <w:color w:val="000000"/>
                <w:sz w:val="18"/>
                <w:szCs w:val="18"/>
              </w:rPr>
              <w:t>(5 672,2)</w:t>
            </w:r>
          </w:p>
        </w:tc>
      </w:tr>
      <w:tr w:rsidR="00DD75B5" w:rsidRPr="00DD75B5" w14:paraId="6CC0246E" w14:textId="77777777" w:rsidTr="00CB272D">
        <w:tc>
          <w:tcPr>
            <w:tcW w:w="5245" w:type="dxa"/>
            <w:gridSpan w:val="2"/>
          </w:tcPr>
          <w:p w14:paraId="7018F073" w14:textId="22CDEF9C" w:rsidR="00DD75B5" w:rsidRPr="00DD75B5" w:rsidRDefault="00DD75B5" w:rsidP="00DF6902">
            <w:pPr>
              <w:spacing w:before="40" w:after="40" w:line="320" w:lineRule="atLeast"/>
              <w:rPr>
                <w:rFonts w:ascii="Verdana" w:hAnsi="Verdana"/>
                <w:b/>
                <w:bCs/>
                <w:color w:val="000000"/>
                <w:sz w:val="18"/>
                <w:szCs w:val="18"/>
              </w:rPr>
            </w:pPr>
            <w:r>
              <w:rPr>
                <w:rFonts w:ascii="Verdana" w:hAnsi="Verdana"/>
                <w:b/>
                <w:bCs/>
                <w:color w:val="000000"/>
                <w:sz w:val="18"/>
                <w:szCs w:val="18"/>
              </w:rPr>
              <w:t>Total</w:t>
            </w:r>
          </w:p>
        </w:tc>
        <w:tc>
          <w:tcPr>
            <w:tcW w:w="2410" w:type="dxa"/>
            <w:vAlign w:val="center"/>
          </w:tcPr>
          <w:p w14:paraId="07CD5EF2" w14:textId="10B5D947" w:rsidR="00DD75B5" w:rsidRPr="00DD75B5" w:rsidRDefault="00E674AE" w:rsidP="00DF6902">
            <w:pPr>
              <w:spacing w:before="40" w:after="40" w:line="320" w:lineRule="atLeast"/>
              <w:jc w:val="right"/>
              <w:rPr>
                <w:rFonts w:ascii="Verdana" w:hAnsi="Verdana"/>
                <w:b/>
                <w:bCs/>
                <w:color w:val="000000"/>
                <w:sz w:val="18"/>
                <w:szCs w:val="18"/>
              </w:rPr>
            </w:pPr>
            <w:r>
              <w:rPr>
                <w:rFonts w:ascii="Verdana" w:hAnsi="Verdana"/>
                <w:b/>
                <w:bCs/>
                <w:color w:val="000000"/>
                <w:sz w:val="18"/>
                <w:szCs w:val="18"/>
              </w:rPr>
              <w:t>(4 684,2)</w:t>
            </w:r>
          </w:p>
        </w:tc>
      </w:tr>
    </w:tbl>
    <w:p w14:paraId="0CDCDD50" w14:textId="2B5D3E2E" w:rsidR="00E674AE" w:rsidRDefault="00E674AE">
      <w:pPr>
        <w:rPr>
          <w:rFonts w:ascii="Verdana" w:hAnsi="Verdana"/>
          <w:color w:val="000000"/>
          <w:sz w:val="21"/>
          <w:szCs w:val="21"/>
        </w:rPr>
      </w:pPr>
      <w:r>
        <w:rPr>
          <w:rFonts w:ascii="Verdana" w:hAnsi="Verdana"/>
          <w:color w:val="000000"/>
          <w:sz w:val="21"/>
          <w:szCs w:val="21"/>
        </w:rPr>
        <w:br w:type="page"/>
      </w:r>
    </w:p>
    <w:p w14:paraId="332725D5" w14:textId="6EBFE826" w:rsidR="00DF6902" w:rsidRDefault="00DF6902" w:rsidP="002A024C">
      <w:pPr>
        <w:spacing w:after="0" w:line="340" w:lineRule="atLeast"/>
        <w:rPr>
          <w:rFonts w:ascii="Verdana" w:hAnsi="Verdana"/>
          <w:color w:val="000000"/>
          <w:sz w:val="21"/>
          <w:szCs w:val="21"/>
        </w:rPr>
      </w:pPr>
    </w:p>
    <w:p w14:paraId="5339ED32" w14:textId="77777777" w:rsidR="00602DDF" w:rsidRDefault="00602DDF" w:rsidP="002A024C">
      <w:pPr>
        <w:spacing w:after="0" w:line="340" w:lineRule="atLeast"/>
        <w:rPr>
          <w:rFonts w:ascii="Verdana" w:hAnsi="Verdana"/>
          <w:color w:val="000000"/>
          <w:sz w:val="21"/>
          <w:szCs w:val="21"/>
        </w:rPr>
      </w:pPr>
    </w:p>
    <w:p w14:paraId="52A007C8" w14:textId="42573779" w:rsidR="00A25A8D" w:rsidRDefault="00A25A8D" w:rsidP="00E674AE">
      <w:pPr>
        <w:spacing w:after="0" w:line="400" w:lineRule="atLeast"/>
        <w:rPr>
          <w:rFonts w:ascii="Verdana" w:hAnsi="Verdana"/>
          <w:color w:val="000000"/>
          <w:sz w:val="21"/>
          <w:szCs w:val="21"/>
        </w:rPr>
      </w:pPr>
      <w:r w:rsidRPr="00E674AE">
        <w:rPr>
          <w:rFonts w:ascii="Verdana" w:hAnsi="Verdana"/>
          <w:b/>
          <w:bCs/>
          <w:color w:val="000000"/>
          <w:sz w:val="21"/>
          <w:szCs w:val="21"/>
        </w:rPr>
        <w:t>Satrix Managers</w:t>
      </w:r>
      <w:r>
        <w:rPr>
          <w:rFonts w:ascii="Verdana" w:hAnsi="Verdana"/>
          <w:color w:val="000000"/>
          <w:sz w:val="21"/>
          <w:szCs w:val="21"/>
        </w:rPr>
        <w:t xml:space="preserve"> </w:t>
      </w:r>
      <w:r w:rsidR="00E674AE">
        <w:rPr>
          <w:rFonts w:ascii="Verdana" w:hAnsi="Verdana"/>
          <w:color w:val="000000"/>
          <w:sz w:val="21"/>
          <w:szCs w:val="21"/>
        </w:rPr>
        <w:t xml:space="preserve">were the most successful issuing house in the first 9 months of 2020.  </w:t>
      </w:r>
      <w:r w:rsidR="00F13A0B">
        <w:rPr>
          <w:rFonts w:ascii="Verdana" w:hAnsi="Verdana"/>
          <w:color w:val="000000"/>
          <w:sz w:val="21"/>
          <w:szCs w:val="21"/>
        </w:rPr>
        <w:t>It</w:t>
      </w:r>
      <w:r w:rsidR="00E674AE">
        <w:rPr>
          <w:rFonts w:ascii="Verdana" w:hAnsi="Verdana"/>
          <w:color w:val="000000"/>
          <w:sz w:val="21"/>
          <w:szCs w:val="21"/>
        </w:rPr>
        <w:t xml:space="preserve"> issued 6 new ETFs during this period, but also continu</w:t>
      </w:r>
      <w:r>
        <w:rPr>
          <w:rFonts w:ascii="Verdana" w:hAnsi="Verdana"/>
          <w:color w:val="000000"/>
          <w:sz w:val="21"/>
          <w:szCs w:val="21"/>
        </w:rPr>
        <w:t xml:space="preserve">ed </w:t>
      </w:r>
      <w:r w:rsidR="00E674AE">
        <w:rPr>
          <w:rFonts w:ascii="Verdana" w:hAnsi="Verdana"/>
          <w:color w:val="000000"/>
          <w:sz w:val="21"/>
          <w:szCs w:val="21"/>
        </w:rPr>
        <w:t xml:space="preserve">to attract new capital to the offshore ETFs they had previously </w:t>
      </w:r>
      <w:r w:rsidR="00F13A0B">
        <w:rPr>
          <w:rFonts w:ascii="Verdana" w:hAnsi="Verdana"/>
          <w:color w:val="000000"/>
          <w:sz w:val="21"/>
          <w:szCs w:val="21"/>
        </w:rPr>
        <w:t xml:space="preserve">been </w:t>
      </w:r>
      <w:r w:rsidR="00E674AE">
        <w:rPr>
          <w:rFonts w:ascii="Verdana" w:hAnsi="Verdana"/>
          <w:color w:val="000000"/>
          <w:sz w:val="21"/>
          <w:szCs w:val="21"/>
        </w:rPr>
        <w:t xml:space="preserve">listed on the JSE in 2018 and 2019.  The stand-out products were the </w:t>
      </w:r>
      <w:r w:rsidR="00E674AE">
        <w:rPr>
          <w:rFonts w:ascii="Verdana" w:hAnsi="Verdana"/>
          <w:b/>
          <w:bCs/>
          <w:color w:val="000000"/>
          <w:sz w:val="21"/>
          <w:szCs w:val="21"/>
        </w:rPr>
        <w:t>Satrix Nasdaq 100 ETF</w:t>
      </w:r>
      <w:r w:rsidR="00E674AE">
        <w:rPr>
          <w:rFonts w:ascii="Verdana" w:hAnsi="Verdana"/>
          <w:color w:val="000000"/>
          <w:sz w:val="21"/>
          <w:szCs w:val="21"/>
        </w:rPr>
        <w:t xml:space="preserve">, which attracted R757,9 million new capital for additional listings of this ETF and the newly listed </w:t>
      </w:r>
      <w:r w:rsidR="00E674AE">
        <w:rPr>
          <w:rFonts w:ascii="Verdana" w:hAnsi="Verdana"/>
          <w:b/>
          <w:bCs/>
          <w:color w:val="000000"/>
          <w:sz w:val="21"/>
          <w:szCs w:val="21"/>
        </w:rPr>
        <w:t>Satrix MSCI China ETF</w:t>
      </w:r>
      <w:r w:rsidR="00E674AE">
        <w:rPr>
          <w:rFonts w:ascii="Verdana" w:hAnsi="Verdana"/>
          <w:color w:val="000000"/>
          <w:sz w:val="21"/>
          <w:szCs w:val="21"/>
        </w:rPr>
        <w:t xml:space="preserve">, which has raised R708,8 million in capital, since its listing on 22 July 2020.  </w:t>
      </w:r>
    </w:p>
    <w:p w14:paraId="169A1F99" w14:textId="31BAE435" w:rsidR="00E674AE" w:rsidRDefault="00E674AE" w:rsidP="00E674AE">
      <w:pPr>
        <w:spacing w:after="0" w:line="400" w:lineRule="atLeast"/>
        <w:rPr>
          <w:rFonts w:ascii="Verdana" w:hAnsi="Verdana"/>
          <w:color w:val="000000"/>
          <w:sz w:val="21"/>
          <w:szCs w:val="21"/>
        </w:rPr>
      </w:pPr>
    </w:p>
    <w:p w14:paraId="4D842130" w14:textId="676D6E28" w:rsidR="00E674AE" w:rsidRDefault="00E674AE" w:rsidP="00E674AE">
      <w:pPr>
        <w:spacing w:after="0" w:line="400" w:lineRule="atLeast"/>
        <w:rPr>
          <w:rFonts w:ascii="Verdana" w:hAnsi="Verdana"/>
          <w:color w:val="000000"/>
          <w:sz w:val="21"/>
          <w:szCs w:val="21"/>
        </w:rPr>
      </w:pPr>
      <w:r>
        <w:rPr>
          <w:rFonts w:ascii="Verdana" w:hAnsi="Verdana"/>
          <w:color w:val="000000"/>
          <w:sz w:val="21"/>
          <w:szCs w:val="21"/>
        </w:rPr>
        <w:t xml:space="preserve">The </w:t>
      </w:r>
      <w:r>
        <w:rPr>
          <w:rFonts w:ascii="Verdana" w:hAnsi="Verdana"/>
          <w:b/>
          <w:bCs/>
          <w:color w:val="000000"/>
          <w:sz w:val="21"/>
          <w:szCs w:val="21"/>
        </w:rPr>
        <w:t>Union Bank of Switzerland (UBS)</w:t>
      </w:r>
      <w:r>
        <w:rPr>
          <w:rFonts w:ascii="Verdana" w:hAnsi="Verdana"/>
          <w:color w:val="000000"/>
          <w:sz w:val="21"/>
          <w:szCs w:val="21"/>
        </w:rPr>
        <w:t xml:space="preserve">, which lends its balance sheet to the issuers of actively managed ETNs, raised a total of R902,1 million new capital from the listing of four new ETNs in 2020, all of these global equity products. </w:t>
      </w:r>
    </w:p>
    <w:p w14:paraId="75069CDD" w14:textId="77777777" w:rsidR="00E674AE" w:rsidRDefault="00E674AE" w:rsidP="00E674AE">
      <w:pPr>
        <w:spacing w:after="0" w:line="400" w:lineRule="atLeast"/>
        <w:rPr>
          <w:rFonts w:ascii="Verdana" w:hAnsi="Verdana"/>
          <w:b/>
          <w:bCs/>
          <w:color w:val="000000"/>
          <w:sz w:val="21"/>
          <w:szCs w:val="21"/>
        </w:rPr>
      </w:pPr>
    </w:p>
    <w:p w14:paraId="69D1A4DC" w14:textId="59A3D1C4" w:rsidR="00E674AE" w:rsidRDefault="00E674AE" w:rsidP="00E674AE">
      <w:pPr>
        <w:spacing w:after="0" w:line="400" w:lineRule="atLeast"/>
        <w:rPr>
          <w:rFonts w:ascii="Verdana" w:hAnsi="Verdana"/>
          <w:color w:val="000000"/>
          <w:sz w:val="21"/>
          <w:szCs w:val="21"/>
        </w:rPr>
      </w:pPr>
      <w:r>
        <w:rPr>
          <w:rFonts w:ascii="Verdana" w:hAnsi="Verdana"/>
          <w:b/>
          <w:bCs/>
          <w:color w:val="000000"/>
          <w:sz w:val="21"/>
          <w:szCs w:val="21"/>
        </w:rPr>
        <w:t>NewWave</w:t>
      </w:r>
      <w:r>
        <w:rPr>
          <w:rFonts w:ascii="Verdana" w:hAnsi="Verdana"/>
          <w:color w:val="000000"/>
          <w:sz w:val="21"/>
          <w:szCs w:val="21"/>
        </w:rPr>
        <w:t xml:space="preserve">, the Absa Capital brand for ETNs, raised R436 million new capital in the first three quarters of 2020, mainly from the </w:t>
      </w:r>
      <w:r>
        <w:rPr>
          <w:rFonts w:ascii="Verdana" w:hAnsi="Verdana"/>
          <w:b/>
          <w:bCs/>
          <w:color w:val="000000"/>
          <w:sz w:val="21"/>
          <w:szCs w:val="21"/>
        </w:rPr>
        <w:t>NewWave Silver ETN</w:t>
      </w:r>
      <w:r>
        <w:rPr>
          <w:rFonts w:ascii="Verdana" w:hAnsi="Verdana"/>
          <w:color w:val="000000"/>
          <w:sz w:val="21"/>
          <w:szCs w:val="21"/>
        </w:rPr>
        <w:t xml:space="preserve">, which was a beneficiary of the global shift into precious metals during the COVID-19 pandemic. </w:t>
      </w:r>
    </w:p>
    <w:p w14:paraId="7CB3278A" w14:textId="0000C316" w:rsidR="00E674AE" w:rsidRDefault="00E674AE" w:rsidP="00E674AE">
      <w:pPr>
        <w:spacing w:after="0" w:line="400" w:lineRule="atLeast"/>
        <w:rPr>
          <w:rFonts w:ascii="Verdana" w:hAnsi="Verdana"/>
          <w:color w:val="000000"/>
          <w:sz w:val="21"/>
          <w:szCs w:val="21"/>
        </w:rPr>
      </w:pPr>
    </w:p>
    <w:p w14:paraId="3848D079" w14:textId="1BE49972" w:rsidR="00E674AE" w:rsidRDefault="00E674AE" w:rsidP="00E674AE">
      <w:pPr>
        <w:spacing w:after="0" w:line="400" w:lineRule="atLeast"/>
        <w:rPr>
          <w:rFonts w:ascii="Verdana" w:hAnsi="Verdana"/>
          <w:color w:val="000000"/>
          <w:sz w:val="21"/>
          <w:szCs w:val="21"/>
        </w:rPr>
      </w:pPr>
      <w:r>
        <w:rPr>
          <w:rFonts w:ascii="Verdana" w:hAnsi="Verdana"/>
          <w:b/>
          <w:bCs/>
          <w:color w:val="000000"/>
          <w:sz w:val="21"/>
          <w:szCs w:val="21"/>
        </w:rPr>
        <w:t>1nvest</w:t>
      </w:r>
      <w:r>
        <w:rPr>
          <w:rFonts w:ascii="Verdana" w:hAnsi="Verdana"/>
          <w:color w:val="000000"/>
          <w:sz w:val="21"/>
          <w:szCs w:val="21"/>
        </w:rPr>
        <w:t xml:space="preserve">, the combined brand name for the Standard Bank and Standard Liberty ETFs, raised a positive amount of R205,7 million in new capital.  Significant new issues of the </w:t>
      </w:r>
      <w:r w:rsidRPr="00CC53BB">
        <w:rPr>
          <w:rFonts w:ascii="Verdana" w:hAnsi="Verdana"/>
          <w:b/>
          <w:bCs/>
          <w:color w:val="000000"/>
          <w:sz w:val="21"/>
          <w:szCs w:val="21"/>
        </w:rPr>
        <w:t>1nvest Gold</w:t>
      </w:r>
      <w:r>
        <w:rPr>
          <w:rFonts w:ascii="Verdana" w:hAnsi="Verdana"/>
          <w:color w:val="000000"/>
          <w:sz w:val="21"/>
          <w:szCs w:val="21"/>
        </w:rPr>
        <w:t xml:space="preserve"> and </w:t>
      </w:r>
      <w:r w:rsidRPr="00CC53BB">
        <w:rPr>
          <w:rFonts w:ascii="Verdana" w:hAnsi="Verdana"/>
          <w:b/>
          <w:bCs/>
          <w:color w:val="000000"/>
          <w:sz w:val="21"/>
          <w:szCs w:val="21"/>
        </w:rPr>
        <w:t>1nvest Platinum ETFs</w:t>
      </w:r>
      <w:r>
        <w:rPr>
          <w:rFonts w:ascii="Verdana" w:hAnsi="Verdana"/>
          <w:color w:val="000000"/>
          <w:sz w:val="21"/>
          <w:szCs w:val="21"/>
        </w:rPr>
        <w:t xml:space="preserve">, which are 100% </w:t>
      </w:r>
      <w:r w:rsidR="00E8446A">
        <w:rPr>
          <w:rFonts w:ascii="Verdana" w:hAnsi="Verdana"/>
          <w:color w:val="000000"/>
          <w:sz w:val="21"/>
          <w:szCs w:val="21"/>
        </w:rPr>
        <w:t xml:space="preserve">backed physical precious metal ETFs, was offset by a big decline in the number of Palladium ETFs in issue.  It would appear that a switch from Palladium to Platinum, by some institutional investors, was the key factor in this redemption of R3 600,8 million </w:t>
      </w:r>
      <w:r w:rsidR="00F13A0B">
        <w:rPr>
          <w:rFonts w:ascii="Verdana" w:hAnsi="Verdana"/>
          <w:color w:val="000000"/>
          <w:sz w:val="21"/>
          <w:szCs w:val="21"/>
        </w:rPr>
        <w:t>for</w:t>
      </w:r>
      <w:r w:rsidR="00E8446A">
        <w:rPr>
          <w:rFonts w:ascii="Verdana" w:hAnsi="Verdana"/>
          <w:color w:val="000000"/>
          <w:sz w:val="21"/>
          <w:szCs w:val="21"/>
        </w:rPr>
        <w:t xml:space="preserve"> </w:t>
      </w:r>
      <w:r w:rsidR="00CC53BB" w:rsidRPr="00CC53BB">
        <w:rPr>
          <w:rFonts w:ascii="Verdana" w:hAnsi="Verdana"/>
          <w:b/>
          <w:bCs/>
          <w:color w:val="000000"/>
          <w:sz w:val="21"/>
          <w:szCs w:val="21"/>
        </w:rPr>
        <w:t xml:space="preserve">1nvest </w:t>
      </w:r>
      <w:r w:rsidR="00E8446A" w:rsidRPr="00CC53BB">
        <w:rPr>
          <w:rFonts w:ascii="Verdana" w:hAnsi="Verdana"/>
          <w:b/>
          <w:bCs/>
          <w:color w:val="000000"/>
          <w:sz w:val="21"/>
          <w:szCs w:val="21"/>
        </w:rPr>
        <w:t>P</w:t>
      </w:r>
      <w:r w:rsidR="00F13A0B" w:rsidRPr="00CC53BB">
        <w:rPr>
          <w:rFonts w:ascii="Verdana" w:hAnsi="Verdana"/>
          <w:b/>
          <w:bCs/>
          <w:color w:val="000000"/>
          <w:sz w:val="21"/>
          <w:szCs w:val="21"/>
        </w:rPr>
        <w:t>alladium</w:t>
      </w:r>
      <w:r w:rsidR="00E8446A" w:rsidRPr="00CC53BB">
        <w:rPr>
          <w:rFonts w:ascii="Verdana" w:hAnsi="Verdana"/>
          <w:b/>
          <w:bCs/>
          <w:color w:val="000000"/>
          <w:sz w:val="21"/>
          <w:szCs w:val="21"/>
        </w:rPr>
        <w:t xml:space="preserve"> ETFs</w:t>
      </w:r>
      <w:r w:rsidR="00E8446A">
        <w:rPr>
          <w:rFonts w:ascii="Verdana" w:hAnsi="Verdana"/>
          <w:color w:val="000000"/>
          <w:sz w:val="21"/>
          <w:szCs w:val="21"/>
        </w:rPr>
        <w:t xml:space="preserve"> over this period.  </w:t>
      </w:r>
    </w:p>
    <w:p w14:paraId="2442C0A0" w14:textId="2FE489A0" w:rsidR="00E8446A" w:rsidRDefault="00E8446A" w:rsidP="00E674AE">
      <w:pPr>
        <w:spacing w:after="0" w:line="400" w:lineRule="atLeast"/>
        <w:rPr>
          <w:rFonts w:ascii="Verdana" w:hAnsi="Verdana"/>
          <w:color w:val="000000"/>
          <w:sz w:val="21"/>
          <w:szCs w:val="21"/>
        </w:rPr>
      </w:pPr>
    </w:p>
    <w:p w14:paraId="6D808E3F" w14:textId="6BE195D6" w:rsidR="00E8446A" w:rsidRDefault="00E8446A" w:rsidP="00E674AE">
      <w:pPr>
        <w:spacing w:after="0" w:line="400" w:lineRule="atLeast"/>
        <w:rPr>
          <w:rFonts w:ascii="Verdana" w:hAnsi="Verdana"/>
          <w:color w:val="000000"/>
          <w:sz w:val="21"/>
          <w:szCs w:val="21"/>
        </w:rPr>
      </w:pPr>
      <w:r>
        <w:rPr>
          <w:rFonts w:ascii="Verdana" w:hAnsi="Verdana"/>
          <w:b/>
          <w:bCs/>
          <w:color w:val="000000"/>
          <w:sz w:val="21"/>
          <w:szCs w:val="21"/>
        </w:rPr>
        <w:t>Absa Capital</w:t>
      </w:r>
      <w:r>
        <w:rPr>
          <w:rFonts w:ascii="Verdana" w:hAnsi="Verdana"/>
          <w:color w:val="000000"/>
          <w:sz w:val="21"/>
          <w:szCs w:val="21"/>
        </w:rPr>
        <w:t xml:space="preserve">, had a similar problem, with positive issues of R3 426,3 million in the </w:t>
      </w:r>
      <w:r>
        <w:rPr>
          <w:rFonts w:ascii="Verdana" w:hAnsi="Verdana"/>
          <w:b/>
          <w:bCs/>
          <w:color w:val="000000"/>
          <w:sz w:val="21"/>
          <w:szCs w:val="21"/>
        </w:rPr>
        <w:t>NewGold ETF</w:t>
      </w:r>
      <w:r>
        <w:rPr>
          <w:rFonts w:ascii="Verdana" w:hAnsi="Verdana"/>
          <w:color w:val="000000"/>
          <w:sz w:val="21"/>
          <w:szCs w:val="21"/>
        </w:rPr>
        <w:t xml:space="preserve"> being </w:t>
      </w:r>
      <w:r w:rsidR="00F13A0B">
        <w:rPr>
          <w:rFonts w:ascii="Verdana" w:hAnsi="Verdana"/>
          <w:color w:val="000000"/>
          <w:sz w:val="21"/>
          <w:szCs w:val="21"/>
        </w:rPr>
        <w:t>largely</w:t>
      </w:r>
      <w:r>
        <w:rPr>
          <w:rFonts w:ascii="Verdana" w:hAnsi="Verdana"/>
          <w:color w:val="000000"/>
          <w:sz w:val="21"/>
          <w:szCs w:val="21"/>
        </w:rPr>
        <w:t xml:space="preserve"> offset by redemptions in the </w:t>
      </w:r>
      <w:r>
        <w:rPr>
          <w:rFonts w:ascii="Verdana" w:hAnsi="Verdana"/>
          <w:b/>
          <w:bCs/>
          <w:color w:val="000000"/>
          <w:sz w:val="21"/>
          <w:szCs w:val="21"/>
        </w:rPr>
        <w:t>NewGold Platinum</w:t>
      </w:r>
      <w:r>
        <w:rPr>
          <w:rFonts w:ascii="Verdana" w:hAnsi="Verdana"/>
          <w:color w:val="000000"/>
          <w:sz w:val="21"/>
          <w:szCs w:val="21"/>
        </w:rPr>
        <w:t xml:space="preserve"> and </w:t>
      </w:r>
      <w:r>
        <w:rPr>
          <w:rFonts w:ascii="Verdana" w:hAnsi="Verdana"/>
          <w:b/>
          <w:bCs/>
          <w:color w:val="000000"/>
          <w:sz w:val="21"/>
          <w:szCs w:val="21"/>
        </w:rPr>
        <w:t>Palladium ETFs</w:t>
      </w:r>
      <w:r>
        <w:rPr>
          <w:rFonts w:ascii="Verdana" w:hAnsi="Verdana"/>
          <w:color w:val="000000"/>
          <w:sz w:val="21"/>
          <w:szCs w:val="21"/>
        </w:rPr>
        <w:t xml:space="preserve">.  It would appear that profit-taking and trading activity in these PGM tracking ETFs is now a significant factor. </w:t>
      </w:r>
    </w:p>
    <w:p w14:paraId="2C4EC275" w14:textId="6486D96B" w:rsidR="00E8446A" w:rsidRDefault="00E8446A" w:rsidP="00E674AE">
      <w:pPr>
        <w:spacing w:after="0" w:line="400" w:lineRule="atLeast"/>
        <w:rPr>
          <w:rFonts w:ascii="Verdana" w:hAnsi="Verdana"/>
          <w:color w:val="000000"/>
          <w:sz w:val="21"/>
          <w:szCs w:val="21"/>
        </w:rPr>
      </w:pPr>
    </w:p>
    <w:p w14:paraId="244FD2B0" w14:textId="4AE8E953" w:rsidR="00E8446A" w:rsidRPr="00E8446A" w:rsidRDefault="00E8446A" w:rsidP="00E674AE">
      <w:pPr>
        <w:spacing w:after="0" w:line="400" w:lineRule="atLeast"/>
        <w:rPr>
          <w:rFonts w:ascii="Verdana" w:hAnsi="Verdana"/>
          <w:color w:val="000000"/>
          <w:sz w:val="21"/>
          <w:szCs w:val="21"/>
        </w:rPr>
      </w:pPr>
      <w:r>
        <w:rPr>
          <w:rFonts w:ascii="Verdana" w:hAnsi="Verdana"/>
          <w:color w:val="000000"/>
          <w:sz w:val="21"/>
          <w:szCs w:val="21"/>
        </w:rPr>
        <w:t>As stated earlier, the redemptions of maturing ETNs issued by Deutsche Bank and Standard Bank</w:t>
      </w:r>
      <w:r w:rsidR="00F13A0B">
        <w:rPr>
          <w:rFonts w:ascii="Verdana" w:hAnsi="Verdana"/>
          <w:color w:val="000000"/>
          <w:sz w:val="21"/>
          <w:szCs w:val="21"/>
        </w:rPr>
        <w:t>,</w:t>
      </w:r>
      <w:r>
        <w:rPr>
          <w:rFonts w:ascii="Verdana" w:hAnsi="Verdana"/>
          <w:color w:val="000000"/>
          <w:sz w:val="21"/>
          <w:szCs w:val="21"/>
        </w:rPr>
        <w:t xml:space="preserve"> as the 10-year listing period </w:t>
      </w:r>
      <w:r w:rsidR="00F13A0B">
        <w:rPr>
          <w:rFonts w:ascii="Verdana" w:hAnsi="Verdana"/>
          <w:color w:val="000000"/>
          <w:sz w:val="21"/>
          <w:szCs w:val="21"/>
        </w:rPr>
        <w:t xml:space="preserve">for these ETNs </w:t>
      </w:r>
      <w:r>
        <w:rPr>
          <w:rFonts w:ascii="Verdana" w:hAnsi="Verdana"/>
          <w:color w:val="000000"/>
          <w:sz w:val="21"/>
          <w:szCs w:val="21"/>
        </w:rPr>
        <w:t xml:space="preserve">came to an end, have led to a significant reduction in the capital previously invested in these products.  </w:t>
      </w:r>
    </w:p>
    <w:p w14:paraId="3133E42F" w14:textId="77777777" w:rsidR="00E674AE" w:rsidRDefault="00E674AE" w:rsidP="00E674AE">
      <w:pPr>
        <w:spacing w:after="0" w:line="400" w:lineRule="atLeast"/>
        <w:rPr>
          <w:rFonts w:ascii="Verdana" w:hAnsi="Verdana"/>
          <w:color w:val="000000"/>
          <w:sz w:val="21"/>
          <w:szCs w:val="21"/>
        </w:rPr>
      </w:pPr>
    </w:p>
    <w:p w14:paraId="51CF0DB7" w14:textId="28FAB14E" w:rsidR="00E8446A" w:rsidRDefault="00E8446A">
      <w:pPr>
        <w:rPr>
          <w:rFonts w:ascii="Verdana" w:hAnsi="Verdana"/>
          <w:color w:val="000000"/>
          <w:sz w:val="21"/>
          <w:szCs w:val="21"/>
        </w:rPr>
      </w:pPr>
      <w:r>
        <w:rPr>
          <w:rFonts w:ascii="Verdana" w:hAnsi="Verdana"/>
          <w:color w:val="000000"/>
          <w:sz w:val="21"/>
          <w:szCs w:val="21"/>
        </w:rPr>
        <w:br w:type="page"/>
      </w:r>
    </w:p>
    <w:p w14:paraId="3470C425" w14:textId="77777777" w:rsidR="00A25A8D" w:rsidRDefault="00A25A8D" w:rsidP="00A25A8D">
      <w:pPr>
        <w:spacing w:after="0" w:line="360" w:lineRule="atLeast"/>
        <w:rPr>
          <w:rFonts w:ascii="Verdana" w:hAnsi="Verdana"/>
          <w:color w:val="000000"/>
          <w:sz w:val="21"/>
          <w:szCs w:val="21"/>
        </w:rPr>
      </w:pPr>
    </w:p>
    <w:p w14:paraId="077CC978" w14:textId="0B7B3D4B" w:rsidR="007A7050" w:rsidRPr="007A7050" w:rsidRDefault="007A7050" w:rsidP="00E71803">
      <w:pPr>
        <w:spacing w:after="0" w:line="320" w:lineRule="atLeast"/>
        <w:rPr>
          <w:rFonts w:ascii="Verdana" w:hAnsi="Verdana"/>
          <w:b/>
          <w:bCs/>
          <w:color w:val="C00000"/>
        </w:rPr>
      </w:pPr>
      <w:r w:rsidRPr="007A7050">
        <w:rPr>
          <w:rFonts w:ascii="Verdana" w:hAnsi="Verdana"/>
          <w:b/>
          <w:bCs/>
          <w:color w:val="C00000"/>
        </w:rPr>
        <w:t>Snapshot of the SA ETP Industry as at 3</w:t>
      </w:r>
      <w:r w:rsidR="00A25A8D">
        <w:rPr>
          <w:rFonts w:ascii="Verdana" w:hAnsi="Verdana"/>
          <w:b/>
          <w:bCs/>
          <w:color w:val="C00000"/>
        </w:rPr>
        <w:t>0</w:t>
      </w:r>
      <w:r w:rsidRPr="007A7050">
        <w:rPr>
          <w:rFonts w:ascii="Verdana" w:hAnsi="Verdana"/>
          <w:b/>
          <w:bCs/>
          <w:color w:val="C00000"/>
        </w:rPr>
        <w:t xml:space="preserve"> </w:t>
      </w:r>
      <w:r w:rsidR="00E8446A">
        <w:rPr>
          <w:rFonts w:ascii="Verdana" w:hAnsi="Verdana"/>
          <w:b/>
          <w:bCs/>
          <w:color w:val="C00000"/>
        </w:rPr>
        <w:t>September</w:t>
      </w:r>
      <w:r w:rsidRPr="007A7050">
        <w:rPr>
          <w:rFonts w:ascii="Verdana" w:hAnsi="Verdana"/>
          <w:b/>
          <w:bCs/>
          <w:color w:val="C00000"/>
        </w:rPr>
        <w:t xml:space="preserve"> 20</w:t>
      </w:r>
      <w:r w:rsidR="003C3187">
        <w:rPr>
          <w:rFonts w:ascii="Verdana" w:hAnsi="Verdana"/>
          <w:b/>
          <w:bCs/>
          <w:color w:val="C00000"/>
        </w:rPr>
        <w:t>20</w:t>
      </w:r>
    </w:p>
    <w:p w14:paraId="574B99A3" w14:textId="072AFC19" w:rsidR="00340ED3" w:rsidRPr="00340ED3" w:rsidRDefault="00340ED3" w:rsidP="00083E17">
      <w:pPr>
        <w:spacing w:after="0" w:line="360" w:lineRule="atLeast"/>
        <w:rPr>
          <w:rFonts w:ascii="Verdana" w:hAnsi="Verdana"/>
          <w:b/>
          <w:color w:val="000000"/>
          <w:sz w:val="21"/>
          <w:szCs w:val="21"/>
        </w:rPr>
      </w:pPr>
      <w:r>
        <w:rPr>
          <w:rFonts w:ascii="Verdana" w:hAnsi="Verdana"/>
          <w:b/>
          <w:color w:val="000000"/>
          <w:sz w:val="21"/>
          <w:szCs w:val="21"/>
        </w:rPr>
        <w:t xml:space="preserve">Table </w:t>
      </w:r>
      <w:r w:rsidR="003C3187">
        <w:rPr>
          <w:rFonts w:ascii="Verdana" w:hAnsi="Verdana"/>
          <w:b/>
          <w:color w:val="000000"/>
          <w:sz w:val="21"/>
          <w:szCs w:val="21"/>
        </w:rPr>
        <w:t>B</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A029E7" w:rsidRPr="00AB6CBE" w14:paraId="6C58D851" w14:textId="77777777" w:rsidTr="00275FDA">
        <w:tc>
          <w:tcPr>
            <w:tcW w:w="9214" w:type="dxa"/>
            <w:gridSpan w:val="8"/>
            <w:shd w:val="clear" w:color="auto" w:fill="C00000"/>
            <w:vAlign w:val="center"/>
          </w:tcPr>
          <w:p w14:paraId="3570725C" w14:textId="77777777" w:rsidR="00A029E7" w:rsidRPr="003B4F95" w:rsidRDefault="00A029E7" w:rsidP="00A25A8D">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35DFF8CE" w14:textId="009A253F" w:rsidR="00A029E7" w:rsidRPr="003B4F95" w:rsidRDefault="00A029E7" w:rsidP="00A25A8D">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sidR="00FE2ED4">
              <w:rPr>
                <w:rFonts w:ascii="Verdana" w:hAnsi="Verdana"/>
                <w:b/>
                <w:color w:val="FFFFFF"/>
                <w:sz w:val="18"/>
                <w:szCs w:val="18"/>
              </w:rPr>
              <w:t>3</w:t>
            </w:r>
            <w:r w:rsidR="00A25A8D">
              <w:rPr>
                <w:rFonts w:ascii="Verdana" w:hAnsi="Verdana"/>
                <w:b/>
                <w:color w:val="FFFFFF"/>
                <w:sz w:val="18"/>
                <w:szCs w:val="18"/>
              </w:rPr>
              <w:t>0</w:t>
            </w:r>
            <w:r w:rsidR="00FE2ED4">
              <w:rPr>
                <w:rFonts w:ascii="Verdana" w:hAnsi="Verdana"/>
                <w:b/>
                <w:color w:val="FFFFFF"/>
                <w:sz w:val="18"/>
                <w:szCs w:val="18"/>
              </w:rPr>
              <w:t xml:space="preserve"> </w:t>
            </w:r>
            <w:r w:rsidR="00E8446A">
              <w:rPr>
                <w:rFonts w:ascii="Verdana" w:hAnsi="Verdana"/>
                <w:b/>
                <w:color w:val="FFFFFF"/>
                <w:sz w:val="18"/>
                <w:szCs w:val="18"/>
              </w:rPr>
              <w:t>September</w:t>
            </w:r>
            <w:r w:rsidRPr="003B4F95">
              <w:rPr>
                <w:rFonts w:ascii="Verdana" w:hAnsi="Verdana"/>
                <w:b/>
                <w:color w:val="FFFFFF"/>
                <w:sz w:val="18"/>
                <w:szCs w:val="18"/>
              </w:rPr>
              <w:t xml:space="preserve"> 20</w:t>
            </w:r>
            <w:r w:rsidR="0005437D">
              <w:rPr>
                <w:rFonts w:ascii="Verdana" w:hAnsi="Verdana"/>
                <w:b/>
                <w:color w:val="FFFFFF"/>
                <w:sz w:val="18"/>
                <w:szCs w:val="18"/>
              </w:rPr>
              <w:t>20</w:t>
            </w:r>
            <w:r w:rsidRPr="003B4F95">
              <w:rPr>
                <w:rFonts w:ascii="Verdana" w:hAnsi="Verdana"/>
                <w:b/>
                <w:color w:val="FFFFFF"/>
                <w:sz w:val="18"/>
                <w:szCs w:val="18"/>
              </w:rPr>
              <w:t>)</w:t>
            </w:r>
          </w:p>
        </w:tc>
      </w:tr>
      <w:tr w:rsidR="00A029E7" w:rsidRPr="00AB6CBE" w14:paraId="16BE5CAE" w14:textId="77777777" w:rsidTr="00275FDA">
        <w:trPr>
          <w:trHeight w:val="311"/>
        </w:trPr>
        <w:tc>
          <w:tcPr>
            <w:tcW w:w="567" w:type="dxa"/>
            <w:vMerge w:val="restart"/>
            <w:shd w:val="clear" w:color="auto" w:fill="4C4C4C"/>
            <w:vAlign w:val="center"/>
          </w:tcPr>
          <w:p w14:paraId="276F8155" w14:textId="77777777" w:rsidR="00A029E7" w:rsidRPr="003B4F95" w:rsidRDefault="00A029E7" w:rsidP="00A25A8D">
            <w:pPr>
              <w:spacing w:before="40" w:after="40" w:line="280" w:lineRule="atLeast"/>
              <w:rPr>
                <w:rFonts w:ascii="Verdana" w:hAnsi="Verdana"/>
                <w:b/>
                <w:color w:val="FFFFFF"/>
                <w:sz w:val="18"/>
                <w:szCs w:val="18"/>
              </w:rPr>
            </w:pPr>
          </w:p>
        </w:tc>
        <w:tc>
          <w:tcPr>
            <w:tcW w:w="1984" w:type="dxa"/>
            <w:gridSpan w:val="2"/>
            <w:vMerge w:val="restart"/>
            <w:shd w:val="clear" w:color="auto" w:fill="4C4C4C"/>
            <w:vAlign w:val="center"/>
          </w:tcPr>
          <w:p w14:paraId="7BC14E8D" w14:textId="49AE90E9" w:rsidR="00A029E7" w:rsidRPr="003B4F95" w:rsidRDefault="00A029E7" w:rsidP="00A25A8D">
            <w:pPr>
              <w:spacing w:before="40" w:after="40" w:line="28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41EF6BA9" w14:textId="77777777" w:rsidR="00A029E7" w:rsidRPr="003B4F95" w:rsidRDefault="00A029E7" w:rsidP="00A25A8D">
            <w:pPr>
              <w:spacing w:before="40" w:after="40" w:line="28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190216BA" w14:textId="77777777" w:rsidR="00A029E7" w:rsidRPr="003B4F95" w:rsidRDefault="00A029E7" w:rsidP="00A25A8D">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002E995E" w14:textId="77777777" w:rsidR="00A029E7" w:rsidRPr="003B4F95" w:rsidRDefault="00A029E7" w:rsidP="00A25A8D">
            <w:pPr>
              <w:spacing w:before="40" w:after="40" w:line="28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A029E7" w:rsidRPr="00AB6CBE" w14:paraId="2AB06EA7" w14:textId="77777777" w:rsidTr="00275FDA">
        <w:trPr>
          <w:trHeight w:val="311"/>
        </w:trPr>
        <w:tc>
          <w:tcPr>
            <w:tcW w:w="567" w:type="dxa"/>
            <w:vMerge/>
            <w:shd w:val="clear" w:color="auto" w:fill="4C4C4C"/>
            <w:vAlign w:val="center"/>
          </w:tcPr>
          <w:p w14:paraId="1FF6352A" w14:textId="77777777" w:rsidR="00A029E7" w:rsidRPr="003B4F95" w:rsidRDefault="00A029E7" w:rsidP="00A25A8D">
            <w:pPr>
              <w:spacing w:before="40" w:after="40" w:line="280" w:lineRule="atLeast"/>
              <w:rPr>
                <w:rFonts w:ascii="Verdana" w:hAnsi="Verdana"/>
                <w:b/>
                <w:color w:val="FFFFFF"/>
                <w:sz w:val="18"/>
                <w:szCs w:val="18"/>
              </w:rPr>
            </w:pPr>
          </w:p>
        </w:tc>
        <w:tc>
          <w:tcPr>
            <w:tcW w:w="1984" w:type="dxa"/>
            <w:gridSpan w:val="2"/>
            <w:vMerge/>
            <w:shd w:val="clear" w:color="auto" w:fill="4C4C4C"/>
          </w:tcPr>
          <w:p w14:paraId="436245B6" w14:textId="49FB5311" w:rsidR="00A029E7" w:rsidRPr="003B4F95" w:rsidRDefault="00A029E7" w:rsidP="00A25A8D">
            <w:pPr>
              <w:spacing w:before="40" w:after="40" w:line="280" w:lineRule="atLeast"/>
              <w:rPr>
                <w:rFonts w:ascii="Verdana" w:hAnsi="Verdana"/>
                <w:b/>
                <w:color w:val="FFFFFF"/>
                <w:sz w:val="18"/>
                <w:szCs w:val="18"/>
              </w:rPr>
            </w:pPr>
          </w:p>
        </w:tc>
        <w:tc>
          <w:tcPr>
            <w:tcW w:w="993" w:type="dxa"/>
            <w:shd w:val="clear" w:color="auto" w:fill="4C4C4C"/>
            <w:vAlign w:val="center"/>
          </w:tcPr>
          <w:p w14:paraId="2C191EAD" w14:textId="77777777" w:rsidR="00A029E7" w:rsidRPr="003B4F95" w:rsidRDefault="00A029E7" w:rsidP="00A25A8D">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5ABA983B" w14:textId="77777777" w:rsidR="00A029E7" w:rsidRPr="003B4F95" w:rsidRDefault="00A029E7" w:rsidP="00A25A8D">
            <w:pPr>
              <w:spacing w:before="40" w:after="40" w:line="28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436EF0EA" w14:textId="77777777" w:rsidR="00A029E7" w:rsidRPr="003B4F95" w:rsidRDefault="00A029E7" w:rsidP="00A25A8D">
            <w:pPr>
              <w:spacing w:before="40" w:after="40" w:line="28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121D26EA" w14:textId="77777777" w:rsidR="00A029E7" w:rsidRPr="003B4F95" w:rsidRDefault="00A029E7" w:rsidP="00A25A8D">
            <w:pPr>
              <w:spacing w:before="40" w:after="40" w:line="28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036A93B0" w14:textId="77777777" w:rsidR="00A029E7" w:rsidRPr="003B4F95" w:rsidRDefault="00A029E7" w:rsidP="00A25A8D">
            <w:pPr>
              <w:spacing w:before="40" w:after="40" w:line="280" w:lineRule="atLeast"/>
              <w:jc w:val="right"/>
              <w:rPr>
                <w:rFonts w:ascii="Verdana" w:hAnsi="Verdana"/>
                <w:b/>
                <w:color w:val="FFFFFF"/>
                <w:sz w:val="18"/>
                <w:szCs w:val="18"/>
              </w:rPr>
            </w:pPr>
          </w:p>
        </w:tc>
      </w:tr>
      <w:tr w:rsidR="00A029E7" w:rsidRPr="00AB6CBE" w14:paraId="223242D5" w14:textId="77777777" w:rsidTr="00275FDA">
        <w:tc>
          <w:tcPr>
            <w:tcW w:w="567" w:type="dxa"/>
            <w:shd w:val="clear" w:color="auto" w:fill="auto"/>
          </w:tcPr>
          <w:p w14:paraId="4D91BA7C" w14:textId="77777777" w:rsidR="00A029E7" w:rsidRPr="003B4F95" w:rsidRDefault="00A029E7" w:rsidP="00A25A8D">
            <w:pPr>
              <w:spacing w:before="40" w:after="40" w:line="280" w:lineRule="atLeast"/>
              <w:rPr>
                <w:rFonts w:ascii="Verdana" w:hAnsi="Verdana"/>
                <w:color w:val="000000"/>
                <w:sz w:val="18"/>
                <w:szCs w:val="18"/>
              </w:rPr>
            </w:pPr>
            <w:r w:rsidRPr="003B4F95">
              <w:rPr>
                <w:rFonts w:ascii="Verdana" w:hAnsi="Verdana"/>
                <w:color w:val="000000"/>
                <w:sz w:val="18"/>
                <w:szCs w:val="18"/>
              </w:rPr>
              <w:t>1.</w:t>
            </w:r>
          </w:p>
        </w:tc>
        <w:tc>
          <w:tcPr>
            <w:tcW w:w="1984" w:type="dxa"/>
            <w:gridSpan w:val="2"/>
            <w:shd w:val="clear" w:color="auto" w:fill="auto"/>
          </w:tcPr>
          <w:p w14:paraId="6AABFB44" w14:textId="77777777" w:rsidR="00A029E7" w:rsidRPr="003B4F95" w:rsidRDefault="00A029E7" w:rsidP="00A25A8D">
            <w:pPr>
              <w:spacing w:before="40" w:after="40" w:line="28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62D33FD6" w14:textId="17629130" w:rsidR="00A029E7" w:rsidRPr="003B4F95" w:rsidRDefault="00A029E7" w:rsidP="00A25A8D">
            <w:pPr>
              <w:spacing w:before="40" w:after="40" w:line="280" w:lineRule="atLeast"/>
              <w:jc w:val="center"/>
              <w:rPr>
                <w:rFonts w:ascii="Verdana" w:hAnsi="Verdana"/>
                <w:color w:val="000000"/>
                <w:sz w:val="18"/>
                <w:szCs w:val="18"/>
              </w:rPr>
            </w:pPr>
            <w:r>
              <w:rPr>
                <w:rFonts w:ascii="Verdana" w:hAnsi="Verdana"/>
                <w:color w:val="000000"/>
                <w:sz w:val="18"/>
                <w:szCs w:val="18"/>
              </w:rPr>
              <w:t>1</w:t>
            </w:r>
            <w:r w:rsidR="007A7050">
              <w:rPr>
                <w:rFonts w:ascii="Verdana" w:hAnsi="Verdana"/>
                <w:color w:val="000000"/>
                <w:sz w:val="18"/>
                <w:szCs w:val="18"/>
              </w:rPr>
              <w:t>7</w:t>
            </w:r>
          </w:p>
        </w:tc>
        <w:tc>
          <w:tcPr>
            <w:tcW w:w="992" w:type="dxa"/>
            <w:shd w:val="clear" w:color="auto" w:fill="auto"/>
            <w:vAlign w:val="center"/>
          </w:tcPr>
          <w:p w14:paraId="5D44D04E" w14:textId="77777777" w:rsidR="00A029E7" w:rsidRPr="003B4F95" w:rsidRDefault="00A029E7" w:rsidP="00A25A8D">
            <w:pPr>
              <w:spacing w:before="40" w:after="40" w:line="28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33F818D4" w14:textId="0CFD7F33" w:rsidR="00A029E7" w:rsidRPr="003B4F95"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37 031,5</w:t>
            </w:r>
          </w:p>
        </w:tc>
        <w:tc>
          <w:tcPr>
            <w:tcW w:w="1418" w:type="dxa"/>
            <w:vAlign w:val="center"/>
          </w:tcPr>
          <w:p w14:paraId="4FDD4459" w14:textId="05AFE409" w:rsidR="00A029E7" w:rsidRPr="003B4F95"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1 019,8</w:t>
            </w:r>
          </w:p>
        </w:tc>
        <w:tc>
          <w:tcPr>
            <w:tcW w:w="1843" w:type="dxa"/>
            <w:vAlign w:val="center"/>
          </w:tcPr>
          <w:p w14:paraId="7693E12C" w14:textId="19E2A194" w:rsidR="00A029E7" w:rsidRPr="003B4F95"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38 051,3</w:t>
            </w:r>
          </w:p>
        </w:tc>
      </w:tr>
      <w:tr w:rsidR="00267704" w:rsidRPr="00AB6CBE" w14:paraId="1B33BD98" w14:textId="77777777" w:rsidTr="00275FDA">
        <w:tc>
          <w:tcPr>
            <w:tcW w:w="567" w:type="dxa"/>
            <w:shd w:val="clear" w:color="auto" w:fill="auto"/>
          </w:tcPr>
          <w:p w14:paraId="58A8D45C" w14:textId="3B12D3BD" w:rsidR="00267704" w:rsidRDefault="00267704" w:rsidP="00A25A8D">
            <w:pPr>
              <w:spacing w:before="40" w:after="40" w:line="280" w:lineRule="atLeast"/>
              <w:rPr>
                <w:rFonts w:ascii="Verdana" w:hAnsi="Verdana"/>
                <w:color w:val="000000"/>
                <w:sz w:val="18"/>
                <w:szCs w:val="18"/>
              </w:rPr>
            </w:pPr>
            <w:r>
              <w:rPr>
                <w:rFonts w:ascii="Verdana" w:hAnsi="Verdana"/>
                <w:color w:val="000000"/>
                <w:sz w:val="18"/>
                <w:szCs w:val="18"/>
              </w:rPr>
              <w:t>2.</w:t>
            </w:r>
          </w:p>
        </w:tc>
        <w:tc>
          <w:tcPr>
            <w:tcW w:w="1984" w:type="dxa"/>
            <w:gridSpan w:val="2"/>
            <w:shd w:val="clear" w:color="auto" w:fill="auto"/>
          </w:tcPr>
          <w:p w14:paraId="5FE7BE6A" w14:textId="612EE0FB" w:rsidR="00267704" w:rsidRPr="003B4F95" w:rsidRDefault="00267704" w:rsidP="00A25A8D">
            <w:pPr>
              <w:spacing w:before="40" w:after="40" w:line="280" w:lineRule="atLeast"/>
              <w:rPr>
                <w:rFonts w:ascii="Verdana" w:hAnsi="Verdana"/>
                <w:color w:val="000000"/>
                <w:sz w:val="18"/>
                <w:szCs w:val="18"/>
              </w:rPr>
            </w:pPr>
            <w:r>
              <w:rPr>
                <w:rFonts w:ascii="Verdana" w:hAnsi="Verdana"/>
                <w:color w:val="000000"/>
                <w:sz w:val="18"/>
                <w:szCs w:val="18"/>
              </w:rPr>
              <w:t>Sygnia/Itrix</w:t>
            </w:r>
          </w:p>
        </w:tc>
        <w:tc>
          <w:tcPr>
            <w:tcW w:w="993" w:type="dxa"/>
            <w:shd w:val="clear" w:color="auto" w:fill="auto"/>
            <w:vAlign w:val="center"/>
          </w:tcPr>
          <w:p w14:paraId="5880BF0C" w14:textId="5E79F644" w:rsidR="00267704" w:rsidRDefault="00267704" w:rsidP="00A25A8D">
            <w:pPr>
              <w:spacing w:before="40" w:after="40" w:line="280" w:lineRule="atLeast"/>
              <w:jc w:val="center"/>
              <w:rPr>
                <w:rFonts w:ascii="Verdana" w:hAnsi="Verdana"/>
                <w:color w:val="000000"/>
                <w:sz w:val="18"/>
                <w:szCs w:val="18"/>
              </w:rPr>
            </w:pPr>
            <w:r>
              <w:rPr>
                <w:rFonts w:ascii="Verdana" w:hAnsi="Verdana"/>
                <w:color w:val="000000"/>
                <w:sz w:val="18"/>
                <w:szCs w:val="18"/>
              </w:rPr>
              <w:t>10</w:t>
            </w:r>
          </w:p>
        </w:tc>
        <w:tc>
          <w:tcPr>
            <w:tcW w:w="992" w:type="dxa"/>
            <w:shd w:val="clear" w:color="auto" w:fill="auto"/>
            <w:vAlign w:val="center"/>
          </w:tcPr>
          <w:p w14:paraId="5E2E27B1" w14:textId="07E97CED" w:rsidR="00267704" w:rsidRDefault="00267704" w:rsidP="00A25A8D">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2BB5A691" w14:textId="0CB09C03" w:rsidR="00267704"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23 308,4</w:t>
            </w:r>
          </w:p>
        </w:tc>
        <w:tc>
          <w:tcPr>
            <w:tcW w:w="1418" w:type="dxa"/>
            <w:vAlign w:val="center"/>
          </w:tcPr>
          <w:p w14:paraId="72C3C66A" w14:textId="6E5DDDCD" w:rsidR="00267704"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B9FC41F" w14:textId="552C723B" w:rsidR="00267704"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23 308,4</w:t>
            </w:r>
          </w:p>
        </w:tc>
      </w:tr>
      <w:tr w:rsidR="00267704" w:rsidRPr="00AB6CBE" w14:paraId="1F3149AF" w14:textId="77777777" w:rsidTr="00275FDA">
        <w:tc>
          <w:tcPr>
            <w:tcW w:w="567" w:type="dxa"/>
            <w:shd w:val="clear" w:color="auto" w:fill="auto"/>
          </w:tcPr>
          <w:p w14:paraId="5394F4C7" w14:textId="4845DD07" w:rsidR="00267704" w:rsidRDefault="00267704" w:rsidP="00A25A8D">
            <w:pPr>
              <w:spacing w:before="40" w:after="40" w:line="280" w:lineRule="atLeast"/>
              <w:rPr>
                <w:rFonts w:ascii="Verdana" w:hAnsi="Verdana"/>
                <w:color w:val="000000"/>
                <w:sz w:val="18"/>
                <w:szCs w:val="18"/>
              </w:rPr>
            </w:pPr>
            <w:r>
              <w:rPr>
                <w:rFonts w:ascii="Verdana" w:hAnsi="Verdana"/>
                <w:color w:val="000000"/>
                <w:sz w:val="18"/>
                <w:szCs w:val="18"/>
              </w:rPr>
              <w:t>3.</w:t>
            </w:r>
          </w:p>
        </w:tc>
        <w:tc>
          <w:tcPr>
            <w:tcW w:w="1984" w:type="dxa"/>
            <w:gridSpan w:val="2"/>
            <w:shd w:val="clear" w:color="auto" w:fill="auto"/>
          </w:tcPr>
          <w:p w14:paraId="147F4F16" w14:textId="69C4315A" w:rsidR="00267704" w:rsidRDefault="00267704" w:rsidP="00A25A8D">
            <w:pPr>
              <w:spacing w:before="40" w:after="40" w:line="28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7309BBD5" w14:textId="54C3F645" w:rsidR="00267704" w:rsidRDefault="00E8446A" w:rsidP="00A25A8D">
            <w:pPr>
              <w:spacing w:before="40" w:after="40" w:line="280" w:lineRule="atLeast"/>
              <w:jc w:val="center"/>
              <w:rPr>
                <w:rFonts w:ascii="Verdana" w:hAnsi="Verdana"/>
                <w:color w:val="000000"/>
                <w:sz w:val="18"/>
                <w:szCs w:val="18"/>
              </w:rPr>
            </w:pPr>
            <w:r>
              <w:rPr>
                <w:rFonts w:ascii="Verdana" w:hAnsi="Verdana"/>
                <w:color w:val="000000"/>
                <w:sz w:val="18"/>
                <w:szCs w:val="18"/>
              </w:rPr>
              <w:t>20</w:t>
            </w:r>
          </w:p>
        </w:tc>
        <w:tc>
          <w:tcPr>
            <w:tcW w:w="992" w:type="dxa"/>
            <w:shd w:val="clear" w:color="auto" w:fill="auto"/>
            <w:vAlign w:val="center"/>
          </w:tcPr>
          <w:p w14:paraId="5777C719" w14:textId="50C1D884" w:rsidR="00267704" w:rsidRDefault="00267704" w:rsidP="00A25A8D">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291DF981" w14:textId="56057A62" w:rsidR="00267704"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22 859,4</w:t>
            </w:r>
          </w:p>
        </w:tc>
        <w:tc>
          <w:tcPr>
            <w:tcW w:w="1418" w:type="dxa"/>
            <w:vAlign w:val="center"/>
          </w:tcPr>
          <w:p w14:paraId="7DF98128" w14:textId="2B34EFAC" w:rsidR="00267704"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67DCDDAE" w14:textId="2BDD6ED8" w:rsidR="00267704"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22 859,4</w:t>
            </w:r>
          </w:p>
        </w:tc>
      </w:tr>
      <w:tr w:rsidR="00267704" w:rsidRPr="000435BE" w14:paraId="2C8E5907" w14:textId="77777777" w:rsidTr="00275FDA">
        <w:tc>
          <w:tcPr>
            <w:tcW w:w="567" w:type="dxa"/>
            <w:shd w:val="clear" w:color="auto" w:fill="auto"/>
          </w:tcPr>
          <w:p w14:paraId="29BD30B3" w14:textId="77777777" w:rsidR="00267704" w:rsidRPr="003B4F95" w:rsidRDefault="00267704" w:rsidP="00A25A8D">
            <w:pPr>
              <w:spacing w:before="40" w:after="40" w:line="280" w:lineRule="atLeast"/>
              <w:rPr>
                <w:rFonts w:ascii="Verdana" w:hAnsi="Verdana"/>
                <w:color w:val="000000"/>
                <w:sz w:val="18"/>
                <w:szCs w:val="18"/>
              </w:rPr>
            </w:pPr>
            <w:r w:rsidRPr="003B4F95">
              <w:rPr>
                <w:rFonts w:ascii="Verdana" w:hAnsi="Verdana"/>
                <w:color w:val="000000"/>
                <w:sz w:val="18"/>
                <w:szCs w:val="18"/>
              </w:rPr>
              <w:t>4.</w:t>
            </w:r>
          </w:p>
        </w:tc>
        <w:tc>
          <w:tcPr>
            <w:tcW w:w="1984" w:type="dxa"/>
            <w:gridSpan w:val="2"/>
            <w:shd w:val="clear" w:color="auto" w:fill="auto"/>
          </w:tcPr>
          <w:p w14:paraId="5A020CE8" w14:textId="5592F310" w:rsidR="00267704" w:rsidRPr="003B4F95" w:rsidRDefault="00267704" w:rsidP="00A25A8D">
            <w:pPr>
              <w:spacing w:before="40" w:after="40" w:line="280" w:lineRule="atLeast"/>
              <w:rPr>
                <w:rFonts w:ascii="Verdana" w:hAnsi="Verdana"/>
                <w:color w:val="000000"/>
                <w:sz w:val="18"/>
                <w:szCs w:val="18"/>
              </w:rPr>
            </w:pPr>
            <w:r>
              <w:rPr>
                <w:rFonts w:ascii="Verdana" w:hAnsi="Verdana"/>
                <w:color w:val="000000"/>
                <w:sz w:val="18"/>
                <w:szCs w:val="18"/>
              </w:rPr>
              <w:t>1nvest</w:t>
            </w:r>
          </w:p>
        </w:tc>
        <w:tc>
          <w:tcPr>
            <w:tcW w:w="993" w:type="dxa"/>
            <w:shd w:val="clear" w:color="auto" w:fill="auto"/>
            <w:vAlign w:val="center"/>
          </w:tcPr>
          <w:p w14:paraId="1BB5FDDF" w14:textId="527ED264" w:rsidR="00267704" w:rsidRPr="003B4F95" w:rsidRDefault="00267704" w:rsidP="00A25A8D">
            <w:pPr>
              <w:spacing w:before="40" w:after="40" w:line="28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2FD90278" w14:textId="5E9FA82D" w:rsidR="00267704" w:rsidRPr="003B4F95" w:rsidRDefault="00267704" w:rsidP="00A25A8D">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334080BF" w14:textId="4BF9AB01" w:rsidR="00267704" w:rsidRPr="003B4F95"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14 554,6</w:t>
            </w:r>
          </w:p>
        </w:tc>
        <w:tc>
          <w:tcPr>
            <w:tcW w:w="1418" w:type="dxa"/>
            <w:vAlign w:val="center"/>
          </w:tcPr>
          <w:p w14:paraId="4C980058" w14:textId="44222040" w:rsidR="00267704" w:rsidRPr="003B4F95"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7E520B74" w14:textId="43456811" w:rsidR="00267704" w:rsidRPr="003B4F95"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14 554,6</w:t>
            </w:r>
          </w:p>
        </w:tc>
      </w:tr>
      <w:tr w:rsidR="00267704" w:rsidRPr="000435BE" w14:paraId="4B0E4E93" w14:textId="77777777" w:rsidTr="00275FDA">
        <w:tc>
          <w:tcPr>
            <w:tcW w:w="567" w:type="dxa"/>
            <w:shd w:val="clear" w:color="auto" w:fill="auto"/>
          </w:tcPr>
          <w:p w14:paraId="13B4253F" w14:textId="1EE03C52" w:rsidR="00267704" w:rsidRDefault="00A1052C" w:rsidP="00A25A8D">
            <w:pPr>
              <w:spacing w:before="40" w:after="40" w:line="280" w:lineRule="atLeast"/>
              <w:rPr>
                <w:rFonts w:ascii="Verdana" w:hAnsi="Verdana"/>
                <w:color w:val="000000"/>
                <w:sz w:val="18"/>
                <w:szCs w:val="18"/>
              </w:rPr>
            </w:pPr>
            <w:r>
              <w:rPr>
                <w:rFonts w:ascii="Verdana" w:hAnsi="Verdana"/>
                <w:color w:val="000000"/>
                <w:sz w:val="18"/>
                <w:szCs w:val="18"/>
              </w:rPr>
              <w:t>5</w:t>
            </w:r>
            <w:r w:rsidR="00267704" w:rsidRPr="003B4F95">
              <w:rPr>
                <w:rFonts w:ascii="Verdana" w:hAnsi="Verdana"/>
                <w:color w:val="000000"/>
                <w:sz w:val="18"/>
                <w:szCs w:val="18"/>
              </w:rPr>
              <w:t>.</w:t>
            </w:r>
          </w:p>
        </w:tc>
        <w:tc>
          <w:tcPr>
            <w:tcW w:w="1984" w:type="dxa"/>
            <w:gridSpan w:val="2"/>
            <w:shd w:val="clear" w:color="auto" w:fill="auto"/>
          </w:tcPr>
          <w:p w14:paraId="01058E53" w14:textId="77777777" w:rsidR="00267704" w:rsidRPr="003B4F95" w:rsidRDefault="00267704" w:rsidP="00A25A8D">
            <w:pPr>
              <w:spacing w:before="40" w:after="40" w:line="28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4D31AE9D" w14:textId="63F310EA" w:rsidR="00267704" w:rsidRPr="003B4F95" w:rsidRDefault="00267704" w:rsidP="00A25A8D">
            <w:pPr>
              <w:spacing w:before="40" w:after="40" w:line="280" w:lineRule="atLeast"/>
              <w:jc w:val="center"/>
              <w:rPr>
                <w:rFonts w:ascii="Verdana" w:hAnsi="Verdana"/>
                <w:color w:val="000000"/>
                <w:sz w:val="18"/>
                <w:szCs w:val="18"/>
              </w:rPr>
            </w:pPr>
            <w:r>
              <w:rPr>
                <w:rFonts w:ascii="Verdana" w:hAnsi="Verdana"/>
                <w:color w:val="000000"/>
                <w:sz w:val="18"/>
                <w:szCs w:val="18"/>
              </w:rPr>
              <w:t>8</w:t>
            </w:r>
          </w:p>
        </w:tc>
        <w:tc>
          <w:tcPr>
            <w:tcW w:w="992" w:type="dxa"/>
            <w:shd w:val="clear" w:color="auto" w:fill="auto"/>
            <w:vAlign w:val="center"/>
          </w:tcPr>
          <w:p w14:paraId="06049A2D" w14:textId="77777777" w:rsidR="00267704" w:rsidRPr="003B4F95" w:rsidRDefault="00267704" w:rsidP="00A25A8D">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99B66D1" w14:textId="7BC4C5DA" w:rsidR="00267704" w:rsidRPr="003B4F95"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4 360,0</w:t>
            </w:r>
          </w:p>
        </w:tc>
        <w:tc>
          <w:tcPr>
            <w:tcW w:w="1418" w:type="dxa"/>
            <w:vAlign w:val="center"/>
          </w:tcPr>
          <w:p w14:paraId="59C46226" w14:textId="46E731D5" w:rsidR="00267704" w:rsidRPr="003B4F95"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DF64051" w14:textId="00FC62D4" w:rsidR="00267704" w:rsidRPr="003B4F95"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4 360,0</w:t>
            </w:r>
          </w:p>
        </w:tc>
      </w:tr>
      <w:tr w:rsidR="00267704" w:rsidRPr="000435BE" w14:paraId="5C2F6222" w14:textId="77777777" w:rsidTr="00275FDA">
        <w:tc>
          <w:tcPr>
            <w:tcW w:w="567" w:type="dxa"/>
            <w:shd w:val="clear" w:color="auto" w:fill="auto"/>
          </w:tcPr>
          <w:p w14:paraId="47C15A8F" w14:textId="15EF440F" w:rsidR="00267704" w:rsidRDefault="00A1052C" w:rsidP="00A25A8D">
            <w:pPr>
              <w:spacing w:before="40" w:after="40" w:line="280" w:lineRule="atLeast"/>
              <w:rPr>
                <w:rFonts w:ascii="Verdana" w:hAnsi="Verdana"/>
                <w:color w:val="000000"/>
                <w:sz w:val="18"/>
                <w:szCs w:val="18"/>
              </w:rPr>
            </w:pPr>
            <w:r>
              <w:rPr>
                <w:rFonts w:ascii="Verdana" w:hAnsi="Verdana"/>
                <w:color w:val="000000"/>
                <w:sz w:val="18"/>
                <w:szCs w:val="18"/>
              </w:rPr>
              <w:t>6</w:t>
            </w:r>
            <w:r w:rsidR="00267704">
              <w:rPr>
                <w:rFonts w:ascii="Verdana" w:hAnsi="Verdana"/>
                <w:color w:val="000000"/>
                <w:sz w:val="18"/>
                <w:szCs w:val="18"/>
              </w:rPr>
              <w:t>.</w:t>
            </w:r>
          </w:p>
        </w:tc>
        <w:tc>
          <w:tcPr>
            <w:tcW w:w="1984" w:type="dxa"/>
            <w:gridSpan w:val="2"/>
            <w:shd w:val="clear" w:color="auto" w:fill="auto"/>
          </w:tcPr>
          <w:p w14:paraId="5FBC040D" w14:textId="7EDBCA64" w:rsidR="00267704" w:rsidRPr="003B4F95" w:rsidRDefault="00267704" w:rsidP="00A25A8D">
            <w:pPr>
              <w:spacing w:before="40" w:after="40" w:line="280" w:lineRule="atLeast"/>
              <w:rPr>
                <w:rFonts w:ascii="Verdana" w:hAnsi="Verdana"/>
                <w:color w:val="000000"/>
                <w:sz w:val="18"/>
                <w:szCs w:val="18"/>
              </w:rPr>
            </w:pPr>
            <w:r w:rsidRPr="003B4F95">
              <w:rPr>
                <w:rFonts w:ascii="Verdana" w:hAnsi="Verdana"/>
                <w:color w:val="000000"/>
                <w:sz w:val="18"/>
                <w:szCs w:val="18"/>
              </w:rPr>
              <w:t>Ashburton</w:t>
            </w:r>
          </w:p>
        </w:tc>
        <w:tc>
          <w:tcPr>
            <w:tcW w:w="993" w:type="dxa"/>
            <w:shd w:val="clear" w:color="auto" w:fill="auto"/>
            <w:vAlign w:val="center"/>
          </w:tcPr>
          <w:p w14:paraId="4AF45A56" w14:textId="50F04966" w:rsidR="00267704" w:rsidRDefault="00267704" w:rsidP="00A25A8D">
            <w:pPr>
              <w:spacing w:before="40" w:after="40" w:line="280" w:lineRule="atLeast"/>
              <w:jc w:val="center"/>
              <w:rPr>
                <w:rFonts w:ascii="Verdana" w:hAnsi="Verdana"/>
                <w:color w:val="000000"/>
                <w:sz w:val="18"/>
                <w:szCs w:val="18"/>
              </w:rPr>
            </w:pPr>
            <w:r>
              <w:rPr>
                <w:rFonts w:ascii="Verdana" w:hAnsi="Verdana"/>
                <w:color w:val="000000"/>
                <w:sz w:val="18"/>
                <w:szCs w:val="18"/>
              </w:rPr>
              <w:t>5</w:t>
            </w:r>
          </w:p>
        </w:tc>
        <w:tc>
          <w:tcPr>
            <w:tcW w:w="992" w:type="dxa"/>
            <w:shd w:val="clear" w:color="auto" w:fill="auto"/>
            <w:vAlign w:val="center"/>
          </w:tcPr>
          <w:p w14:paraId="1B3A7980" w14:textId="2D3CBDA0" w:rsidR="00267704" w:rsidRDefault="00267704" w:rsidP="00A25A8D">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2D53D853" w14:textId="6B41E9A5" w:rsidR="00267704"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2 983,6</w:t>
            </w:r>
          </w:p>
        </w:tc>
        <w:tc>
          <w:tcPr>
            <w:tcW w:w="1418" w:type="dxa"/>
            <w:vAlign w:val="center"/>
          </w:tcPr>
          <w:p w14:paraId="049EC42B" w14:textId="5AAD4C56" w:rsidR="00267704"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9D85B32" w14:textId="6C194669" w:rsidR="00267704"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2 983,6</w:t>
            </w:r>
          </w:p>
        </w:tc>
      </w:tr>
      <w:tr w:rsidR="00BB61E9" w:rsidRPr="000435BE" w14:paraId="1EDE4DFF" w14:textId="77777777" w:rsidTr="00275FDA">
        <w:tc>
          <w:tcPr>
            <w:tcW w:w="567" w:type="dxa"/>
            <w:shd w:val="clear" w:color="auto" w:fill="auto"/>
          </w:tcPr>
          <w:p w14:paraId="45000A48" w14:textId="13BFD1D2" w:rsidR="00BB61E9" w:rsidRDefault="00BB61E9" w:rsidP="00A25A8D">
            <w:pPr>
              <w:spacing w:before="40" w:after="40" w:line="280" w:lineRule="atLeast"/>
              <w:rPr>
                <w:rFonts w:ascii="Verdana" w:hAnsi="Verdana"/>
                <w:color w:val="000000"/>
                <w:sz w:val="18"/>
                <w:szCs w:val="18"/>
              </w:rPr>
            </w:pPr>
            <w:r>
              <w:rPr>
                <w:rFonts w:ascii="Verdana" w:hAnsi="Verdana"/>
                <w:color w:val="000000"/>
                <w:sz w:val="18"/>
                <w:szCs w:val="18"/>
              </w:rPr>
              <w:t>7.</w:t>
            </w:r>
          </w:p>
        </w:tc>
        <w:tc>
          <w:tcPr>
            <w:tcW w:w="1984" w:type="dxa"/>
            <w:gridSpan w:val="2"/>
            <w:shd w:val="clear" w:color="auto" w:fill="auto"/>
          </w:tcPr>
          <w:p w14:paraId="2D9745EC" w14:textId="5ED3AF25" w:rsidR="00BB61E9" w:rsidRPr="003B4F95" w:rsidRDefault="00BB61E9" w:rsidP="00A25A8D">
            <w:pPr>
              <w:spacing w:before="40" w:after="40" w:line="28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1F623971" w14:textId="79F3089D" w:rsidR="00BB61E9" w:rsidRDefault="00BB61E9" w:rsidP="00A25A8D">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16425B33" w14:textId="79C98397" w:rsidR="00BB61E9" w:rsidRDefault="00BB61E9" w:rsidP="00A25A8D">
            <w:pPr>
              <w:spacing w:before="40" w:after="40" w:line="280" w:lineRule="atLeast"/>
              <w:jc w:val="center"/>
              <w:rPr>
                <w:rFonts w:ascii="Verdana" w:hAnsi="Verdana"/>
                <w:color w:val="000000"/>
                <w:sz w:val="18"/>
                <w:szCs w:val="18"/>
              </w:rPr>
            </w:pPr>
            <w:r>
              <w:rPr>
                <w:rFonts w:ascii="Verdana" w:hAnsi="Verdana"/>
                <w:color w:val="000000"/>
                <w:sz w:val="18"/>
                <w:szCs w:val="18"/>
              </w:rPr>
              <w:t>1</w:t>
            </w:r>
            <w:r w:rsidR="00147712">
              <w:rPr>
                <w:rFonts w:ascii="Verdana" w:hAnsi="Verdana"/>
                <w:color w:val="000000"/>
                <w:sz w:val="18"/>
                <w:szCs w:val="18"/>
              </w:rPr>
              <w:t>2</w:t>
            </w:r>
          </w:p>
        </w:tc>
        <w:tc>
          <w:tcPr>
            <w:tcW w:w="1417" w:type="dxa"/>
            <w:vAlign w:val="center"/>
          </w:tcPr>
          <w:p w14:paraId="0AB18162" w14:textId="20AF2B79" w:rsidR="00BB61E9"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56BD3583" w14:textId="16D4CC58" w:rsidR="00BB61E9"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2 765,3</w:t>
            </w:r>
          </w:p>
        </w:tc>
        <w:tc>
          <w:tcPr>
            <w:tcW w:w="1843" w:type="dxa"/>
            <w:vAlign w:val="center"/>
          </w:tcPr>
          <w:p w14:paraId="33BAC32C" w14:textId="12AEB771" w:rsidR="00BB61E9" w:rsidRDefault="00E8446A" w:rsidP="00A25A8D">
            <w:pPr>
              <w:spacing w:before="40" w:after="40" w:line="280" w:lineRule="atLeast"/>
              <w:jc w:val="right"/>
              <w:rPr>
                <w:rFonts w:ascii="Verdana" w:hAnsi="Verdana"/>
                <w:color w:val="000000"/>
                <w:sz w:val="18"/>
                <w:szCs w:val="18"/>
              </w:rPr>
            </w:pPr>
            <w:r>
              <w:rPr>
                <w:rFonts w:ascii="Verdana" w:hAnsi="Verdana"/>
                <w:color w:val="000000"/>
                <w:sz w:val="18"/>
                <w:szCs w:val="18"/>
              </w:rPr>
              <w:t>2 765,3</w:t>
            </w:r>
          </w:p>
        </w:tc>
      </w:tr>
      <w:tr w:rsidR="00147712" w:rsidRPr="000435BE" w14:paraId="1CED7AA5" w14:textId="77777777" w:rsidTr="00275FDA">
        <w:tc>
          <w:tcPr>
            <w:tcW w:w="567" w:type="dxa"/>
            <w:shd w:val="clear" w:color="auto" w:fill="auto"/>
          </w:tcPr>
          <w:p w14:paraId="6FFB6D6D" w14:textId="6A55A00D" w:rsidR="00147712" w:rsidRDefault="00147712" w:rsidP="00147712">
            <w:pPr>
              <w:spacing w:before="40" w:after="40" w:line="280" w:lineRule="atLeast"/>
              <w:rPr>
                <w:rFonts w:ascii="Verdana" w:hAnsi="Verdana"/>
                <w:color w:val="000000"/>
                <w:sz w:val="18"/>
                <w:szCs w:val="18"/>
              </w:rPr>
            </w:pPr>
            <w:r>
              <w:rPr>
                <w:rFonts w:ascii="Verdana" w:hAnsi="Verdana"/>
                <w:color w:val="000000"/>
                <w:sz w:val="18"/>
                <w:szCs w:val="18"/>
              </w:rPr>
              <w:t>8.</w:t>
            </w:r>
          </w:p>
        </w:tc>
        <w:tc>
          <w:tcPr>
            <w:tcW w:w="1984" w:type="dxa"/>
            <w:gridSpan w:val="2"/>
            <w:shd w:val="clear" w:color="auto" w:fill="auto"/>
          </w:tcPr>
          <w:p w14:paraId="1BA1E104" w14:textId="680769DD" w:rsidR="00147712" w:rsidRPr="003B4F95" w:rsidRDefault="00147712" w:rsidP="00147712">
            <w:pPr>
              <w:spacing w:before="40" w:after="40" w:line="28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2C421804" w14:textId="7F7530AD" w:rsidR="00147712" w:rsidRDefault="00147712" w:rsidP="00147712">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7EA028D1" w14:textId="4DD9648B" w:rsidR="00147712" w:rsidRDefault="00147712" w:rsidP="00147712">
            <w:pPr>
              <w:spacing w:before="40" w:after="40" w:line="28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614AD22F" w14:textId="53C01968" w:rsidR="00147712"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0E6E4372" w14:textId="6C9B0963" w:rsidR="00147712"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1 982,8</w:t>
            </w:r>
          </w:p>
        </w:tc>
        <w:tc>
          <w:tcPr>
            <w:tcW w:w="1843" w:type="dxa"/>
            <w:vAlign w:val="center"/>
          </w:tcPr>
          <w:p w14:paraId="371E353F" w14:textId="5DCDCE5A" w:rsidR="00147712"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1 982,8</w:t>
            </w:r>
          </w:p>
        </w:tc>
      </w:tr>
      <w:tr w:rsidR="00147712" w:rsidRPr="000435BE" w14:paraId="4EE9F78B" w14:textId="77777777" w:rsidTr="00275FDA">
        <w:tc>
          <w:tcPr>
            <w:tcW w:w="567" w:type="dxa"/>
            <w:shd w:val="clear" w:color="auto" w:fill="auto"/>
          </w:tcPr>
          <w:p w14:paraId="605E81FD" w14:textId="39301EF0" w:rsidR="00147712" w:rsidRDefault="00147712" w:rsidP="00147712">
            <w:pPr>
              <w:spacing w:before="40" w:after="40" w:line="280" w:lineRule="atLeast"/>
              <w:rPr>
                <w:rFonts w:ascii="Verdana" w:hAnsi="Verdana"/>
                <w:color w:val="000000"/>
                <w:sz w:val="18"/>
                <w:szCs w:val="18"/>
              </w:rPr>
            </w:pPr>
            <w:r>
              <w:rPr>
                <w:rFonts w:ascii="Verdana" w:hAnsi="Verdana"/>
                <w:color w:val="000000"/>
                <w:sz w:val="18"/>
                <w:szCs w:val="18"/>
              </w:rPr>
              <w:t>9.</w:t>
            </w:r>
          </w:p>
        </w:tc>
        <w:tc>
          <w:tcPr>
            <w:tcW w:w="1984" w:type="dxa"/>
            <w:gridSpan w:val="2"/>
            <w:shd w:val="clear" w:color="auto" w:fill="auto"/>
          </w:tcPr>
          <w:p w14:paraId="24ADBE20" w14:textId="7388795E" w:rsidR="00147712" w:rsidRPr="003B4F95" w:rsidRDefault="00147712" w:rsidP="00147712">
            <w:pPr>
              <w:spacing w:before="40" w:after="40" w:line="28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dard Bank</w:t>
            </w:r>
          </w:p>
        </w:tc>
        <w:tc>
          <w:tcPr>
            <w:tcW w:w="993" w:type="dxa"/>
            <w:shd w:val="clear" w:color="auto" w:fill="auto"/>
            <w:vAlign w:val="center"/>
          </w:tcPr>
          <w:p w14:paraId="386384BA" w14:textId="0CE2ED08" w:rsidR="00147712" w:rsidRDefault="00147712" w:rsidP="00147712">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5CE7A8C3" w14:textId="77A75DE8" w:rsidR="00147712" w:rsidRDefault="00E8446A" w:rsidP="00147712">
            <w:pPr>
              <w:spacing w:before="40" w:after="40" w:line="280" w:lineRule="atLeast"/>
              <w:jc w:val="center"/>
              <w:rPr>
                <w:rFonts w:ascii="Verdana" w:hAnsi="Verdana"/>
                <w:color w:val="000000"/>
                <w:sz w:val="18"/>
                <w:szCs w:val="18"/>
              </w:rPr>
            </w:pPr>
            <w:r>
              <w:rPr>
                <w:rFonts w:ascii="Verdana" w:hAnsi="Verdana"/>
                <w:color w:val="000000"/>
                <w:sz w:val="18"/>
                <w:szCs w:val="18"/>
              </w:rPr>
              <w:t>4</w:t>
            </w:r>
          </w:p>
        </w:tc>
        <w:tc>
          <w:tcPr>
            <w:tcW w:w="1417" w:type="dxa"/>
            <w:vAlign w:val="center"/>
          </w:tcPr>
          <w:p w14:paraId="3E422ED6" w14:textId="3B7228A3" w:rsidR="00147712"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0C0B9419" w14:textId="181C34B4" w:rsidR="00147712"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733,4</w:t>
            </w:r>
          </w:p>
        </w:tc>
        <w:tc>
          <w:tcPr>
            <w:tcW w:w="1843" w:type="dxa"/>
            <w:vAlign w:val="center"/>
          </w:tcPr>
          <w:p w14:paraId="333D3A15" w14:textId="15EC1452" w:rsidR="00147712"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733,4</w:t>
            </w:r>
          </w:p>
        </w:tc>
      </w:tr>
      <w:tr w:rsidR="00147712" w:rsidRPr="000435BE" w14:paraId="042A8F9F" w14:textId="77777777" w:rsidTr="00275FDA">
        <w:tc>
          <w:tcPr>
            <w:tcW w:w="567" w:type="dxa"/>
            <w:shd w:val="clear" w:color="auto" w:fill="auto"/>
          </w:tcPr>
          <w:p w14:paraId="3486190D" w14:textId="3699BCF0" w:rsidR="00147712" w:rsidRPr="003B4F95" w:rsidRDefault="00147712" w:rsidP="00147712">
            <w:pPr>
              <w:spacing w:before="40" w:after="40" w:line="280" w:lineRule="atLeast"/>
              <w:rPr>
                <w:rFonts w:ascii="Verdana" w:hAnsi="Verdana"/>
                <w:color w:val="000000"/>
                <w:sz w:val="18"/>
                <w:szCs w:val="18"/>
              </w:rPr>
            </w:pPr>
            <w:r>
              <w:rPr>
                <w:rFonts w:ascii="Verdana" w:hAnsi="Verdana"/>
                <w:color w:val="000000"/>
                <w:sz w:val="18"/>
                <w:szCs w:val="18"/>
              </w:rPr>
              <w:t>10</w:t>
            </w:r>
            <w:r w:rsidRPr="003B4F95">
              <w:rPr>
                <w:rFonts w:ascii="Verdana" w:hAnsi="Verdana"/>
                <w:color w:val="000000"/>
                <w:sz w:val="18"/>
                <w:szCs w:val="18"/>
              </w:rPr>
              <w:t>.</w:t>
            </w:r>
          </w:p>
        </w:tc>
        <w:tc>
          <w:tcPr>
            <w:tcW w:w="1984" w:type="dxa"/>
            <w:gridSpan w:val="2"/>
            <w:shd w:val="clear" w:color="auto" w:fill="auto"/>
          </w:tcPr>
          <w:p w14:paraId="177BE1B7" w14:textId="77777777" w:rsidR="00147712" w:rsidRPr="003B4F95" w:rsidRDefault="00147712" w:rsidP="00147712">
            <w:pPr>
              <w:spacing w:before="40" w:after="40" w:line="280" w:lineRule="atLeast"/>
              <w:rPr>
                <w:rFonts w:ascii="Verdana" w:hAnsi="Verdana"/>
                <w:color w:val="000000"/>
                <w:sz w:val="18"/>
                <w:szCs w:val="18"/>
              </w:rPr>
            </w:pPr>
            <w:r w:rsidRPr="003B4F95">
              <w:rPr>
                <w:rFonts w:ascii="Verdana" w:hAnsi="Verdana"/>
                <w:color w:val="000000"/>
                <w:sz w:val="18"/>
                <w:szCs w:val="18"/>
              </w:rPr>
              <w:t>FirstRand</w:t>
            </w:r>
            <w:r>
              <w:rPr>
                <w:rFonts w:ascii="Verdana" w:hAnsi="Verdana"/>
                <w:color w:val="000000"/>
                <w:sz w:val="18"/>
                <w:szCs w:val="18"/>
              </w:rPr>
              <w:t xml:space="preserve"> (RMB)</w:t>
            </w:r>
          </w:p>
        </w:tc>
        <w:tc>
          <w:tcPr>
            <w:tcW w:w="993" w:type="dxa"/>
            <w:shd w:val="clear" w:color="auto" w:fill="auto"/>
            <w:vAlign w:val="center"/>
          </w:tcPr>
          <w:p w14:paraId="068EE2BB" w14:textId="77777777" w:rsidR="00147712" w:rsidRPr="003B4F95" w:rsidRDefault="00147712" w:rsidP="00147712">
            <w:pPr>
              <w:spacing w:before="40" w:after="40" w:line="280" w:lineRule="atLeast"/>
              <w:jc w:val="center"/>
              <w:rPr>
                <w:rFonts w:ascii="Verdana" w:hAnsi="Verdana"/>
                <w:color w:val="000000"/>
                <w:sz w:val="18"/>
                <w:szCs w:val="18"/>
              </w:rPr>
            </w:pPr>
            <w:r>
              <w:rPr>
                <w:rFonts w:ascii="Verdana" w:hAnsi="Verdana"/>
                <w:color w:val="000000"/>
                <w:sz w:val="18"/>
                <w:szCs w:val="18"/>
              </w:rPr>
              <w:t>3</w:t>
            </w:r>
          </w:p>
        </w:tc>
        <w:tc>
          <w:tcPr>
            <w:tcW w:w="992" w:type="dxa"/>
            <w:shd w:val="clear" w:color="auto" w:fill="auto"/>
            <w:vAlign w:val="center"/>
          </w:tcPr>
          <w:p w14:paraId="329CCAB8" w14:textId="77777777" w:rsidR="00147712" w:rsidRPr="003B4F95" w:rsidRDefault="00147712" w:rsidP="00147712">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419C3D1" w14:textId="15D419E2" w:rsidR="00147712" w:rsidRPr="003B4F95"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2B7A1400" w14:textId="5A6E225B" w:rsidR="00147712" w:rsidRPr="003B4F95"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1 310,9</w:t>
            </w:r>
          </w:p>
        </w:tc>
        <w:tc>
          <w:tcPr>
            <w:tcW w:w="1843" w:type="dxa"/>
            <w:vAlign w:val="center"/>
          </w:tcPr>
          <w:p w14:paraId="055E0D22" w14:textId="6F5CB789" w:rsidR="00147712" w:rsidRPr="003B4F95"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1 310,9</w:t>
            </w:r>
          </w:p>
        </w:tc>
      </w:tr>
      <w:tr w:rsidR="00147712" w:rsidRPr="000435BE" w14:paraId="36A64B2A" w14:textId="77777777" w:rsidTr="00275FDA">
        <w:tc>
          <w:tcPr>
            <w:tcW w:w="567" w:type="dxa"/>
            <w:shd w:val="clear" w:color="auto" w:fill="auto"/>
          </w:tcPr>
          <w:p w14:paraId="2492D4CF" w14:textId="5E58DB51" w:rsidR="00147712" w:rsidRPr="003B4F95" w:rsidRDefault="00147712" w:rsidP="00147712">
            <w:pPr>
              <w:spacing w:before="40" w:after="40" w:line="280" w:lineRule="atLeast"/>
              <w:rPr>
                <w:rFonts w:ascii="Verdana" w:hAnsi="Verdana"/>
                <w:color w:val="000000"/>
                <w:sz w:val="18"/>
                <w:szCs w:val="18"/>
              </w:rPr>
            </w:pPr>
            <w:r>
              <w:rPr>
                <w:rFonts w:ascii="Verdana" w:hAnsi="Verdana"/>
                <w:color w:val="000000"/>
                <w:sz w:val="18"/>
                <w:szCs w:val="18"/>
              </w:rPr>
              <w:t>11</w:t>
            </w:r>
            <w:r w:rsidRPr="003B4F95">
              <w:rPr>
                <w:rFonts w:ascii="Verdana" w:hAnsi="Verdana"/>
                <w:color w:val="000000"/>
                <w:sz w:val="18"/>
                <w:szCs w:val="18"/>
              </w:rPr>
              <w:t>.</w:t>
            </w:r>
          </w:p>
        </w:tc>
        <w:tc>
          <w:tcPr>
            <w:tcW w:w="1984" w:type="dxa"/>
            <w:gridSpan w:val="2"/>
            <w:shd w:val="clear" w:color="auto" w:fill="auto"/>
          </w:tcPr>
          <w:p w14:paraId="2FFABF99" w14:textId="77777777" w:rsidR="00147712" w:rsidRPr="003B4F95" w:rsidRDefault="00147712" w:rsidP="00147712">
            <w:pPr>
              <w:spacing w:before="40" w:after="40" w:line="28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4195257A" w14:textId="77777777" w:rsidR="00147712" w:rsidRPr="003B4F95" w:rsidRDefault="00147712" w:rsidP="00147712">
            <w:pPr>
              <w:spacing w:before="40" w:after="40" w:line="28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11CB8B72" w14:textId="77777777" w:rsidR="00147712" w:rsidRPr="003B4F95" w:rsidRDefault="00147712" w:rsidP="00147712">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8B14AE3" w14:textId="4737BA6D" w:rsidR="00147712" w:rsidRPr="003B4F95"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19,3</w:t>
            </w:r>
          </w:p>
        </w:tc>
        <w:tc>
          <w:tcPr>
            <w:tcW w:w="1418" w:type="dxa"/>
            <w:vAlign w:val="center"/>
          </w:tcPr>
          <w:p w14:paraId="5492C253" w14:textId="3FF7D212" w:rsidR="00147712" w:rsidRPr="003B4F95"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1D35DE85" w14:textId="2DE80F0E" w:rsidR="00147712" w:rsidRPr="003B4F95" w:rsidRDefault="00E8446A" w:rsidP="00147712">
            <w:pPr>
              <w:spacing w:before="40" w:after="40" w:line="280" w:lineRule="atLeast"/>
              <w:jc w:val="right"/>
              <w:rPr>
                <w:rFonts w:ascii="Verdana" w:hAnsi="Verdana"/>
                <w:color w:val="000000"/>
                <w:sz w:val="18"/>
                <w:szCs w:val="18"/>
              </w:rPr>
            </w:pPr>
            <w:r>
              <w:rPr>
                <w:rFonts w:ascii="Verdana" w:hAnsi="Verdana"/>
                <w:color w:val="000000"/>
                <w:sz w:val="18"/>
                <w:szCs w:val="18"/>
              </w:rPr>
              <w:t>19,3</w:t>
            </w:r>
          </w:p>
        </w:tc>
      </w:tr>
      <w:tr w:rsidR="00147712" w:rsidRPr="000435BE" w14:paraId="43496BCD" w14:textId="77777777" w:rsidTr="00275FDA">
        <w:tc>
          <w:tcPr>
            <w:tcW w:w="2551" w:type="dxa"/>
            <w:gridSpan w:val="3"/>
            <w:shd w:val="clear" w:color="auto" w:fill="auto"/>
          </w:tcPr>
          <w:p w14:paraId="249E629A" w14:textId="77777777" w:rsidR="00147712" w:rsidRPr="003B4F95" w:rsidRDefault="00147712" w:rsidP="00147712">
            <w:pPr>
              <w:spacing w:before="40" w:after="40" w:line="28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6B396757" w14:textId="28A646E9" w:rsidR="00147712" w:rsidRPr="003B4F95" w:rsidRDefault="00147712" w:rsidP="00147712">
            <w:pPr>
              <w:spacing w:before="40" w:after="40" w:line="280" w:lineRule="atLeast"/>
              <w:jc w:val="center"/>
              <w:rPr>
                <w:rFonts w:ascii="Verdana" w:hAnsi="Verdana"/>
                <w:b/>
                <w:color w:val="000000"/>
                <w:sz w:val="18"/>
                <w:szCs w:val="18"/>
              </w:rPr>
            </w:pPr>
            <w:r>
              <w:rPr>
                <w:rFonts w:ascii="Verdana" w:hAnsi="Verdana"/>
                <w:b/>
                <w:color w:val="000000"/>
                <w:sz w:val="18"/>
                <w:szCs w:val="18"/>
              </w:rPr>
              <w:t>7</w:t>
            </w:r>
            <w:r w:rsidR="00E8446A">
              <w:rPr>
                <w:rFonts w:ascii="Verdana" w:hAnsi="Verdana"/>
                <w:b/>
                <w:color w:val="000000"/>
                <w:sz w:val="18"/>
                <w:szCs w:val="18"/>
              </w:rPr>
              <w:t>8</w:t>
            </w:r>
          </w:p>
        </w:tc>
        <w:tc>
          <w:tcPr>
            <w:tcW w:w="992" w:type="dxa"/>
            <w:shd w:val="clear" w:color="auto" w:fill="auto"/>
            <w:vAlign w:val="center"/>
          </w:tcPr>
          <w:p w14:paraId="143E53B1" w14:textId="77522369" w:rsidR="00147712" w:rsidRPr="003B4F95" w:rsidRDefault="00147712" w:rsidP="00147712">
            <w:pPr>
              <w:spacing w:before="40" w:after="40" w:line="280" w:lineRule="atLeast"/>
              <w:jc w:val="center"/>
              <w:rPr>
                <w:rFonts w:ascii="Verdana" w:hAnsi="Verdana"/>
                <w:b/>
                <w:color w:val="000000"/>
                <w:sz w:val="18"/>
                <w:szCs w:val="18"/>
              </w:rPr>
            </w:pPr>
            <w:r>
              <w:rPr>
                <w:rFonts w:ascii="Verdana" w:hAnsi="Verdana"/>
                <w:b/>
                <w:color w:val="000000"/>
                <w:sz w:val="18"/>
                <w:szCs w:val="18"/>
              </w:rPr>
              <w:t>2</w:t>
            </w:r>
            <w:r w:rsidR="00E8446A">
              <w:rPr>
                <w:rFonts w:ascii="Verdana" w:hAnsi="Verdana"/>
                <w:b/>
                <w:color w:val="000000"/>
                <w:sz w:val="18"/>
                <w:szCs w:val="18"/>
              </w:rPr>
              <w:t>3</w:t>
            </w:r>
          </w:p>
        </w:tc>
        <w:tc>
          <w:tcPr>
            <w:tcW w:w="1417" w:type="dxa"/>
            <w:vAlign w:val="center"/>
          </w:tcPr>
          <w:p w14:paraId="361D741C" w14:textId="1ADB0A66" w:rsidR="00147712" w:rsidRPr="003B4F95" w:rsidRDefault="00E8446A" w:rsidP="00147712">
            <w:pPr>
              <w:spacing w:before="40" w:after="40" w:line="280" w:lineRule="atLeast"/>
              <w:jc w:val="right"/>
              <w:rPr>
                <w:rFonts w:ascii="Verdana" w:hAnsi="Verdana"/>
                <w:b/>
                <w:color w:val="000000"/>
                <w:sz w:val="18"/>
                <w:szCs w:val="18"/>
              </w:rPr>
            </w:pPr>
            <w:r>
              <w:rPr>
                <w:rFonts w:ascii="Verdana" w:hAnsi="Verdana"/>
                <w:b/>
                <w:color w:val="000000"/>
                <w:sz w:val="18"/>
                <w:szCs w:val="18"/>
              </w:rPr>
              <w:t>106 427,7</w:t>
            </w:r>
          </w:p>
        </w:tc>
        <w:tc>
          <w:tcPr>
            <w:tcW w:w="1418" w:type="dxa"/>
            <w:vAlign w:val="center"/>
          </w:tcPr>
          <w:p w14:paraId="22FC229A" w14:textId="5DDEF523" w:rsidR="00147712" w:rsidRPr="003B4F95" w:rsidRDefault="00E8446A" w:rsidP="00147712">
            <w:pPr>
              <w:spacing w:before="40" w:after="40" w:line="280" w:lineRule="atLeast"/>
              <w:jc w:val="right"/>
              <w:rPr>
                <w:rFonts w:ascii="Verdana" w:hAnsi="Verdana"/>
                <w:b/>
                <w:color w:val="000000"/>
                <w:sz w:val="18"/>
                <w:szCs w:val="18"/>
              </w:rPr>
            </w:pPr>
            <w:r>
              <w:rPr>
                <w:rFonts w:ascii="Verdana" w:hAnsi="Verdana"/>
                <w:b/>
                <w:color w:val="000000"/>
                <w:sz w:val="18"/>
                <w:szCs w:val="18"/>
              </w:rPr>
              <w:t>6 501,3</w:t>
            </w:r>
          </w:p>
        </w:tc>
        <w:tc>
          <w:tcPr>
            <w:tcW w:w="1843" w:type="dxa"/>
            <w:vAlign w:val="center"/>
          </w:tcPr>
          <w:p w14:paraId="3DC82BE9" w14:textId="68472D75" w:rsidR="00147712" w:rsidRPr="003B4F95" w:rsidRDefault="00E8446A" w:rsidP="00147712">
            <w:pPr>
              <w:spacing w:before="40" w:after="40" w:line="280" w:lineRule="atLeast"/>
              <w:jc w:val="right"/>
              <w:rPr>
                <w:rFonts w:ascii="Verdana" w:hAnsi="Verdana"/>
                <w:b/>
                <w:color w:val="000000"/>
                <w:sz w:val="18"/>
                <w:szCs w:val="18"/>
              </w:rPr>
            </w:pPr>
            <w:r>
              <w:rPr>
                <w:rFonts w:ascii="Verdana" w:hAnsi="Verdana"/>
                <w:b/>
                <w:color w:val="000000"/>
                <w:sz w:val="18"/>
                <w:szCs w:val="18"/>
              </w:rPr>
              <w:t>112 929,0</w:t>
            </w:r>
          </w:p>
        </w:tc>
      </w:tr>
      <w:tr w:rsidR="00147712" w:rsidRPr="00E01C02" w14:paraId="399FD388" w14:textId="77777777" w:rsidTr="00275FDA">
        <w:trPr>
          <w:trHeight w:val="217"/>
        </w:trPr>
        <w:tc>
          <w:tcPr>
            <w:tcW w:w="850" w:type="dxa"/>
            <w:gridSpan w:val="2"/>
            <w:tcBorders>
              <w:right w:val="nil"/>
            </w:tcBorders>
            <w:shd w:val="clear" w:color="auto" w:fill="auto"/>
            <w:vAlign w:val="center"/>
          </w:tcPr>
          <w:p w14:paraId="72B96F5C" w14:textId="77777777" w:rsidR="00147712" w:rsidRPr="000435BE" w:rsidRDefault="00147712" w:rsidP="00147712">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4EF21F19" w14:textId="7BC45759" w:rsidR="00147712" w:rsidRPr="00573EA2" w:rsidRDefault="00147712" w:rsidP="00147712">
            <w:pPr>
              <w:spacing w:after="40" w:line="280" w:lineRule="atLeast"/>
              <w:rPr>
                <w:rFonts w:ascii="Verdana" w:hAnsi="Verdana"/>
                <w:i/>
                <w:color w:val="000000"/>
                <w:sz w:val="14"/>
                <w:szCs w:val="14"/>
                <w:lang w:val="it-IT"/>
              </w:rPr>
            </w:pPr>
            <w:r w:rsidRPr="00573EA2">
              <w:rPr>
                <w:rFonts w:ascii="Verdana" w:hAnsi="Verdana"/>
                <w:i/>
                <w:color w:val="000000"/>
                <w:sz w:val="14"/>
                <w:szCs w:val="14"/>
                <w:lang w:val="it-IT"/>
              </w:rPr>
              <w:t>etfSA.co.za / JSE / Profile Data (30/</w:t>
            </w:r>
            <w:r w:rsidR="00E8446A">
              <w:rPr>
                <w:rFonts w:ascii="Verdana" w:hAnsi="Verdana"/>
                <w:i/>
                <w:color w:val="000000"/>
                <w:sz w:val="14"/>
                <w:szCs w:val="14"/>
                <w:lang w:val="it-IT"/>
              </w:rPr>
              <w:t>9</w:t>
            </w:r>
            <w:r w:rsidRPr="00573EA2">
              <w:rPr>
                <w:rFonts w:ascii="Verdana" w:hAnsi="Verdana"/>
                <w:i/>
                <w:color w:val="000000"/>
                <w:sz w:val="14"/>
                <w:szCs w:val="14"/>
                <w:lang w:val="it-IT"/>
              </w:rPr>
              <w:t xml:space="preserve">/2020). </w:t>
            </w:r>
          </w:p>
        </w:tc>
      </w:tr>
    </w:tbl>
    <w:p w14:paraId="1554FB98" w14:textId="0673F0ED" w:rsidR="005F5553" w:rsidRPr="00573EA2" w:rsidRDefault="005F5553" w:rsidP="005F5553">
      <w:pPr>
        <w:spacing w:after="0" w:line="320" w:lineRule="atLeast"/>
        <w:rPr>
          <w:rFonts w:ascii="Verdana" w:hAnsi="Verdana"/>
          <w:color w:val="000000"/>
          <w:sz w:val="21"/>
          <w:szCs w:val="21"/>
          <w:lang w:val="it-IT"/>
        </w:rPr>
      </w:pPr>
    </w:p>
    <w:p w14:paraId="28EE5DAF" w14:textId="4A05022F" w:rsidR="007E68F3" w:rsidRDefault="007E68F3" w:rsidP="00DF6902">
      <w:pPr>
        <w:spacing w:after="0" w:line="340" w:lineRule="atLeast"/>
        <w:rPr>
          <w:rFonts w:ascii="Verdana" w:hAnsi="Verdana"/>
          <w:color w:val="000000"/>
          <w:sz w:val="21"/>
          <w:szCs w:val="21"/>
        </w:rPr>
      </w:pPr>
      <w:r>
        <w:rPr>
          <w:rFonts w:ascii="Verdana" w:hAnsi="Verdana"/>
          <w:b/>
          <w:bCs/>
          <w:color w:val="000000"/>
          <w:sz w:val="21"/>
          <w:szCs w:val="21"/>
        </w:rPr>
        <w:t>Absa Capital</w:t>
      </w:r>
      <w:r>
        <w:rPr>
          <w:rFonts w:ascii="Verdana" w:hAnsi="Verdana"/>
          <w:color w:val="000000"/>
          <w:sz w:val="21"/>
          <w:szCs w:val="21"/>
        </w:rPr>
        <w:t xml:space="preserve"> – remains comfortably the </w:t>
      </w:r>
      <w:r w:rsidR="00E8446A">
        <w:rPr>
          <w:rFonts w:ascii="Verdana" w:hAnsi="Verdana"/>
          <w:color w:val="000000"/>
          <w:sz w:val="21"/>
          <w:szCs w:val="21"/>
        </w:rPr>
        <w:t>dominant issuing house in the South African Exchange Traded Product industry.  It has 22 ETFs/ETNs listed with a total of R38,1 billion assets under management (33,7% of the total industry).  The commodity-backed ETFs and ETNs listed by Absa Capital, at R33,9 bi</w:t>
      </w:r>
      <w:r w:rsidR="00B46D9E">
        <w:rPr>
          <w:rFonts w:ascii="Verdana" w:hAnsi="Verdana"/>
          <w:color w:val="000000"/>
          <w:sz w:val="21"/>
          <w:szCs w:val="21"/>
        </w:rPr>
        <w:t>l</w:t>
      </w:r>
      <w:r w:rsidR="00E8446A">
        <w:rPr>
          <w:rFonts w:ascii="Verdana" w:hAnsi="Verdana"/>
          <w:color w:val="000000"/>
          <w:sz w:val="21"/>
          <w:szCs w:val="21"/>
        </w:rPr>
        <w:t xml:space="preserve">lion, account for 91,4% of all assets under management, so this house is very dependent on the commodity cycle for its business scale.  </w:t>
      </w:r>
    </w:p>
    <w:p w14:paraId="05D167A0" w14:textId="4D811F45" w:rsidR="007E68F3" w:rsidRDefault="007E68F3" w:rsidP="00DF6902">
      <w:pPr>
        <w:spacing w:after="0" w:line="340" w:lineRule="atLeast"/>
        <w:rPr>
          <w:rFonts w:ascii="Verdana" w:hAnsi="Verdana"/>
          <w:color w:val="000000"/>
          <w:sz w:val="21"/>
          <w:szCs w:val="21"/>
        </w:rPr>
      </w:pPr>
    </w:p>
    <w:p w14:paraId="7B19DD12" w14:textId="6D3C03A2" w:rsidR="00B46D9E" w:rsidRDefault="007E68F3" w:rsidP="00DF6902">
      <w:pPr>
        <w:spacing w:after="0" w:line="340" w:lineRule="atLeast"/>
        <w:rPr>
          <w:rFonts w:ascii="Verdana" w:hAnsi="Verdana"/>
          <w:color w:val="000000"/>
          <w:sz w:val="21"/>
          <w:szCs w:val="21"/>
        </w:rPr>
      </w:pPr>
      <w:r>
        <w:rPr>
          <w:rFonts w:ascii="Verdana" w:hAnsi="Verdana"/>
          <w:b/>
          <w:bCs/>
          <w:color w:val="000000"/>
          <w:sz w:val="21"/>
          <w:szCs w:val="21"/>
        </w:rPr>
        <w:t>Sygnia Itrix</w:t>
      </w:r>
      <w:r>
        <w:rPr>
          <w:rFonts w:ascii="Verdana" w:hAnsi="Verdana"/>
          <w:color w:val="000000"/>
          <w:sz w:val="21"/>
          <w:szCs w:val="21"/>
        </w:rPr>
        <w:t xml:space="preserve"> </w:t>
      </w:r>
      <w:r w:rsidR="00B46D9E">
        <w:rPr>
          <w:rFonts w:ascii="Verdana" w:hAnsi="Verdana"/>
          <w:color w:val="000000"/>
          <w:sz w:val="21"/>
          <w:szCs w:val="21"/>
        </w:rPr>
        <w:t>retains second spot in the issuing house ranking tables, with R23,3 billion total AUM.  With its core focus on foreign referenced ETFs, which bring offshore exposure to local investors under the convenience of the “</w:t>
      </w:r>
      <w:r w:rsidR="00D01489">
        <w:rPr>
          <w:rFonts w:ascii="Verdana" w:hAnsi="Verdana"/>
          <w:color w:val="000000"/>
          <w:sz w:val="21"/>
          <w:szCs w:val="21"/>
        </w:rPr>
        <w:t>I</w:t>
      </w:r>
      <w:r w:rsidR="00B46D9E">
        <w:rPr>
          <w:rFonts w:ascii="Verdana" w:hAnsi="Verdana"/>
          <w:color w:val="000000"/>
          <w:sz w:val="21"/>
          <w:szCs w:val="21"/>
        </w:rPr>
        <w:t xml:space="preserve">nward </w:t>
      </w:r>
      <w:r w:rsidR="00D01489">
        <w:rPr>
          <w:rFonts w:ascii="Verdana" w:hAnsi="Verdana"/>
          <w:color w:val="000000"/>
          <w:sz w:val="21"/>
          <w:szCs w:val="21"/>
        </w:rPr>
        <w:t>L</w:t>
      </w:r>
      <w:r w:rsidR="00B46D9E">
        <w:rPr>
          <w:rFonts w:ascii="Verdana" w:hAnsi="Verdana"/>
          <w:color w:val="000000"/>
          <w:sz w:val="21"/>
          <w:szCs w:val="21"/>
        </w:rPr>
        <w:t xml:space="preserve">isting” regulations that </w:t>
      </w:r>
      <w:r w:rsidR="00602DDF">
        <w:rPr>
          <w:rFonts w:ascii="Verdana" w:hAnsi="Verdana"/>
          <w:color w:val="000000"/>
          <w:sz w:val="21"/>
          <w:szCs w:val="21"/>
        </w:rPr>
        <w:t xml:space="preserve">only </w:t>
      </w:r>
      <w:r w:rsidR="00B46D9E">
        <w:rPr>
          <w:rFonts w:ascii="Verdana" w:hAnsi="Verdana"/>
          <w:color w:val="000000"/>
          <w:sz w:val="21"/>
          <w:szCs w:val="21"/>
        </w:rPr>
        <w:t xml:space="preserve">apply to listed securities, Sygnia is very well positioned in the ETP industry.  </w:t>
      </w:r>
    </w:p>
    <w:p w14:paraId="6633A02E" w14:textId="77777777" w:rsidR="00B46D9E" w:rsidRDefault="00B46D9E" w:rsidP="00DF6902">
      <w:pPr>
        <w:spacing w:after="0" w:line="340" w:lineRule="atLeast"/>
        <w:rPr>
          <w:rFonts w:ascii="Verdana" w:hAnsi="Verdana"/>
          <w:color w:val="000000"/>
          <w:sz w:val="21"/>
          <w:szCs w:val="21"/>
        </w:rPr>
      </w:pPr>
    </w:p>
    <w:p w14:paraId="6D99721B" w14:textId="458FE562" w:rsidR="007E68F3" w:rsidRDefault="007E68F3" w:rsidP="00DF6902">
      <w:pPr>
        <w:spacing w:after="0" w:line="340" w:lineRule="atLeast"/>
        <w:rPr>
          <w:rFonts w:ascii="Verdana" w:hAnsi="Verdana"/>
          <w:color w:val="000000"/>
          <w:sz w:val="21"/>
          <w:szCs w:val="21"/>
        </w:rPr>
      </w:pPr>
      <w:r>
        <w:rPr>
          <w:rFonts w:ascii="Verdana" w:hAnsi="Verdana"/>
          <w:b/>
          <w:bCs/>
          <w:color w:val="000000"/>
          <w:sz w:val="21"/>
          <w:szCs w:val="21"/>
        </w:rPr>
        <w:t>Satrix Managers</w:t>
      </w:r>
      <w:r>
        <w:rPr>
          <w:rFonts w:ascii="Verdana" w:hAnsi="Verdana"/>
          <w:color w:val="000000"/>
          <w:sz w:val="21"/>
          <w:szCs w:val="21"/>
        </w:rPr>
        <w:t xml:space="preserve"> </w:t>
      </w:r>
      <w:r w:rsidR="00B46D9E">
        <w:rPr>
          <w:rFonts w:ascii="Verdana" w:hAnsi="Verdana"/>
          <w:color w:val="000000"/>
          <w:sz w:val="21"/>
          <w:szCs w:val="21"/>
        </w:rPr>
        <w:t xml:space="preserve">remains in third spot, but has made up considerable ground on Sygnia Itrix in recent quarters with new listings of ETFs and </w:t>
      </w:r>
      <w:r w:rsidR="00F13A0B">
        <w:rPr>
          <w:rFonts w:ascii="Verdana" w:hAnsi="Verdana"/>
          <w:color w:val="000000"/>
          <w:sz w:val="21"/>
          <w:szCs w:val="21"/>
        </w:rPr>
        <w:t xml:space="preserve">its current </w:t>
      </w:r>
      <w:r w:rsidR="00B46D9E">
        <w:rPr>
          <w:rFonts w:ascii="Verdana" w:hAnsi="Verdana"/>
          <w:color w:val="000000"/>
          <w:sz w:val="21"/>
          <w:szCs w:val="21"/>
        </w:rPr>
        <w:t xml:space="preserve"> focus on foreign referenced equity ETFs.  With R22,9 billion AUM, Satrix is now just behind Sygnia Itrix. </w:t>
      </w:r>
    </w:p>
    <w:p w14:paraId="0245989F" w14:textId="42FCB02D" w:rsidR="00B46D9E" w:rsidRDefault="00B46D9E" w:rsidP="00DF6902">
      <w:pPr>
        <w:spacing w:after="0" w:line="340" w:lineRule="atLeast"/>
        <w:rPr>
          <w:rFonts w:ascii="Verdana" w:hAnsi="Verdana"/>
          <w:color w:val="000000"/>
          <w:sz w:val="21"/>
          <w:szCs w:val="21"/>
        </w:rPr>
      </w:pPr>
    </w:p>
    <w:p w14:paraId="72FF92D3" w14:textId="48B62F9D" w:rsidR="00B46D9E" w:rsidRPr="00B46D9E" w:rsidRDefault="00B46D9E" w:rsidP="00DF6902">
      <w:pPr>
        <w:spacing w:after="0" w:line="340" w:lineRule="atLeast"/>
        <w:rPr>
          <w:rFonts w:ascii="Verdana" w:hAnsi="Verdana"/>
          <w:color w:val="000000"/>
          <w:sz w:val="21"/>
          <w:szCs w:val="21"/>
        </w:rPr>
      </w:pPr>
      <w:r>
        <w:rPr>
          <w:rFonts w:ascii="Verdana" w:hAnsi="Verdana"/>
          <w:b/>
          <w:bCs/>
          <w:color w:val="000000"/>
          <w:sz w:val="21"/>
          <w:szCs w:val="21"/>
        </w:rPr>
        <w:t>Invest</w:t>
      </w:r>
      <w:r>
        <w:rPr>
          <w:rFonts w:ascii="Verdana" w:hAnsi="Verdana"/>
          <w:color w:val="000000"/>
          <w:sz w:val="21"/>
          <w:szCs w:val="21"/>
        </w:rPr>
        <w:t xml:space="preserve">, with 13 different ETFs in its stable, including commodity, foreign, bond and local equity products, has a broad range of products available and occupies an unchallenged fourth spot in the ETP industry.  </w:t>
      </w:r>
    </w:p>
    <w:p w14:paraId="2D2D739F" w14:textId="104D803E" w:rsidR="00B46D9E" w:rsidRDefault="00B46D9E">
      <w:pPr>
        <w:rPr>
          <w:rFonts w:ascii="Verdana" w:hAnsi="Verdana"/>
          <w:color w:val="000000"/>
          <w:sz w:val="21"/>
          <w:szCs w:val="21"/>
        </w:rPr>
      </w:pPr>
      <w:r>
        <w:rPr>
          <w:rFonts w:ascii="Verdana" w:hAnsi="Verdana"/>
          <w:color w:val="000000"/>
          <w:sz w:val="21"/>
          <w:szCs w:val="21"/>
        </w:rPr>
        <w:br w:type="page"/>
      </w:r>
    </w:p>
    <w:p w14:paraId="083D74B6" w14:textId="77777777" w:rsidR="007E68F3" w:rsidRDefault="007E68F3" w:rsidP="00602DDF">
      <w:pPr>
        <w:spacing w:after="0" w:line="340" w:lineRule="atLeast"/>
        <w:rPr>
          <w:rFonts w:ascii="Verdana" w:hAnsi="Verdana"/>
          <w:color w:val="000000"/>
          <w:sz w:val="21"/>
          <w:szCs w:val="21"/>
        </w:rPr>
      </w:pPr>
    </w:p>
    <w:p w14:paraId="69F39CD0" w14:textId="28579220" w:rsidR="00B46D9E" w:rsidRDefault="007E68F3" w:rsidP="00602DDF">
      <w:pPr>
        <w:spacing w:after="0" w:line="340" w:lineRule="atLeast"/>
        <w:rPr>
          <w:rFonts w:ascii="Verdana" w:hAnsi="Verdana"/>
          <w:color w:val="000000"/>
          <w:sz w:val="21"/>
          <w:szCs w:val="21"/>
        </w:rPr>
      </w:pPr>
      <w:r>
        <w:rPr>
          <w:rFonts w:ascii="Verdana" w:hAnsi="Verdana"/>
          <w:b/>
          <w:bCs/>
          <w:color w:val="000000"/>
          <w:sz w:val="21"/>
          <w:szCs w:val="21"/>
        </w:rPr>
        <w:t>Union Bank of Switzerland (UBS)</w:t>
      </w:r>
      <w:r>
        <w:rPr>
          <w:rFonts w:ascii="Verdana" w:hAnsi="Verdana"/>
          <w:color w:val="000000"/>
          <w:sz w:val="21"/>
          <w:szCs w:val="21"/>
        </w:rPr>
        <w:t xml:space="preserve"> – </w:t>
      </w:r>
      <w:r w:rsidR="00B46D9E">
        <w:rPr>
          <w:rFonts w:ascii="Verdana" w:hAnsi="Verdana"/>
          <w:color w:val="000000"/>
          <w:sz w:val="21"/>
          <w:szCs w:val="21"/>
        </w:rPr>
        <w:t xml:space="preserve">provides its balance sheet to 9 different asset managers to list actively managed ETNs on the JSE.  Most of these are global equity </w:t>
      </w:r>
      <w:r w:rsidR="00D01489">
        <w:rPr>
          <w:rFonts w:ascii="Verdana" w:hAnsi="Verdana"/>
          <w:color w:val="000000"/>
          <w:sz w:val="21"/>
          <w:szCs w:val="21"/>
        </w:rPr>
        <w:t>portfolios</w:t>
      </w:r>
      <w:r w:rsidR="00B46D9E">
        <w:rPr>
          <w:rFonts w:ascii="Verdana" w:hAnsi="Verdana"/>
          <w:color w:val="000000"/>
          <w:sz w:val="21"/>
          <w:szCs w:val="21"/>
        </w:rPr>
        <w:t xml:space="preserve">, but they include World Islamic, Start-Up (Unicorn) and Global Property companies.  </w:t>
      </w:r>
    </w:p>
    <w:p w14:paraId="7573FE1B" w14:textId="77777777" w:rsidR="00B46D9E" w:rsidRDefault="00B46D9E" w:rsidP="00602DDF">
      <w:pPr>
        <w:spacing w:after="0" w:line="340" w:lineRule="atLeast"/>
        <w:rPr>
          <w:rFonts w:ascii="Verdana" w:hAnsi="Verdana"/>
          <w:color w:val="000000"/>
          <w:sz w:val="21"/>
          <w:szCs w:val="21"/>
        </w:rPr>
      </w:pPr>
    </w:p>
    <w:p w14:paraId="3B5C5965" w14:textId="513E3EAC" w:rsidR="007E68F3" w:rsidRDefault="00B46D9E" w:rsidP="00602DDF">
      <w:pPr>
        <w:spacing w:after="0" w:line="340" w:lineRule="atLeast"/>
        <w:rPr>
          <w:rFonts w:ascii="Verdana" w:hAnsi="Verdana"/>
          <w:color w:val="000000"/>
          <w:sz w:val="21"/>
          <w:szCs w:val="21"/>
        </w:rPr>
      </w:pPr>
      <w:r>
        <w:rPr>
          <w:rFonts w:ascii="Verdana" w:hAnsi="Verdana"/>
          <w:color w:val="000000"/>
          <w:sz w:val="21"/>
          <w:szCs w:val="21"/>
        </w:rPr>
        <w:t>Although these are actively managed portfolios, they also tar</w:t>
      </w:r>
      <w:r w:rsidR="00D01489">
        <w:rPr>
          <w:rFonts w:ascii="Verdana" w:hAnsi="Verdana"/>
          <w:color w:val="000000"/>
          <w:sz w:val="21"/>
          <w:szCs w:val="21"/>
        </w:rPr>
        <w:t>g</w:t>
      </w:r>
      <w:r>
        <w:rPr>
          <w:rFonts w:ascii="Verdana" w:hAnsi="Verdana"/>
          <w:color w:val="000000"/>
          <w:sz w:val="21"/>
          <w:szCs w:val="21"/>
        </w:rPr>
        <w:t xml:space="preserve">et industry benchmarks and are fully structured and compliant Exchange Traded Notes under Section 19 of the Stock Exchange </w:t>
      </w:r>
      <w:r w:rsidR="00D01489">
        <w:rPr>
          <w:rFonts w:ascii="Verdana" w:hAnsi="Verdana"/>
          <w:color w:val="000000"/>
          <w:sz w:val="21"/>
          <w:szCs w:val="21"/>
        </w:rPr>
        <w:t xml:space="preserve">Listing Requirements, so need to be </w:t>
      </w:r>
      <w:r w:rsidR="00F13A0B">
        <w:rPr>
          <w:rFonts w:ascii="Verdana" w:hAnsi="Verdana"/>
          <w:color w:val="000000"/>
          <w:sz w:val="21"/>
          <w:szCs w:val="21"/>
        </w:rPr>
        <w:t xml:space="preserve">considered </w:t>
      </w:r>
      <w:r w:rsidR="00D01489">
        <w:rPr>
          <w:rFonts w:ascii="Verdana" w:hAnsi="Verdana"/>
          <w:color w:val="000000"/>
          <w:sz w:val="21"/>
          <w:szCs w:val="21"/>
        </w:rPr>
        <w:t xml:space="preserve">as Exchange Traded Products.  This genre of ETPs could provide fertile ground for new products to list on the JSE in future.  </w:t>
      </w:r>
      <w:r w:rsidR="007E68F3">
        <w:rPr>
          <w:rFonts w:ascii="Verdana" w:hAnsi="Verdana"/>
          <w:color w:val="000000"/>
          <w:sz w:val="21"/>
          <w:szCs w:val="21"/>
        </w:rPr>
        <w:t xml:space="preserve"> </w:t>
      </w:r>
    </w:p>
    <w:p w14:paraId="071C173F" w14:textId="5BB4935E" w:rsidR="007E68F3" w:rsidRDefault="007E68F3" w:rsidP="00602DDF">
      <w:pPr>
        <w:spacing w:after="0" w:line="340" w:lineRule="atLeast"/>
        <w:rPr>
          <w:rFonts w:ascii="Verdana" w:hAnsi="Verdana"/>
          <w:color w:val="000000"/>
          <w:sz w:val="21"/>
          <w:szCs w:val="21"/>
        </w:rPr>
      </w:pPr>
    </w:p>
    <w:p w14:paraId="4545B45D" w14:textId="35E1C021" w:rsidR="00BA7F27" w:rsidRDefault="00BA7F27" w:rsidP="00602DDF">
      <w:pPr>
        <w:spacing w:after="0" w:line="340" w:lineRule="atLeast"/>
        <w:jc w:val="both"/>
        <w:rPr>
          <w:rFonts w:ascii="Verdana" w:hAnsi="Verdana"/>
          <w:sz w:val="21"/>
          <w:szCs w:val="21"/>
        </w:rPr>
      </w:pPr>
    </w:p>
    <w:p w14:paraId="3094944C" w14:textId="72616E4A" w:rsidR="00F13A0B" w:rsidRPr="00602DDF" w:rsidRDefault="00602DDF" w:rsidP="00602DDF">
      <w:pPr>
        <w:spacing w:after="0" w:line="340" w:lineRule="atLeast"/>
        <w:jc w:val="both"/>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Fund and Exchange Traded Note are available on the quarterly reports available on the etfSA website: </w:t>
      </w:r>
      <w:hyperlink r:id="rId9"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602DDF">
      <w:pPr>
        <w:spacing w:after="0" w:line="340" w:lineRule="atLeast"/>
        <w:jc w:val="both"/>
        <w:rPr>
          <w:rFonts w:ascii="Verdana" w:hAnsi="Verdana"/>
          <w:sz w:val="21"/>
          <w:szCs w:val="21"/>
        </w:rPr>
      </w:pPr>
    </w:p>
    <w:p w14:paraId="54885B65" w14:textId="4AA9A066" w:rsid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 xml:space="preserve">All South African ETFs &amp; ETNs – Market Capitalisation figures – December 2009 to September 2020. </w:t>
      </w:r>
    </w:p>
    <w:p w14:paraId="687B4DFB" w14:textId="77777777" w:rsidR="0025163D" w:rsidRDefault="0025163D" w:rsidP="0025163D">
      <w:pPr>
        <w:pStyle w:val="ListParagraph"/>
        <w:spacing w:after="0" w:line="340" w:lineRule="atLeast"/>
        <w:jc w:val="both"/>
        <w:rPr>
          <w:rFonts w:ascii="Verdana" w:hAnsi="Verdana"/>
          <w:sz w:val="21"/>
          <w:szCs w:val="21"/>
        </w:rPr>
      </w:pPr>
    </w:p>
    <w:p w14:paraId="045E74ED" w14:textId="40284871" w:rsidR="00602DDF" w:rsidRP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 xml:space="preserve">ETFs &amp; ETNs survey – Securities in Issue and New Capital Raised/Redeemed (for period ended 30 September 2020). </w:t>
      </w:r>
    </w:p>
    <w:p w14:paraId="0AC7302E" w14:textId="16901753" w:rsidR="00F13A0B" w:rsidRDefault="00F13A0B" w:rsidP="00DB4A11">
      <w:pPr>
        <w:spacing w:after="0" w:line="320" w:lineRule="atLeast"/>
        <w:jc w:val="both"/>
        <w:rPr>
          <w:rFonts w:ascii="Verdana" w:hAnsi="Verdana"/>
          <w:sz w:val="21"/>
          <w:szCs w:val="21"/>
        </w:rPr>
      </w:pPr>
    </w:p>
    <w:p w14:paraId="680D5448" w14:textId="626747EA" w:rsidR="00F13A0B" w:rsidRDefault="00F13A0B" w:rsidP="00DB4A11">
      <w:pPr>
        <w:spacing w:after="0" w:line="320" w:lineRule="atLeast"/>
        <w:jc w:val="both"/>
        <w:rPr>
          <w:rFonts w:ascii="Verdana" w:hAnsi="Verdana"/>
          <w:sz w:val="21"/>
          <w:szCs w:val="21"/>
        </w:rPr>
      </w:pPr>
    </w:p>
    <w:p w14:paraId="2F3EBC38" w14:textId="14C76C84" w:rsidR="00F13A0B" w:rsidRDefault="00F13A0B" w:rsidP="00DB4A11">
      <w:pPr>
        <w:spacing w:after="0" w:line="320" w:lineRule="atLeast"/>
        <w:jc w:val="both"/>
        <w:rPr>
          <w:rFonts w:ascii="Verdana" w:hAnsi="Verdana"/>
          <w:sz w:val="21"/>
          <w:szCs w:val="21"/>
        </w:rPr>
      </w:pPr>
    </w:p>
    <w:p w14:paraId="419AB1F6" w14:textId="66A9F212" w:rsidR="00F13A0B" w:rsidRDefault="00F13A0B" w:rsidP="00DB4A11">
      <w:pPr>
        <w:spacing w:after="0" w:line="320" w:lineRule="atLeast"/>
        <w:jc w:val="both"/>
        <w:rPr>
          <w:rFonts w:ascii="Verdana" w:hAnsi="Verdana"/>
          <w:sz w:val="21"/>
          <w:szCs w:val="21"/>
        </w:rPr>
      </w:pPr>
    </w:p>
    <w:p w14:paraId="20B8963A" w14:textId="6467E1F2" w:rsidR="00F13A0B" w:rsidRDefault="00F13A0B" w:rsidP="00DB4A11">
      <w:pPr>
        <w:spacing w:after="0" w:line="320" w:lineRule="atLeast"/>
        <w:jc w:val="both"/>
        <w:rPr>
          <w:rFonts w:ascii="Verdana" w:hAnsi="Verdana"/>
          <w:sz w:val="21"/>
          <w:szCs w:val="21"/>
        </w:rPr>
      </w:pPr>
    </w:p>
    <w:p w14:paraId="0053E792" w14:textId="77777777" w:rsidR="00F13A0B" w:rsidRDefault="00F13A0B" w:rsidP="00DB4A11">
      <w:pPr>
        <w:spacing w:after="0" w:line="320" w:lineRule="atLeast"/>
        <w:jc w:val="both"/>
        <w:rPr>
          <w:rFonts w:ascii="Verdana" w:hAnsi="Verdana"/>
          <w:sz w:val="21"/>
          <w:szCs w:val="21"/>
        </w:rPr>
      </w:pPr>
    </w:p>
    <w:p w14:paraId="122092A3" w14:textId="77777777" w:rsidR="00BA7F27" w:rsidRDefault="00BA7F27" w:rsidP="00DB4A11">
      <w:pPr>
        <w:spacing w:after="0" w:line="320" w:lineRule="atLeast"/>
        <w:jc w:val="both"/>
        <w:rPr>
          <w:rFonts w:ascii="Verdana" w:hAnsi="Verdana"/>
          <w:sz w:val="21"/>
          <w:szCs w:val="21"/>
        </w:rPr>
      </w:pPr>
    </w:p>
    <w:p w14:paraId="28801C9F" w14:textId="2DE779AC" w:rsidR="00336154" w:rsidRDefault="00336154" w:rsidP="00DB4A11">
      <w:pPr>
        <w:spacing w:after="0" w:line="320" w:lineRule="atLeast"/>
        <w:jc w:val="both"/>
        <w:rPr>
          <w:rFonts w:ascii="Verdana" w:hAnsi="Verdana"/>
          <w:sz w:val="21"/>
          <w:szCs w:val="21"/>
        </w:rPr>
      </w:pPr>
    </w:p>
    <w:p w14:paraId="243386B7" w14:textId="67C3EA6D" w:rsidR="00F13A0B" w:rsidRDefault="00F13A0B" w:rsidP="00DB4A11">
      <w:pPr>
        <w:spacing w:after="0" w:line="320" w:lineRule="atLeast"/>
        <w:jc w:val="both"/>
        <w:rPr>
          <w:rFonts w:ascii="Verdana" w:hAnsi="Verdana"/>
          <w:sz w:val="21"/>
          <w:szCs w:val="21"/>
        </w:rPr>
      </w:pPr>
    </w:p>
    <w:p w14:paraId="62055088" w14:textId="00EF51B1" w:rsidR="00F13A0B" w:rsidRDefault="00F13A0B" w:rsidP="00DB4A11">
      <w:pPr>
        <w:spacing w:after="0" w:line="320" w:lineRule="atLeast"/>
        <w:jc w:val="both"/>
        <w:rPr>
          <w:rFonts w:ascii="Verdana" w:hAnsi="Verdana"/>
          <w:sz w:val="21"/>
          <w:szCs w:val="21"/>
        </w:rPr>
      </w:pPr>
    </w:p>
    <w:p w14:paraId="781DB66F" w14:textId="26ECB6F0" w:rsidR="00F13A0B" w:rsidRDefault="00F13A0B" w:rsidP="00DB4A11">
      <w:pPr>
        <w:spacing w:after="0" w:line="320" w:lineRule="atLeast"/>
        <w:jc w:val="both"/>
        <w:rPr>
          <w:rFonts w:ascii="Verdana" w:hAnsi="Verdana"/>
          <w:sz w:val="21"/>
          <w:szCs w:val="21"/>
        </w:rPr>
      </w:pPr>
    </w:p>
    <w:p w14:paraId="6232E8E1" w14:textId="561CFBD2" w:rsidR="00F13A0B" w:rsidRDefault="00F13A0B" w:rsidP="00DB4A11">
      <w:pPr>
        <w:spacing w:after="0" w:line="320" w:lineRule="atLeast"/>
        <w:jc w:val="both"/>
        <w:rPr>
          <w:rFonts w:ascii="Verdana" w:hAnsi="Verdana"/>
          <w:sz w:val="21"/>
          <w:szCs w:val="21"/>
        </w:rPr>
      </w:pPr>
    </w:p>
    <w:p w14:paraId="30F57956" w14:textId="77777777" w:rsidR="00F13A0B" w:rsidRDefault="00F13A0B" w:rsidP="00DB4A11">
      <w:pPr>
        <w:spacing w:after="0" w:line="320" w:lineRule="atLeast"/>
        <w:jc w:val="both"/>
        <w:rPr>
          <w:rFonts w:ascii="Verdana" w:hAnsi="Verdana"/>
          <w:sz w:val="21"/>
          <w:szCs w:val="21"/>
        </w:rPr>
      </w:pPr>
    </w:p>
    <w:p w14:paraId="10032C29" w14:textId="77777777" w:rsidR="00DB4A11" w:rsidRDefault="00DB4A11" w:rsidP="00DB4A11">
      <w:pPr>
        <w:spacing w:after="0" w:line="320" w:lineRule="atLeast"/>
        <w:jc w:val="both"/>
        <w:rPr>
          <w:rFonts w:ascii="Verdana" w:hAnsi="Verdana"/>
          <w:sz w:val="21"/>
          <w:szCs w:val="21"/>
        </w:rPr>
      </w:pPr>
    </w:p>
    <w:p w14:paraId="348057A5" w14:textId="77777777" w:rsidR="00C6212D" w:rsidRPr="0000086A" w:rsidRDefault="00C6212D" w:rsidP="0000086A">
      <w:pPr>
        <w:pBdr>
          <w:top w:val="single" w:sz="4" w:space="1" w:color="auto"/>
        </w:pBdr>
        <w:spacing w:after="0" w:line="240" w:lineRule="auto"/>
        <w:rPr>
          <w:sz w:val="15"/>
          <w:szCs w:val="15"/>
          <w:lang w:eastAsia="en-ZA"/>
        </w:rPr>
      </w:pPr>
      <w:r w:rsidRPr="0000086A">
        <w:rPr>
          <w:rFonts w:ascii="Arial" w:hAnsi="Arial"/>
          <w:b/>
          <w:i/>
          <w:color w:val="0F0D35"/>
          <w:sz w:val="15"/>
          <w:szCs w:val="15"/>
        </w:rPr>
        <w:t xml:space="preserve">Disclaimer: </w:t>
      </w:r>
      <w:r w:rsidRPr="0000086A">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00086A" w:rsidSect="00A572A0">
      <w:footerReference w:type="default" r:id="rId10"/>
      <w:pgSz w:w="11906" w:h="16838" w:code="9"/>
      <w:pgMar w:top="851" w:right="851"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76B43" w14:textId="77777777" w:rsidR="002F19B0" w:rsidRDefault="002F19B0" w:rsidP="001860C2">
      <w:pPr>
        <w:spacing w:after="0" w:line="240" w:lineRule="auto"/>
      </w:pPr>
      <w:r>
        <w:separator/>
      </w:r>
    </w:p>
  </w:endnote>
  <w:endnote w:type="continuationSeparator" w:id="0">
    <w:p w14:paraId="02F2D7FE" w14:textId="77777777" w:rsidR="002F19B0" w:rsidRDefault="002F19B0"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63265" w14:textId="77777777" w:rsidR="002F19B0" w:rsidRDefault="002F19B0" w:rsidP="001860C2">
      <w:pPr>
        <w:spacing w:after="0" w:line="240" w:lineRule="auto"/>
      </w:pPr>
      <w:r>
        <w:separator/>
      </w:r>
    </w:p>
  </w:footnote>
  <w:footnote w:type="continuationSeparator" w:id="0">
    <w:p w14:paraId="444FB782" w14:textId="77777777" w:rsidR="002F19B0" w:rsidRDefault="002F19B0"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6" w15:restartNumberingAfterBreak="0">
    <w:nsid w:val="7AF55A25"/>
    <w:multiLevelType w:val="hybridMultilevel"/>
    <w:tmpl w:val="FD1255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5"/>
  </w:num>
  <w:num w:numId="5">
    <w:abstractNumId w:val="1"/>
  </w:num>
  <w:num w:numId="6">
    <w:abstractNumId w:val="13"/>
  </w:num>
  <w:num w:numId="7">
    <w:abstractNumId w:val="4"/>
  </w:num>
  <w:num w:numId="8">
    <w:abstractNumId w:val="6"/>
  </w:num>
  <w:num w:numId="9">
    <w:abstractNumId w:val="2"/>
  </w:num>
  <w:num w:numId="10">
    <w:abstractNumId w:val="7"/>
  </w:num>
  <w:num w:numId="11">
    <w:abstractNumId w:val="9"/>
  </w:num>
  <w:num w:numId="12">
    <w:abstractNumId w:val="11"/>
  </w:num>
  <w:num w:numId="13">
    <w:abstractNumId w:val="10"/>
  </w:num>
  <w:num w:numId="14">
    <w:abstractNumId w:val="15"/>
  </w:num>
  <w:num w:numId="15">
    <w:abstractNumId w:val="16"/>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34E06"/>
    <w:rsid w:val="00042250"/>
    <w:rsid w:val="000435BE"/>
    <w:rsid w:val="0005247E"/>
    <w:rsid w:val="0005437D"/>
    <w:rsid w:val="00063719"/>
    <w:rsid w:val="00064D86"/>
    <w:rsid w:val="0006568F"/>
    <w:rsid w:val="00065FC4"/>
    <w:rsid w:val="00072FB5"/>
    <w:rsid w:val="000736A9"/>
    <w:rsid w:val="0007371D"/>
    <w:rsid w:val="00083E17"/>
    <w:rsid w:val="00086ECE"/>
    <w:rsid w:val="000A3329"/>
    <w:rsid w:val="000B189D"/>
    <w:rsid w:val="000C1ACB"/>
    <w:rsid w:val="000C2A04"/>
    <w:rsid w:val="000C74EB"/>
    <w:rsid w:val="000D0FF5"/>
    <w:rsid w:val="000D5C7D"/>
    <w:rsid w:val="000F1A9D"/>
    <w:rsid w:val="000F2E19"/>
    <w:rsid w:val="000F4D11"/>
    <w:rsid w:val="000F676D"/>
    <w:rsid w:val="001004CA"/>
    <w:rsid w:val="001011BA"/>
    <w:rsid w:val="00110027"/>
    <w:rsid w:val="001113DA"/>
    <w:rsid w:val="001113EA"/>
    <w:rsid w:val="00112914"/>
    <w:rsid w:val="001149F4"/>
    <w:rsid w:val="001161FE"/>
    <w:rsid w:val="001169ED"/>
    <w:rsid w:val="00121661"/>
    <w:rsid w:val="00122449"/>
    <w:rsid w:val="001255EF"/>
    <w:rsid w:val="0013147F"/>
    <w:rsid w:val="00137500"/>
    <w:rsid w:val="00147712"/>
    <w:rsid w:val="00161566"/>
    <w:rsid w:val="0016524A"/>
    <w:rsid w:val="001723F2"/>
    <w:rsid w:val="00175BD4"/>
    <w:rsid w:val="0018165B"/>
    <w:rsid w:val="00185009"/>
    <w:rsid w:val="001860C2"/>
    <w:rsid w:val="0019419C"/>
    <w:rsid w:val="001951A8"/>
    <w:rsid w:val="001976A7"/>
    <w:rsid w:val="001A440E"/>
    <w:rsid w:val="001A631C"/>
    <w:rsid w:val="001A6952"/>
    <w:rsid w:val="001B0CAA"/>
    <w:rsid w:val="001C426E"/>
    <w:rsid w:val="001C48EF"/>
    <w:rsid w:val="001D296F"/>
    <w:rsid w:val="001D3AD8"/>
    <w:rsid w:val="001E36F8"/>
    <w:rsid w:val="001F12A9"/>
    <w:rsid w:val="001F6BD9"/>
    <w:rsid w:val="00211E65"/>
    <w:rsid w:val="00214624"/>
    <w:rsid w:val="00215EC5"/>
    <w:rsid w:val="00231639"/>
    <w:rsid w:val="00240106"/>
    <w:rsid w:val="0024764F"/>
    <w:rsid w:val="00251098"/>
    <w:rsid w:val="0025163D"/>
    <w:rsid w:val="002536F5"/>
    <w:rsid w:val="00257F69"/>
    <w:rsid w:val="00260037"/>
    <w:rsid w:val="002647AB"/>
    <w:rsid w:val="00267704"/>
    <w:rsid w:val="002678D7"/>
    <w:rsid w:val="00267A62"/>
    <w:rsid w:val="00270178"/>
    <w:rsid w:val="0027130E"/>
    <w:rsid w:val="00271472"/>
    <w:rsid w:val="00275FDA"/>
    <w:rsid w:val="002821C1"/>
    <w:rsid w:val="00283442"/>
    <w:rsid w:val="0028371C"/>
    <w:rsid w:val="0028580C"/>
    <w:rsid w:val="00287580"/>
    <w:rsid w:val="002A024C"/>
    <w:rsid w:val="002A439C"/>
    <w:rsid w:val="002A4EC3"/>
    <w:rsid w:val="002A6914"/>
    <w:rsid w:val="002D4D18"/>
    <w:rsid w:val="002E30E8"/>
    <w:rsid w:val="002E4F01"/>
    <w:rsid w:val="002E55EA"/>
    <w:rsid w:val="002E6A24"/>
    <w:rsid w:val="002F16E9"/>
    <w:rsid w:val="002F19B0"/>
    <w:rsid w:val="00302AA8"/>
    <w:rsid w:val="00321934"/>
    <w:rsid w:val="00322BD7"/>
    <w:rsid w:val="003230DF"/>
    <w:rsid w:val="00325F2F"/>
    <w:rsid w:val="00330C63"/>
    <w:rsid w:val="00336154"/>
    <w:rsid w:val="00337675"/>
    <w:rsid w:val="00340ED3"/>
    <w:rsid w:val="00345103"/>
    <w:rsid w:val="003455BD"/>
    <w:rsid w:val="00356055"/>
    <w:rsid w:val="00371A95"/>
    <w:rsid w:val="00374625"/>
    <w:rsid w:val="003768E4"/>
    <w:rsid w:val="00380C83"/>
    <w:rsid w:val="00382ADA"/>
    <w:rsid w:val="003835A0"/>
    <w:rsid w:val="00383630"/>
    <w:rsid w:val="003935AB"/>
    <w:rsid w:val="00394359"/>
    <w:rsid w:val="003A0D8D"/>
    <w:rsid w:val="003A29FB"/>
    <w:rsid w:val="003A3D19"/>
    <w:rsid w:val="003A6075"/>
    <w:rsid w:val="003B10C9"/>
    <w:rsid w:val="003B4F95"/>
    <w:rsid w:val="003C278D"/>
    <w:rsid w:val="003C3187"/>
    <w:rsid w:val="003C34BA"/>
    <w:rsid w:val="003C36D7"/>
    <w:rsid w:val="003C4CE2"/>
    <w:rsid w:val="003C6031"/>
    <w:rsid w:val="003C700A"/>
    <w:rsid w:val="003D13C9"/>
    <w:rsid w:val="003D3AB6"/>
    <w:rsid w:val="003D5B90"/>
    <w:rsid w:val="003E41CF"/>
    <w:rsid w:val="003F5A00"/>
    <w:rsid w:val="003F6A02"/>
    <w:rsid w:val="003F76E0"/>
    <w:rsid w:val="003F7712"/>
    <w:rsid w:val="004038EE"/>
    <w:rsid w:val="0040423E"/>
    <w:rsid w:val="00407678"/>
    <w:rsid w:val="00410B90"/>
    <w:rsid w:val="00417CC4"/>
    <w:rsid w:val="0042225F"/>
    <w:rsid w:val="00433C1B"/>
    <w:rsid w:val="00434DA5"/>
    <w:rsid w:val="00435E56"/>
    <w:rsid w:val="00441724"/>
    <w:rsid w:val="00443433"/>
    <w:rsid w:val="00451766"/>
    <w:rsid w:val="004568F5"/>
    <w:rsid w:val="00486A17"/>
    <w:rsid w:val="0049405F"/>
    <w:rsid w:val="004A1759"/>
    <w:rsid w:val="004A53EA"/>
    <w:rsid w:val="004A7DA9"/>
    <w:rsid w:val="004B0713"/>
    <w:rsid w:val="004C1102"/>
    <w:rsid w:val="004C60DA"/>
    <w:rsid w:val="004D0295"/>
    <w:rsid w:val="004D1524"/>
    <w:rsid w:val="004D6498"/>
    <w:rsid w:val="004E2922"/>
    <w:rsid w:val="004E7608"/>
    <w:rsid w:val="004F0766"/>
    <w:rsid w:val="004F1DF6"/>
    <w:rsid w:val="004F47FC"/>
    <w:rsid w:val="0050685E"/>
    <w:rsid w:val="00511FB5"/>
    <w:rsid w:val="005135D4"/>
    <w:rsid w:val="005138C3"/>
    <w:rsid w:val="005248F6"/>
    <w:rsid w:val="00527C9E"/>
    <w:rsid w:val="005355B2"/>
    <w:rsid w:val="00557D80"/>
    <w:rsid w:val="00561C75"/>
    <w:rsid w:val="005628FE"/>
    <w:rsid w:val="00573EA2"/>
    <w:rsid w:val="00574800"/>
    <w:rsid w:val="00587E90"/>
    <w:rsid w:val="005923A8"/>
    <w:rsid w:val="005A16E0"/>
    <w:rsid w:val="005A21ED"/>
    <w:rsid w:val="005A77A2"/>
    <w:rsid w:val="005B0C73"/>
    <w:rsid w:val="005B450E"/>
    <w:rsid w:val="005B6048"/>
    <w:rsid w:val="005B62B4"/>
    <w:rsid w:val="005B7CFF"/>
    <w:rsid w:val="005C4D11"/>
    <w:rsid w:val="005C6EDE"/>
    <w:rsid w:val="005D54DF"/>
    <w:rsid w:val="005D7F9E"/>
    <w:rsid w:val="005E6456"/>
    <w:rsid w:val="005F02F6"/>
    <w:rsid w:val="005F2A62"/>
    <w:rsid w:val="005F3B27"/>
    <w:rsid w:val="005F5553"/>
    <w:rsid w:val="005F72F5"/>
    <w:rsid w:val="005F7544"/>
    <w:rsid w:val="00602DDF"/>
    <w:rsid w:val="006052EB"/>
    <w:rsid w:val="00605876"/>
    <w:rsid w:val="00606273"/>
    <w:rsid w:val="00607890"/>
    <w:rsid w:val="00610270"/>
    <w:rsid w:val="00611D35"/>
    <w:rsid w:val="006124A0"/>
    <w:rsid w:val="0062560E"/>
    <w:rsid w:val="00634A9D"/>
    <w:rsid w:val="006427A5"/>
    <w:rsid w:val="00650F13"/>
    <w:rsid w:val="00653EAC"/>
    <w:rsid w:val="006557AA"/>
    <w:rsid w:val="00665208"/>
    <w:rsid w:val="00665C94"/>
    <w:rsid w:val="00667B94"/>
    <w:rsid w:val="00670E82"/>
    <w:rsid w:val="006806B9"/>
    <w:rsid w:val="00690162"/>
    <w:rsid w:val="006924BC"/>
    <w:rsid w:val="006A0C56"/>
    <w:rsid w:val="006A24D6"/>
    <w:rsid w:val="006A6635"/>
    <w:rsid w:val="006B620E"/>
    <w:rsid w:val="006C3432"/>
    <w:rsid w:val="006C780E"/>
    <w:rsid w:val="006D32E9"/>
    <w:rsid w:val="006D3930"/>
    <w:rsid w:val="006D3B08"/>
    <w:rsid w:val="006E70F6"/>
    <w:rsid w:val="007017CF"/>
    <w:rsid w:val="007026CA"/>
    <w:rsid w:val="00702765"/>
    <w:rsid w:val="007028A0"/>
    <w:rsid w:val="00705212"/>
    <w:rsid w:val="007153E8"/>
    <w:rsid w:val="00715DF1"/>
    <w:rsid w:val="00727AC5"/>
    <w:rsid w:val="00737776"/>
    <w:rsid w:val="0074101D"/>
    <w:rsid w:val="00744360"/>
    <w:rsid w:val="0075135D"/>
    <w:rsid w:val="00752C5D"/>
    <w:rsid w:val="00754226"/>
    <w:rsid w:val="007549A4"/>
    <w:rsid w:val="0075574D"/>
    <w:rsid w:val="0075656E"/>
    <w:rsid w:val="007617B4"/>
    <w:rsid w:val="00761DC1"/>
    <w:rsid w:val="007640DF"/>
    <w:rsid w:val="00767654"/>
    <w:rsid w:val="00774D53"/>
    <w:rsid w:val="0078694D"/>
    <w:rsid w:val="00792524"/>
    <w:rsid w:val="007967FF"/>
    <w:rsid w:val="007A7050"/>
    <w:rsid w:val="007A7A18"/>
    <w:rsid w:val="007B1D8E"/>
    <w:rsid w:val="007B3F08"/>
    <w:rsid w:val="007C2AC1"/>
    <w:rsid w:val="007C4EB1"/>
    <w:rsid w:val="007D0DE9"/>
    <w:rsid w:val="007D1C48"/>
    <w:rsid w:val="007D3765"/>
    <w:rsid w:val="007E5C23"/>
    <w:rsid w:val="007E68F3"/>
    <w:rsid w:val="007F2E9B"/>
    <w:rsid w:val="007F4718"/>
    <w:rsid w:val="007F5E1E"/>
    <w:rsid w:val="0080262B"/>
    <w:rsid w:val="0080317E"/>
    <w:rsid w:val="008033A1"/>
    <w:rsid w:val="00805B57"/>
    <w:rsid w:val="00810312"/>
    <w:rsid w:val="0082551A"/>
    <w:rsid w:val="00831695"/>
    <w:rsid w:val="00834896"/>
    <w:rsid w:val="00837416"/>
    <w:rsid w:val="00863949"/>
    <w:rsid w:val="008678CF"/>
    <w:rsid w:val="00870751"/>
    <w:rsid w:val="008723C3"/>
    <w:rsid w:val="00873A85"/>
    <w:rsid w:val="00874BC3"/>
    <w:rsid w:val="008767CE"/>
    <w:rsid w:val="008927A0"/>
    <w:rsid w:val="0089761A"/>
    <w:rsid w:val="008A4C09"/>
    <w:rsid w:val="008A7891"/>
    <w:rsid w:val="008B14A6"/>
    <w:rsid w:val="008B1AB4"/>
    <w:rsid w:val="008B4F73"/>
    <w:rsid w:val="008C19C4"/>
    <w:rsid w:val="008C2BE8"/>
    <w:rsid w:val="008C4FF1"/>
    <w:rsid w:val="008C75B2"/>
    <w:rsid w:val="008D5DE6"/>
    <w:rsid w:val="008E2FDF"/>
    <w:rsid w:val="008F5B96"/>
    <w:rsid w:val="00900106"/>
    <w:rsid w:val="00900795"/>
    <w:rsid w:val="00902C9D"/>
    <w:rsid w:val="00912273"/>
    <w:rsid w:val="0091603A"/>
    <w:rsid w:val="0092766E"/>
    <w:rsid w:val="00932B35"/>
    <w:rsid w:val="00933922"/>
    <w:rsid w:val="00935C75"/>
    <w:rsid w:val="00964DB3"/>
    <w:rsid w:val="00967F07"/>
    <w:rsid w:val="00972CCD"/>
    <w:rsid w:val="009732C5"/>
    <w:rsid w:val="00975BA8"/>
    <w:rsid w:val="00975CA7"/>
    <w:rsid w:val="00976701"/>
    <w:rsid w:val="00976971"/>
    <w:rsid w:val="00977364"/>
    <w:rsid w:val="00980BD8"/>
    <w:rsid w:val="00990E6C"/>
    <w:rsid w:val="009A0517"/>
    <w:rsid w:val="009A4055"/>
    <w:rsid w:val="009C3FDD"/>
    <w:rsid w:val="009D06A1"/>
    <w:rsid w:val="009D1D25"/>
    <w:rsid w:val="009D2502"/>
    <w:rsid w:val="009D539F"/>
    <w:rsid w:val="009D63BC"/>
    <w:rsid w:val="009E06CC"/>
    <w:rsid w:val="009E19AA"/>
    <w:rsid w:val="009E4AA6"/>
    <w:rsid w:val="009F598B"/>
    <w:rsid w:val="009F66FE"/>
    <w:rsid w:val="009F7261"/>
    <w:rsid w:val="00A00FDB"/>
    <w:rsid w:val="00A018BA"/>
    <w:rsid w:val="00A01E0B"/>
    <w:rsid w:val="00A029E7"/>
    <w:rsid w:val="00A051FB"/>
    <w:rsid w:val="00A06583"/>
    <w:rsid w:val="00A1052C"/>
    <w:rsid w:val="00A167E1"/>
    <w:rsid w:val="00A24DE7"/>
    <w:rsid w:val="00A25A8D"/>
    <w:rsid w:val="00A30C9E"/>
    <w:rsid w:val="00A3197A"/>
    <w:rsid w:val="00A32F36"/>
    <w:rsid w:val="00A34964"/>
    <w:rsid w:val="00A572A0"/>
    <w:rsid w:val="00A6703F"/>
    <w:rsid w:val="00A836BC"/>
    <w:rsid w:val="00A85AC4"/>
    <w:rsid w:val="00A904A9"/>
    <w:rsid w:val="00A933CB"/>
    <w:rsid w:val="00A94957"/>
    <w:rsid w:val="00A95B1E"/>
    <w:rsid w:val="00A96CC9"/>
    <w:rsid w:val="00A97831"/>
    <w:rsid w:val="00AA2591"/>
    <w:rsid w:val="00AA3690"/>
    <w:rsid w:val="00AB1469"/>
    <w:rsid w:val="00AB5637"/>
    <w:rsid w:val="00AB659F"/>
    <w:rsid w:val="00AB779B"/>
    <w:rsid w:val="00AC2C23"/>
    <w:rsid w:val="00AC54A6"/>
    <w:rsid w:val="00AC5A30"/>
    <w:rsid w:val="00AC5FC2"/>
    <w:rsid w:val="00AC615B"/>
    <w:rsid w:val="00AD0CE4"/>
    <w:rsid w:val="00AE12F4"/>
    <w:rsid w:val="00AE2E69"/>
    <w:rsid w:val="00AE3A0B"/>
    <w:rsid w:val="00AE6B7A"/>
    <w:rsid w:val="00AE720D"/>
    <w:rsid w:val="00AF734A"/>
    <w:rsid w:val="00AF7BAB"/>
    <w:rsid w:val="00B010F5"/>
    <w:rsid w:val="00B04A5D"/>
    <w:rsid w:val="00B0556F"/>
    <w:rsid w:val="00B064A2"/>
    <w:rsid w:val="00B06DBF"/>
    <w:rsid w:val="00B11DFE"/>
    <w:rsid w:val="00B15601"/>
    <w:rsid w:val="00B17F8F"/>
    <w:rsid w:val="00B228FA"/>
    <w:rsid w:val="00B238F4"/>
    <w:rsid w:val="00B352AB"/>
    <w:rsid w:val="00B373FE"/>
    <w:rsid w:val="00B43C70"/>
    <w:rsid w:val="00B46D9E"/>
    <w:rsid w:val="00B5062D"/>
    <w:rsid w:val="00B53321"/>
    <w:rsid w:val="00B539B4"/>
    <w:rsid w:val="00B544F8"/>
    <w:rsid w:val="00B6448D"/>
    <w:rsid w:val="00B65933"/>
    <w:rsid w:val="00B7090D"/>
    <w:rsid w:val="00B7153C"/>
    <w:rsid w:val="00B76B5D"/>
    <w:rsid w:val="00B80A20"/>
    <w:rsid w:val="00B80B89"/>
    <w:rsid w:val="00B81DF4"/>
    <w:rsid w:val="00B822A3"/>
    <w:rsid w:val="00B82C05"/>
    <w:rsid w:val="00B84B3B"/>
    <w:rsid w:val="00BA3DC2"/>
    <w:rsid w:val="00BA7F27"/>
    <w:rsid w:val="00BB3618"/>
    <w:rsid w:val="00BB61E9"/>
    <w:rsid w:val="00BC4EB7"/>
    <w:rsid w:val="00BC6FBB"/>
    <w:rsid w:val="00BD2909"/>
    <w:rsid w:val="00BD35C4"/>
    <w:rsid w:val="00BD4AED"/>
    <w:rsid w:val="00BD73DC"/>
    <w:rsid w:val="00BE106B"/>
    <w:rsid w:val="00BE1AB8"/>
    <w:rsid w:val="00BE387A"/>
    <w:rsid w:val="00BE58F6"/>
    <w:rsid w:val="00BF214D"/>
    <w:rsid w:val="00C11C7B"/>
    <w:rsid w:val="00C16778"/>
    <w:rsid w:val="00C2040D"/>
    <w:rsid w:val="00C262C9"/>
    <w:rsid w:val="00C361AA"/>
    <w:rsid w:val="00C36612"/>
    <w:rsid w:val="00C36D78"/>
    <w:rsid w:val="00C43586"/>
    <w:rsid w:val="00C6212D"/>
    <w:rsid w:val="00C648B8"/>
    <w:rsid w:val="00C67C90"/>
    <w:rsid w:val="00C70110"/>
    <w:rsid w:val="00C74DB9"/>
    <w:rsid w:val="00C848CE"/>
    <w:rsid w:val="00C9155D"/>
    <w:rsid w:val="00C96C19"/>
    <w:rsid w:val="00C9721C"/>
    <w:rsid w:val="00C97248"/>
    <w:rsid w:val="00CA0977"/>
    <w:rsid w:val="00CA5F6B"/>
    <w:rsid w:val="00CB421E"/>
    <w:rsid w:val="00CC34CF"/>
    <w:rsid w:val="00CC53BB"/>
    <w:rsid w:val="00CD0246"/>
    <w:rsid w:val="00CD37BB"/>
    <w:rsid w:val="00CD5761"/>
    <w:rsid w:val="00CE0B76"/>
    <w:rsid w:val="00CE2B2F"/>
    <w:rsid w:val="00CE3BAE"/>
    <w:rsid w:val="00CF7569"/>
    <w:rsid w:val="00CF781A"/>
    <w:rsid w:val="00D01489"/>
    <w:rsid w:val="00D019A9"/>
    <w:rsid w:val="00D02BBA"/>
    <w:rsid w:val="00D040F4"/>
    <w:rsid w:val="00D11DEF"/>
    <w:rsid w:val="00D121D5"/>
    <w:rsid w:val="00D17A57"/>
    <w:rsid w:val="00D20525"/>
    <w:rsid w:val="00D22956"/>
    <w:rsid w:val="00D250C6"/>
    <w:rsid w:val="00D2618D"/>
    <w:rsid w:val="00D271F3"/>
    <w:rsid w:val="00D307D7"/>
    <w:rsid w:val="00D3426D"/>
    <w:rsid w:val="00D36A69"/>
    <w:rsid w:val="00D43D4C"/>
    <w:rsid w:val="00D5059A"/>
    <w:rsid w:val="00D5118F"/>
    <w:rsid w:val="00D515DF"/>
    <w:rsid w:val="00D52692"/>
    <w:rsid w:val="00D529C5"/>
    <w:rsid w:val="00D52C3B"/>
    <w:rsid w:val="00D53225"/>
    <w:rsid w:val="00D65796"/>
    <w:rsid w:val="00D65EA8"/>
    <w:rsid w:val="00D72BC0"/>
    <w:rsid w:val="00D75B21"/>
    <w:rsid w:val="00D826DB"/>
    <w:rsid w:val="00D9077C"/>
    <w:rsid w:val="00D92FEA"/>
    <w:rsid w:val="00D958E2"/>
    <w:rsid w:val="00DB1C85"/>
    <w:rsid w:val="00DB291B"/>
    <w:rsid w:val="00DB4A11"/>
    <w:rsid w:val="00DB6E1D"/>
    <w:rsid w:val="00DB6EB9"/>
    <w:rsid w:val="00DB71F9"/>
    <w:rsid w:val="00DC1373"/>
    <w:rsid w:val="00DD461D"/>
    <w:rsid w:val="00DD75B5"/>
    <w:rsid w:val="00DE5C90"/>
    <w:rsid w:val="00DF6902"/>
    <w:rsid w:val="00DF7E2F"/>
    <w:rsid w:val="00E01C02"/>
    <w:rsid w:val="00E06C77"/>
    <w:rsid w:val="00E07C73"/>
    <w:rsid w:val="00E132EA"/>
    <w:rsid w:val="00E21946"/>
    <w:rsid w:val="00E23E04"/>
    <w:rsid w:val="00E24F85"/>
    <w:rsid w:val="00E30126"/>
    <w:rsid w:val="00E3031D"/>
    <w:rsid w:val="00E34CCA"/>
    <w:rsid w:val="00E35FA2"/>
    <w:rsid w:val="00E54244"/>
    <w:rsid w:val="00E61D18"/>
    <w:rsid w:val="00E63CE0"/>
    <w:rsid w:val="00E674AE"/>
    <w:rsid w:val="00E67F46"/>
    <w:rsid w:val="00E71803"/>
    <w:rsid w:val="00E72DBE"/>
    <w:rsid w:val="00E742FD"/>
    <w:rsid w:val="00E761AB"/>
    <w:rsid w:val="00E7626C"/>
    <w:rsid w:val="00E8446A"/>
    <w:rsid w:val="00E913B6"/>
    <w:rsid w:val="00E93A18"/>
    <w:rsid w:val="00E973F2"/>
    <w:rsid w:val="00EA0580"/>
    <w:rsid w:val="00EB416B"/>
    <w:rsid w:val="00EC0455"/>
    <w:rsid w:val="00EC06B5"/>
    <w:rsid w:val="00ED17B2"/>
    <w:rsid w:val="00ED1C62"/>
    <w:rsid w:val="00EE0926"/>
    <w:rsid w:val="00EE7BDC"/>
    <w:rsid w:val="00EF38EC"/>
    <w:rsid w:val="00EF6A3A"/>
    <w:rsid w:val="00F00380"/>
    <w:rsid w:val="00F019F8"/>
    <w:rsid w:val="00F06EC5"/>
    <w:rsid w:val="00F13A0B"/>
    <w:rsid w:val="00F14ACA"/>
    <w:rsid w:val="00F246CA"/>
    <w:rsid w:val="00F27D65"/>
    <w:rsid w:val="00F32170"/>
    <w:rsid w:val="00F3655E"/>
    <w:rsid w:val="00F40D88"/>
    <w:rsid w:val="00F411F7"/>
    <w:rsid w:val="00F41953"/>
    <w:rsid w:val="00F44D41"/>
    <w:rsid w:val="00F44F89"/>
    <w:rsid w:val="00F52F55"/>
    <w:rsid w:val="00F565F3"/>
    <w:rsid w:val="00F56643"/>
    <w:rsid w:val="00F6273E"/>
    <w:rsid w:val="00F70495"/>
    <w:rsid w:val="00F7786F"/>
    <w:rsid w:val="00F822BF"/>
    <w:rsid w:val="00F83240"/>
    <w:rsid w:val="00F9104A"/>
    <w:rsid w:val="00F91371"/>
    <w:rsid w:val="00F94FB2"/>
    <w:rsid w:val="00FA0979"/>
    <w:rsid w:val="00FA0A82"/>
    <w:rsid w:val="00FA2E82"/>
    <w:rsid w:val="00FA4675"/>
    <w:rsid w:val="00FB21A9"/>
    <w:rsid w:val="00FB4766"/>
    <w:rsid w:val="00FC15C7"/>
    <w:rsid w:val="00FC62D1"/>
    <w:rsid w:val="00FC7345"/>
    <w:rsid w:val="00FD20B5"/>
    <w:rsid w:val="00FD49C7"/>
    <w:rsid w:val="00FD7DBB"/>
    <w:rsid w:val="00FE0A9D"/>
    <w:rsid w:val="00FE2ED4"/>
    <w:rsid w:val="00FE4355"/>
    <w:rsid w:val="00FE4A84"/>
    <w:rsid w:val="00FE5ACF"/>
    <w:rsid w:val="00FE6BE9"/>
    <w:rsid w:val="00FE752C"/>
    <w:rsid w:val="00FE771E"/>
    <w:rsid w:val="00FF004F"/>
    <w:rsid w:val="00FF19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tfsa.co.z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SHERRYL\ETFSA\Website\WEB%20-%20News\2020\market%20cap%202008%20to%20Sept202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18670218184550896"/>
          <c:w val="0.86395859396080166"/>
          <c:h val="0.61430549177111082"/>
        </c:manualLayout>
      </c:layout>
      <c:bar3DChart>
        <c:barDir val="col"/>
        <c:grouping val="clustered"/>
        <c:varyColors val="0"/>
        <c:ser>
          <c:idx val="0"/>
          <c:order val="0"/>
          <c:tx>
            <c:strRef>
              <c:f>'[market cap 2008 to Sept2020.xlsx]Sheet1'!$B$1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34-4161-AB71-73E17F9838FE}"/>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34-4161-AB71-73E17F9838FE}"/>
                </c:ext>
              </c:extLst>
            </c:dLbl>
            <c:dLbl>
              <c:idx val="8"/>
              <c:layout>
                <c:manualLayout>
                  <c:x val="9.1380045096816403E-17"/>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34-4161-AB71-73E17F9838FE}"/>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34-4161-AB71-73E17F9838F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'[market cap 2008 to Sept2020.xlsx]Sheet1'!$A$2:$A$14</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formatCode="mmm\-yy">
                  <c:v>44104</c:v>
                </c:pt>
              </c:numCache>
            </c:numRef>
          </c:cat>
          <c:val>
            <c:numRef>
              <c:f>'[market cap 2008 to Sept2020.xlsx]Sheet1'!$B$2:$B$14</c:f>
              <c:numCache>
                <c:formatCode>General</c:formatCode>
                <c:ptCount val="13"/>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112929</c:v>
                </c:pt>
              </c:numCache>
            </c:numRef>
          </c:val>
          <c:extLst>
            <c:ext xmlns:c16="http://schemas.microsoft.com/office/drawing/2014/chart" uri="{C3380CC4-5D6E-409C-BE32-E72D297353CC}">
              <c16:uniqueId val="{00000004-1634-4161-AB71-73E17F9838FE}"/>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0.19406</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1047763" y="27635"/>
          <a:ext cx="2771748" cy="553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a:t>
          </a:r>
        </a:p>
      </cdr:txBody>
    </cdr:sp>
  </cdr:relSizeAnchor>
  <cdr:relSizeAnchor xmlns:cdr="http://schemas.openxmlformats.org/drawingml/2006/chartDrawing">
    <cdr:from>
      <cdr:x>0.00125</cdr:x>
      <cdr:y>0.10074</cdr:y>
    </cdr:from>
    <cdr:to>
      <cdr:x>0.18069</cdr:x>
      <cdr:y>0.19618</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6350" y="301626"/>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0.49221</cdr:x>
      <cdr:y>0.90668</cdr:y>
    </cdr:from>
    <cdr:to>
      <cdr:x>0.67165</cdr:x>
      <cdr:y>0.99152</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508219" y="2714616"/>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0.02243</cdr:x>
      <cdr:y>0.91516</cdr:y>
    </cdr:from>
    <cdr:to>
      <cdr:x>0.20187</cdr:x>
      <cdr:y>1</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114300" y="2740012"/>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7</cp:revision>
  <cp:lastPrinted>2020-10-14T09:04:00Z</cp:lastPrinted>
  <dcterms:created xsi:type="dcterms:W3CDTF">2020-10-13T12:43:00Z</dcterms:created>
  <dcterms:modified xsi:type="dcterms:W3CDTF">2020-10-14T09:05:00Z</dcterms:modified>
</cp:coreProperties>
</file>