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66128" w:rsidRPr="00A67DF1" w:rsidRDefault="00866128" w:rsidP="0063013B">
      <w:pPr>
        <w:tabs>
          <w:tab w:val="left" w:pos="4090"/>
        </w:tabs>
        <w:suppressAutoHyphens/>
        <w:spacing w:line="270" w:lineRule="exact"/>
        <w:ind w:right="-121"/>
        <w:rPr>
          <w:rFonts w:ascii="Arial Narrow" w:hAnsi="Arial Narrow" w:cs="Arial"/>
          <w:bCs/>
          <w:sz w:val="20"/>
          <w:szCs w:val="20"/>
          <w:lang w:eastAsia="ar-SA"/>
        </w:rPr>
      </w:pPr>
      <w:r w:rsidRPr="00A67DF1">
        <w:rPr>
          <w:rFonts w:ascii="Arial Narrow" w:hAnsi="Arial Narrow" w:cs="Arial"/>
          <w:bCs/>
          <w:sz w:val="20"/>
          <w:szCs w:val="20"/>
          <w:lang w:eastAsia="ar-SA"/>
        </w:rPr>
        <w:t xml:space="preserve">Paris, </w:t>
      </w:r>
      <w:r w:rsidR="000A758E" w:rsidRPr="00A67DF1">
        <w:rPr>
          <w:rFonts w:ascii="Arial Narrow" w:hAnsi="Arial Narrow" w:cs="Arial"/>
          <w:bCs/>
          <w:sz w:val="20"/>
          <w:szCs w:val="20"/>
          <w:lang w:eastAsia="ar-SA"/>
        </w:rPr>
        <w:t>2</w:t>
      </w:r>
      <w:r w:rsidR="009E3348" w:rsidRPr="00A67DF1">
        <w:rPr>
          <w:rFonts w:ascii="Arial Narrow" w:hAnsi="Arial Narrow" w:cs="Arial"/>
          <w:bCs/>
          <w:sz w:val="20"/>
          <w:szCs w:val="20"/>
          <w:lang w:eastAsia="ar-SA"/>
        </w:rPr>
        <w:t>9</w:t>
      </w:r>
      <w:r w:rsidR="00F46EBB" w:rsidRPr="00A67DF1">
        <w:rPr>
          <w:rFonts w:ascii="Arial Narrow" w:hAnsi="Arial Narrow" w:cs="Arial"/>
          <w:bCs/>
          <w:sz w:val="20"/>
          <w:szCs w:val="20"/>
          <w:lang w:eastAsia="ar-SA"/>
        </w:rPr>
        <w:t xml:space="preserve"> </w:t>
      </w:r>
      <w:r w:rsidR="00A64776" w:rsidRPr="00A67DF1">
        <w:rPr>
          <w:rFonts w:ascii="Arial Narrow" w:hAnsi="Arial Narrow" w:cs="Arial"/>
          <w:bCs/>
          <w:sz w:val="20"/>
          <w:szCs w:val="20"/>
          <w:lang w:eastAsia="ar-SA"/>
        </w:rPr>
        <w:t xml:space="preserve">July </w:t>
      </w:r>
      <w:r w:rsidR="009E3348" w:rsidRPr="00A67DF1">
        <w:rPr>
          <w:rFonts w:ascii="Arial Narrow" w:hAnsi="Arial Narrow" w:cs="Arial"/>
          <w:bCs/>
          <w:sz w:val="20"/>
          <w:szCs w:val="20"/>
          <w:lang w:eastAsia="ar-SA"/>
        </w:rPr>
        <w:t>2020</w:t>
      </w:r>
      <w:r w:rsidR="006063E5" w:rsidRPr="00A67DF1">
        <w:rPr>
          <w:rFonts w:ascii="Arial Narrow" w:hAnsi="Arial Narrow" w:cs="Arial"/>
          <w:bCs/>
          <w:sz w:val="20"/>
          <w:szCs w:val="20"/>
          <w:lang w:eastAsia="ar-SA"/>
        </w:rPr>
        <w:t xml:space="preserve"> </w:t>
      </w:r>
      <w:r w:rsidR="00A64776" w:rsidRPr="00A67DF1">
        <w:rPr>
          <w:rFonts w:ascii="Arial Narrow" w:hAnsi="Arial Narrow" w:cs="Arial"/>
          <w:bCs/>
          <w:sz w:val="20"/>
          <w:szCs w:val="20"/>
          <w:lang w:eastAsia="ar-SA"/>
        </w:rPr>
        <w:t>– 17:35</w:t>
      </w:r>
    </w:p>
    <w:p w:rsidR="00F01EEF" w:rsidRPr="001C5813" w:rsidRDefault="00F01EEF" w:rsidP="00F01EEF">
      <w:pPr>
        <w:spacing w:before="240" w:after="240"/>
        <w:ind w:right="-119"/>
        <w:rPr>
          <w:rFonts w:ascii="Arial Narrow" w:hAnsi="Arial Narrow" w:cs="Arial"/>
          <w:b/>
          <w:bCs/>
          <w:sz w:val="28"/>
          <w:szCs w:val="26"/>
          <w:lang w:eastAsia="ar-SA"/>
        </w:rPr>
      </w:pPr>
      <w:r w:rsidRPr="001C5813">
        <w:rPr>
          <w:rFonts w:ascii="Arial Narrow" w:hAnsi="Arial Narrow" w:cs="Arial"/>
          <w:b/>
          <w:bCs/>
          <w:sz w:val="28"/>
          <w:szCs w:val="26"/>
          <w:lang w:eastAsia="ar-SA"/>
        </w:rPr>
        <w:t xml:space="preserve">Coface reports </w:t>
      </w:r>
      <w:r w:rsidR="006D584F">
        <w:rPr>
          <w:rFonts w:ascii="Arial Narrow" w:hAnsi="Arial Narrow" w:cs="Arial"/>
          <w:b/>
          <w:bCs/>
          <w:sz w:val="28"/>
          <w:szCs w:val="26"/>
          <w:lang w:eastAsia="ar-SA"/>
        </w:rPr>
        <w:t xml:space="preserve">a positive </w:t>
      </w:r>
      <w:r w:rsidRPr="001C5813">
        <w:rPr>
          <w:rFonts w:ascii="Arial Narrow" w:hAnsi="Arial Narrow" w:cs="Arial"/>
          <w:b/>
          <w:bCs/>
          <w:sz w:val="28"/>
          <w:szCs w:val="26"/>
          <w:lang w:eastAsia="ar-SA"/>
        </w:rPr>
        <w:t>net income of €11.3m for the second quarter</w:t>
      </w:r>
      <w:r w:rsidR="0076463B">
        <w:rPr>
          <w:rFonts w:ascii="Arial Narrow" w:hAnsi="Arial Narrow" w:cs="Arial"/>
          <w:b/>
          <w:bCs/>
          <w:sz w:val="28"/>
          <w:szCs w:val="26"/>
          <w:lang w:eastAsia="ar-SA"/>
        </w:rPr>
        <w:t xml:space="preserve"> 2020</w:t>
      </w:r>
      <w:r w:rsidRPr="001C5813">
        <w:rPr>
          <w:rFonts w:ascii="Arial Narrow" w:hAnsi="Arial Narrow" w:cs="Arial"/>
          <w:b/>
          <w:bCs/>
          <w:sz w:val="28"/>
          <w:szCs w:val="26"/>
          <w:lang w:eastAsia="ar-SA"/>
        </w:rPr>
        <w:t xml:space="preserve"> and continues to </w:t>
      </w:r>
      <w:r w:rsidR="00A67DF1" w:rsidRPr="001C5813">
        <w:rPr>
          <w:rFonts w:ascii="Arial Narrow" w:hAnsi="Arial Narrow" w:cs="Arial"/>
          <w:b/>
          <w:bCs/>
          <w:sz w:val="28"/>
          <w:szCs w:val="26"/>
          <w:lang w:eastAsia="ar-SA"/>
        </w:rPr>
        <w:t>implement its strategic plan</w:t>
      </w:r>
    </w:p>
    <w:p w:rsidR="00D851A0" w:rsidRPr="001C5813" w:rsidRDefault="00D851A0" w:rsidP="00D851A0">
      <w:pPr>
        <w:widowControl/>
        <w:numPr>
          <w:ilvl w:val="0"/>
          <w:numId w:val="15"/>
        </w:numPr>
        <w:tabs>
          <w:tab w:val="clear" w:pos="720"/>
          <w:tab w:val="num" w:pos="284"/>
          <w:tab w:val="num" w:pos="3600"/>
        </w:tabs>
        <w:spacing w:before="120" w:after="100" w:afterAutospacing="1" w:line="276" w:lineRule="auto"/>
        <w:ind w:left="714" w:hanging="714"/>
        <w:rPr>
          <w:rFonts w:ascii="Arial Narrow" w:hAnsi="Arial Narrow" w:cs="Arial"/>
          <w:b/>
          <w:bCs/>
          <w:sz w:val="20"/>
          <w:szCs w:val="20"/>
          <w:lang w:eastAsia="ar-SA"/>
        </w:rPr>
      </w:pPr>
      <w:r w:rsidRPr="001C5813">
        <w:rPr>
          <w:rFonts w:ascii="Arial Narrow" w:hAnsi="Arial Narrow" w:cs="Arial"/>
          <w:b/>
          <w:bCs/>
          <w:sz w:val="20"/>
          <w:szCs w:val="20"/>
          <w:lang w:eastAsia="ar-SA"/>
        </w:rPr>
        <w:t>Turnover</w:t>
      </w:r>
      <w:r w:rsidR="004B73CA">
        <w:rPr>
          <w:rFonts w:ascii="Arial Narrow" w:hAnsi="Arial Narrow" w:cs="Arial"/>
          <w:b/>
          <w:bCs/>
          <w:sz w:val="20"/>
          <w:szCs w:val="20"/>
          <w:lang w:eastAsia="ar-SA"/>
        </w:rPr>
        <w:t xml:space="preserve"> for the first semester</w:t>
      </w:r>
      <w:r w:rsidRPr="001C5813">
        <w:rPr>
          <w:rFonts w:ascii="Arial Narrow" w:hAnsi="Arial Narrow" w:cs="Arial"/>
          <w:b/>
          <w:bCs/>
          <w:sz w:val="20"/>
          <w:szCs w:val="20"/>
          <w:lang w:eastAsia="ar-SA"/>
        </w:rPr>
        <w:t>: €725m, down 0.6% at constant FX and perimeter</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Client retention and new business achieve record levels, with a positive net production of €33m</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First effects of re-pricing are now visible (+0.2%)</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Revenues from services progress by 7%, including information services up by 13%</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Client activities continue to slowdown – a trend expected to continue over the following quarters</w:t>
      </w:r>
    </w:p>
    <w:p w:rsidR="00D851A0" w:rsidRPr="001C5813" w:rsidRDefault="00D851A0" w:rsidP="00D851A0">
      <w:pPr>
        <w:widowControl/>
        <w:numPr>
          <w:ilvl w:val="0"/>
          <w:numId w:val="15"/>
        </w:numPr>
        <w:tabs>
          <w:tab w:val="clear" w:pos="720"/>
          <w:tab w:val="num" w:pos="284"/>
          <w:tab w:val="num" w:pos="3600"/>
        </w:tabs>
        <w:spacing w:before="120" w:after="100" w:afterAutospacing="1" w:line="276" w:lineRule="auto"/>
        <w:ind w:left="714" w:hanging="714"/>
        <w:rPr>
          <w:rFonts w:ascii="Arial Narrow" w:hAnsi="Arial Narrow" w:cs="Arial"/>
          <w:b/>
          <w:bCs/>
          <w:sz w:val="20"/>
          <w:szCs w:val="20"/>
          <w:lang w:eastAsia="ar-SA"/>
        </w:rPr>
      </w:pPr>
      <w:r w:rsidRPr="001C5813">
        <w:rPr>
          <w:rFonts w:ascii="Arial Narrow" w:hAnsi="Arial Narrow" w:cs="Arial"/>
          <w:b/>
          <w:bCs/>
          <w:sz w:val="20"/>
          <w:szCs w:val="20"/>
          <w:lang w:eastAsia="ar-SA"/>
        </w:rPr>
        <w:t xml:space="preserve">Net loss ratio of 57.4%, up by 13.4 </w:t>
      </w:r>
      <w:proofErr w:type="spellStart"/>
      <w:r w:rsidRPr="001C5813">
        <w:rPr>
          <w:rFonts w:ascii="Arial Narrow" w:hAnsi="Arial Narrow" w:cs="Arial"/>
          <w:b/>
          <w:bCs/>
          <w:sz w:val="20"/>
          <w:szCs w:val="20"/>
          <w:lang w:eastAsia="ar-SA"/>
        </w:rPr>
        <w:t>ppts</w:t>
      </w:r>
      <w:proofErr w:type="spellEnd"/>
      <w:r w:rsidRPr="001C5813">
        <w:rPr>
          <w:rFonts w:ascii="Arial Narrow" w:hAnsi="Arial Narrow" w:cs="Arial"/>
          <w:b/>
          <w:bCs/>
          <w:sz w:val="20"/>
          <w:szCs w:val="20"/>
          <w:lang w:eastAsia="ar-SA"/>
        </w:rPr>
        <w:t>; net combined ratio of 88.6% (91.4% for Q2-2020)</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 xml:space="preserve">Gross loss ratio increased by 18.1 </w:t>
      </w:r>
      <w:proofErr w:type="spellStart"/>
      <w:r w:rsidRPr="001C5813">
        <w:rPr>
          <w:rFonts w:ascii="Arial Narrow" w:hAnsi="Arial Narrow" w:cs="Arial"/>
          <w:bCs/>
          <w:sz w:val="20"/>
          <w:szCs w:val="20"/>
          <w:lang w:eastAsia="ar-SA"/>
        </w:rPr>
        <w:t>ppts</w:t>
      </w:r>
      <w:proofErr w:type="spellEnd"/>
      <w:r w:rsidRPr="001C5813">
        <w:rPr>
          <w:rFonts w:ascii="Arial Narrow" w:hAnsi="Arial Narrow" w:cs="Arial"/>
          <w:bCs/>
          <w:sz w:val="20"/>
          <w:szCs w:val="20"/>
          <w:lang w:eastAsia="ar-SA"/>
        </w:rPr>
        <w:t>, mainly driven by higher provisions for an anticipated rise in claim frequencies</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 xml:space="preserve">Net loss ratio only increased by 13.4 </w:t>
      </w:r>
      <w:proofErr w:type="spellStart"/>
      <w:r w:rsidRPr="001C5813">
        <w:rPr>
          <w:rFonts w:ascii="Arial Narrow" w:hAnsi="Arial Narrow" w:cs="Arial"/>
          <w:bCs/>
          <w:sz w:val="20"/>
          <w:szCs w:val="20"/>
          <w:lang w:eastAsia="ar-SA"/>
        </w:rPr>
        <w:t>ppts</w:t>
      </w:r>
      <w:proofErr w:type="spellEnd"/>
      <w:r w:rsidRPr="001C5813">
        <w:rPr>
          <w:rFonts w:ascii="Arial Narrow" w:hAnsi="Arial Narrow" w:cs="Arial"/>
          <w:bCs/>
          <w:sz w:val="20"/>
          <w:szCs w:val="20"/>
          <w:lang w:eastAsia="ar-SA"/>
        </w:rPr>
        <w:t>, as government schemes come into play</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 xml:space="preserve">Net cost ratio down by 0.8 </w:t>
      </w:r>
      <w:proofErr w:type="spellStart"/>
      <w:r w:rsidRPr="001C5813">
        <w:rPr>
          <w:rFonts w:ascii="Arial Narrow" w:hAnsi="Arial Narrow" w:cs="Arial"/>
          <w:bCs/>
          <w:sz w:val="20"/>
          <w:szCs w:val="20"/>
          <w:lang w:eastAsia="ar-SA"/>
        </w:rPr>
        <w:t>ppt</w:t>
      </w:r>
      <w:proofErr w:type="spellEnd"/>
      <w:r w:rsidRPr="001C5813">
        <w:rPr>
          <w:rFonts w:ascii="Arial Narrow" w:hAnsi="Arial Narrow" w:cs="Arial"/>
          <w:bCs/>
          <w:sz w:val="20"/>
          <w:szCs w:val="20"/>
          <w:lang w:eastAsia="ar-SA"/>
        </w:rPr>
        <w:t xml:space="preserve"> to 31.2%, reflecting strict cost discipline and growing service revenues</w:t>
      </w:r>
    </w:p>
    <w:p w:rsidR="00D851A0" w:rsidRPr="001C5813" w:rsidRDefault="00D851A0" w:rsidP="00D851A0">
      <w:pPr>
        <w:widowControl/>
        <w:numPr>
          <w:ilvl w:val="0"/>
          <w:numId w:val="15"/>
        </w:numPr>
        <w:tabs>
          <w:tab w:val="clear" w:pos="720"/>
          <w:tab w:val="num" w:pos="284"/>
          <w:tab w:val="num" w:pos="3600"/>
        </w:tabs>
        <w:spacing w:before="120" w:after="100" w:afterAutospacing="1" w:line="276" w:lineRule="auto"/>
        <w:ind w:left="714" w:hanging="714"/>
        <w:rPr>
          <w:rFonts w:ascii="Arial Narrow" w:hAnsi="Arial Narrow" w:cs="Arial"/>
          <w:b/>
          <w:bCs/>
          <w:sz w:val="20"/>
          <w:szCs w:val="20"/>
          <w:lang w:eastAsia="ar-SA"/>
        </w:rPr>
      </w:pPr>
      <w:r w:rsidRPr="001C5813">
        <w:rPr>
          <w:rFonts w:ascii="Arial Narrow" w:hAnsi="Arial Narrow" w:cs="Arial"/>
          <w:b/>
          <w:bCs/>
          <w:sz w:val="20"/>
          <w:szCs w:val="20"/>
          <w:lang w:eastAsia="ar-SA"/>
        </w:rPr>
        <w:t>Net income (group share) of €24.0m, of which €11.3m for Q2-2020; annualised RoATE</w:t>
      </w:r>
      <w:r w:rsidRPr="006D584F">
        <w:rPr>
          <w:rFonts w:ascii="Arial Narrow" w:hAnsi="Arial Narrow" w:cs="Arial"/>
          <w:b/>
          <w:bCs/>
          <w:sz w:val="20"/>
          <w:szCs w:val="20"/>
          <w:vertAlign w:val="superscript"/>
          <w:lang w:eastAsia="ar-SA"/>
        </w:rPr>
        <w:t>1</w:t>
      </w:r>
      <w:r w:rsidRPr="001C5813">
        <w:rPr>
          <w:rFonts w:ascii="Arial Narrow" w:hAnsi="Arial Narrow" w:cs="Arial"/>
          <w:b/>
          <w:bCs/>
          <w:sz w:val="20"/>
          <w:szCs w:val="20"/>
          <w:lang w:eastAsia="ar-SA"/>
        </w:rPr>
        <w:t xml:space="preserve"> of 2.8%</w:t>
      </w:r>
    </w:p>
    <w:p w:rsidR="00D851A0" w:rsidRPr="001C5813" w:rsidRDefault="00D851A0" w:rsidP="00D851A0">
      <w:pPr>
        <w:widowControl/>
        <w:numPr>
          <w:ilvl w:val="0"/>
          <w:numId w:val="15"/>
        </w:numPr>
        <w:tabs>
          <w:tab w:val="clear" w:pos="720"/>
          <w:tab w:val="num" w:pos="284"/>
          <w:tab w:val="num" w:pos="3600"/>
        </w:tabs>
        <w:spacing w:before="120" w:after="100" w:afterAutospacing="1" w:line="276" w:lineRule="auto"/>
        <w:ind w:left="284" w:hanging="284"/>
        <w:rPr>
          <w:rFonts w:ascii="Arial Narrow" w:hAnsi="Arial Narrow" w:cs="Arial"/>
          <w:b/>
          <w:bCs/>
          <w:sz w:val="20"/>
          <w:szCs w:val="20"/>
          <w:lang w:eastAsia="ar-SA"/>
        </w:rPr>
      </w:pPr>
      <w:r w:rsidRPr="001C5813">
        <w:rPr>
          <w:rFonts w:ascii="Arial Narrow" w:hAnsi="Arial Narrow" w:cs="Arial"/>
          <w:b/>
          <w:bCs/>
          <w:sz w:val="20"/>
          <w:szCs w:val="20"/>
          <w:lang w:eastAsia="ar-SA"/>
        </w:rPr>
        <w:t>Estimated Solvency ratio at 1</w:t>
      </w:r>
      <w:r w:rsidR="00497236">
        <w:rPr>
          <w:rFonts w:ascii="Arial Narrow" w:hAnsi="Arial Narrow" w:cs="Arial"/>
          <w:b/>
          <w:bCs/>
          <w:sz w:val="20"/>
          <w:szCs w:val="20"/>
          <w:lang w:eastAsia="ar-SA"/>
        </w:rPr>
        <w:t>91</w:t>
      </w:r>
      <w:r w:rsidRPr="001C5813">
        <w:rPr>
          <w:rFonts w:ascii="Arial Narrow" w:hAnsi="Arial Narrow" w:cs="Arial"/>
          <w:b/>
          <w:bCs/>
          <w:sz w:val="20"/>
          <w:szCs w:val="20"/>
          <w:lang w:eastAsia="ar-SA"/>
        </w:rPr>
        <w:t>%</w:t>
      </w:r>
      <w:r w:rsidRPr="001C5813">
        <w:rPr>
          <w:rFonts w:ascii="Arial Narrow" w:hAnsi="Arial Narrow" w:cs="Arial"/>
          <w:b/>
          <w:bCs/>
          <w:sz w:val="20"/>
          <w:szCs w:val="20"/>
          <w:vertAlign w:val="superscript"/>
          <w:lang w:eastAsia="ar-SA"/>
        </w:rPr>
        <w:t>2</w:t>
      </w:r>
      <w:r w:rsidR="00472FBF">
        <w:rPr>
          <w:rFonts w:ascii="Arial Narrow" w:hAnsi="Arial Narrow" w:cs="Arial"/>
          <w:b/>
          <w:bCs/>
          <w:sz w:val="20"/>
          <w:szCs w:val="20"/>
          <w:lang w:eastAsia="ar-SA"/>
        </w:rPr>
        <w:t xml:space="preserve">, and </w:t>
      </w:r>
      <w:r w:rsidR="00C872F6">
        <w:rPr>
          <w:rFonts w:ascii="Arial Narrow" w:hAnsi="Arial Narrow" w:cs="Arial"/>
          <w:b/>
          <w:bCs/>
          <w:sz w:val="20"/>
          <w:szCs w:val="20"/>
          <w:lang w:eastAsia="ar-SA"/>
        </w:rPr>
        <w:t>183</w:t>
      </w:r>
      <w:r w:rsidRPr="001C5813">
        <w:rPr>
          <w:rFonts w:ascii="Arial Narrow" w:hAnsi="Arial Narrow" w:cs="Arial"/>
          <w:b/>
          <w:bCs/>
          <w:sz w:val="20"/>
          <w:szCs w:val="20"/>
          <w:lang w:eastAsia="ar-SA"/>
        </w:rPr>
        <w:t>%</w:t>
      </w:r>
      <w:r w:rsidRPr="001C5813">
        <w:rPr>
          <w:rFonts w:ascii="Arial Narrow" w:hAnsi="Arial Narrow" w:cs="Arial"/>
          <w:b/>
          <w:bCs/>
          <w:sz w:val="20"/>
          <w:szCs w:val="20"/>
          <w:vertAlign w:val="superscript"/>
          <w:lang w:eastAsia="ar-SA"/>
        </w:rPr>
        <w:t>2</w:t>
      </w:r>
      <w:r w:rsidRPr="001C5813">
        <w:rPr>
          <w:rFonts w:ascii="Arial Narrow" w:hAnsi="Arial Narrow" w:cs="Arial"/>
          <w:b/>
          <w:bCs/>
          <w:sz w:val="20"/>
          <w:szCs w:val="20"/>
          <w:lang w:eastAsia="ar-SA"/>
        </w:rPr>
        <w:t xml:space="preserve"> excluding government schemes, above the target range (155% - 175%)</w:t>
      </w:r>
    </w:p>
    <w:p w:rsidR="00D851A0" w:rsidRPr="001C5813" w:rsidRDefault="00D851A0" w:rsidP="00D851A0">
      <w:pPr>
        <w:widowControl/>
        <w:numPr>
          <w:ilvl w:val="0"/>
          <w:numId w:val="15"/>
        </w:numPr>
        <w:tabs>
          <w:tab w:val="clear" w:pos="720"/>
          <w:tab w:val="num" w:pos="284"/>
          <w:tab w:val="num" w:pos="3600"/>
        </w:tabs>
        <w:spacing w:before="120" w:after="100" w:afterAutospacing="1" w:line="276" w:lineRule="auto"/>
        <w:ind w:left="714" w:hanging="714"/>
        <w:rPr>
          <w:rFonts w:ascii="Arial Narrow" w:hAnsi="Arial Narrow" w:cs="Arial"/>
          <w:b/>
          <w:bCs/>
          <w:sz w:val="20"/>
          <w:szCs w:val="20"/>
          <w:lang w:eastAsia="ar-SA"/>
        </w:rPr>
      </w:pPr>
      <w:r w:rsidRPr="001C5813">
        <w:rPr>
          <w:rFonts w:ascii="Arial Narrow" w:hAnsi="Arial Narrow" w:cs="Arial"/>
          <w:b/>
          <w:bCs/>
          <w:sz w:val="20"/>
          <w:szCs w:val="20"/>
          <w:lang w:eastAsia="ar-SA"/>
        </w:rPr>
        <w:t>Coface proves its agility and resilience within a very challenging economic environment</w:t>
      </w:r>
    </w:p>
    <w:p w:rsidR="00D851A0" w:rsidRPr="001C5813" w:rsidRDefault="00D851A0" w:rsidP="00D851A0">
      <w:pPr>
        <w:widowControl/>
        <w:numPr>
          <w:ilvl w:val="1"/>
          <w:numId w:val="15"/>
        </w:numPr>
        <w:tabs>
          <w:tab w:val="clear" w:pos="1440"/>
          <w:tab w:val="num" w:pos="567"/>
          <w:tab w:val="num" w:pos="2880"/>
        </w:tabs>
        <w:spacing w:before="100" w:beforeAutospacing="1" w:after="100" w:afterAutospacing="1" w:line="276" w:lineRule="auto"/>
        <w:ind w:left="567" w:hanging="283"/>
        <w:jc w:val="both"/>
        <w:rPr>
          <w:rFonts w:ascii="Arial Narrow" w:hAnsi="Arial Narrow" w:cs="Arial"/>
          <w:bCs/>
          <w:sz w:val="20"/>
          <w:szCs w:val="20"/>
          <w:lang w:eastAsia="ar-SA"/>
        </w:rPr>
      </w:pPr>
      <w:r w:rsidRPr="001C5813">
        <w:rPr>
          <w:rFonts w:ascii="Arial Narrow" w:hAnsi="Arial Narrow" w:cs="Arial"/>
          <w:bCs/>
          <w:sz w:val="20"/>
          <w:szCs w:val="20"/>
          <w:lang w:eastAsia="ar-SA"/>
        </w:rPr>
        <w:t>Strengthened by its new corporate culture and a solid balance sheet, Coface is confidently continuing with the execution of its Build to Lead strategic plan</w:t>
      </w:r>
    </w:p>
    <w:p w:rsidR="00051B7C" w:rsidRPr="00D851A0" w:rsidRDefault="004B45DD" w:rsidP="004775E8">
      <w:pPr>
        <w:widowControl/>
        <w:tabs>
          <w:tab w:val="num" w:pos="2880"/>
        </w:tabs>
        <w:jc w:val="right"/>
        <w:rPr>
          <w:rFonts w:ascii="Arial Narrow" w:hAnsi="Arial Narrow" w:cs="Arial"/>
          <w:bCs/>
          <w:i/>
          <w:sz w:val="14"/>
          <w:szCs w:val="14"/>
          <w:lang w:eastAsia="ar-SA"/>
        </w:rPr>
      </w:pPr>
      <w:r w:rsidRPr="00D851A0">
        <w:rPr>
          <w:rFonts w:ascii="Arial Narrow" w:hAnsi="Arial Narrow" w:cs="Arial"/>
          <w:bCs/>
          <w:i/>
          <w:sz w:val="14"/>
          <w:szCs w:val="21"/>
          <w:lang w:eastAsia="ar-SA"/>
        </w:rPr>
        <w:t xml:space="preserve">Unless otherwise indicated, changes </w:t>
      </w:r>
      <w:proofErr w:type="gramStart"/>
      <w:r w:rsidRPr="00D851A0">
        <w:rPr>
          <w:rFonts w:ascii="Arial Narrow" w:hAnsi="Arial Narrow" w:cs="Arial"/>
          <w:bCs/>
          <w:i/>
          <w:sz w:val="14"/>
          <w:szCs w:val="21"/>
          <w:lang w:eastAsia="ar-SA"/>
        </w:rPr>
        <w:t>are expressed</w:t>
      </w:r>
      <w:proofErr w:type="gramEnd"/>
      <w:r w:rsidRPr="00D851A0">
        <w:rPr>
          <w:rFonts w:ascii="Arial Narrow" w:hAnsi="Arial Narrow" w:cs="Arial"/>
          <w:bCs/>
          <w:i/>
          <w:sz w:val="14"/>
          <w:szCs w:val="21"/>
          <w:lang w:eastAsia="ar-SA"/>
        </w:rPr>
        <w:t xml:space="preserve"> by comparison with the results as at 30 June 201</w:t>
      </w:r>
      <w:r w:rsidR="009E3348" w:rsidRPr="00D851A0">
        <w:rPr>
          <w:rFonts w:ascii="Arial Narrow" w:hAnsi="Arial Narrow" w:cs="Arial"/>
          <w:bCs/>
          <w:i/>
          <w:sz w:val="14"/>
          <w:szCs w:val="21"/>
          <w:lang w:eastAsia="ar-SA"/>
        </w:rPr>
        <w:t>9</w:t>
      </w:r>
    </w:p>
    <w:p w:rsidR="00160178" w:rsidRPr="007C3550" w:rsidRDefault="0029369E" w:rsidP="006D584F">
      <w:pPr>
        <w:widowControl/>
        <w:tabs>
          <w:tab w:val="num" w:pos="2880"/>
        </w:tabs>
        <w:jc w:val="right"/>
        <w:rPr>
          <w:rFonts w:ascii="Arial Narrow" w:hAnsi="Arial Narrow" w:cs="Arial"/>
          <w:b/>
          <w:bCs/>
          <w:sz w:val="20"/>
          <w:szCs w:val="20"/>
          <w:lang w:eastAsia="ar-SA"/>
        </w:rPr>
      </w:pPr>
      <w:r w:rsidRPr="00D851A0">
        <w:rPr>
          <w:rFonts w:ascii="Arial Narrow" w:hAnsi="Arial Narrow" w:cs="Arial"/>
          <w:bCs/>
          <w:i/>
          <w:sz w:val="14"/>
          <w:szCs w:val="14"/>
          <w:vertAlign w:val="superscript"/>
          <w:lang w:eastAsia="ar-SA"/>
        </w:rPr>
        <w:t>1</w:t>
      </w:r>
      <w:r w:rsidR="00A31AA3" w:rsidRPr="00D851A0">
        <w:rPr>
          <w:rFonts w:ascii="Arial Narrow" w:hAnsi="Arial Narrow" w:cs="Arial"/>
          <w:bCs/>
          <w:i/>
          <w:sz w:val="14"/>
          <w:szCs w:val="14"/>
          <w:lang w:eastAsia="ar-SA"/>
        </w:rPr>
        <w:t xml:space="preserve"> </w:t>
      </w:r>
      <w:proofErr w:type="spellStart"/>
      <w:r w:rsidR="000C2F0B" w:rsidRPr="00D851A0">
        <w:rPr>
          <w:rFonts w:ascii="Arial Narrow" w:hAnsi="Arial Narrow" w:cs="Arial"/>
          <w:bCs/>
          <w:i/>
          <w:sz w:val="14"/>
          <w:szCs w:val="14"/>
          <w:lang w:eastAsia="ar-SA"/>
        </w:rPr>
        <w:t>RoATE</w:t>
      </w:r>
      <w:proofErr w:type="spellEnd"/>
      <w:r w:rsidR="000C2F0B" w:rsidRPr="00D851A0">
        <w:rPr>
          <w:rFonts w:ascii="Arial Narrow" w:hAnsi="Arial Narrow" w:cs="Arial"/>
          <w:bCs/>
          <w:i/>
          <w:sz w:val="14"/>
          <w:szCs w:val="14"/>
          <w:lang w:eastAsia="ar-SA"/>
        </w:rPr>
        <w:t xml:space="preserve"> = </w:t>
      </w:r>
      <w:r w:rsidR="004B45DD" w:rsidRPr="00D851A0">
        <w:rPr>
          <w:rFonts w:ascii="Arial Narrow" w:hAnsi="Arial Narrow" w:cs="Arial"/>
          <w:bCs/>
          <w:i/>
          <w:sz w:val="14"/>
          <w:szCs w:val="14"/>
          <w:lang w:eastAsia="ar-SA"/>
        </w:rPr>
        <w:t>Average return on equity</w:t>
      </w:r>
      <w:r w:rsidR="006D584F">
        <w:rPr>
          <w:rFonts w:ascii="Arial Narrow" w:hAnsi="Arial Narrow" w:cs="Arial"/>
          <w:bCs/>
          <w:i/>
          <w:sz w:val="14"/>
          <w:szCs w:val="14"/>
          <w:lang w:eastAsia="ar-SA"/>
        </w:rPr>
        <w:t xml:space="preserve"> I </w:t>
      </w:r>
      <w:r w:rsidR="00D851A0" w:rsidRPr="00D851A0">
        <w:rPr>
          <w:rFonts w:ascii="Arial Narrow" w:hAnsi="Arial Narrow" w:cs="Arial"/>
          <w:bCs/>
          <w:i/>
          <w:sz w:val="14"/>
          <w:szCs w:val="14"/>
          <w:vertAlign w:val="superscript"/>
          <w:lang w:eastAsia="ar-SA"/>
        </w:rPr>
        <w:t>2</w:t>
      </w:r>
      <w:r w:rsidR="00597DE1" w:rsidRPr="00D851A0">
        <w:rPr>
          <w:rFonts w:ascii="Arial Narrow" w:hAnsi="Arial Narrow" w:cs="Arial"/>
          <w:bCs/>
          <w:i/>
          <w:sz w:val="14"/>
          <w:szCs w:val="14"/>
          <w:lang w:eastAsia="ar-SA"/>
        </w:rPr>
        <w:t xml:space="preserve"> </w:t>
      </w:r>
      <w:r w:rsidR="006D584F" w:rsidRPr="00732472">
        <w:rPr>
          <w:rFonts w:ascii="Arial Narrow" w:hAnsi="Arial Narrow" w:cs="Arial"/>
          <w:bCs/>
          <w:i/>
          <w:sz w:val="14"/>
          <w:szCs w:val="14"/>
          <w:lang w:eastAsia="ar-SA"/>
        </w:rPr>
        <w:t xml:space="preserve">This estimated solvency ratio </w:t>
      </w:r>
      <w:r w:rsidR="006D584F">
        <w:rPr>
          <w:rFonts w:ascii="Arial Narrow" w:hAnsi="Arial Narrow" w:cs="Arial"/>
          <w:bCs/>
          <w:i/>
          <w:sz w:val="14"/>
          <w:szCs w:val="14"/>
          <w:lang w:eastAsia="ar-SA"/>
        </w:rPr>
        <w:t>disclosed is</w:t>
      </w:r>
      <w:r w:rsidR="006D584F" w:rsidRPr="00732472">
        <w:rPr>
          <w:rFonts w:ascii="Arial Narrow" w:hAnsi="Arial Narrow" w:cs="Arial"/>
          <w:bCs/>
          <w:i/>
          <w:sz w:val="14"/>
          <w:szCs w:val="14"/>
          <w:lang w:eastAsia="ar-SA"/>
        </w:rPr>
        <w:t xml:space="preserve"> a preliminary calculation made according to Coface’s interpretation of Solvency II regulations and using the Partial Internal Model.</w:t>
      </w:r>
      <w:r w:rsidR="006D584F">
        <w:rPr>
          <w:rFonts w:ascii="Arial Narrow" w:hAnsi="Arial Narrow" w:cs="Arial"/>
          <w:bCs/>
          <w:i/>
          <w:sz w:val="14"/>
          <w:szCs w:val="14"/>
          <w:lang w:eastAsia="ar-SA"/>
        </w:rPr>
        <w:t xml:space="preserve"> </w:t>
      </w:r>
      <w:r w:rsidR="004B45DD" w:rsidRPr="007C3550">
        <w:rPr>
          <w:rFonts w:ascii="Arial Narrow" w:hAnsi="Arial Narrow" w:cs="Arial"/>
          <w:bCs/>
          <w:i/>
          <w:sz w:val="14"/>
          <w:szCs w:val="14"/>
          <w:lang w:eastAsia="ar-SA"/>
        </w:rPr>
        <w:t xml:space="preserve">The final calculation may differ from this preliminary calculation. The estimated Solvency ratio </w:t>
      </w:r>
      <w:proofErr w:type="gramStart"/>
      <w:r w:rsidR="004B45DD" w:rsidRPr="007C3550">
        <w:rPr>
          <w:rFonts w:ascii="Arial Narrow" w:hAnsi="Arial Narrow" w:cs="Arial"/>
          <w:bCs/>
          <w:i/>
          <w:sz w:val="14"/>
          <w:szCs w:val="14"/>
          <w:lang w:eastAsia="ar-SA"/>
        </w:rPr>
        <w:t>is not audited</w:t>
      </w:r>
      <w:proofErr w:type="gramEnd"/>
      <w:r w:rsidR="004B45DD" w:rsidRPr="007C3550">
        <w:rPr>
          <w:rFonts w:ascii="Arial Narrow" w:hAnsi="Arial Narrow" w:cs="Arial"/>
          <w:bCs/>
          <w:i/>
          <w:sz w:val="14"/>
          <w:szCs w:val="14"/>
          <w:lang w:eastAsia="ar-SA"/>
        </w:rPr>
        <w:t>.</w:t>
      </w:r>
    </w:p>
    <w:p w:rsidR="00160178" w:rsidRPr="007C3550" w:rsidRDefault="00160178" w:rsidP="003A63E4">
      <w:pPr>
        <w:suppressAutoHyphens/>
        <w:spacing w:after="120" w:line="276" w:lineRule="auto"/>
        <w:jc w:val="both"/>
        <w:rPr>
          <w:rFonts w:ascii="Arial Narrow" w:hAnsi="Arial Narrow" w:cs="Arial"/>
          <w:b/>
          <w:bCs/>
          <w:sz w:val="20"/>
          <w:szCs w:val="20"/>
          <w:lang w:eastAsia="ar-SA"/>
        </w:rPr>
      </w:pPr>
    </w:p>
    <w:p w:rsidR="00620666" w:rsidRPr="007C3550" w:rsidRDefault="00A138BF" w:rsidP="003A63E4">
      <w:pPr>
        <w:suppressAutoHyphens/>
        <w:spacing w:after="120" w:line="276" w:lineRule="auto"/>
        <w:jc w:val="both"/>
        <w:rPr>
          <w:rFonts w:ascii="Arial Narrow" w:hAnsi="Arial Narrow" w:cs="Arial"/>
          <w:b/>
          <w:bCs/>
          <w:sz w:val="20"/>
          <w:szCs w:val="20"/>
          <w:lang w:eastAsia="ar-SA"/>
        </w:rPr>
      </w:pPr>
      <w:r w:rsidRPr="007C3550">
        <w:rPr>
          <w:rFonts w:ascii="Arial Narrow" w:hAnsi="Arial Narrow" w:cs="Arial"/>
          <w:b/>
          <w:bCs/>
          <w:sz w:val="20"/>
          <w:szCs w:val="20"/>
          <w:lang w:eastAsia="ar-SA"/>
        </w:rPr>
        <w:t>Xavier Durand, Coface’s Chief Executive Officer, commented:</w:t>
      </w:r>
    </w:p>
    <w:p w:rsidR="007C3550" w:rsidRPr="007C3550" w:rsidRDefault="008925A4" w:rsidP="007C3550">
      <w:pPr>
        <w:suppressAutoHyphens/>
        <w:spacing w:after="120" w:line="276" w:lineRule="auto"/>
        <w:jc w:val="both"/>
        <w:rPr>
          <w:rFonts w:ascii="Arial Narrow" w:hAnsi="Arial Narrow" w:cs="Arial"/>
          <w:bCs/>
          <w:i/>
          <w:sz w:val="20"/>
          <w:szCs w:val="20"/>
          <w:lang w:eastAsia="ar-SA"/>
        </w:rPr>
      </w:pPr>
      <w:r w:rsidRPr="007C3550">
        <w:rPr>
          <w:rFonts w:ascii="Arial Narrow" w:hAnsi="Arial Narrow" w:cs="Arial"/>
          <w:bCs/>
          <w:i/>
          <w:sz w:val="20"/>
          <w:szCs w:val="20"/>
          <w:lang w:eastAsia="ar-SA"/>
        </w:rPr>
        <w:t>“</w:t>
      </w:r>
      <w:r w:rsidR="000D1E69" w:rsidRPr="000D1E69">
        <w:rPr>
          <w:rFonts w:ascii="Arial Narrow" w:hAnsi="Arial Narrow" w:cs="Arial"/>
          <w:bCs/>
          <w:i/>
          <w:sz w:val="20"/>
          <w:szCs w:val="20"/>
          <w:lang w:eastAsia="ar-SA"/>
        </w:rPr>
        <w:t xml:space="preserve">Over the first six months of the year, Coface’s teams have achieved very high levels of performance and engagement, despite the unusual and difficult operational and economic conditions. Our client retention and new business hit record </w:t>
      </w:r>
      <w:proofErr w:type="gramStart"/>
      <w:r w:rsidR="000D1E69" w:rsidRPr="000D1E69">
        <w:rPr>
          <w:rFonts w:ascii="Arial Narrow" w:hAnsi="Arial Narrow" w:cs="Arial"/>
          <w:bCs/>
          <w:i/>
          <w:sz w:val="20"/>
          <w:szCs w:val="20"/>
          <w:lang w:eastAsia="ar-SA"/>
        </w:rPr>
        <w:t>high</w:t>
      </w:r>
      <w:proofErr w:type="gramEnd"/>
      <w:r w:rsidR="000D1E69" w:rsidRPr="000D1E69">
        <w:rPr>
          <w:rFonts w:ascii="Arial Narrow" w:hAnsi="Arial Narrow" w:cs="Arial"/>
          <w:bCs/>
          <w:i/>
          <w:sz w:val="20"/>
          <w:szCs w:val="20"/>
          <w:lang w:eastAsia="ar-SA"/>
        </w:rPr>
        <w:t xml:space="preserve"> levels, resulting in a positive net </w:t>
      </w:r>
      <w:r w:rsidR="000D1E69">
        <w:rPr>
          <w:rFonts w:ascii="Arial Narrow" w:hAnsi="Arial Narrow" w:cs="Arial"/>
          <w:bCs/>
          <w:i/>
          <w:sz w:val="20"/>
          <w:szCs w:val="20"/>
          <w:lang w:eastAsia="ar-SA"/>
        </w:rPr>
        <w:t>production</w:t>
      </w:r>
      <w:r w:rsidR="000D1E69" w:rsidRPr="000D1E69">
        <w:rPr>
          <w:rFonts w:ascii="Arial Narrow" w:hAnsi="Arial Narrow" w:cs="Arial"/>
          <w:bCs/>
          <w:i/>
          <w:sz w:val="20"/>
          <w:szCs w:val="20"/>
          <w:lang w:eastAsia="ar-SA"/>
        </w:rPr>
        <w:t>. We are also seeing the initial effects of our portfolio re-pricing efforts</w:t>
      </w:r>
      <w:r w:rsidR="007C3550" w:rsidRPr="007C3550">
        <w:rPr>
          <w:rFonts w:ascii="Arial Narrow" w:hAnsi="Arial Narrow" w:cs="Arial"/>
          <w:bCs/>
          <w:i/>
          <w:sz w:val="20"/>
          <w:szCs w:val="20"/>
          <w:lang w:eastAsia="ar-SA"/>
        </w:rPr>
        <w:t>.</w:t>
      </w:r>
    </w:p>
    <w:p w:rsidR="007C3550" w:rsidRPr="007C3550" w:rsidRDefault="000D1E69" w:rsidP="007C3550">
      <w:pPr>
        <w:suppressAutoHyphens/>
        <w:spacing w:after="120" w:line="276" w:lineRule="auto"/>
        <w:jc w:val="both"/>
        <w:rPr>
          <w:rFonts w:ascii="Arial Narrow" w:hAnsi="Arial Narrow" w:cs="Arial"/>
          <w:bCs/>
          <w:i/>
          <w:sz w:val="20"/>
          <w:szCs w:val="20"/>
          <w:lang w:eastAsia="ar-SA"/>
        </w:rPr>
      </w:pPr>
      <w:r w:rsidRPr="000D1E69">
        <w:rPr>
          <w:rFonts w:ascii="Arial Narrow" w:hAnsi="Arial Narrow" w:cs="Arial"/>
          <w:bCs/>
          <w:i/>
          <w:sz w:val="20"/>
          <w:szCs w:val="20"/>
          <w:lang w:eastAsia="ar-SA"/>
        </w:rPr>
        <w:t xml:space="preserve">On the risk side, we have consistently pursued preventive measures </w:t>
      </w:r>
      <w:r w:rsidR="00486DDC">
        <w:rPr>
          <w:rFonts w:ascii="Arial Narrow" w:hAnsi="Arial Narrow" w:cs="Arial"/>
          <w:bCs/>
          <w:i/>
          <w:sz w:val="20"/>
          <w:szCs w:val="20"/>
          <w:lang w:eastAsia="ar-SA"/>
        </w:rPr>
        <w:t xml:space="preserve">while ensuring </w:t>
      </w:r>
      <w:r w:rsidRPr="000D1E69">
        <w:rPr>
          <w:rFonts w:ascii="Arial Narrow" w:hAnsi="Arial Narrow" w:cs="Arial"/>
          <w:bCs/>
          <w:i/>
          <w:sz w:val="20"/>
          <w:szCs w:val="20"/>
          <w:lang w:eastAsia="ar-SA"/>
        </w:rPr>
        <w:t xml:space="preserve">that we exercise good judgment in our underwriting decisions. Many governments have recognized the important role that credit insurance plays in maintaining business-to-business credit. Coface has already </w:t>
      </w:r>
      <w:r w:rsidR="00497236">
        <w:rPr>
          <w:rFonts w:ascii="Arial Narrow" w:hAnsi="Arial Narrow" w:cs="Arial"/>
          <w:bCs/>
          <w:i/>
          <w:sz w:val="20"/>
          <w:szCs w:val="20"/>
          <w:lang w:eastAsia="ar-SA"/>
        </w:rPr>
        <w:t>finalised</w:t>
      </w:r>
      <w:r w:rsidRPr="000D1E69">
        <w:rPr>
          <w:rFonts w:ascii="Arial Narrow" w:hAnsi="Arial Narrow" w:cs="Arial"/>
          <w:bCs/>
          <w:i/>
          <w:sz w:val="20"/>
          <w:szCs w:val="20"/>
          <w:lang w:eastAsia="ar-SA"/>
        </w:rPr>
        <w:t xml:space="preserve"> 1</w:t>
      </w:r>
      <w:r w:rsidR="003447A1">
        <w:rPr>
          <w:rFonts w:ascii="Arial Narrow" w:hAnsi="Arial Narrow" w:cs="Arial"/>
          <w:bCs/>
          <w:i/>
          <w:sz w:val="20"/>
          <w:szCs w:val="20"/>
          <w:lang w:eastAsia="ar-SA"/>
        </w:rPr>
        <w:t>1</w:t>
      </w:r>
      <w:r w:rsidRPr="000D1E69">
        <w:rPr>
          <w:rFonts w:ascii="Arial Narrow" w:hAnsi="Arial Narrow" w:cs="Arial"/>
          <w:bCs/>
          <w:i/>
          <w:sz w:val="20"/>
          <w:szCs w:val="20"/>
          <w:lang w:eastAsia="ar-SA"/>
        </w:rPr>
        <w:t xml:space="preserve"> government agreements and is continuing further discussions with other countries.</w:t>
      </w:r>
    </w:p>
    <w:p w:rsidR="008925A4" w:rsidRPr="002851C3" w:rsidRDefault="000D1E69" w:rsidP="007C3550">
      <w:pPr>
        <w:suppressAutoHyphens/>
        <w:spacing w:after="120" w:line="276" w:lineRule="auto"/>
        <w:jc w:val="both"/>
        <w:rPr>
          <w:rFonts w:ascii="Arial Narrow" w:hAnsi="Arial Narrow" w:cs="Arial"/>
          <w:bCs/>
          <w:i/>
          <w:sz w:val="20"/>
          <w:szCs w:val="20"/>
          <w:lang w:eastAsia="ar-SA"/>
        </w:rPr>
      </w:pPr>
      <w:r w:rsidRPr="000D1E69">
        <w:rPr>
          <w:rFonts w:ascii="Arial Narrow" w:hAnsi="Arial Narrow" w:cs="Arial"/>
          <w:bCs/>
          <w:i/>
          <w:sz w:val="20"/>
          <w:szCs w:val="20"/>
          <w:lang w:eastAsia="ar-SA"/>
        </w:rPr>
        <w:t xml:space="preserve">During the second quarter, we generated a positive net income of €11.3 </w:t>
      </w:r>
      <w:r w:rsidR="006F6DD0">
        <w:rPr>
          <w:rFonts w:ascii="Arial Narrow" w:hAnsi="Arial Narrow" w:cs="Arial"/>
          <w:bCs/>
          <w:i/>
          <w:sz w:val="20"/>
          <w:szCs w:val="20"/>
          <w:lang w:eastAsia="ar-SA"/>
        </w:rPr>
        <w:t xml:space="preserve">million. Our solvency reached </w:t>
      </w:r>
      <w:r w:rsidR="00C872F6">
        <w:rPr>
          <w:rFonts w:ascii="Arial Narrow" w:hAnsi="Arial Narrow" w:cs="Arial"/>
          <w:bCs/>
          <w:i/>
          <w:sz w:val="20"/>
          <w:szCs w:val="20"/>
          <w:lang w:eastAsia="ar-SA"/>
        </w:rPr>
        <w:t>183</w:t>
      </w:r>
      <w:r w:rsidRPr="000D1E69">
        <w:rPr>
          <w:rFonts w:ascii="Arial Narrow" w:hAnsi="Arial Narrow" w:cs="Arial"/>
          <w:bCs/>
          <w:i/>
          <w:sz w:val="20"/>
          <w:szCs w:val="20"/>
          <w:lang w:eastAsia="ar-SA"/>
        </w:rPr>
        <w:t xml:space="preserve">%, excluding government schemes. Coface is therefore well equipped to face an economic environment that will continue to </w:t>
      </w:r>
      <w:proofErr w:type="gramStart"/>
      <w:r w:rsidRPr="000D1E69">
        <w:rPr>
          <w:rFonts w:ascii="Arial Narrow" w:hAnsi="Arial Narrow" w:cs="Arial"/>
          <w:bCs/>
          <w:i/>
          <w:sz w:val="20"/>
          <w:szCs w:val="20"/>
          <w:lang w:eastAsia="ar-SA"/>
        </w:rPr>
        <w:t>be governed</w:t>
      </w:r>
      <w:proofErr w:type="gramEnd"/>
      <w:r w:rsidRPr="000D1E69">
        <w:rPr>
          <w:rFonts w:ascii="Arial Narrow" w:hAnsi="Arial Narrow" w:cs="Arial"/>
          <w:bCs/>
          <w:i/>
          <w:sz w:val="20"/>
          <w:szCs w:val="20"/>
          <w:lang w:eastAsia="ar-SA"/>
        </w:rPr>
        <w:t xml:space="preserve"> by evolving health developments. Strengthened by its culture, its resilience, and a solid balance sheet that is </w:t>
      </w:r>
      <w:r w:rsidR="00486DDC">
        <w:rPr>
          <w:rFonts w:ascii="Arial Narrow" w:hAnsi="Arial Narrow" w:cs="Arial"/>
          <w:bCs/>
          <w:i/>
          <w:sz w:val="20"/>
          <w:szCs w:val="20"/>
          <w:lang w:eastAsia="ar-SA"/>
        </w:rPr>
        <w:t>further reinforced</w:t>
      </w:r>
      <w:r w:rsidRPr="000D1E69">
        <w:rPr>
          <w:rFonts w:ascii="Arial Narrow" w:hAnsi="Arial Narrow" w:cs="Arial"/>
          <w:bCs/>
          <w:i/>
          <w:sz w:val="20"/>
          <w:szCs w:val="20"/>
          <w:lang w:eastAsia="ar-SA"/>
        </w:rPr>
        <w:t xml:space="preserve"> by government schemes, Coface is continuing to execute its strategic plan with confidence.</w:t>
      </w:r>
      <w:r w:rsidR="008925A4" w:rsidRPr="002851C3">
        <w:rPr>
          <w:rFonts w:ascii="Arial Narrow" w:hAnsi="Arial Narrow" w:cs="Arial"/>
          <w:bCs/>
          <w:i/>
          <w:sz w:val="20"/>
          <w:szCs w:val="20"/>
          <w:lang w:eastAsia="ar-SA"/>
        </w:rPr>
        <w:t>”</w:t>
      </w:r>
    </w:p>
    <w:p w:rsidR="00160178" w:rsidRPr="002851C3" w:rsidRDefault="00160178">
      <w:pPr>
        <w:widowControl/>
        <w:rPr>
          <w:rFonts w:ascii="Arial Narrow" w:hAnsi="Arial Narrow" w:cs="Arial"/>
          <w:bCs/>
          <w:i/>
          <w:sz w:val="20"/>
          <w:szCs w:val="20"/>
          <w:lang w:eastAsia="ar-SA"/>
        </w:rPr>
      </w:pPr>
      <w:r w:rsidRPr="002851C3">
        <w:rPr>
          <w:rFonts w:ascii="Arial Narrow" w:hAnsi="Arial Narrow" w:cs="Arial"/>
          <w:bCs/>
          <w:i/>
          <w:sz w:val="20"/>
          <w:szCs w:val="20"/>
          <w:lang w:eastAsia="ar-SA"/>
        </w:rPr>
        <w:br w:type="page"/>
      </w:r>
    </w:p>
    <w:p w:rsidR="006667BE" w:rsidRPr="00492901" w:rsidRDefault="008925A4" w:rsidP="006667BE">
      <w:pPr>
        <w:ind w:right="-119"/>
        <w:rPr>
          <w:rFonts w:ascii="Arial Narrow" w:hAnsi="Arial Narrow" w:cs="Arial"/>
          <w:b/>
          <w:bCs/>
          <w:sz w:val="20"/>
          <w:szCs w:val="26"/>
          <w:lang w:eastAsia="ar-SA"/>
        </w:rPr>
      </w:pPr>
      <w:r w:rsidRPr="00492901">
        <w:rPr>
          <w:rFonts w:ascii="Arial Narrow" w:hAnsi="Arial Narrow" w:cs="Arial"/>
          <w:b/>
          <w:bCs/>
          <w:sz w:val="20"/>
          <w:szCs w:val="20"/>
          <w:lang w:eastAsia="ar-SA"/>
        </w:rPr>
        <w:lastRenderedPageBreak/>
        <w:t>Key figures at 30 June 20</w:t>
      </w:r>
      <w:r w:rsidR="009E3348" w:rsidRPr="00492901">
        <w:rPr>
          <w:rFonts w:ascii="Arial Narrow" w:hAnsi="Arial Narrow" w:cs="Arial"/>
          <w:b/>
          <w:bCs/>
          <w:sz w:val="20"/>
          <w:szCs w:val="20"/>
          <w:lang w:eastAsia="ar-SA"/>
        </w:rPr>
        <w:t>20</w:t>
      </w:r>
    </w:p>
    <w:p w:rsidR="00C95B05" w:rsidRPr="00492901" w:rsidRDefault="00C95B05" w:rsidP="00C95B05">
      <w:pPr>
        <w:rPr>
          <w:rFonts w:ascii="Arial Narrow" w:hAnsi="Arial Narrow" w:cs="Arial"/>
          <w:bCs/>
          <w:i/>
          <w:sz w:val="20"/>
          <w:szCs w:val="20"/>
          <w:lang w:eastAsia="ar-SA"/>
        </w:rPr>
      </w:pPr>
    </w:p>
    <w:p w:rsidR="00492901" w:rsidRPr="00492901" w:rsidRDefault="00C95B05" w:rsidP="00C95B05">
      <w:pPr>
        <w:pStyle w:val="ListParagraph"/>
        <w:pBdr>
          <w:top w:val="single" w:sz="4" w:space="1" w:color="auto"/>
          <w:left w:val="single" w:sz="4" w:space="4" w:color="auto"/>
          <w:bottom w:val="single" w:sz="4" w:space="1" w:color="auto"/>
          <w:right w:val="single" w:sz="4" w:space="4" w:color="auto"/>
        </w:pBdr>
        <w:ind w:left="0"/>
        <w:rPr>
          <w:rFonts w:ascii="Arial Narrow" w:eastAsia="MS Mincho" w:hAnsi="Arial Narrow" w:cs="Arial"/>
          <w:bCs/>
          <w:sz w:val="16"/>
          <w:szCs w:val="16"/>
          <w:lang w:eastAsia="ar-SA"/>
        </w:rPr>
      </w:pPr>
      <w:r w:rsidRPr="00492901">
        <w:rPr>
          <w:rFonts w:ascii="Arial Narrow" w:eastAsia="MS Mincho" w:hAnsi="Arial Narrow" w:cs="Arial"/>
          <w:bCs/>
          <w:sz w:val="16"/>
          <w:szCs w:val="16"/>
          <w:lang w:eastAsia="ar-SA"/>
        </w:rPr>
        <w:t>The Board of Directors of COFACE SA examined the consolidated financial statements at 30 June 20</w:t>
      </w:r>
      <w:r w:rsidR="009E3348" w:rsidRPr="00492901">
        <w:rPr>
          <w:rFonts w:ascii="Arial Narrow" w:eastAsia="MS Mincho" w:hAnsi="Arial Narrow" w:cs="Arial"/>
          <w:bCs/>
          <w:sz w:val="16"/>
          <w:szCs w:val="16"/>
          <w:lang w:eastAsia="ar-SA"/>
        </w:rPr>
        <w:t>20</w:t>
      </w:r>
      <w:r w:rsidRPr="00492901">
        <w:rPr>
          <w:rFonts w:ascii="Arial Narrow" w:eastAsia="MS Mincho" w:hAnsi="Arial Narrow" w:cs="Arial"/>
          <w:bCs/>
          <w:sz w:val="16"/>
          <w:szCs w:val="16"/>
          <w:lang w:eastAsia="ar-SA"/>
        </w:rPr>
        <w:t xml:space="preserve"> at its meeting of 2</w:t>
      </w:r>
      <w:r w:rsidR="009E3348" w:rsidRPr="00492901">
        <w:rPr>
          <w:rFonts w:ascii="Arial Narrow" w:eastAsia="MS Mincho" w:hAnsi="Arial Narrow" w:cs="Arial"/>
          <w:bCs/>
          <w:sz w:val="16"/>
          <w:szCs w:val="16"/>
          <w:lang w:eastAsia="ar-SA"/>
        </w:rPr>
        <w:t>9</w:t>
      </w:r>
      <w:r w:rsidRPr="00492901">
        <w:rPr>
          <w:rFonts w:ascii="Arial Narrow" w:eastAsia="MS Mincho" w:hAnsi="Arial Narrow" w:cs="Arial"/>
          <w:bCs/>
          <w:sz w:val="16"/>
          <w:szCs w:val="16"/>
          <w:lang w:eastAsia="ar-SA"/>
        </w:rPr>
        <w:t xml:space="preserve"> July 20</w:t>
      </w:r>
      <w:r w:rsidR="009E3348" w:rsidRPr="00492901">
        <w:rPr>
          <w:rFonts w:ascii="Arial Narrow" w:eastAsia="MS Mincho" w:hAnsi="Arial Narrow" w:cs="Arial"/>
          <w:bCs/>
          <w:sz w:val="16"/>
          <w:szCs w:val="16"/>
          <w:lang w:eastAsia="ar-SA"/>
        </w:rPr>
        <w:t>20</w:t>
      </w:r>
      <w:r w:rsidRPr="00492901">
        <w:rPr>
          <w:rFonts w:ascii="Arial Narrow" w:eastAsia="MS Mincho" w:hAnsi="Arial Narrow" w:cs="Arial"/>
          <w:bCs/>
          <w:sz w:val="16"/>
          <w:szCs w:val="16"/>
          <w:lang w:eastAsia="ar-SA"/>
        </w:rPr>
        <w:t>. The Audit Committee, at its meeting on 24 July 20</w:t>
      </w:r>
      <w:r w:rsidR="009E3348" w:rsidRPr="00492901">
        <w:rPr>
          <w:rFonts w:ascii="Arial Narrow" w:eastAsia="MS Mincho" w:hAnsi="Arial Narrow" w:cs="Arial"/>
          <w:bCs/>
          <w:sz w:val="16"/>
          <w:szCs w:val="16"/>
          <w:lang w:eastAsia="ar-SA"/>
        </w:rPr>
        <w:t>20</w:t>
      </w:r>
      <w:r w:rsidRPr="00492901">
        <w:rPr>
          <w:rFonts w:ascii="Arial Narrow" w:eastAsia="MS Mincho" w:hAnsi="Arial Narrow" w:cs="Arial"/>
          <w:bCs/>
          <w:sz w:val="16"/>
          <w:szCs w:val="16"/>
          <w:lang w:eastAsia="ar-SA"/>
        </w:rPr>
        <w:t xml:space="preserve">, also previously reviewed them. These interim consolidated financial statements have been subject to limited review by the statutory auditors. The limited review report </w:t>
      </w:r>
      <w:proofErr w:type="gramStart"/>
      <w:r w:rsidRPr="00492901">
        <w:rPr>
          <w:rFonts w:ascii="Arial Narrow" w:eastAsia="MS Mincho" w:hAnsi="Arial Narrow" w:cs="Arial"/>
          <w:bCs/>
          <w:sz w:val="16"/>
          <w:szCs w:val="16"/>
          <w:lang w:eastAsia="ar-SA"/>
        </w:rPr>
        <w:t>is being issued</w:t>
      </w:r>
      <w:proofErr w:type="gramEnd"/>
      <w:r w:rsidRPr="00492901">
        <w:rPr>
          <w:rFonts w:ascii="Arial Narrow" w:eastAsia="MS Mincho" w:hAnsi="Arial Narrow" w:cs="Arial"/>
          <w:bCs/>
          <w:sz w:val="16"/>
          <w:szCs w:val="16"/>
          <w:lang w:eastAsia="ar-SA"/>
        </w:rPr>
        <w:t>.</w:t>
      </w:r>
    </w:p>
    <w:p w:rsidR="00A56D07" w:rsidRPr="00492901" w:rsidRDefault="00A56D07" w:rsidP="00431ED1">
      <w:pPr>
        <w:widowControl/>
        <w:tabs>
          <w:tab w:val="num" w:pos="2880"/>
        </w:tabs>
        <w:rPr>
          <w:rFonts w:ascii="Arial Narrow" w:hAnsi="Arial Narrow" w:cs="Arial"/>
          <w:bCs/>
          <w:sz w:val="21"/>
          <w:szCs w:val="21"/>
          <w:lang w:eastAsia="ar-SA"/>
        </w:rPr>
      </w:pPr>
    </w:p>
    <w:tbl>
      <w:tblPr>
        <w:tblW w:w="8017" w:type="dxa"/>
        <w:tblLook w:val="04A0" w:firstRow="1" w:lastRow="0" w:firstColumn="1" w:lastColumn="0" w:noHBand="0" w:noVBand="1"/>
      </w:tblPr>
      <w:tblGrid>
        <w:gridCol w:w="4608"/>
        <w:gridCol w:w="967"/>
        <w:gridCol w:w="855"/>
        <w:gridCol w:w="796"/>
        <w:gridCol w:w="791"/>
      </w:tblGrid>
      <w:tr w:rsidR="0096378C" w:rsidRPr="0096378C" w:rsidTr="001368F3">
        <w:trPr>
          <w:trHeight w:val="510"/>
        </w:trPr>
        <w:tc>
          <w:tcPr>
            <w:tcW w:w="4608" w:type="dxa"/>
            <w:tcBorders>
              <w:top w:val="nil"/>
              <w:left w:val="nil"/>
              <w:bottom w:val="nil"/>
              <w:right w:val="nil"/>
            </w:tcBorders>
            <w:shd w:val="clear" w:color="000000" w:fill="03365F"/>
            <w:noWrap/>
            <w:vAlign w:val="center"/>
            <w:hideMark/>
          </w:tcPr>
          <w:p w:rsidR="0096378C" w:rsidRPr="0096378C" w:rsidRDefault="0096378C" w:rsidP="0096378C">
            <w:pPr>
              <w:widowControl/>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Income statements items in €m</w:t>
            </w:r>
          </w:p>
        </w:tc>
        <w:tc>
          <w:tcPr>
            <w:tcW w:w="967" w:type="dxa"/>
            <w:tcBorders>
              <w:top w:val="nil"/>
              <w:left w:val="nil"/>
              <w:bottom w:val="nil"/>
              <w:right w:val="nil"/>
            </w:tcBorders>
            <w:shd w:val="clear" w:color="000000" w:fill="03365F"/>
            <w:vAlign w:val="center"/>
            <w:hideMark/>
          </w:tcPr>
          <w:p w:rsidR="0096378C" w:rsidRPr="0096378C" w:rsidRDefault="0096378C" w:rsidP="0096378C">
            <w:pPr>
              <w:widowControl/>
              <w:jc w:val="right"/>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H1-19</w:t>
            </w:r>
          </w:p>
        </w:tc>
        <w:tc>
          <w:tcPr>
            <w:tcW w:w="855" w:type="dxa"/>
            <w:tcBorders>
              <w:top w:val="nil"/>
              <w:left w:val="nil"/>
              <w:bottom w:val="nil"/>
              <w:right w:val="nil"/>
            </w:tcBorders>
            <w:shd w:val="clear" w:color="000000" w:fill="18B3B9"/>
            <w:noWrap/>
            <w:vAlign w:val="center"/>
            <w:hideMark/>
          </w:tcPr>
          <w:p w:rsidR="0096378C" w:rsidRPr="0096378C" w:rsidRDefault="0096378C" w:rsidP="0096378C">
            <w:pPr>
              <w:widowControl/>
              <w:jc w:val="right"/>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H1-20</w:t>
            </w:r>
          </w:p>
        </w:tc>
        <w:tc>
          <w:tcPr>
            <w:tcW w:w="796" w:type="dxa"/>
            <w:tcBorders>
              <w:top w:val="nil"/>
              <w:left w:val="nil"/>
              <w:bottom w:val="nil"/>
              <w:right w:val="nil"/>
            </w:tcBorders>
            <w:shd w:val="clear" w:color="000000" w:fill="03365F"/>
            <w:noWrap/>
            <w:vAlign w:val="center"/>
            <w:hideMark/>
          </w:tcPr>
          <w:p w:rsidR="0096378C" w:rsidRPr="0096378C" w:rsidRDefault="0096378C" w:rsidP="0096378C">
            <w:pPr>
              <w:widowControl/>
              <w:jc w:val="center"/>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w:t>
            </w:r>
          </w:p>
        </w:tc>
        <w:tc>
          <w:tcPr>
            <w:tcW w:w="791" w:type="dxa"/>
            <w:tcBorders>
              <w:top w:val="nil"/>
              <w:left w:val="nil"/>
              <w:bottom w:val="nil"/>
              <w:right w:val="nil"/>
            </w:tcBorders>
            <w:shd w:val="clear" w:color="000000" w:fill="03365F"/>
            <w:vAlign w:val="center"/>
            <w:hideMark/>
          </w:tcPr>
          <w:p w:rsidR="0096378C" w:rsidRPr="0096378C" w:rsidRDefault="0096378C" w:rsidP="0096378C">
            <w:pPr>
              <w:widowControl/>
              <w:jc w:val="center"/>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 xml:space="preserve">% </w:t>
            </w:r>
            <w:r w:rsidRPr="0096378C">
              <w:rPr>
                <w:rFonts w:ascii="Arial Narrow" w:eastAsia="Times New Roman" w:hAnsi="Arial Narrow" w:cs="Calibri"/>
                <w:b/>
                <w:bCs/>
                <w:color w:val="FFFFFF"/>
                <w:sz w:val="20"/>
                <w:szCs w:val="20"/>
              </w:rPr>
              <w:br/>
              <w:t>ex. FX</w:t>
            </w:r>
            <w:r>
              <w:rPr>
                <w:rFonts w:ascii="Arial Narrow" w:eastAsia="Times New Roman" w:hAnsi="Arial Narrow" w:cs="Calibri"/>
                <w:b/>
                <w:bCs/>
                <w:color w:val="FFFFFF"/>
                <w:sz w:val="20"/>
                <w:szCs w:val="20"/>
              </w:rPr>
              <w:t>*</w:t>
            </w:r>
          </w:p>
        </w:tc>
      </w:tr>
      <w:tr w:rsidR="0096378C" w:rsidRPr="0096378C" w:rsidTr="001368F3">
        <w:trPr>
          <w:trHeight w:val="300"/>
        </w:trPr>
        <w:tc>
          <w:tcPr>
            <w:tcW w:w="4608" w:type="dxa"/>
            <w:tcBorders>
              <w:top w:val="single" w:sz="4" w:space="0" w:color="BFBFBF"/>
              <w:left w:val="nil"/>
              <w:bottom w:val="single" w:sz="4" w:space="0" w:color="BFBFBF"/>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Gross earned premiums</w:t>
            </w:r>
          </w:p>
        </w:tc>
        <w:tc>
          <w:tcPr>
            <w:tcW w:w="967"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605.3</w:t>
            </w:r>
          </w:p>
        </w:tc>
        <w:tc>
          <w:tcPr>
            <w:tcW w:w="855" w:type="dxa"/>
            <w:tcBorders>
              <w:top w:val="single" w:sz="4" w:space="0" w:color="BFBFBF"/>
              <w:left w:val="nil"/>
              <w:bottom w:val="single" w:sz="4" w:space="0" w:color="BFBFBF"/>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599.1</w:t>
            </w:r>
          </w:p>
        </w:tc>
        <w:tc>
          <w:tcPr>
            <w:tcW w:w="796"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(1.0)%</w:t>
            </w:r>
          </w:p>
        </w:tc>
        <w:tc>
          <w:tcPr>
            <w:tcW w:w="791"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(0.4)%</w:t>
            </w:r>
          </w:p>
        </w:tc>
      </w:tr>
      <w:tr w:rsidR="0096378C" w:rsidRPr="0096378C" w:rsidTr="001368F3">
        <w:trPr>
          <w:trHeight w:val="300"/>
        </w:trPr>
        <w:tc>
          <w:tcPr>
            <w:tcW w:w="4608" w:type="dxa"/>
            <w:tcBorders>
              <w:top w:val="nil"/>
              <w:left w:val="nil"/>
              <w:bottom w:val="nil"/>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Services revenue</w:t>
            </w:r>
          </w:p>
        </w:tc>
        <w:tc>
          <w:tcPr>
            <w:tcW w:w="967" w:type="dxa"/>
            <w:tcBorders>
              <w:top w:val="nil"/>
              <w:left w:val="nil"/>
              <w:bottom w:val="nil"/>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127.3</w:t>
            </w:r>
          </w:p>
        </w:tc>
        <w:tc>
          <w:tcPr>
            <w:tcW w:w="855" w:type="dxa"/>
            <w:tcBorders>
              <w:top w:val="nil"/>
              <w:left w:val="nil"/>
              <w:bottom w:val="nil"/>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125.5</w:t>
            </w:r>
          </w:p>
        </w:tc>
        <w:tc>
          <w:tcPr>
            <w:tcW w:w="796" w:type="dxa"/>
            <w:tcBorders>
              <w:top w:val="nil"/>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(1.4)%</w:t>
            </w:r>
          </w:p>
        </w:tc>
        <w:tc>
          <w:tcPr>
            <w:tcW w:w="791" w:type="dxa"/>
            <w:tcBorders>
              <w:top w:val="nil"/>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(1.5)%</w:t>
            </w:r>
          </w:p>
        </w:tc>
      </w:tr>
      <w:tr w:rsidR="0096378C" w:rsidRPr="0096378C" w:rsidTr="001368F3">
        <w:trPr>
          <w:trHeight w:val="315"/>
        </w:trPr>
        <w:tc>
          <w:tcPr>
            <w:tcW w:w="4608" w:type="dxa"/>
            <w:tcBorders>
              <w:top w:val="single" w:sz="4" w:space="0" w:color="18B3B9"/>
              <w:left w:val="nil"/>
              <w:bottom w:val="single" w:sz="8" w:space="0" w:color="18B3B9"/>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REVENUE</w:t>
            </w:r>
          </w:p>
        </w:tc>
        <w:tc>
          <w:tcPr>
            <w:tcW w:w="967" w:type="dxa"/>
            <w:tcBorders>
              <w:top w:val="single" w:sz="4" w:space="0" w:color="18B3B9"/>
              <w:left w:val="nil"/>
              <w:bottom w:val="single" w:sz="8" w:space="0" w:color="18B3B9"/>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732.6</w:t>
            </w:r>
          </w:p>
        </w:tc>
        <w:tc>
          <w:tcPr>
            <w:tcW w:w="855" w:type="dxa"/>
            <w:tcBorders>
              <w:top w:val="single" w:sz="4" w:space="0" w:color="18B3B9"/>
              <w:left w:val="nil"/>
              <w:bottom w:val="single" w:sz="8" w:space="0" w:color="18B3B9"/>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724.6</w:t>
            </w:r>
          </w:p>
        </w:tc>
        <w:tc>
          <w:tcPr>
            <w:tcW w:w="796" w:type="dxa"/>
            <w:tcBorders>
              <w:top w:val="single" w:sz="4" w:space="0" w:color="18B3B9"/>
              <w:left w:val="nil"/>
              <w:bottom w:val="single" w:sz="8" w:space="0" w:color="18B3B9"/>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(1.1)%</w:t>
            </w:r>
          </w:p>
        </w:tc>
        <w:tc>
          <w:tcPr>
            <w:tcW w:w="791" w:type="dxa"/>
            <w:tcBorders>
              <w:top w:val="single" w:sz="4" w:space="0" w:color="18B3B9"/>
              <w:left w:val="nil"/>
              <w:bottom w:val="single" w:sz="8" w:space="0" w:color="18B3B9"/>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(0.6)%</w:t>
            </w:r>
          </w:p>
        </w:tc>
      </w:tr>
      <w:tr w:rsidR="0096378C" w:rsidRPr="0096378C" w:rsidTr="001368F3">
        <w:trPr>
          <w:trHeight w:val="300"/>
        </w:trPr>
        <w:tc>
          <w:tcPr>
            <w:tcW w:w="4608" w:type="dxa"/>
            <w:tcBorders>
              <w:top w:val="single" w:sz="4" w:space="0" w:color="BFBFBF"/>
              <w:left w:val="nil"/>
              <w:bottom w:val="single" w:sz="4" w:space="0" w:color="BFBFBF"/>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UNDERWRITING INCOME/LOSS AFTER REINSURANCE</w:t>
            </w:r>
          </w:p>
        </w:tc>
        <w:tc>
          <w:tcPr>
            <w:tcW w:w="967"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99.5</w:t>
            </w:r>
          </w:p>
        </w:tc>
        <w:tc>
          <w:tcPr>
            <w:tcW w:w="855" w:type="dxa"/>
            <w:tcBorders>
              <w:top w:val="single" w:sz="4" w:space="0" w:color="BFBFBF"/>
              <w:left w:val="nil"/>
              <w:bottom w:val="single" w:sz="4" w:space="0" w:color="BFBFBF"/>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40.4</w:t>
            </w:r>
          </w:p>
        </w:tc>
        <w:tc>
          <w:tcPr>
            <w:tcW w:w="796"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(59.4)%</w:t>
            </w:r>
          </w:p>
        </w:tc>
        <w:tc>
          <w:tcPr>
            <w:tcW w:w="791"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(58.1)%</w:t>
            </w:r>
          </w:p>
        </w:tc>
      </w:tr>
      <w:tr w:rsidR="0096378C" w:rsidRPr="0096378C" w:rsidTr="001368F3">
        <w:trPr>
          <w:trHeight w:val="300"/>
        </w:trPr>
        <w:tc>
          <w:tcPr>
            <w:tcW w:w="4608" w:type="dxa"/>
            <w:tcBorders>
              <w:top w:val="nil"/>
              <w:left w:val="nil"/>
              <w:bottom w:val="nil"/>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Investment income, net of management expenses</w:t>
            </w:r>
          </w:p>
        </w:tc>
        <w:tc>
          <w:tcPr>
            <w:tcW w:w="967" w:type="dxa"/>
            <w:tcBorders>
              <w:top w:val="nil"/>
              <w:left w:val="nil"/>
              <w:bottom w:val="nil"/>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16.6</w:t>
            </w:r>
          </w:p>
        </w:tc>
        <w:tc>
          <w:tcPr>
            <w:tcW w:w="855" w:type="dxa"/>
            <w:tcBorders>
              <w:top w:val="nil"/>
              <w:left w:val="nil"/>
              <w:bottom w:val="nil"/>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16.7</w:t>
            </w:r>
          </w:p>
        </w:tc>
        <w:tc>
          <w:tcPr>
            <w:tcW w:w="796" w:type="dxa"/>
            <w:tcBorders>
              <w:top w:val="nil"/>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+0.7%</w:t>
            </w:r>
          </w:p>
        </w:tc>
        <w:tc>
          <w:tcPr>
            <w:tcW w:w="791" w:type="dxa"/>
            <w:tcBorders>
              <w:top w:val="nil"/>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+11</w:t>
            </w:r>
            <w:r w:rsidR="00D72E80">
              <w:rPr>
                <w:rFonts w:ascii="Arial Narrow" w:eastAsia="Times New Roman" w:hAnsi="Arial Narrow" w:cs="Calibri"/>
                <w:sz w:val="20"/>
                <w:szCs w:val="20"/>
              </w:rPr>
              <w:t>.3</w:t>
            </w:r>
            <w:r w:rsidRPr="0096378C">
              <w:rPr>
                <w:rFonts w:ascii="Arial Narrow" w:eastAsia="Times New Roman" w:hAnsi="Arial Narrow" w:cs="Calibri"/>
                <w:sz w:val="20"/>
                <w:szCs w:val="20"/>
              </w:rPr>
              <w:t>%</w:t>
            </w:r>
          </w:p>
        </w:tc>
      </w:tr>
      <w:tr w:rsidR="0096378C" w:rsidRPr="0096378C" w:rsidTr="001368F3">
        <w:trPr>
          <w:trHeight w:val="315"/>
        </w:trPr>
        <w:tc>
          <w:tcPr>
            <w:tcW w:w="4608" w:type="dxa"/>
            <w:tcBorders>
              <w:top w:val="single" w:sz="4" w:space="0" w:color="18B3B9"/>
              <w:left w:val="nil"/>
              <w:bottom w:val="single" w:sz="8" w:space="0" w:color="18B3B9"/>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CURRENT OPERATING INCOME</w:t>
            </w:r>
          </w:p>
        </w:tc>
        <w:tc>
          <w:tcPr>
            <w:tcW w:w="967" w:type="dxa"/>
            <w:tcBorders>
              <w:top w:val="single" w:sz="4" w:space="0" w:color="18B3B9"/>
              <w:left w:val="nil"/>
              <w:bottom w:val="single" w:sz="8" w:space="0" w:color="18B3B9"/>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116.1</w:t>
            </w:r>
          </w:p>
        </w:tc>
        <w:tc>
          <w:tcPr>
            <w:tcW w:w="855" w:type="dxa"/>
            <w:tcBorders>
              <w:top w:val="single" w:sz="4" w:space="0" w:color="18B3B9"/>
              <w:left w:val="nil"/>
              <w:bottom w:val="single" w:sz="8" w:space="0" w:color="18B3B9"/>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57.1</w:t>
            </w:r>
          </w:p>
        </w:tc>
        <w:tc>
          <w:tcPr>
            <w:tcW w:w="796" w:type="dxa"/>
            <w:tcBorders>
              <w:top w:val="single" w:sz="4" w:space="0" w:color="18B3B9"/>
              <w:left w:val="nil"/>
              <w:bottom w:val="single" w:sz="8" w:space="0" w:color="18B3B9"/>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(50.8)%</w:t>
            </w:r>
          </w:p>
        </w:tc>
        <w:tc>
          <w:tcPr>
            <w:tcW w:w="791" w:type="dxa"/>
            <w:tcBorders>
              <w:top w:val="single" w:sz="4" w:space="0" w:color="18B3B9"/>
              <w:left w:val="nil"/>
              <w:bottom w:val="single" w:sz="8" w:space="0" w:color="18B3B9"/>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(48.2)%</w:t>
            </w:r>
          </w:p>
        </w:tc>
      </w:tr>
      <w:tr w:rsidR="0096378C" w:rsidRPr="0096378C" w:rsidTr="001368F3">
        <w:trPr>
          <w:trHeight w:val="300"/>
        </w:trPr>
        <w:tc>
          <w:tcPr>
            <w:tcW w:w="4608" w:type="dxa"/>
            <w:tcBorders>
              <w:top w:val="nil"/>
              <w:left w:val="nil"/>
              <w:bottom w:val="nil"/>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Other operating income / expenses</w:t>
            </w:r>
          </w:p>
        </w:tc>
        <w:tc>
          <w:tcPr>
            <w:tcW w:w="967" w:type="dxa"/>
            <w:tcBorders>
              <w:top w:val="nil"/>
              <w:left w:val="nil"/>
              <w:bottom w:val="nil"/>
              <w:right w:val="nil"/>
            </w:tcBorders>
            <w:shd w:val="clear" w:color="000000" w:fill="FFFFFF"/>
            <w:noWrap/>
            <w:vAlign w:val="center"/>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1.1</w:t>
            </w:r>
          </w:p>
        </w:tc>
        <w:tc>
          <w:tcPr>
            <w:tcW w:w="855" w:type="dxa"/>
            <w:tcBorders>
              <w:top w:val="nil"/>
              <w:left w:val="nil"/>
              <w:bottom w:val="nil"/>
              <w:right w:val="nil"/>
            </w:tcBorders>
            <w:shd w:val="clear" w:color="000000" w:fill="D1F0F1"/>
            <w:noWrap/>
            <w:vAlign w:val="center"/>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(1.8)</w:t>
            </w:r>
          </w:p>
        </w:tc>
        <w:tc>
          <w:tcPr>
            <w:tcW w:w="796" w:type="dxa"/>
            <w:tcBorders>
              <w:top w:val="nil"/>
              <w:left w:val="nil"/>
              <w:bottom w:val="nil"/>
              <w:right w:val="nil"/>
            </w:tcBorders>
            <w:shd w:val="clear" w:color="auto" w:fill="auto"/>
            <w:noWrap/>
            <w:vAlign w:val="center"/>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N.A</w:t>
            </w:r>
          </w:p>
        </w:tc>
        <w:tc>
          <w:tcPr>
            <w:tcW w:w="791" w:type="dxa"/>
            <w:tcBorders>
              <w:top w:val="nil"/>
              <w:left w:val="nil"/>
              <w:bottom w:val="nil"/>
              <w:right w:val="nil"/>
            </w:tcBorders>
            <w:shd w:val="clear" w:color="auto" w:fill="auto"/>
            <w:noWrap/>
            <w:vAlign w:val="center"/>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N.A</w:t>
            </w:r>
          </w:p>
        </w:tc>
      </w:tr>
      <w:tr w:rsidR="0096378C" w:rsidRPr="0096378C" w:rsidTr="001368F3">
        <w:trPr>
          <w:trHeight w:val="315"/>
        </w:trPr>
        <w:tc>
          <w:tcPr>
            <w:tcW w:w="4608" w:type="dxa"/>
            <w:tcBorders>
              <w:top w:val="single" w:sz="4" w:space="0" w:color="18B3B9"/>
              <w:left w:val="nil"/>
              <w:bottom w:val="nil"/>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OPERATING INCOME</w:t>
            </w:r>
          </w:p>
        </w:tc>
        <w:tc>
          <w:tcPr>
            <w:tcW w:w="967" w:type="dxa"/>
            <w:tcBorders>
              <w:top w:val="single" w:sz="4" w:space="0" w:color="18B3B9"/>
              <w:left w:val="nil"/>
              <w:bottom w:val="nil"/>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117.2</w:t>
            </w:r>
          </w:p>
        </w:tc>
        <w:tc>
          <w:tcPr>
            <w:tcW w:w="855" w:type="dxa"/>
            <w:tcBorders>
              <w:top w:val="single" w:sz="4" w:space="0" w:color="18B3B9"/>
              <w:left w:val="nil"/>
              <w:bottom w:val="nil"/>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55.4</w:t>
            </w:r>
          </w:p>
        </w:tc>
        <w:tc>
          <w:tcPr>
            <w:tcW w:w="796" w:type="dxa"/>
            <w:tcBorders>
              <w:top w:val="single" w:sz="4" w:space="0" w:color="18B3B9"/>
              <w:left w:val="nil"/>
              <w:bottom w:val="single" w:sz="4" w:space="0" w:color="auto"/>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(52.8)%</w:t>
            </w:r>
          </w:p>
        </w:tc>
        <w:tc>
          <w:tcPr>
            <w:tcW w:w="791" w:type="dxa"/>
            <w:tcBorders>
              <w:top w:val="single" w:sz="4" w:space="0" w:color="18B3B9"/>
              <w:left w:val="nil"/>
              <w:bottom w:val="single" w:sz="4" w:space="0" w:color="auto"/>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18B3B9"/>
                <w:sz w:val="20"/>
                <w:szCs w:val="20"/>
              </w:rPr>
            </w:pPr>
            <w:r w:rsidRPr="0096378C">
              <w:rPr>
                <w:rFonts w:ascii="Arial Narrow" w:eastAsia="Times New Roman" w:hAnsi="Arial Narrow" w:cs="Calibri"/>
                <w:b/>
                <w:bCs/>
                <w:color w:val="18B3B9"/>
                <w:sz w:val="20"/>
                <w:szCs w:val="20"/>
              </w:rPr>
              <w:t>(50.2)%</w:t>
            </w:r>
          </w:p>
        </w:tc>
      </w:tr>
      <w:tr w:rsidR="0096378C" w:rsidRPr="0096378C" w:rsidTr="001368F3">
        <w:trPr>
          <w:trHeight w:val="315"/>
        </w:trPr>
        <w:tc>
          <w:tcPr>
            <w:tcW w:w="4608" w:type="dxa"/>
            <w:tcBorders>
              <w:top w:val="single" w:sz="4" w:space="0" w:color="03365F"/>
              <w:left w:val="nil"/>
              <w:bottom w:val="single" w:sz="8" w:space="0" w:color="03365F"/>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NET INCOME</w:t>
            </w:r>
          </w:p>
        </w:tc>
        <w:tc>
          <w:tcPr>
            <w:tcW w:w="967" w:type="dxa"/>
            <w:tcBorders>
              <w:top w:val="single" w:sz="4" w:space="0" w:color="03365F"/>
              <w:left w:val="nil"/>
              <w:bottom w:val="single" w:sz="8" w:space="0" w:color="03365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78.5</w:t>
            </w:r>
          </w:p>
        </w:tc>
        <w:tc>
          <w:tcPr>
            <w:tcW w:w="855" w:type="dxa"/>
            <w:tcBorders>
              <w:top w:val="single" w:sz="4" w:space="0" w:color="03365F"/>
              <w:left w:val="nil"/>
              <w:bottom w:val="single" w:sz="8" w:space="0" w:color="03365F"/>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24.0</w:t>
            </w:r>
          </w:p>
        </w:tc>
        <w:tc>
          <w:tcPr>
            <w:tcW w:w="796" w:type="dxa"/>
            <w:tcBorders>
              <w:top w:val="single" w:sz="4" w:space="0" w:color="auto"/>
              <w:left w:val="nil"/>
              <w:bottom w:val="single" w:sz="8" w:space="0" w:color="auto"/>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(69.5)%</w:t>
            </w:r>
          </w:p>
        </w:tc>
        <w:tc>
          <w:tcPr>
            <w:tcW w:w="791" w:type="dxa"/>
            <w:tcBorders>
              <w:top w:val="single" w:sz="4" w:space="0" w:color="auto"/>
              <w:left w:val="nil"/>
              <w:bottom w:val="single" w:sz="8" w:space="0" w:color="auto"/>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(67.0)%</w:t>
            </w:r>
          </w:p>
        </w:tc>
      </w:tr>
      <w:tr w:rsidR="0096378C" w:rsidRPr="0096378C" w:rsidTr="001368F3">
        <w:trPr>
          <w:trHeight w:val="75"/>
        </w:trPr>
        <w:tc>
          <w:tcPr>
            <w:tcW w:w="4608" w:type="dxa"/>
            <w:tcBorders>
              <w:top w:val="nil"/>
              <w:left w:val="nil"/>
              <w:bottom w:val="nil"/>
              <w:right w:val="nil"/>
            </w:tcBorders>
            <w:shd w:val="clear" w:color="auto" w:fill="auto"/>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p>
        </w:tc>
        <w:tc>
          <w:tcPr>
            <w:tcW w:w="967"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c>
          <w:tcPr>
            <w:tcW w:w="796"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c>
          <w:tcPr>
            <w:tcW w:w="791"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r>
      <w:tr w:rsidR="0096378C" w:rsidRPr="0096378C" w:rsidTr="001368F3">
        <w:trPr>
          <w:trHeight w:val="510"/>
        </w:trPr>
        <w:tc>
          <w:tcPr>
            <w:tcW w:w="4608" w:type="dxa"/>
            <w:tcBorders>
              <w:top w:val="nil"/>
              <w:left w:val="nil"/>
              <w:bottom w:val="nil"/>
              <w:right w:val="nil"/>
            </w:tcBorders>
            <w:shd w:val="clear" w:color="000000" w:fill="03365F"/>
            <w:noWrap/>
            <w:vAlign w:val="center"/>
            <w:hideMark/>
          </w:tcPr>
          <w:p w:rsidR="0096378C" w:rsidRPr="0096378C" w:rsidRDefault="0096378C" w:rsidP="0096378C">
            <w:pPr>
              <w:widowControl/>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 xml:space="preserve">Key ratios </w:t>
            </w:r>
          </w:p>
        </w:tc>
        <w:tc>
          <w:tcPr>
            <w:tcW w:w="967" w:type="dxa"/>
            <w:tcBorders>
              <w:top w:val="nil"/>
              <w:left w:val="nil"/>
              <w:bottom w:val="nil"/>
              <w:right w:val="nil"/>
            </w:tcBorders>
            <w:shd w:val="clear" w:color="000000" w:fill="03365F"/>
            <w:vAlign w:val="center"/>
            <w:hideMark/>
          </w:tcPr>
          <w:p w:rsidR="0096378C" w:rsidRPr="0096378C" w:rsidRDefault="0096378C" w:rsidP="0096378C">
            <w:pPr>
              <w:widowControl/>
              <w:jc w:val="right"/>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H1-19</w:t>
            </w:r>
          </w:p>
        </w:tc>
        <w:tc>
          <w:tcPr>
            <w:tcW w:w="855" w:type="dxa"/>
            <w:tcBorders>
              <w:top w:val="nil"/>
              <w:left w:val="nil"/>
              <w:bottom w:val="nil"/>
              <w:right w:val="nil"/>
            </w:tcBorders>
            <w:shd w:val="clear" w:color="000000" w:fill="18B3B9"/>
            <w:noWrap/>
            <w:vAlign w:val="center"/>
            <w:hideMark/>
          </w:tcPr>
          <w:p w:rsidR="0096378C" w:rsidRPr="0096378C" w:rsidRDefault="0096378C" w:rsidP="0096378C">
            <w:pPr>
              <w:widowControl/>
              <w:jc w:val="right"/>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H1-20</w:t>
            </w:r>
          </w:p>
        </w:tc>
        <w:tc>
          <w:tcPr>
            <w:tcW w:w="796" w:type="dxa"/>
            <w:tcBorders>
              <w:top w:val="nil"/>
              <w:left w:val="nil"/>
              <w:bottom w:val="nil"/>
              <w:right w:val="nil"/>
            </w:tcBorders>
            <w:shd w:val="clear" w:color="000000" w:fill="03365F"/>
            <w:noWrap/>
            <w:vAlign w:val="center"/>
            <w:hideMark/>
          </w:tcPr>
          <w:p w:rsidR="0096378C" w:rsidRPr="0096378C" w:rsidRDefault="0096378C" w:rsidP="0096378C">
            <w:pPr>
              <w:widowControl/>
              <w:jc w:val="center"/>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w:t>
            </w:r>
          </w:p>
        </w:tc>
        <w:tc>
          <w:tcPr>
            <w:tcW w:w="791" w:type="dxa"/>
            <w:tcBorders>
              <w:top w:val="nil"/>
              <w:left w:val="nil"/>
              <w:bottom w:val="nil"/>
              <w:right w:val="nil"/>
            </w:tcBorders>
            <w:shd w:val="clear" w:color="000000" w:fill="03365F"/>
            <w:vAlign w:val="center"/>
            <w:hideMark/>
          </w:tcPr>
          <w:p w:rsidR="0096378C" w:rsidRPr="0096378C" w:rsidRDefault="0096378C" w:rsidP="0096378C">
            <w:pPr>
              <w:widowControl/>
              <w:jc w:val="center"/>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 xml:space="preserve">% </w:t>
            </w:r>
            <w:r w:rsidRPr="0096378C">
              <w:rPr>
                <w:rFonts w:ascii="Arial Narrow" w:eastAsia="Times New Roman" w:hAnsi="Arial Narrow" w:cs="Calibri"/>
                <w:b/>
                <w:bCs/>
                <w:color w:val="FFFFFF"/>
                <w:sz w:val="20"/>
                <w:szCs w:val="20"/>
              </w:rPr>
              <w:br/>
              <w:t>ex. FX</w:t>
            </w:r>
            <w:r>
              <w:rPr>
                <w:rFonts w:ascii="Arial Narrow" w:eastAsia="Times New Roman" w:hAnsi="Arial Narrow" w:cs="Calibri"/>
                <w:b/>
                <w:bCs/>
                <w:color w:val="FFFFFF"/>
                <w:sz w:val="20"/>
                <w:szCs w:val="20"/>
              </w:rPr>
              <w:t>*</w:t>
            </w:r>
          </w:p>
        </w:tc>
      </w:tr>
      <w:tr w:rsidR="0096378C" w:rsidRPr="0096378C" w:rsidTr="001368F3">
        <w:trPr>
          <w:trHeight w:val="300"/>
        </w:trPr>
        <w:tc>
          <w:tcPr>
            <w:tcW w:w="4608" w:type="dxa"/>
            <w:tcBorders>
              <w:top w:val="single" w:sz="4" w:space="0" w:color="BFBFBF"/>
              <w:left w:val="nil"/>
              <w:bottom w:val="single" w:sz="4" w:space="0" w:color="BFBFBF"/>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Loss ratio net of reinsurance</w:t>
            </w:r>
          </w:p>
        </w:tc>
        <w:tc>
          <w:tcPr>
            <w:tcW w:w="967"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44.0%</w:t>
            </w:r>
          </w:p>
        </w:tc>
        <w:tc>
          <w:tcPr>
            <w:tcW w:w="855" w:type="dxa"/>
            <w:tcBorders>
              <w:top w:val="single" w:sz="4" w:space="0" w:color="BFBFBF"/>
              <w:left w:val="nil"/>
              <w:bottom w:val="single" w:sz="4" w:space="0" w:color="BFBFBF"/>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57.4%</w:t>
            </w:r>
          </w:p>
        </w:tc>
        <w:tc>
          <w:tcPr>
            <w:tcW w:w="796"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+13.4</w:t>
            </w:r>
          </w:p>
        </w:tc>
        <w:tc>
          <w:tcPr>
            <w:tcW w:w="791" w:type="dxa"/>
            <w:tcBorders>
              <w:top w:val="single" w:sz="4" w:space="0" w:color="BFBFBF"/>
              <w:left w:val="nil"/>
              <w:bottom w:val="single" w:sz="4" w:space="0" w:color="BFBFBF"/>
              <w:right w:val="nil"/>
            </w:tcBorders>
            <w:shd w:val="clear" w:color="000000" w:fill="FFFFFF"/>
            <w:noWrap/>
            <w:vAlign w:val="bottom"/>
            <w:hideMark/>
          </w:tcPr>
          <w:p w:rsidR="0096378C" w:rsidRPr="0096378C" w:rsidRDefault="0096378C" w:rsidP="0096378C">
            <w:pPr>
              <w:widowControl/>
              <w:rPr>
                <w:rFonts w:ascii="Arial Narrow" w:eastAsia="Times New Roman" w:hAnsi="Arial Narrow" w:cs="Calibri"/>
                <w:sz w:val="20"/>
                <w:szCs w:val="20"/>
              </w:rPr>
            </w:pPr>
            <w:proofErr w:type="spellStart"/>
            <w:proofErr w:type="gramStart"/>
            <w:r w:rsidRPr="0096378C">
              <w:rPr>
                <w:rFonts w:ascii="Arial Narrow" w:eastAsia="Times New Roman" w:hAnsi="Arial Narrow" w:cs="Calibri"/>
                <w:sz w:val="20"/>
                <w:szCs w:val="20"/>
              </w:rPr>
              <w:t>ppts</w:t>
            </w:r>
            <w:proofErr w:type="spellEnd"/>
            <w:proofErr w:type="gramEnd"/>
            <w:r w:rsidRPr="0096378C">
              <w:rPr>
                <w:rFonts w:ascii="Arial Narrow" w:eastAsia="Times New Roman" w:hAnsi="Arial Narrow" w:cs="Calibri"/>
                <w:sz w:val="20"/>
                <w:szCs w:val="20"/>
              </w:rPr>
              <w:t>.</w:t>
            </w:r>
          </w:p>
        </w:tc>
      </w:tr>
      <w:tr w:rsidR="0096378C" w:rsidRPr="0096378C" w:rsidTr="001368F3">
        <w:trPr>
          <w:trHeight w:val="300"/>
        </w:trPr>
        <w:tc>
          <w:tcPr>
            <w:tcW w:w="4608" w:type="dxa"/>
            <w:tcBorders>
              <w:top w:val="nil"/>
              <w:left w:val="nil"/>
              <w:bottom w:val="single" w:sz="4" w:space="0" w:color="BFBFBF"/>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Cost ratio net of reinsurance</w:t>
            </w:r>
          </w:p>
        </w:tc>
        <w:tc>
          <w:tcPr>
            <w:tcW w:w="967" w:type="dxa"/>
            <w:tcBorders>
              <w:top w:val="nil"/>
              <w:left w:val="nil"/>
              <w:bottom w:val="nil"/>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32.0%</w:t>
            </w:r>
          </w:p>
        </w:tc>
        <w:tc>
          <w:tcPr>
            <w:tcW w:w="855" w:type="dxa"/>
            <w:tcBorders>
              <w:top w:val="nil"/>
              <w:left w:val="nil"/>
              <w:bottom w:val="nil"/>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31.2%</w:t>
            </w:r>
          </w:p>
        </w:tc>
        <w:tc>
          <w:tcPr>
            <w:tcW w:w="796" w:type="dxa"/>
            <w:tcBorders>
              <w:top w:val="nil"/>
              <w:left w:val="nil"/>
              <w:bottom w:val="nil"/>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(0.8)</w:t>
            </w:r>
          </w:p>
        </w:tc>
        <w:tc>
          <w:tcPr>
            <w:tcW w:w="791" w:type="dxa"/>
            <w:tcBorders>
              <w:top w:val="nil"/>
              <w:left w:val="nil"/>
              <w:bottom w:val="nil"/>
              <w:right w:val="nil"/>
            </w:tcBorders>
            <w:shd w:val="clear" w:color="000000" w:fill="FFFFFF"/>
            <w:noWrap/>
            <w:vAlign w:val="bottom"/>
            <w:hideMark/>
          </w:tcPr>
          <w:p w:rsidR="0096378C" w:rsidRPr="0096378C" w:rsidRDefault="0096378C" w:rsidP="00A7260A">
            <w:pPr>
              <w:widowControl/>
              <w:rPr>
                <w:rFonts w:ascii="Arial Narrow" w:eastAsia="Times New Roman" w:hAnsi="Arial Narrow" w:cs="Calibri"/>
                <w:sz w:val="20"/>
                <w:szCs w:val="20"/>
              </w:rPr>
            </w:pPr>
            <w:r w:rsidRPr="0096378C">
              <w:rPr>
                <w:rFonts w:ascii="Arial Narrow" w:eastAsia="Times New Roman" w:hAnsi="Arial Narrow" w:cs="Calibri"/>
                <w:sz w:val="20"/>
                <w:szCs w:val="20"/>
              </w:rPr>
              <w:t>ppt.</w:t>
            </w:r>
          </w:p>
        </w:tc>
      </w:tr>
      <w:tr w:rsidR="0096378C" w:rsidRPr="0096378C" w:rsidTr="001368F3">
        <w:trPr>
          <w:trHeight w:val="315"/>
        </w:trPr>
        <w:tc>
          <w:tcPr>
            <w:tcW w:w="4608" w:type="dxa"/>
            <w:tcBorders>
              <w:top w:val="single" w:sz="4" w:space="0" w:color="03365F"/>
              <w:left w:val="nil"/>
              <w:bottom w:val="single" w:sz="8" w:space="0" w:color="03365F"/>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COMBINED RATIO NET OF REINSURANCE</w:t>
            </w:r>
          </w:p>
        </w:tc>
        <w:tc>
          <w:tcPr>
            <w:tcW w:w="967" w:type="dxa"/>
            <w:tcBorders>
              <w:top w:val="single" w:sz="4" w:space="0" w:color="03365F"/>
              <w:left w:val="nil"/>
              <w:bottom w:val="single" w:sz="8" w:space="0" w:color="03365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76.0%</w:t>
            </w:r>
          </w:p>
        </w:tc>
        <w:tc>
          <w:tcPr>
            <w:tcW w:w="855" w:type="dxa"/>
            <w:tcBorders>
              <w:top w:val="single" w:sz="4" w:space="0" w:color="03365F"/>
              <w:left w:val="nil"/>
              <w:bottom w:val="single" w:sz="8" w:space="0" w:color="03365F"/>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88.6%</w:t>
            </w:r>
          </w:p>
        </w:tc>
        <w:tc>
          <w:tcPr>
            <w:tcW w:w="796" w:type="dxa"/>
            <w:tcBorders>
              <w:top w:val="single" w:sz="4" w:space="0" w:color="03365F"/>
              <w:left w:val="nil"/>
              <w:bottom w:val="single" w:sz="8" w:space="0" w:color="03365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+12.6</w:t>
            </w:r>
          </w:p>
        </w:tc>
        <w:tc>
          <w:tcPr>
            <w:tcW w:w="791" w:type="dxa"/>
            <w:tcBorders>
              <w:top w:val="single" w:sz="4" w:space="0" w:color="03365F"/>
              <w:left w:val="nil"/>
              <w:bottom w:val="single" w:sz="8" w:space="0" w:color="03365F"/>
              <w:right w:val="nil"/>
            </w:tcBorders>
            <w:shd w:val="clear" w:color="000000" w:fill="FFFFFF"/>
            <w:noWrap/>
            <w:vAlign w:val="bottom"/>
            <w:hideMark/>
          </w:tcPr>
          <w:p w:rsidR="0096378C" w:rsidRPr="0096378C" w:rsidRDefault="0096378C" w:rsidP="0096378C">
            <w:pPr>
              <w:widowControl/>
              <w:rPr>
                <w:rFonts w:ascii="Arial Narrow" w:eastAsia="Times New Roman" w:hAnsi="Arial Narrow" w:cs="Calibri"/>
                <w:b/>
                <w:bCs/>
                <w:color w:val="03365F"/>
                <w:sz w:val="20"/>
                <w:szCs w:val="20"/>
              </w:rPr>
            </w:pPr>
            <w:proofErr w:type="spellStart"/>
            <w:proofErr w:type="gramStart"/>
            <w:r w:rsidRPr="0096378C">
              <w:rPr>
                <w:rFonts w:ascii="Arial Narrow" w:eastAsia="Times New Roman" w:hAnsi="Arial Narrow" w:cs="Calibri"/>
                <w:b/>
                <w:bCs/>
                <w:color w:val="03365F"/>
                <w:sz w:val="20"/>
                <w:szCs w:val="20"/>
              </w:rPr>
              <w:t>ppts</w:t>
            </w:r>
            <w:proofErr w:type="spellEnd"/>
            <w:proofErr w:type="gramEnd"/>
            <w:r w:rsidRPr="0096378C">
              <w:rPr>
                <w:rFonts w:ascii="Arial Narrow" w:eastAsia="Times New Roman" w:hAnsi="Arial Narrow" w:cs="Calibri"/>
                <w:b/>
                <w:bCs/>
                <w:color w:val="03365F"/>
                <w:sz w:val="20"/>
                <w:szCs w:val="20"/>
              </w:rPr>
              <w:t>.</w:t>
            </w:r>
          </w:p>
        </w:tc>
      </w:tr>
      <w:tr w:rsidR="0096378C" w:rsidRPr="0096378C" w:rsidTr="001368F3">
        <w:trPr>
          <w:trHeight w:val="75"/>
        </w:trPr>
        <w:tc>
          <w:tcPr>
            <w:tcW w:w="4608" w:type="dxa"/>
            <w:tcBorders>
              <w:top w:val="nil"/>
              <w:left w:val="nil"/>
              <w:bottom w:val="nil"/>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b/>
                <w:bCs/>
                <w:color w:val="03365F"/>
                <w:sz w:val="20"/>
                <w:szCs w:val="20"/>
              </w:rPr>
            </w:pPr>
          </w:p>
        </w:tc>
        <w:tc>
          <w:tcPr>
            <w:tcW w:w="967"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c>
          <w:tcPr>
            <w:tcW w:w="855"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c>
          <w:tcPr>
            <w:tcW w:w="796"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c>
          <w:tcPr>
            <w:tcW w:w="791" w:type="dxa"/>
            <w:tcBorders>
              <w:top w:val="nil"/>
              <w:left w:val="nil"/>
              <w:bottom w:val="nil"/>
              <w:right w:val="nil"/>
            </w:tcBorders>
            <w:shd w:val="clear" w:color="auto" w:fill="auto"/>
            <w:noWrap/>
            <w:vAlign w:val="bottom"/>
            <w:hideMark/>
          </w:tcPr>
          <w:p w:rsidR="0096378C" w:rsidRPr="0096378C" w:rsidRDefault="0096378C" w:rsidP="0096378C">
            <w:pPr>
              <w:widowControl/>
              <w:rPr>
                <w:rFonts w:ascii="Times New Roman" w:eastAsia="Times New Roman" w:hAnsi="Times New Roman" w:cs="Times New Roman"/>
                <w:sz w:val="20"/>
                <w:szCs w:val="20"/>
              </w:rPr>
            </w:pPr>
          </w:p>
        </w:tc>
      </w:tr>
      <w:tr w:rsidR="0096378C" w:rsidRPr="0096378C" w:rsidTr="001368F3">
        <w:trPr>
          <w:trHeight w:val="510"/>
        </w:trPr>
        <w:tc>
          <w:tcPr>
            <w:tcW w:w="4608" w:type="dxa"/>
            <w:tcBorders>
              <w:top w:val="nil"/>
              <w:left w:val="nil"/>
              <w:bottom w:val="nil"/>
              <w:right w:val="nil"/>
            </w:tcBorders>
            <w:shd w:val="clear" w:color="000000" w:fill="03365F"/>
            <w:noWrap/>
            <w:vAlign w:val="center"/>
            <w:hideMark/>
          </w:tcPr>
          <w:p w:rsidR="0096378C" w:rsidRPr="0096378C" w:rsidRDefault="0096378C" w:rsidP="0096378C">
            <w:pPr>
              <w:widowControl/>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Balance sheet items in €m</w:t>
            </w:r>
          </w:p>
        </w:tc>
        <w:tc>
          <w:tcPr>
            <w:tcW w:w="967" w:type="dxa"/>
            <w:tcBorders>
              <w:top w:val="nil"/>
              <w:left w:val="nil"/>
              <w:bottom w:val="nil"/>
              <w:right w:val="nil"/>
            </w:tcBorders>
            <w:shd w:val="clear" w:color="000000" w:fill="03365F"/>
            <w:vAlign w:val="center"/>
            <w:hideMark/>
          </w:tcPr>
          <w:p w:rsidR="0096378C" w:rsidRPr="0096378C" w:rsidRDefault="0096378C" w:rsidP="0096378C">
            <w:pPr>
              <w:widowControl/>
              <w:jc w:val="right"/>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H1-19</w:t>
            </w:r>
          </w:p>
        </w:tc>
        <w:tc>
          <w:tcPr>
            <w:tcW w:w="855" w:type="dxa"/>
            <w:tcBorders>
              <w:top w:val="nil"/>
              <w:left w:val="nil"/>
              <w:bottom w:val="nil"/>
              <w:right w:val="nil"/>
            </w:tcBorders>
            <w:shd w:val="clear" w:color="000000" w:fill="18B3B9"/>
            <w:noWrap/>
            <w:vAlign w:val="center"/>
            <w:hideMark/>
          </w:tcPr>
          <w:p w:rsidR="0096378C" w:rsidRPr="0096378C" w:rsidRDefault="0096378C" w:rsidP="0096378C">
            <w:pPr>
              <w:widowControl/>
              <w:jc w:val="right"/>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H1-20</w:t>
            </w:r>
          </w:p>
        </w:tc>
        <w:tc>
          <w:tcPr>
            <w:tcW w:w="796" w:type="dxa"/>
            <w:tcBorders>
              <w:top w:val="nil"/>
              <w:left w:val="nil"/>
              <w:bottom w:val="nil"/>
              <w:right w:val="nil"/>
            </w:tcBorders>
            <w:shd w:val="clear" w:color="000000" w:fill="03365F"/>
            <w:noWrap/>
            <w:vAlign w:val="center"/>
            <w:hideMark/>
          </w:tcPr>
          <w:p w:rsidR="0096378C" w:rsidRPr="0096378C" w:rsidRDefault="0096378C" w:rsidP="0096378C">
            <w:pPr>
              <w:widowControl/>
              <w:jc w:val="center"/>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w:t>
            </w:r>
          </w:p>
        </w:tc>
        <w:tc>
          <w:tcPr>
            <w:tcW w:w="791" w:type="dxa"/>
            <w:tcBorders>
              <w:top w:val="nil"/>
              <w:left w:val="nil"/>
              <w:bottom w:val="nil"/>
              <w:right w:val="nil"/>
            </w:tcBorders>
            <w:shd w:val="clear" w:color="000000" w:fill="03365F"/>
            <w:vAlign w:val="center"/>
            <w:hideMark/>
          </w:tcPr>
          <w:p w:rsidR="0096378C" w:rsidRPr="0096378C" w:rsidRDefault="0096378C" w:rsidP="0096378C">
            <w:pPr>
              <w:widowControl/>
              <w:jc w:val="center"/>
              <w:rPr>
                <w:rFonts w:ascii="Arial Narrow" w:eastAsia="Times New Roman" w:hAnsi="Arial Narrow" w:cs="Calibri"/>
                <w:b/>
                <w:bCs/>
                <w:color w:val="FFFFFF"/>
                <w:sz w:val="20"/>
                <w:szCs w:val="20"/>
              </w:rPr>
            </w:pPr>
            <w:r w:rsidRPr="0096378C">
              <w:rPr>
                <w:rFonts w:ascii="Arial Narrow" w:eastAsia="Times New Roman" w:hAnsi="Arial Narrow" w:cs="Calibri"/>
                <w:b/>
                <w:bCs/>
                <w:color w:val="FFFFFF"/>
                <w:sz w:val="20"/>
                <w:szCs w:val="20"/>
              </w:rPr>
              <w:t xml:space="preserve">% </w:t>
            </w:r>
            <w:r w:rsidRPr="0096378C">
              <w:rPr>
                <w:rFonts w:ascii="Arial Narrow" w:eastAsia="Times New Roman" w:hAnsi="Arial Narrow" w:cs="Calibri"/>
                <w:b/>
                <w:bCs/>
                <w:color w:val="FFFFFF"/>
                <w:sz w:val="20"/>
                <w:szCs w:val="20"/>
              </w:rPr>
              <w:br/>
              <w:t>ex. FX</w:t>
            </w:r>
            <w:r>
              <w:rPr>
                <w:rFonts w:ascii="Arial Narrow" w:eastAsia="Times New Roman" w:hAnsi="Arial Narrow" w:cs="Calibri"/>
                <w:b/>
                <w:bCs/>
                <w:color w:val="FFFFFF"/>
                <w:sz w:val="20"/>
                <w:szCs w:val="20"/>
              </w:rPr>
              <w:t>*</w:t>
            </w:r>
          </w:p>
        </w:tc>
      </w:tr>
      <w:tr w:rsidR="0096378C" w:rsidRPr="0096378C" w:rsidTr="001368F3">
        <w:trPr>
          <w:trHeight w:val="300"/>
        </w:trPr>
        <w:tc>
          <w:tcPr>
            <w:tcW w:w="4608" w:type="dxa"/>
            <w:tcBorders>
              <w:top w:val="single" w:sz="4" w:space="0" w:color="BFBFBF"/>
              <w:left w:val="nil"/>
              <w:bottom w:val="nil"/>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Total Equity (group share)</w:t>
            </w:r>
          </w:p>
        </w:tc>
        <w:tc>
          <w:tcPr>
            <w:tcW w:w="967" w:type="dxa"/>
            <w:tcBorders>
              <w:top w:val="single" w:sz="4" w:space="0" w:color="BFBFBF"/>
              <w:left w:val="nil"/>
              <w:bottom w:val="nil"/>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1,814.8</w:t>
            </w:r>
          </w:p>
        </w:tc>
        <w:tc>
          <w:tcPr>
            <w:tcW w:w="855" w:type="dxa"/>
            <w:tcBorders>
              <w:top w:val="single" w:sz="4" w:space="0" w:color="BFBFBF"/>
              <w:left w:val="nil"/>
              <w:bottom w:val="nil"/>
              <w:right w:val="nil"/>
            </w:tcBorders>
            <w:shd w:val="clear" w:color="000000" w:fill="D1F0F1"/>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1,916.2</w:t>
            </w:r>
          </w:p>
        </w:tc>
        <w:tc>
          <w:tcPr>
            <w:tcW w:w="796" w:type="dxa"/>
            <w:tcBorders>
              <w:top w:val="single" w:sz="4" w:space="0" w:color="BFBFBF"/>
              <w:left w:val="nil"/>
              <w:bottom w:val="nil"/>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+5.6%</w:t>
            </w:r>
          </w:p>
        </w:tc>
        <w:tc>
          <w:tcPr>
            <w:tcW w:w="791" w:type="dxa"/>
            <w:tcBorders>
              <w:top w:val="single" w:sz="4" w:space="0" w:color="BFBFBF"/>
              <w:left w:val="nil"/>
              <w:bottom w:val="nil"/>
              <w:right w:val="nil"/>
            </w:tcBorders>
            <w:shd w:val="clear" w:color="000000" w:fill="FFFFFF"/>
            <w:noWrap/>
            <w:vAlign w:val="bottom"/>
            <w:hideMark/>
          </w:tcPr>
          <w:p w:rsidR="0096378C" w:rsidRPr="0096378C" w:rsidRDefault="0096378C" w:rsidP="0096378C">
            <w:pPr>
              <w:widowControl/>
              <w:rPr>
                <w:rFonts w:ascii="Arial Narrow" w:eastAsia="Times New Roman" w:hAnsi="Arial Narrow" w:cs="Calibri"/>
                <w:sz w:val="20"/>
                <w:szCs w:val="20"/>
              </w:rPr>
            </w:pPr>
            <w:r w:rsidRPr="0096378C">
              <w:rPr>
                <w:rFonts w:ascii="Arial Narrow" w:eastAsia="Times New Roman" w:hAnsi="Arial Narrow" w:cs="Calibri"/>
                <w:sz w:val="20"/>
                <w:szCs w:val="20"/>
              </w:rPr>
              <w:t> </w:t>
            </w:r>
          </w:p>
        </w:tc>
      </w:tr>
      <w:tr w:rsidR="0096378C" w:rsidRPr="0096378C" w:rsidTr="001368F3">
        <w:trPr>
          <w:trHeight w:val="315"/>
        </w:trPr>
        <w:tc>
          <w:tcPr>
            <w:tcW w:w="4608" w:type="dxa"/>
            <w:tcBorders>
              <w:top w:val="single" w:sz="4" w:space="0" w:color="03365F"/>
              <w:left w:val="nil"/>
              <w:bottom w:val="single" w:sz="8" w:space="0" w:color="03365F"/>
              <w:right w:val="nil"/>
            </w:tcBorders>
            <w:shd w:val="clear" w:color="auto" w:fill="auto"/>
            <w:noWrap/>
            <w:vAlign w:val="bottom"/>
            <w:hideMark/>
          </w:tcPr>
          <w:p w:rsidR="0096378C" w:rsidRPr="0096378C" w:rsidRDefault="0096378C" w:rsidP="0096378C">
            <w:pPr>
              <w:widowControl/>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SOLVENCY RATIO</w:t>
            </w:r>
          </w:p>
        </w:tc>
        <w:tc>
          <w:tcPr>
            <w:tcW w:w="967" w:type="dxa"/>
            <w:tcBorders>
              <w:top w:val="single" w:sz="4" w:space="0" w:color="03365F"/>
              <w:left w:val="nil"/>
              <w:bottom w:val="single" w:sz="8" w:space="0" w:color="03365F"/>
              <w:right w:val="nil"/>
            </w:tcBorders>
            <w:shd w:val="clear" w:color="000000" w:fill="FFFFFF"/>
            <w:noWrap/>
            <w:vAlign w:val="bottom"/>
            <w:hideMark/>
          </w:tcPr>
          <w:p w:rsidR="0096378C" w:rsidRPr="0096378C" w:rsidRDefault="0096378C" w:rsidP="0096378C">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162%</w:t>
            </w:r>
            <w:r w:rsidR="001368F3" w:rsidRPr="001368F3">
              <w:rPr>
                <w:rFonts w:ascii="Arial Narrow" w:eastAsia="Times New Roman" w:hAnsi="Arial Narrow" w:cs="Calibri"/>
                <w:b/>
                <w:bCs/>
                <w:color w:val="03365F"/>
                <w:sz w:val="20"/>
                <w:szCs w:val="20"/>
                <w:vertAlign w:val="superscript"/>
              </w:rPr>
              <w:t>1</w:t>
            </w:r>
          </w:p>
        </w:tc>
        <w:tc>
          <w:tcPr>
            <w:tcW w:w="855" w:type="dxa"/>
            <w:tcBorders>
              <w:top w:val="single" w:sz="4" w:space="0" w:color="03365F"/>
              <w:left w:val="nil"/>
              <w:bottom w:val="single" w:sz="8" w:space="0" w:color="03365F"/>
              <w:right w:val="nil"/>
            </w:tcBorders>
            <w:shd w:val="clear" w:color="000000" w:fill="D1F0F1"/>
            <w:noWrap/>
            <w:vAlign w:val="bottom"/>
            <w:hideMark/>
          </w:tcPr>
          <w:p w:rsidR="0096378C" w:rsidRPr="0096378C" w:rsidRDefault="0096378C" w:rsidP="00497236">
            <w:pPr>
              <w:widowControl/>
              <w:jc w:val="right"/>
              <w:rPr>
                <w:rFonts w:ascii="Arial Narrow" w:eastAsia="Times New Roman" w:hAnsi="Arial Narrow" w:cs="Calibri"/>
                <w:b/>
                <w:bCs/>
                <w:color w:val="03365F"/>
                <w:sz w:val="20"/>
                <w:szCs w:val="20"/>
              </w:rPr>
            </w:pPr>
            <w:r w:rsidRPr="0096378C">
              <w:rPr>
                <w:rFonts w:ascii="Arial Narrow" w:eastAsia="Times New Roman" w:hAnsi="Arial Narrow" w:cs="Calibri"/>
                <w:b/>
                <w:bCs/>
                <w:color w:val="03365F"/>
                <w:sz w:val="20"/>
                <w:szCs w:val="20"/>
              </w:rPr>
              <w:t>1</w:t>
            </w:r>
            <w:r w:rsidR="00497236">
              <w:rPr>
                <w:rFonts w:ascii="Arial Narrow" w:eastAsia="Times New Roman" w:hAnsi="Arial Narrow" w:cs="Calibri"/>
                <w:b/>
                <w:bCs/>
                <w:color w:val="03365F"/>
                <w:sz w:val="20"/>
                <w:szCs w:val="20"/>
              </w:rPr>
              <w:t>91</w:t>
            </w:r>
            <w:r w:rsidRPr="0096378C">
              <w:rPr>
                <w:rFonts w:ascii="Arial Narrow" w:eastAsia="Times New Roman" w:hAnsi="Arial Narrow" w:cs="Calibri"/>
                <w:b/>
                <w:bCs/>
                <w:color w:val="03365F"/>
                <w:sz w:val="20"/>
                <w:szCs w:val="20"/>
              </w:rPr>
              <w:t>%</w:t>
            </w:r>
            <w:r w:rsidR="001368F3" w:rsidRPr="001368F3">
              <w:rPr>
                <w:rFonts w:ascii="Arial Narrow" w:eastAsia="Times New Roman" w:hAnsi="Arial Narrow" w:cs="Calibri"/>
                <w:b/>
                <w:bCs/>
                <w:color w:val="03365F"/>
                <w:sz w:val="20"/>
                <w:szCs w:val="20"/>
                <w:vertAlign w:val="superscript"/>
              </w:rPr>
              <w:t>2</w:t>
            </w:r>
          </w:p>
        </w:tc>
        <w:tc>
          <w:tcPr>
            <w:tcW w:w="796" w:type="dxa"/>
            <w:tcBorders>
              <w:top w:val="single" w:sz="4" w:space="0" w:color="03365F"/>
              <w:left w:val="nil"/>
              <w:bottom w:val="single" w:sz="8" w:space="0" w:color="03365F"/>
              <w:right w:val="nil"/>
            </w:tcBorders>
            <w:shd w:val="clear" w:color="000000" w:fill="FFFFFF"/>
            <w:noWrap/>
            <w:vAlign w:val="bottom"/>
            <w:hideMark/>
          </w:tcPr>
          <w:p w:rsidR="0096378C" w:rsidRPr="0096378C" w:rsidRDefault="0096378C" w:rsidP="00497236">
            <w:pPr>
              <w:widowControl/>
              <w:jc w:val="right"/>
              <w:rPr>
                <w:rFonts w:ascii="Arial Narrow" w:eastAsia="Times New Roman" w:hAnsi="Arial Narrow" w:cs="Calibri"/>
                <w:sz w:val="20"/>
                <w:szCs w:val="20"/>
              </w:rPr>
            </w:pPr>
            <w:r w:rsidRPr="0096378C">
              <w:rPr>
                <w:rFonts w:ascii="Arial Narrow" w:eastAsia="Times New Roman" w:hAnsi="Arial Narrow" w:cs="Calibri"/>
                <w:sz w:val="20"/>
                <w:szCs w:val="20"/>
              </w:rPr>
              <w:t>+2</w:t>
            </w:r>
            <w:r w:rsidR="00497236">
              <w:rPr>
                <w:rFonts w:ascii="Arial Narrow" w:eastAsia="Times New Roman" w:hAnsi="Arial Narrow" w:cs="Calibri"/>
                <w:sz w:val="20"/>
                <w:szCs w:val="20"/>
              </w:rPr>
              <w:t>9</w:t>
            </w:r>
          </w:p>
        </w:tc>
        <w:tc>
          <w:tcPr>
            <w:tcW w:w="791" w:type="dxa"/>
            <w:tcBorders>
              <w:top w:val="single" w:sz="4" w:space="0" w:color="03365F"/>
              <w:left w:val="nil"/>
              <w:bottom w:val="single" w:sz="8" w:space="0" w:color="03365F"/>
              <w:right w:val="nil"/>
            </w:tcBorders>
            <w:shd w:val="clear" w:color="000000" w:fill="FFFFFF"/>
            <w:noWrap/>
            <w:vAlign w:val="bottom"/>
            <w:hideMark/>
          </w:tcPr>
          <w:p w:rsidR="0096378C" w:rsidRPr="0096378C" w:rsidRDefault="0096378C" w:rsidP="0096378C">
            <w:pPr>
              <w:widowControl/>
              <w:rPr>
                <w:rFonts w:ascii="Arial Narrow" w:eastAsia="Times New Roman" w:hAnsi="Arial Narrow" w:cs="Calibri"/>
                <w:sz w:val="20"/>
                <w:szCs w:val="20"/>
              </w:rPr>
            </w:pPr>
            <w:proofErr w:type="spellStart"/>
            <w:proofErr w:type="gramStart"/>
            <w:r w:rsidRPr="0096378C">
              <w:rPr>
                <w:rFonts w:ascii="Arial Narrow" w:eastAsia="Times New Roman" w:hAnsi="Arial Narrow" w:cs="Calibri"/>
                <w:sz w:val="20"/>
                <w:szCs w:val="20"/>
              </w:rPr>
              <w:t>ppts</w:t>
            </w:r>
            <w:proofErr w:type="spellEnd"/>
            <w:proofErr w:type="gramEnd"/>
            <w:r w:rsidRPr="0096378C">
              <w:rPr>
                <w:rFonts w:ascii="Arial Narrow" w:eastAsia="Times New Roman" w:hAnsi="Arial Narrow" w:cs="Calibri"/>
                <w:sz w:val="20"/>
                <w:szCs w:val="20"/>
              </w:rPr>
              <w:t>.</w:t>
            </w:r>
          </w:p>
        </w:tc>
      </w:tr>
    </w:tbl>
    <w:p w:rsidR="008925A4" w:rsidRDefault="008925A4">
      <w:pPr>
        <w:widowControl/>
        <w:rPr>
          <w:rFonts w:ascii="Arial" w:hAnsi="Arial" w:cs="Arial"/>
          <w:bCs/>
          <w:i/>
          <w:sz w:val="20"/>
          <w:szCs w:val="20"/>
          <w:lang w:eastAsia="ar-SA"/>
        </w:rPr>
      </w:pPr>
    </w:p>
    <w:p w:rsidR="00492901" w:rsidRPr="00492901" w:rsidRDefault="00492901">
      <w:pPr>
        <w:widowControl/>
        <w:rPr>
          <w:rFonts w:ascii="Arial" w:hAnsi="Arial" w:cs="Arial"/>
          <w:bCs/>
          <w:i/>
          <w:sz w:val="20"/>
          <w:szCs w:val="20"/>
          <w:lang w:eastAsia="ar-SA"/>
        </w:rPr>
      </w:pPr>
    </w:p>
    <w:p w:rsidR="009E3348" w:rsidRPr="00D72E80" w:rsidRDefault="009E3348" w:rsidP="009E3348">
      <w:pPr>
        <w:pStyle w:val="FootnoteText"/>
        <w:rPr>
          <w:rFonts w:ascii="Arial Narrow" w:hAnsi="Arial Narrow"/>
          <w:sz w:val="14"/>
          <w:szCs w:val="14"/>
        </w:rPr>
      </w:pPr>
      <w:r w:rsidRPr="00D72E80">
        <w:rPr>
          <w:rFonts w:ascii="Arial Narrow" w:hAnsi="Arial Narrow"/>
          <w:sz w:val="14"/>
          <w:szCs w:val="14"/>
        </w:rPr>
        <w:t>* Also excludes scope impact</w:t>
      </w:r>
    </w:p>
    <w:p w:rsidR="009C5054" w:rsidRPr="00D72E80" w:rsidRDefault="009E3348" w:rsidP="001526F5">
      <w:pPr>
        <w:rPr>
          <w:rFonts w:ascii="Arial Narrow" w:hAnsi="Arial Narrow" w:cs="Arial"/>
          <w:bCs/>
          <w:sz w:val="14"/>
          <w:szCs w:val="14"/>
          <w:lang w:eastAsia="ar-SA"/>
        </w:rPr>
      </w:pPr>
      <w:r w:rsidRPr="00D72E80">
        <w:rPr>
          <w:rFonts w:ascii="Arial Narrow" w:hAnsi="Arial Narrow" w:cs="Arial"/>
          <w:bCs/>
          <w:sz w:val="14"/>
          <w:szCs w:val="14"/>
          <w:vertAlign w:val="superscript"/>
          <w:lang w:eastAsia="ar-SA"/>
        </w:rPr>
        <w:t>1</w:t>
      </w:r>
      <w:r w:rsidR="009C5054" w:rsidRPr="00D72E80">
        <w:rPr>
          <w:rFonts w:ascii="Arial Narrow" w:hAnsi="Arial Narrow" w:cs="Arial"/>
          <w:bCs/>
          <w:sz w:val="14"/>
          <w:szCs w:val="14"/>
          <w:lang w:eastAsia="ar-SA"/>
        </w:rPr>
        <w:t xml:space="preserve"> The estimated Solvency ratio disclosed is a preliminary calculation based on Coface’s interpretation of Solvency II.</w:t>
      </w:r>
      <w:r w:rsidR="001526F5" w:rsidRPr="00D72E80">
        <w:rPr>
          <w:rFonts w:ascii="Arial Narrow" w:hAnsi="Arial Narrow" w:cs="Arial"/>
          <w:bCs/>
          <w:sz w:val="14"/>
          <w:szCs w:val="14"/>
          <w:lang w:eastAsia="ar-SA"/>
        </w:rPr>
        <w:t xml:space="preserve"> </w:t>
      </w:r>
      <w:r w:rsidR="009C5054" w:rsidRPr="00D72E80">
        <w:rPr>
          <w:rFonts w:ascii="Arial Narrow" w:hAnsi="Arial Narrow" w:cs="Arial"/>
          <w:bCs/>
          <w:sz w:val="14"/>
          <w:szCs w:val="14"/>
          <w:lang w:eastAsia="ar-SA"/>
        </w:rPr>
        <w:t xml:space="preserve">The final calculation may differ from this preliminary calculation. The estimated Solvency ratio </w:t>
      </w:r>
      <w:proofErr w:type="gramStart"/>
      <w:r w:rsidR="009C5054" w:rsidRPr="00D72E80">
        <w:rPr>
          <w:rFonts w:ascii="Arial Narrow" w:hAnsi="Arial Narrow" w:cs="Arial"/>
          <w:bCs/>
          <w:sz w:val="14"/>
          <w:szCs w:val="14"/>
          <w:lang w:eastAsia="ar-SA"/>
        </w:rPr>
        <w:t>is not audited</w:t>
      </w:r>
      <w:proofErr w:type="gramEnd"/>
      <w:r w:rsidR="001526F5" w:rsidRPr="00D72E80">
        <w:rPr>
          <w:rFonts w:ascii="Arial Narrow" w:hAnsi="Arial Narrow" w:cs="Arial"/>
          <w:bCs/>
          <w:sz w:val="14"/>
          <w:szCs w:val="14"/>
          <w:lang w:eastAsia="ar-SA"/>
        </w:rPr>
        <w:t>.</w:t>
      </w:r>
    </w:p>
    <w:p w:rsidR="009E3348" w:rsidRPr="00D72E80" w:rsidRDefault="00732472" w:rsidP="001526F5">
      <w:pPr>
        <w:rPr>
          <w:rFonts w:ascii="Arial Narrow" w:hAnsi="Arial Narrow" w:cs="Arial"/>
          <w:bCs/>
          <w:sz w:val="14"/>
          <w:szCs w:val="14"/>
          <w:lang w:eastAsia="ar-SA"/>
        </w:rPr>
      </w:pPr>
      <w:r w:rsidRPr="00D72E80">
        <w:rPr>
          <w:rFonts w:ascii="Arial Narrow" w:hAnsi="Arial Narrow" w:cs="Arial"/>
          <w:bCs/>
          <w:sz w:val="14"/>
          <w:szCs w:val="14"/>
          <w:vertAlign w:val="superscript"/>
          <w:lang w:eastAsia="ar-SA"/>
        </w:rPr>
        <w:t>2</w:t>
      </w:r>
      <w:r w:rsidRPr="00D72E80">
        <w:rPr>
          <w:rFonts w:ascii="Arial Narrow" w:hAnsi="Arial Narrow" w:cs="Arial"/>
          <w:bCs/>
          <w:sz w:val="14"/>
          <w:szCs w:val="14"/>
          <w:lang w:eastAsia="ar-SA"/>
        </w:rPr>
        <w:t xml:space="preserve"> This estimated solvency ratio constitutes a preliminary calculation made according to Coface’s interpretation of Solvency II regulations and using the Partial Internal Model. The result of the definitive calculation may differ from the preliminary calculation. The estimated solvency ratio </w:t>
      </w:r>
      <w:proofErr w:type="gramStart"/>
      <w:r w:rsidRPr="00D72E80">
        <w:rPr>
          <w:rFonts w:ascii="Arial Narrow" w:hAnsi="Arial Narrow" w:cs="Arial"/>
          <w:bCs/>
          <w:sz w:val="14"/>
          <w:szCs w:val="14"/>
          <w:lang w:eastAsia="ar-SA"/>
        </w:rPr>
        <w:t>is not audited</w:t>
      </w:r>
      <w:proofErr w:type="gramEnd"/>
    </w:p>
    <w:p w:rsidR="009E3348" w:rsidRPr="00D72E80" w:rsidRDefault="009E3348" w:rsidP="001526F5">
      <w:pPr>
        <w:rPr>
          <w:rFonts w:ascii="Arial" w:hAnsi="Arial" w:cs="Arial"/>
          <w:bCs/>
          <w:sz w:val="20"/>
          <w:szCs w:val="20"/>
          <w:lang w:eastAsia="ar-SA"/>
        </w:rPr>
      </w:pPr>
    </w:p>
    <w:p w:rsidR="00927AEA" w:rsidRPr="00732472" w:rsidRDefault="00927AEA">
      <w:pPr>
        <w:widowControl/>
        <w:rPr>
          <w:rFonts w:ascii="Arial" w:hAnsi="Arial" w:cs="Arial"/>
          <w:bCs/>
          <w:i/>
          <w:sz w:val="20"/>
          <w:szCs w:val="20"/>
          <w:lang w:eastAsia="ar-SA"/>
        </w:rPr>
      </w:pPr>
      <w:r w:rsidRPr="00732472">
        <w:rPr>
          <w:rFonts w:ascii="Arial" w:hAnsi="Arial" w:cs="Arial"/>
          <w:bCs/>
          <w:i/>
          <w:sz w:val="20"/>
          <w:szCs w:val="20"/>
          <w:lang w:eastAsia="ar-SA"/>
        </w:rPr>
        <w:br w:type="page"/>
      </w:r>
    </w:p>
    <w:p w:rsidR="00A2397E" w:rsidRPr="00F45B90" w:rsidRDefault="00C95B05" w:rsidP="00EC73D9">
      <w:pPr>
        <w:widowControl/>
        <w:numPr>
          <w:ilvl w:val="0"/>
          <w:numId w:val="16"/>
        </w:numPr>
        <w:autoSpaceDE w:val="0"/>
        <w:autoSpaceDN w:val="0"/>
        <w:adjustRightInd w:val="0"/>
        <w:spacing w:line="276" w:lineRule="auto"/>
        <w:jc w:val="both"/>
        <w:rPr>
          <w:rFonts w:ascii="Arial Narrow" w:eastAsia="Calibri" w:hAnsi="Arial Narrow" w:cs="Arial"/>
          <w:b/>
          <w:sz w:val="20"/>
          <w:szCs w:val="20"/>
          <w:lang w:eastAsia="en-US"/>
        </w:rPr>
      </w:pPr>
      <w:r w:rsidRPr="00F45B90">
        <w:rPr>
          <w:rFonts w:ascii="Arial Narrow" w:eastAsia="Calibri" w:hAnsi="Arial Narrow" w:cs="Arial"/>
          <w:b/>
          <w:bCs/>
          <w:sz w:val="20"/>
          <w:szCs w:val="20"/>
          <w:lang w:eastAsia="en-US"/>
        </w:rPr>
        <w:lastRenderedPageBreak/>
        <w:t>Turnover</w:t>
      </w:r>
    </w:p>
    <w:p w:rsidR="00492024" w:rsidRPr="00F45B90" w:rsidRDefault="00492024" w:rsidP="000D5C6E">
      <w:pPr>
        <w:suppressAutoHyphens/>
        <w:spacing w:line="276" w:lineRule="auto"/>
        <w:jc w:val="both"/>
        <w:rPr>
          <w:rFonts w:ascii="Arial Narrow" w:hAnsi="Arial Narrow" w:cs="Arial"/>
          <w:sz w:val="20"/>
          <w:szCs w:val="20"/>
          <w:lang w:eastAsia="fr-FR"/>
        </w:rPr>
      </w:pPr>
    </w:p>
    <w:p w:rsidR="00F45B90" w:rsidRPr="00460610" w:rsidRDefault="00F45B90" w:rsidP="00F45B90">
      <w:pPr>
        <w:suppressAutoHyphens/>
        <w:spacing w:after="120" w:line="276" w:lineRule="auto"/>
        <w:jc w:val="both"/>
        <w:rPr>
          <w:rFonts w:ascii="Arial Narrow" w:hAnsi="Arial Narrow" w:cs="Arial"/>
          <w:sz w:val="20"/>
          <w:szCs w:val="20"/>
          <w:lang w:eastAsia="fr-FR"/>
        </w:rPr>
      </w:pPr>
      <w:r w:rsidRPr="00F45B90">
        <w:rPr>
          <w:rFonts w:ascii="Arial Narrow" w:hAnsi="Arial Narrow" w:cs="Arial"/>
          <w:sz w:val="20"/>
          <w:szCs w:val="20"/>
          <w:lang w:eastAsia="fr-FR"/>
        </w:rPr>
        <w:t xml:space="preserve">Coface recorded consolidated sales of €724.6m for H1-2020, down by -0.6% at constant FX and perimeter compared to H1-2019. On a reported </w:t>
      </w:r>
      <w:r w:rsidRPr="009655F7">
        <w:rPr>
          <w:rFonts w:ascii="Arial Narrow" w:hAnsi="Arial Narrow" w:cs="Arial"/>
          <w:sz w:val="20"/>
          <w:szCs w:val="20"/>
          <w:lang w:eastAsia="fr-FR"/>
        </w:rPr>
        <w:t xml:space="preserve">basis (at current </w:t>
      </w:r>
      <w:r>
        <w:rPr>
          <w:rFonts w:ascii="Arial Narrow" w:hAnsi="Arial Narrow" w:cs="Arial"/>
          <w:sz w:val="20"/>
          <w:szCs w:val="20"/>
          <w:lang w:eastAsia="fr-FR"/>
        </w:rPr>
        <w:t xml:space="preserve">FX and perimeter), turnover </w:t>
      </w:r>
      <w:r w:rsidR="00486DDC">
        <w:rPr>
          <w:rFonts w:ascii="Arial Narrow" w:hAnsi="Arial Narrow" w:cs="Arial"/>
          <w:sz w:val="20"/>
          <w:szCs w:val="20"/>
          <w:lang w:eastAsia="fr-FR"/>
        </w:rPr>
        <w:t>was</w:t>
      </w:r>
      <w:r>
        <w:rPr>
          <w:rFonts w:ascii="Arial Narrow" w:hAnsi="Arial Narrow" w:cs="Arial"/>
          <w:sz w:val="20"/>
          <w:szCs w:val="20"/>
          <w:lang w:eastAsia="fr-FR"/>
        </w:rPr>
        <w:t xml:space="preserve"> down </w:t>
      </w:r>
      <w:r w:rsidRPr="009655F7">
        <w:rPr>
          <w:rFonts w:ascii="Arial Narrow" w:hAnsi="Arial Narrow" w:cs="Arial"/>
          <w:sz w:val="20"/>
          <w:szCs w:val="20"/>
          <w:lang w:eastAsia="fr-FR"/>
        </w:rPr>
        <w:t xml:space="preserve">by -1.1%. These figures include the contribution of Coface PKZ, </w:t>
      </w:r>
      <w:r>
        <w:rPr>
          <w:rFonts w:ascii="Arial Narrow" w:hAnsi="Arial Narrow" w:cs="Arial"/>
          <w:sz w:val="20"/>
          <w:szCs w:val="20"/>
          <w:lang w:eastAsia="fr-FR"/>
        </w:rPr>
        <w:t>the</w:t>
      </w:r>
      <w:r w:rsidRPr="009655F7">
        <w:rPr>
          <w:rFonts w:ascii="Arial Narrow" w:hAnsi="Arial Narrow" w:cs="Arial"/>
          <w:sz w:val="20"/>
          <w:szCs w:val="20"/>
          <w:lang w:eastAsia="fr-FR"/>
        </w:rPr>
        <w:t xml:space="preserve"> activity that </w:t>
      </w:r>
      <w:proofErr w:type="gramStart"/>
      <w:r w:rsidRPr="009655F7">
        <w:rPr>
          <w:rFonts w:ascii="Arial Narrow" w:hAnsi="Arial Narrow" w:cs="Arial"/>
          <w:sz w:val="20"/>
          <w:szCs w:val="20"/>
          <w:lang w:eastAsia="fr-FR"/>
        </w:rPr>
        <w:t>was integrated</w:t>
      </w:r>
      <w:proofErr w:type="gramEnd"/>
      <w:r w:rsidRPr="009655F7">
        <w:rPr>
          <w:rFonts w:ascii="Arial Narrow" w:hAnsi="Arial Narrow" w:cs="Arial"/>
          <w:sz w:val="20"/>
          <w:szCs w:val="20"/>
          <w:lang w:eastAsia="fr-FR"/>
        </w:rPr>
        <w:t xml:space="preserve"> during Q2-2019. </w:t>
      </w:r>
    </w:p>
    <w:p w:rsidR="00F45B90" w:rsidRPr="000D7DD4" w:rsidRDefault="00F45B90" w:rsidP="00F45B90">
      <w:pPr>
        <w:suppressAutoHyphens/>
        <w:spacing w:after="120" w:line="276" w:lineRule="auto"/>
        <w:jc w:val="both"/>
        <w:rPr>
          <w:rFonts w:ascii="Arial Narrow" w:hAnsi="Arial Narrow" w:cs="Arial"/>
          <w:sz w:val="20"/>
          <w:szCs w:val="20"/>
          <w:lang w:eastAsia="fr-FR"/>
        </w:rPr>
      </w:pPr>
      <w:r w:rsidRPr="000D7DD4">
        <w:rPr>
          <w:rFonts w:ascii="Arial Narrow" w:hAnsi="Arial Narrow" w:cs="Arial"/>
          <w:sz w:val="20"/>
          <w:szCs w:val="20"/>
          <w:lang w:eastAsia="fr-FR"/>
        </w:rPr>
        <w:t>Turnover has been affected by the decline</w:t>
      </w:r>
      <w:r>
        <w:rPr>
          <w:rFonts w:ascii="Arial Narrow" w:hAnsi="Arial Narrow" w:cs="Arial"/>
          <w:sz w:val="20"/>
          <w:szCs w:val="20"/>
          <w:lang w:eastAsia="fr-FR"/>
        </w:rPr>
        <w:t xml:space="preserve"> (and anticipated decline)</w:t>
      </w:r>
      <w:r w:rsidRPr="000D7DD4">
        <w:rPr>
          <w:rFonts w:ascii="Arial Narrow" w:hAnsi="Arial Narrow" w:cs="Arial"/>
          <w:sz w:val="20"/>
          <w:szCs w:val="20"/>
          <w:lang w:eastAsia="fr-FR"/>
        </w:rPr>
        <w:t xml:space="preserve"> in client activities.</w:t>
      </w:r>
      <w:r>
        <w:rPr>
          <w:rFonts w:ascii="Arial Narrow" w:hAnsi="Arial Narrow" w:cs="Arial"/>
          <w:sz w:val="20"/>
          <w:szCs w:val="20"/>
          <w:lang w:eastAsia="fr-FR"/>
        </w:rPr>
        <w:t xml:space="preserve"> </w:t>
      </w:r>
      <w:r w:rsidRPr="000D7DD4">
        <w:rPr>
          <w:rFonts w:ascii="Arial Narrow" w:hAnsi="Arial Narrow" w:cs="Arial"/>
          <w:sz w:val="20"/>
          <w:szCs w:val="20"/>
          <w:lang w:eastAsia="fr-FR"/>
        </w:rPr>
        <w:t xml:space="preserve">This deceleration </w:t>
      </w:r>
      <w:proofErr w:type="gramStart"/>
      <w:r w:rsidRPr="000D7DD4">
        <w:rPr>
          <w:rFonts w:ascii="Arial Narrow" w:hAnsi="Arial Narrow" w:cs="Arial"/>
          <w:sz w:val="20"/>
          <w:szCs w:val="20"/>
          <w:lang w:eastAsia="fr-FR"/>
        </w:rPr>
        <w:t>is expected</w:t>
      </w:r>
      <w:proofErr w:type="gramEnd"/>
      <w:r w:rsidRPr="000D7DD4">
        <w:rPr>
          <w:rFonts w:ascii="Arial Narrow" w:hAnsi="Arial Narrow" w:cs="Arial"/>
          <w:sz w:val="20"/>
          <w:szCs w:val="20"/>
          <w:lang w:eastAsia="fr-FR"/>
        </w:rPr>
        <w:t xml:space="preserve"> to continue over the coming quarters.</w:t>
      </w:r>
      <w:r>
        <w:rPr>
          <w:rFonts w:ascii="Arial Narrow" w:hAnsi="Arial Narrow" w:cs="Arial"/>
          <w:sz w:val="20"/>
          <w:szCs w:val="20"/>
          <w:lang w:eastAsia="fr-FR"/>
        </w:rPr>
        <w:t xml:space="preserve"> </w:t>
      </w:r>
      <w:r w:rsidRPr="000D7DD4">
        <w:rPr>
          <w:rFonts w:ascii="Arial Narrow" w:hAnsi="Arial Narrow" w:cs="Arial"/>
          <w:sz w:val="20"/>
          <w:szCs w:val="20"/>
          <w:lang w:eastAsia="fr-FR"/>
        </w:rPr>
        <w:t xml:space="preserve">The </w:t>
      </w:r>
      <w:r>
        <w:rPr>
          <w:rFonts w:ascii="Arial Narrow" w:hAnsi="Arial Narrow" w:cs="Arial"/>
          <w:sz w:val="20"/>
          <w:szCs w:val="20"/>
          <w:lang w:eastAsia="fr-FR"/>
        </w:rPr>
        <w:t xml:space="preserve">re-pricing effect has become </w:t>
      </w:r>
      <w:r w:rsidRPr="000D7DD4">
        <w:rPr>
          <w:rFonts w:ascii="Arial Narrow" w:hAnsi="Arial Narrow" w:cs="Arial"/>
          <w:sz w:val="20"/>
          <w:szCs w:val="20"/>
          <w:lang w:eastAsia="fr-FR"/>
        </w:rPr>
        <w:t xml:space="preserve">positive </w:t>
      </w:r>
      <w:r>
        <w:rPr>
          <w:rFonts w:ascii="Arial Narrow" w:hAnsi="Arial Narrow" w:cs="Arial"/>
          <w:sz w:val="20"/>
          <w:szCs w:val="20"/>
          <w:lang w:eastAsia="fr-FR"/>
        </w:rPr>
        <w:t xml:space="preserve">(at +0.2%) </w:t>
      </w:r>
      <w:r w:rsidRPr="000D7DD4">
        <w:rPr>
          <w:rFonts w:ascii="Arial Narrow" w:hAnsi="Arial Narrow" w:cs="Arial"/>
          <w:sz w:val="20"/>
          <w:szCs w:val="20"/>
          <w:lang w:eastAsia="fr-FR"/>
        </w:rPr>
        <w:t>for the first time in several years</w:t>
      </w:r>
      <w:r>
        <w:rPr>
          <w:rFonts w:ascii="Arial Narrow" w:hAnsi="Arial Narrow" w:cs="Arial"/>
          <w:sz w:val="20"/>
          <w:szCs w:val="20"/>
          <w:lang w:eastAsia="fr-FR"/>
        </w:rPr>
        <w:t xml:space="preserve">, showing </w:t>
      </w:r>
      <w:r w:rsidRPr="000D7DD4">
        <w:rPr>
          <w:rFonts w:ascii="Arial Narrow" w:hAnsi="Arial Narrow" w:cs="Arial"/>
          <w:sz w:val="20"/>
          <w:szCs w:val="20"/>
          <w:lang w:eastAsia="fr-FR"/>
        </w:rPr>
        <w:t xml:space="preserve">the first effects of </w:t>
      </w:r>
      <w:r>
        <w:rPr>
          <w:rFonts w:ascii="Arial Narrow" w:hAnsi="Arial Narrow" w:cs="Arial"/>
          <w:sz w:val="20"/>
          <w:szCs w:val="20"/>
          <w:lang w:eastAsia="fr-FR"/>
        </w:rPr>
        <w:t xml:space="preserve">the </w:t>
      </w:r>
      <w:r w:rsidRPr="000D7DD4">
        <w:rPr>
          <w:rFonts w:ascii="Arial Narrow" w:hAnsi="Arial Narrow" w:cs="Arial"/>
          <w:sz w:val="20"/>
          <w:szCs w:val="20"/>
          <w:lang w:eastAsia="fr-FR"/>
        </w:rPr>
        <w:t>portfolio re-pricing program</w:t>
      </w:r>
      <w:r>
        <w:rPr>
          <w:rFonts w:ascii="Arial Narrow" w:hAnsi="Arial Narrow" w:cs="Arial"/>
          <w:sz w:val="20"/>
          <w:szCs w:val="20"/>
          <w:lang w:eastAsia="fr-FR"/>
        </w:rPr>
        <w:t>me.</w:t>
      </w:r>
    </w:p>
    <w:p w:rsidR="00F45B90" w:rsidRPr="00F974F8" w:rsidRDefault="00F45B90" w:rsidP="00F45B90">
      <w:pPr>
        <w:suppressAutoHyphens/>
        <w:spacing w:after="120" w:line="276" w:lineRule="auto"/>
        <w:jc w:val="both"/>
        <w:rPr>
          <w:rFonts w:ascii="Arial Narrow" w:hAnsi="Arial Narrow" w:cs="Arial"/>
          <w:sz w:val="20"/>
          <w:szCs w:val="20"/>
          <w:lang w:eastAsia="fr-FR"/>
        </w:rPr>
      </w:pPr>
      <w:r w:rsidRPr="00F974F8">
        <w:rPr>
          <w:rFonts w:ascii="Arial Narrow" w:hAnsi="Arial Narrow" w:cs="Arial"/>
          <w:sz w:val="20"/>
          <w:szCs w:val="20"/>
          <w:lang w:eastAsia="fr-FR"/>
        </w:rPr>
        <w:t>The client retention remain</w:t>
      </w:r>
      <w:r w:rsidR="00CC1B60">
        <w:rPr>
          <w:rFonts w:ascii="Arial Narrow" w:hAnsi="Arial Narrow" w:cs="Arial"/>
          <w:sz w:val="20"/>
          <w:szCs w:val="20"/>
          <w:lang w:eastAsia="fr-FR"/>
        </w:rPr>
        <w:t>ed</w:t>
      </w:r>
      <w:r w:rsidRPr="00F974F8">
        <w:rPr>
          <w:rFonts w:ascii="Arial Narrow" w:hAnsi="Arial Narrow" w:cs="Arial"/>
          <w:sz w:val="20"/>
          <w:szCs w:val="20"/>
          <w:lang w:eastAsia="fr-FR"/>
        </w:rPr>
        <w:t xml:space="preserve"> high in all regions and reach</w:t>
      </w:r>
      <w:r>
        <w:rPr>
          <w:rFonts w:ascii="Arial Narrow" w:hAnsi="Arial Narrow" w:cs="Arial"/>
          <w:sz w:val="20"/>
          <w:szCs w:val="20"/>
          <w:lang w:eastAsia="fr-FR"/>
        </w:rPr>
        <w:t>ed</w:t>
      </w:r>
      <w:r w:rsidRPr="00F974F8">
        <w:rPr>
          <w:rFonts w:ascii="Arial Narrow" w:hAnsi="Arial Narrow" w:cs="Arial"/>
          <w:sz w:val="20"/>
          <w:szCs w:val="20"/>
          <w:lang w:eastAsia="fr-FR"/>
        </w:rPr>
        <w:t xml:space="preserve"> a new record level of 93</w:t>
      </w:r>
      <w:r>
        <w:rPr>
          <w:rFonts w:ascii="Arial Narrow" w:hAnsi="Arial Narrow" w:cs="Arial"/>
          <w:sz w:val="20"/>
          <w:szCs w:val="20"/>
          <w:lang w:eastAsia="fr-FR"/>
        </w:rPr>
        <w:t>.</w:t>
      </w:r>
      <w:r w:rsidRPr="00F974F8">
        <w:rPr>
          <w:rFonts w:ascii="Arial Narrow" w:hAnsi="Arial Narrow" w:cs="Arial"/>
          <w:sz w:val="20"/>
          <w:szCs w:val="20"/>
          <w:lang w:eastAsia="fr-FR"/>
        </w:rPr>
        <w:t>4% for the Group. New business</w:t>
      </w:r>
      <w:r>
        <w:rPr>
          <w:rFonts w:ascii="Arial Narrow" w:hAnsi="Arial Narrow" w:cs="Arial"/>
          <w:sz w:val="20"/>
          <w:szCs w:val="20"/>
          <w:lang w:eastAsia="fr-FR"/>
        </w:rPr>
        <w:t xml:space="preserve">, at </w:t>
      </w:r>
      <w:r w:rsidRPr="00460610">
        <w:rPr>
          <w:rFonts w:ascii="Arial Narrow" w:hAnsi="Arial Narrow" w:cs="Arial"/>
          <w:sz w:val="20"/>
          <w:szCs w:val="20"/>
          <w:lang w:eastAsia="fr-FR"/>
        </w:rPr>
        <w:t>€</w:t>
      </w:r>
      <w:r>
        <w:rPr>
          <w:rFonts w:ascii="Arial Narrow" w:hAnsi="Arial Narrow" w:cs="Arial"/>
          <w:sz w:val="20"/>
          <w:szCs w:val="20"/>
          <w:lang w:eastAsia="fr-FR"/>
        </w:rPr>
        <w:t>86m,</w:t>
      </w:r>
      <w:r w:rsidRPr="00F974F8">
        <w:rPr>
          <w:rFonts w:ascii="Arial Narrow" w:hAnsi="Arial Narrow" w:cs="Arial"/>
          <w:sz w:val="20"/>
          <w:szCs w:val="20"/>
          <w:lang w:eastAsia="fr-FR"/>
        </w:rPr>
        <w:t xml:space="preserve"> confirm</w:t>
      </w:r>
      <w:r>
        <w:rPr>
          <w:rFonts w:ascii="Arial Narrow" w:hAnsi="Arial Narrow" w:cs="Arial"/>
          <w:sz w:val="20"/>
          <w:szCs w:val="20"/>
          <w:lang w:eastAsia="fr-FR"/>
        </w:rPr>
        <w:t xml:space="preserve">ed </w:t>
      </w:r>
      <w:r w:rsidRPr="00F974F8">
        <w:rPr>
          <w:rFonts w:ascii="Arial Narrow" w:hAnsi="Arial Narrow" w:cs="Arial"/>
          <w:sz w:val="20"/>
          <w:szCs w:val="20"/>
          <w:lang w:eastAsia="fr-FR"/>
        </w:rPr>
        <w:t>the relative recovery seen in the first quarter</w:t>
      </w:r>
      <w:r>
        <w:rPr>
          <w:rFonts w:ascii="Arial Narrow" w:hAnsi="Arial Narrow" w:cs="Arial"/>
          <w:sz w:val="20"/>
          <w:szCs w:val="20"/>
          <w:lang w:eastAsia="fr-FR"/>
        </w:rPr>
        <w:t xml:space="preserve">. This was a rise of </w:t>
      </w:r>
      <w:r w:rsidRPr="00F974F8">
        <w:rPr>
          <w:rFonts w:ascii="Arial Narrow" w:hAnsi="Arial Narrow" w:cs="Arial"/>
          <w:sz w:val="20"/>
          <w:szCs w:val="20"/>
          <w:lang w:eastAsia="fr-FR"/>
        </w:rPr>
        <w:t>32%</w:t>
      </w:r>
      <w:r>
        <w:rPr>
          <w:rFonts w:ascii="Arial Narrow" w:hAnsi="Arial Narrow" w:cs="Arial"/>
          <w:sz w:val="20"/>
          <w:szCs w:val="20"/>
          <w:lang w:eastAsia="fr-FR"/>
        </w:rPr>
        <w:t>,</w:t>
      </w:r>
      <w:r w:rsidRPr="00F974F8">
        <w:rPr>
          <w:rFonts w:ascii="Arial Narrow" w:hAnsi="Arial Narrow" w:cs="Arial"/>
          <w:sz w:val="20"/>
          <w:szCs w:val="20"/>
          <w:lang w:eastAsia="fr-FR"/>
        </w:rPr>
        <w:t xml:space="preserve"> despite an unchanged </w:t>
      </w:r>
      <w:r>
        <w:rPr>
          <w:rFonts w:ascii="Arial Narrow" w:hAnsi="Arial Narrow" w:cs="Arial"/>
          <w:sz w:val="20"/>
          <w:szCs w:val="20"/>
          <w:lang w:eastAsia="fr-FR"/>
        </w:rPr>
        <w:t xml:space="preserve">appetite for </w:t>
      </w:r>
      <w:r w:rsidRPr="00F974F8">
        <w:rPr>
          <w:rFonts w:ascii="Arial Narrow" w:hAnsi="Arial Narrow" w:cs="Arial"/>
          <w:sz w:val="20"/>
          <w:szCs w:val="20"/>
          <w:lang w:eastAsia="fr-FR"/>
        </w:rPr>
        <w:t xml:space="preserve">risk. Net production on the portfolio showed a positive result of </w:t>
      </w:r>
      <w:r w:rsidRPr="00460610">
        <w:rPr>
          <w:rFonts w:ascii="Arial Narrow" w:hAnsi="Arial Narrow" w:cs="Arial"/>
          <w:sz w:val="20"/>
          <w:szCs w:val="20"/>
          <w:lang w:eastAsia="fr-FR"/>
        </w:rPr>
        <w:t>€</w:t>
      </w:r>
      <w:r w:rsidRPr="00F974F8">
        <w:rPr>
          <w:rFonts w:ascii="Arial Narrow" w:hAnsi="Arial Narrow" w:cs="Arial"/>
          <w:sz w:val="20"/>
          <w:szCs w:val="20"/>
          <w:lang w:eastAsia="fr-FR"/>
        </w:rPr>
        <w:t>33</w:t>
      </w:r>
      <w:r>
        <w:rPr>
          <w:rFonts w:ascii="Arial Narrow" w:hAnsi="Arial Narrow" w:cs="Arial"/>
          <w:sz w:val="20"/>
          <w:szCs w:val="20"/>
          <w:lang w:eastAsia="fr-FR"/>
        </w:rPr>
        <w:t>m</w:t>
      </w:r>
      <w:r w:rsidRPr="00F974F8">
        <w:rPr>
          <w:rFonts w:ascii="Arial Narrow" w:hAnsi="Arial Narrow" w:cs="Arial"/>
          <w:sz w:val="20"/>
          <w:szCs w:val="20"/>
          <w:lang w:eastAsia="fr-FR"/>
        </w:rPr>
        <w:t>.</w:t>
      </w:r>
    </w:p>
    <w:p w:rsidR="00F45B90" w:rsidRPr="00F974F8" w:rsidRDefault="00F45B90" w:rsidP="00F45B90">
      <w:pPr>
        <w:suppressAutoHyphens/>
        <w:spacing w:after="120" w:line="276" w:lineRule="auto"/>
        <w:jc w:val="both"/>
        <w:rPr>
          <w:rFonts w:ascii="Arial Narrow" w:hAnsi="Arial Narrow" w:cs="Arial"/>
          <w:sz w:val="20"/>
          <w:szCs w:val="20"/>
          <w:lang w:eastAsia="fr-FR"/>
        </w:rPr>
      </w:pPr>
      <w:r w:rsidRPr="00F974F8">
        <w:rPr>
          <w:rFonts w:ascii="Arial Narrow" w:hAnsi="Arial Narrow" w:cs="Arial"/>
          <w:sz w:val="20"/>
          <w:szCs w:val="20"/>
          <w:lang w:eastAsia="fr-FR"/>
        </w:rPr>
        <w:t>Turnover from insurance activities (including bonding and Single Risk) was down by -2</w:t>
      </w:r>
      <w:r>
        <w:rPr>
          <w:rFonts w:ascii="Arial Narrow" w:hAnsi="Arial Narrow" w:cs="Arial"/>
          <w:sz w:val="20"/>
          <w:szCs w:val="20"/>
          <w:lang w:eastAsia="fr-FR"/>
        </w:rPr>
        <w:t>.</w:t>
      </w:r>
      <w:r w:rsidRPr="00F974F8">
        <w:rPr>
          <w:rFonts w:ascii="Arial Narrow" w:hAnsi="Arial Narrow" w:cs="Arial"/>
          <w:sz w:val="20"/>
          <w:szCs w:val="20"/>
          <w:lang w:eastAsia="fr-FR"/>
        </w:rPr>
        <w:t xml:space="preserve">3% at constant FX and perimeter compared to </w:t>
      </w:r>
      <w:r>
        <w:rPr>
          <w:rFonts w:ascii="Arial Narrow" w:hAnsi="Arial Narrow" w:cs="Arial"/>
          <w:sz w:val="20"/>
          <w:szCs w:val="20"/>
          <w:lang w:eastAsia="fr-FR"/>
        </w:rPr>
        <w:t>H</w:t>
      </w:r>
      <w:r w:rsidRPr="00F974F8">
        <w:rPr>
          <w:rFonts w:ascii="Arial Narrow" w:hAnsi="Arial Narrow" w:cs="Arial"/>
          <w:sz w:val="20"/>
          <w:szCs w:val="20"/>
          <w:lang w:eastAsia="fr-FR"/>
        </w:rPr>
        <w:t>1-2019.</w:t>
      </w:r>
      <w:r>
        <w:rPr>
          <w:rFonts w:ascii="Arial Narrow" w:hAnsi="Arial Narrow" w:cs="Arial"/>
          <w:sz w:val="20"/>
          <w:szCs w:val="20"/>
          <w:lang w:eastAsia="fr-FR"/>
        </w:rPr>
        <w:t xml:space="preserve"> </w:t>
      </w:r>
      <w:r w:rsidRPr="00F974F8">
        <w:rPr>
          <w:rFonts w:ascii="Arial Narrow" w:hAnsi="Arial Narrow" w:cs="Arial"/>
          <w:sz w:val="20"/>
          <w:szCs w:val="20"/>
          <w:lang w:eastAsia="fr-FR"/>
        </w:rPr>
        <w:t>This reflects the s</w:t>
      </w:r>
      <w:r>
        <w:rPr>
          <w:rFonts w:ascii="Arial Narrow" w:hAnsi="Arial Narrow" w:cs="Arial"/>
          <w:sz w:val="20"/>
          <w:szCs w:val="20"/>
          <w:lang w:eastAsia="fr-FR"/>
        </w:rPr>
        <w:t>l</w:t>
      </w:r>
      <w:r w:rsidRPr="00F974F8">
        <w:rPr>
          <w:rFonts w:ascii="Arial Narrow" w:hAnsi="Arial Narrow" w:cs="Arial"/>
          <w:sz w:val="20"/>
          <w:szCs w:val="20"/>
          <w:lang w:eastAsia="fr-FR"/>
        </w:rPr>
        <w:t xml:space="preserve">owing in client activities, past and anticipated. </w:t>
      </w:r>
    </w:p>
    <w:p w:rsidR="00F45B90" w:rsidRPr="00F45B90" w:rsidRDefault="00F45B90" w:rsidP="00F45B90">
      <w:pPr>
        <w:suppressAutoHyphens/>
        <w:spacing w:after="120" w:line="276" w:lineRule="auto"/>
        <w:jc w:val="both"/>
        <w:rPr>
          <w:rFonts w:ascii="Arial Narrow" w:hAnsi="Arial Narrow" w:cs="Arial"/>
          <w:sz w:val="20"/>
          <w:szCs w:val="20"/>
          <w:lang w:eastAsia="fr-FR"/>
        </w:rPr>
      </w:pPr>
      <w:r>
        <w:rPr>
          <w:rFonts w:ascii="Arial Narrow" w:hAnsi="Arial Narrow" w:cs="Arial"/>
          <w:sz w:val="20"/>
          <w:szCs w:val="20"/>
          <w:lang w:eastAsia="fr-FR"/>
        </w:rPr>
        <w:t xml:space="preserve">Revenues from other activities </w:t>
      </w:r>
      <w:r w:rsidRPr="00F974F8">
        <w:rPr>
          <w:rFonts w:ascii="Arial Narrow" w:hAnsi="Arial Narrow" w:cs="Arial"/>
          <w:sz w:val="20"/>
          <w:szCs w:val="20"/>
          <w:lang w:eastAsia="fr-FR"/>
        </w:rPr>
        <w:t>(factoring and services) were down by -1</w:t>
      </w:r>
      <w:r>
        <w:rPr>
          <w:rFonts w:ascii="Arial Narrow" w:hAnsi="Arial Narrow" w:cs="Arial"/>
          <w:sz w:val="20"/>
          <w:szCs w:val="20"/>
          <w:lang w:eastAsia="fr-FR"/>
        </w:rPr>
        <w:t>.</w:t>
      </w:r>
      <w:r w:rsidRPr="00F974F8">
        <w:rPr>
          <w:rFonts w:ascii="Arial Narrow" w:hAnsi="Arial Narrow" w:cs="Arial"/>
          <w:sz w:val="20"/>
          <w:szCs w:val="20"/>
          <w:lang w:eastAsia="fr-FR"/>
        </w:rPr>
        <w:t xml:space="preserve">3% compared to </w:t>
      </w:r>
      <w:r>
        <w:rPr>
          <w:rFonts w:ascii="Arial Narrow" w:hAnsi="Arial Narrow" w:cs="Arial"/>
          <w:sz w:val="20"/>
          <w:szCs w:val="20"/>
          <w:lang w:eastAsia="fr-FR"/>
        </w:rPr>
        <w:t>H</w:t>
      </w:r>
      <w:r w:rsidRPr="00F974F8">
        <w:rPr>
          <w:rFonts w:ascii="Arial Narrow" w:hAnsi="Arial Narrow" w:cs="Arial"/>
          <w:sz w:val="20"/>
          <w:szCs w:val="20"/>
          <w:lang w:eastAsia="fr-FR"/>
        </w:rPr>
        <w:t xml:space="preserve">1-2019. </w:t>
      </w:r>
      <w:r w:rsidRPr="002A3FD3">
        <w:rPr>
          <w:rFonts w:ascii="Arial Narrow" w:hAnsi="Arial Narrow" w:cs="Arial"/>
          <w:sz w:val="20"/>
          <w:szCs w:val="20"/>
          <w:lang w:eastAsia="fr-FR"/>
        </w:rPr>
        <w:t>The decline in factoring (-13</w:t>
      </w:r>
      <w:r>
        <w:rPr>
          <w:rFonts w:ascii="Arial Narrow" w:hAnsi="Arial Narrow" w:cs="Arial"/>
          <w:sz w:val="20"/>
          <w:szCs w:val="20"/>
          <w:lang w:eastAsia="fr-FR"/>
        </w:rPr>
        <w:t>.</w:t>
      </w:r>
      <w:r w:rsidRPr="002A3FD3">
        <w:rPr>
          <w:rFonts w:ascii="Arial Narrow" w:hAnsi="Arial Narrow" w:cs="Arial"/>
          <w:sz w:val="20"/>
          <w:szCs w:val="20"/>
          <w:lang w:eastAsia="fr-FR"/>
        </w:rPr>
        <w:t>8% at constant FX and perimeter) is due to the sharp contraction in</w:t>
      </w:r>
      <w:r>
        <w:rPr>
          <w:rFonts w:ascii="Arial Narrow" w:hAnsi="Arial Narrow" w:cs="Arial"/>
          <w:sz w:val="20"/>
          <w:szCs w:val="20"/>
          <w:lang w:eastAsia="fr-FR"/>
        </w:rPr>
        <w:t xml:space="preserve"> financed</w:t>
      </w:r>
      <w:r w:rsidRPr="002A3FD3">
        <w:rPr>
          <w:rFonts w:ascii="Arial Narrow" w:hAnsi="Arial Narrow" w:cs="Arial"/>
          <w:sz w:val="20"/>
          <w:szCs w:val="20"/>
          <w:lang w:eastAsia="fr-FR"/>
        </w:rPr>
        <w:t xml:space="preserve"> volumes</w:t>
      </w:r>
      <w:r>
        <w:rPr>
          <w:rFonts w:ascii="Arial Narrow" w:hAnsi="Arial Narrow" w:cs="Arial"/>
          <w:sz w:val="20"/>
          <w:szCs w:val="20"/>
          <w:lang w:eastAsia="fr-FR"/>
        </w:rPr>
        <w:t xml:space="preserve">, although this is </w:t>
      </w:r>
      <w:r w:rsidRPr="00F45B90">
        <w:rPr>
          <w:rFonts w:ascii="Arial Narrow" w:hAnsi="Arial Narrow" w:cs="Arial"/>
          <w:sz w:val="20"/>
          <w:szCs w:val="20"/>
          <w:lang w:eastAsia="fr-FR"/>
        </w:rPr>
        <w:t>partially offset by portfolio re-pricing. Growth in services stood at + 7%, driven by a rise in information services (+ 13%).</w:t>
      </w:r>
    </w:p>
    <w:p w:rsidR="00E132C0" w:rsidRPr="00F45B90" w:rsidRDefault="00E132C0" w:rsidP="00F45B90">
      <w:pPr>
        <w:suppressAutoHyphens/>
        <w:jc w:val="both"/>
        <w:rPr>
          <w:rFonts w:ascii="Arial Narrow" w:hAnsi="Arial Narrow" w:cs="Arial"/>
          <w:sz w:val="20"/>
          <w:szCs w:val="20"/>
          <w:lang w:eastAsia="fr-FR"/>
        </w:rPr>
      </w:pPr>
    </w:p>
    <w:tbl>
      <w:tblPr>
        <w:tblW w:w="6105" w:type="dxa"/>
        <w:jc w:val="center"/>
        <w:tblLook w:val="04A0" w:firstRow="1" w:lastRow="0" w:firstColumn="1" w:lastColumn="0" w:noHBand="0" w:noVBand="1"/>
      </w:tblPr>
      <w:tblGrid>
        <w:gridCol w:w="2914"/>
        <w:gridCol w:w="764"/>
        <w:gridCol w:w="754"/>
        <w:gridCol w:w="882"/>
        <w:gridCol w:w="791"/>
      </w:tblGrid>
      <w:tr w:rsidR="00F45B90" w:rsidRPr="00F45B90" w:rsidTr="003F24FA">
        <w:trPr>
          <w:trHeight w:val="510"/>
          <w:jc w:val="center"/>
        </w:trPr>
        <w:tc>
          <w:tcPr>
            <w:tcW w:w="2914" w:type="dxa"/>
            <w:tcBorders>
              <w:top w:val="nil"/>
              <w:left w:val="nil"/>
              <w:bottom w:val="single" w:sz="4" w:space="0" w:color="FFFFFF"/>
              <w:right w:val="nil"/>
            </w:tcBorders>
            <w:shd w:val="clear" w:color="000000" w:fill="03365F"/>
            <w:noWrap/>
            <w:vAlign w:val="center"/>
            <w:hideMark/>
          </w:tcPr>
          <w:p w:rsidR="00F45B90" w:rsidRPr="00F45B90" w:rsidRDefault="00F45B90" w:rsidP="003F24FA">
            <w:pPr>
              <w:widowControl/>
              <w:rPr>
                <w:rFonts w:ascii="Arial Narrow" w:eastAsia="Times New Roman" w:hAnsi="Arial Narrow" w:cs="Calibri"/>
                <w:b/>
                <w:bCs/>
                <w:color w:val="FFFFFF"/>
                <w:sz w:val="20"/>
                <w:szCs w:val="20"/>
              </w:rPr>
            </w:pPr>
            <w:r w:rsidRPr="00F45B90">
              <w:rPr>
                <w:rFonts w:ascii="Arial Narrow" w:eastAsia="Times New Roman" w:hAnsi="Arial Narrow" w:cs="Calibri"/>
                <w:b/>
                <w:bCs/>
                <w:color w:val="FFFFFF"/>
                <w:sz w:val="20"/>
                <w:szCs w:val="20"/>
              </w:rPr>
              <w:t>Total revenue - cumulated - in €m</w:t>
            </w:r>
          </w:p>
        </w:tc>
        <w:tc>
          <w:tcPr>
            <w:tcW w:w="764" w:type="dxa"/>
            <w:tcBorders>
              <w:top w:val="nil"/>
              <w:left w:val="nil"/>
              <w:bottom w:val="nil"/>
              <w:right w:val="nil"/>
            </w:tcBorders>
            <w:shd w:val="clear" w:color="000000" w:fill="03365F"/>
            <w:vAlign w:val="center"/>
            <w:hideMark/>
          </w:tcPr>
          <w:p w:rsidR="00F45B90" w:rsidRPr="00F45B90" w:rsidRDefault="00F45B90" w:rsidP="00F45B90">
            <w:pPr>
              <w:widowControl/>
              <w:jc w:val="right"/>
              <w:rPr>
                <w:rFonts w:ascii="Arial Narrow" w:eastAsia="Times New Roman" w:hAnsi="Arial Narrow" w:cs="Calibri"/>
                <w:b/>
                <w:bCs/>
                <w:color w:val="FFFFFF"/>
                <w:sz w:val="20"/>
                <w:szCs w:val="20"/>
              </w:rPr>
            </w:pPr>
            <w:r w:rsidRPr="00F45B90">
              <w:rPr>
                <w:rFonts w:ascii="Arial Narrow" w:eastAsia="Times New Roman" w:hAnsi="Arial Narrow" w:cs="Calibri"/>
                <w:b/>
                <w:bCs/>
                <w:color w:val="FFFFFF"/>
                <w:sz w:val="20"/>
                <w:szCs w:val="20"/>
              </w:rPr>
              <w:t>H1-19</w:t>
            </w:r>
          </w:p>
        </w:tc>
        <w:tc>
          <w:tcPr>
            <w:tcW w:w="754" w:type="dxa"/>
            <w:tcBorders>
              <w:top w:val="nil"/>
              <w:left w:val="nil"/>
              <w:bottom w:val="nil"/>
              <w:right w:val="nil"/>
            </w:tcBorders>
            <w:shd w:val="clear" w:color="000000" w:fill="18B3B9"/>
            <w:noWrap/>
            <w:vAlign w:val="center"/>
            <w:hideMark/>
          </w:tcPr>
          <w:p w:rsidR="00F45B90" w:rsidRPr="00F45B90" w:rsidRDefault="00F45B90" w:rsidP="00F45B90">
            <w:pPr>
              <w:widowControl/>
              <w:jc w:val="right"/>
              <w:rPr>
                <w:rFonts w:ascii="Arial Narrow" w:eastAsia="Times New Roman" w:hAnsi="Arial Narrow" w:cs="Calibri"/>
                <w:b/>
                <w:bCs/>
                <w:color w:val="FFFFFF"/>
                <w:sz w:val="20"/>
                <w:szCs w:val="20"/>
              </w:rPr>
            </w:pPr>
            <w:r w:rsidRPr="00F45B90">
              <w:rPr>
                <w:rFonts w:ascii="Arial Narrow" w:eastAsia="Times New Roman" w:hAnsi="Arial Narrow" w:cs="Calibri"/>
                <w:b/>
                <w:bCs/>
                <w:color w:val="FFFFFF"/>
                <w:sz w:val="20"/>
                <w:szCs w:val="20"/>
              </w:rPr>
              <w:t>H1-20</w:t>
            </w:r>
          </w:p>
        </w:tc>
        <w:tc>
          <w:tcPr>
            <w:tcW w:w="882" w:type="dxa"/>
            <w:tcBorders>
              <w:top w:val="nil"/>
              <w:left w:val="nil"/>
              <w:bottom w:val="nil"/>
              <w:right w:val="nil"/>
            </w:tcBorders>
            <w:shd w:val="clear" w:color="000000" w:fill="03365F"/>
            <w:noWrap/>
            <w:vAlign w:val="center"/>
            <w:hideMark/>
          </w:tcPr>
          <w:p w:rsidR="00F45B90" w:rsidRPr="00F45B90" w:rsidRDefault="00F45B90" w:rsidP="00F45B90">
            <w:pPr>
              <w:widowControl/>
              <w:jc w:val="center"/>
              <w:rPr>
                <w:rFonts w:ascii="Arial Narrow" w:eastAsia="Times New Roman" w:hAnsi="Arial Narrow" w:cs="Calibri"/>
                <w:b/>
                <w:bCs/>
                <w:color w:val="FFFFFF"/>
                <w:sz w:val="20"/>
                <w:szCs w:val="20"/>
              </w:rPr>
            </w:pPr>
            <w:r w:rsidRPr="00F45B90">
              <w:rPr>
                <w:rFonts w:ascii="Arial Narrow" w:eastAsia="Times New Roman" w:hAnsi="Arial Narrow" w:cs="Calibri"/>
                <w:b/>
                <w:bCs/>
                <w:color w:val="FFFFFF"/>
                <w:sz w:val="20"/>
                <w:szCs w:val="20"/>
              </w:rPr>
              <w:t>%</w:t>
            </w:r>
          </w:p>
        </w:tc>
        <w:tc>
          <w:tcPr>
            <w:tcW w:w="791" w:type="dxa"/>
            <w:tcBorders>
              <w:top w:val="nil"/>
              <w:left w:val="nil"/>
              <w:bottom w:val="nil"/>
              <w:right w:val="nil"/>
            </w:tcBorders>
            <w:shd w:val="clear" w:color="000000" w:fill="03365F"/>
            <w:vAlign w:val="center"/>
            <w:hideMark/>
          </w:tcPr>
          <w:p w:rsidR="00F45B90" w:rsidRPr="00F45B90" w:rsidRDefault="00F45B90" w:rsidP="003F24FA">
            <w:pPr>
              <w:widowControl/>
              <w:jc w:val="center"/>
              <w:rPr>
                <w:rFonts w:ascii="Arial Narrow" w:eastAsia="Times New Roman" w:hAnsi="Arial Narrow" w:cs="Calibri"/>
                <w:b/>
                <w:bCs/>
                <w:color w:val="FFFFFF"/>
                <w:sz w:val="20"/>
                <w:szCs w:val="20"/>
              </w:rPr>
            </w:pPr>
            <w:r w:rsidRPr="00F45B90">
              <w:rPr>
                <w:rFonts w:ascii="Arial Narrow" w:eastAsia="Times New Roman" w:hAnsi="Arial Narrow" w:cs="Calibri"/>
                <w:b/>
                <w:bCs/>
                <w:color w:val="FFFFFF"/>
                <w:sz w:val="20"/>
                <w:szCs w:val="20"/>
              </w:rPr>
              <w:t xml:space="preserve">% </w:t>
            </w:r>
            <w:r w:rsidRPr="00F45B90">
              <w:rPr>
                <w:rFonts w:ascii="Arial Narrow" w:eastAsia="Times New Roman" w:hAnsi="Arial Narrow" w:cs="Calibri"/>
                <w:b/>
                <w:bCs/>
                <w:color w:val="FFFFFF"/>
                <w:sz w:val="20"/>
                <w:szCs w:val="20"/>
              </w:rPr>
              <w:br/>
              <w:t>ex. F</w:t>
            </w:r>
            <w:r w:rsidR="003F24FA">
              <w:rPr>
                <w:rFonts w:ascii="Arial Narrow" w:eastAsia="Times New Roman" w:hAnsi="Arial Narrow" w:cs="Calibri"/>
                <w:b/>
                <w:bCs/>
                <w:color w:val="FFFFFF"/>
                <w:sz w:val="20"/>
                <w:szCs w:val="20"/>
              </w:rPr>
              <w:t>X</w:t>
            </w:r>
            <w:r w:rsidR="008B55B8" w:rsidRPr="008B55B8">
              <w:rPr>
                <w:rStyle w:val="FootnoteReference"/>
                <w:rFonts w:ascii="Arial Narrow" w:eastAsia="Times New Roman" w:hAnsi="Arial Narrow" w:cs="Calibri"/>
                <w:b/>
                <w:bCs/>
                <w:color w:val="FFFFFF"/>
                <w:sz w:val="20"/>
                <w:szCs w:val="20"/>
              </w:rPr>
              <w:footnoteReference w:customMarkFollows="1" w:id="2"/>
              <w:sym w:font="Symbol" w:char="F02A"/>
            </w:r>
          </w:p>
        </w:tc>
      </w:tr>
      <w:tr w:rsidR="00F45B90" w:rsidRPr="00F45B90" w:rsidTr="003F24FA">
        <w:trPr>
          <w:trHeight w:val="300"/>
          <w:jc w:val="center"/>
        </w:trPr>
        <w:tc>
          <w:tcPr>
            <w:tcW w:w="2914" w:type="dxa"/>
            <w:tcBorders>
              <w:top w:val="single" w:sz="4" w:space="0" w:color="BFBFBF"/>
              <w:left w:val="nil"/>
              <w:bottom w:val="single" w:sz="4" w:space="0" w:color="BFBFBF"/>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sz w:val="20"/>
                <w:szCs w:val="20"/>
              </w:rPr>
            </w:pPr>
            <w:r w:rsidRPr="00F45B90">
              <w:rPr>
                <w:rFonts w:ascii="Arial Narrow" w:eastAsia="Times New Roman" w:hAnsi="Arial Narrow" w:cs="Calibri"/>
                <w:sz w:val="20"/>
                <w:szCs w:val="20"/>
              </w:rPr>
              <w:t>Northern Europe</w:t>
            </w:r>
          </w:p>
        </w:tc>
        <w:tc>
          <w:tcPr>
            <w:tcW w:w="764" w:type="dxa"/>
            <w:tcBorders>
              <w:top w:val="single" w:sz="4" w:space="0" w:color="BFBFBF"/>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156.1</w:t>
            </w:r>
          </w:p>
        </w:tc>
        <w:tc>
          <w:tcPr>
            <w:tcW w:w="754" w:type="dxa"/>
            <w:tcBorders>
              <w:top w:val="single" w:sz="4" w:space="0" w:color="BFBFBF"/>
              <w:left w:val="nil"/>
              <w:bottom w:val="single" w:sz="4" w:space="0" w:color="BFBFBF"/>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147.0</w:t>
            </w:r>
          </w:p>
        </w:tc>
        <w:tc>
          <w:tcPr>
            <w:tcW w:w="882" w:type="dxa"/>
            <w:tcBorders>
              <w:top w:val="single" w:sz="4" w:space="0" w:color="BFBFBF"/>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(5.8)%</w:t>
            </w:r>
          </w:p>
        </w:tc>
        <w:tc>
          <w:tcPr>
            <w:tcW w:w="791" w:type="dxa"/>
            <w:tcBorders>
              <w:top w:val="single" w:sz="4" w:space="0" w:color="BFBFBF"/>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(5.8)%</w:t>
            </w:r>
          </w:p>
        </w:tc>
      </w:tr>
      <w:tr w:rsidR="00F45B90" w:rsidRPr="00F45B90" w:rsidTr="003F24FA">
        <w:trPr>
          <w:trHeight w:val="300"/>
          <w:jc w:val="center"/>
        </w:trPr>
        <w:tc>
          <w:tcPr>
            <w:tcW w:w="2914" w:type="dxa"/>
            <w:tcBorders>
              <w:top w:val="nil"/>
              <w:left w:val="nil"/>
              <w:bottom w:val="single" w:sz="4" w:space="0" w:color="BFBFBF"/>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sz w:val="20"/>
                <w:szCs w:val="20"/>
              </w:rPr>
            </w:pPr>
            <w:r w:rsidRPr="00F45B90">
              <w:rPr>
                <w:rFonts w:ascii="Arial Narrow" w:eastAsia="Times New Roman" w:hAnsi="Arial Narrow" w:cs="Calibri"/>
                <w:sz w:val="20"/>
                <w:szCs w:val="20"/>
              </w:rPr>
              <w:t>Western Europe</w:t>
            </w:r>
          </w:p>
        </w:tc>
        <w:tc>
          <w:tcPr>
            <w:tcW w:w="764"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147.5</w:t>
            </w:r>
          </w:p>
        </w:tc>
        <w:tc>
          <w:tcPr>
            <w:tcW w:w="754" w:type="dxa"/>
            <w:tcBorders>
              <w:top w:val="nil"/>
              <w:left w:val="nil"/>
              <w:bottom w:val="nil"/>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142.6</w:t>
            </w:r>
          </w:p>
        </w:tc>
        <w:tc>
          <w:tcPr>
            <w:tcW w:w="882"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(3.3)%</w:t>
            </w:r>
          </w:p>
        </w:tc>
        <w:tc>
          <w:tcPr>
            <w:tcW w:w="791"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(3.7)%</w:t>
            </w:r>
          </w:p>
        </w:tc>
      </w:tr>
      <w:tr w:rsidR="00F45B90" w:rsidRPr="00F45B90" w:rsidTr="003F24FA">
        <w:trPr>
          <w:trHeight w:val="315"/>
          <w:jc w:val="center"/>
        </w:trPr>
        <w:tc>
          <w:tcPr>
            <w:tcW w:w="2914" w:type="dxa"/>
            <w:tcBorders>
              <w:top w:val="nil"/>
              <w:left w:val="nil"/>
              <w:bottom w:val="single" w:sz="4" w:space="0" w:color="BFBFBF"/>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sz w:val="20"/>
                <w:szCs w:val="20"/>
              </w:rPr>
            </w:pPr>
            <w:r w:rsidRPr="00F45B90">
              <w:rPr>
                <w:rFonts w:ascii="Arial Narrow" w:eastAsia="Times New Roman" w:hAnsi="Arial Narrow" w:cs="Calibri"/>
                <w:sz w:val="20"/>
                <w:szCs w:val="20"/>
              </w:rPr>
              <w:t>Central &amp; Eastern Europe</w:t>
            </w:r>
          </w:p>
        </w:tc>
        <w:tc>
          <w:tcPr>
            <w:tcW w:w="764"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71.5</w:t>
            </w:r>
          </w:p>
        </w:tc>
        <w:tc>
          <w:tcPr>
            <w:tcW w:w="754" w:type="dxa"/>
            <w:tcBorders>
              <w:top w:val="single" w:sz="4" w:space="0" w:color="BFBFBF"/>
              <w:left w:val="nil"/>
              <w:bottom w:val="single" w:sz="4" w:space="0" w:color="BFBFBF"/>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73.5</w:t>
            </w:r>
          </w:p>
        </w:tc>
        <w:tc>
          <w:tcPr>
            <w:tcW w:w="882"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+2.8%</w:t>
            </w:r>
          </w:p>
        </w:tc>
        <w:tc>
          <w:tcPr>
            <w:tcW w:w="791"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+0.1%</w:t>
            </w:r>
          </w:p>
        </w:tc>
      </w:tr>
      <w:tr w:rsidR="00F45B90" w:rsidRPr="00F45B90" w:rsidTr="003F24FA">
        <w:trPr>
          <w:trHeight w:val="300"/>
          <w:jc w:val="center"/>
        </w:trPr>
        <w:tc>
          <w:tcPr>
            <w:tcW w:w="2914" w:type="dxa"/>
            <w:tcBorders>
              <w:top w:val="nil"/>
              <w:left w:val="nil"/>
              <w:bottom w:val="single" w:sz="4" w:space="0" w:color="BFBFBF"/>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sz w:val="20"/>
                <w:szCs w:val="20"/>
              </w:rPr>
            </w:pPr>
            <w:r w:rsidRPr="00F45B90">
              <w:rPr>
                <w:rFonts w:ascii="Arial Narrow" w:eastAsia="Times New Roman" w:hAnsi="Arial Narrow" w:cs="Calibri"/>
                <w:sz w:val="20"/>
                <w:szCs w:val="20"/>
              </w:rPr>
              <w:t>Mediterranean &amp; Africa</w:t>
            </w:r>
          </w:p>
        </w:tc>
        <w:tc>
          <w:tcPr>
            <w:tcW w:w="764"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190.9</w:t>
            </w:r>
          </w:p>
        </w:tc>
        <w:tc>
          <w:tcPr>
            <w:tcW w:w="754" w:type="dxa"/>
            <w:tcBorders>
              <w:top w:val="nil"/>
              <w:left w:val="nil"/>
              <w:bottom w:val="nil"/>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200.5</w:t>
            </w:r>
          </w:p>
        </w:tc>
        <w:tc>
          <w:tcPr>
            <w:tcW w:w="882"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+5.0%</w:t>
            </w:r>
          </w:p>
        </w:tc>
        <w:tc>
          <w:tcPr>
            <w:tcW w:w="791"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+5.6%</w:t>
            </w:r>
          </w:p>
        </w:tc>
      </w:tr>
      <w:tr w:rsidR="00F45B90" w:rsidRPr="00F45B90" w:rsidTr="003F24FA">
        <w:trPr>
          <w:trHeight w:val="300"/>
          <w:jc w:val="center"/>
        </w:trPr>
        <w:tc>
          <w:tcPr>
            <w:tcW w:w="2914" w:type="dxa"/>
            <w:tcBorders>
              <w:top w:val="nil"/>
              <w:left w:val="nil"/>
              <w:bottom w:val="single" w:sz="4" w:space="0" w:color="BFBFBF"/>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sz w:val="20"/>
                <w:szCs w:val="20"/>
              </w:rPr>
            </w:pPr>
            <w:r w:rsidRPr="00F45B90">
              <w:rPr>
                <w:rFonts w:ascii="Arial Narrow" w:eastAsia="Times New Roman" w:hAnsi="Arial Narrow" w:cs="Calibri"/>
                <w:sz w:val="20"/>
                <w:szCs w:val="20"/>
              </w:rPr>
              <w:t>North America</w:t>
            </w:r>
          </w:p>
        </w:tc>
        <w:tc>
          <w:tcPr>
            <w:tcW w:w="764"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68.1</w:t>
            </w:r>
          </w:p>
        </w:tc>
        <w:tc>
          <w:tcPr>
            <w:tcW w:w="754" w:type="dxa"/>
            <w:tcBorders>
              <w:top w:val="single" w:sz="4" w:space="0" w:color="BFBFBF"/>
              <w:left w:val="nil"/>
              <w:bottom w:val="single" w:sz="4" w:space="0" w:color="BFBFBF"/>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69.2</w:t>
            </w:r>
          </w:p>
        </w:tc>
        <w:tc>
          <w:tcPr>
            <w:tcW w:w="882"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+1.7%</w:t>
            </w:r>
          </w:p>
        </w:tc>
        <w:tc>
          <w:tcPr>
            <w:tcW w:w="791"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(0.5)%</w:t>
            </w:r>
          </w:p>
        </w:tc>
      </w:tr>
      <w:tr w:rsidR="00F45B90" w:rsidRPr="00F45B90" w:rsidTr="003F24FA">
        <w:trPr>
          <w:trHeight w:val="315"/>
          <w:jc w:val="center"/>
        </w:trPr>
        <w:tc>
          <w:tcPr>
            <w:tcW w:w="2914" w:type="dxa"/>
            <w:tcBorders>
              <w:top w:val="nil"/>
              <w:left w:val="nil"/>
              <w:bottom w:val="single" w:sz="4" w:space="0" w:color="BFBFBF"/>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sz w:val="20"/>
                <w:szCs w:val="20"/>
              </w:rPr>
            </w:pPr>
            <w:r w:rsidRPr="00F45B90">
              <w:rPr>
                <w:rFonts w:ascii="Arial Narrow" w:eastAsia="Times New Roman" w:hAnsi="Arial Narrow" w:cs="Calibri"/>
                <w:sz w:val="20"/>
                <w:szCs w:val="20"/>
              </w:rPr>
              <w:t>Latin America</w:t>
            </w:r>
          </w:p>
        </w:tc>
        <w:tc>
          <w:tcPr>
            <w:tcW w:w="764"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39.8</w:t>
            </w:r>
          </w:p>
        </w:tc>
        <w:tc>
          <w:tcPr>
            <w:tcW w:w="754" w:type="dxa"/>
            <w:tcBorders>
              <w:top w:val="nil"/>
              <w:left w:val="nil"/>
              <w:bottom w:val="nil"/>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34.7</w:t>
            </w:r>
          </w:p>
        </w:tc>
        <w:tc>
          <w:tcPr>
            <w:tcW w:w="882"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(12.8)%</w:t>
            </w:r>
          </w:p>
        </w:tc>
        <w:tc>
          <w:tcPr>
            <w:tcW w:w="791"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+5.8%</w:t>
            </w:r>
          </w:p>
        </w:tc>
      </w:tr>
      <w:tr w:rsidR="00F45B90" w:rsidRPr="00F45B90" w:rsidTr="003F24FA">
        <w:trPr>
          <w:trHeight w:val="300"/>
          <w:jc w:val="center"/>
        </w:trPr>
        <w:tc>
          <w:tcPr>
            <w:tcW w:w="2914" w:type="dxa"/>
            <w:tcBorders>
              <w:top w:val="nil"/>
              <w:left w:val="nil"/>
              <w:bottom w:val="nil"/>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sz w:val="20"/>
                <w:szCs w:val="20"/>
              </w:rPr>
            </w:pPr>
            <w:r w:rsidRPr="00F45B90">
              <w:rPr>
                <w:rFonts w:ascii="Arial Narrow" w:eastAsia="Times New Roman" w:hAnsi="Arial Narrow" w:cs="Calibri"/>
                <w:sz w:val="20"/>
                <w:szCs w:val="20"/>
              </w:rPr>
              <w:t>Asia Pacific</w:t>
            </w:r>
          </w:p>
        </w:tc>
        <w:tc>
          <w:tcPr>
            <w:tcW w:w="764"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58.7</w:t>
            </w:r>
          </w:p>
        </w:tc>
        <w:tc>
          <w:tcPr>
            <w:tcW w:w="754" w:type="dxa"/>
            <w:tcBorders>
              <w:top w:val="single" w:sz="4" w:space="0" w:color="BFBFBF"/>
              <w:left w:val="nil"/>
              <w:bottom w:val="single" w:sz="4" w:space="0" w:color="BFBFBF"/>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57.1</w:t>
            </w:r>
          </w:p>
        </w:tc>
        <w:tc>
          <w:tcPr>
            <w:tcW w:w="882"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(2.7)%</w:t>
            </w:r>
          </w:p>
        </w:tc>
        <w:tc>
          <w:tcPr>
            <w:tcW w:w="791" w:type="dxa"/>
            <w:tcBorders>
              <w:top w:val="nil"/>
              <w:left w:val="nil"/>
              <w:bottom w:val="single" w:sz="4" w:space="0" w:color="BFBFBF"/>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sz w:val="20"/>
                <w:szCs w:val="20"/>
              </w:rPr>
            </w:pPr>
            <w:r w:rsidRPr="00F45B90">
              <w:rPr>
                <w:rFonts w:ascii="Arial Narrow" w:eastAsia="Times New Roman" w:hAnsi="Arial Narrow" w:cs="Calibri"/>
                <w:sz w:val="20"/>
                <w:szCs w:val="20"/>
              </w:rPr>
              <w:t>(4.9)%</w:t>
            </w:r>
          </w:p>
        </w:tc>
      </w:tr>
      <w:tr w:rsidR="00F45B90" w:rsidRPr="00F45B90" w:rsidTr="003F24FA">
        <w:trPr>
          <w:trHeight w:val="315"/>
          <w:jc w:val="center"/>
        </w:trPr>
        <w:tc>
          <w:tcPr>
            <w:tcW w:w="2914" w:type="dxa"/>
            <w:tcBorders>
              <w:top w:val="single" w:sz="4" w:space="0" w:color="18B3B9"/>
              <w:left w:val="nil"/>
              <w:bottom w:val="single" w:sz="8" w:space="0" w:color="18B3B9"/>
              <w:right w:val="nil"/>
            </w:tcBorders>
            <w:shd w:val="clear" w:color="auto" w:fill="auto"/>
            <w:noWrap/>
            <w:vAlign w:val="bottom"/>
            <w:hideMark/>
          </w:tcPr>
          <w:p w:rsidR="00F45B90" w:rsidRPr="00F45B90" w:rsidRDefault="00F45B90" w:rsidP="00F45B90">
            <w:pPr>
              <w:widowControl/>
              <w:rPr>
                <w:rFonts w:ascii="Arial Narrow" w:eastAsia="Times New Roman" w:hAnsi="Arial Narrow" w:cs="Calibri"/>
                <w:b/>
                <w:bCs/>
                <w:color w:val="18B3B9"/>
                <w:sz w:val="20"/>
                <w:szCs w:val="20"/>
              </w:rPr>
            </w:pPr>
            <w:r w:rsidRPr="00F45B90">
              <w:rPr>
                <w:rFonts w:ascii="Arial Narrow" w:eastAsia="Times New Roman" w:hAnsi="Arial Narrow" w:cs="Calibri"/>
                <w:b/>
                <w:bCs/>
                <w:color w:val="18B3B9"/>
                <w:sz w:val="20"/>
                <w:szCs w:val="20"/>
              </w:rPr>
              <w:t>Total Group</w:t>
            </w:r>
          </w:p>
        </w:tc>
        <w:tc>
          <w:tcPr>
            <w:tcW w:w="764" w:type="dxa"/>
            <w:tcBorders>
              <w:top w:val="single" w:sz="4" w:space="0" w:color="18B3B9"/>
              <w:left w:val="nil"/>
              <w:bottom w:val="single" w:sz="8" w:space="0" w:color="18B3B9"/>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b/>
                <w:bCs/>
                <w:color w:val="18B3B9"/>
                <w:sz w:val="20"/>
                <w:szCs w:val="20"/>
              </w:rPr>
            </w:pPr>
            <w:r w:rsidRPr="00F45B90">
              <w:rPr>
                <w:rFonts w:ascii="Arial Narrow" w:eastAsia="Times New Roman" w:hAnsi="Arial Narrow" w:cs="Calibri"/>
                <w:b/>
                <w:bCs/>
                <w:color w:val="18B3B9"/>
                <w:sz w:val="20"/>
                <w:szCs w:val="20"/>
              </w:rPr>
              <w:t xml:space="preserve">732.6 </w:t>
            </w:r>
          </w:p>
        </w:tc>
        <w:tc>
          <w:tcPr>
            <w:tcW w:w="754" w:type="dxa"/>
            <w:tcBorders>
              <w:top w:val="single" w:sz="4" w:space="0" w:color="18B3B9"/>
              <w:left w:val="nil"/>
              <w:bottom w:val="single" w:sz="8" w:space="0" w:color="18B3B9"/>
              <w:right w:val="nil"/>
            </w:tcBorders>
            <w:shd w:val="clear" w:color="000000" w:fill="D1F0F1"/>
            <w:noWrap/>
            <w:vAlign w:val="bottom"/>
            <w:hideMark/>
          </w:tcPr>
          <w:p w:rsidR="00F45B90" w:rsidRPr="00F45B90" w:rsidRDefault="00F45B90" w:rsidP="00F45B90">
            <w:pPr>
              <w:widowControl/>
              <w:jc w:val="right"/>
              <w:rPr>
                <w:rFonts w:ascii="Arial Narrow" w:eastAsia="Times New Roman" w:hAnsi="Arial Narrow" w:cs="Calibri"/>
                <w:b/>
                <w:bCs/>
                <w:color w:val="18B3B9"/>
                <w:sz w:val="20"/>
                <w:szCs w:val="20"/>
              </w:rPr>
            </w:pPr>
            <w:r w:rsidRPr="00F45B90">
              <w:rPr>
                <w:rFonts w:ascii="Arial Narrow" w:eastAsia="Times New Roman" w:hAnsi="Arial Narrow" w:cs="Calibri"/>
                <w:b/>
                <w:bCs/>
                <w:color w:val="18B3B9"/>
                <w:sz w:val="20"/>
                <w:szCs w:val="20"/>
              </w:rPr>
              <w:t>724.6</w:t>
            </w:r>
          </w:p>
        </w:tc>
        <w:tc>
          <w:tcPr>
            <w:tcW w:w="882" w:type="dxa"/>
            <w:tcBorders>
              <w:top w:val="single" w:sz="4" w:space="0" w:color="18B3B9"/>
              <w:left w:val="nil"/>
              <w:bottom w:val="single" w:sz="8" w:space="0" w:color="18B3B9"/>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b/>
                <w:bCs/>
                <w:color w:val="18B3B9"/>
                <w:sz w:val="20"/>
                <w:szCs w:val="20"/>
              </w:rPr>
            </w:pPr>
            <w:r w:rsidRPr="00F45B90">
              <w:rPr>
                <w:rFonts w:ascii="Arial Narrow" w:eastAsia="Times New Roman" w:hAnsi="Arial Narrow" w:cs="Calibri"/>
                <w:b/>
                <w:bCs/>
                <w:color w:val="18B3B9"/>
                <w:sz w:val="20"/>
                <w:szCs w:val="20"/>
              </w:rPr>
              <w:t>(1.1)%</w:t>
            </w:r>
          </w:p>
        </w:tc>
        <w:tc>
          <w:tcPr>
            <w:tcW w:w="791" w:type="dxa"/>
            <w:tcBorders>
              <w:top w:val="single" w:sz="4" w:space="0" w:color="18B3B9"/>
              <w:left w:val="nil"/>
              <w:bottom w:val="single" w:sz="8" w:space="0" w:color="18B3B9"/>
              <w:right w:val="nil"/>
            </w:tcBorders>
            <w:shd w:val="clear" w:color="000000" w:fill="FFFFFF"/>
            <w:noWrap/>
            <w:vAlign w:val="bottom"/>
            <w:hideMark/>
          </w:tcPr>
          <w:p w:rsidR="00F45B90" w:rsidRPr="00F45B90" w:rsidRDefault="00F45B90" w:rsidP="00F45B90">
            <w:pPr>
              <w:widowControl/>
              <w:jc w:val="right"/>
              <w:rPr>
                <w:rFonts w:ascii="Arial Narrow" w:eastAsia="Times New Roman" w:hAnsi="Arial Narrow" w:cs="Calibri"/>
                <w:b/>
                <w:bCs/>
                <w:color w:val="18B3B9"/>
                <w:sz w:val="20"/>
                <w:szCs w:val="20"/>
              </w:rPr>
            </w:pPr>
            <w:r w:rsidRPr="00F45B90">
              <w:rPr>
                <w:rFonts w:ascii="Arial Narrow" w:eastAsia="Times New Roman" w:hAnsi="Arial Narrow" w:cs="Calibri"/>
                <w:b/>
                <w:bCs/>
                <w:color w:val="18B3B9"/>
                <w:sz w:val="20"/>
                <w:szCs w:val="20"/>
              </w:rPr>
              <w:t>(0.6)%</w:t>
            </w:r>
          </w:p>
        </w:tc>
      </w:tr>
    </w:tbl>
    <w:p w:rsidR="00C95B05" w:rsidRPr="007A22DC" w:rsidRDefault="00C95B05" w:rsidP="00183FEB">
      <w:pPr>
        <w:suppressAutoHyphens/>
        <w:jc w:val="both"/>
        <w:rPr>
          <w:rFonts w:ascii="Arial Narrow" w:hAnsi="Arial Narrow" w:cs="Arial"/>
          <w:sz w:val="20"/>
          <w:szCs w:val="20"/>
          <w:lang w:eastAsia="fr-FR"/>
        </w:rPr>
      </w:pPr>
    </w:p>
    <w:p w:rsidR="007A22DC" w:rsidRPr="00A508FA" w:rsidRDefault="007A22DC" w:rsidP="007A22DC">
      <w:pPr>
        <w:suppressAutoHyphens/>
        <w:spacing w:after="120" w:line="276" w:lineRule="auto"/>
        <w:jc w:val="both"/>
        <w:rPr>
          <w:rFonts w:ascii="Arial Narrow" w:hAnsi="Arial Narrow" w:cs="Arial"/>
          <w:sz w:val="20"/>
          <w:szCs w:val="20"/>
          <w:lang w:eastAsia="fr-FR"/>
        </w:rPr>
      </w:pPr>
      <w:r w:rsidRPr="00A508FA">
        <w:rPr>
          <w:rFonts w:ascii="Arial Narrow" w:hAnsi="Arial Narrow" w:cs="Arial"/>
          <w:sz w:val="20"/>
          <w:szCs w:val="20"/>
          <w:lang w:eastAsia="fr-FR"/>
        </w:rPr>
        <w:t xml:space="preserve">In the Northern Europe region, </w:t>
      </w:r>
      <w:r>
        <w:rPr>
          <w:rFonts w:ascii="Arial Narrow" w:hAnsi="Arial Narrow" w:cs="Arial"/>
          <w:sz w:val="20"/>
          <w:szCs w:val="20"/>
          <w:lang w:eastAsia="fr-FR"/>
        </w:rPr>
        <w:t>revenues decreased by -5.8% at constant and current</w:t>
      </w:r>
      <w:r w:rsidRPr="00A508FA">
        <w:rPr>
          <w:rFonts w:ascii="Arial Narrow" w:hAnsi="Arial Narrow" w:cs="Arial"/>
          <w:sz w:val="20"/>
          <w:szCs w:val="20"/>
          <w:lang w:eastAsia="fr-FR"/>
        </w:rPr>
        <w:t xml:space="preserve"> </w:t>
      </w:r>
      <w:r>
        <w:rPr>
          <w:rFonts w:ascii="Arial Narrow" w:hAnsi="Arial Narrow" w:cs="Arial"/>
          <w:sz w:val="20"/>
          <w:szCs w:val="20"/>
          <w:lang w:eastAsia="fr-FR"/>
        </w:rPr>
        <w:t>FX</w:t>
      </w:r>
      <w:r w:rsidRPr="00A508FA">
        <w:rPr>
          <w:rFonts w:ascii="Arial Narrow" w:hAnsi="Arial Narrow" w:cs="Arial"/>
          <w:sz w:val="20"/>
          <w:szCs w:val="20"/>
          <w:lang w:eastAsia="fr-FR"/>
        </w:rPr>
        <w:t xml:space="preserve"> mainly due to the d</w:t>
      </w:r>
      <w:r>
        <w:rPr>
          <w:rFonts w:ascii="Arial Narrow" w:hAnsi="Arial Narrow" w:cs="Arial"/>
          <w:sz w:val="20"/>
          <w:szCs w:val="20"/>
          <w:lang w:eastAsia="fr-FR"/>
        </w:rPr>
        <w:t>ecline</w:t>
      </w:r>
      <w:r w:rsidRPr="00A508FA">
        <w:rPr>
          <w:rFonts w:ascii="Arial Narrow" w:hAnsi="Arial Narrow" w:cs="Arial"/>
          <w:sz w:val="20"/>
          <w:szCs w:val="20"/>
          <w:lang w:eastAsia="fr-FR"/>
        </w:rPr>
        <w:t xml:space="preserve"> in factoring. Credit insurance was down -4%, </w:t>
      </w:r>
      <w:r>
        <w:rPr>
          <w:rFonts w:ascii="Arial Narrow" w:hAnsi="Arial Narrow" w:cs="Arial"/>
          <w:sz w:val="20"/>
          <w:szCs w:val="20"/>
          <w:lang w:eastAsia="fr-FR"/>
        </w:rPr>
        <w:t>supported</w:t>
      </w:r>
      <w:r w:rsidRPr="00A508FA">
        <w:rPr>
          <w:rFonts w:ascii="Arial Narrow" w:hAnsi="Arial Narrow" w:cs="Arial"/>
          <w:sz w:val="20"/>
          <w:szCs w:val="20"/>
          <w:lang w:eastAsia="fr-FR"/>
        </w:rPr>
        <w:t xml:space="preserve"> by strong retention and growing new business, but </w:t>
      </w:r>
      <w:r>
        <w:rPr>
          <w:rFonts w:ascii="Arial Narrow" w:hAnsi="Arial Narrow" w:cs="Arial"/>
          <w:sz w:val="20"/>
          <w:szCs w:val="20"/>
          <w:lang w:eastAsia="fr-FR"/>
        </w:rPr>
        <w:t xml:space="preserve">with </w:t>
      </w:r>
      <w:r w:rsidRPr="00A508FA">
        <w:rPr>
          <w:rFonts w:ascii="Arial Narrow" w:hAnsi="Arial Narrow" w:cs="Arial"/>
          <w:sz w:val="20"/>
          <w:szCs w:val="20"/>
          <w:lang w:eastAsia="fr-FR"/>
        </w:rPr>
        <w:t>a negative volume effect.</w:t>
      </w:r>
    </w:p>
    <w:p w:rsidR="007A22DC" w:rsidRPr="00A508FA" w:rsidRDefault="007A22DC" w:rsidP="007A22DC">
      <w:pPr>
        <w:suppressAutoHyphens/>
        <w:spacing w:after="120" w:line="276" w:lineRule="auto"/>
        <w:jc w:val="both"/>
        <w:rPr>
          <w:rFonts w:ascii="Arial Narrow" w:hAnsi="Arial Narrow" w:cs="Arial"/>
          <w:sz w:val="20"/>
          <w:szCs w:val="20"/>
          <w:lang w:eastAsia="fr-FR"/>
        </w:rPr>
      </w:pPr>
      <w:r w:rsidRPr="00A508FA">
        <w:rPr>
          <w:rFonts w:ascii="Arial Narrow" w:hAnsi="Arial Narrow" w:cs="Arial"/>
          <w:sz w:val="20"/>
          <w:szCs w:val="20"/>
          <w:lang w:eastAsia="fr-FR"/>
        </w:rPr>
        <w:t xml:space="preserve">In Western Europe, </w:t>
      </w:r>
      <w:r>
        <w:rPr>
          <w:rFonts w:ascii="Arial Narrow" w:hAnsi="Arial Narrow" w:cs="Arial"/>
          <w:sz w:val="20"/>
          <w:szCs w:val="20"/>
          <w:lang w:eastAsia="fr-FR"/>
        </w:rPr>
        <w:t xml:space="preserve">turnover was down by </w:t>
      </w:r>
      <w:r w:rsidRPr="00A508FA">
        <w:rPr>
          <w:rFonts w:ascii="Arial Narrow" w:hAnsi="Arial Narrow" w:cs="Arial"/>
          <w:sz w:val="20"/>
          <w:szCs w:val="20"/>
          <w:lang w:eastAsia="fr-FR"/>
        </w:rPr>
        <w:t xml:space="preserve">-3.3% and </w:t>
      </w:r>
      <w:r>
        <w:rPr>
          <w:rFonts w:ascii="Arial Narrow" w:hAnsi="Arial Narrow" w:cs="Arial"/>
          <w:sz w:val="20"/>
          <w:szCs w:val="20"/>
          <w:lang w:eastAsia="fr-FR"/>
        </w:rPr>
        <w:t xml:space="preserve">by </w:t>
      </w:r>
      <w:r w:rsidRPr="00A508FA">
        <w:rPr>
          <w:rFonts w:ascii="Arial Narrow" w:hAnsi="Arial Narrow" w:cs="Arial"/>
          <w:sz w:val="20"/>
          <w:szCs w:val="20"/>
          <w:lang w:eastAsia="fr-FR"/>
        </w:rPr>
        <w:t xml:space="preserve">-3.7% at constant </w:t>
      </w:r>
      <w:r>
        <w:rPr>
          <w:rFonts w:ascii="Arial Narrow" w:hAnsi="Arial Narrow" w:cs="Arial"/>
          <w:sz w:val="20"/>
          <w:szCs w:val="20"/>
          <w:lang w:eastAsia="fr-FR"/>
        </w:rPr>
        <w:t>FX</w:t>
      </w:r>
      <w:r w:rsidRPr="00A508FA">
        <w:rPr>
          <w:rFonts w:ascii="Arial Narrow" w:hAnsi="Arial Narrow" w:cs="Arial"/>
          <w:sz w:val="20"/>
          <w:szCs w:val="20"/>
          <w:lang w:eastAsia="fr-FR"/>
        </w:rPr>
        <w:t xml:space="preserve">. </w:t>
      </w:r>
      <w:r>
        <w:rPr>
          <w:rFonts w:ascii="Arial Narrow" w:hAnsi="Arial Narrow" w:cs="Arial"/>
          <w:sz w:val="20"/>
          <w:szCs w:val="20"/>
          <w:lang w:eastAsia="fr-FR"/>
        </w:rPr>
        <w:t xml:space="preserve">Weaker client </w:t>
      </w:r>
      <w:r w:rsidRPr="00A508FA">
        <w:rPr>
          <w:rFonts w:ascii="Arial Narrow" w:hAnsi="Arial Narrow" w:cs="Arial"/>
          <w:sz w:val="20"/>
          <w:szCs w:val="20"/>
          <w:lang w:eastAsia="fr-FR"/>
        </w:rPr>
        <w:t xml:space="preserve">activity </w:t>
      </w:r>
      <w:r>
        <w:rPr>
          <w:rFonts w:ascii="Arial Narrow" w:hAnsi="Arial Narrow" w:cs="Arial"/>
          <w:sz w:val="20"/>
          <w:szCs w:val="20"/>
          <w:lang w:eastAsia="fr-FR"/>
        </w:rPr>
        <w:t xml:space="preserve">was </w:t>
      </w:r>
      <w:r w:rsidRPr="00A508FA">
        <w:rPr>
          <w:rFonts w:ascii="Arial Narrow" w:hAnsi="Arial Narrow" w:cs="Arial"/>
          <w:sz w:val="20"/>
          <w:szCs w:val="20"/>
          <w:lang w:eastAsia="fr-FR"/>
        </w:rPr>
        <w:t xml:space="preserve">only partially offset by the continued </w:t>
      </w:r>
      <w:proofErr w:type="gramStart"/>
      <w:r>
        <w:rPr>
          <w:rFonts w:ascii="Arial Narrow" w:hAnsi="Arial Narrow" w:cs="Arial"/>
          <w:sz w:val="20"/>
          <w:szCs w:val="20"/>
          <w:lang w:eastAsia="fr-FR"/>
        </w:rPr>
        <w:t>positive</w:t>
      </w:r>
      <w:r w:rsidRPr="00A508FA">
        <w:rPr>
          <w:rFonts w:ascii="Arial Narrow" w:hAnsi="Arial Narrow" w:cs="Arial"/>
          <w:sz w:val="20"/>
          <w:szCs w:val="20"/>
          <w:lang w:eastAsia="fr-FR"/>
        </w:rPr>
        <w:t xml:space="preserve"> growth</w:t>
      </w:r>
      <w:proofErr w:type="gramEnd"/>
      <w:r w:rsidRPr="00A508FA">
        <w:rPr>
          <w:rFonts w:ascii="Arial Narrow" w:hAnsi="Arial Narrow" w:cs="Arial"/>
          <w:sz w:val="20"/>
          <w:szCs w:val="20"/>
          <w:lang w:eastAsia="fr-FR"/>
        </w:rPr>
        <w:t xml:space="preserve"> in the </w:t>
      </w:r>
      <w:r>
        <w:rPr>
          <w:rFonts w:ascii="Arial Narrow" w:hAnsi="Arial Narrow" w:cs="Arial"/>
          <w:sz w:val="20"/>
          <w:szCs w:val="20"/>
          <w:lang w:eastAsia="fr-FR"/>
        </w:rPr>
        <w:t>bonding activities</w:t>
      </w:r>
      <w:r w:rsidRPr="00A508FA">
        <w:rPr>
          <w:rFonts w:ascii="Arial Narrow" w:hAnsi="Arial Narrow" w:cs="Arial"/>
          <w:sz w:val="20"/>
          <w:szCs w:val="20"/>
          <w:lang w:eastAsia="fr-FR"/>
        </w:rPr>
        <w:t>.</w:t>
      </w:r>
    </w:p>
    <w:p w:rsidR="007A22DC" w:rsidRPr="00C566A3" w:rsidRDefault="007A22DC" w:rsidP="007A22DC">
      <w:pPr>
        <w:suppressAutoHyphens/>
        <w:spacing w:after="120" w:line="276" w:lineRule="auto"/>
        <w:jc w:val="both"/>
        <w:rPr>
          <w:rFonts w:ascii="Arial Narrow" w:hAnsi="Arial Narrow" w:cs="Arial"/>
          <w:sz w:val="20"/>
          <w:szCs w:val="20"/>
          <w:lang w:eastAsia="fr-FR"/>
        </w:rPr>
      </w:pPr>
      <w:r w:rsidRPr="00C566A3">
        <w:rPr>
          <w:rFonts w:ascii="Arial Narrow" w:hAnsi="Arial Narrow" w:cs="Arial"/>
          <w:sz w:val="20"/>
          <w:szCs w:val="20"/>
          <w:lang w:eastAsia="fr-FR"/>
        </w:rPr>
        <w:t xml:space="preserve">In Central and Eastern Europe, </w:t>
      </w:r>
      <w:r>
        <w:rPr>
          <w:rFonts w:ascii="Arial Narrow" w:hAnsi="Arial Narrow" w:cs="Arial"/>
          <w:sz w:val="20"/>
          <w:szCs w:val="20"/>
          <w:lang w:eastAsia="fr-FR"/>
        </w:rPr>
        <w:t>turnover grew by +</w:t>
      </w:r>
      <w:r w:rsidRPr="00C566A3">
        <w:rPr>
          <w:rFonts w:ascii="Arial Narrow" w:hAnsi="Arial Narrow" w:cs="Arial"/>
          <w:sz w:val="20"/>
          <w:szCs w:val="20"/>
          <w:lang w:eastAsia="fr-FR"/>
        </w:rPr>
        <w:t xml:space="preserve">2.8% and </w:t>
      </w:r>
      <w:r>
        <w:rPr>
          <w:rFonts w:ascii="Arial Narrow" w:hAnsi="Arial Narrow" w:cs="Arial"/>
          <w:sz w:val="20"/>
          <w:szCs w:val="20"/>
          <w:lang w:eastAsia="fr-FR"/>
        </w:rPr>
        <w:t>by +</w:t>
      </w:r>
      <w:r w:rsidRPr="00C566A3">
        <w:rPr>
          <w:rFonts w:ascii="Arial Narrow" w:hAnsi="Arial Narrow" w:cs="Arial"/>
          <w:sz w:val="20"/>
          <w:szCs w:val="20"/>
          <w:lang w:eastAsia="fr-FR"/>
        </w:rPr>
        <w:t xml:space="preserve">0.1% at constant </w:t>
      </w:r>
      <w:r>
        <w:rPr>
          <w:rFonts w:ascii="Arial Narrow" w:hAnsi="Arial Narrow" w:cs="Arial"/>
          <w:sz w:val="20"/>
          <w:szCs w:val="20"/>
          <w:lang w:eastAsia="fr-FR"/>
        </w:rPr>
        <w:t>FX</w:t>
      </w:r>
      <w:r w:rsidRPr="00C566A3">
        <w:rPr>
          <w:rFonts w:ascii="Arial Narrow" w:hAnsi="Arial Narrow" w:cs="Arial"/>
          <w:sz w:val="20"/>
          <w:szCs w:val="20"/>
          <w:lang w:eastAsia="fr-FR"/>
        </w:rPr>
        <w:t xml:space="preserve">. This growth </w:t>
      </w:r>
      <w:proofErr w:type="gramStart"/>
      <w:r w:rsidRPr="00C566A3">
        <w:rPr>
          <w:rFonts w:ascii="Arial Narrow" w:hAnsi="Arial Narrow" w:cs="Arial"/>
          <w:sz w:val="20"/>
          <w:szCs w:val="20"/>
          <w:lang w:eastAsia="fr-FR"/>
        </w:rPr>
        <w:t xml:space="preserve">is </w:t>
      </w:r>
      <w:r>
        <w:rPr>
          <w:rFonts w:ascii="Arial Narrow" w:hAnsi="Arial Narrow" w:cs="Arial"/>
          <w:sz w:val="20"/>
          <w:szCs w:val="20"/>
          <w:lang w:eastAsia="fr-FR"/>
        </w:rPr>
        <w:t>mainly</w:t>
      </w:r>
      <w:r w:rsidRPr="00C566A3">
        <w:rPr>
          <w:rFonts w:ascii="Arial Narrow" w:hAnsi="Arial Narrow" w:cs="Arial"/>
          <w:sz w:val="20"/>
          <w:szCs w:val="20"/>
          <w:lang w:eastAsia="fr-FR"/>
        </w:rPr>
        <w:t xml:space="preserve"> explained</w:t>
      </w:r>
      <w:proofErr w:type="gramEnd"/>
      <w:r w:rsidRPr="00C566A3">
        <w:rPr>
          <w:rFonts w:ascii="Arial Narrow" w:hAnsi="Arial Narrow" w:cs="Arial"/>
          <w:sz w:val="20"/>
          <w:szCs w:val="20"/>
          <w:lang w:eastAsia="fr-FR"/>
        </w:rPr>
        <w:t xml:space="preserve"> by the integration of Coface PKZ. Factoring revenues are down in Poland, wh</w:t>
      </w:r>
      <w:r>
        <w:rPr>
          <w:rFonts w:ascii="Arial Narrow" w:hAnsi="Arial Narrow" w:cs="Arial"/>
          <w:sz w:val="20"/>
          <w:szCs w:val="20"/>
          <w:lang w:eastAsia="fr-FR"/>
        </w:rPr>
        <w:t>ile credit insurance is up by +</w:t>
      </w:r>
      <w:r w:rsidRPr="00C566A3">
        <w:rPr>
          <w:rFonts w:ascii="Arial Narrow" w:hAnsi="Arial Narrow" w:cs="Arial"/>
          <w:sz w:val="20"/>
          <w:szCs w:val="20"/>
          <w:lang w:eastAsia="fr-FR"/>
        </w:rPr>
        <w:t>1.8%.</w:t>
      </w:r>
    </w:p>
    <w:p w:rsidR="003F24FA" w:rsidRDefault="007A22DC" w:rsidP="007A22DC">
      <w:pPr>
        <w:suppressAutoHyphens/>
        <w:spacing w:after="120" w:line="276" w:lineRule="auto"/>
        <w:jc w:val="both"/>
        <w:rPr>
          <w:rFonts w:ascii="Arial Narrow" w:hAnsi="Arial Narrow" w:cs="Arial"/>
          <w:sz w:val="20"/>
          <w:szCs w:val="20"/>
          <w:lang w:eastAsia="fr-FR"/>
        </w:rPr>
      </w:pPr>
      <w:r w:rsidRPr="000264AB">
        <w:rPr>
          <w:rFonts w:ascii="Arial Narrow" w:hAnsi="Arial Narrow" w:cs="Arial"/>
          <w:sz w:val="20"/>
          <w:szCs w:val="20"/>
          <w:lang w:eastAsia="fr-FR"/>
        </w:rPr>
        <w:t xml:space="preserve">In Mediterranean and Africa, a region driven by Italy and Spain, turnover grew by +5.0% </w:t>
      </w:r>
      <w:r>
        <w:rPr>
          <w:rFonts w:ascii="Arial Narrow" w:hAnsi="Arial Narrow" w:cs="Arial"/>
          <w:sz w:val="20"/>
          <w:szCs w:val="20"/>
          <w:lang w:eastAsia="fr-FR"/>
        </w:rPr>
        <w:t>and by</w:t>
      </w:r>
      <w:r w:rsidRPr="000264AB">
        <w:rPr>
          <w:rFonts w:ascii="Arial Narrow" w:hAnsi="Arial Narrow" w:cs="Arial"/>
          <w:sz w:val="20"/>
          <w:szCs w:val="20"/>
          <w:lang w:eastAsia="fr-FR"/>
        </w:rPr>
        <w:t xml:space="preserve"> +5.6% at constant FX. This was due to high levels of retention and new business, as well as </w:t>
      </w:r>
      <w:r>
        <w:rPr>
          <w:rFonts w:ascii="Arial Narrow" w:hAnsi="Arial Narrow" w:cs="Arial"/>
          <w:sz w:val="20"/>
          <w:szCs w:val="20"/>
          <w:lang w:eastAsia="fr-FR"/>
        </w:rPr>
        <w:t>good progression in services</w:t>
      </w:r>
      <w:r w:rsidRPr="000264AB">
        <w:rPr>
          <w:rFonts w:ascii="Arial Narrow" w:hAnsi="Arial Narrow" w:cs="Arial"/>
          <w:sz w:val="20"/>
          <w:szCs w:val="20"/>
          <w:lang w:eastAsia="fr-FR"/>
        </w:rPr>
        <w:t xml:space="preserve">. </w:t>
      </w:r>
    </w:p>
    <w:p w:rsidR="003F24FA" w:rsidRDefault="003F24FA">
      <w:pPr>
        <w:widowControl/>
        <w:rPr>
          <w:rFonts w:ascii="Arial Narrow" w:hAnsi="Arial Narrow" w:cs="Arial"/>
          <w:sz w:val="20"/>
          <w:szCs w:val="20"/>
          <w:lang w:eastAsia="fr-FR"/>
        </w:rPr>
      </w:pPr>
      <w:r>
        <w:rPr>
          <w:rFonts w:ascii="Arial Narrow" w:hAnsi="Arial Narrow" w:cs="Arial"/>
          <w:sz w:val="20"/>
          <w:szCs w:val="20"/>
          <w:lang w:eastAsia="fr-FR"/>
        </w:rPr>
        <w:br w:type="page"/>
      </w:r>
    </w:p>
    <w:p w:rsidR="007A22DC" w:rsidRPr="007A22DC" w:rsidRDefault="007A22DC" w:rsidP="007A22DC">
      <w:pPr>
        <w:suppressAutoHyphens/>
        <w:spacing w:after="120" w:line="276" w:lineRule="auto"/>
        <w:jc w:val="both"/>
        <w:rPr>
          <w:rFonts w:ascii="Arial Narrow" w:hAnsi="Arial Narrow" w:cs="Arial"/>
          <w:sz w:val="20"/>
          <w:szCs w:val="20"/>
          <w:lang w:eastAsia="fr-FR"/>
        </w:rPr>
      </w:pPr>
      <w:r>
        <w:rPr>
          <w:rFonts w:ascii="Arial Narrow" w:hAnsi="Arial Narrow" w:cs="Arial"/>
          <w:sz w:val="20"/>
          <w:szCs w:val="20"/>
          <w:lang w:eastAsia="fr-FR"/>
        </w:rPr>
        <w:lastRenderedPageBreak/>
        <w:t>In North America, revenues increased by +1.7% on a reported basis but decreased by -0.5% at constant FX. G</w:t>
      </w:r>
      <w:r w:rsidRPr="000B4D6B">
        <w:rPr>
          <w:rFonts w:ascii="Arial Narrow" w:hAnsi="Arial Narrow" w:cs="Arial"/>
          <w:sz w:val="20"/>
          <w:szCs w:val="20"/>
          <w:lang w:eastAsia="fr-FR"/>
        </w:rPr>
        <w:t xml:space="preserve">rowth in new business activity with more </w:t>
      </w:r>
      <w:r w:rsidR="00486DDC">
        <w:rPr>
          <w:rFonts w:ascii="Arial Narrow" w:hAnsi="Arial Narrow" w:cs="Arial"/>
          <w:sz w:val="20"/>
          <w:szCs w:val="20"/>
          <w:lang w:eastAsia="fr-FR"/>
        </w:rPr>
        <w:t>positive</w:t>
      </w:r>
      <w:r w:rsidRPr="000B4D6B">
        <w:rPr>
          <w:rFonts w:ascii="Arial Narrow" w:hAnsi="Arial Narrow" w:cs="Arial"/>
          <w:sz w:val="20"/>
          <w:szCs w:val="20"/>
          <w:lang w:eastAsia="fr-FR"/>
        </w:rPr>
        <w:t xml:space="preserve"> pricing </w:t>
      </w:r>
      <w:proofErr w:type="gramStart"/>
      <w:r w:rsidRPr="000B4D6B">
        <w:rPr>
          <w:rFonts w:ascii="Arial Narrow" w:hAnsi="Arial Narrow" w:cs="Arial"/>
          <w:sz w:val="20"/>
          <w:szCs w:val="20"/>
          <w:lang w:eastAsia="fr-FR"/>
        </w:rPr>
        <w:t>is offset</w:t>
      </w:r>
      <w:proofErr w:type="gramEnd"/>
      <w:r w:rsidRPr="000B4D6B">
        <w:rPr>
          <w:rFonts w:ascii="Arial Narrow" w:hAnsi="Arial Narrow" w:cs="Arial"/>
          <w:sz w:val="20"/>
          <w:szCs w:val="20"/>
          <w:lang w:eastAsia="fr-FR"/>
        </w:rPr>
        <w:t xml:space="preserve"> by the</w:t>
      </w:r>
      <w:r>
        <w:rPr>
          <w:rFonts w:ascii="Arial Narrow" w:hAnsi="Arial Narrow" w:cs="Arial"/>
          <w:sz w:val="20"/>
          <w:szCs w:val="20"/>
          <w:lang w:eastAsia="fr-FR"/>
        </w:rPr>
        <w:t xml:space="preserve"> slowdown</w:t>
      </w:r>
      <w:r w:rsidRPr="000B4D6B">
        <w:rPr>
          <w:rFonts w:ascii="Arial Narrow" w:hAnsi="Arial Narrow" w:cs="Arial"/>
          <w:sz w:val="20"/>
          <w:szCs w:val="20"/>
          <w:lang w:eastAsia="fr-FR"/>
        </w:rPr>
        <w:t xml:space="preserve"> in customer activity</w:t>
      </w:r>
      <w:r w:rsidRPr="007A22DC">
        <w:rPr>
          <w:rFonts w:ascii="Arial Narrow" w:hAnsi="Arial Narrow" w:cs="Arial"/>
          <w:sz w:val="20"/>
          <w:szCs w:val="20"/>
          <w:lang w:eastAsia="fr-FR"/>
        </w:rPr>
        <w:t>.</w:t>
      </w:r>
    </w:p>
    <w:p w:rsidR="007A22DC" w:rsidRPr="007A22DC" w:rsidRDefault="007A22DC" w:rsidP="007A22DC">
      <w:pPr>
        <w:suppressAutoHyphens/>
        <w:spacing w:after="120" w:line="276" w:lineRule="auto"/>
        <w:jc w:val="both"/>
        <w:rPr>
          <w:rFonts w:ascii="Arial Narrow" w:hAnsi="Arial Narrow" w:cs="Arial"/>
          <w:sz w:val="20"/>
          <w:szCs w:val="20"/>
          <w:lang w:eastAsia="fr-FR"/>
        </w:rPr>
      </w:pPr>
      <w:r w:rsidRPr="007A22DC">
        <w:rPr>
          <w:rFonts w:ascii="Arial Narrow" w:hAnsi="Arial Narrow" w:cs="Arial"/>
          <w:sz w:val="20"/>
          <w:szCs w:val="20"/>
          <w:lang w:eastAsia="fr-FR"/>
        </w:rPr>
        <w:t>Revenues in the Asia-Pacific region were down by -2.7% at current FX and by -4.9% at constant FX. High retention levels were not sufficient to compensate for the fall in client activities.</w:t>
      </w:r>
    </w:p>
    <w:p w:rsidR="007A22DC" w:rsidRPr="007A22DC" w:rsidRDefault="007A22DC" w:rsidP="007A22DC">
      <w:pPr>
        <w:suppressAutoHyphens/>
        <w:spacing w:after="120" w:line="276" w:lineRule="auto"/>
        <w:jc w:val="both"/>
        <w:rPr>
          <w:rFonts w:ascii="Arial Narrow" w:hAnsi="Arial Narrow" w:cs="Arial"/>
          <w:sz w:val="20"/>
          <w:szCs w:val="20"/>
          <w:lang w:eastAsia="fr-FR"/>
        </w:rPr>
      </w:pPr>
      <w:r w:rsidRPr="007A22DC">
        <w:rPr>
          <w:rFonts w:ascii="Arial Narrow" w:hAnsi="Arial Narrow" w:cs="Arial"/>
          <w:sz w:val="20"/>
          <w:szCs w:val="20"/>
          <w:lang w:eastAsia="fr-FR"/>
        </w:rPr>
        <w:t xml:space="preserve">In Latin America, turnover fell by -12.8% at current FX, but rose by + 5.8% at constant FX. These figures </w:t>
      </w:r>
      <w:proofErr w:type="gramStart"/>
      <w:r w:rsidRPr="007A22DC">
        <w:rPr>
          <w:rFonts w:ascii="Arial Narrow" w:hAnsi="Arial Narrow" w:cs="Arial"/>
          <w:sz w:val="20"/>
          <w:szCs w:val="20"/>
          <w:lang w:eastAsia="fr-FR"/>
        </w:rPr>
        <w:t>are affected</w:t>
      </w:r>
      <w:proofErr w:type="gramEnd"/>
      <w:r w:rsidRPr="007A22DC">
        <w:rPr>
          <w:rFonts w:ascii="Arial Narrow" w:hAnsi="Arial Narrow" w:cs="Arial"/>
          <w:sz w:val="20"/>
          <w:szCs w:val="20"/>
          <w:lang w:eastAsia="fr-FR"/>
        </w:rPr>
        <w:t xml:space="preserve"> by the existence of local policies expressed in international currencies. The level of new local business remains low, within a very challenging economic context.</w:t>
      </w:r>
    </w:p>
    <w:p w:rsidR="001500B0" w:rsidRPr="007A22DC" w:rsidRDefault="001500B0" w:rsidP="00E132C0">
      <w:pPr>
        <w:widowControl/>
        <w:autoSpaceDE w:val="0"/>
        <w:autoSpaceDN w:val="0"/>
        <w:adjustRightInd w:val="0"/>
        <w:spacing w:line="276" w:lineRule="auto"/>
        <w:jc w:val="both"/>
        <w:rPr>
          <w:rFonts w:ascii="Arial Narrow" w:eastAsia="Calibri" w:hAnsi="Arial Narrow" w:cs="Arial"/>
          <w:b/>
          <w:bCs/>
          <w:sz w:val="20"/>
          <w:szCs w:val="20"/>
          <w:lang w:eastAsia="en-US"/>
        </w:rPr>
      </w:pPr>
    </w:p>
    <w:p w:rsidR="00FC3FB7" w:rsidRPr="007A22DC" w:rsidRDefault="00C95B05" w:rsidP="000D5C6E">
      <w:pPr>
        <w:widowControl/>
        <w:numPr>
          <w:ilvl w:val="0"/>
          <w:numId w:val="16"/>
        </w:numPr>
        <w:autoSpaceDE w:val="0"/>
        <w:autoSpaceDN w:val="0"/>
        <w:adjustRightInd w:val="0"/>
        <w:spacing w:line="276" w:lineRule="auto"/>
        <w:jc w:val="both"/>
        <w:rPr>
          <w:rFonts w:ascii="Arial Narrow" w:eastAsia="Calibri" w:hAnsi="Arial Narrow" w:cs="Arial"/>
          <w:b/>
          <w:bCs/>
          <w:sz w:val="20"/>
          <w:szCs w:val="20"/>
          <w:lang w:eastAsia="en-US"/>
        </w:rPr>
      </w:pPr>
      <w:r w:rsidRPr="007A22DC">
        <w:rPr>
          <w:rFonts w:ascii="Arial Narrow" w:eastAsia="Calibri" w:hAnsi="Arial Narrow" w:cs="Arial"/>
          <w:b/>
          <w:bCs/>
          <w:sz w:val="20"/>
          <w:szCs w:val="20"/>
          <w:lang w:eastAsia="en-US"/>
        </w:rPr>
        <w:t>Result</w:t>
      </w:r>
    </w:p>
    <w:p w:rsidR="00DB3814" w:rsidRPr="007A22DC" w:rsidRDefault="00DB3814" w:rsidP="000D5C6E">
      <w:pPr>
        <w:widowControl/>
        <w:autoSpaceDE w:val="0"/>
        <w:autoSpaceDN w:val="0"/>
        <w:adjustRightInd w:val="0"/>
        <w:spacing w:line="276" w:lineRule="auto"/>
        <w:ind w:left="720"/>
        <w:jc w:val="both"/>
        <w:rPr>
          <w:rFonts w:ascii="Arial Narrow" w:eastAsia="Calibri" w:hAnsi="Arial Narrow" w:cs="Arial"/>
          <w:b/>
          <w:bCs/>
          <w:sz w:val="20"/>
          <w:szCs w:val="20"/>
          <w:lang w:eastAsia="en-US"/>
        </w:rPr>
      </w:pPr>
    </w:p>
    <w:p w:rsidR="00FC3FB7" w:rsidRPr="007A22DC" w:rsidRDefault="00C95B05" w:rsidP="00EC73D9">
      <w:pPr>
        <w:widowControl/>
        <w:numPr>
          <w:ilvl w:val="0"/>
          <w:numId w:val="17"/>
        </w:numPr>
        <w:autoSpaceDE w:val="0"/>
        <w:autoSpaceDN w:val="0"/>
        <w:adjustRightInd w:val="0"/>
        <w:spacing w:line="276" w:lineRule="auto"/>
        <w:jc w:val="both"/>
        <w:rPr>
          <w:rFonts w:ascii="Arial Narrow" w:eastAsia="Calibri" w:hAnsi="Arial Narrow" w:cs="Arial"/>
          <w:sz w:val="20"/>
          <w:szCs w:val="20"/>
          <w:lang w:eastAsia="en-US"/>
        </w:rPr>
      </w:pPr>
      <w:r w:rsidRPr="007A22DC">
        <w:rPr>
          <w:rFonts w:ascii="Arial Narrow" w:eastAsia="Calibri" w:hAnsi="Arial Narrow" w:cs="Arial"/>
          <w:sz w:val="20"/>
          <w:szCs w:val="20"/>
          <w:u w:val="single"/>
          <w:lang w:eastAsia="en-US"/>
        </w:rPr>
        <w:t>Combined ratio</w:t>
      </w:r>
    </w:p>
    <w:p w:rsidR="00FC3FB7" w:rsidRPr="0027173D" w:rsidRDefault="00FC3FB7" w:rsidP="00EC73D9">
      <w:pPr>
        <w:suppressAutoHyphens/>
        <w:spacing w:line="276" w:lineRule="auto"/>
        <w:jc w:val="both"/>
        <w:rPr>
          <w:rFonts w:ascii="Arial Narrow" w:hAnsi="Arial Narrow" w:cs="Arial"/>
          <w:sz w:val="20"/>
          <w:szCs w:val="20"/>
          <w:lang w:eastAsia="fr-FR"/>
        </w:rPr>
      </w:pPr>
    </w:p>
    <w:p w:rsidR="001E1169" w:rsidRPr="0027173D" w:rsidRDefault="0027173D" w:rsidP="004D1992">
      <w:pPr>
        <w:suppressAutoHyphens/>
        <w:jc w:val="both"/>
        <w:rPr>
          <w:rFonts w:ascii="Arial Narrow" w:hAnsi="Arial Narrow" w:cs="Arial"/>
          <w:sz w:val="20"/>
          <w:szCs w:val="20"/>
          <w:lang w:eastAsia="fr-FR"/>
        </w:rPr>
      </w:pPr>
      <w:r w:rsidRPr="0027173D">
        <w:rPr>
          <w:rFonts w:ascii="Arial Narrow" w:hAnsi="Arial Narrow" w:cs="Arial"/>
          <w:sz w:val="20"/>
          <w:szCs w:val="20"/>
          <w:lang w:eastAsia="fr-FR"/>
        </w:rPr>
        <w:t>The combined ratio, net of reinsurance, stood at 88.6% for H1-2020 (a rise of 12.6 points compared to H1</w:t>
      </w:r>
      <w:r w:rsidR="00486DDC">
        <w:rPr>
          <w:rFonts w:ascii="Arial Narrow" w:hAnsi="Arial Narrow" w:cs="Arial"/>
          <w:sz w:val="20"/>
          <w:szCs w:val="20"/>
          <w:lang w:eastAsia="fr-FR"/>
        </w:rPr>
        <w:t>-</w:t>
      </w:r>
      <w:r w:rsidRPr="0027173D">
        <w:rPr>
          <w:rFonts w:ascii="Arial Narrow" w:hAnsi="Arial Narrow" w:cs="Arial"/>
          <w:sz w:val="20"/>
          <w:szCs w:val="20"/>
          <w:lang w:eastAsia="fr-FR"/>
        </w:rPr>
        <w:t>2019).</w:t>
      </w:r>
    </w:p>
    <w:p w:rsidR="004D1992" w:rsidRPr="0027173D" w:rsidRDefault="004D1992" w:rsidP="004D1992">
      <w:pPr>
        <w:suppressAutoHyphens/>
        <w:spacing w:line="276" w:lineRule="auto"/>
        <w:jc w:val="both"/>
        <w:rPr>
          <w:rFonts w:ascii="Arial Narrow" w:hAnsi="Arial Narrow" w:cs="Arial"/>
          <w:sz w:val="20"/>
          <w:szCs w:val="20"/>
          <w:lang w:eastAsia="fr-FR"/>
        </w:rPr>
      </w:pPr>
    </w:p>
    <w:p w:rsidR="00FC3FB7" w:rsidRPr="0027173D" w:rsidRDefault="00C95B05" w:rsidP="00EC73D9">
      <w:pPr>
        <w:pStyle w:val="ListParagraph"/>
        <w:numPr>
          <w:ilvl w:val="0"/>
          <w:numId w:val="27"/>
        </w:numPr>
        <w:autoSpaceDE w:val="0"/>
        <w:autoSpaceDN w:val="0"/>
        <w:adjustRightInd w:val="0"/>
        <w:spacing w:after="120"/>
        <w:ind w:left="993" w:hanging="284"/>
        <w:jc w:val="both"/>
        <w:rPr>
          <w:rFonts w:ascii="Arial Narrow" w:hAnsi="Arial Narrow" w:cs="Arial"/>
          <w:sz w:val="20"/>
          <w:szCs w:val="20"/>
          <w:lang w:eastAsia="en-US"/>
        </w:rPr>
      </w:pPr>
      <w:r w:rsidRPr="0027173D">
        <w:rPr>
          <w:rFonts w:ascii="Arial Narrow" w:hAnsi="Arial Narrow" w:cs="Arial"/>
          <w:sz w:val="20"/>
          <w:szCs w:val="20"/>
          <w:lang w:eastAsia="en-US"/>
        </w:rPr>
        <w:t>Loss ratio</w:t>
      </w:r>
    </w:p>
    <w:p w:rsidR="00940E9F" w:rsidRPr="002914B7" w:rsidRDefault="00940E9F" w:rsidP="00940E9F">
      <w:pPr>
        <w:suppressAutoHyphens/>
        <w:spacing w:after="120" w:line="276" w:lineRule="auto"/>
        <w:jc w:val="both"/>
        <w:rPr>
          <w:rFonts w:ascii="Arial Narrow" w:hAnsi="Arial Narrow" w:cs="Arial"/>
          <w:sz w:val="20"/>
          <w:szCs w:val="20"/>
          <w:lang w:eastAsia="fr-FR"/>
        </w:rPr>
      </w:pPr>
      <w:r w:rsidRPr="002914B7">
        <w:rPr>
          <w:rFonts w:ascii="Arial Narrow" w:hAnsi="Arial Narrow" w:cs="Arial"/>
          <w:sz w:val="20"/>
          <w:szCs w:val="20"/>
          <w:lang w:eastAsia="fr-FR"/>
        </w:rPr>
        <w:t xml:space="preserve">The gross </w:t>
      </w:r>
      <w:r w:rsidR="00486DDC">
        <w:rPr>
          <w:rFonts w:ascii="Arial Narrow" w:hAnsi="Arial Narrow" w:cs="Arial"/>
          <w:sz w:val="20"/>
          <w:szCs w:val="20"/>
          <w:lang w:eastAsia="fr-FR"/>
        </w:rPr>
        <w:t xml:space="preserve">of </w:t>
      </w:r>
      <w:r>
        <w:rPr>
          <w:rFonts w:ascii="Arial Narrow" w:hAnsi="Arial Narrow" w:cs="Arial"/>
          <w:sz w:val="20"/>
          <w:szCs w:val="20"/>
          <w:lang w:eastAsia="fr-FR"/>
        </w:rPr>
        <w:t xml:space="preserve">reinsurance </w:t>
      </w:r>
      <w:r w:rsidRPr="002914B7">
        <w:rPr>
          <w:rFonts w:ascii="Arial Narrow" w:hAnsi="Arial Narrow" w:cs="Arial"/>
          <w:sz w:val="20"/>
          <w:szCs w:val="20"/>
          <w:lang w:eastAsia="fr-FR"/>
        </w:rPr>
        <w:t xml:space="preserve">loss ratio for H1-2020 </w:t>
      </w:r>
      <w:r>
        <w:rPr>
          <w:rFonts w:ascii="Arial Narrow" w:hAnsi="Arial Narrow" w:cs="Arial"/>
          <w:sz w:val="20"/>
          <w:szCs w:val="20"/>
          <w:lang w:eastAsia="fr-FR"/>
        </w:rPr>
        <w:t>stood at</w:t>
      </w:r>
      <w:r w:rsidRPr="002914B7">
        <w:rPr>
          <w:rFonts w:ascii="Arial Narrow" w:hAnsi="Arial Narrow" w:cs="Arial"/>
          <w:sz w:val="20"/>
          <w:szCs w:val="20"/>
          <w:lang w:eastAsia="fr-FR"/>
        </w:rPr>
        <w:t xml:space="preserve"> 59</w:t>
      </w:r>
      <w:r>
        <w:rPr>
          <w:rFonts w:ascii="Arial Narrow" w:hAnsi="Arial Narrow" w:cs="Arial"/>
          <w:sz w:val="20"/>
          <w:szCs w:val="20"/>
          <w:lang w:eastAsia="fr-FR"/>
        </w:rPr>
        <w:t>.</w:t>
      </w:r>
      <w:r w:rsidRPr="002914B7">
        <w:rPr>
          <w:rFonts w:ascii="Arial Narrow" w:hAnsi="Arial Narrow" w:cs="Arial"/>
          <w:sz w:val="20"/>
          <w:szCs w:val="20"/>
          <w:lang w:eastAsia="fr-FR"/>
        </w:rPr>
        <w:t>0%, a rise of 18</w:t>
      </w:r>
      <w:r>
        <w:rPr>
          <w:rFonts w:ascii="Arial Narrow" w:hAnsi="Arial Narrow" w:cs="Arial"/>
          <w:sz w:val="20"/>
          <w:szCs w:val="20"/>
          <w:lang w:eastAsia="fr-FR"/>
        </w:rPr>
        <w:t>.</w:t>
      </w:r>
      <w:r w:rsidRPr="002914B7">
        <w:rPr>
          <w:rFonts w:ascii="Arial Narrow" w:hAnsi="Arial Narrow" w:cs="Arial"/>
          <w:sz w:val="20"/>
          <w:szCs w:val="20"/>
          <w:lang w:eastAsia="fr-FR"/>
        </w:rPr>
        <w:t>1 points compared to the previous year. The gross</w:t>
      </w:r>
      <w:r>
        <w:rPr>
          <w:rFonts w:ascii="Arial Narrow" w:hAnsi="Arial Narrow" w:cs="Arial"/>
          <w:sz w:val="20"/>
          <w:szCs w:val="20"/>
          <w:lang w:eastAsia="fr-FR"/>
        </w:rPr>
        <w:t xml:space="preserve"> </w:t>
      </w:r>
      <w:r w:rsidRPr="002914B7">
        <w:rPr>
          <w:rFonts w:ascii="Arial Narrow" w:hAnsi="Arial Narrow" w:cs="Arial"/>
          <w:sz w:val="20"/>
          <w:szCs w:val="20"/>
          <w:lang w:eastAsia="fr-FR"/>
        </w:rPr>
        <w:t>loss ratio for Q2-2020 rose by 20</w:t>
      </w:r>
      <w:r>
        <w:rPr>
          <w:rFonts w:ascii="Arial Narrow" w:hAnsi="Arial Narrow" w:cs="Arial"/>
          <w:sz w:val="20"/>
          <w:szCs w:val="20"/>
          <w:lang w:eastAsia="fr-FR"/>
        </w:rPr>
        <w:t>.</w:t>
      </w:r>
      <w:r w:rsidRPr="002914B7">
        <w:rPr>
          <w:rFonts w:ascii="Arial Narrow" w:hAnsi="Arial Narrow" w:cs="Arial"/>
          <w:sz w:val="20"/>
          <w:szCs w:val="20"/>
          <w:lang w:eastAsia="fr-FR"/>
        </w:rPr>
        <w:t>9 points compared to Q2-2019 (62</w:t>
      </w:r>
      <w:r>
        <w:rPr>
          <w:rFonts w:ascii="Arial Narrow" w:hAnsi="Arial Narrow" w:cs="Arial"/>
          <w:sz w:val="20"/>
          <w:szCs w:val="20"/>
          <w:lang w:eastAsia="fr-FR"/>
        </w:rPr>
        <w:t>.</w:t>
      </w:r>
      <w:r w:rsidRPr="002914B7">
        <w:rPr>
          <w:rFonts w:ascii="Arial Narrow" w:hAnsi="Arial Narrow" w:cs="Arial"/>
          <w:sz w:val="20"/>
          <w:szCs w:val="20"/>
          <w:lang w:eastAsia="fr-FR"/>
        </w:rPr>
        <w:t>8% vs 41</w:t>
      </w:r>
      <w:r>
        <w:rPr>
          <w:rFonts w:ascii="Arial Narrow" w:hAnsi="Arial Narrow" w:cs="Arial"/>
          <w:sz w:val="20"/>
          <w:szCs w:val="20"/>
          <w:lang w:eastAsia="fr-FR"/>
        </w:rPr>
        <w:t>.</w:t>
      </w:r>
      <w:r w:rsidRPr="002914B7">
        <w:rPr>
          <w:rFonts w:ascii="Arial Narrow" w:hAnsi="Arial Narrow" w:cs="Arial"/>
          <w:sz w:val="20"/>
          <w:szCs w:val="20"/>
          <w:lang w:eastAsia="fr-FR"/>
        </w:rPr>
        <w:t>9%).</w:t>
      </w:r>
    </w:p>
    <w:p w:rsidR="00940E9F" w:rsidRPr="004F430D" w:rsidRDefault="00940E9F" w:rsidP="00940E9F">
      <w:pPr>
        <w:suppressAutoHyphens/>
        <w:spacing w:after="120" w:line="276" w:lineRule="auto"/>
        <w:jc w:val="both"/>
        <w:rPr>
          <w:rFonts w:ascii="Arial Narrow" w:hAnsi="Arial Narrow" w:cs="Arial"/>
          <w:sz w:val="20"/>
          <w:szCs w:val="20"/>
          <w:lang w:eastAsia="fr-FR"/>
        </w:rPr>
      </w:pPr>
      <w:r w:rsidRPr="002914B7">
        <w:rPr>
          <w:rFonts w:ascii="Arial Narrow" w:hAnsi="Arial Narrow" w:cs="Arial"/>
          <w:sz w:val="20"/>
          <w:szCs w:val="20"/>
          <w:lang w:eastAsia="fr-FR"/>
        </w:rPr>
        <w:t xml:space="preserve">The Group’s reserving policy remains unchanged. </w:t>
      </w:r>
      <w:r>
        <w:rPr>
          <w:rFonts w:ascii="Arial Narrow" w:hAnsi="Arial Narrow" w:cs="Arial"/>
          <w:sz w:val="20"/>
          <w:szCs w:val="20"/>
          <w:lang w:eastAsia="fr-FR"/>
        </w:rPr>
        <w:t xml:space="preserve">Provisioning for the subscription year is particularly high, at </w:t>
      </w:r>
      <w:r w:rsidRPr="002914B7">
        <w:rPr>
          <w:rFonts w:ascii="Arial Narrow" w:hAnsi="Arial Narrow" w:cs="Arial"/>
          <w:sz w:val="20"/>
          <w:szCs w:val="20"/>
          <w:lang w:eastAsia="fr-FR"/>
        </w:rPr>
        <w:t>87</w:t>
      </w:r>
      <w:r>
        <w:rPr>
          <w:rFonts w:ascii="Arial Narrow" w:hAnsi="Arial Narrow" w:cs="Arial"/>
          <w:sz w:val="20"/>
          <w:szCs w:val="20"/>
          <w:lang w:eastAsia="fr-FR"/>
        </w:rPr>
        <w:t>.</w:t>
      </w:r>
      <w:r w:rsidRPr="002914B7">
        <w:rPr>
          <w:rFonts w:ascii="Arial Narrow" w:hAnsi="Arial Narrow" w:cs="Arial"/>
          <w:sz w:val="20"/>
          <w:szCs w:val="20"/>
          <w:lang w:eastAsia="fr-FR"/>
        </w:rPr>
        <w:t xml:space="preserve">6%. </w:t>
      </w:r>
      <w:r w:rsidRPr="004F430D">
        <w:rPr>
          <w:rFonts w:ascii="Arial Narrow" w:hAnsi="Arial Narrow" w:cs="Arial"/>
          <w:sz w:val="20"/>
          <w:szCs w:val="20"/>
          <w:lang w:eastAsia="fr-FR"/>
        </w:rPr>
        <w:t>This reflects a rise in claims declarations received, particular</w:t>
      </w:r>
      <w:r>
        <w:rPr>
          <w:rFonts w:ascii="Arial Narrow" w:hAnsi="Arial Narrow" w:cs="Arial"/>
          <w:sz w:val="20"/>
          <w:szCs w:val="20"/>
          <w:lang w:eastAsia="fr-FR"/>
        </w:rPr>
        <w:t xml:space="preserve">ly claims of a larger size, as well as in increase in provisions to anticipate </w:t>
      </w:r>
      <w:r w:rsidR="00486DDC">
        <w:rPr>
          <w:rFonts w:ascii="Arial Narrow" w:hAnsi="Arial Narrow" w:cs="Arial"/>
          <w:sz w:val="20"/>
          <w:szCs w:val="20"/>
          <w:lang w:eastAsia="fr-FR"/>
        </w:rPr>
        <w:t>a likely rise in claims frequency</w:t>
      </w:r>
      <w:r w:rsidRPr="004F430D">
        <w:rPr>
          <w:rFonts w:ascii="Arial Narrow" w:hAnsi="Arial Narrow" w:cs="Arial"/>
          <w:sz w:val="20"/>
          <w:szCs w:val="20"/>
          <w:lang w:eastAsia="fr-FR"/>
        </w:rPr>
        <w:t>.</w:t>
      </w:r>
    </w:p>
    <w:p w:rsidR="00940E9F" w:rsidRPr="000E18DD" w:rsidRDefault="00940E9F" w:rsidP="00940E9F">
      <w:pPr>
        <w:suppressAutoHyphens/>
        <w:spacing w:after="120" w:line="276" w:lineRule="auto"/>
        <w:jc w:val="both"/>
        <w:rPr>
          <w:rFonts w:ascii="Arial Narrow" w:hAnsi="Arial Narrow" w:cs="Arial"/>
          <w:sz w:val="20"/>
          <w:szCs w:val="20"/>
          <w:lang w:eastAsia="fr-FR"/>
        </w:rPr>
      </w:pPr>
      <w:r w:rsidRPr="000E18DD">
        <w:rPr>
          <w:rFonts w:ascii="Arial Narrow" w:hAnsi="Arial Narrow" w:cs="Arial"/>
          <w:sz w:val="20"/>
          <w:szCs w:val="20"/>
          <w:lang w:eastAsia="fr-FR"/>
        </w:rPr>
        <w:t xml:space="preserve">Strict management of past claims made it possible to record 31.1 points of recoveries from past claims during the </w:t>
      </w:r>
      <w:r>
        <w:rPr>
          <w:rFonts w:ascii="Arial Narrow" w:hAnsi="Arial Narrow" w:cs="Arial"/>
          <w:sz w:val="20"/>
          <w:szCs w:val="20"/>
          <w:lang w:eastAsia="fr-FR"/>
        </w:rPr>
        <w:t xml:space="preserve">first </w:t>
      </w:r>
      <w:r w:rsidRPr="000E18DD">
        <w:rPr>
          <w:rFonts w:ascii="Arial Narrow" w:hAnsi="Arial Narrow" w:cs="Arial"/>
          <w:sz w:val="20"/>
          <w:szCs w:val="20"/>
          <w:lang w:eastAsia="fr-FR"/>
        </w:rPr>
        <w:t>half-year. These levels remain well above the historical average.</w:t>
      </w:r>
    </w:p>
    <w:p w:rsidR="00400FB2" w:rsidRPr="00C30C0D" w:rsidRDefault="00940E9F" w:rsidP="00940E9F">
      <w:pPr>
        <w:suppressAutoHyphens/>
        <w:spacing w:after="120" w:line="276" w:lineRule="auto"/>
        <w:jc w:val="both"/>
        <w:rPr>
          <w:rFonts w:ascii="Arial Narrow" w:hAnsi="Arial Narrow" w:cs="Arial"/>
          <w:sz w:val="20"/>
          <w:szCs w:val="20"/>
          <w:lang w:eastAsia="fr-FR"/>
        </w:rPr>
      </w:pPr>
      <w:r w:rsidRPr="000E18DD">
        <w:rPr>
          <w:rFonts w:ascii="Arial Narrow" w:hAnsi="Arial Narrow" w:cs="Arial"/>
          <w:sz w:val="20"/>
          <w:szCs w:val="20"/>
          <w:lang w:eastAsia="fr-FR"/>
        </w:rPr>
        <w:t xml:space="preserve">The loss ratio </w:t>
      </w:r>
      <w:r>
        <w:rPr>
          <w:rFonts w:ascii="Arial Narrow" w:hAnsi="Arial Narrow" w:cs="Arial"/>
          <w:sz w:val="20"/>
          <w:szCs w:val="20"/>
          <w:lang w:eastAsia="fr-FR"/>
        </w:rPr>
        <w:t xml:space="preserve">net of reinsurance </w:t>
      </w:r>
      <w:r w:rsidRPr="000E18DD">
        <w:rPr>
          <w:rFonts w:ascii="Arial Narrow" w:hAnsi="Arial Narrow" w:cs="Arial"/>
          <w:sz w:val="20"/>
          <w:szCs w:val="20"/>
          <w:lang w:eastAsia="fr-FR"/>
        </w:rPr>
        <w:t>rose by 13.4</w:t>
      </w:r>
      <w:r>
        <w:rPr>
          <w:rFonts w:ascii="Arial Narrow" w:hAnsi="Arial Narrow" w:cs="Arial"/>
          <w:sz w:val="20"/>
          <w:szCs w:val="20"/>
          <w:lang w:eastAsia="fr-FR"/>
        </w:rPr>
        <w:t xml:space="preserve"> </w:t>
      </w:r>
      <w:proofErr w:type="spellStart"/>
      <w:r w:rsidRPr="000E18DD">
        <w:rPr>
          <w:rFonts w:ascii="Arial Narrow" w:hAnsi="Arial Narrow" w:cs="Arial"/>
          <w:sz w:val="20"/>
          <w:szCs w:val="20"/>
          <w:lang w:eastAsia="fr-FR"/>
        </w:rPr>
        <w:t>ppts</w:t>
      </w:r>
      <w:proofErr w:type="spellEnd"/>
      <w:r w:rsidRPr="000E18DD">
        <w:rPr>
          <w:rFonts w:ascii="Arial Narrow" w:hAnsi="Arial Narrow" w:cs="Arial"/>
          <w:sz w:val="20"/>
          <w:szCs w:val="20"/>
          <w:lang w:eastAsia="fr-FR"/>
        </w:rPr>
        <w:t xml:space="preserve"> compared to H1-2019, to reach 57.4%. This increase is 4.7 points lower than the increase in the gross ratio. This difference </w:t>
      </w:r>
      <w:proofErr w:type="gramStart"/>
      <w:r w:rsidRPr="000E18DD">
        <w:rPr>
          <w:rFonts w:ascii="Arial Narrow" w:hAnsi="Arial Narrow" w:cs="Arial"/>
          <w:sz w:val="20"/>
          <w:szCs w:val="20"/>
          <w:lang w:eastAsia="fr-FR"/>
        </w:rPr>
        <w:t>is explained</w:t>
      </w:r>
      <w:proofErr w:type="gramEnd"/>
      <w:r w:rsidRPr="000E18DD">
        <w:rPr>
          <w:rFonts w:ascii="Arial Narrow" w:hAnsi="Arial Narrow" w:cs="Arial"/>
          <w:sz w:val="20"/>
          <w:szCs w:val="20"/>
          <w:lang w:eastAsia="fr-FR"/>
        </w:rPr>
        <w:t xml:space="preserve"> by the implementation of government reinsurance </w:t>
      </w:r>
      <w:r w:rsidRPr="00C30C0D">
        <w:rPr>
          <w:rFonts w:ascii="Arial Narrow" w:hAnsi="Arial Narrow" w:cs="Arial"/>
          <w:sz w:val="20"/>
          <w:szCs w:val="20"/>
          <w:lang w:eastAsia="fr-FR"/>
        </w:rPr>
        <w:t>schemes, which resulted in a higher cession rate for the current subscription year, which has a higher loss ratio.</w:t>
      </w:r>
    </w:p>
    <w:p w:rsidR="003C3E5E" w:rsidRPr="00C30C0D" w:rsidRDefault="003C3E5E">
      <w:pPr>
        <w:widowControl/>
        <w:rPr>
          <w:rFonts w:ascii="Arial Narrow" w:eastAsia="Calibri" w:hAnsi="Arial Narrow" w:cs="Arial"/>
          <w:sz w:val="20"/>
          <w:szCs w:val="20"/>
          <w:lang w:eastAsia="en-US"/>
        </w:rPr>
      </w:pPr>
    </w:p>
    <w:p w:rsidR="00DB24B4" w:rsidRPr="00C30C0D" w:rsidRDefault="00C95B05" w:rsidP="00EC73D9">
      <w:pPr>
        <w:pStyle w:val="ListParagraph"/>
        <w:numPr>
          <w:ilvl w:val="0"/>
          <w:numId w:val="27"/>
        </w:numPr>
        <w:autoSpaceDE w:val="0"/>
        <w:autoSpaceDN w:val="0"/>
        <w:adjustRightInd w:val="0"/>
        <w:spacing w:after="120"/>
        <w:ind w:left="993" w:hanging="284"/>
        <w:jc w:val="both"/>
        <w:rPr>
          <w:rFonts w:ascii="Arial Narrow" w:hAnsi="Arial Narrow" w:cs="Arial"/>
          <w:sz w:val="20"/>
          <w:szCs w:val="20"/>
          <w:lang w:eastAsia="en-US"/>
        </w:rPr>
      </w:pPr>
      <w:r w:rsidRPr="00C30C0D">
        <w:rPr>
          <w:rFonts w:ascii="Arial Narrow" w:hAnsi="Arial Narrow" w:cs="Arial"/>
          <w:sz w:val="20"/>
          <w:szCs w:val="20"/>
          <w:lang w:eastAsia="en-US"/>
        </w:rPr>
        <w:t>Cost ratio</w:t>
      </w:r>
    </w:p>
    <w:p w:rsidR="00C30C0D" w:rsidRPr="00C30C0D" w:rsidRDefault="00C30C0D" w:rsidP="00CE20E1">
      <w:pPr>
        <w:suppressAutoHyphens/>
        <w:spacing w:after="120" w:line="276" w:lineRule="auto"/>
        <w:jc w:val="both"/>
        <w:rPr>
          <w:rFonts w:ascii="Arial Narrow" w:hAnsi="Arial Narrow" w:cs="Arial"/>
          <w:sz w:val="20"/>
          <w:szCs w:val="20"/>
          <w:lang w:eastAsia="fr-FR"/>
        </w:rPr>
      </w:pPr>
      <w:r w:rsidRPr="00C30C0D">
        <w:rPr>
          <w:rFonts w:ascii="Arial Narrow" w:hAnsi="Arial Narrow" w:cs="Arial"/>
          <w:sz w:val="20"/>
          <w:szCs w:val="20"/>
          <w:lang w:eastAsia="fr-FR"/>
        </w:rPr>
        <w:t xml:space="preserve">Coface has continued with its policy of strict cost controls and investment. During H1-2020, costs fell by </w:t>
      </w:r>
      <w:r w:rsidRPr="00C30C0D">
        <w:rPr>
          <w:rFonts w:ascii="Arial Narrow" w:hAnsi="Arial Narrow" w:cs="Arial"/>
          <w:sz w:val="20"/>
          <w:szCs w:val="20"/>
          <w:lang w:eastAsia="fr-FR"/>
        </w:rPr>
        <w:noBreakHyphen/>
      </w:r>
      <w:proofErr w:type="gramStart"/>
      <w:r w:rsidRPr="00C30C0D">
        <w:rPr>
          <w:rFonts w:ascii="Arial Narrow" w:hAnsi="Arial Narrow" w:cs="Arial"/>
          <w:sz w:val="20"/>
          <w:szCs w:val="20"/>
          <w:lang w:eastAsia="fr-FR"/>
        </w:rPr>
        <w:t>6.3%</w:t>
      </w:r>
      <w:proofErr w:type="gramEnd"/>
      <w:r w:rsidRPr="00C30C0D">
        <w:rPr>
          <w:rFonts w:ascii="Arial Narrow" w:hAnsi="Arial Narrow" w:cs="Arial"/>
          <w:sz w:val="20"/>
          <w:szCs w:val="20"/>
          <w:lang w:eastAsia="fr-FR"/>
        </w:rPr>
        <w:t xml:space="preserve"> and by -</w:t>
      </w:r>
      <w:r w:rsidR="00CE20E1">
        <w:rPr>
          <w:rFonts w:ascii="Arial Narrow" w:hAnsi="Arial Narrow" w:cs="Arial"/>
          <w:sz w:val="20"/>
          <w:szCs w:val="20"/>
          <w:lang w:eastAsia="fr-FR"/>
        </w:rPr>
        <w:t> </w:t>
      </w:r>
      <w:r w:rsidRPr="00C30C0D">
        <w:rPr>
          <w:rFonts w:ascii="Arial Narrow" w:hAnsi="Arial Narrow" w:cs="Arial"/>
          <w:sz w:val="20"/>
          <w:szCs w:val="20"/>
          <w:lang w:eastAsia="fr-FR"/>
        </w:rPr>
        <w:t>5.1% at constant FX and perimeter. This decrease is due to proactive efforts on all variable costs (travel, communications, and consultants).</w:t>
      </w:r>
    </w:p>
    <w:p w:rsidR="00FC3FB7" w:rsidRPr="00D55BCF" w:rsidRDefault="00C30C0D" w:rsidP="00C30C0D">
      <w:pPr>
        <w:suppressAutoHyphens/>
        <w:spacing w:after="120" w:line="276" w:lineRule="auto"/>
        <w:jc w:val="both"/>
        <w:rPr>
          <w:rFonts w:ascii="Arial Narrow" w:hAnsi="Arial Narrow" w:cs="Arial"/>
          <w:sz w:val="20"/>
          <w:szCs w:val="20"/>
          <w:lang w:eastAsia="fr-FR"/>
        </w:rPr>
      </w:pPr>
      <w:r w:rsidRPr="00C30C0D">
        <w:rPr>
          <w:rFonts w:ascii="Arial Narrow" w:hAnsi="Arial Narrow" w:cs="Arial"/>
          <w:sz w:val="20"/>
          <w:szCs w:val="20"/>
          <w:lang w:eastAsia="fr-FR"/>
        </w:rPr>
        <w:t xml:space="preserve">Strong control on expenses enabled a decrease in the gross loss ratio of 0.7 </w:t>
      </w:r>
      <w:proofErr w:type="spellStart"/>
      <w:r w:rsidRPr="00C30C0D">
        <w:rPr>
          <w:rFonts w:ascii="Arial Narrow" w:hAnsi="Arial Narrow" w:cs="Arial"/>
          <w:sz w:val="20"/>
          <w:szCs w:val="20"/>
          <w:lang w:eastAsia="fr-FR"/>
        </w:rPr>
        <w:t>ppt</w:t>
      </w:r>
      <w:proofErr w:type="spellEnd"/>
      <w:r w:rsidRPr="00C30C0D">
        <w:rPr>
          <w:rFonts w:ascii="Arial Narrow" w:hAnsi="Arial Narrow" w:cs="Arial"/>
          <w:sz w:val="20"/>
          <w:szCs w:val="20"/>
          <w:lang w:eastAsia="fr-FR"/>
        </w:rPr>
        <w:t>, down from 33.9% in H1-2019 to 33.2% in H1</w:t>
      </w:r>
      <w:r w:rsidRPr="00C30C0D">
        <w:rPr>
          <w:rFonts w:ascii="Arial Narrow" w:hAnsi="Arial Narrow" w:cs="Arial"/>
          <w:sz w:val="20"/>
          <w:szCs w:val="20"/>
          <w:lang w:eastAsia="fr-FR"/>
        </w:rPr>
        <w:noBreakHyphen/>
        <w:t xml:space="preserve">2020. The net cost ratio improved by -0.8 </w:t>
      </w:r>
      <w:proofErr w:type="spellStart"/>
      <w:r w:rsidRPr="00C30C0D">
        <w:rPr>
          <w:rFonts w:ascii="Arial Narrow" w:hAnsi="Arial Narrow" w:cs="Arial"/>
          <w:sz w:val="20"/>
          <w:szCs w:val="20"/>
          <w:lang w:eastAsia="fr-FR"/>
        </w:rPr>
        <w:t>ppt</w:t>
      </w:r>
      <w:proofErr w:type="spellEnd"/>
      <w:r w:rsidRPr="00C30C0D">
        <w:rPr>
          <w:rFonts w:ascii="Arial Narrow" w:hAnsi="Arial Narrow" w:cs="Arial"/>
          <w:sz w:val="20"/>
          <w:szCs w:val="20"/>
          <w:lang w:eastAsia="fr-FR"/>
        </w:rPr>
        <w:t xml:space="preserve"> to 31.2%, compared to 32.0% for H1-2019. The increase in the second quarter (33.5% vs 32.2% for Q2-2019) </w:t>
      </w:r>
      <w:proofErr w:type="gramStart"/>
      <w:r w:rsidRPr="00C30C0D">
        <w:rPr>
          <w:rFonts w:ascii="Arial Narrow" w:hAnsi="Arial Narrow" w:cs="Arial"/>
          <w:sz w:val="20"/>
          <w:szCs w:val="20"/>
          <w:lang w:eastAsia="fr-FR"/>
        </w:rPr>
        <w:t>is explained</w:t>
      </w:r>
      <w:proofErr w:type="gramEnd"/>
      <w:r w:rsidRPr="00C30C0D">
        <w:rPr>
          <w:rFonts w:ascii="Arial Narrow" w:hAnsi="Arial Narrow" w:cs="Arial"/>
          <w:sz w:val="20"/>
          <w:szCs w:val="20"/>
          <w:lang w:eastAsia="fr-FR"/>
        </w:rPr>
        <w:t xml:space="preserve"> by </w:t>
      </w:r>
      <w:r w:rsidR="00486DDC">
        <w:rPr>
          <w:rFonts w:ascii="Arial Narrow" w:hAnsi="Arial Narrow" w:cs="Arial"/>
          <w:sz w:val="20"/>
          <w:szCs w:val="20"/>
          <w:lang w:eastAsia="fr-FR"/>
        </w:rPr>
        <w:t>the implementation of</w:t>
      </w:r>
      <w:r w:rsidRPr="00C30C0D">
        <w:rPr>
          <w:rFonts w:ascii="Arial Narrow" w:hAnsi="Arial Narrow" w:cs="Arial"/>
          <w:sz w:val="20"/>
          <w:szCs w:val="20"/>
          <w:lang w:eastAsia="fr-FR"/>
        </w:rPr>
        <w:t xml:space="preserve"> government schemes whose commission rates </w:t>
      </w:r>
      <w:r w:rsidR="00FF7B85">
        <w:rPr>
          <w:rFonts w:ascii="Arial Narrow" w:hAnsi="Arial Narrow" w:cs="Arial"/>
          <w:sz w:val="20"/>
          <w:szCs w:val="20"/>
          <w:lang w:eastAsia="fr-FR"/>
        </w:rPr>
        <w:t>are generally lower</w:t>
      </w:r>
      <w:r w:rsidRPr="00D55BCF">
        <w:rPr>
          <w:rFonts w:ascii="Arial Narrow" w:hAnsi="Arial Narrow" w:cs="Arial"/>
          <w:sz w:val="20"/>
          <w:szCs w:val="20"/>
          <w:lang w:eastAsia="fr-FR"/>
        </w:rPr>
        <w:t xml:space="preserve">. </w:t>
      </w:r>
    </w:p>
    <w:p w:rsidR="00D55BCF" w:rsidRDefault="00D55BCF">
      <w:pPr>
        <w:widowControl/>
        <w:rPr>
          <w:rFonts w:ascii="Arial Narrow" w:eastAsia="Calibri" w:hAnsi="Arial Narrow" w:cs="Arial"/>
          <w:sz w:val="20"/>
          <w:szCs w:val="20"/>
          <w:u w:val="single"/>
          <w:lang w:eastAsia="en-US"/>
        </w:rPr>
      </w:pPr>
      <w:r>
        <w:rPr>
          <w:rFonts w:ascii="Arial Narrow" w:eastAsia="Calibri" w:hAnsi="Arial Narrow" w:cs="Arial"/>
          <w:sz w:val="20"/>
          <w:szCs w:val="20"/>
          <w:u w:val="single"/>
          <w:lang w:eastAsia="en-US"/>
        </w:rPr>
        <w:br w:type="page"/>
      </w:r>
    </w:p>
    <w:p w:rsidR="00793C96" w:rsidRPr="00D55BCF" w:rsidRDefault="00C95B05" w:rsidP="00EC73D9">
      <w:pPr>
        <w:widowControl/>
        <w:numPr>
          <w:ilvl w:val="0"/>
          <w:numId w:val="17"/>
        </w:numPr>
        <w:autoSpaceDE w:val="0"/>
        <w:autoSpaceDN w:val="0"/>
        <w:adjustRightInd w:val="0"/>
        <w:spacing w:line="276" w:lineRule="auto"/>
        <w:jc w:val="both"/>
        <w:rPr>
          <w:rFonts w:ascii="Arial Narrow" w:eastAsia="Calibri" w:hAnsi="Arial Narrow" w:cs="Arial"/>
          <w:sz w:val="20"/>
          <w:szCs w:val="20"/>
          <w:u w:val="single"/>
          <w:lang w:eastAsia="en-US"/>
        </w:rPr>
      </w:pPr>
      <w:r w:rsidRPr="00D55BCF">
        <w:rPr>
          <w:rFonts w:ascii="Arial Narrow" w:hAnsi="Arial Narrow" w:cs="Arial"/>
          <w:bCs/>
          <w:sz w:val="20"/>
          <w:szCs w:val="20"/>
          <w:u w:val="single"/>
          <w:lang w:eastAsia="ar-SA"/>
        </w:rPr>
        <w:lastRenderedPageBreak/>
        <w:t>Financial income</w:t>
      </w:r>
    </w:p>
    <w:p w:rsidR="00793C96" w:rsidRPr="00D55BCF" w:rsidRDefault="00793C96" w:rsidP="00B06833">
      <w:pPr>
        <w:widowControl/>
        <w:autoSpaceDE w:val="0"/>
        <w:autoSpaceDN w:val="0"/>
        <w:adjustRightInd w:val="0"/>
        <w:spacing w:line="276" w:lineRule="auto"/>
        <w:jc w:val="both"/>
        <w:rPr>
          <w:rFonts w:ascii="Arial Narrow" w:eastAsia="Calibri" w:hAnsi="Arial Narrow" w:cs="Arial"/>
          <w:sz w:val="20"/>
          <w:szCs w:val="20"/>
          <w:lang w:eastAsia="en-US"/>
        </w:rPr>
      </w:pPr>
    </w:p>
    <w:p w:rsidR="00D55BCF" w:rsidRPr="000E18DD" w:rsidRDefault="00D55BCF" w:rsidP="00D55BCF">
      <w:pPr>
        <w:suppressAutoHyphens/>
        <w:spacing w:after="120" w:line="276" w:lineRule="auto"/>
        <w:jc w:val="both"/>
        <w:rPr>
          <w:rFonts w:ascii="Arial Narrow" w:hAnsi="Arial Narrow" w:cs="Arial"/>
          <w:sz w:val="20"/>
          <w:szCs w:val="20"/>
          <w:lang w:eastAsia="fr-FR"/>
        </w:rPr>
      </w:pPr>
      <w:r>
        <w:rPr>
          <w:rFonts w:ascii="Arial Narrow" w:hAnsi="Arial Narrow" w:cs="Arial"/>
          <w:sz w:val="20"/>
          <w:szCs w:val="20"/>
          <w:lang w:eastAsia="fr-FR"/>
        </w:rPr>
        <w:t>Net financial income for H</w:t>
      </w:r>
      <w:r w:rsidRPr="000E18DD">
        <w:rPr>
          <w:rFonts w:ascii="Arial Narrow" w:hAnsi="Arial Narrow" w:cs="Arial"/>
          <w:sz w:val="20"/>
          <w:szCs w:val="20"/>
          <w:lang w:eastAsia="fr-FR"/>
        </w:rPr>
        <w:t xml:space="preserve">1-2020 </w:t>
      </w:r>
      <w:r>
        <w:rPr>
          <w:rFonts w:ascii="Arial Narrow" w:hAnsi="Arial Narrow" w:cs="Arial"/>
          <w:sz w:val="20"/>
          <w:szCs w:val="20"/>
          <w:lang w:eastAsia="fr-FR"/>
        </w:rPr>
        <w:t xml:space="preserve">period </w:t>
      </w:r>
      <w:r w:rsidRPr="000E18DD">
        <w:rPr>
          <w:rFonts w:ascii="Arial Narrow" w:hAnsi="Arial Narrow" w:cs="Arial"/>
          <w:sz w:val="20"/>
          <w:szCs w:val="20"/>
          <w:lang w:eastAsia="fr-FR"/>
        </w:rPr>
        <w:t xml:space="preserve">was €16.7m, showing a slight rise of €0.1m for the year. </w:t>
      </w:r>
      <w:r w:rsidRPr="00AA5D06">
        <w:rPr>
          <w:rFonts w:ascii="Arial Narrow" w:hAnsi="Arial Narrow" w:cs="Arial"/>
          <w:sz w:val="20"/>
          <w:szCs w:val="20"/>
          <w:lang w:eastAsia="fr-FR"/>
        </w:rPr>
        <w:t>The accounting yield</w:t>
      </w:r>
      <w:r>
        <w:rPr>
          <w:rStyle w:val="FootnoteReference"/>
          <w:rFonts w:ascii="Arial Narrow" w:hAnsi="Arial Narrow" w:cs="Arial"/>
          <w:sz w:val="20"/>
          <w:szCs w:val="20"/>
        </w:rPr>
        <w:footnoteReference w:id="3"/>
      </w:r>
      <w:r w:rsidRPr="00AA5D06">
        <w:rPr>
          <w:rFonts w:ascii="Arial Narrow" w:hAnsi="Arial Narrow" w:cs="Arial"/>
          <w:sz w:val="20"/>
          <w:szCs w:val="20"/>
          <w:lang w:eastAsia="fr-FR"/>
        </w:rPr>
        <w:t>, excluding capital gains and depreciation</w:t>
      </w:r>
      <w:r>
        <w:rPr>
          <w:rFonts w:ascii="Arial Narrow" w:hAnsi="Arial Narrow" w:cs="Arial"/>
          <w:sz w:val="20"/>
          <w:szCs w:val="20"/>
          <w:lang w:eastAsia="fr-FR"/>
        </w:rPr>
        <w:t>, stood at</w:t>
      </w:r>
      <w:r w:rsidRPr="000E18DD">
        <w:rPr>
          <w:rFonts w:ascii="Arial Narrow" w:hAnsi="Arial Narrow" w:cs="Arial"/>
          <w:sz w:val="20"/>
          <w:szCs w:val="20"/>
          <w:lang w:eastAsia="fr-FR"/>
        </w:rPr>
        <w:t xml:space="preserve"> 0.6% (</w:t>
      </w:r>
      <w:r>
        <w:rPr>
          <w:rFonts w:ascii="Arial Narrow" w:hAnsi="Arial Narrow" w:cs="Arial"/>
          <w:sz w:val="20"/>
          <w:szCs w:val="20"/>
          <w:lang w:eastAsia="fr-FR"/>
        </w:rPr>
        <w:t xml:space="preserve">vs </w:t>
      </w:r>
      <w:r w:rsidRPr="000E18DD">
        <w:rPr>
          <w:rFonts w:ascii="Arial Narrow" w:hAnsi="Arial Narrow" w:cs="Arial"/>
          <w:sz w:val="20"/>
          <w:szCs w:val="20"/>
          <w:lang w:eastAsia="fr-FR"/>
        </w:rPr>
        <w:t>0.9% at H1-201</w:t>
      </w:r>
      <w:r>
        <w:rPr>
          <w:rFonts w:ascii="Arial Narrow" w:hAnsi="Arial Narrow" w:cs="Arial"/>
          <w:sz w:val="20"/>
          <w:szCs w:val="20"/>
          <w:lang w:eastAsia="fr-FR"/>
        </w:rPr>
        <w:t>9</w:t>
      </w:r>
      <w:r w:rsidRPr="000E18DD">
        <w:rPr>
          <w:rFonts w:ascii="Arial Narrow" w:hAnsi="Arial Narrow" w:cs="Arial"/>
          <w:sz w:val="20"/>
          <w:szCs w:val="20"/>
          <w:lang w:eastAsia="fr-FR"/>
        </w:rPr>
        <w:t>)</w:t>
      </w:r>
      <w:r>
        <w:rPr>
          <w:rFonts w:ascii="Arial Narrow" w:hAnsi="Arial Narrow" w:cs="Arial"/>
          <w:sz w:val="20"/>
          <w:szCs w:val="20"/>
          <w:lang w:eastAsia="fr-FR"/>
        </w:rPr>
        <w:t xml:space="preserve">, affected by </w:t>
      </w:r>
      <w:r w:rsidRPr="000E18DD">
        <w:rPr>
          <w:rFonts w:ascii="Arial Narrow" w:hAnsi="Arial Narrow" w:cs="Arial"/>
          <w:sz w:val="20"/>
          <w:szCs w:val="20"/>
          <w:lang w:eastAsia="fr-FR"/>
        </w:rPr>
        <w:t>the strong reduction in risks made in the first half of 2020.</w:t>
      </w:r>
    </w:p>
    <w:p w:rsidR="00983984" w:rsidRPr="00D55BCF" w:rsidRDefault="00D55BCF" w:rsidP="00D55BCF">
      <w:pPr>
        <w:suppressAutoHyphens/>
        <w:spacing w:after="120" w:line="276" w:lineRule="auto"/>
        <w:jc w:val="both"/>
      </w:pPr>
      <w:r w:rsidRPr="000E18DD">
        <w:rPr>
          <w:rFonts w:ascii="Arial Narrow" w:hAnsi="Arial Narrow" w:cs="Arial"/>
          <w:sz w:val="20"/>
          <w:szCs w:val="20"/>
          <w:lang w:eastAsia="fr-FR"/>
        </w:rPr>
        <w:t>Th</w:t>
      </w:r>
      <w:r>
        <w:rPr>
          <w:rFonts w:ascii="Arial Narrow" w:hAnsi="Arial Narrow" w:cs="Arial"/>
          <w:sz w:val="20"/>
          <w:szCs w:val="20"/>
          <w:lang w:eastAsia="fr-FR"/>
        </w:rPr>
        <w:t>is</w:t>
      </w:r>
      <w:r w:rsidRPr="000E18DD">
        <w:rPr>
          <w:rFonts w:ascii="Arial Narrow" w:hAnsi="Arial Narrow" w:cs="Arial"/>
          <w:sz w:val="20"/>
          <w:szCs w:val="20"/>
          <w:lang w:eastAsia="fr-FR"/>
        </w:rPr>
        <w:t xml:space="preserve"> apparent stability </w:t>
      </w:r>
      <w:proofErr w:type="gramStart"/>
      <w:r w:rsidRPr="000E18DD">
        <w:rPr>
          <w:rFonts w:ascii="Arial Narrow" w:hAnsi="Arial Narrow" w:cs="Arial"/>
          <w:sz w:val="20"/>
          <w:szCs w:val="20"/>
          <w:lang w:eastAsia="fr-FR"/>
        </w:rPr>
        <w:t>is partly explained</w:t>
      </w:r>
      <w:proofErr w:type="gramEnd"/>
      <w:r w:rsidRPr="000E18DD">
        <w:rPr>
          <w:rFonts w:ascii="Arial Narrow" w:hAnsi="Arial Narrow" w:cs="Arial"/>
          <w:sz w:val="20"/>
          <w:szCs w:val="20"/>
          <w:lang w:eastAsia="fr-FR"/>
        </w:rPr>
        <w:t xml:space="preserve"> by the non-recurrence of depreciation charges that </w:t>
      </w:r>
      <w:r>
        <w:rPr>
          <w:rFonts w:ascii="Arial Narrow" w:hAnsi="Arial Narrow" w:cs="Arial"/>
          <w:sz w:val="20"/>
          <w:szCs w:val="20"/>
          <w:lang w:eastAsia="fr-FR"/>
        </w:rPr>
        <w:t>were</w:t>
      </w:r>
      <w:r w:rsidRPr="000E18DD">
        <w:rPr>
          <w:rFonts w:ascii="Arial Narrow" w:hAnsi="Arial Narrow" w:cs="Arial"/>
          <w:sz w:val="20"/>
          <w:szCs w:val="20"/>
          <w:lang w:eastAsia="fr-FR"/>
        </w:rPr>
        <w:t xml:space="preserve"> recorded in H1-2019.</w:t>
      </w:r>
    </w:p>
    <w:p w:rsidR="00DB3814" w:rsidRPr="00D55BCF" w:rsidRDefault="00DB3814" w:rsidP="00EC73D9">
      <w:pPr>
        <w:suppressAutoHyphens/>
        <w:spacing w:line="276" w:lineRule="auto"/>
        <w:jc w:val="both"/>
        <w:rPr>
          <w:rFonts w:ascii="Arial Narrow" w:hAnsi="Arial Narrow" w:cs="Arial"/>
          <w:sz w:val="20"/>
          <w:szCs w:val="20"/>
          <w:lang w:eastAsia="fr-FR"/>
        </w:rPr>
      </w:pPr>
    </w:p>
    <w:p w:rsidR="00793C96" w:rsidRPr="00D55BCF" w:rsidRDefault="00C95B05" w:rsidP="00EC73D9">
      <w:pPr>
        <w:widowControl/>
        <w:numPr>
          <w:ilvl w:val="0"/>
          <w:numId w:val="17"/>
        </w:numPr>
        <w:autoSpaceDE w:val="0"/>
        <w:autoSpaceDN w:val="0"/>
        <w:adjustRightInd w:val="0"/>
        <w:spacing w:line="276" w:lineRule="auto"/>
        <w:jc w:val="both"/>
        <w:rPr>
          <w:rFonts w:ascii="Arial Narrow" w:eastAsia="Calibri" w:hAnsi="Arial Narrow" w:cs="Arial"/>
          <w:sz w:val="20"/>
          <w:szCs w:val="20"/>
          <w:u w:val="single"/>
          <w:lang w:eastAsia="en-US"/>
        </w:rPr>
      </w:pPr>
      <w:r w:rsidRPr="00D55BCF">
        <w:rPr>
          <w:rFonts w:ascii="Arial Narrow" w:hAnsi="Arial Narrow" w:cs="Arial"/>
          <w:bCs/>
          <w:sz w:val="20"/>
          <w:szCs w:val="20"/>
          <w:u w:val="single"/>
          <w:lang w:eastAsia="ar-SA"/>
        </w:rPr>
        <w:t>Operating income and net income</w:t>
      </w:r>
    </w:p>
    <w:p w:rsidR="000A5D78" w:rsidRPr="00D55BCF" w:rsidRDefault="000A5D78" w:rsidP="00AC5702">
      <w:pPr>
        <w:suppressAutoHyphens/>
        <w:spacing w:line="276" w:lineRule="auto"/>
        <w:jc w:val="both"/>
        <w:rPr>
          <w:rFonts w:ascii="Arial Narrow" w:eastAsia="Calibri" w:hAnsi="Arial Narrow" w:cs="Arial"/>
          <w:sz w:val="20"/>
          <w:szCs w:val="20"/>
          <w:lang w:eastAsia="fr-FR"/>
        </w:rPr>
      </w:pPr>
    </w:p>
    <w:p w:rsidR="00D52C48" w:rsidRPr="000E18DD" w:rsidRDefault="00D52C48" w:rsidP="00D52C48">
      <w:pPr>
        <w:suppressAutoHyphens/>
        <w:spacing w:after="120" w:line="276" w:lineRule="auto"/>
        <w:jc w:val="both"/>
        <w:rPr>
          <w:rFonts w:ascii="Arial Narrow" w:eastAsia="Calibri" w:hAnsi="Arial Narrow" w:cs="Arial"/>
          <w:sz w:val="20"/>
          <w:szCs w:val="20"/>
          <w:lang w:eastAsia="fr-FR"/>
        </w:rPr>
      </w:pPr>
      <w:r w:rsidRPr="000E18DD">
        <w:rPr>
          <w:rFonts w:ascii="Arial Narrow" w:eastAsia="Calibri" w:hAnsi="Arial Narrow" w:cs="Arial"/>
          <w:sz w:val="20"/>
          <w:szCs w:val="20"/>
          <w:lang w:eastAsia="fr-FR"/>
        </w:rPr>
        <w:t xml:space="preserve">Operating income for H1-2020 </w:t>
      </w:r>
      <w:r>
        <w:rPr>
          <w:rFonts w:ascii="Arial Narrow" w:eastAsia="Calibri" w:hAnsi="Arial Narrow" w:cs="Arial"/>
          <w:sz w:val="20"/>
          <w:szCs w:val="20"/>
          <w:lang w:eastAsia="fr-FR"/>
        </w:rPr>
        <w:t>amounted to</w:t>
      </w:r>
      <w:r w:rsidRPr="000E18DD">
        <w:rPr>
          <w:rFonts w:ascii="Arial Narrow" w:eastAsia="Calibri" w:hAnsi="Arial Narrow" w:cs="Arial"/>
          <w:sz w:val="20"/>
          <w:szCs w:val="20"/>
          <w:lang w:eastAsia="fr-FR"/>
        </w:rPr>
        <w:t xml:space="preserve"> €5</w:t>
      </w:r>
      <w:r w:rsidR="0076747A">
        <w:rPr>
          <w:rFonts w:ascii="Arial Narrow" w:eastAsia="Calibri" w:hAnsi="Arial Narrow" w:cs="Arial"/>
          <w:sz w:val="20"/>
          <w:szCs w:val="20"/>
          <w:lang w:eastAsia="fr-FR"/>
        </w:rPr>
        <w:t>5</w:t>
      </w:r>
      <w:r w:rsidRPr="000E18DD">
        <w:rPr>
          <w:rFonts w:ascii="Arial Narrow" w:eastAsia="Calibri" w:hAnsi="Arial Narrow" w:cs="Arial"/>
          <w:sz w:val="20"/>
          <w:szCs w:val="20"/>
          <w:lang w:eastAsia="fr-FR"/>
        </w:rPr>
        <w:t>.</w:t>
      </w:r>
      <w:r w:rsidR="0076747A">
        <w:rPr>
          <w:rFonts w:ascii="Arial Narrow" w:eastAsia="Calibri" w:hAnsi="Arial Narrow" w:cs="Arial"/>
          <w:sz w:val="20"/>
          <w:szCs w:val="20"/>
          <w:lang w:eastAsia="fr-FR"/>
        </w:rPr>
        <w:t>4</w:t>
      </w:r>
      <w:r w:rsidRPr="000E18DD">
        <w:rPr>
          <w:rFonts w:ascii="Arial Narrow" w:eastAsia="Calibri" w:hAnsi="Arial Narrow" w:cs="Arial"/>
          <w:sz w:val="20"/>
          <w:szCs w:val="20"/>
          <w:lang w:eastAsia="fr-FR"/>
        </w:rPr>
        <w:t xml:space="preserve">m, </w:t>
      </w:r>
      <w:r w:rsidR="005354D6">
        <w:rPr>
          <w:rFonts w:ascii="Arial Narrow" w:eastAsia="Calibri" w:hAnsi="Arial Narrow" w:cs="Arial"/>
          <w:sz w:val="20"/>
          <w:szCs w:val="20"/>
          <w:lang w:eastAsia="fr-FR"/>
        </w:rPr>
        <w:t xml:space="preserve">of which €8m due to government schemes, </w:t>
      </w:r>
      <w:r w:rsidRPr="000E18DD">
        <w:rPr>
          <w:rFonts w:ascii="Arial Narrow" w:eastAsia="Calibri" w:hAnsi="Arial Narrow" w:cs="Arial"/>
          <w:sz w:val="20"/>
          <w:szCs w:val="20"/>
          <w:lang w:eastAsia="fr-FR"/>
        </w:rPr>
        <w:t xml:space="preserve">down </w:t>
      </w:r>
      <w:r>
        <w:rPr>
          <w:rFonts w:ascii="Arial Narrow" w:eastAsia="Calibri" w:hAnsi="Arial Narrow" w:cs="Arial"/>
          <w:sz w:val="20"/>
          <w:szCs w:val="20"/>
          <w:lang w:eastAsia="fr-FR"/>
        </w:rPr>
        <w:t>by</w:t>
      </w:r>
      <w:r w:rsidRPr="000E18DD">
        <w:rPr>
          <w:rFonts w:ascii="Arial Narrow" w:eastAsia="Calibri" w:hAnsi="Arial Narrow" w:cs="Arial"/>
          <w:sz w:val="20"/>
          <w:szCs w:val="20"/>
          <w:lang w:eastAsia="fr-FR"/>
        </w:rPr>
        <w:t xml:space="preserve"> 52.</w:t>
      </w:r>
      <w:r w:rsidR="0076747A">
        <w:rPr>
          <w:rFonts w:ascii="Arial Narrow" w:eastAsia="Calibri" w:hAnsi="Arial Narrow" w:cs="Arial"/>
          <w:sz w:val="20"/>
          <w:szCs w:val="20"/>
          <w:lang w:eastAsia="fr-FR"/>
        </w:rPr>
        <w:t>8</w:t>
      </w:r>
      <w:r w:rsidRPr="000E18DD">
        <w:rPr>
          <w:rFonts w:ascii="Arial Narrow" w:eastAsia="Calibri" w:hAnsi="Arial Narrow" w:cs="Arial"/>
          <w:sz w:val="20"/>
          <w:szCs w:val="20"/>
          <w:lang w:eastAsia="fr-FR"/>
        </w:rPr>
        <w:t>% compared to the previous year, mainly due to the rise in the combined ratio (which is in turn due to the higher loss ratio within the current economic and health crisis).</w:t>
      </w:r>
    </w:p>
    <w:p w:rsidR="00D52C48" w:rsidRPr="000E18DD" w:rsidRDefault="00D52C48" w:rsidP="00D52C48">
      <w:pPr>
        <w:suppressAutoHyphens/>
        <w:spacing w:after="120" w:line="276" w:lineRule="auto"/>
        <w:jc w:val="both"/>
        <w:rPr>
          <w:rFonts w:ascii="Arial Narrow" w:eastAsia="Calibri" w:hAnsi="Arial Narrow" w:cs="Arial"/>
          <w:sz w:val="20"/>
          <w:szCs w:val="20"/>
          <w:lang w:eastAsia="fr-FR"/>
        </w:rPr>
      </w:pPr>
      <w:r w:rsidRPr="000E18DD">
        <w:rPr>
          <w:rFonts w:ascii="Arial Narrow" w:eastAsia="Calibri" w:hAnsi="Arial Narrow" w:cs="Arial"/>
          <w:sz w:val="20"/>
          <w:szCs w:val="20"/>
          <w:lang w:eastAsia="fr-FR"/>
        </w:rPr>
        <w:t>The effective tax rate rose to 4</w:t>
      </w:r>
      <w:r w:rsidR="0076747A">
        <w:rPr>
          <w:rFonts w:ascii="Arial Narrow" w:eastAsia="Calibri" w:hAnsi="Arial Narrow" w:cs="Arial"/>
          <w:sz w:val="20"/>
          <w:szCs w:val="20"/>
          <w:lang w:eastAsia="fr-FR"/>
        </w:rPr>
        <w:t>6</w:t>
      </w:r>
      <w:r w:rsidRPr="000E18DD">
        <w:rPr>
          <w:rFonts w:ascii="Arial Narrow" w:eastAsia="Calibri" w:hAnsi="Arial Narrow" w:cs="Arial"/>
          <w:sz w:val="20"/>
          <w:szCs w:val="20"/>
          <w:lang w:eastAsia="fr-FR"/>
        </w:rPr>
        <w:t xml:space="preserve">%, compared to 29% for H1-2019. </w:t>
      </w:r>
      <w:r>
        <w:rPr>
          <w:rFonts w:ascii="Arial Narrow" w:eastAsia="Calibri" w:hAnsi="Arial Narrow" w:cs="Arial"/>
          <w:sz w:val="20"/>
          <w:szCs w:val="20"/>
          <w:lang w:eastAsia="fr-FR"/>
        </w:rPr>
        <w:t>T</w:t>
      </w:r>
      <w:r w:rsidRPr="000E18DD">
        <w:rPr>
          <w:rFonts w:ascii="Arial Narrow" w:eastAsia="Calibri" w:hAnsi="Arial Narrow" w:cs="Arial"/>
          <w:sz w:val="20"/>
          <w:szCs w:val="20"/>
          <w:lang w:eastAsia="fr-FR"/>
        </w:rPr>
        <w:t xml:space="preserve">his increase is mainly explained by a </w:t>
      </w:r>
      <w:proofErr w:type="gramStart"/>
      <w:r w:rsidRPr="000E18DD">
        <w:rPr>
          <w:rFonts w:ascii="Arial Narrow" w:eastAsia="Calibri" w:hAnsi="Arial Narrow" w:cs="Arial"/>
          <w:sz w:val="20"/>
          <w:szCs w:val="20"/>
          <w:lang w:eastAsia="fr-FR"/>
        </w:rPr>
        <w:t>claim which</w:t>
      </w:r>
      <w:proofErr w:type="gramEnd"/>
      <w:r w:rsidRPr="000E18DD">
        <w:rPr>
          <w:rFonts w:ascii="Arial Narrow" w:eastAsia="Calibri" w:hAnsi="Arial Narrow" w:cs="Arial"/>
          <w:sz w:val="20"/>
          <w:szCs w:val="20"/>
          <w:lang w:eastAsia="fr-FR"/>
        </w:rPr>
        <w:t xml:space="preserve"> was very large compared to the size of the entity that</w:t>
      </w:r>
      <w:r>
        <w:rPr>
          <w:rFonts w:ascii="Arial Narrow" w:eastAsia="Calibri" w:hAnsi="Arial Narrow" w:cs="Arial"/>
          <w:sz w:val="20"/>
          <w:szCs w:val="20"/>
          <w:lang w:eastAsia="fr-FR"/>
        </w:rPr>
        <w:t xml:space="preserve"> reported it.</w:t>
      </w:r>
    </w:p>
    <w:p w:rsidR="00D52C48" w:rsidRPr="00D52C48" w:rsidRDefault="00D52C48" w:rsidP="00D52C48">
      <w:pPr>
        <w:suppressAutoHyphens/>
        <w:spacing w:after="120" w:line="276" w:lineRule="auto"/>
        <w:jc w:val="both"/>
        <w:rPr>
          <w:rFonts w:ascii="Arial Narrow" w:eastAsia="Calibri" w:hAnsi="Arial Narrow" w:cs="Arial"/>
          <w:sz w:val="20"/>
          <w:szCs w:val="20"/>
          <w:lang w:eastAsia="fr-FR"/>
        </w:rPr>
      </w:pPr>
      <w:r w:rsidRPr="00D52C48">
        <w:rPr>
          <w:rFonts w:ascii="Arial Narrow" w:eastAsia="Calibri" w:hAnsi="Arial Narrow" w:cs="Arial"/>
          <w:sz w:val="20"/>
          <w:szCs w:val="20"/>
          <w:lang w:eastAsia="fr-FR"/>
        </w:rPr>
        <w:t>In total, net income (group share) was €24.0m, of which €11.3m was in Q2-2020. This clearly demonstrates the resilience of Coface, despite the very challenging economic context. </w:t>
      </w:r>
    </w:p>
    <w:p w:rsidR="00AF4768" w:rsidRPr="00D52C48" w:rsidRDefault="00AF4768" w:rsidP="00EC73D9">
      <w:pPr>
        <w:suppressAutoHyphens/>
        <w:spacing w:line="276" w:lineRule="auto"/>
        <w:jc w:val="both"/>
        <w:rPr>
          <w:rFonts w:ascii="Arial Narrow" w:eastAsia="Calibri" w:hAnsi="Arial Narrow" w:cs="Arial"/>
          <w:sz w:val="20"/>
          <w:szCs w:val="20"/>
          <w:lang w:eastAsia="fr-FR"/>
        </w:rPr>
      </w:pPr>
    </w:p>
    <w:p w:rsidR="005E4CE2" w:rsidRPr="00D52C48" w:rsidRDefault="00C95B05" w:rsidP="00EC73D9">
      <w:pPr>
        <w:widowControl/>
        <w:numPr>
          <w:ilvl w:val="0"/>
          <w:numId w:val="18"/>
        </w:numPr>
        <w:autoSpaceDE w:val="0"/>
        <w:autoSpaceDN w:val="0"/>
        <w:adjustRightInd w:val="0"/>
        <w:spacing w:line="276" w:lineRule="auto"/>
        <w:jc w:val="both"/>
        <w:rPr>
          <w:rFonts w:ascii="Arial Narrow" w:eastAsia="Calibri" w:hAnsi="Arial Narrow" w:cs="Arial"/>
          <w:b/>
          <w:bCs/>
          <w:sz w:val="20"/>
          <w:szCs w:val="20"/>
          <w:lang w:eastAsia="en-US"/>
        </w:rPr>
      </w:pPr>
      <w:r w:rsidRPr="00D52C48">
        <w:rPr>
          <w:rFonts w:ascii="Arial Narrow" w:hAnsi="Arial Narrow" w:cs="Arial"/>
          <w:b/>
          <w:bCs/>
          <w:sz w:val="20"/>
          <w:szCs w:val="20"/>
          <w:lang w:eastAsia="ar-SA"/>
        </w:rPr>
        <w:t>Shareholders' equity</w:t>
      </w:r>
    </w:p>
    <w:p w:rsidR="001E37EC" w:rsidRPr="00D52C48" w:rsidRDefault="001E37EC" w:rsidP="000D5C6E">
      <w:pPr>
        <w:widowControl/>
        <w:autoSpaceDE w:val="0"/>
        <w:autoSpaceDN w:val="0"/>
        <w:adjustRightInd w:val="0"/>
        <w:spacing w:line="276" w:lineRule="auto"/>
        <w:jc w:val="both"/>
        <w:rPr>
          <w:rFonts w:ascii="Arial Narrow" w:eastAsia="Calibri" w:hAnsi="Arial Narrow" w:cs="Arial"/>
          <w:bCs/>
          <w:sz w:val="20"/>
          <w:szCs w:val="20"/>
          <w:lang w:eastAsia="en-US"/>
        </w:rPr>
      </w:pPr>
    </w:p>
    <w:p w:rsidR="002B4A0D" w:rsidRPr="00D52C48" w:rsidRDefault="00D52C48" w:rsidP="002B4A0D">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D52C48">
        <w:rPr>
          <w:rFonts w:ascii="Arial Narrow" w:eastAsia="Calibri" w:hAnsi="Arial Narrow" w:cs="Arial"/>
          <w:bCs/>
          <w:sz w:val="20"/>
          <w:szCs w:val="20"/>
          <w:lang w:eastAsia="en-US"/>
        </w:rPr>
        <w:t>As at 30 June 2020</w:t>
      </w:r>
      <w:r w:rsidR="002B4A0D" w:rsidRPr="00D52C48">
        <w:rPr>
          <w:rFonts w:ascii="Arial Narrow" w:eastAsia="Calibri" w:hAnsi="Arial Narrow" w:cs="Arial"/>
          <w:bCs/>
          <w:sz w:val="20"/>
          <w:szCs w:val="20"/>
          <w:lang w:eastAsia="en-US"/>
        </w:rPr>
        <w:t xml:space="preserve">, shareholders’ </w:t>
      </w:r>
      <w:r w:rsidRPr="00D52C48">
        <w:rPr>
          <w:rFonts w:ascii="Arial Narrow" w:eastAsia="Calibri" w:hAnsi="Arial Narrow" w:cs="Arial"/>
          <w:bCs/>
          <w:sz w:val="20"/>
          <w:szCs w:val="20"/>
          <w:lang w:eastAsia="en-US"/>
        </w:rPr>
        <w:t xml:space="preserve">equity </w:t>
      </w:r>
      <w:r w:rsidR="00740696">
        <w:rPr>
          <w:rFonts w:ascii="Arial Narrow" w:eastAsia="Calibri" w:hAnsi="Arial Narrow" w:cs="Arial"/>
          <w:bCs/>
          <w:sz w:val="20"/>
          <w:szCs w:val="20"/>
          <w:lang w:eastAsia="en-US"/>
        </w:rPr>
        <w:t xml:space="preserve">group share </w:t>
      </w:r>
      <w:r w:rsidRPr="00D52C48">
        <w:rPr>
          <w:rFonts w:ascii="Arial Narrow" w:eastAsia="Calibri" w:hAnsi="Arial Narrow" w:cs="Arial"/>
          <w:bCs/>
          <w:sz w:val="20"/>
          <w:szCs w:val="20"/>
          <w:lang w:eastAsia="en-US"/>
        </w:rPr>
        <w:t>was €1,916.</w:t>
      </w:r>
      <w:r w:rsidR="006F263F">
        <w:rPr>
          <w:rFonts w:ascii="Arial Narrow" w:eastAsia="Calibri" w:hAnsi="Arial Narrow" w:cs="Arial"/>
          <w:bCs/>
          <w:sz w:val="20"/>
          <w:szCs w:val="20"/>
          <w:lang w:eastAsia="en-US"/>
        </w:rPr>
        <w:t>2</w:t>
      </w:r>
      <w:r w:rsidR="002B4A0D" w:rsidRPr="00D52C48">
        <w:rPr>
          <w:rFonts w:ascii="Arial Narrow" w:eastAsia="Calibri" w:hAnsi="Arial Narrow" w:cs="Arial"/>
          <w:bCs/>
          <w:sz w:val="20"/>
          <w:szCs w:val="20"/>
          <w:lang w:eastAsia="en-US"/>
        </w:rPr>
        <w:t xml:space="preserve">m, representing a </w:t>
      </w:r>
      <w:r w:rsidR="00740696">
        <w:rPr>
          <w:rFonts w:ascii="Arial Narrow" w:eastAsia="Calibri" w:hAnsi="Arial Narrow" w:cs="Arial"/>
          <w:bCs/>
          <w:sz w:val="20"/>
          <w:szCs w:val="20"/>
          <w:lang w:eastAsia="en-US"/>
        </w:rPr>
        <w:t>decline</w:t>
      </w:r>
      <w:r w:rsidRPr="00D52C48">
        <w:rPr>
          <w:rFonts w:ascii="Arial Narrow" w:eastAsia="Calibri" w:hAnsi="Arial Narrow" w:cs="Arial"/>
          <w:bCs/>
          <w:sz w:val="20"/>
          <w:szCs w:val="20"/>
          <w:lang w:eastAsia="en-US"/>
        </w:rPr>
        <w:t xml:space="preserve"> of </w:t>
      </w:r>
      <w:r w:rsidR="002B4A0D" w:rsidRPr="00D52C48">
        <w:rPr>
          <w:rFonts w:ascii="Arial Narrow" w:eastAsia="Calibri" w:hAnsi="Arial Narrow" w:cs="Arial"/>
          <w:bCs/>
          <w:sz w:val="20"/>
          <w:szCs w:val="20"/>
          <w:lang w:eastAsia="en-US"/>
        </w:rPr>
        <w:t>€8.</w:t>
      </w:r>
      <w:r w:rsidR="006F263F">
        <w:rPr>
          <w:rFonts w:ascii="Arial Narrow" w:eastAsia="Calibri" w:hAnsi="Arial Narrow" w:cs="Arial"/>
          <w:bCs/>
          <w:sz w:val="20"/>
          <w:szCs w:val="20"/>
          <w:lang w:eastAsia="en-US"/>
        </w:rPr>
        <w:t>3</w:t>
      </w:r>
      <w:r w:rsidR="002B4A0D" w:rsidRPr="00D52C48">
        <w:rPr>
          <w:rFonts w:ascii="Arial Narrow" w:eastAsia="Calibri" w:hAnsi="Arial Narrow" w:cs="Arial"/>
          <w:bCs/>
          <w:sz w:val="20"/>
          <w:szCs w:val="20"/>
          <w:lang w:eastAsia="en-US"/>
        </w:rPr>
        <w:t xml:space="preserve">m, or </w:t>
      </w:r>
      <w:r w:rsidRPr="00D52C48">
        <w:rPr>
          <w:rFonts w:ascii="Arial Narrow" w:eastAsia="Calibri" w:hAnsi="Arial Narrow" w:cs="Arial"/>
          <w:bCs/>
          <w:sz w:val="20"/>
          <w:szCs w:val="20"/>
          <w:lang w:eastAsia="en-US"/>
        </w:rPr>
        <w:t>-0.4</w:t>
      </w:r>
      <w:r w:rsidR="002B4A0D" w:rsidRPr="00D52C48">
        <w:rPr>
          <w:rFonts w:ascii="Arial Narrow" w:eastAsia="Calibri" w:hAnsi="Arial Narrow" w:cs="Arial"/>
          <w:bCs/>
          <w:sz w:val="20"/>
          <w:szCs w:val="20"/>
          <w:lang w:eastAsia="en-US"/>
        </w:rPr>
        <w:t>% (vs</w:t>
      </w:r>
      <w:r w:rsidR="00740696">
        <w:rPr>
          <w:rFonts w:ascii="Arial Narrow" w:eastAsia="Calibri" w:hAnsi="Arial Narrow" w:cs="Arial"/>
          <w:bCs/>
          <w:sz w:val="20"/>
          <w:szCs w:val="20"/>
          <w:lang w:eastAsia="en-US"/>
        </w:rPr>
        <w:t> </w:t>
      </w:r>
      <w:r w:rsidR="002B4A0D" w:rsidRPr="00D52C48">
        <w:rPr>
          <w:rFonts w:ascii="Arial Narrow" w:eastAsia="Calibri" w:hAnsi="Arial Narrow" w:cs="Arial"/>
          <w:bCs/>
          <w:sz w:val="20"/>
          <w:szCs w:val="20"/>
          <w:lang w:eastAsia="en-US"/>
        </w:rPr>
        <w:t>€1,</w:t>
      </w:r>
      <w:r w:rsidRPr="00D52C48">
        <w:rPr>
          <w:rFonts w:ascii="Arial Narrow" w:eastAsia="Calibri" w:hAnsi="Arial Narrow" w:cs="Arial"/>
          <w:bCs/>
          <w:sz w:val="20"/>
          <w:szCs w:val="20"/>
          <w:lang w:eastAsia="en-US"/>
        </w:rPr>
        <w:t>924.</w:t>
      </w:r>
      <w:r w:rsidR="006F263F">
        <w:rPr>
          <w:rFonts w:ascii="Arial Narrow" w:eastAsia="Calibri" w:hAnsi="Arial Narrow" w:cs="Arial"/>
          <w:bCs/>
          <w:sz w:val="20"/>
          <w:szCs w:val="20"/>
          <w:lang w:eastAsia="en-US"/>
        </w:rPr>
        <w:t>5</w:t>
      </w:r>
      <w:r w:rsidRPr="00D52C48">
        <w:rPr>
          <w:rFonts w:ascii="Arial Narrow" w:eastAsia="Calibri" w:hAnsi="Arial Narrow" w:cs="Arial"/>
          <w:bCs/>
          <w:sz w:val="20"/>
          <w:szCs w:val="20"/>
          <w:lang w:eastAsia="en-US"/>
        </w:rPr>
        <w:t>m at 31 December 2019</w:t>
      </w:r>
      <w:r w:rsidR="002B4A0D" w:rsidRPr="00D52C48">
        <w:rPr>
          <w:rFonts w:ascii="Arial Narrow" w:eastAsia="Calibri" w:hAnsi="Arial Narrow" w:cs="Arial"/>
          <w:bCs/>
          <w:sz w:val="20"/>
          <w:szCs w:val="20"/>
          <w:lang w:eastAsia="en-US"/>
        </w:rPr>
        <w:t>).</w:t>
      </w:r>
    </w:p>
    <w:p w:rsidR="002B4A0D" w:rsidRPr="006F263F" w:rsidRDefault="002B4A0D" w:rsidP="002B4A0D">
      <w:pPr>
        <w:widowControl/>
        <w:autoSpaceDE w:val="0"/>
        <w:autoSpaceDN w:val="0"/>
        <w:adjustRightInd w:val="0"/>
        <w:spacing w:after="120" w:line="276" w:lineRule="auto"/>
        <w:jc w:val="both"/>
        <w:rPr>
          <w:rFonts w:ascii="Arial Narrow" w:hAnsi="Arial Narrow" w:cs="Arial"/>
          <w:bCs/>
          <w:sz w:val="20"/>
          <w:szCs w:val="20"/>
          <w:highlight w:val="yellow"/>
        </w:rPr>
      </w:pPr>
      <w:r w:rsidRPr="006F263F">
        <w:rPr>
          <w:rFonts w:ascii="Arial Narrow" w:eastAsia="Calibri" w:hAnsi="Arial Narrow" w:cs="Arial"/>
          <w:bCs/>
          <w:sz w:val="20"/>
          <w:szCs w:val="20"/>
          <w:lang w:eastAsia="en-US"/>
        </w:rPr>
        <w:t xml:space="preserve">These </w:t>
      </w:r>
      <w:r w:rsidR="006F263F" w:rsidRPr="006F263F">
        <w:rPr>
          <w:rFonts w:ascii="Arial Narrow" w:eastAsia="Calibri" w:hAnsi="Arial Narrow" w:cs="Arial"/>
          <w:bCs/>
          <w:sz w:val="20"/>
          <w:szCs w:val="20"/>
          <w:lang w:eastAsia="en-US"/>
        </w:rPr>
        <w:t>changes</w:t>
      </w:r>
      <w:r w:rsidRPr="006F263F">
        <w:rPr>
          <w:rFonts w:ascii="Arial Narrow" w:eastAsia="Calibri" w:hAnsi="Arial Narrow" w:cs="Arial"/>
          <w:bCs/>
          <w:sz w:val="20"/>
          <w:szCs w:val="20"/>
          <w:lang w:eastAsia="en-US"/>
        </w:rPr>
        <w:t xml:space="preserve"> are mainly due </w:t>
      </w:r>
      <w:r w:rsidR="001F5974" w:rsidRPr="006F263F">
        <w:rPr>
          <w:rFonts w:ascii="Arial Narrow" w:eastAsia="Calibri" w:hAnsi="Arial Narrow" w:cs="Arial"/>
          <w:bCs/>
          <w:sz w:val="20"/>
          <w:szCs w:val="20"/>
          <w:lang w:eastAsia="en-US"/>
        </w:rPr>
        <w:t>to the positive net income of €</w:t>
      </w:r>
      <w:r w:rsidR="006F263F" w:rsidRPr="006F263F">
        <w:rPr>
          <w:rFonts w:ascii="Arial Narrow" w:eastAsia="Calibri" w:hAnsi="Arial Narrow" w:cs="Arial"/>
          <w:bCs/>
          <w:sz w:val="20"/>
          <w:szCs w:val="20"/>
          <w:lang w:eastAsia="en-US"/>
        </w:rPr>
        <w:t>24.0</w:t>
      </w:r>
      <w:r w:rsidR="001F5974" w:rsidRPr="006F263F">
        <w:rPr>
          <w:rFonts w:ascii="Arial Narrow" w:eastAsia="Calibri" w:hAnsi="Arial Narrow" w:cs="Arial"/>
          <w:bCs/>
          <w:sz w:val="20"/>
          <w:szCs w:val="20"/>
          <w:lang w:eastAsia="en-US"/>
        </w:rPr>
        <w:t>m</w:t>
      </w:r>
      <w:r w:rsidR="006F263F" w:rsidRPr="006F263F">
        <w:rPr>
          <w:rFonts w:ascii="Arial Narrow" w:eastAsia="Calibri" w:hAnsi="Arial Narrow" w:cs="Arial"/>
          <w:bCs/>
          <w:sz w:val="20"/>
          <w:szCs w:val="20"/>
          <w:lang w:eastAsia="en-US"/>
        </w:rPr>
        <w:t>, offset by the decrease in unrealized capital gains (-</w:t>
      </w:r>
      <w:r w:rsidR="00A56770">
        <w:rPr>
          <w:rFonts w:ascii="Arial Narrow" w:eastAsia="Calibri" w:hAnsi="Arial Narrow" w:cs="Arial"/>
          <w:bCs/>
          <w:sz w:val="20"/>
          <w:szCs w:val="20"/>
          <w:lang w:eastAsia="en-US"/>
        </w:rPr>
        <w:t> </w:t>
      </w:r>
      <w:r w:rsidR="006F263F" w:rsidRPr="006F263F">
        <w:rPr>
          <w:rFonts w:ascii="Arial Narrow" w:eastAsia="Calibri" w:hAnsi="Arial Narrow" w:cs="Arial"/>
          <w:bCs/>
          <w:sz w:val="20"/>
          <w:szCs w:val="20"/>
          <w:lang w:eastAsia="en-US"/>
        </w:rPr>
        <w:t>€19.9 million).</w:t>
      </w:r>
    </w:p>
    <w:p w:rsidR="002B4A0D" w:rsidRPr="00A56770" w:rsidRDefault="002B4A0D" w:rsidP="002B4A0D">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6F263F">
        <w:rPr>
          <w:rFonts w:ascii="Arial Narrow" w:eastAsia="Calibri" w:hAnsi="Arial Narrow" w:cs="Arial"/>
          <w:bCs/>
          <w:sz w:val="20"/>
          <w:szCs w:val="20"/>
          <w:lang w:eastAsia="en-US"/>
        </w:rPr>
        <w:t xml:space="preserve">The </w:t>
      </w:r>
      <w:r w:rsidR="00A56770" w:rsidRPr="00A56770">
        <w:rPr>
          <w:rFonts w:ascii="Arial Narrow" w:eastAsia="Calibri" w:hAnsi="Arial Narrow" w:cs="Arial"/>
          <w:bCs/>
          <w:sz w:val="20"/>
          <w:szCs w:val="20"/>
          <w:lang w:eastAsia="en-US"/>
        </w:rPr>
        <w:t>annualised return on average tangible equity (</w:t>
      </w:r>
      <w:proofErr w:type="spellStart"/>
      <w:r w:rsidR="00A56770" w:rsidRPr="00A56770">
        <w:rPr>
          <w:rFonts w:ascii="Arial Narrow" w:eastAsia="Calibri" w:hAnsi="Arial Narrow" w:cs="Arial"/>
          <w:bCs/>
          <w:sz w:val="20"/>
          <w:szCs w:val="20"/>
          <w:lang w:eastAsia="en-US"/>
        </w:rPr>
        <w:t>RoATE</w:t>
      </w:r>
      <w:proofErr w:type="spellEnd"/>
      <w:r w:rsidR="00A56770" w:rsidRPr="00A56770">
        <w:rPr>
          <w:rFonts w:ascii="Arial Narrow" w:eastAsia="Calibri" w:hAnsi="Arial Narrow" w:cs="Arial"/>
          <w:bCs/>
          <w:sz w:val="20"/>
          <w:szCs w:val="20"/>
          <w:lang w:eastAsia="en-US"/>
        </w:rPr>
        <w:t>)</w:t>
      </w:r>
      <w:r w:rsidRPr="006F263F">
        <w:rPr>
          <w:rFonts w:ascii="Arial Narrow" w:eastAsia="Calibri" w:hAnsi="Arial Narrow" w:cs="Arial"/>
          <w:bCs/>
          <w:sz w:val="20"/>
          <w:szCs w:val="20"/>
          <w:lang w:eastAsia="en-US"/>
        </w:rPr>
        <w:t xml:space="preserve"> stood at </w:t>
      </w:r>
      <w:r w:rsidR="006F263F" w:rsidRPr="006F263F">
        <w:rPr>
          <w:rFonts w:ascii="Arial Narrow" w:eastAsia="Calibri" w:hAnsi="Arial Narrow" w:cs="Arial"/>
          <w:bCs/>
          <w:sz w:val="20"/>
          <w:szCs w:val="20"/>
          <w:lang w:eastAsia="en-US"/>
        </w:rPr>
        <w:t>2</w:t>
      </w:r>
      <w:r w:rsidRPr="006F263F">
        <w:rPr>
          <w:rFonts w:ascii="Arial Narrow" w:eastAsia="Calibri" w:hAnsi="Arial Narrow" w:cs="Arial"/>
          <w:bCs/>
          <w:sz w:val="20"/>
          <w:szCs w:val="20"/>
          <w:lang w:eastAsia="en-US"/>
        </w:rPr>
        <w:t>.</w:t>
      </w:r>
      <w:r w:rsidR="006F263F" w:rsidRPr="006F263F">
        <w:rPr>
          <w:rFonts w:ascii="Arial Narrow" w:eastAsia="Calibri" w:hAnsi="Arial Narrow" w:cs="Arial"/>
          <w:bCs/>
          <w:sz w:val="20"/>
          <w:szCs w:val="20"/>
          <w:lang w:eastAsia="en-US"/>
        </w:rPr>
        <w:t>8% as at 30 June 2020, mainly due to the deterioration in underwriting results due to the increase in the loss ratio</w:t>
      </w:r>
      <w:r w:rsidRPr="006F263F">
        <w:rPr>
          <w:rFonts w:ascii="Arial Narrow" w:eastAsia="Calibri" w:hAnsi="Arial Narrow" w:cs="Arial"/>
          <w:bCs/>
          <w:sz w:val="20"/>
          <w:szCs w:val="20"/>
          <w:lang w:eastAsia="en-US"/>
        </w:rPr>
        <w:t>.</w:t>
      </w:r>
    </w:p>
    <w:p w:rsidR="002B4A0D" w:rsidRPr="00A56770" w:rsidRDefault="002B4A0D" w:rsidP="002B4A0D">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6F263F">
        <w:rPr>
          <w:rFonts w:ascii="Arial Narrow" w:eastAsia="Calibri" w:hAnsi="Arial Narrow" w:cs="Arial"/>
          <w:bCs/>
          <w:sz w:val="20"/>
          <w:szCs w:val="20"/>
          <w:lang w:eastAsia="en-US"/>
        </w:rPr>
        <w:t xml:space="preserve">The solvency ratio </w:t>
      </w:r>
      <w:r w:rsidR="00740696">
        <w:rPr>
          <w:rFonts w:ascii="Arial Narrow" w:eastAsia="Calibri" w:hAnsi="Arial Narrow" w:cs="Arial"/>
          <w:bCs/>
          <w:sz w:val="20"/>
          <w:szCs w:val="20"/>
          <w:lang w:eastAsia="en-US"/>
        </w:rPr>
        <w:t>is</w:t>
      </w:r>
      <w:r w:rsidR="00497236">
        <w:rPr>
          <w:rFonts w:ascii="Arial Narrow" w:eastAsia="Calibri" w:hAnsi="Arial Narrow" w:cs="Arial"/>
          <w:bCs/>
          <w:sz w:val="20"/>
          <w:szCs w:val="20"/>
          <w:lang w:eastAsia="en-US"/>
        </w:rPr>
        <w:t xml:space="preserve"> 191</w:t>
      </w:r>
      <w:r w:rsidRPr="006F263F">
        <w:rPr>
          <w:rFonts w:ascii="Arial Narrow" w:eastAsia="Calibri" w:hAnsi="Arial Narrow" w:cs="Arial"/>
          <w:bCs/>
          <w:sz w:val="20"/>
          <w:szCs w:val="20"/>
          <w:lang w:eastAsia="en-US"/>
        </w:rPr>
        <w:t>%</w:t>
      </w:r>
      <w:r w:rsidR="00A56770">
        <w:rPr>
          <w:rStyle w:val="FootnoteReference"/>
          <w:rFonts w:ascii="Arial Narrow" w:eastAsia="Calibri" w:hAnsi="Arial Narrow" w:cs="Arial"/>
          <w:bCs/>
          <w:sz w:val="20"/>
          <w:szCs w:val="20"/>
        </w:rPr>
        <w:footnoteReference w:id="4"/>
      </w:r>
      <w:r w:rsidRPr="006F263F">
        <w:rPr>
          <w:rFonts w:ascii="Arial Narrow" w:eastAsia="Calibri" w:hAnsi="Arial Narrow" w:cs="Arial"/>
          <w:bCs/>
          <w:sz w:val="20"/>
          <w:szCs w:val="20"/>
          <w:lang w:eastAsia="en-US"/>
        </w:rPr>
        <w:t xml:space="preserve">, above the target </w:t>
      </w:r>
      <w:r w:rsidR="006F263F" w:rsidRPr="006F263F">
        <w:rPr>
          <w:rFonts w:ascii="Arial Narrow" w:eastAsia="Calibri" w:hAnsi="Arial Narrow" w:cs="Arial"/>
          <w:bCs/>
          <w:sz w:val="20"/>
          <w:szCs w:val="20"/>
          <w:lang w:eastAsia="en-US"/>
        </w:rPr>
        <w:t>range (</w:t>
      </w:r>
      <w:r w:rsidRPr="006F263F">
        <w:rPr>
          <w:rFonts w:ascii="Arial Narrow" w:eastAsia="Calibri" w:hAnsi="Arial Narrow" w:cs="Arial"/>
          <w:bCs/>
          <w:sz w:val="20"/>
          <w:szCs w:val="20"/>
          <w:lang w:eastAsia="en-US"/>
        </w:rPr>
        <w:t>1</w:t>
      </w:r>
      <w:r w:rsidR="00977B6B" w:rsidRPr="006F263F">
        <w:rPr>
          <w:rFonts w:ascii="Arial Narrow" w:eastAsia="Calibri" w:hAnsi="Arial Narrow" w:cs="Arial"/>
          <w:bCs/>
          <w:sz w:val="20"/>
          <w:szCs w:val="20"/>
          <w:lang w:eastAsia="en-US"/>
        </w:rPr>
        <w:t>55</w:t>
      </w:r>
      <w:r w:rsidRPr="006F263F">
        <w:rPr>
          <w:rFonts w:ascii="Arial Narrow" w:eastAsia="Calibri" w:hAnsi="Arial Narrow" w:cs="Arial"/>
          <w:bCs/>
          <w:sz w:val="20"/>
          <w:szCs w:val="20"/>
          <w:lang w:eastAsia="en-US"/>
        </w:rPr>
        <w:t xml:space="preserve">% </w:t>
      </w:r>
      <w:r w:rsidR="006F263F" w:rsidRPr="006F263F">
        <w:rPr>
          <w:rFonts w:ascii="Arial Narrow" w:eastAsia="Calibri" w:hAnsi="Arial Narrow" w:cs="Arial"/>
          <w:bCs/>
          <w:sz w:val="20"/>
          <w:szCs w:val="20"/>
          <w:lang w:eastAsia="en-US"/>
        </w:rPr>
        <w:t xml:space="preserve">- </w:t>
      </w:r>
      <w:r w:rsidRPr="006F263F">
        <w:rPr>
          <w:rFonts w:ascii="Arial Narrow" w:eastAsia="Calibri" w:hAnsi="Arial Narrow" w:cs="Arial"/>
          <w:bCs/>
          <w:sz w:val="20"/>
          <w:szCs w:val="20"/>
          <w:lang w:eastAsia="en-US"/>
        </w:rPr>
        <w:t>1</w:t>
      </w:r>
      <w:r w:rsidR="00977B6B" w:rsidRPr="006F263F">
        <w:rPr>
          <w:rFonts w:ascii="Arial Narrow" w:eastAsia="Calibri" w:hAnsi="Arial Narrow" w:cs="Arial"/>
          <w:bCs/>
          <w:sz w:val="20"/>
          <w:szCs w:val="20"/>
          <w:lang w:eastAsia="en-US"/>
        </w:rPr>
        <w:t>75</w:t>
      </w:r>
      <w:r w:rsidRPr="006F263F">
        <w:rPr>
          <w:rFonts w:ascii="Arial Narrow" w:eastAsia="Calibri" w:hAnsi="Arial Narrow" w:cs="Arial"/>
          <w:bCs/>
          <w:sz w:val="20"/>
          <w:szCs w:val="20"/>
          <w:lang w:eastAsia="en-US"/>
        </w:rPr>
        <w:t>%</w:t>
      </w:r>
      <w:r w:rsidR="006F263F" w:rsidRPr="006F263F">
        <w:rPr>
          <w:rFonts w:ascii="Arial Narrow" w:eastAsia="Calibri" w:hAnsi="Arial Narrow" w:cs="Arial"/>
          <w:bCs/>
          <w:sz w:val="20"/>
          <w:szCs w:val="20"/>
          <w:lang w:eastAsia="en-US"/>
        </w:rPr>
        <w:t>)</w:t>
      </w:r>
      <w:r w:rsidRPr="006F263F">
        <w:rPr>
          <w:rFonts w:ascii="Arial Narrow" w:eastAsia="Calibri" w:hAnsi="Arial Narrow" w:cs="Arial"/>
          <w:bCs/>
          <w:sz w:val="20"/>
          <w:szCs w:val="20"/>
          <w:lang w:eastAsia="en-US"/>
        </w:rPr>
        <w:t xml:space="preserve">. </w:t>
      </w:r>
      <w:r w:rsidR="00740696">
        <w:rPr>
          <w:rFonts w:ascii="Arial Narrow" w:eastAsia="Calibri" w:hAnsi="Arial Narrow" w:cs="Arial"/>
          <w:bCs/>
          <w:sz w:val="20"/>
          <w:szCs w:val="20"/>
          <w:lang w:eastAsia="en-US"/>
        </w:rPr>
        <w:t>It</w:t>
      </w:r>
      <w:r w:rsidR="00A56770" w:rsidRPr="006F263F">
        <w:rPr>
          <w:rFonts w:ascii="Arial Narrow" w:eastAsia="Calibri" w:hAnsi="Arial Narrow" w:cs="Arial"/>
          <w:bCs/>
          <w:sz w:val="20"/>
          <w:szCs w:val="20"/>
          <w:lang w:eastAsia="en-US"/>
        </w:rPr>
        <w:t xml:space="preserve"> </w:t>
      </w:r>
      <w:proofErr w:type="gramStart"/>
      <w:r w:rsidR="00A56770" w:rsidRPr="006F263F">
        <w:rPr>
          <w:rFonts w:ascii="Arial Narrow" w:eastAsia="Calibri" w:hAnsi="Arial Narrow" w:cs="Arial"/>
          <w:bCs/>
          <w:sz w:val="20"/>
          <w:szCs w:val="20"/>
          <w:lang w:eastAsia="en-US"/>
        </w:rPr>
        <w:t>is explained</w:t>
      </w:r>
      <w:proofErr w:type="gramEnd"/>
      <w:r w:rsidR="00A56770" w:rsidRPr="006F263F">
        <w:rPr>
          <w:rFonts w:ascii="Arial Narrow" w:eastAsia="Calibri" w:hAnsi="Arial Narrow" w:cs="Arial"/>
          <w:bCs/>
          <w:sz w:val="20"/>
          <w:szCs w:val="20"/>
          <w:lang w:eastAsia="en-US"/>
        </w:rPr>
        <w:t xml:space="preserve"> by a decrease in capital requirements reflecting the reduction of risks </w:t>
      </w:r>
      <w:r w:rsidR="00740696">
        <w:rPr>
          <w:rFonts w:ascii="Arial Narrow" w:eastAsia="Calibri" w:hAnsi="Arial Narrow" w:cs="Arial"/>
          <w:bCs/>
          <w:sz w:val="20"/>
          <w:szCs w:val="20"/>
          <w:lang w:eastAsia="en-US"/>
        </w:rPr>
        <w:t>(</w:t>
      </w:r>
      <w:r w:rsidR="00A56770" w:rsidRPr="006F263F">
        <w:rPr>
          <w:rFonts w:ascii="Arial Narrow" w:eastAsia="Calibri" w:hAnsi="Arial Narrow" w:cs="Arial"/>
          <w:bCs/>
          <w:sz w:val="20"/>
          <w:szCs w:val="20"/>
          <w:lang w:eastAsia="en-US"/>
        </w:rPr>
        <w:t>prevention measures</w:t>
      </w:r>
      <w:r w:rsidR="00740696">
        <w:rPr>
          <w:rFonts w:ascii="Arial Narrow" w:eastAsia="Calibri" w:hAnsi="Arial Narrow" w:cs="Arial"/>
          <w:bCs/>
          <w:sz w:val="20"/>
          <w:szCs w:val="20"/>
          <w:lang w:eastAsia="en-US"/>
        </w:rPr>
        <w:t>)</w:t>
      </w:r>
      <w:r w:rsidR="00A56770" w:rsidRPr="006F263F">
        <w:rPr>
          <w:rFonts w:ascii="Arial Narrow" w:eastAsia="Calibri" w:hAnsi="Arial Narrow" w:cs="Arial"/>
          <w:bCs/>
          <w:sz w:val="20"/>
          <w:szCs w:val="20"/>
          <w:lang w:eastAsia="en-US"/>
        </w:rPr>
        <w:t xml:space="preserve"> and by a decrease in </w:t>
      </w:r>
      <w:r w:rsidR="00740696">
        <w:rPr>
          <w:rFonts w:ascii="Arial Narrow" w:eastAsia="Calibri" w:hAnsi="Arial Narrow" w:cs="Arial"/>
          <w:bCs/>
          <w:sz w:val="20"/>
          <w:szCs w:val="20"/>
          <w:lang w:eastAsia="en-US"/>
        </w:rPr>
        <w:t>eligible own funds</w:t>
      </w:r>
      <w:r w:rsidR="00A56770" w:rsidRPr="006F263F">
        <w:rPr>
          <w:rFonts w:ascii="Arial Narrow" w:eastAsia="Calibri" w:hAnsi="Arial Narrow" w:cs="Arial"/>
          <w:bCs/>
          <w:sz w:val="20"/>
          <w:szCs w:val="20"/>
          <w:lang w:eastAsia="en-US"/>
        </w:rPr>
        <w:t xml:space="preserve"> mainly due to the anticipation of </w:t>
      </w:r>
      <w:r w:rsidR="00740696">
        <w:rPr>
          <w:rFonts w:ascii="Arial Narrow" w:eastAsia="Calibri" w:hAnsi="Arial Narrow" w:cs="Arial"/>
          <w:bCs/>
          <w:sz w:val="20"/>
          <w:szCs w:val="20"/>
          <w:lang w:eastAsia="en-US"/>
        </w:rPr>
        <w:t xml:space="preserve">higher </w:t>
      </w:r>
      <w:r w:rsidR="00A56770" w:rsidRPr="006F263F">
        <w:rPr>
          <w:rFonts w:ascii="Arial Narrow" w:eastAsia="Calibri" w:hAnsi="Arial Narrow" w:cs="Arial"/>
          <w:bCs/>
          <w:sz w:val="20"/>
          <w:szCs w:val="20"/>
          <w:lang w:eastAsia="en-US"/>
        </w:rPr>
        <w:t>future losses.</w:t>
      </w:r>
    </w:p>
    <w:p w:rsidR="006F263F" w:rsidRDefault="006F263F" w:rsidP="00A56770">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A56770">
        <w:rPr>
          <w:rFonts w:ascii="Arial Narrow" w:eastAsia="Calibri" w:hAnsi="Arial Narrow" w:cs="Arial"/>
          <w:bCs/>
          <w:sz w:val="20"/>
          <w:szCs w:val="20"/>
          <w:lang w:eastAsia="en-US"/>
        </w:rPr>
        <w:t>The solvency ratio benefit</w:t>
      </w:r>
      <w:r w:rsidR="00A56770">
        <w:rPr>
          <w:rFonts w:ascii="Arial Narrow" w:eastAsia="Calibri" w:hAnsi="Arial Narrow" w:cs="Arial"/>
          <w:bCs/>
          <w:sz w:val="20"/>
          <w:szCs w:val="20"/>
          <w:lang w:eastAsia="en-US"/>
        </w:rPr>
        <w:t>ed</w:t>
      </w:r>
      <w:r w:rsidRPr="00A56770">
        <w:rPr>
          <w:rFonts w:ascii="Arial Narrow" w:eastAsia="Calibri" w:hAnsi="Arial Narrow" w:cs="Arial"/>
          <w:bCs/>
          <w:sz w:val="20"/>
          <w:szCs w:val="20"/>
          <w:lang w:eastAsia="en-US"/>
        </w:rPr>
        <w:t xml:space="preserve"> to the extent of 8 points from government </w:t>
      </w:r>
      <w:r w:rsidR="00740696">
        <w:rPr>
          <w:rFonts w:ascii="Arial Narrow" w:eastAsia="Calibri" w:hAnsi="Arial Narrow" w:cs="Arial"/>
          <w:bCs/>
          <w:sz w:val="20"/>
          <w:szCs w:val="20"/>
          <w:lang w:eastAsia="en-US"/>
        </w:rPr>
        <w:t>plans</w:t>
      </w:r>
      <w:r w:rsidRPr="00A56770">
        <w:rPr>
          <w:rFonts w:ascii="Arial Narrow" w:eastAsia="Calibri" w:hAnsi="Arial Narrow" w:cs="Arial"/>
          <w:bCs/>
          <w:sz w:val="20"/>
          <w:szCs w:val="20"/>
          <w:lang w:eastAsia="en-US"/>
        </w:rPr>
        <w:t xml:space="preserve">. In the absence of these risk transfer schemes, the </w:t>
      </w:r>
      <w:r w:rsidR="00740696">
        <w:rPr>
          <w:rFonts w:ascii="Arial Narrow" w:eastAsia="Calibri" w:hAnsi="Arial Narrow" w:cs="Arial"/>
          <w:bCs/>
          <w:sz w:val="20"/>
          <w:szCs w:val="20"/>
          <w:lang w:eastAsia="en-US"/>
        </w:rPr>
        <w:t xml:space="preserve">solvency </w:t>
      </w:r>
      <w:r w:rsidRPr="00A56770">
        <w:rPr>
          <w:rFonts w:ascii="Arial Narrow" w:eastAsia="Calibri" w:hAnsi="Arial Narrow" w:cs="Arial"/>
          <w:bCs/>
          <w:sz w:val="20"/>
          <w:szCs w:val="20"/>
          <w:lang w:eastAsia="en-US"/>
        </w:rPr>
        <w:t>ratio would have been</w:t>
      </w:r>
      <w:r w:rsidR="00A56770">
        <w:rPr>
          <w:rFonts w:ascii="Arial Narrow" w:eastAsia="Calibri" w:hAnsi="Arial Narrow" w:cs="Arial"/>
          <w:bCs/>
          <w:sz w:val="20"/>
          <w:szCs w:val="20"/>
          <w:lang w:eastAsia="en-US"/>
        </w:rPr>
        <w:t xml:space="preserve"> at</w:t>
      </w:r>
      <w:r w:rsidRPr="00A56770">
        <w:rPr>
          <w:rFonts w:ascii="Arial Narrow" w:eastAsia="Calibri" w:hAnsi="Arial Narrow" w:cs="Arial"/>
          <w:bCs/>
          <w:sz w:val="20"/>
          <w:szCs w:val="20"/>
          <w:lang w:eastAsia="en-US"/>
        </w:rPr>
        <w:t xml:space="preserve"> </w:t>
      </w:r>
      <w:r w:rsidR="00C872F6">
        <w:rPr>
          <w:rFonts w:ascii="Arial Narrow" w:eastAsia="Calibri" w:hAnsi="Arial Narrow" w:cs="Arial"/>
          <w:bCs/>
          <w:sz w:val="20"/>
          <w:szCs w:val="20"/>
          <w:lang w:eastAsia="en-US"/>
        </w:rPr>
        <w:t>183</w:t>
      </w:r>
      <w:r w:rsidRPr="00A56770">
        <w:rPr>
          <w:rFonts w:ascii="Arial Narrow" w:eastAsia="Calibri" w:hAnsi="Arial Narrow" w:cs="Arial"/>
          <w:bCs/>
          <w:sz w:val="20"/>
          <w:szCs w:val="20"/>
          <w:lang w:eastAsia="en-US"/>
        </w:rPr>
        <w:t>%</w:t>
      </w:r>
      <w:r w:rsidR="008531B4" w:rsidRPr="008531B4">
        <w:rPr>
          <w:rFonts w:ascii="Arial Narrow" w:eastAsia="Calibri" w:hAnsi="Arial Narrow" w:cs="Arial"/>
          <w:bCs/>
          <w:sz w:val="20"/>
          <w:szCs w:val="20"/>
          <w:vertAlign w:val="superscript"/>
          <w:lang w:eastAsia="en-US"/>
        </w:rPr>
        <w:t>2</w:t>
      </w:r>
      <w:r w:rsidRPr="00A56770">
        <w:rPr>
          <w:rFonts w:ascii="Arial Narrow" w:eastAsia="Calibri" w:hAnsi="Arial Narrow" w:cs="Arial"/>
          <w:bCs/>
          <w:sz w:val="20"/>
          <w:szCs w:val="20"/>
          <w:lang w:eastAsia="en-US"/>
        </w:rPr>
        <w:t>, still above the target range.</w:t>
      </w:r>
    </w:p>
    <w:p w:rsidR="00183FEB" w:rsidRPr="006F263F" w:rsidRDefault="00183FEB" w:rsidP="006F263F">
      <w:pPr>
        <w:widowControl/>
        <w:rPr>
          <w:rFonts w:ascii="Arial Narrow" w:eastAsia="Calibri" w:hAnsi="Arial Narrow" w:cs="Arial"/>
          <w:bCs/>
          <w:sz w:val="20"/>
          <w:szCs w:val="20"/>
          <w:lang w:eastAsia="en-US"/>
        </w:rPr>
      </w:pPr>
      <w:r w:rsidRPr="009E3348">
        <w:rPr>
          <w:rFonts w:ascii="Arial Narrow" w:eastAsia="Calibri" w:hAnsi="Arial Narrow" w:cs="Arial"/>
          <w:bCs/>
          <w:color w:val="FF0000"/>
          <w:sz w:val="20"/>
          <w:szCs w:val="20"/>
          <w:lang w:eastAsia="en-US"/>
        </w:rPr>
        <w:br w:type="page"/>
      </w:r>
    </w:p>
    <w:p w:rsidR="00397973" w:rsidRPr="00D52C48" w:rsidRDefault="00C95B05" w:rsidP="00EC73D9">
      <w:pPr>
        <w:pStyle w:val="ListParagraph"/>
        <w:numPr>
          <w:ilvl w:val="0"/>
          <w:numId w:val="18"/>
        </w:numPr>
        <w:autoSpaceDE w:val="0"/>
        <w:autoSpaceDN w:val="0"/>
        <w:adjustRightInd w:val="0"/>
        <w:spacing w:after="0"/>
        <w:jc w:val="both"/>
        <w:rPr>
          <w:rFonts w:ascii="Arial Narrow" w:hAnsi="Arial Narrow" w:cs="Arial"/>
          <w:b/>
          <w:bCs/>
          <w:sz w:val="20"/>
          <w:szCs w:val="20"/>
          <w:lang w:eastAsia="en-US"/>
        </w:rPr>
      </w:pPr>
      <w:r w:rsidRPr="00D52C48">
        <w:rPr>
          <w:rFonts w:ascii="Arial Narrow" w:hAnsi="Arial Narrow" w:cs="Arial"/>
          <w:b/>
          <w:bCs/>
          <w:sz w:val="20"/>
          <w:szCs w:val="20"/>
          <w:lang w:eastAsia="en-US"/>
        </w:rPr>
        <w:lastRenderedPageBreak/>
        <w:t>Outlook</w:t>
      </w:r>
    </w:p>
    <w:p w:rsidR="00E61438" w:rsidRPr="00D52C48" w:rsidRDefault="00E61438" w:rsidP="00AC5702">
      <w:pPr>
        <w:widowControl/>
        <w:autoSpaceDE w:val="0"/>
        <w:autoSpaceDN w:val="0"/>
        <w:adjustRightInd w:val="0"/>
        <w:spacing w:after="120" w:line="276" w:lineRule="auto"/>
        <w:jc w:val="both"/>
        <w:rPr>
          <w:rFonts w:ascii="Arial Narrow" w:eastAsia="Calibri" w:hAnsi="Arial Narrow" w:cs="Arial"/>
          <w:sz w:val="20"/>
          <w:szCs w:val="20"/>
          <w:highlight w:val="yellow"/>
          <w:lang w:eastAsia="en-US"/>
        </w:rPr>
      </w:pPr>
    </w:p>
    <w:p w:rsidR="00D52C48" w:rsidRPr="00D52C48" w:rsidRDefault="00D52C48" w:rsidP="00D52C48">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D52C48">
        <w:rPr>
          <w:rFonts w:ascii="Arial Narrow" w:eastAsia="Calibri" w:hAnsi="Arial Narrow" w:cs="Arial"/>
          <w:bCs/>
          <w:sz w:val="20"/>
          <w:szCs w:val="20"/>
          <w:lang w:eastAsia="en-US"/>
        </w:rPr>
        <w:t xml:space="preserve">Coface is forecasting that global GDP will show a contraction of 4.4% for the year 2020, followed by a recovery of 5.1% in 2021. The overall global level of economic activity </w:t>
      </w:r>
      <w:proofErr w:type="gramStart"/>
      <w:r w:rsidRPr="00D52C48">
        <w:rPr>
          <w:rFonts w:ascii="Arial Narrow" w:eastAsia="Calibri" w:hAnsi="Arial Narrow" w:cs="Arial"/>
          <w:bCs/>
          <w:sz w:val="20"/>
          <w:szCs w:val="20"/>
          <w:lang w:eastAsia="en-US"/>
        </w:rPr>
        <w:t>is not expected</w:t>
      </w:r>
      <w:proofErr w:type="gramEnd"/>
      <w:r w:rsidRPr="00D52C48">
        <w:rPr>
          <w:rFonts w:ascii="Arial Narrow" w:eastAsia="Calibri" w:hAnsi="Arial Narrow" w:cs="Arial"/>
          <w:bCs/>
          <w:sz w:val="20"/>
          <w:szCs w:val="20"/>
          <w:lang w:eastAsia="en-US"/>
        </w:rPr>
        <w:t xml:space="preserve"> to return to 2019 levels before 2022 or 2023. This is a rather modest recovery when compared to the levels of governmental support that </w:t>
      </w:r>
      <w:proofErr w:type="gramStart"/>
      <w:r w:rsidRPr="00D52C48">
        <w:rPr>
          <w:rFonts w:ascii="Arial Narrow" w:eastAsia="Calibri" w:hAnsi="Arial Narrow" w:cs="Arial"/>
          <w:bCs/>
          <w:sz w:val="20"/>
          <w:szCs w:val="20"/>
          <w:lang w:eastAsia="en-US"/>
        </w:rPr>
        <w:t>have been provided</w:t>
      </w:r>
      <w:proofErr w:type="gramEnd"/>
      <w:r w:rsidRPr="00D52C48">
        <w:rPr>
          <w:rFonts w:ascii="Arial Narrow" w:eastAsia="Calibri" w:hAnsi="Arial Narrow" w:cs="Arial"/>
          <w:bCs/>
          <w:sz w:val="20"/>
          <w:szCs w:val="20"/>
          <w:lang w:eastAsia="en-US"/>
        </w:rPr>
        <w:t xml:space="preserve"> for the economy. These forecasts </w:t>
      </w:r>
      <w:proofErr w:type="gramStart"/>
      <w:r w:rsidRPr="00D52C48">
        <w:rPr>
          <w:rFonts w:ascii="Arial Narrow" w:eastAsia="Calibri" w:hAnsi="Arial Narrow" w:cs="Arial"/>
          <w:bCs/>
          <w:sz w:val="20"/>
          <w:szCs w:val="20"/>
          <w:lang w:eastAsia="en-US"/>
        </w:rPr>
        <w:t>are based</w:t>
      </w:r>
      <w:proofErr w:type="gramEnd"/>
      <w:r w:rsidRPr="00D52C48">
        <w:rPr>
          <w:rFonts w:ascii="Arial Narrow" w:eastAsia="Calibri" w:hAnsi="Arial Narrow" w:cs="Arial"/>
          <w:bCs/>
          <w:sz w:val="20"/>
          <w:szCs w:val="20"/>
          <w:lang w:eastAsia="en-US"/>
        </w:rPr>
        <w:t xml:space="preserve"> on the hypothesis of </w:t>
      </w:r>
      <w:r w:rsidR="00B254CF">
        <w:rPr>
          <w:rFonts w:ascii="Arial Narrow" w:eastAsia="Calibri" w:hAnsi="Arial Narrow" w:cs="Arial"/>
          <w:bCs/>
          <w:sz w:val="20"/>
          <w:szCs w:val="20"/>
          <w:lang w:eastAsia="en-US"/>
        </w:rPr>
        <w:t>the</w:t>
      </w:r>
      <w:r w:rsidRPr="00D52C48">
        <w:rPr>
          <w:rFonts w:ascii="Arial Narrow" w:eastAsia="Calibri" w:hAnsi="Arial Narrow" w:cs="Arial"/>
          <w:bCs/>
          <w:sz w:val="20"/>
          <w:szCs w:val="20"/>
          <w:lang w:eastAsia="en-US"/>
        </w:rPr>
        <w:t xml:space="preserve"> absence of a significant second wave and of the availability of a vaccine or a treatment in 2021. Finally, 2020 is a US election year, which always has an influence on financial markets. </w:t>
      </w:r>
    </w:p>
    <w:p w:rsidR="00D52C48" w:rsidRPr="00D52C48" w:rsidRDefault="00D52C48" w:rsidP="00D52C48">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D52C48">
        <w:rPr>
          <w:rFonts w:ascii="Arial Narrow" w:eastAsia="Calibri" w:hAnsi="Arial Narrow" w:cs="Arial"/>
          <w:bCs/>
          <w:sz w:val="20"/>
          <w:szCs w:val="20"/>
          <w:lang w:eastAsia="en-US"/>
        </w:rPr>
        <w:t xml:space="preserve">Coface </w:t>
      </w:r>
      <w:r w:rsidR="00B254CF" w:rsidRPr="00D52C48">
        <w:rPr>
          <w:rFonts w:ascii="Arial Narrow" w:eastAsia="Calibri" w:hAnsi="Arial Narrow" w:cs="Arial"/>
          <w:bCs/>
          <w:sz w:val="20"/>
          <w:szCs w:val="20"/>
          <w:lang w:eastAsia="en-US"/>
        </w:rPr>
        <w:t xml:space="preserve">recorded </w:t>
      </w:r>
      <w:r w:rsidR="00B254CF">
        <w:rPr>
          <w:rFonts w:ascii="Arial Narrow" w:eastAsia="Calibri" w:hAnsi="Arial Narrow" w:cs="Arial"/>
          <w:bCs/>
          <w:sz w:val="20"/>
          <w:szCs w:val="20"/>
          <w:lang w:eastAsia="en-US"/>
        </w:rPr>
        <w:t xml:space="preserve">a solid </w:t>
      </w:r>
      <w:r w:rsidRPr="00D52C48">
        <w:rPr>
          <w:rFonts w:ascii="Arial Narrow" w:eastAsia="Calibri" w:hAnsi="Arial Narrow" w:cs="Arial"/>
          <w:bCs/>
          <w:sz w:val="20"/>
          <w:szCs w:val="20"/>
          <w:lang w:eastAsia="en-US"/>
        </w:rPr>
        <w:t xml:space="preserve">operational performance during H1-2020. Even during the strictest period of the confinement, risk management teams continued to operate at record levels of activity. </w:t>
      </w:r>
      <w:r w:rsidR="00B254CF">
        <w:rPr>
          <w:rFonts w:ascii="Arial Narrow" w:eastAsia="Calibri" w:hAnsi="Arial Narrow" w:cs="Arial"/>
          <w:bCs/>
          <w:sz w:val="20"/>
          <w:szCs w:val="20"/>
          <w:lang w:eastAsia="en-US"/>
        </w:rPr>
        <w:t>Q2 f</w:t>
      </w:r>
      <w:r w:rsidR="00486DDC">
        <w:rPr>
          <w:rFonts w:ascii="Arial Narrow" w:eastAsia="Calibri" w:hAnsi="Arial Narrow" w:cs="Arial"/>
          <w:bCs/>
          <w:sz w:val="20"/>
          <w:szCs w:val="20"/>
          <w:lang w:eastAsia="en-US"/>
        </w:rPr>
        <w:t xml:space="preserve">igures </w:t>
      </w:r>
      <w:r w:rsidRPr="00D52C48">
        <w:rPr>
          <w:rFonts w:ascii="Arial Narrow" w:eastAsia="Calibri" w:hAnsi="Arial Narrow" w:cs="Arial"/>
          <w:bCs/>
          <w:sz w:val="20"/>
          <w:szCs w:val="20"/>
          <w:lang w:eastAsia="en-US"/>
        </w:rPr>
        <w:t xml:space="preserve">have also confirmed the positive trend of recent quarters, enabling the client portfolio </w:t>
      </w:r>
      <w:proofErr w:type="gramStart"/>
      <w:r w:rsidRPr="00D52C48">
        <w:rPr>
          <w:rFonts w:ascii="Arial Narrow" w:eastAsia="Calibri" w:hAnsi="Arial Narrow" w:cs="Arial"/>
          <w:bCs/>
          <w:sz w:val="20"/>
          <w:szCs w:val="20"/>
          <w:lang w:eastAsia="en-US"/>
        </w:rPr>
        <w:t>to once again experience</w:t>
      </w:r>
      <w:proofErr w:type="gramEnd"/>
      <w:r w:rsidRPr="00D52C48">
        <w:rPr>
          <w:rFonts w:ascii="Arial Narrow" w:eastAsia="Calibri" w:hAnsi="Arial Narrow" w:cs="Arial"/>
          <w:bCs/>
          <w:sz w:val="20"/>
          <w:szCs w:val="20"/>
          <w:lang w:eastAsia="en-US"/>
        </w:rPr>
        <w:t xml:space="preserve"> positive net production.</w:t>
      </w:r>
    </w:p>
    <w:p w:rsidR="00D52C48" w:rsidRPr="00D52C48" w:rsidRDefault="00D52C48" w:rsidP="00D52C48">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D52C48">
        <w:rPr>
          <w:rFonts w:ascii="Arial Narrow" w:eastAsia="Calibri" w:hAnsi="Arial Narrow" w:cs="Arial"/>
          <w:bCs/>
          <w:sz w:val="20"/>
          <w:szCs w:val="20"/>
          <w:lang w:eastAsia="en-US"/>
        </w:rPr>
        <w:t>The radical change in the risk environment requires significant but differentiated re-pricing, which takes into account the countries, sectors and histories of each client. The first effects of these actions, which are set to continue, are now visible in the accounts.</w:t>
      </w:r>
    </w:p>
    <w:p w:rsidR="00D52C48" w:rsidRPr="00D52C48" w:rsidRDefault="00D52C48" w:rsidP="00D52C48">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D52C48">
        <w:rPr>
          <w:rFonts w:ascii="Arial Narrow" w:eastAsia="Calibri" w:hAnsi="Arial Narrow" w:cs="Arial"/>
          <w:bCs/>
          <w:sz w:val="20"/>
          <w:szCs w:val="20"/>
          <w:lang w:eastAsia="en-US"/>
        </w:rPr>
        <w:t>Many governments have recognized that credit insurance is essential for maintaining business-to-business credit – the primary source of financing for many industries. C</w:t>
      </w:r>
      <w:r w:rsidR="003447A1">
        <w:rPr>
          <w:rFonts w:ascii="Arial Narrow" w:eastAsia="Calibri" w:hAnsi="Arial Narrow" w:cs="Arial"/>
          <w:bCs/>
          <w:sz w:val="20"/>
          <w:szCs w:val="20"/>
          <w:lang w:eastAsia="en-US"/>
        </w:rPr>
        <w:t xml:space="preserve">oface has already </w:t>
      </w:r>
      <w:r w:rsidR="00497236">
        <w:rPr>
          <w:rFonts w:ascii="Arial Narrow" w:eastAsia="Calibri" w:hAnsi="Arial Narrow" w:cs="Arial"/>
          <w:bCs/>
          <w:sz w:val="20"/>
          <w:szCs w:val="20"/>
          <w:lang w:eastAsia="en-US"/>
        </w:rPr>
        <w:t>finalised</w:t>
      </w:r>
      <w:r w:rsidR="003447A1">
        <w:rPr>
          <w:rFonts w:ascii="Arial Narrow" w:eastAsia="Calibri" w:hAnsi="Arial Narrow" w:cs="Arial"/>
          <w:bCs/>
          <w:sz w:val="20"/>
          <w:szCs w:val="20"/>
          <w:lang w:eastAsia="en-US"/>
        </w:rPr>
        <w:t xml:space="preserve"> 11</w:t>
      </w:r>
      <w:r w:rsidRPr="00D52C48">
        <w:rPr>
          <w:rFonts w:ascii="Arial Narrow" w:eastAsia="Calibri" w:hAnsi="Arial Narrow" w:cs="Arial"/>
          <w:bCs/>
          <w:sz w:val="20"/>
          <w:szCs w:val="20"/>
          <w:lang w:eastAsia="en-US"/>
        </w:rPr>
        <w:t xml:space="preserve"> agreements with different states, mainly in Europe, and is continuing discussions with a number of other countries. These agreements have also led to a temporary increase in solvency, estimated at </w:t>
      </w:r>
      <w:r w:rsidR="006F263F">
        <w:rPr>
          <w:rFonts w:ascii="Arial Narrow" w:eastAsia="Calibri" w:hAnsi="Arial Narrow" w:cs="Arial"/>
          <w:bCs/>
          <w:sz w:val="20"/>
          <w:szCs w:val="20"/>
          <w:lang w:eastAsia="en-US"/>
        </w:rPr>
        <w:t xml:space="preserve">8 </w:t>
      </w:r>
      <w:proofErr w:type="spellStart"/>
      <w:r w:rsidRPr="00D52C48">
        <w:rPr>
          <w:rFonts w:ascii="Arial Narrow" w:eastAsia="Calibri" w:hAnsi="Arial Narrow" w:cs="Arial"/>
          <w:bCs/>
          <w:sz w:val="20"/>
          <w:szCs w:val="20"/>
          <w:lang w:eastAsia="en-US"/>
        </w:rPr>
        <w:t>ppts</w:t>
      </w:r>
      <w:proofErr w:type="spellEnd"/>
      <w:r w:rsidRPr="00D52C48">
        <w:rPr>
          <w:rFonts w:ascii="Arial Narrow" w:eastAsia="Calibri" w:hAnsi="Arial Narrow" w:cs="Arial"/>
          <w:bCs/>
          <w:sz w:val="20"/>
          <w:szCs w:val="20"/>
          <w:lang w:eastAsia="en-US"/>
        </w:rPr>
        <w:t>.</w:t>
      </w:r>
      <w:r w:rsidR="00752727">
        <w:rPr>
          <w:rFonts w:ascii="Arial Narrow" w:eastAsia="Calibri" w:hAnsi="Arial Narrow" w:cs="Arial"/>
          <w:bCs/>
          <w:sz w:val="20"/>
          <w:szCs w:val="20"/>
          <w:lang w:eastAsia="en-US"/>
        </w:rPr>
        <w:t xml:space="preserve"> They protect Coface’s profitability and solvency in case of significantly deteriorated economic environments.</w:t>
      </w:r>
    </w:p>
    <w:p w:rsidR="00D52C48" w:rsidRPr="00D52C48" w:rsidRDefault="00D52C48" w:rsidP="00D52C48">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D52C48">
        <w:rPr>
          <w:rFonts w:ascii="Arial Narrow" w:eastAsia="Calibri" w:hAnsi="Arial Narrow" w:cs="Arial"/>
          <w:bCs/>
          <w:sz w:val="20"/>
          <w:szCs w:val="20"/>
          <w:lang w:eastAsia="en-US"/>
        </w:rPr>
        <w:t xml:space="preserve">Coface's operations continue to </w:t>
      </w:r>
      <w:proofErr w:type="gramStart"/>
      <w:r w:rsidRPr="00D52C48">
        <w:rPr>
          <w:rFonts w:ascii="Arial Narrow" w:eastAsia="Calibri" w:hAnsi="Arial Narrow" w:cs="Arial"/>
          <w:bCs/>
          <w:sz w:val="20"/>
          <w:szCs w:val="20"/>
          <w:lang w:eastAsia="en-US"/>
        </w:rPr>
        <w:t>be supported</w:t>
      </w:r>
      <w:proofErr w:type="gramEnd"/>
      <w:r w:rsidRPr="00D52C48">
        <w:rPr>
          <w:rFonts w:ascii="Arial Narrow" w:eastAsia="Calibri" w:hAnsi="Arial Narrow" w:cs="Arial"/>
          <w:bCs/>
          <w:sz w:val="20"/>
          <w:szCs w:val="20"/>
          <w:lang w:eastAsia="en-US"/>
        </w:rPr>
        <w:t xml:space="preserve"> by a solid balance sheet. The solvency ratio reached </w:t>
      </w:r>
      <w:r w:rsidR="00497236">
        <w:rPr>
          <w:rFonts w:ascii="Arial Narrow" w:eastAsia="Calibri" w:hAnsi="Arial Narrow" w:cs="Arial"/>
          <w:bCs/>
          <w:sz w:val="20"/>
          <w:szCs w:val="20"/>
          <w:lang w:eastAsia="en-US"/>
        </w:rPr>
        <w:t>191</w:t>
      </w:r>
      <w:r w:rsidRPr="00D52C48">
        <w:rPr>
          <w:rFonts w:ascii="Arial Narrow" w:eastAsia="Calibri" w:hAnsi="Arial Narrow" w:cs="Arial"/>
          <w:bCs/>
          <w:sz w:val="20"/>
          <w:szCs w:val="20"/>
          <w:lang w:eastAsia="en-US"/>
        </w:rPr>
        <w:t>%</w:t>
      </w:r>
      <w:r w:rsidR="003447A1">
        <w:rPr>
          <w:rStyle w:val="FootnoteReference"/>
          <w:rFonts w:ascii="Arial Narrow" w:eastAsia="Calibri" w:hAnsi="Arial Narrow" w:cs="Arial"/>
          <w:bCs/>
          <w:sz w:val="20"/>
          <w:szCs w:val="20"/>
        </w:rPr>
        <w:footnoteReference w:id="5"/>
      </w:r>
      <w:r w:rsidRPr="00D52C48">
        <w:rPr>
          <w:rFonts w:ascii="Arial Narrow" w:eastAsia="Calibri" w:hAnsi="Arial Narrow" w:cs="Arial"/>
          <w:bCs/>
          <w:sz w:val="20"/>
          <w:szCs w:val="20"/>
          <w:lang w:eastAsia="en-US"/>
        </w:rPr>
        <w:t xml:space="preserve"> (</w:t>
      </w:r>
      <w:r w:rsidR="00C872F6">
        <w:rPr>
          <w:rFonts w:ascii="Arial Narrow" w:eastAsia="Calibri" w:hAnsi="Arial Narrow" w:cs="Arial"/>
          <w:bCs/>
          <w:sz w:val="20"/>
          <w:szCs w:val="20"/>
          <w:lang w:eastAsia="en-US"/>
        </w:rPr>
        <w:t>183</w:t>
      </w:r>
      <w:r w:rsidRPr="00D52C48">
        <w:rPr>
          <w:rFonts w:ascii="Arial Narrow" w:eastAsia="Calibri" w:hAnsi="Arial Narrow" w:cs="Arial"/>
          <w:bCs/>
          <w:sz w:val="20"/>
          <w:szCs w:val="20"/>
          <w:lang w:eastAsia="en-US"/>
        </w:rPr>
        <w:t>%</w:t>
      </w:r>
      <w:r w:rsidR="003447A1" w:rsidRPr="003447A1">
        <w:rPr>
          <w:rFonts w:ascii="Arial Narrow" w:eastAsia="Calibri" w:hAnsi="Arial Narrow" w:cs="Arial"/>
          <w:bCs/>
          <w:sz w:val="20"/>
          <w:szCs w:val="20"/>
          <w:vertAlign w:val="superscript"/>
          <w:lang w:eastAsia="en-US"/>
        </w:rPr>
        <w:t>1</w:t>
      </w:r>
      <w:r w:rsidRPr="00D52C48">
        <w:rPr>
          <w:rFonts w:ascii="Arial Narrow" w:eastAsia="Calibri" w:hAnsi="Arial Narrow" w:cs="Arial"/>
          <w:bCs/>
          <w:sz w:val="20"/>
          <w:szCs w:val="20"/>
          <w:lang w:eastAsia="en-US"/>
        </w:rPr>
        <w:t xml:space="preserve"> excluding government schemes). These levels are above the target range of 155% to 175%. </w:t>
      </w:r>
    </w:p>
    <w:p w:rsidR="00F31957" w:rsidRDefault="00D52C48" w:rsidP="00D52C48">
      <w:pPr>
        <w:widowControl/>
        <w:autoSpaceDE w:val="0"/>
        <w:autoSpaceDN w:val="0"/>
        <w:adjustRightInd w:val="0"/>
        <w:spacing w:after="120" w:line="276" w:lineRule="auto"/>
        <w:jc w:val="both"/>
        <w:rPr>
          <w:rFonts w:ascii="Arial Narrow" w:eastAsia="Calibri" w:hAnsi="Arial Narrow" w:cs="Arial"/>
          <w:bCs/>
          <w:sz w:val="20"/>
          <w:szCs w:val="20"/>
          <w:lang w:eastAsia="en-US"/>
        </w:rPr>
      </w:pPr>
      <w:r w:rsidRPr="00D52C48">
        <w:rPr>
          <w:rFonts w:ascii="Arial Narrow" w:eastAsia="Calibri" w:hAnsi="Arial Narrow" w:cs="Arial"/>
          <w:bCs/>
          <w:sz w:val="20"/>
          <w:szCs w:val="20"/>
          <w:lang w:eastAsia="en-US"/>
        </w:rPr>
        <w:t>Within this environment of a soft recovery, where the risk of relapse exists, Coface</w:t>
      </w:r>
      <w:r w:rsidR="00F31957">
        <w:rPr>
          <w:rFonts w:ascii="Arial Narrow" w:eastAsia="Calibri" w:hAnsi="Arial Narrow" w:cs="Arial"/>
          <w:bCs/>
          <w:sz w:val="20"/>
          <w:szCs w:val="20"/>
          <w:lang w:eastAsia="en-US"/>
        </w:rPr>
        <w:t>, s</w:t>
      </w:r>
      <w:r w:rsidR="00F31957" w:rsidRPr="00D52C48">
        <w:rPr>
          <w:rFonts w:ascii="Arial Narrow" w:eastAsia="Calibri" w:hAnsi="Arial Narrow" w:cs="Arial"/>
          <w:bCs/>
          <w:sz w:val="20"/>
          <w:szCs w:val="20"/>
          <w:lang w:eastAsia="en-US"/>
        </w:rPr>
        <w:t>trengthened with its new corporate culture and a solid balance sheet</w:t>
      </w:r>
      <w:r w:rsidR="00F31957">
        <w:rPr>
          <w:rFonts w:ascii="Arial Narrow" w:eastAsia="Calibri" w:hAnsi="Arial Narrow" w:cs="Arial"/>
          <w:bCs/>
          <w:sz w:val="20"/>
          <w:szCs w:val="20"/>
          <w:lang w:eastAsia="en-US"/>
        </w:rPr>
        <w:t>,</w:t>
      </w:r>
      <w:r w:rsidR="00F31957" w:rsidRPr="00F31957">
        <w:rPr>
          <w:rFonts w:ascii="Arial Narrow" w:eastAsia="Calibri" w:hAnsi="Arial Narrow" w:cs="Arial"/>
          <w:bCs/>
          <w:sz w:val="20"/>
          <w:szCs w:val="20"/>
          <w:lang w:eastAsia="en-US"/>
        </w:rPr>
        <w:t xml:space="preserve"> </w:t>
      </w:r>
      <w:r w:rsidR="00F31957" w:rsidRPr="00D52C48">
        <w:rPr>
          <w:rFonts w:ascii="Arial Narrow" w:eastAsia="Calibri" w:hAnsi="Arial Narrow" w:cs="Arial"/>
          <w:bCs/>
          <w:sz w:val="20"/>
          <w:szCs w:val="20"/>
          <w:lang w:eastAsia="en-US"/>
        </w:rPr>
        <w:t>is maintaining its focus on operational performance</w:t>
      </w:r>
      <w:r w:rsidR="00F31957">
        <w:rPr>
          <w:rFonts w:ascii="Arial Narrow" w:eastAsia="Calibri" w:hAnsi="Arial Narrow" w:cs="Arial"/>
          <w:bCs/>
          <w:sz w:val="20"/>
          <w:szCs w:val="20"/>
          <w:lang w:eastAsia="en-US"/>
        </w:rPr>
        <w:t xml:space="preserve">. Coface </w:t>
      </w:r>
      <w:r w:rsidR="00F31957" w:rsidRPr="00D52C48">
        <w:rPr>
          <w:rFonts w:ascii="Arial Narrow" w:eastAsia="Calibri" w:hAnsi="Arial Narrow" w:cs="Arial"/>
          <w:bCs/>
          <w:sz w:val="20"/>
          <w:szCs w:val="20"/>
          <w:lang w:eastAsia="en-US"/>
        </w:rPr>
        <w:t xml:space="preserve">is </w:t>
      </w:r>
      <w:r w:rsidR="00F31957">
        <w:rPr>
          <w:rFonts w:ascii="Arial Narrow" w:eastAsia="Calibri" w:hAnsi="Arial Narrow" w:cs="Arial"/>
          <w:bCs/>
          <w:sz w:val="20"/>
          <w:szCs w:val="20"/>
          <w:lang w:eastAsia="en-US"/>
        </w:rPr>
        <w:t xml:space="preserve">also </w:t>
      </w:r>
      <w:r w:rsidR="00F31957" w:rsidRPr="00D52C48">
        <w:rPr>
          <w:rFonts w:ascii="Arial Narrow" w:eastAsia="Calibri" w:hAnsi="Arial Narrow" w:cs="Arial"/>
          <w:bCs/>
          <w:sz w:val="20"/>
          <w:szCs w:val="20"/>
          <w:lang w:eastAsia="en-US"/>
        </w:rPr>
        <w:t xml:space="preserve">confidently pursuing the implementation of its long-term Build to </w:t>
      </w:r>
      <w:proofErr w:type="gramStart"/>
      <w:r w:rsidR="00F31957" w:rsidRPr="00D52C48">
        <w:rPr>
          <w:rFonts w:ascii="Arial Narrow" w:eastAsia="Calibri" w:hAnsi="Arial Narrow" w:cs="Arial"/>
          <w:bCs/>
          <w:sz w:val="20"/>
          <w:szCs w:val="20"/>
          <w:lang w:eastAsia="en-US"/>
        </w:rPr>
        <w:t>Lead</w:t>
      </w:r>
      <w:proofErr w:type="gramEnd"/>
      <w:r w:rsidR="00F31957" w:rsidRPr="00D52C48">
        <w:rPr>
          <w:rFonts w:ascii="Arial Narrow" w:eastAsia="Calibri" w:hAnsi="Arial Narrow" w:cs="Arial"/>
          <w:bCs/>
          <w:sz w:val="20"/>
          <w:szCs w:val="20"/>
          <w:lang w:eastAsia="en-US"/>
        </w:rPr>
        <w:t xml:space="preserve"> strategic plan</w:t>
      </w:r>
      <w:r w:rsidR="00F31957">
        <w:rPr>
          <w:rFonts w:ascii="Arial Narrow" w:eastAsia="Calibri" w:hAnsi="Arial Narrow" w:cs="Arial"/>
          <w:bCs/>
          <w:sz w:val="20"/>
          <w:szCs w:val="20"/>
          <w:lang w:eastAsia="en-US"/>
        </w:rPr>
        <w:t xml:space="preserve"> which strategic pillars are confirmed.</w:t>
      </w:r>
    </w:p>
    <w:p w:rsidR="00183FEB" w:rsidRPr="00E5271C" w:rsidRDefault="00183FEB">
      <w:pPr>
        <w:widowControl/>
        <w:rPr>
          <w:rFonts w:ascii="Arial Narrow" w:hAnsi="Arial Narrow" w:cs="Arial"/>
          <w:bCs/>
          <w:sz w:val="20"/>
          <w:szCs w:val="20"/>
          <w:lang w:eastAsia="ar-SA"/>
        </w:rPr>
      </w:pPr>
    </w:p>
    <w:p w:rsidR="00183FEB" w:rsidRPr="00E5271C" w:rsidRDefault="00183FEB">
      <w:pPr>
        <w:widowControl/>
        <w:rPr>
          <w:rFonts w:ascii="Arial Narrow" w:hAnsi="Arial Narrow" w:cs="Arial"/>
          <w:bCs/>
          <w:sz w:val="20"/>
          <w:szCs w:val="20"/>
          <w:lang w:eastAsia="ar-SA"/>
        </w:rPr>
      </w:pPr>
    </w:p>
    <w:p w:rsidR="00977B6B" w:rsidRPr="00E5271C" w:rsidRDefault="00977B6B" w:rsidP="00527CAD">
      <w:pPr>
        <w:rPr>
          <w:rFonts w:ascii="Arial Narrow" w:hAnsi="Arial Narrow" w:cs="Arial"/>
          <w:b/>
          <w:sz w:val="20"/>
          <w:szCs w:val="20"/>
          <w:lang w:eastAsia="fr-FR"/>
        </w:rPr>
      </w:pPr>
    </w:p>
    <w:p w:rsidR="00977B6B" w:rsidRPr="00E5271C" w:rsidRDefault="00977B6B" w:rsidP="00527CAD">
      <w:pPr>
        <w:rPr>
          <w:rFonts w:ascii="Arial Narrow" w:hAnsi="Arial Narrow" w:cs="Arial"/>
          <w:b/>
          <w:sz w:val="20"/>
          <w:szCs w:val="20"/>
          <w:lang w:eastAsia="fr-FR"/>
        </w:rPr>
      </w:pPr>
    </w:p>
    <w:p w:rsidR="00977B6B" w:rsidRPr="00E5271C" w:rsidRDefault="00977B6B" w:rsidP="00527CAD">
      <w:pPr>
        <w:rPr>
          <w:rFonts w:ascii="Arial Narrow" w:hAnsi="Arial Narrow" w:cs="Arial"/>
          <w:b/>
          <w:sz w:val="20"/>
          <w:szCs w:val="20"/>
          <w:lang w:eastAsia="fr-FR"/>
        </w:rPr>
      </w:pPr>
    </w:p>
    <w:p w:rsidR="00527CAD" w:rsidRPr="00527CAD" w:rsidRDefault="00527CAD" w:rsidP="00527CAD">
      <w:pPr>
        <w:rPr>
          <w:rFonts w:ascii="Arial Narrow" w:hAnsi="Arial Narrow" w:cs="Arial"/>
          <w:b/>
          <w:sz w:val="20"/>
          <w:szCs w:val="20"/>
          <w:lang w:eastAsia="fr-FR"/>
        </w:rPr>
      </w:pPr>
      <w:r w:rsidRPr="00D52C48">
        <w:rPr>
          <w:rFonts w:ascii="Arial Narrow" w:hAnsi="Arial Narrow" w:cs="Arial"/>
          <w:b/>
          <w:sz w:val="20"/>
          <w:szCs w:val="20"/>
          <w:lang w:eastAsia="fr-FR"/>
        </w:rPr>
        <w:t xml:space="preserve">Conference </w:t>
      </w:r>
      <w:r w:rsidRPr="00527CAD">
        <w:rPr>
          <w:rFonts w:ascii="Arial Narrow" w:hAnsi="Arial Narrow" w:cs="Arial"/>
          <w:b/>
          <w:sz w:val="20"/>
          <w:szCs w:val="20"/>
          <w:lang w:eastAsia="fr-FR"/>
        </w:rPr>
        <w:t>call for financial analysts</w:t>
      </w:r>
    </w:p>
    <w:p w:rsidR="00527CAD" w:rsidRPr="00527CAD" w:rsidRDefault="00527CAD" w:rsidP="00527CAD">
      <w:pPr>
        <w:autoSpaceDE w:val="0"/>
        <w:autoSpaceDN w:val="0"/>
        <w:adjustRightInd w:val="0"/>
        <w:rPr>
          <w:rFonts w:ascii="Arial Narrow" w:hAnsi="Arial Narrow" w:cs="Arial"/>
          <w:sz w:val="20"/>
          <w:szCs w:val="20"/>
          <w:lang w:eastAsia="en-US"/>
        </w:rPr>
      </w:pPr>
    </w:p>
    <w:p w:rsidR="00527CAD" w:rsidRPr="00527CAD" w:rsidRDefault="00527CAD" w:rsidP="00527CAD">
      <w:pPr>
        <w:autoSpaceDE w:val="0"/>
        <w:autoSpaceDN w:val="0"/>
        <w:adjustRightInd w:val="0"/>
        <w:rPr>
          <w:rFonts w:ascii="Arial Narrow" w:hAnsi="Arial Narrow" w:cs="Arial"/>
          <w:sz w:val="20"/>
          <w:szCs w:val="20"/>
          <w:lang w:eastAsia="en-US"/>
        </w:rPr>
      </w:pPr>
      <w:r w:rsidRPr="00527CAD">
        <w:rPr>
          <w:rFonts w:ascii="Arial Narrow" w:hAnsi="Arial Narrow" w:cs="Arial"/>
          <w:sz w:val="20"/>
          <w:szCs w:val="20"/>
          <w:lang w:eastAsia="en-US"/>
        </w:rPr>
        <w:t xml:space="preserve">Coface’s </w:t>
      </w:r>
      <w:r>
        <w:rPr>
          <w:rFonts w:ascii="Arial Narrow" w:hAnsi="Arial Narrow" w:cs="Arial"/>
          <w:sz w:val="20"/>
          <w:szCs w:val="20"/>
          <w:lang w:eastAsia="en-US"/>
        </w:rPr>
        <w:t>H</w:t>
      </w:r>
      <w:r w:rsidRPr="00527CAD">
        <w:rPr>
          <w:rFonts w:ascii="Arial Narrow" w:hAnsi="Arial Narrow" w:cs="Arial"/>
          <w:sz w:val="20"/>
          <w:szCs w:val="20"/>
          <w:lang w:eastAsia="en-US"/>
        </w:rPr>
        <w:t xml:space="preserve">1-2020 results </w:t>
      </w:r>
      <w:proofErr w:type="gramStart"/>
      <w:r w:rsidRPr="00527CAD">
        <w:rPr>
          <w:rFonts w:ascii="Arial Narrow" w:hAnsi="Arial Narrow" w:cs="Arial"/>
          <w:sz w:val="20"/>
          <w:szCs w:val="20"/>
          <w:lang w:eastAsia="en-US"/>
        </w:rPr>
        <w:t>will be discussed</w:t>
      </w:r>
      <w:proofErr w:type="gramEnd"/>
      <w:r w:rsidRPr="00527CAD">
        <w:rPr>
          <w:rFonts w:ascii="Arial Narrow" w:hAnsi="Arial Narrow" w:cs="Arial"/>
          <w:sz w:val="20"/>
          <w:szCs w:val="20"/>
          <w:lang w:eastAsia="en-US"/>
        </w:rPr>
        <w:t xml:space="preserve"> with financial analysts during the conference call on 2</w:t>
      </w:r>
      <w:r>
        <w:rPr>
          <w:rFonts w:ascii="Arial Narrow" w:hAnsi="Arial Narrow" w:cs="Arial"/>
          <w:sz w:val="20"/>
          <w:szCs w:val="20"/>
          <w:lang w:eastAsia="en-US"/>
        </w:rPr>
        <w:t>9 July</w:t>
      </w:r>
      <w:r w:rsidRPr="00527CAD">
        <w:rPr>
          <w:rFonts w:ascii="Arial Narrow" w:hAnsi="Arial Narrow" w:cs="Arial"/>
          <w:sz w:val="20"/>
          <w:szCs w:val="20"/>
          <w:lang w:eastAsia="en-US"/>
        </w:rPr>
        <w:t xml:space="preserve"> 2020 at 18.00 (Paris time).</w:t>
      </w:r>
      <w:r w:rsidRPr="00527CAD">
        <w:rPr>
          <w:rFonts w:ascii="Arial Narrow" w:hAnsi="Arial Narrow" w:cs="Arial"/>
          <w:color w:val="FF0000"/>
          <w:sz w:val="20"/>
          <w:szCs w:val="20"/>
          <w:lang w:eastAsia="en-US"/>
        </w:rPr>
        <w:t xml:space="preserve"> </w:t>
      </w:r>
      <w:r w:rsidRPr="00527CAD">
        <w:rPr>
          <w:rFonts w:ascii="Arial Narrow" w:hAnsi="Arial Narrow" w:cs="Arial"/>
          <w:sz w:val="20"/>
          <w:szCs w:val="20"/>
          <w:lang w:eastAsia="en-US"/>
        </w:rPr>
        <w:t>Dial one of the following numbers:</w:t>
      </w:r>
    </w:p>
    <w:p w:rsidR="00527CAD" w:rsidRPr="00527CAD" w:rsidRDefault="00527CAD" w:rsidP="00527CAD">
      <w:pPr>
        <w:pStyle w:val="ListParagraph"/>
        <w:numPr>
          <w:ilvl w:val="0"/>
          <w:numId w:val="29"/>
        </w:numPr>
        <w:autoSpaceDE w:val="0"/>
        <w:autoSpaceDN w:val="0"/>
        <w:adjustRightInd w:val="0"/>
        <w:spacing w:after="0" w:line="240" w:lineRule="auto"/>
        <w:jc w:val="both"/>
        <w:rPr>
          <w:rFonts w:ascii="Arial Narrow" w:hAnsi="Arial Narrow" w:cs="Arial"/>
          <w:sz w:val="20"/>
          <w:szCs w:val="20"/>
          <w:lang w:eastAsia="en-US"/>
        </w:rPr>
      </w:pPr>
      <w:r w:rsidRPr="00527CAD">
        <w:rPr>
          <w:rFonts w:ascii="Arial Narrow" w:hAnsi="Arial Narrow" w:cs="Arial"/>
          <w:sz w:val="20"/>
          <w:szCs w:val="20"/>
          <w:lang w:eastAsia="en-US"/>
        </w:rPr>
        <w:t>+33 1 72 72 74 03 (France)</w:t>
      </w:r>
    </w:p>
    <w:p w:rsidR="00527CAD" w:rsidRPr="00527CAD" w:rsidRDefault="00527CAD" w:rsidP="00527CAD">
      <w:pPr>
        <w:pStyle w:val="ListParagraph"/>
        <w:numPr>
          <w:ilvl w:val="0"/>
          <w:numId w:val="29"/>
        </w:numPr>
        <w:autoSpaceDE w:val="0"/>
        <w:autoSpaceDN w:val="0"/>
        <w:adjustRightInd w:val="0"/>
        <w:spacing w:after="0" w:line="240" w:lineRule="auto"/>
        <w:jc w:val="both"/>
        <w:rPr>
          <w:rFonts w:ascii="Arial Narrow" w:hAnsi="Arial Narrow" w:cs="Arial"/>
          <w:sz w:val="20"/>
          <w:szCs w:val="20"/>
          <w:lang w:eastAsia="en-US"/>
        </w:rPr>
      </w:pPr>
      <w:r w:rsidRPr="00527CAD">
        <w:rPr>
          <w:rFonts w:ascii="Arial Narrow" w:hAnsi="Arial Narrow" w:cs="Arial"/>
          <w:sz w:val="20"/>
          <w:szCs w:val="20"/>
          <w:lang w:eastAsia="en-US"/>
        </w:rPr>
        <w:t>+44 207 1943 759 (United Kingdom)</w:t>
      </w:r>
    </w:p>
    <w:p w:rsidR="00527CAD" w:rsidRPr="00527CAD" w:rsidRDefault="00527CAD" w:rsidP="00527CAD">
      <w:pPr>
        <w:pStyle w:val="ListParagraph"/>
        <w:numPr>
          <w:ilvl w:val="0"/>
          <w:numId w:val="29"/>
        </w:numPr>
        <w:autoSpaceDE w:val="0"/>
        <w:autoSpaceDN w:val="0"/>
        <w:adjustRightInd w:val="0"/>
        <w:spacing w:after="0" w:line="240" w:lineRule="auto"/>
        <w:jc w:val="both"/>
        <w:rPr>
          <w:rFonts w:ascii="Arial Narrow" w:hAnsi="Arial Narrow" w:cs="Arial"/>
          <w:sz w:val="20"/>
          <w:szCs w:val="20"/>
          <w:lang w:eastAsia="en-US"/>
        </w:rPr>
      </w:pPr>
      <w:r w:rsidRPr="00527CAD">
        <w:rPr>
          <w:rFonts w:ascii="Arial Narrow" w:hAnsi="Arial Narrow" w:cs="Arial"/>
          <w:sz w:val="20"/>
          <w:szCs w:val="20"/>
          <w:lang w:eastAsia="en-US"/>
        </w:rPr>
        <w:t>+1 646 722 4916 (United States)</w:t>
      </w:r>
    </w:p>
    <w:p w:rsidR="00527CAD" w:rsidRPr="00527CAD" w:rsidRDefault="00527CAD" w:rsidP="00527CAD">
      <w:pPr>
        <w:autoSpaceDE w:val="0"/>
        <w:autoSpaceDN w:val="0"/>
        <w:adjustRightInd w:val="0"/>
        <w:rPr>
          <w:rFonts w:ascii="Arial Narrow" w:hAnsi="Arial Narrow" w:cs="Arial"/>
          <w:sz w:val="20"/>
          <w:szCs w:val="20"/>
          <w:lang w:eastAsia="en-US"/>
        </w:rPr>
      </w:pPr>
    </w:p>
    <w:p w:rsidR="00527CAD" w:rsidRPr="00D52C48" w:rsidRDefault="00527CAD" w:rsidP="00527CAD">
      <w:pPr>
        <w:autoSpaceDE w:val="0"/>
        <w:autoSpaceDN w:val="0"/>
        <w:adjustRightInd w:val="0"/>
        <w:rPr>
          <w:rFonts w:ascii="Arial Narrow" w:hAnsi="Arial Narrow" w:cs="Arial"/>
          <w:b/>
          <w:sz w:val="20"/>
          <w:szCs w:val="20"/>
          <w:lang w:eastAsia="en-US"/>
        </w:rPr>
      </w:pPr>
      <w:r w:rsidRPr="00D52C48">
        <w:rPr>
          <w:rFonts w:ascii="Arial Narrow" w:hAnsi="Arial Narrow" w:cs="Arial"/>
          <w:sz w:val="20"/>
          <w:szCs w:val="20"/>
          <w:lang w:eastAsia="en-US"/>
        </w:rPr>
        <w:t xml:space="preserve">The access code for participants </w:t>
      </w:r>
      <w:proofErr w:type="gramStart"/>
      <w:r w:rsidRPr="00D52C48">
        <w:rPr>
          <w:rFonts w:ascii="Arial Narrow" w:hAnsi="Arial Narrow" w:cs="Arial"/>
          <w:sz w:val="20"/>
          <w:szCs w:val="20"/>
          <w:lang w:eastAsia="en-US"/>
        </w:rPr>
        <w:t>is:</w:t>
      </w:r>
      <w:proofErr w:type="gramEnd"/>
      <w:r w:rsidRPr="00D52C48">
        <w:rPr>
          <w:rFonts w:ascii="Arial Narrow" w:hAnsi="Arial Narrow" w:cs="Arial"/>
          <w:sz w:val="20"/>
          <w:szCs w:val="20"/>
          <w:lang w:eastAsia="en-US"/>
        </w:rPr>
        <w:t xml:space="preserve"> </w:t>
      </w:r>
      <w:r w:rsidR="00D52C48" w:rsidRPr="00D52C48">
        <w:rPr>
          <w:rFonts w:ascii="Arial Narrow" w:hAnsi="Arial Narrow" w:cs="Arial"/>
          <w:b/>
          <w:sz w:val="20"/>
          <w:szCs w:val="20"/>
          <w:lang w:eastAsia="en-US"/>
        </w:rPr>
        <w:t>69005181#</w:t>
      </w:r>
    </w:p>
    <w:p w:rsidR="00D52C48" w:rsidRPr="00D52C48" w:rsidRDefault="00D52C48" w:rsidP="00527CAD">
      <w:pPr>
        <w:autoSpaceDE w:val="0"/>
        <w:autoSpaceDN w:val="0"/>
        <w:adjustRightInd w:val="0"/>
        <w:rPr>
          <w:rFonts w:ascii="Arial Narrow" w:hAnsi="Arial Narrow" w:cs="Arial"/>
          <w:sz w:val="20"/>
          <w:szCs w:val="20"/>
          <w:lang w:eastAsia="en-US"/>
        </w:rPr>
      </w:pPr>
    </w:p>
    <w:p w:rsidR="00527CAD" w:rsidRPr="00527CAD" w:rsidRDefault="00527CAD" w:rsidP="00527CAD">
      <w:pPr>
        <w:autoSpaceDE w:val="0"/>
        <w:autoSpaceDN w:val="0"/>
        <w:adjustRightInd w:val="0"/>
        <w:rPr>
          <w:rFonts w:ascii="Arial Narrow" w:hAnsi="Arial Narrow" w:cs="Arial"/>
          <w:sz w:val="20"/>
          <w:szCs w:val="20"/>
          <w:lang w:eastAsia="en-US"/>
        </w:rPr>
      </w:pPr>
      <w:r w:rsidRPr="00527CAD">
        <w:rPr>
          <w:rFonts w:ascii="Arial Narrow" w:hAnsi="Arial Narrow" w:cs="Arial"/>
          <w:sz w:val="20"/>
          <w:szCs w:val="20"/>
          <w:lang w:eastAsia="en-US"/>
        </w:rPr>
        <w:t xml:space="preserve">The presentation will be available (in English only) at the following address: </w:t>
      </w:r>
    </w:p>
    <w:p w:rsidR="00527CAD" w:rsidRPr="00527CAD" w:rsidRDefault="00B300CF" w:rsidP="00527CAD">
      <w:pPr>
        <w:rPr>
          <w:rFonts w:ascii="Arial Narrow" w:hAnsi="Arial Narrow"/>
          <w:sz w:val="20"/>
          <w:szCs w:val="20"/>
        </w:rPr>
      </w:pPr>
      <w:hyperlink r:id="rId8" w:history="1">
        <w:r w:rsidR="00527CAD" w:rsidRPr="00527CAD">
          <w:rPr>
            <w:rStyle w:val="Hyperlink"/>
            <w:rFonts w:ascii="Arial Narrow" w:hAnsi="Arial Narrow" w:cs="Cambria"/>
            <w:sz w:val="20"/>
            <w:szCs w:val="20"/>
          </w:rPr>
          <w:t>http://www.coface.com/Investors/financial-results-and-reports</w:t>
        </w:r>
      </w:hyperlink>
      <w:r w:rsidR="00527CAD" w:rsidRPr="00527CAD">
        <w:rPr>
          <w:rFonts w:ascii="Arial Narrow" w:hAnsi="Arial Narrow"/>
          <w:sz w:val="20"/>
          <w:szCs w:val="20"/>
          <w:u w:val="single"/>
        </w:rPr>
        <w:t xml:space="preserve"> </w:t>
      </w:r>
    </w:p>
    <w:p w:rsidR="003C3E5E" w:rsidRPr="00527CAD" w:rsidRDefault="003C3E5E">
      <w:pPr>
        <w:widowControl/>
        <w:rPr>
          <w:rFonts w:ascii="Arial Narrow" w:hAnsi="Arial Narrow" w:cs="Arial"/>
          <w:b/>
          <w:sz w:val="20"/>
          <w:szCs w:val="20"/>
          <w:lang w:eastAsia="fr-FR"/>
        </w:rPr>
      </w:pPr>
      <w:r w:rsidRPr="00527CAD">
        <w:rPr>
          <w:rFonts w:ascii="Arial Narrow" w:hAnsi="Arial Narrow" w:cs="Arial"/>
          <w:b/>
          <w:sz w:val="20"/>
          <w:szCs w:val="20"/>
          <w:lang w:eastAsia="fr-FR"/>
        </w:rPr>
        <w:br w:type="page"/>
      </w:r>
    </w:p>
    <w:p w:rsidR="004E5D70" w:rsidRPr="00527CAD" w:rsidRDefault="00335191" w:rsidP="00B25828">
      <w:pPr>
        <w:autoSpaceDE w:val="0"/>
        <w:autoSpaceDN w:val="0"/>
        <w:adjustRightInd w:val="0"/>
        <w:spacing w:line="270" w:lineRule="exact"/>
        <w:jc w:val="center"/>
        <w:rPr>
          <w:rFonts w:ascii="Arial Narrow" w:hAnsi="Arial Narrow" w:cs="Arial"/>
          <w:b/>
          <w:sz w:val="20"/>
          <w:szCs w:val="20"/>
          <w:lang w:eastAsia="fr-FR"/>
        </w:rPr>
      </w:pPr>
      <w:r w:rsidRPr="00527CAD">
        <w:rPr>
          <w:rFonts w:ascii="Arial Narrow" w:hAnsi="Arial Narrow" w:cs="Arial"/>
          <w:b/>
          <w:sz w:val="20"/>
          <w:szCs w:val="20"/>
          <w:lang w:eastAsia="fr-FR"/>
        </w:rPr>
        <w:lastRenderedPageBreak/>
        <w:t>Annexes</w:t>
      </w:r>
    </w:p>
    <w:p w:rsidR="00654764" w:rsidRPr="00527CAD" w:rsidRDefault="00654764" w:rsidP="001E4D41">
      <w:pPr>
        <w:autoSpaceDE w:val="0"/>
        <w:autoSpaceDN w:val="0"/>
        <w:adjustRightInd w:val="0"/>
        <w:rPr>
          <w:rFonts w:ascii="Arial Narrow" w:hAnsi="Arial Narrow" w:cs="Arial"/>
          <w:sz w:val="20"/>
          <w:szCs w:val="20"/>
          <w:lang w:eastAsia="fr-FR"/>
        </w:rPr>
      </w:pPr>
    </w:p>
    <w:p w:rsidR="00335191" w:rsidRPr="00527CAD" w:rsidRDefault="00335191" w:rsidP="001E4D41">
      <w:pPr>
        <w:autoSpaceDE w:val="0"/>
        <w:autoSpaceDN w:val="0"/>
        <w:adjustRightInd w:val="0"/>
        <w:jc w:val="both"/>
        <w:rPr>
          <w:rFonts w:ascii="Arial Narrow" w:hAnsi="Arial Narrow" w:cs="Arial"/>
          <w:sz w:val="20"/>
          <w:szCs w:val="20"/>
          <w:lang w:eastAsia="fr-FR"/>
        </w:rPr>
      </w:pPr>
    </w:p>
    <w:p w:rsidR="00C95B05" w:rsidRPr="00527CAD" w:rsidRDefault="00C95B05" w:rsidP="00C95B05">
      <w:pPr>
        <w:autoSpaceDE w:val="0"/>
        <w:autoSpaceDN w:val="0"/>
        <w:adjustRightInd w:val="0"/>
        <w:spacing w:line="270" w:lineRule="exact"/>
        <w:rPr>
          <w:rFonts w:ascii="Arial Narrow" w:hAnsi="Arial Narrow" w:cs="Arial"/>
          <w:sz w:val="20"/>
          <w:szCs w:val="20"/>
          <w:u w:val="single"/>
          <w:lang w:eastAsia="en-US"/>
        </w:rPr>
      </w:pPr>
      <w:r w:rsidRPr="00527CAD">
        <w:rPr>
          <w:rFonts w:ascii="Arial Narrow" w:hAnsi="Arial Narrow" w:cs="Arial"/>
          <w:sz w:val="20"/>
          <w:szCs w:val="20"/>
          <w:u w:val="single"/>
          <w:lang w:eastAsia="en-US"/>
        </w:rPr>
        <w:t>Quarterly results</w:t>
      </w:r>
    </w:p>
    <w:p w:rsidR="002477ED" w:rsidRDefault="002477ED" w:rsidP="001E4D41">
      <w:pPr>
        <w:autoSpaceDE w:val="0"/>
        <w:autoSpaceDN w:val="0"/>
        <w:adjustRightInd w:val="0"/>
        <w:jc w:val="both"/>
        <w:rPr>
          <w:rFonts w:ascii="Arial Narrow" w:hAnsi="Arial Narrow" w:cs="Arial"/>
          <w:sz w:val="20"/>
          <w:szCs w:val="20"/>
          <w:u w:val="single"/>
          <w:lang w:eastAsia="fr-FR"/>
        </w:rPr>
      </w:pPr>
    </w:p>
    <w:tbl>
      <w:tblPr>
        <w:tblW w:w="9554" w:type="dxa"/>
        <w:jc w:val="center"/>
        <w:tblLook w:val="04A0" w:firstRow="1" w:lastRow="0" w:firstColumn="1" w:lastColumn="0" w:noHBand="0" w:noVBand="1"/>
      </w:tblPr>
      <w:tblGrid>
        <w:gridCol w:w="2904"/>
        <w:gridCol w:w="764"/>
        <w:gridCol w:w="764"/>
        <w:gridCol w:w="764"/>
        <w:gridCol w:w="764"/>
        <w:gridCol w:w="764"/>
        <w:gridCol w:w="856"/>
        <w:gridCol w:w="236"/>
        <w:gridCol w:w="882"/>
        <w:gridCol w:w="856"/>
      </w:tblGrid>
      <w:tr w:rsidR="0076747A" w:rsidRPr="0076747A" w:rsidTr="0076747A">
        <w:trPr>
          <w:trHeight w:val="330"/>
          <w:jc w:val="center"/>
        </w:trPr>
        <w:tc>
          <w:tcPr>
            <w:tcW w:w="2904" w:type="dxa"/>
            <w:tcBorders>
              <w:top w:val="nil"/>
              <w:left w:val="nil"/>
              <w:bottom w:val="nil"/>
              <w:right w:val="nil"/>
            </w:tcBorders>
            <w:shd w:val="clear" w:color="000000" w:fill="03365F"/>
            <w:vAlign w:val="center"/>
            <w:hideMark/>
          </w:tcPr>
          <w:p w:rsidR="0076747A" w:rsidRDefault="0076747A" w:rsidP="0076747A">
            <w:pPr>
              <w:widowControl/>
              <w:rPr>
                <w:rFonts w:ascii="Arial Narrow" w:eastAsia="Times New Roman" w:hAnsi="Arial Narrow" w:cs="Calibri"/>
                <w:b/>
                <w:bCs/>
                <w:color w:val="FFFFFF"/>
                <w:sz w:val="20"/>
                <w:szCs w:val="20"/>
              </w:rPr>
            </w:pPr>
            <w:r>
              <w:rPr>
                <w:rFonts w:ascii="Arial Narrow" w:eastAsia="Times New Roman" w:hAnsi="Arial Narrow" w:cs="Calibri"/>
                <w:b/>
                <w:bCs/>
                <w:color w:val="FFFFFF"/>
                <w:sz w:val="20"/>
                <w:szCs w:val="20"/>
              </w:rPr>
              <w:t>Income statements items in €m</w:t>
            </w:r>
          </w:p>
          <w:p w:rsidR="0076747A" w:rsidRPr="0076747A" w:rsidRDefault="0076747A" w:rsidP="0076747A">
            <w:pPr>
              <w:widowControl/>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Quarterly figures</w:t>
            </w:r>
          </w:p>
        </w:tc>
        <w:tc>
          <w:tcPr>
            <w:tcW w:w="764"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Q1-19</w:t>
            </w:r>
          </w:p>
        </w:tc>
        <w:tc>
          <w:tcPr>
            <w:tcW w:w="764"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Q2-19</w:t>
            </w:r>
          </w:p>
        </w:tc>
        <w:tc>
          <w:tcPr>
            <w:tcW w:w="764"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Q3-19</w:t>
            </w:r>
          </w:p>
        </w:tc>
        <w:tc>
          <w:tcPr>
            <w:tcW w:w="764"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Q4-19</w:t>
            </w:r>
          </w:p>
        </w:tc>
        <w:tc>
          <w:tcPr>
            <w:tcW w:w="764"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Q1-20</w:t>
            </w:r>
          </w:p>
        </w:tc>
        <w:tc>
          <w:tcPr>
            <w:tcW w:w="856" w:type="dxa"/>
            <w:tcBorders>
              <w:top w:val="nil"/>
              <w:left w:val="nil"/>
              <w:bottom w:val="nil"/>
              <w:right w:val="nil"/>
            </w:tcBorders>
            <w:shd w:val="clear" w:color="000000" w:fill="18B3B9"/>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Q2-20</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p>
        </w:tc>
        <w:tc>
          <w:tcPr>
            <w:tcW w:w="882" w:type="dxa"/>
            <w:tcBorders>
              <w:top w:val="nil"/>
              <w:left w:val="nil"/>
              <w:bottom w:val="nil"/>
              <w:right w:val="nil"/>
            </w:tcBorders>
            <w:shd w:val="clear" w:color="000000" w:fill="03365F"/>
            <w:noWrap/>
            <w:vAlign w:val="center"/>
            <w:hideMark/>
          </w:tcPr>
          <w:p w:rsidR="0076747A" w:rsidRPr="0076747A" w:rsidRDefault="0076747A" w:rsidP="0076747A">
            <w:pPr>
              <w:widowControl/>
              <w:jc w:val="center"/>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w:t>
            </w:r>
          </w:p>
        </w:tc>
        <w:tc>
          <w:tcPr>
            <w:tcW w:w="856" w:type="dxa"/>
            <w:tcBorders>
              <w:top w:val="nil"/>
              <w:left w:val="nil"/>
              <w:bottom w:val="nil"/>
              <w:right w:val="nil"/>
            </w:tcBorders>
            <w:shd w:val="clear" w:color="000000" w:fill="03365F"/>
            <w:noWrap/>
            <w:vAlign w:val="center"/>
            <w:hideMark/>
          </w:tcPr>
          <w:p w:rsidR="0076747A" w:rsidRPr="0076747A" w:rsidRDefault="0076747A" w:rsidP="0076747A">
            <w:pPr>
              <w:widowControl/>
              <w:jc w:val="center"/>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 ex. FX*</w:t>
            </w:r>
          </w:p>
        </w:tc>
      </w:tr>
      <w:tr w:rsidR="0076747A" w:rsidRPr="0076747A" w:rsidTr="0076747A">
        <w:trPr>
          <w:trHeight w:val="330"/>
          <w:jc w:val="center"/>
        </w:trPr>
        <w:tc>
          <w:tcPr>
            <w:tcW w:w="2904" w:type="dxa"/>
            <w:tcBorders>
              <w:top w:val="single" w:sz="4" w:space="0" w:color="BFBFBF"/>
              <w:left w:val="nil"/>
              <w:bottom w:val="single" w:sz="4" w:space="0" w:color="BFBFBF"/>
              <w:right w:val="nil"/>
            </w:tcBorders>
            <w:shd w:val="clear" w:color="auto" w:fill="auto"/>
            <w:vAlign w:val="center"/>
            <w:hideMark/>
          </w:tcPr>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Gross earned premiums</w:t>
            </w:r>
          </w:p>
        </w:tc>
        <w:tc>
          <w:tcPr>
            <w:tcW w:w="76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299.0</w:t>
            </w:r>
          </w:p>
        </w:tc>
        <w:tc>
          <w:tcPr>
            <w:tcW w:w="764" w:type="dxa"/>
            <w:tcBorders>
              <w:top w:val="single" w:sz="4" w:space="0" w:color="BFBFBF"/>
              <w:left w:val="nil"/>
              <w:bottom w:val="single" w:sz="4" w:space="0" w:color="BFBFB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306.3</w:t>
            </w:r>
          </w:p>
        </w:tc>
        <w:tc>
          <w:tcPr>
            <w:tcW w:w="76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312.6</w:t>
            </w:r>
          </w:p>
        </w:tc>
        <w:tc>
          <w:tcPr>
            <w:tcW w:w="76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317.7</w:t>
            </w:r>
          </w:p>
        </w:tc>
        <w:tc>
          <w:tcPr>
            <w:tcW w:w="764" w:type="dxa"/>
            <w:tcBorders>
              <w:top w:val="single" w:sz="4" w:space="0" w:color="BFBFBF"/>
              <w:left w:val="nil"/>
              <w:bottom w:val="single" w:sz="4" w:space="0" w:color="BFBFB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301.2</w:t>
            </w:r>
          </w:p>
        </w:tc>
        <w:tc>
          <w:tcPr>
            <w:tcW w:w="856" w:type="dxa"/>
            <w:tcBorders>
              <w:top w:val="single" w:sz="4" w:space="0" w:color="BFBFBF"/>
              <w:left w:val="nil"/>
              <w:bottom w:val="single" w:sz="4" w:space="0" w:color="BFBFB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297.9</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(2.7)%</w:t>
            </w:r>
          </w:p>
        </w:tc>
        <w:tc>
          <w:tcPr>
            <w:tcW w:w="856"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(1.1)%</w:t>
            </w:r>
          </w:p>
        </w:tc>
      </w:tr>
      <w:tr w:rsidR="0076747A" w:rsidRPr="0076747A" w:rsidTr="0076747A">
        <w:trPr>
          <w:trHeight w:val="330"/>
          <w:jc w:val="center"/>
        </w:trPr>
        <w:tc>
          <w:tcPr>
            <w:tcW w:w="2904" w:type="dxa"/>
            <w:tcBorders>
              <w:top w:val="nil"/>
              <w:left w:val="nil"/>
              <w:bottom w:val="nil"/>
              <w:right w:val="nil"/>
            </w:tcBorders>
            <w:shd w:val="clear" w:color="auto" w:fill="auto"/>
            <w:vAlign w:val="center"/>
            <w:hideMark/>
          </w:tcPr>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Services revenue</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66.4</w:t>
            </w:r>
          </w:p>
        </w:tc>
        <w:tc>
          <w:tcPr>
            <w:tcW w:w="764" w:type="dxa"/>
            <w:tcBorders>
              <w:top w:val="nil"/>
              <w:left w:val="nil"/>
              <w:bottom w:val="nil"/>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60.8</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58.3</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59.9</w:t>
            </w:r>
          </w:p>
        </w:tc>
        <w:tc>
          <w:tcPr>
            <w:tcW w:w="764" w:type="dxa"/>
            <w:tcBorders>
              <w:top w:val="nil"/>
              <w:left w:val="nil"/>
              <w:bottom w:val="nil"/>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69.3</w:t>
            </w:r>
          </w:p>
        </w:tc>
        <w:tc>
          <w:tcPr>
            <w:tcW w:w="856" w:type="dxa"/>
            <w:tcBorders>
              <w:top w:val="nil"/>
              <w:left w:val="nil"/>
              <w:bottom w:val="nil"/>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56.3</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(7.5)%</w:t>
            </w:r>
          </w:p>
        </w:tc>
        <w:tc>
          <w:tcPr>
            <w:tcW w:w="85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(7.1)%</w:t>
            </w:r>
          </w:p>
        </w:tc>
      </w:tr>
      <w:tr w:rsidR="0076747A" w:rsidRPr="0076747A" w:rsidTr="0076747A">
        <w:trPr>
          <w:trHeight w:val="345"/>
          <w:jc w:val="center"/>
        </w:trPr>
        <w:tc>
          <w:tcPr>
            <w:tcW w:w="2904" w:type="dxa"/>
            <w:tcBorders>
              <w:top w:val="single" w:sz="4" w:space="0" w:color="BFBFBF"/>
              <w:left w:val="nil"/>
              <w:bottom w:val="single" w:sz="8" w:space="0" w:color="BFBFBF"/>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sz w:val="20"/>
                <w:szCs w:val="20"/>
              </w:rPr>
            </w:pPr>
            <w:r w:rsidRPr="0076747A">
              <w:rPr>
                <w:rFonts w:ascii="Arial Narrow" w:eastAsia="Times New Roman" w:hAnsi="Arial Narrow" w:cs="Calibri"/>
                <w:b/>
                <w:bCs/>
                <w:sz w:val="20"/>
                <w:szCs w:val="20"/>
              </w:rPr>
              <w:t>REVENUE</w:t>
            </w:r>
          </w:p>
        </w:tc>
        <w:tc>
          <w:tcPr>
            <w:tcW w:w="764"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365.5</w:t>
            </w:r>
          </w:p>
        </w:tc>
        <w:tc>
          <w:tcPr>
            <w:tcW w:w="764" w:type="dxa"/>
            <w:tcBorders>
              <w:top w:val="single" w:sz="4" w:space="0" w:color="BFBFBF"/>
              <w:left w:val="nil"/>
              <w:bottom w:val="single" w:sz="8" w:space="0" w:color="BFBFB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367.1</w:t>
            </w:r>
          </w:p>
        </w:tc>
        <w:tc>
          <w:tcPr>
            <w:tcW w:w="764"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370.9</w:t>
            </w:r>
          </w:p>
        </w:tc>
        <w:tc>
          <w:tcPr>
            <w:tcW w:w="764"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377.6</w:t>
            </w:r>
          </w:p>
        </w:tc>
        <w:tc>
          <w:tcPr>
            <w:tcW w:w="764" w:type="dxa"/>
            <w:tcBorders>
              <w:top w:val="single" w:sz="4" w:space="0" w:color="BFBFBF"/>
              <w:left w:val="nil"/>
              <w:bottom w:val="single" w:sz="8" w:space="0" w:color="BFBFB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370.5</w:t>
            </w:r>
          </w:p>
        </w:tc>
        <w:tc>
          <w:tcPr>
            <w:tcW w:w="856" w:type="dxa"/>
            <w:tcBorders>
              <w:top w:val="single" w:sz="4" w:space="0" w:color="BFBFBF"/>
              <w:left w:val="nil"/>
              <w:bottom w:val="single" w:sz="8" w:space="0" w:color="BFBFB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354.2</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p>
        </w:tc>
        <w:tc>
          <w:tcPr>
            <w:tcW w:w="882"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(3.5)%</w:t>
            </w:r>
          </w:p>
        </w:tc>
        <w:tc>
          <w:tcPr>
            <w:tcW w:w="856"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(2.1)%</w:t>
            </w:r>
          </w:p>
        </w:tc>
      </w:tr>
      <w:tr w:rsidR="0076747A" w:rsidRPr="0076747A" w:rsidTr="0076747A">
        <w:trPr>
          <w:trHeight w:val="345"/>
          <w:jc w:val="center"/>
        </w:trPr>
        <w:tc>
          <w:tcPr>
            <w:tcW w:w="2904" w:type="dxa"/>
            <w:tcBorders>
              <w:top w:val="single" w:sz="4" w:space="0" w:color="03365F"/>
              <w:left w:val="nil"/>
              <w:bottom w:val="single" w:sz="8" w:space="0" w:color="03365F"/>
              <w:right w:val="nil"/>
            </w:tcBorders>
            <w:shd w:val="clear" w:color="auto" w:fill="auto"/>
            <w:vAlign w:val="center"/>
            <w:hideMark/>
          </w:tcPr>
          <w:p w:rsidR="0076747A" w:rsidRDefault="0076747A" w:rsidP="0076747A">
            <w:pPr>
              <w:widowControl/>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 xml:space="preserve">UNDERWRITING INCOME(LOSS) </w:t>
            </w:r>
          </w:p>
          <w:p w:rsidR="0076747A" w:rsidRPr="0076747A" w:rsidRDefault="0076747A" w:rsidP="0076747A">
            <w:pPr>
              <w:widowControl/>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AFTER REINSURANCE</w:t>
            </w:r>
          </w:p>
        </w:tc>
        <w:tc>
          <w:tcPr>
            <w:tcW w:w="764"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52.0</w:t>
            </w:r>
          </w:p>
        </w:tc>
        <w:tc>
          <w:tcPr>
            <w:tcW w:w="764" w:type="dxa"/>
            <w:tcBorders>
              <w:top w:val="single" w:sz="4" w:space="0" w:color="03365F"/>
              <w:left w:val="nil"/>
              <w:bottom w:val="single" w:sz="8" w:space="0" w:color="03365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47.4</w:t>
            </w:r>
          </w:p>
        </w:tc>
        <w:tc>
          <w:tcPr>
            <w:tcW w:w="764"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46.3</w:t>
            </w:r>
          </w:p>
        </w:tc>
        <w:tc>
          <w:tcPr>
            <w:tcW w:w="764"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42.2</w:t>
            </w:r>
          </w:p>
        </w:tc>
        <w:tc>
          <w:tcPr>
            <w:tcW w:w="764" w:type="dxa"/>
            <w:tcBorders>
              <w:top w:val="single" w:sz="4" w:space="0" w:color="03365F"/>
              <w:left w:val="nil"/>
              <w:bottom w:val="single" w:sz="8" w:space="0" w:color="03365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28.2</w:t>
            </w:r>
          </w:p>
        </w:tc>
        <w:tc>
          <w:tcPr>
            <w:tcW w:w="856" w:type="dxa"/>
            <w:tcBorders>
              <w:top w:val="single" w:sz="4" w:space="0" w:color="03365F"/>
              <w:left w:val="nil"/>
              <w:bottom w:val="single" w:sz="8" w:space="0" w:color="03365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12.1</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p>
        </w:tc>
        <w:tc>
          <w:tcPr>
            <w:tcW w:w="882"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(74.4)%</w:t>
            </w:r>
          </w:p>
        </w:tc>
        <w:tc>
          <w:tcPr>
            <w:tcW w:w="856"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(76.2)%</w:t>
            </w:r>
          </w:p>
        </w:tc>
      </w:tr>
      <w:tr w:rsidR="0076747A" w:rsidRPr="0076747A" w:rsidTr="0076747A">
        <w:trPr>
          <w:trHeight w:val="330"/>
          <w:jc w:val="center"/>
        </w:trPr>
        <w:tc>
          <w:tcPr>
            <w:tcW w:w="2904" w:type="dxa"/>
            <w:tcBorders>
              <w:top w:val="single" w:sz="4" w:space="0" w:color="BFBFBF"/>
              <w:left w:val="nil"/>
              <w:bottom w:val="nil"/>
              <w:right w:val="nil"/>
            </w:tcBorders>
            <w:shd w:val="clear" w:color="auto" w:fill="auto"/>
            <w:vAlign w:val="center"/>
            <w:hideMark/>
          </w:tcPr>
          <w:p w:rsid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 xml:space="preserve">Investment income, net of </w:t>
            </w:r>
          </w:p>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management expenses</w:t>
            </w:r>
          </w:p>
        </w:tc>
        <w:tc>
          <w:tcPr>
            <w:tcW w:w="76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5.1</w:t>
            </w:r>
          </w:p>
        </w:tc>
        <w:tc>
          <w:tcPr>
            <w:tcW w:w="764" w:type="dxa"/>
            <w:tcBorders>
              <w:top w:val="single" w:sz="4" w:space="0" w:color="BFBFBF"/>
              <w:left w:val="nil"/>
              <w:bottom w:val="single" w:sz="4" w:space="0" w:color="BFBFB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11.5</w:t>
            </w:r>
          </w:p>
        </w:tc>
        <w:tc>
          <w:tcPr>
            <w:tcW w:w="76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11.8</w:t>
            </w:r>
          </w:p>
        </w:tc>
        <w:tc>
          <w:tcPr>
            <w:tcW w:w="76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8.5</w:t>
            </w:r>
          </w:p>
        </w:tc>
        <w:tc>
          <w:tcPr>
            <w:tcW w:w="764" w:type="dxa"/>
            <w:tcBorders>
              <w:top w:val="single" w:sz="4" w:space="0" w:color="BFBFBF"/>
              <w:left w:val="nil"/>
              <w:bottom w:val="single" w:sz="4" w:space="0" w:color="BFBFB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2.7</w:t>
            </w:r>
          </w:p>
        </w:tc>
        <w:tc>
          <w:tcPr>
            <w:tcW w:w="856" w:type="dxa"/>
            <w:tcBorders>
              <w:top w:val="single" w:sz="4" w:space="0" w:color="BFBFBF"/>
              <w:left w:val="nil"/>
              <w:bottom w:val="single" w:sz="4" w:space="0" w:color="BFBFB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14.0</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+22.4%</w:t>
            </w:r>
          </w:p>
        </w:tc>
        <w:tc>
          <w:tcPr>
            <w:tcW w:w="85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+32.9%</w:t>
            </w:r>
          </w:p>
        </w:tc>
      </w:tr>
      <w:tr w:rsidR="0076747A" w:rsidRPr="0076747A" w:rsidTr="0076747A">
        <w:trPr>
          <w:trHeight w:val="345"/>
          <w:jc w:val="center"/>
        </w:trPr>
        <w:tc>
          <w:tcPr>
            <w:tcW w:w="2904" w:type="dxa"/>
            <w:tcBorders>
              <w:top w:val="single" w:sz="4" w:space="0" w:color="18B3B9"/>
              <w:left w:val="nil"/>
              <w:bottom w:val="single" w:sz="8" w:space="0" w:color="18B3B9"/>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CURRENT OPERATING INCOME</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57.2</w:t>
            </w:r>
          </w:p>
        </w:tc>
        <w:tc>
          <w:tcPr>
            <w:tcW w:w="764" w:type="dxa"/>
            <w:tcBorders>
              <w:top w:val="single" w:sz="4" w:space="0" w:color="18B3B9"/>
              <w:left w:val="nil"/>
              <w:bottom w:val="single" w:sz="8" w:space="0" w:color="18B3B9"/>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58.9</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58.0</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50.7</w:t>
            </w:r>
          </w:p>
        </w:tc>
        <w:tc>
          <w:tcPr>
            <w:tcW w:w="764" w:type="dxa"/>
            <w:tcBorders>
              <w:top w:val="single" w:sz="4" w:space="0" w:color="18B3B9"/>
              <w:left w:val="nil"/>
              <w:bottom w:val="single" w:sz="8" w:space="0" w:color="18B3B9"/>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30.9</w:t>
            </w:r>
          </w:p>
        </w:tc>
        <w:tc>
          <w:tcPr>
            <w:tcW w:w="856" w:type="dxa"/>
            <w:tcBorders>
              <w:top w:val="single" w:sz="4" w:space="0" w:color="18B3B9"/>
              <w:left w:val="nil"/>
              <w:bottom w:val="single" w:sz="8" w:space="0" w:color="18B3B9"/>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26.2</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p>
        </w:tc>
        <w:tc>
          <w:tcPr>
            <w:tcW w:w="882"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(55.6)%</w:t>
            </w:r>
          </w:p>
        </w:tc>
        <w:tc>
          <w:tcPr>
            <w:tcW w:w="856"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(54.6)%</w:t>
            </w:r>
          </w:p>
        </w:tc>
      </w:tr>
      <w:tr w:rsidR="0076747A" w:rsidRPr="0076747A" w:rsidTr="0076747A">
        <w:trPr>
          <w:trHeight w:val="330"/>
          <w:jc w:val="center"/>
        </w:trPr>
        <w:tc>
          <w:tcPr>
            <w:tcW w:w="2904" w:type="dxa"/>
            <w:tcBorders>
              <w:top w:val="nil"/>
              <w:left w:val="nil"/>
              <w:bottom w:val="nil"/>
              <w:right w:val="nil"/>
            </w:tcBorders>
            <w:shd w:val="clear" w:color="auto" w:fill="auto"/>
            <w:vAlign w:val="center"/>
            <w:hideMark/>
          </w:tcPr>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Other operating income / expenses</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(0.2)</w:t>
            </w:r>
          </w:p>
        </w:tc>
        <w:tc>
          <w:tcPr>
            <w:tcW w:w="764" w:type="dxa"/>
            <w:tcBorders>
              <w:top w:val="nil"/>
              <w:left w:val="nil"/>
              <w:bottom w:val="nil"/>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1.3</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(1.0)</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(6.1)</w:t>
            </w:r>
          </w:p>
        </w:tc>
        <w:tc>
          <w:tcPr>
            <w:tcW w:w="764" w:type="dxa"/>
            <w:tcBorders>
              <w:top w:val="nil"/>
              <w:left w:val="nil"/>
              <w:bottom w:val="nil"/>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(0.2)</w:t>
            </w:r>
          </w:p>
        </w:tc>
        <w:tc>
          <w:tcPr>
            <w:tcW w:w="856" w:type="dxa"/>
            <w:tcBorders>
              <w:top w:val="nil"/>
              <w:left w:val="nil"/>
              <w:bottom w:val="nil"/>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(1.6)</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N.A</w:t>
            </w:r>
          </w:p>
        </w:tc>
        <w:tc>
          <w:tcPr>
            <w:tcW w:w="85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N.A</w:t>
            </w:r>
          </w:p>
        </w:tc>
      </w:tr>
      <w:tr w:rsidR="0076747A" w:rsidRPr="0076747A" w:rsidTr="0076747A">
        <w:trPr>
          <w:trHeight w:val="345"/>
          <w:jc w:val="center"/>
        </w:trPr>
        <w:tc>
          <w:tcPr>
            <w:tcW w:w="2904" w:type="dxa"/>
            <w:tcBorders>
              <w:top w:val="single" w:sz="4" w:space="0" w:color="18B3B9"/>
              <w:left w:val="nil"/>
              <w:bottom w:val="single" w:sz="8" w:space="0" w:color="18B3B9"/>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OPERATING INCOME</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56.9</w:t>
            </w:r>
          </w:p>
        </w:tc>
        <w:tc>
          <w:tcPr>
            <w:tcW w:w="764" w:type="dxa"/>
            <w:tcBorders>
              <w:top w:val="single" w:sz="4" w:space="0" w:color="18B3B9"/>
              <w:left w:val="nil"/>
              <w:bottom w:val="single" w:sz="8" w:space="0" w:color="18B3B9"/>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60.3</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57.0</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44.6</w:t>
            </w:r>
          </w:p>
        </w:tc>
        <w:tc>
          <w:tcPr>
            <w:tcW w:w="764" w:type="dxa"/>
            <w:tcBorders>
              <w:top w:val="single" w:sz="4" w:space="0" w:color="18B3B9"/>
              <w:left w:val="nil"/>
              <w:bottom w:val="single" w:sz="8" w:space="0" w:color="18B3B9"/>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30.7</w:t>
            </w:r>
          </w:p>
        </w:tc>
        <w:tc>
          <w:tcPr>
            <w:tcW w:w="856" w:type="dxa"/>
            <w:tcBorders>
              <w:top w:val="single" w:sz="4" w:space="0" w:color="18B3B9"/>
              <w:left w:val="nil"/>
              <w:bottom w:val="single" w:sz="8" w:space="0" w:color="18B3B9"/>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24.6</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p>
        </w:tc>
        <w:tc>
          <w:tcPr>
            <w:tcW w:w="882"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(59.2)%</w:t>
            </w:r>
          </w:p>
        </w:tc>
        <w:tc>
          <w:tcPr>
            <w:tcW w:w="856"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(57.1)%</w:t>
            </w:r>
          </w:p>
        </w:tc>
      </w:tr>
      <w:tr w:rsidR="0076747A" w:rsidRPr="0076747A" w:rsidTr="0076747A">
        <w:trPr>
          <w:trHeight w:val="345"/>
          <w:jc w:val="center"/>
        </w:trPr>
        <w:tc>
          <w:tcPr>
            <w:tcW w:w="2904" w:type="dxa"/>
            <w:tcBorders>
              <w:top w:val="single" w:sz="4" w:space="0" w:color="18B3B9"/>
              <w:left w:val="nil"/>
              <w:bottom w:val="single" w:sz="8" w:space="0" w:color="18B3B9"/>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NET INCOME</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36.4</w:t>
            </w:r>
          </w:p>
        </w:tc>
        <w:tc>
          <w:tcPr>
            <w:tcW w:w="764" w:type="dxa"/>
            <w:tcBorders>
              <w:top w:val="single" w:sz="4" w:space="0" w:color="18B3B9"/>
              <w:left w:val="nil"/>
              <w:bottom w:val="single" w:sz="8" w:space="0" w:color="18B3B9"/>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42.2</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38.8</w:t>
            </w:r>
          </w:p>
        </w:tc>
        <w:tc>
          <w:tcPr>
            <w:tcW w:w="76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29.4</w:t>
            </w:r>
          </w:p>
        </w:tc>
        <w:tc>
          <w:tcPr>
            <w:tcW w:w="764" w:type="dxa"/>
            <w:tcBorders>
              <w:top w:val="single" w:sz="4" w:space="0" w:color="18B3B9"/>
              <w:left w:val="nil"/>
              <w:bottom w:val="single" w:sz="8" w:space="0" w:color="18B3B9"/>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12.7</w:t>
            </w:r>
          </w:p>
        </w:tc>
        <w:tc>
          <w:tcPr>
            <w:tcW w:w="856" w:type="dxa"/>
            <w:tcBorders>
              <w:top w:val="single" w:sz="4" w:space="0" w:color="18B3B9"/>
              <w:left w:val="nil"/>
              <w:bottom w:val="single" w:sz="8" w:space="0" w:color="18B3B9"/>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11.3</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p>
        </w:tc>
        <w:tc>
          <w:tcPr>
            <w:tcW w:w="882"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(73.2)%</w:t>
            </w:r>
          </w:p>
        </w:tc>
        <w:tc>
          <w:tcPr>
            <w:tcW w:w="856"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(72.4)%</w:t>
            </w:r>
          </w:p>
        </w:tc>
      </w:tr>
      <w:tr w:rsidR="0076747A" w:rsidRPr="0076747A" w:rsidTr="0076747A">
        <w:trPr>
          <w:trHeight w:val="330"/>
          <w:jc w:val="center"/>
        </w:trPr>
        <w:tc>
          <w:tcPr>
            <w:tcW w:w="2904" w:type="dxa"/>
            <w:tcBorders>
              <w:top w:val="nil"/>
              <w:left w:val="nil"/>
              <w:bottom w:val="nil"/>
              <w:right w:val="nil"/>
            </w:tcBorders>
            <w:shd w:val="clear" w:color="auto" w:fill="auto"/>
            <w:vAlign w:val="center"/>
            <w:hideMark/>
          </w:tcPr>
          <w:p w:rsidR="0076747A" w:rsidRPr="0076747A" w:rsidRDefault="0076747A" w:rsidP="0076747A">
            <w:pPr>
              <w:widowControl/>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Income tax rate</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29.4%</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28.9%</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25.0%</w:t>
            </w:r>
          </w:p>
        </w:tc>
        <w:tc>
          <w:tcPr>
            <w:tcW w:w="76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29.1%</w:t>
            </w:r>
          </w:p>
        </w:tc>
        <w:tc>
          <w:tcPr>
            <w:tcW w:w="764" w:type="dxa"/>
            <w:tcBorders>
              <w:top w:val="nil"/>
              <w:left w:val="nil"/>
              <w:bottom w:val="nil"/>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50.5%</w:t>
            </w:r>
          </w:p>
        </w:tc>
        <w:tc>
          <w:tcPr>
            <w:tcW w:w="85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39.9%</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p>
        </w:tc>
        <w:tc>
          <w:tcPr>
            <w:tcW w:w="882"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18B3B9"/>
                <w:sz w:val="16"/>
                <w:szCs w:val="16"/>
              </w:rPr>
            </w:pPr>
            <w:r w:rsidRPr="0076747A">
              <w:rPr>
                <w:rFonts w:ascii="Arial Narrow" w:eastAsia="Times New Roman" w:hAnsi="Arial Narrow" w:cs="Calibri"/>
                <w:i/>
                <w:iCs/>
                <w:color w:val="18B3B9"/>
                <w:sz w:val="16"/>
                <w:szCs w:val="16"/>
              </w:rPr>
              <w:t>+ 11 pts</w:t>
            </w:r>
          </w:p>
        </w:tc>
        <w:tc>
          <w:tcPr>
            <w:tcW w:w="85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18B3B9"/>
                <w:sz w:val="16"/>
                <w:szCs w:val="16"/>
              </w:rPr>
            </w:pPr>
          </w:p>
        </w:tc>
      </w:tr>
    </w:tbl>
    <w:p w:rsidR="0076747A" w:rsidRPr="00527CAD" w:rsidRDefault="0076747A" w:rsidP="001E4D41">
      <w:pPr>
        <w:autoSpaceDE w:val="0"/>
        <w:autoSpaceDN w:val="0"/>
        <w:adjustRightInd w:val="0"/>
        <w:jc w:val="both"/>
        <w:rPr>
          <w:rFonts w:ascii="Arial Narrow" w:hAnsi="Arial Narrow" w:cs="Arial"/>
          <w:sz w:val="20"/>
          <w:szCs w:val="20"/>
          <w:u w:val="single"/>
          <w:lang w:eastAsia="fr-FR"/>
        </w:rPr>
      </w:pPr>
    </w:p>
    <w:p w:rsidR="00D42F03" w:rsidRPr="00527CAD" w:rsidRDefault="00D42F03" w:rsidP="001E4D41">
      <w:pPr>
        <w:autoSpaceDE w:val="0"/>
        <w:autoSpaceDN w:val="0"/>
        <w:adjustRightInd w:val="0"/>
        <w:jc w:val="both"/>
        <w:rPr>
          <w:rFonts w:ascii="Arial Narrow" w:hAnsi="Arial Narrow" w:cs="Arial"/>
          <w:sz w:val="20"/>
          <w:szCs w:val="20"/>
          <w:lang w:eastAsia="fr-FR"/>
        </w:rPr>
      </w:pPr>
    </w:p>
    <w:p w:rsidR="00C95B05" w:rsidRPr="00527CAD" w:rsidRDefault="00C95B05" w:rsidP="00C95B05">
      <w:pPr>
        <w:autoSpaceDE w:val="0"/>
        <w:autoSpaceDN w:val="0"/>
        <w:adjustRightInd w:val="0"/>
        <w:rPr>
          <w:rFonts w:ascii="Arial Narrow" w:hAnsi="Arial Narrow" w:cs="Arial"/>
          <w:sz w:val="20"/>
          <w:szCs w:val="20"/>
          <w:u w:val="single"/>
          <w:lang w:eastAsia="en-US"/>
        </w:rPr>
      </w:pPr>
      <w:r w:rsidRPr="00527CAD">
        <w:rPr>
          <w:rFonts w:ascii="Arial Narrow" w:hAnsi="Arial Narrow" w:cs="Arial"/>
          <w:sz w:val="20"/>
          <w:szCs w:val="20"/>
          <w:u w:val="single"/>
          <w:lang w:eastAsia="en-US"/>
        </w:rPr>
        <w:t>Cumulated results</w:t>
      </w:r>
    </w:p>
    <w:p w:rsidR="00D42F03" w:rsidRPr="00527CAD" w:rsidRDefault="00D42F03" w:rsidP="00D42F03">
      <w:pPr>
        <w:widowControl/>
        <w:rPr>
          <w:rFonts w:ascii="Arial Narrow" w:hAnsi="Arial Narrow" w:cs="Arial"/>
          <w:sz w:val="20"/>
          <w:szCs w:val="20"/>
          <w:lang w:eastAsia="fr-FR"/>
        </w:rPr>
      </w:pPr>
    </w:p>
    <w:tbl>
      <w:tblPr>
        <w:tblW w:w="9612" w:type="dxa"/>
        <w:jc w:val="center"/>
        <w:tblLayout w:type="fixed"/>
        <w:tblLook w:val="04A0" w:firstRow="1" w:lastRow="0" w:firstColumn="1" w:lastColumn="0" w:noHBand="0" w:noVBand="1"/>
      </w:tblPr>
      <w:tblGrid>
        <w:gridCol w:w="2898"/>
        <w:gridCol w:w="763"/>
        <w:gridCol w:w="753"/>
        <w:gridCol w:w="854"/>
        <w:gridCol w:w="855"/>
        <w:gridCol w:w="763"/>
        <w:gridCol w:w="753"/>
        <w:gridCol w:w="236"/>
        <w:gridCol w:w="882"/>
        <w:gridCol w:w="855"/>
      </w:tblGrid>
      <w:tr w:rsidR="0076747A" w:rsidRPr="0076747A" w:rsidTr="0076747A">
        <w:trPr>
          <w:trHeight w:val="330"/>
          <w:jc w:val="center"/>
        </w:trPr>
        <w:tc>
          <w:tcPr>
            <w:tcW w:w="2898" w:type="dxa"/>
            <w:tcBorders>
              <w:top w:val="nil"/>
              <w:left w:val="nil"/>
              <w:bottom w:val="nil"/>
              <w:right w:val="nil"/>
            </w:tcBorders>
            <w:shd w:val="clear" w:color="000000" w:fill="03365F"/>
            <w:vAlign w:val="center"/>
            <w:hideMark/>
          </w:tcPr>
          <w:p w:rsidR="0076747A" w:rsidRDefault="0076747A" w:rsidP="0076747A">
            <w:pPr>
              <w:widowControl/>
              <w:rPr>
                <w:rFonts w:ascii="Arial Narrow" w:eastAsia="Times New Roman" w:hAnsi="Arial Narrow" w:cs="Calibri"/>
                <w:b/>
                <w:bCs/>
                <w:color w:val="FFFFFF"/>
                <w:sz w:val="20"/>
                <w:szCs w:val="20"/>
              </w:rPr>
            </w:pPr>
            <w:r>
              <w:rPr>
                <w:rFonts w:ascii="Arial Narrow" w:eastAsia="Times New Roman" w:hAnsi="Arial Narrow" w:cs="Calibri"/>
                <w:b/>
                <w:bCs/>
                <w:color w:val="FFFFFF"/>
                <w:sz w:val="20"/>
                <w:szCs w:val="20"/>
              </w:rPr>
              <w:t>Income statements items in €m</w:t>
            </w:r>
          </w:p>
          <w:p w:rsidR="0076747A" w:rsidRPr="0076747A" w:rsidRDefault="0076747A" w:rsidP="0076747A">
            <w:pPr>
              <w:widowControl/>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Cumulated figures</w:t>
            </w:r>
          </w:p>
        </w:tc>
        <w:tc>
          <w:tcPr>
            <w:tcW w:w="763"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Q1-19</w:t>
            </w:r>
          </w:p>
        </w:tc>
        <w:tc>
          <w:tcPr>
            <w:tcW w:w="753"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H1-19</w:t>
            </w:r>
          </w:p>
        </w:tc>
        <w:tc>
          <w:tcPr>
            <w:tcW w:w="854"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9M-19</w:t>
            </w:r>
          </w:p>
        </w:tc>
        <w:tc>
          <w:tcPr>
            <w:tcW w:w="855"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FY-19</w:t>
            </w:r>
          </w:p>
        </w:tc>
        <w:tc>
          <w:tcPr>
            <w:tcW w:w="763" w:type="dxa"/>
            <w:tcBorders>
              <w:top w:val="nil"/>
              <w:left w:val="nil"/>
              <w:bottom w:val="nil"/>
              <w:right w:val="nil"/>
            </w:tcBorders>
            <w:shd w:val="clear" w:color="000000" w:fill="03365F"/>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Q1-20</w:t>
            </w:r>
          </w:p>
        </w:tc>
        <w:tc>
          <w:tcPr>
            <w:tcW w:w="753" w:type="dxa"/>
            <w:tcBorders>
              <w:top w:val="nil"/>
              <w:left w:val="nil"/>
              <w:bottom w:val="nil"/>
              <w:right w:val="nil"/>
            </w:tcBorders>
            <w:shd w:val="clear" w:color="000000" w:fill="18B3B9"/>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H1-20</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FFFFFF"/>
                <w:sz w:val="20"/>
                <w:szCs w:val="20"/>
              </w:rPr>
            </w:pPr>
          </w:p>
        </w:tc>
        <w:tc>
          <w:tcPr>
            <w:tcW w:w="882" w:type="dxa"/>
            <w:tcBorders>
              <w:top w:val="nil"/>
              <w:left w:val="nil"/>
              <w:bottom w:val="nil"/>
              <w:right w:val="nil"/>
            </w:tcBorders>
            <w:shd w:val="clear" w:color="000000" w:fill="03365F"/>
            <w:noWrap/>
            <w:vAlign w:val="center"/>
            <w:hideMark/>
          </w:tcPr>
          <w:p w:rsidR="0076747A" w:rsidRPr="0076747A" w:rsidRDefault="0076747A" w:rsidP="0076747A">
            <w:pPr>
              <w:widowControl/>
              <w:jc w:val="center"/>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w:t>
            </w:r>
          </w:p>
        </w:tc>
        <w:tc>
          <w:tcPr>
            <w:tcW w:w="855" w:type="dxa"/>
            <w:tcBorders>
              <w:top w:val="nil"/>
              <w:left w:val="nil"/>
              <w:bottom w:val="nil"/>
              <w:right w:val="nil"/>
            </w:tcBorders>
            <w:shd w:val="clear" w:color="000000" w:fill="03365F"/>
            <w:noWrap/>
            <w:vAlign w:val="center"/>
            <w:hideMark/>
          </w:tcPr>
          <w:p w:rsidR="0076747A" w:rsidRPr="0076747A" w:rsidRDefault="0076747A" w:rsidP="0076747A">
            <w:pPr>
              <w:widowControl/>
              <w:jc w:val="center"/>
              <w:rPr>
                <w:rFonts w:ascii="Arial Narrow" w:eastAsia="Times New Roman" w:hAnsi="Arial Narrow" w:cs="Calibri"/>
                <w:b/>
                <w:bCs/>
                <w:color w:val="FFFFFF"/>
                <w:sz w:val="20"/>
                <w:szCs w:val="20"/>
              </w:rPr>
            </w:pPr>
            <w:r w:rsidRPr="0076747A">
              <w:rPr>
                <w:rFonts w:ascii="Arial Narrow" w:eastAsia="Times New Roman" w:hAnsi="Arial Narrow" w:cs="Calibri"/>
                <w:b/>
                <w:bCs/>
                <w:color w:val="FFFFFF"/>
                <w:sz w:val="20"/>
                <w:szCs w:val="20"/>
              </w:rPr>
              <w:t>% ex. FX*</w:t>
            </w:r>
          </w:p>
        </w:tc>
      </w:tr>
      <w:tr w:rsidR="0076747A" w:rsidRPr="0076747A" w:rsidTr="0076747A">
        <w:trPr>
          <w:trHeight w:val="330"/>
          <w:jc w:val="center"/>
        </w:trPr>
        <w:tc>
          <w:tcPr>
            <w:tcW w:w="2898" w:type="dxa"/>
            <w:tcBorders>
              <w:top w:val="single" w:sz="4" w:space="0" w:color="BFBFBF"/>
              <w:left w:val="nil"/>
              <w:bottom w:val="single" w:sz="4" w:space="0" w:color="BFBFBF"/>
              <w:right w:val="nil"/>
            </w:tcBorders>
            <w:shd w:val="clear" w:color="auto" w:fill="auto"/>
            <w:vAlign w:val="center"/>
            <w:hideMark/>
          </w:tcPr>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Gross earned premiums</w:t>
            </w:r>
          </w:p>
        </w:tc>
        <w:tc>
          <w:tcPr>
            <w:tcW w:w="763"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299.0</w:t>
            </w:r>
          </w:p>
        </w:tc>
        <w:tc>
          <w:tcPr>
            <w:tcW w:w="753" w:type="dxa"/>
            <w:tcBorders>
              <w:top w:val="single" w:sz="4" w:space="0" w:color="BFBFBF"/>
              <w:left w:val="nil"/>
              <w:bottom w:val="single" w:sz="4" w:space="0" w:color="BFBFB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605.3</w:t>
            </w:r>
          </w:p>
        </w:tc>
        <w:tc>
          <w:tcPr>
            <w:tcW w:w="85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917.9</w:t>
            </w:r>
          </w:p>
        </w:tc>
        <w:tc>
          <w:tcPr>
            <w:tcW w:w="855"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1,235.6</w:t>
            </w:r>
          </w:p>
        </w:tc>
        <w:tc>
          <w:tcPr>
            <w:tcW w:w="763" w:type="dxa"/>
            <w:tcBorders>
              <w:top w:val="single" w:sz="4" w:space="0" w:color="BFBFBF"/>
              <w:left w:val="nil"/>
              <w:bottom w:val="single" w:sz="4" w:space="0" w:color="BFBFB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301.2</w:t>
            </w:r>
          </w:p>
        </w:tc>
        <w:tc>
          <w:tcPr>
            <w:tcW w:w="753" w:type="dxa"/>
            <w:tcBorders>
              <w:top w:val="single" w:sz="4" w:space="0" w:color="BFBFBF"/>
              <w:left w:val="nil"/>
              <w:bottom w:val="single" w:sz="4" w:space="0" w:color="BFBFB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599.1</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(1.0)%</w:t>
            </w:r>
          </w:p>
        </w:tc>
        <w:tc>
          <w:tcPr>
            <w:tcW w:w="855"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(0.4)%</w:t>
            </w:r>
          </w:p>
        </w:tc>
      </w:tr>
      <w:tr w:rsidR="0076747A" w:rsidRPr="0076747A" w:rsidTr="0076747A">
        <w:trPr>
          <w:trHeight w:val="330"/>
          <w:jc w:val="center"/>
        </w:trPr>
        <w:tc>
          <w:tcPr>
            <w:tcW w:w="2898" w:type="dxa"/>
            <w:tcBorders>
              <w:top w:val="nil"/>
              <w:left w:val="nil"/>
              <w:bottom w:val="nil"/>
              <w:right w:val="nil"/>
            </w:tcBorders>
            <w:shd w:val="clear" w:color="auto" w:fill="auto"/>
            <w:vAlign w:val="center"/>
            <w:hideMark/>
          </w:tcPr>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Services revenue</w:t>
            </w:r>
          </w:p>
        </w:tc>
        <w:tc>
          <w:tcPr>
            <w:tcW w:w="763"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66.4</w:t>
            </w:r>
          </w:p>
        </w:tc>
        <w:tc>
          <w:tcPr>
            <w:tcW w:w="753" w:type="dxa"/>
            <w:tcBorders>
              <w:top w:val="nil"/>
              <w:left w:val="nil"/>
              <w:bottom w:val="nil"/>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127.3</w:t>
            </w:r>
          </w:p>
        </w:tc>
        <w:tc>
          <w:tcPr>
            <w:tcW w:w="85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185.6</w:t>
            </w:r>
          </w:p>
        </w:tc>
        <w:tc>
          <w:tcPr>
            <w:tcW w:w="855"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245.5</w:t>
            </w:r>
          </w:p>
        </w:tc>
        <w:tc>
          <w:tcPr>
            <w:tcW w:w="763" w:type="dxa"/>
            <w:tcBorders>
              <w:top w:val="nil"/>
              <w:left w:val="nil"/>
              <w:bottom w:val="nil"/>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69.3</w:t>
            </w:r>
          </w:p>
        </w:tc>
        <w:tc>
          <w:tcPr>
            <w:tcW w:w="753" w:type="dxa"/>
            <w:tcBorders>
              <w:top w:val="nil"/>
              <w:left w:val="nil"/>
              <w:bottom w:val="nil"/>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125.5</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(1.4)%</w:t>
            </w:r>
          </w:p>
        </w:tc>
        <w:tc>
          <w:tcPr>
            <w:tcW w:w="855"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(1.5)%</w:t>
            </w:r>
          </w:p>
        </w:tc>
      </w:tr>
      <w:tr w:rsidR="0076747A" w:rsidRPr="0076747A" w:rsidTr="0076747A">
        <w:trPr>
          <w:trHeight w:val="345"/>
          <w:jc w:val="center"/>
        </w:trPr>
        <w:tc>
          <w:tcPr>
            <w:tcW w:w="2898" w:type="dxa"/>
            <w:tcBorders>
              <w:top w:val="single" w:sz="4" w:space="0" w:color="BFBFBF"/>
              <w:left w:val="nil"/>
              <w:bottom w:val="single" w:sz="8" w:space="0" w:color="BFBFBF"/>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sz w:val="20"/>
                <w:szCs w:val="20"/>
              </w:rPr>
            </w:pPr>
            <w:r w:rsidRPr="0076747A">
              <w:rPr>
                <w:rFonts w:ascii="Arial Narrow" w:eastAsia="Times New Roman" w:hAnsi="Arial Narrow" w:cs="Calibri"/>
                <w:b/>
                <w:bCs/>
                <w:sz w:val="20"/>
                <w:szCs w:val="20"/>
              </w:rPr>
              <w:t>REVENUE</w:t>
            </w:r>
          </w:p>
        </w:tc>
        <w:tc>
          <w:tcPr>
            <w:tcW w:w="763"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365.5</w:t>
            </w:r>
          </w:p>
        </w:tc>
        <w:tc>
          <w:tcPr>
            <w:tcW w:w="753" w:type="dxa"/>
            <w:tcBorders>
              <w:top w:val="single" w:sz="4" w:space="0" w:color="BFBFBF"/>
              <w:left w:val="nil"/>
              <w:bottom w:val="single" w:sz="8" w:space="0" w:color="BFBFB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732.6</w:t>
            </w:r>
          </w:p>
        </w:tc>
        <w:tc>
          <w:tcPr>
            <w:tcW w:w="854"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1,103.4</w:t>
            </w:r>
          </w:p>
        </w:tc>
        <w:tc>
          <w:tcPr>
            <w:tcW w:w="855"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1,481.1</w:t>
            </w:r>
          </w:p>
        </w:tc>
        <w:tc>
          <w:tcPr>
            <w:tcW w:w="763" w:type="dxa"/>
            <w:tcBorders>
              <w:top w:val="single" w:sz="4" w:space="0" w:color="BFBFBF"/>
              <w:left w:val="nil"/>
              <w:bottom w:val="single" w:sz="8" w:space="0" w:color="BFBFB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370.5</w:t>
            </w:r>
          </w:p>
        </w:tc>
        <w:tc>
          <w:tcPr>
            <w:tcW w:w="753" w:type="dxa"/>
            <w:tcBorders>
              <w:top w:val="single" w:sz="4" w:space="0" w:color="BFBFBF"/>
              <w:left w:val="nil"/>
              <w:bottom w:val="single" w:sz="8" w:space="0" w:color="BFBFB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724.6</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p>
        </w:tc>
        <w:tc>
          <w:tcPr>
            <w:tcW w:w="882"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(1.1)%</w:t>
            </w:r>
          </w:p>
        </w:tc>
        <w:tc>
          <w:tcPr>
            <w:tcW w:w="855" w:type="dxa"/>
            <w:tcBorders>
              <w:top w:val="single" w:sz="4" w:space="0" w:color="BFBFBF"/>
              <w:left w:val="nil"/>
              <w:bottom w:val="single" w:sz="8"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sz w:val="20"/>
                <w:szCs w:val="20"/>
              </w:rPr>
            </w:pPr>
            <w:r w:rsidRPr="0076747A">
              <w:rPr>
                <w:rFonts w:ascii="Arial Narrow" w:eastAsia="Times New Roman" w:hAnsi="Arial Narrow" w:cs="Calibri"/>
                <w:b/>
                <w:bCs/>
                <w:sz w:val="20"/>
                <w:szCs w:val="20"/>
              </w:rPr>
              <w:t>(0.6)%</w:t>
            </w:r>
          </w:p>
        </w:tc>
      </w:tr>
      <w:tr w:rsidR="0076747A" w:rsidRPr="0076747A" w:rsidTr="0076747A">
        <w:trPr>
          <w:trHeight w:val="345"/>
          <w:jc w:val="center"/>
        </w:trPr>
        <w:tc>
          <w:tcPr>
            <w:tcW w:w="2898" w:type="dxa"/>
            <w:tcBorders>
              <w:top w:val="single" w:sz="4" w:space="0" w:color="03365F"/>
              <w:left w:val="nil"/>
              <w:bottom w:val="single" w:sz="8" w:space="0" w:color="03365F"/>
              <w:right w:val="nil"/>
            </w:tcBorders>
            <w:shd w:val="clear" w:color="auto" w:fill="auto"/>
            <w:vAlign w:val="center"/>
            <w:hideMark/>
          </w:tcPr>
          <w:p w:rsidR="0076747A" w:rsidRDefault="0076747A" w:rsidP="0076747A">
            <w:pPr>
              <w:widowControl/>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 xml:space="preserve">UNDERWRITING INCOME(LOSS) </w:t>
            </w:r>
          </w:p>
          <w:p w:rsidR="0076747A" w:rsidRPr="0076747A" w:rsidRDefault="0076747A" w:rsidP="0076747A">
            <w:pPr>
              <w:widowControl/>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AFTER REINSURANCE</w:t>
            </w:r>
          </w:p>
        </w:tc>
        <w:tc>
          <w:tcPr>
            <w:tcW w:w="763"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52.0</w:t>
            </w:r>
          </w:p>
        </w:tc>
        <w:tc>
          <w:tcPr>
            <w:tcW w:w="753" w:type="dxa"/>
            <w:tcBorders>
              <w:top w:val="single" w:sz="4" w:space="0" w:color="03365F"/>
              <w:left w:val="nil"/>
              <w:bottom w:val="single" w:sz="8" w:space="0" w:color="03365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99.5</w:t>
            </w:r>
          </w:p>
        </w:tc>
        <w:tc>
          <w:tcPr>
            <w:tcW w:w="854"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145.7</w:t>
            </w:r>
          </w:p>
        </w:tc>
        <w:tc>
          <w:tcPr>
            <w:tcW w:w="855"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187.9</w:t>
            </w:r>
          </w:p>
        </w:tc>
        <w:tc>
          <w:tcPr>
            <w:tcW w:w="763" w:type="dxa"/>
            <w:tcBorders>
              <w:top w:val="single" w:sz="4" w:space="0" w:color="03365F"/>
              <w:left w:val="nil"/>
              <w:bottom w:val="single" w:sz="8" w:space="0" w:color="03365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28.2</w:t>
            </w:r>
          </w:p>
        </w:tc>
        <w:tc>
          <w:tcPr>
            <w:tcW w:w="753" w:type="dxa"/>
            <w:tcBorders>
              <w:top w:val="single" w:sz="4" w:space="0" w:color="03365F"/>
              <w:left w:val="nil"/>
              <w:bottom w:val="single" w:sz="8" w:space="0" w:color="03365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40.4</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p>
        </w:tc>
        <w:tc>
          <w:tcPr>
            <w:tcW w:w="882"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(59.4)%</w:t>
            </w:r>
          </w:p>
        </w:tc>
        <w:tc>
          <w:tcPr>
            <w:tcW w:w="855" w:type="dxa"/>
            <w:tcBorders>
              <w:top w:val="single" w:sz="4" w:space="0" w:color="03365F"/>
              <w:left w:val="nil"/>
              <w:bottom w:val="single" w:sz="8" w:space="0" w:color="03365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03365F"/>
                <w:sz w:val="20"/>
                <w:szCs w:val="20"/>
              </w:rPr>
            </w:pPr>
            <w:r w:rsidRPr="0076747A">
              <w:rPr>
                <w:rFonts w:ascii="Arial Narrow" w:eastAsia="Times New Roman" w:hAnsi="Arial Narrow" w:cs="Calibri"/>
                <w:b/>
                <w:bCs/>
                <w:color w:val="03365F"/>
                <w:sz w:val="20"/>
                <w:szCs w:val="20"/>
              </w:rPr>
              <w:t>(58.1)%</w:t>
            </w:r>
          </w:p>
        </w:tc>
      </w:tr>
      <w:tr w:rsidR="0076747A" w:rsidRPr="0076747A" w:rsidTr="0076747A">
        <w:trPr>
          <w:trHeight w:val="330"/>
          <w:jc w:val="center"/>
        </w:trPr>
        <w:tc>
          <w:tcPr>
            <w:tcW w:w="2898" w:type="dxa"/>
            <w:tcBorders>
              <w:top w:val="single" w:sz="4" w:space="0" w:color="BFBFBF"/>
              <w:left w:val="nil"/>
              <w:bottom w:val="nil"/>
              <w:right w:val="nil"/>
            </w:tcBorders>
            <w:shd w:val="clear" w:color="auto" w:fill="auto"/>
            <w:vAlign w:val="center"/>
            <w:hideMark/>
          </w:tcPr>
          <w:p w:rsid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 xml:space="preserve">Investment income, net of </w:t>
            </w:r>
          </w:p>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management expenses</w:t>
            </w:r>
          </w:p>
        </w:tc>
        <w:tc>
          <w:tcPr>
            <w:tcW w:w="763"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5.1</w:t>
            </w:r>
          </w:p>
        </w:tc>
        <w:tc>
          <w:tcPr>
            <w:tcW w:w="753" w:type="dxa"/>
            <w:tcBorders>
              <w:top w:val="single" w:sz="4" w:space="0" w:color="BFBFBF"/>
              <w:left w:val="nil"/>
              <w:bottom w:val="single" w:sz="4" w:space="0" w:color="BFBFBF"/>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16.6</w:t>
            </w:r>
          </w:p>
        </w:tc>
        <w:tc>
          <w:tcPr>
            <w:tcW w:w="854"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28.4</w:t>
            </w:r>
          </w:p>
        </w:tc>
        <w:tc>
          <w:tcPr>
            <w:tcW w:w="855"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36.9</w:t>
            </w:r>
          </w:p>
        </w:tc>
        <w:tc>
          <w:tcPr>
            <w:tcW w:w="763" w:type="dxa"/>
            <w:tcBorders>
              <w:top w:val="single" w:sz="4" w:space="0" w:color="BFBFBF"/>
              <w:left w:val="nil"/>
              <w:bottom w:val="single" w:sz="4" w:space="0" w:color="BFBFBF"/>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2.7</w:t>
            </w:r>
          </w:p>
        </w:tc>
        <w:tc>
          <w:tcPr>
            <w:tcW w:w="753" w:type="dxa"/>
            <w:tcBorders>
              <w:top w:val="single" w:sz="4" w:space="0" w:color="BFBFBF"/>
              <w:left w:val="nil"/>
              <w:bottom w:val="single" w:sz="4" w:space="0" w:color="BFBFBF"/>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16.7</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+0.7%</w:t>
            </w:r>
          </w:p>
        </w:tc>
        <w:tc>
          <w:tcPr>
            <w:tcW w:w="855" w:type="dxa"/>
            <w:tcBorders>
              <w:top w:val="single" w:sz="4" w:space="0" w:color="BFBFBF"/>
              <w:left w:val="nil"/>
              <w:bottom w:val="single" w:sz="4" w:space="0" w:color="BFBFBF"/>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+11.3%</w:t>
            </w:r>
          </w:p>
        </w:tc>
      </w:tr>
      <w:tr w:rsidR="0076747A" w:rsidRPr="0076747A" w:rsidTr="0076747A">
        <w:trPr>
          <w:trHeight w:val="345"/>
          <w:jc w:val="center"/>
        </w:trPr>
        <w:tc>
          <w:tcPr>
            <w:tcW w:w="2898" w:type="dxa"/>
            <w:tcBorders>
              <w:top w:val="single" w:sz="4" w:space="0" w:color="18B3B9"/>
              <w:left w:val="nil"/>
              <w:bottom w:val="single" w:sz="8" w:space="0" w:color="18B3B9"/>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CURRENT OPERATING INCOME</w:t>
            </w:r>
          </w:p>
        </w:tc>
        <w:tc>
          <w:tcPr>
            <w:tcW w:w="763"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57.2</w:t>
            </w:r>
          </w:p>
        </w:tc>
        <w:tc>
          <w:tcPr>
            <w:tcW w:w="753" w:type="dxa"/>
            <w:tcBorders>
              <w:top w:val="single" w:sz="4" w:space="0" w:color="18B3B9"/>
              <w:left w:val="nil"/>
              <w:bottom w:val="single" w:sz="8" w:space="0" w:color="18B3B9"/>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116.1</w:t>
            </w:r>
          </w:p>
        </w:tc>
        <w:tc>
          <w:tcPr>
            <w:tcW w:w="85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174.1</w:t>
            </w:r>
          </w:p>
        </w:tc>
        <w:tc>
          <w:tcPr>
            <w:tcW w:w="855"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224.9</w:t>
            </w:r>
          </w:p>
        </w:tc>
        <w:tc>
          <w:tcPr>
            <w:tcW w:w="763" w:type="dxa"/>
            <w:tcBorders>
              <w:top w:val="single" w:sz="4" w:space="0" w:color="18B3B9"/>
              <w:left w:val="nil"/>
              <w:bottom w:val="single" w:sz="8" w:space="0" w:color="18B3B9"/>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30.9</w:t>
            </w:r>
          </w:p>
        </w:tc>
        <w:tc>
          <w:tcPr>
            <w:tcW w:w="753" w:type="dxa"/>
            <w:tcBorders>
              <w:top w:val="single" w:sz="4" w:space="0" w:color="18B3B9"/>
              <w:left w:val="nil"/>
              <w:bottom w:val="single" w:sz="8" w:space="0" w:color="18B3B9"/>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57.1</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p>
        </w:tc>
        <w:tc>
          <w:tcPr>
            <w:tcW w:w="882"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(50.8)%</w:t>
            </w:r>
          </w:p>
        </w:tc>
        <w:tc>
          <w:tcPr>
            <w:tcW w:w="855"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(48.2)%</w:t>
            </w:r>
          </w:p>
        </w:tc>
      </w:tr>
      <w:tr w:rsidR="0076747A" w:rsidRPr="0076747A" w:rsidTr="0076747A">
        <w:trPr>
          <w:trHeight w:val="330"/>
          <w:jc w:val="center"/>
        </w:trPr>
        <w:tc>
          <w:tcPr>
            <w:tcW w:w="2898" w:type="dxa"/>
            <w:tcBorders>
              <w:top w:val="nil"/>
              <w:left w:val="nil"/>
              <w:bottom w:val="nil"/>
              <w:right w:val="nil"/>
            </w:tcBorders>
            <w:shd w:val="clear" w:color="auto" w:fill="auto"/>
            <w:vAlign w:val="center"/>
            <w:hideMark/>
          </w:tcPr>
          <w:p w:rsidR="0076747A" w:rsidRPr="0076747A" w:rsidRDefault="0076747A" w:rsidP="0076747A">
            <w:pPr>
              <w:widowControl/>
              <w:rPr>
                <w:rFonts w:ascii="Arial Narrow" w:eastAsia="Times New Roman" w:hAnsi="Arial Narrow" w:cs="Calibri"/>
                <w:sz w:val="20"/>
                <w:szCs w:val="20"/>
              </w:rPr>
            </w:pPr>
            <w:r w:rsidRPr="0076747A">
              <w:rPr>
                <w:rFonts w:ascii="Arial Narrow" w:eastAsia="Times New Roman" w:hAnsi="Arial Narrow" w:cs="Calibri"/>
                <w:sz w:val="20"/>
                <w:szCs w:val="20"/>
              </w:rPr>
              <w:t>Other operating income / expenses</w:t>
            </w:r>
          </w:p>
        </w:tc>
        <w:tc>
          <w:tcPr>
            <w:tcW w:w="763"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(0.2)</w:t>
            </w:r>
          </w:p>
        </w:tc>
        <w:tc>
          <w:tcPr>
            <w:tcW w:w="753" w:type="dxa"/>
            <w:tcBorders>
              <w:top w:val="nil"/>
              <w:left w:val="nil"/>
              <w:bottom w:val="nil"/>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1.1</w:t>
            </w:r>
          </w:p>
        </w:tc>
        <w:tc>
          <w:tcPr>
            <w:tcW w:w="85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0.1</w:t>
            </w:r>
          </w:p>
        </w:tc>
        <w:tc>
          <w:tcPr>
            <w:tcW w:w="855"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(6.0)</w:t>
            </w:r>
          </w:p>
        </w:tc>
        <w:tc>
          <w:tcPr>
            <w:tcW w:w="763" w:type="dxa"/>
            <w:tcBorders>
              <w:top w:val="nil"/>
              <w:left w:val="nil"/>
              <w:bottom w:val="nil"/>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(0.2)</w:t>
            </w:r>
          </w:p>
        </w:tc>
        <w:tc>
          <w:tcPr>
            <w:tcW w:w="753" w:type="dxa"/>
            <w:tcBorders>
              <w:top w:val="nil"/>
              <w:left w:val="nil"/>
              <w:bottom w:val="nil"/>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(1.8)</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p>
        </w:tc>
        <w:tc>
          <w:tcPr>
            <w:tcW w:w="882"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N.A</w:t>
            </w:r>
          </w:p>
        </w:tc>
        <w:tc>
          <w:tcPr>
            <w:tcW w:w="855"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sz w:val="20"/>
                <w:szCs w:val="20"/>
              </w:rPr>
            </w:pPr>
            <w:r w:rsidRPr="0076747A">
              <w:rPr>
                <w:rFonts w:ascii="Arial Narrow" w:eastAsia="Times New Roman" w:hAnsi="Arial Narrow" w:cs="Calibri"/>
                <w:sz w:val="20"/>
                <w:szCs w:val="20"/>
              </w:rPr>
              <w:t>N.A</w:t>
            </w:r>
          </w:p>
        </w:tc>
      </w:tr>
      <w:tr w:rsidR="0076747A" w:rsidRPr="0076747A" w:rsidTr="0076747A">
        <w:trPr>
          <w:trHeight w:val="345"/>
          <w:jc w:val="center"/>
        </w:trPr>
        <w:tc>
          <w:tcPr>
            <w:tcW w:w="2898" w:type="dxa"/>
            <w:tcBorders>
              <w:top w:val="single" w:sz="4" w:space="0" w:color="18B3B9"/>
              <w:left w:val="nil"/>
              <w:bottom w:val="single" w:sz="8" w:space="0" w:color="18B3B9"/>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OPERATING INCOME</w:t>
            </w:r>
          </w:p>
        </w:tc>
        <w:tc>
          <w:tcPr>
            <w:tcW w:w="763"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56.9</w:t>
            </w:r>
          </w:p>
        </w:tc>
        <w:tc>
          <w:tcPr>
            <w:tcW w:w="753" w:type="dxa"/>
            <w:tcBorders>
              <w:top w:val="single" w:sz="4" w:space="0" w:color="18B3B9"/>
              <w:left w:val="nil"/>
              <w:bottom w:val="single" w:sz="8" w:space="0" w:color="18B3B9"/>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117.2</w:t>
            </w:r>
          </w:p>
        </w:tc>
        <w:tc>
          <w:tcPr>
            <w:tcW w:w="85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174.2</w:t>
            </w:r>
          </w:p>
        </w:tc>
        <w:tc>
          <w:tcPr>
            <w:tcW w:w="855"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218.9</w:t>
            </w:r>
          </w:p>
        </w:tc>
        <w:tc>
          <w:tcPr>
            <w:tcW w:w="763" w:type="dxa"/>
            <w:tcBorders>
              <w:top w:val="single" w:sz="4" w:space="0" w:color="18B3B9"/>
              <w:left w:val="nil"/>
              <w:bottom w:val="single" w:sz="8" w:space="0" w:color="18B3B9"/>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30.7</w:t>
            </w:r>
          </w:p>
        </w:tc>
        <w:tc>
          <w:tcPr>
            <w:tcW w:w="753" w:type="dxa"/>
            <w:tcBorders>
              <w:top w:val="single" w:sz="4" w:space="0" w:color="18B3B9"/>
              <w:left w:val="nil"/>
              <w:bottom w:val="single" w:sz="8" w:space="0" w:color="18B3B9"/>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55.4</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p>
        </w:tc>
        <w:tc>
          <w:tcPr>
            <w:tcW w:w="882"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(52.8)%</w:t>
            </w:r>
          </w:p>
        </w:tc>
        <w:tc>
          <w:tcPr>
            <w:tcW w:w="855"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(49.6)%</w:t>
            </w:r>
          </w:p>
        </w:tc>
      </w:tr>
      <w:tr w:rsidR="0076747A" w:rsidRPr="0076747A" w:rsidTr="0076747A">
        <w:trPr>
          <w:trHeight w:val="345"/>
          <w:jc w:val="center"/>
        </w:trPr>
        <w:tc>
          <w:tcPr>
            <w:tcW w:w="2898" w:type="dxa"/>
            <w:tcBorders>
              <w:top w:val="single" w:sz="4" w:space="0" w:color="18B3B9"/>
              <w:left w:val="nil"/>
              <w:bottom w:val="single" w:sz="8" w:space="0" w:color="18B3B9"/>
              <w:right w:val="nil"/>
            </w:tcBorders>
            <w:shd w:val="clear" w:color="auto" w:fill="auto"/>
            <w:vAlign w:val="center"/>
            <w:hideMark/>
          </w:tcPr>
          <w:p w:rsidR="0076747A" w:rsidRPr="0076747A" w:rsidRDefault="0076747A" w:rsidP="0076747A">
            <w:pPr>
              <w:widowControl/>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NET INCOME</w:t>
            </w:r>
          </w:p>
        </w:tc>
        <w:tc>
          <w:tcPr>
            <w:tcW w:w="763"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36.4</w:t>
            </w:r>
          </w:p>
        </w:tc>
        <w:tc>
          <w:tcPr>
            <w:tcW w:w="753" w:type="dxa"/>
            <w:tcBorders>
              <w:top w:val="single" w:sz="4" w:space="0" w:color="18B3B9"/>
              <w:left w:val="nil"/>
              <w:bottom w:val="single" w:sz="8" w:space="0" w:color="18B3B9"/>
              <w:right w:val="nil"/>
            </w:tcBorders>
            <w:shd w:val="clear" w:color="000000" w:fill="F2F2F2"/>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78.5</w:t>
            </w:r>
          </w:p>
        </w:tc>
        <w:tc>
          <w:tcPr>
            <w:tcW w:w="854"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117.3</w:t>
            </w:r>
          </w:p>
        </w:tc>
        <w:tc>
          <w:tcPr>
            <w:tcW w:w="855"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146.7</w:t>
            </w:r>
          </w:p>
        </w:tc>
        <w:tc>
          <w:tcPr>
            <w:tcW w:w="763" w:type="dxa"/>
            <w:tcBorders>
              <w:top w:val="single" w:sz="4" w:space="0" w:color="18B3B9"/>
              <w:left w:val="nil"/>
              <w:bottom w:val="single" w:sz="8" w:space="0" w:color="18B3B9"/>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12.7</w:t>
            </w:r>
          </w:p>
        </w:tc>
        <w:tc>
          <w:tcPr>
            <w:tcW w:w="753" w:type="dxa"/>
            <w:tcBorders>
              <w:top w:val="single" w:sz="4" w:space="0" w:color="18B3B9"/>
              <w:left w:val="nil"/>
              <w:bottom w:val="single" w:sz="8" w:space="0" w:color="18B3B9"/>
              <w:right w:val="nil"/>
            </w:tcBorders>
            <w:shd w:val="clear" w:color="000000" w:fill="D1F0F1"/>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24.0</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p>
        </w:tc>
        <w:tc>
          <w:tcPr>
            <w:tcW w:w="882"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(69.5)%</w:t>
            </w:r>
          </w:p>
        </w:tc>
        <w:tc>
          <w:tcPr>
            <w:tcW w:w="855" w:type="dxa"/>
            <w:tcBorders>
              <w:top w:val="single" w:sz="4" w:space="0" w:color="18B3B9"/>
              <w:left w:val="nil"/>
              <w:bottom w:val="single" w:sz="8" w:space="0" w:color="18B3B9"/>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b/>
                <w:bCs/>
                <w:color w:val="18B3B9"/>
                <w:sz w:val="20"/>
                <w:szCs w:val="20"/>
              </w:rPr>
            </w:pPr>
            <w:r w:rsidRPr="0076747A">
              <w:rPr>
                <w:rFonts w:ascii="Arial Narrow" w:eastAsia="Times New Roman" w:hAnsi="Arial Narrow" w:cs="Calibri"/>
                <w:b/>
                <w:bCs/>
                <w:color w:val="18B3B9"/>
                <w:sz w:val="20"/>
                <w:szCs w:val="20"/>
              </w:rPr>
              <w:t>(67.0)%</w:t>
            </w:r>
          </w:p>
        </w:tc>
      </w:tr>
      <w:tr w:rsidR="0076747A" w:rsidRPr="0076747A" w:rsidTr="0076747A">
        <w:trPr>
          <w:trHeight w:val="330"/>
          <w:jc w:val="center"/>
        </w:trPr>
        <w:tc>
          <w:tcPr>
            <w:tcW w:w="2898" w:type="dxa"/>
            <w:tcBorders>
              <w:top w:val="nil"/>
              <w:left w:val="nil"/>
              <w:bottom w:val="nil"/>
              <w:right w:val="nil"/>
            </w:tcBorders>
            <w:shd w:val="clear" w:color="auto" w:fill="auto"/>
            <w:vAlign w:val="center"/>
            <w:hideMark/>
          </w:tcPr>
          <w:p w:rsidR="0076747A" w:rsidRPr="0076747A" w:rsidRDefault="0076747A" w:rsidP="0076747A">
            <w:pPr>
              <w:widowControl/>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Income tax rate</w:t>
            </w:r>
          </w:p>
        </w:tc>
        <w:tc>
          <w:tcPr>
            <w:tcW w:w="763"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29.4%</w:t>
            </w:r>
          </w:p>
        </w:tc>
        <w:tc>
          <w:tcPr>
            <w:tcW w:w="753"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29.2%</w:t>
            </w:r>
          </w:p>
        </w:tc>
        <w:tc>
          <w:tcPr>
            <w:tcW w:w="854"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27.8%</w:t>
            </w:r>
          </w:p>
        </w:tc>
        <w:tc>
          <w:tcPr>
            <w:tcW w:w="855"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28.0%</w:t>
            </w:r>
          </w:p>
        </w:tc>
        <w:tc>
          <w:tcPr>
            <w:tcW w:w="763" w:type="dxa"/>
            <w:tcBorders>
              <w:top w:val="nil"/>
              <w:left w:val="nil"/>
              <w:bottom w:val="nil"/>
              <w:right w:val="nil"/>
            </w:tcBorders>
            <w:shd w:val="clear" w:color="000000" w:fill="FFFFFF"/>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50.5%</w:t>
            </w:r>
          </w:p>
        </w:tc>
        <w:tc>
          <w:tcPr>
            <w:tcW w:w="753"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r w:rsidRPr="0076747A">
              <w:rPr>
                <w:rFonts w:ascii="Arial Narrow" w:eastAsia="Times New Roman" w:hAnsi="Arial Narrow" w:cs="Calibri"/>
                <w:i/>
                <w:iCs/>
                <w:color w:val="808080"/>
                <w:sz w:val="16"/>
                <w:szCs w:val="16"/>
              </w:rPr>
              <w:t>46.0%</w:t>
            </w:r>
          </w:p>
        </w:tc>
        <w:tc>
          <w:tcPr>
            <w:tcW w:w="236"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808080"/>
                <w:sz w:val="16"/>
                <w:szCs w:val="16"/>
              </w:rPr>
            </w:pPr>
          </w:p>
        </w:tc>
        <w:tc>
          <w:tcPr>
            <w:tcW w:w="882"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18B3B9"/>
                <w:sz w:val="16"/>
                <w:szCs w:val="16"/>
              </w:rPr>
            </w:pPr>
            <w:r w:rsidRPr="0076747A">
              <w:rPr>
                <w:rFonts w:ascii="Arial Narrow" w:eastAsia="Times New Roman" w:hAnsi="Arial Narrow" w:cs="Calibri"/>
                <w:i/>
                <w:iCs/>
                <w:color w:val="18B3B9"/>
                <w:sz w:val="16"/>
                <w:szCs w:val="16"/>
              </w:rPr>
              <w:t>+ 16.8 pts</w:t>
            </w:r>
          </w:p>
        </w:tc>
        <w:tc>
          <w:tcPr>
            <w:tcW w:w="855" w:type="dxa"/>
            <w:tcBorders>
              <w:top w:val="nil"/>
              <w:left w:val="nil"/>
              <w:bottom w:val="nil"/>
              <w:right w:val="nil"/>
            </w:tcBorders>
            <w:shd w:val="clear" w:color="auto" w:fill="auto"/>
            <w:noWrap/>
            <w:vAlign w:val="center"/>
            <w:hideMark/>
          </w:tcPr>
          <w:p w:rsidR="0076747A" w:rsidRPr="0076747A" w:rsidRDefault="0076747A" w:rsidP="0076747A">
            <w:pPr>
              <w:widowControl/>
              <w:jc w:val="right"/>
              <w:rPr>
                <w:rFonts w:ascii="Arial Narrow" w:eastAsia="Times New Roman" w:hAnsi="Arial Narrow" w:cs="Calibri"/>
                <w:i/>
                <w:iCs/>
                <w:color w:val="18B3B9"/>
                <w:sz w:val="16"/>
                <w:szCs w:val="16"/>
              </w:rPr>
            </w:pPr>
          </w:p>
        </w:tc>
      </w:tr>
    </w:tbl>
    <w:p w:rsidR="00D42F03" w:rsidRDefault="00D42F03" w:rsidP="00D42F03">
      <w:pPr>
        <w:widowControl/>
        <w:rPr>
          <w:rFonts w:ascii="Arial Narrow" w:hAnsi="Arial Narrow" w:cs="Arial"/>
          <w:sz w:val="20"/>
          <w:szCs w:val="20"/>
          <w:lang w:eastAsia="fr-FR"/>
        </w:rPr>
      </w:pPr>
    </w:p>
    <w:p w:rsidR="00527CAD" w:rsidRPr="00A7260A" w:rsidRDefault="00527CAD" w:rsidP="00D42F03">
      <w:pPr>
        <w:widowControl/>
        <w:rPr>
          <w:rFonts w:ascii="Arial Narrow" w:hAnsi="Arial Narrow" w:cs="Arial"/>
          <w:sz w:val="20"/>
          <w:szCs w:val="20"/>
          <w:lang w:eastAsia="fr-FR"/>
        </w:rPr>
      </w:pPr>
    </w:p>
    <w:p w:rsidR="00527CAD" w:rsidRPr="00D72E80" w:rsidRDefault="00527CAD" w:rsidP="00527CAD">
      <w:pPr>
        <w:rPr>
          <w:rFonts w:ascii="Arial Narrow" w:hAnsi="Arial Narrow" w:cs="Arial"/>
          <w:sz w:val="20"/>
          <w:szCs w:val="20"/>
          <w:lang w:eastAsia="fr-FR"/>
        </w:rPr>
      </w:pPr>
      <w:r w:rsidRPr="00D72E80">
        <w:rPr>
          <w:rFonts w:ascii="Arial Narrow" w:hAnsi="Arial Narrow" w:cs="Arial"/>
          <w:bCs/>
          <w:sz w:val="16"/>
        </w:rPr>
        <w:t>* Also excludes scope impact</w:t>
      </w:r>
    </w:p>
    <w:p w:rsidR="00C95B05" w:rsidRPr="00A7260A" w:rsidRDefault="00DE6191" w:rsidP="00C95B05">
      <w:pPr>
        <w:widowControl/>
        <w:jc w:val="center"/>
        <w:rPr>
          <w:rFonts w:ascii="Arial Narrow" w:hAnsi="Arial Narrow" w:cs="Arial"/>
          <w:sz w:val="20"/>
          <w:szCs w:val="20"/>
          <w:lang w:eastAsia="fr-FR"/>
        </w:rPr>
      </w:pPr>
      <w:r w:rsidRPr="00A7260A">
        <w:rPr>
          <w:rFonts w:ascii="Arial Narrow" w:hAnsi="Arial Narrow" w:cs="Arial"/>
          <w:sz w:val="20"/>
          <w:szCs w:val="20"/>
          <w:lang w:eastAsia="fr-FR"/>
        </w:rPr>
        <w:br w:type="page"/>
      </w:r>
    </w:p>
    <w:tbl>
      <w:tblPr>
        <w:tblW w:w="8789" w:type="dxa"/>
        <w:tblInd w:w="-34" w:type="dxa"/>
        <w:tblLook w:val="04A0" w:firstRow="1" w:lastRow="0" w:firstColumn="1" w:lastColumn="0" w:noHBand="0" w:noVBand="1"/>
      </w:tblPr>
      <w:tblGrid>
        <w:gridCol w:w="4253"/>
        <w:gridCol w:w="4536"/>
      </w:tblGrid>
      <w:tr w:rsidR="00AC6A20" w:rsidRPr="00021F3A" w:rsidTr="006F263F">
        <w:tc>
          <w:tcPr>
            <w:tcW w:w="8789" w:type="dxa"/>
            <w:gridSpan w:val="2"/>
            <w:vAlign w:val="center"/>
          </w:tcPr>
          <w:p w:rsidR="00AC6A20" w:rsidRPr="00021F3A" w:rsidRDefault="00AC6A20" w:rsidP="006F263F">
            <w:pPr>
              <w:tabs>
                <w:tab w:val="left" w:pos="4111"/>
                <w:tab w:val="left" w:pos="4536"/>
                <w:tab w:val="left" w:pos="5010"/>
              </w:tabs>
              <w:suppressAutoHyphens/>
              <w:ind w:right="318"/>
              <w:jc w:val="center"/>
              <w:rPr>
                <w:rFonts w:ascii="Arial Narrow" w:hAnsi="Arial Narrow" w:cs="Arial"/>
                <w:b/>
                <w:sz w:val="18"/>
                <w:szCs w:val="18"/>
                <w:lang w:val="fr-FR" w:eastAsia="ar-SA"/>
              </w:rPr>
            </w:pPr>
            <w:r w:rsidRPr="00021F3A">
              <w:rPr>
                <w:rFonts w:ascii="Arial Narrow" w:hAnsi="Arial Narrow" w:cs="Arial"/>
                <w:b/>
                <w:sz w:val="18"/>
                <w:szCs w:val="18"/>
                <w:lang w:val="fr-FR" w:eastAsia="ar-SA"/>
              </w:rPr>
              <w:lastRenderedPageBreak/>
              <w:t>CONTACTS</w:t>
            </w:r>
          </w:p>
        </w:tc>
      </w:tr>
      <w:tr w:rsidR="00AC6A20" w:rsidRPr="00021F3A" w:rsidTr="006F263F">
        <w:tc>
          <w:tcPr>
            <w:tcW w:w="8789" w:type="dxa"/>
            <w:gridSpan w:val="2"/>
            <w:vAlign w:val="center"/>
          </w:tcPr>
          <w:p w:rsidR="00AC6A20" w:rsidRPr="00021F3A" w:rsidRDefault="00AC6A20" w:rsidP="006F263F">
            <w:pPr>
              <w:tabs>
                <w:tab w:val="left" w:pos="4111"/>
                <w:tab w:val="left" w:pos="4536"/>
                <w:tab w:val="left" w:pos="5010"/>
              </w:tabs>
              <w:suppressAutoHyphens/>
              <w:ind w:right="318"/>
              <w:jc w:val="center"/>
              <w:rPr>
                <w:rFonts w:ascii="Arial Narrow" w:hAnsi="Arial Narrow" w:cs="Arial"/>
                <w:b/>
                <w:sz w:val="18"/>
                <w:szCs w:val="18"/>
                <w:lang w:val="fr-FR" w:eastAsia="ar-SA"/>
              </w:rPr>
            </w:pPr>
          </w:p>
        </w:tc>
      </w:tr>
      <w:tr w:rsidR="00AC6A20" w:rsidRPr="00021F3A" w:rsidTr="006F263F">
        <w:tc>
          <w:tcPr>
            <w:tcW w:w="4253" w:type="dxa"/>
          </w:tcPr>
          <w:p w:rsidR="00AC6A20" w:rsidRPr="00021F3A" w:rsidRDefault="00AC6A20" w:rsidP="006F263F">
            <w:pPr>
              <w:tabs>
                <w:tab w:val="left" w:pos="4111"/>
                <w:tab w:val="left" w:pos="4536"/>
                <w:tab w:val="left" w:pos="5010"/>
              </w:tabs>
              <w:suppressAutoHyphens/>
              <w:ind w:right="318"/>
              <w:jc w:val="center"/>
              <w:rPr>
                <w:rFonts w:ascii="Arial Narrow" w:hAnsi="Arial Narrow" w:cs="Arial"/>
                <w:sz w:val="18"/>
                <w:szCs w:val="18"/>
                <w:lang w:val="fr-FR" w:eastAsia="ar-SA"/>
              </w:rPr>
            </w:pPr>
            <w:r w:rsidRPr="00021F3A">
              <w:rPr>
                <w:rFonts w:ascii="Arial Narrow" w:hAnsi="Arial Narrow" w:cs="Arial"/>
                <w:b/>
                <w:sz w:val="18"/>
                <w:szCs w:val="18"/>
                <w:lang w:val="fr-FR" w:eastAsia="ar-SA"/>
              </w:rPr>
              <w:t xml:space="preserve">MEDIA </w:t>
            </w:r>
            <w:r w:rsidR="00411DD7">
              <w:rPr>
                <w:rFonts w:ascii="Arial Narrow" w:hAnsi="Arial Narrow" w:cs="Arial"/>
                <w:b/>
                <w:sz w:val="18"/>
                <w:szCs w:val="18"/>
                <w:lang w:val="fr-FR" w:eastAsia="ar-SA"/>
              </w:rPr>
              <w:t>CONTACT (SOUTH AFRICA)</w:t>
            </w:r>
          </w:p>
          <w:p w:rsidR="00AC6A20" w:rsidRPr="00021F3A" w:rsidRDefault="00AC6A20" w:rsidP="006F263F">
            <w:pPr>
              <w:tabs>
                <w:tab w:val="left" w:pos="4111"/>
                <w:tab w:val="left" w:pos="4536"/>
                <w:tab w:val="left" w:pos="5010"/>
              </w:tabs>
              <w:suppressAutoHyphens/>
              <w:ind w:left="567" w:right="318"/>
              <w:jc w:val="center"/>
              <w:rPr>
                <w:rFonts w:ascii="Arial Narrow" w:hAnsi="Arial Narrow" w:cs="Arial"/>
                <w:sz w:val="18"/>
                <w:szCs w:val="18"/>
                <w:lang w:val="fr-FR" w:eastAsia="ar-SA"/>
              </w:rPr>
            </w:pPr>
          </w:p>
          <w:p w:rsidR="00AC6A20" w:rsidRPr="00021F3A" w:rsidRDefault="00411DD7" w:rsidP="006F263F">
            <w:pPr>
              <w:tabs>
                <w:tab w:val="left" w:pos="4111"/>
                <w:tab w:val="left" w:pos="4536"/>
                <w:tab w:val="left" w:pos="5010"/>
              </w:tabs>
              <w:suppressAutoHyphens/>
              <w:ind w:right="318"/>
              <w:jc w:val="center"/>
              <w:rPr>
                <w:rFonts w:ascii="Arial Narrow" w:hAnsi="Arial Narrow" w:cs="Arial"/>
                <w:sz w:val="18"/>
                <w:szCs w:val="18"/>
                <w:lang w:val="fr-FR" w:eastAsia="ar-SA"/>
              </w:rPr>
            </w:pPr>
            <w:r>
              <w:rPr>
                <w:rFonts w:ascii="Arial Narrow" w:hAnsi="Arial Narrow" w:cs="Arial"/>
                <w:sz w:val="18"/>
                <w:szCs w:val="18"/>
                <w:lang w:val="fr-FR" w:eastAsia="ar-SA"/>
              </w:rPr>
              <w:t>Shaazia KHAN</w:t>
            </w:r>
          </w:p>
          <w:p w:rsidR="00AC6A20" w:rsidRPr="00021F3A" w:rsidRDefault="00411DD7" w:rsidP="006F263F">
            <w:pPr>
              <w:tabs>
                <w:tab w:val="left" w:pos="4111"/>
                <w:tab w:val="left" w:pos="4536"/>
                <w:tab w:val="left" w:pos="5010"/>
              </w:tabs>
              <w:suppressAutoHyphens/>
              <w:ind w:right="318"/>
              <w:jc w:val="center"/>
              <w:rPr>
                <w:rFonts w:ascii="Arial Narrow" w:hAnsi="Arial Narrow" w:cs="Arial"/>
                <w:sz w:val="18"/>
                <w:szCs w:val="18"/>
                <w:lang w:val="fr-FR" w:eastAsia="ar-SA"/>
              </w:rPr>
            </w:pPr>
            <w:r>
              <w:rPr>
                <w:rFonts w:ascii="Arial Narrow" w:hAnsi="Arial Narrow" w:cs="Arial"/>
                <w:sz w:val="18"/>
                <w:szCs w:val="18"/>
                <w:lang w:val="fr-FR" w:eastAsia="ar-SA"/>
              </w:rPr>
              <w:t>T. +27</w:t>
            </w:r>
            <w:r w:rsidR="00AC6A20" w:rsidRPr="00021F3A">
              <w:rPr>
                <w:rFonts w:ascii="Arial Narrow" w:hAnsi="Arial Narrow" w:cs="Arial"/>
                <w:sz w:val="18"/>
                <w:szCs w:val="18"/>
                <w:lang w:val="fr-FR" w:eastAsia="ar-SA"/>
              </w:rPr>
              <w:t xml:space="preserve"> (0)</w:t>
            </w:r>
            <w:r>
              <w:rPr>
                <w:rFonts w:ascii="Arial Narrow" w:hAnsi="Arial Narrow" w:cs="Arial"/>
                <w:sz w:val="18"/>
                <w:szCs w:val="18"/>
                <w:lang w:val="fr-FR" w:eastAsia="ar-SA"/>
              </w:rPr>
              <w:t xml:space="preserve"> 79 753 5357</w:t>
            </w:r>
          </w:p>
          <w:p w:rsidR="00411DD7" w:rsidRPr="00411DD7" w:rsidRDefault="00411DD7" w:rsidP="00411DD7">
            <w:pPr>
              <w:rPr>
                <w:rFonts w:ascii="Arial Narrow" w:hAnsi="Arial Narrow" w:cs="Arial"/>
                <w:sz w:val="18"/>
                <w:szCs w:val="18"/>
              </w:rPr>
            </w:pPr>
            <w:r>
              <w:t xml:space="preserve">          </w:t>
            </w:r>
            <w:r w:rsidRPr="00411DD7">
              <w:rPr>
                <w:rFonts w:ascii="Arial Narrow" w:hAnsi="Arial Narrow"/>
              </w:rPr>
              <w:t xml:space="preserve">     </w:t>
            </w:r>
            <w:r>
              <w:rPr>
                <w:rFonts w:ascii="Arial Narrow" w:hAnsi="Arial Narrow"/>
              </w:rPr>
              <w:t xml:space="preserve">    </w:t>
            </w:r>
            <w:bookmarkStart w:id="0" w:name="_GoBack"/>
            <w:bookmarkEnd w:id="0"/>
            <w:r w:rsidRPr="00411DD7">
              <w:rPr>
                <w:rFonts w:ascii="Arial Narrow" w:hAnsi="Arial Narrow"/>
              </w:rPr>
              <w:fldChar w:fldCharType="begin"/>
            </w:r>
            <w:r w:rsidRPr="00411DD7">
              <w:rPr>
                <w:rFonts w:ascii="Arial Narrow" w:hAnsi="Arial Narrow"/>
              </w:rPr>
              <w:instrText xml:space="preserve"> HYPERLINK "mailto:shaazia.khan@coface.com" </w:instrText>
            </w:r>
            <w:r w:rsidRPr="00411DD7">
              <w:rPr>
                <w:rFonts w:ascii="Arial Narrow" w:hAnsi="Arial Narrow"/>
              </w:rPr>
              <w:fldChar w:fldCharType="separate"/>
            </w:r>
            <w:r w:rsidRPr="00411DD7">
              <w:rPr>
                <w:rStyle w:val="Hyperlink"/>
                <w:rFonts w:ascii="Arial Narrow" w:hAnsi="Arial Narrow" w:cs="Arial"/>
                <w:sz w:val="18"/>
                <w:szCs w:val="18"/>
              </w:rPr>
              <w:t>shaazia.khan@coface.com</w:t>
            </w:r>
            <w:r w:rsidRPr="00411DD7">
              <w:rPr>
                <w:rStyle w:val="Hyperlink"/>
                <w:rFonts w:ascii="Arial Narrow" w:hAnsi="Arial Narrow" w:cs="Arial"/>
                <w:sz w:val="18"/>
                <w:szCs w:val="18"/>
              </w:rPr>
              <w:fldChar w:fldCharType="end"/>
            </w:r>
          </w:p>
          <w:p w:rsidR="00AC6A20" w:rsidRDefault="00411DD7" w:rsidP="006F263F">
            <w:pPr>
              <w:tabs>
                <w:tab w:val="left" w:pos="4111"/>
                <w:tab w:val="left" w:pos="4536"/>
                <w:tab w:val="left" w:pos="5010"/>
              </w:tabs>
              <w:suppressAutoHyphens/>
              <w:ind w:right="318"/>
              <w:jc w:val="center"/>
              <w:rPr>
                <w:rFonts w:ascii="Arial Narrow" w:hAnsi="Arial Narrow" w:cs="Arial"/>
                <w:color w:val="0000FF"/>
                <w:sz w:val="18"/>
                <w:szCs w:val="18"/>
                <w:u w:val="single"/>
                <w:lang w:val="fr-FR" w:eastAsia="ar-SA"/>
              </w:rPr>
            </w:pPr>
            <w:r>
              <w:rPr>
                <w:rFonts w:ascii="Arial Narrow" w:hAnsi="Arial Narrow" w:cs="Arial"/>
                <w:color w:val="0000FF"/>
                <w:sz w:val="18"/>
                <w:szCs w:val="18"/>
                <w:u w:val="single"/>
                <w:lang w:val="fr-FR" w:eastAsia="ar-SA"/>
              </w:rPr>
              <w:t xml:space="preserve"> </w:t>
            </w:r>
          </w:p>
          <w:p w:rsidR="00AC6A20" w:rsidRDefault="00AC6A20" w:rsidP="006F263F">
            <w:pPr>
              <w:tabs>
                <w:tab w:val="left" w:pos="4111"/>
                <w:tab w:val="left" w:pos="4536"/>
                <w:tab w:val="left" w:pos="5010"/>
              </w:tabs>
              <w:suppressAutoHyphens/>
              <w:ind w:right="318"/>
              <w:jc w:val="center"/>
              <w:rPr>
                <w:rFonts w:ascii="Arial Narrow" w:hAnsi="Arial Narrow" w:cs="Arial"/>
                <w:color w:val="0000FF"/>
                <w:sz w:val="18"/>
                <w:szCs w:val="18"/>
                <w:u w:val="single"/>
                <w:lang w:val="fr-FR" w:eastAsia="ar-SA"/>
              </w:rPr>
            </w:pPr>
          </w:p>
          <w:p w:rsidR="00AC6A20" w:rsidRPr="00021F3A" w:rsidRDefault="00AC6A20" w:rsidP="006F263F">
            <w:pPr>
              <w:tabs>
                <w:tab w:val="left" w:pos="4111"/>
                <w:tab w:val="left" w:pos="4536"/>
                <w:tab w:val="left" w:pos="5010"/>
              </w:tabs>
              <w:suppressAutoHyphens/>
              <w:ind w:right="318"/>
              <w:jc w:val="center"/>
              <w:rPr>
                <w:rFonts w:ascii="Arial Narrow" w:hAnsi="Arial Narrow" w:cs="Arial"/>
                <w:sz w:val="18"/>
                <w:szCs w:val="18"/>
                <w:lang w:val="fr-FR" w:eastAsia="ar-SA"/>
              </w:rPr>
            </w:pPr>
            <w:r>
              <w:rPr>
                <w:rFonts w:ascii="Arial Narrow" w:hAnsi="Arial Narrow" w:cs="Arial"/>
                <w:sz w:val="18"/>
                <w:szCs w:val="18"/>
                <w:lang w:val="fr-FR" w:eastAsia="ar-SA"/>
              </w:rPr>
              <w:t>Amélie RIVENET</w:t>
            </w:r>
          </w:p>
          <w:p w:rsidR="00AC6A20" w:rsidRDefault="00AC6A20" w:rsidP="006F263F">
            <w:pPr>
              <w:tabs>
                <w:tab w:val="left" w:pos="4111"/>
                <w:tab w:val="left" w:pos="4536"/>
                <w:tab w:val="left" w:pos="5010"/>
              </w:tabs>
              <w:suppressAutoHyphens/>
              <w:ind w:right="318"/>
              <w:jc w:val="center"/>
              <w:rPr>
                <w:rFonts w:ascii="Arial Narrow" w:hAnsi="Arial Narrow" w:cs="Arial"/>
                <w:sz w:val="18"/>
                <w:szCs w:val="18"/>
                <w:lang w:val="fr-FR" w:eastAsia="ar-SA"/>
              </w:rPr>
            </w:pPr>
            <w:r w:rsidRPr="00021F3A">
              <w:rPr>
                <w:rFonts w:ascii="Arial Narrow" w:hAnsi="Arial Narrow" w:cs="Arial"/>
                <w:sz w:val="18"/>
                <w:szCs w:val="18"/>
                <w:lang w:val="fr-FR" w:eastAsia="ar-SA"/>
              </w:rPr>
              <w:t>T. +33 (0)</w:t>
            </w:r>
            <w:r w:rsidRPr="001846A3">
              <w:rPr>
                <w:rFonts w:ascii="Arial Narrow" w:hAnsi="Arial Narrow" w:cs="Arial"/>
                <w:sz w:val="18"/>
                <w:szCs w:val="18"/>
                <w:lang w:val="fr-FR" w:eastAsia="ar-SA"/>
              </w:rPr>
              <w:t>7 64 44 65 83</w:t>
            </w:r>
          </w:p>
          <w:p w:rsidR="00AC6A20" w:rsidRPr="00021F3A" w:rsidRDefault="00B300CF" w:rsidP="00D72E80">
            <w:pPr>
              <w:tabs>
                <w:tab w:val="left" w:pos="4111"/>
                <w:tab w:val="left" w:pos="4536"/>
                <w:tab w:val="left" w:pos="5010"/>
              </w:tabs>
              <w:suppressAutoHyphens/>
              <w:ind w:right="318"/>
              <w:jc w:val="center"/>
              <w:rPr>
                <w:rFonts w:ascii="Arial Narrow" w:hAnsi="Arial Narrow" w:cs="Arial"/>
                <w:sz w:val="18"/>
                <w:szCs w:val="18"/>
                <w:lang w:val="fr-FR" w:eastAsia="ar-SA"/>
              </w:rPr>
            </w:pPr>
            <w:hyperlink r:id="rId9" w:history="1">
              <w:r w:rsidR="00D72E80" w:rsidRPr="00C1711B">
                <w:rPr>
                  <w:rStyle w:val="Hyperlink"/>
                  <w:rFonts w:ascii="Arial Narrow" w:hAnsi="Arial Narrow" w:cs="Arial"/>
                  <w:sz w:val="18"/>
                  <w:szCs w:val="18"/>
                  <w:lang w:val="fr-FR" w:eastAsia="ar-SA"/>
                </w:rPr>
                <w:t>amelie.rivenet@coface.com</w:t>
              </w:r>
            </w:hyperlink>
          </w:p>
        </w:tc>
        <w:tc>
          <w:tcPr>
            <w:tcW w:w="4536" w:type="dxa"/>
          </w:tcPr>
          <w:p w:rsidR="00AC6A20" w:rsidRPr="00021F3A" w:rsidRDefault="00AC6A20" w:rsidP="006F263F">
            <w:pPr>
              <w:tabs>
                <w:tab w:val="left" w:pos="4111"/>
                <w:tab w:val="left" w:pos="4536"/>
                <w:tab w:val="left" w:pos="5010"/>
              </w:tabs>
              <w:suppressAutoHyphens/>
              <w:ind w:right="318"/>
              <w:jc w:val="center"/>
              <w:rPr>
                <w:rFonts w:ascii="Arial Narrow" w:hAnsi="Arial Narrow" w:cs="Arial"/>
                <w:b/>
                <w:sz w:val="18"/>
                <w:szCs w:val="18"/>
                <w:lang w:val="fr-FR" w:eastAsia="ar-SA"/>
              </w:rPr>
            </w:pPr>
            <w:r w:rsidRPr="00021F3A">
              <w:rPr>
                <w:rFonts w:ascii="Arial Narrow" w:hAnsi="Arial Narrow" w:cs="Arial"/>
                <w:b/>
                <w:sz w:val="18"/>
                <w:szCs w:val="18"/>
                <w:lang w:val="fr-FR" w:eastAsia="ar-SA"/>
              </w:rPr>
              <w:t>ANALYSTS / INVESTORS</w:t>
            </w:r>
          </w:p>
          <w:p w:rsidR="00AC6A20" w:rsidRPr="00021F3A" w:rsidRDefault="00AC6A20" w:rsidP="006F263F">
            <w:pPr>
              <w:tabs>
                <w:tab w:val="left" w:pos="4111"/>
                <w:tab w:val="left" w:pos="4536"/>
                <w:tab w:val="left" w:pos="5010"/>
              </w:tabs>
              <w:suppressAutoHyphens/>
              <w:ind w:right="318"/>
              <w:rPr>
                <w:rFonts w:ascii="Arial Narrow" w:hAnsi="Arial Narrow" w:cs="Arial"/>
                <w:spacing w:val="-2"/>
                <w:sz w:val="18"/>
                <w:szCs w:val="18"/>
                <w:lang w:val="fr-FR" w:eastAsia="ar-SA"/>
              </w:rPr>
            </w:pPr>
          </w:p>
          <w:p w:rsidR="00AC6A20" w:rsidRPr="00021F3A" w:rsidRDefault="00AC6A20" w:rsidP="006F263F">
            <w:pPr>
              <w:tabs>
                <w:tab w:val="left" w:pos="4111"/>
                <w:tab w:val="left" w:pos="4536"/>
                <w:tab w:val="left" w:pos="5010"/>
              </w:tabs>
              <w:suppressAutoHyphens/>
              <w:ind w:right="318"/>
              <w:jc w:val="center"/>
              <w:rPr>
                <w:rFonts w:ascii="Arial Narrow" w:hAnsi="Arial Narrow" w:cs="Arial"/>
                <w:spacing w:val="-2"/>
                <w:sz w:val="18"/>
                <w:szCs w:val="18"/>
                <w:lang w:val="fr-FR" w:eastAsia="ar-SA"/>
              </w:rPr>
            </w:pPr>
            <w:r w:rsidRPr="00021F3A">
              <w:rPr>
                <w:rFonts w:ascii="Arial Narrow" w:hAnsi="Arial Narrow" w:cs="Arial"/>
                <w:spacing w:val="-2"/>
                <w:sz w:val="18"/>
                <w:szCs w:val="18"/>
                <w:lang w:val="fr-FR" w:eastAsia="ar-SA"/>
              </w:rPr>
              <w:t>Thomas JACQUET</w:t>
            </w:r>
          </w:p>
          <w:p w:rsidR="00AC6A20" w:rsidRPr="00021F3A" w:rsidRDefault="00AC6A20" w:rsidP="006F263F">
            <w:pPr>
              <w:tabs>
                <w:tab w:val="left" w:pos="4111"/>
                <w:tab w:val="left" w:pos="4536"/>
                <w:tab w:val="left" w:pos="5010"/>
              </w:tabs>
              <w:suppressAutoHyphens/>
              <w:ind w:right="318"/>
              <w:jc w:val="center"/>
              <w:rPr>
                <w:rFonts w:ascii="Arial Narrow" w:eastAsia="Times New Roman" w:hAnsi="Arial Narrow" w:cs="Arial"/>
                <w:color w:val="000000"/>
                <w:spacing w:val="-2"/>
                <w:sz w:val="18"/>
                <w:szCs w:val="18"/>
                <w:lang w:val="fr-FR" w:eastAsia="ar-SA"/>
              </w:rPr>
            </w:pPr>
            <w:r w:rsidRPr="00021F3A">
              <w:rPr>
                <w:rFonts w:ascii="Arial Narrow" w:hAnsi="Arial Narrow" w:cs="Arial"/>
                <w:spacing w:val="-2"/>
                <w:sz w:val="18"/>
                <w:szCs w:val="18"/>
                <w:lang w:val="fr-FR" w:eastAsia="ar-SA"/>
              </w:rPr>
              <w:t>T. +</w:t>
            </w:r>
            <w:r w:rsidRPr="00021F3A">
              <w:rPr>
                <w:rFonts w:ascii="Arial Narrow" w:eastAsia="Times New Roman" w:hAnsi="Arial Narrow" w:cs="Arial"/>
                <w:color w:val="000000"/>
                <w:spacing w:val="-2"/>
                <w:sz w:val="18"/>
                <w:szCs w:val="18"/>
                <w:lang w:val="fr-FR" w:eastAsia="ar-SA"/>
              </w:rPr>
              <w:t>33 (0)1 49 02 12 58</w:t>
            </w:r>
          </w:p>
          <w:p w:rsidR="00AC6A20" w:rsidRPr="00021F3A" w:rsidRDefault="00B300CF" w:rsidP="006F263F">
            <w:pPr>
              <w:tabs>
                <w:tab w:val="left" w:pos="4111"/>
                <w:tab w:val="left" w:pos="4536"/>
                <w:tab w:val="left" w:pos="5010"/>
              </w:tabs>
              <w:suppressAutoHyphens/>
              <w:ind w:right="318"/>
              <w:jc w:val="center"/>
              <w:rPr>
                <w:rFonts w:ascii="Arial Narrow" w:eastAsia="Times New Roman" w:hAnsi="Arial Narrow" w:cs="Arial"/>
                <w:color w:val="000000"/>
                <w:spacing w:val="-2"/>
                <w:sz w:val="18"/>
                <w:szCs w:val="18"/>
                <w:lang w:val="fr-FR" w:eastAsia="ar-SA"/>
              </w:rPr>
            </w:pPr>
            <w:hyperlink r:id="rId10" w:history="1">
              <w:r w:rsidR="00AC6A20" w:rsidRPr="00021F3A">
                <w:rPr>
                  <w:rFonts w:ascii="Arial Narrow" w:eastAsia="Times New Roman" w:hAnsi="Arial Narrow" w:cs="Arial"/>
                  <w:color w:val="0000FF"/>
                  <w:spacing w:val="-2"/>
                  <w:sz w:val="18"/>
                  <w:szCs w:val="18"/>
                  <w:u w:val="single"/>
                  <w:lang w:val="fr-FR" w:eastAsia="ar-SA"/>
                </w:rPr>
                <w:t>thomas.jacquet@coface.com</w:t>
              </w:r>
            </w:hyperlink>
          </w:p>
          <w:p w:rsidR="00AC6A20" w:rsidRPr="00021F3A" w:rsidRDefault="00AC6A20" w:rsidP="006F263F">
            <w:pPr>
              <w:tabs>
                <w:tab w:val="left" w:pos="4111"/>
                <w:tab w:val="left" w:pos="4536"/>
                <w:tab w:val="left" w:pos="5010"/>
              </w:tabs>
              <w:suppressAutoHyphens/>
              <w:ind w:right="318"/>
              <w:jc w:val="center"/>
              <w:rPr>
                <w:rFonts w:ascii="Arial Narrow" w:eastAsia="Times New Roman" w:hAnsi="Arial Narrow" w:cs="Arial"/>
                <w:color w:val="000000"/>
                <w:spacing w:val="-2"/>
                <w:sz w:val="18"/>
                <w:szCs w:val="18"/>
                <w:lang w:val="fr-FR" w:eastAsia="ar-SA"/>
              </w:rPr>
            </w:pPr>
          </w:p>
          <w:p w:rsidR="00AC6A20" w:rsidRPr="00021F3A" w:rsidRDefault="00AC6A20" w:rsidP="006F263F">
            <w:pPr>
              <w:tabs>
                <w:tab w:val="left" w:pos="4111"/>
                <w:tab w:val="left" w:pos="4536"/>
                <w:tab w:val="left" w:pos="5010"/>
              </w:tabs>
              <w:suppressAutoHyphens/>
              <w:ind w:right="318"/>
              <w:jc w:val="center"/>
              <w:rPr>
                <w:rFonts w:ascii="Arial Narrow" w:hAnsi="Arial Narrow" w:cs="Arial"/>
                <w:spacing w:val="-2"/>
                <w:sz w:val="18"/>
                <w:szCs w:val="18"/>
                <w:lang w:val="fr-FR" w:eastAsia="ar-SA"/>
              </w:rPr>
            </w:pPr>
            <w:r w:rsidRPr="00021F3A">
              <w:rPr>
                <w:rFonts w:ascii="Arial Narrow" w:hAnsi="Arial Narrow" w:cs="Arial"/>
                <w:spacing w:val="-2"/>
                <w:sz w:val="18"/>
                <w:szCs w:val="18"/>
                <w:lang w:val="fr-FR" w:eastAsia="ar-SA"/>
              </w:rPr>
              <w:t>Benoit CHASTEL</w:t>
            </w:r>
          </w:p>
          <w:p w:rsidR="00AC6A20" w:rsidRPr="00021F3A" w:rsidRDefault="00AC6A20" w:rsidP="006F263F">
            <w:pPr>
              <w:tabs>
                <w:tab w:val="left" w:pos="4111"/>
                <w:tab w:val="left" w:pos="4536"/>
                <w:tab w:val="left" w:pos="5010"/>
              </w:tabs>
              <w:suppressAutoHyphens/>
              <w:ind w:right="318"/>
              <w:jc w:val="center"/>
              <w:rPr>
                <w:rFonts w:ascii="Arial Narrow" w:eastAsia="Times New Roman" w:hAnsi="Arial Narrow" w:cs="Arial"/>
                <w:color w:val="000000"/>
                <w:spacing w:val="-2"/>
                <w:sz w:val="18"/>
                <w:szCs w:val="18"/>
                <w:lang w:val="fr-FR" w:eastAsia="ar-SA"/>
              </w:rPr>
            </w:pPr>
            <w:r w:rsidRPr="00021F3A">
              <w:rPr>
                <w:rFonts w:ascii="Arial Narrow" w:hAnsi="Arial Narrow" w:cs="Arial"/>
                <w:spacing w:val="-2"/>
                <w:sz w:val="18"/>
                <w:szCs w:val="18"/>
                <w:lang w:val="fr-FR" w:eastAsia="ar-SA"/>
              </w:rPr>
              <w:t>T. +</w:t>
            </w:r>
            <w:r w:rsidRPr="00021F3A">
              <w:rPr>
                <w:rFonts w:ascii="Arial Narrow" w:eastAsia="Times New Roman" w:hAnsi="Arial Narrow" w:cs="Arial"/>
                <w:color w:val="000000"/>
                <w:spacing w:val="-2"/>
                <w:sz w:val="18"/>
                <w:szCs w:val="18"/>
                <w:lang w:val="fr-FR" w:eastAsia="ar-SA"/>
              </w:rPr>
              <w:t>33 (0)1 49 02 22 28</w:t>
            </w:r>
          </w:p>
          <w:p w:rsidR="00AC6A20" w:rsidRPr="00021F3A" w:rsidRDefault="00B300CF" w:rsidP="006F263F">
            <w:pPr>
              <w:tabs>
                <w:tab w:val="left" w:pos="4111"/>
                <w:tab w:val="left" w:pos="4536"/>
                <w:tab w:val="left" w:pos="5010"/>
              </w:tabs>
              <w:suppressAutoHyphens/>
              <w:ind w:right="318"/>
              <w:jc w:val="center"/>
              <w:rPr>
                <w:rFonts w:ascii="Arial Narrow" w:hAnsi="Arial Narrow" w:cs="Arial"/>
                <w:b/>
                <w:sz w:val="18"/>
                <w:szCs w:val="18"/>
                <w:lang w:val="fr-FR" w:eastAsia="ar-SA"/>
              </w:rPr>
            </w:pPr>
            <w:hyperlink r:id="rId11" w:history="1">
              <w:r w:rsidR="00AC6A20" w:rsidRPr="00021F3A">
                <w:rPr>
                  <w:rFonts w:ascii="Arial Narrow" w:eastAsia="Times New Roman" w:hAnsi="Arial Narrow" w:cs="Arial"/>
                  <w:color w:val="0000FF"/>
                  <w:spacing w:val="-2"/>
                  <w:sz w:val="18"/>
                  <w:szCs w:val="18"/>
                  <w:u w:val="single"/>
                  <w:lang w:val="fr-FR" w:eastAsia="ar-SA"/>
                </w:rPr>
                <w:t>benoit.chastel@coface.com</w:t>
              </w:r>
            </w:hyperlink>
          </w:p>
        </w:tc>
      </w:tr>
    </w:tbl>
    <w:p w:rsidR="00AC6A20" w:rsidRPr="00021F3A" w:rsidRDefault="00AC6A20" w:rsidP="00527CAD">
      <w:pPr>
        <w:suppressAutoHyphens/>
        <w:autoSpaceDE w:val="0"/>
        <w:autoSpaceDN w:val="0"/>
        <w:adjustRightInd w:val="0"/>
        <w:spacing w:line="270" w:lineRule="exact"/>
        <w:rPr>
          <w:rFonts w:ascii="Arial Narrow" w:hAnsi="Arial Narrow" w:cs="Arial"/>
          <w:b/>
          <w:sz w:val="18"/>
          <w:szCs w:val="18"/>
          <w:lang w:val="fr-FR" w:eastAsia="ar-SA"/>
        </w:rPr>
      </w:pPr>
    </w:p>
    <w:p w:rsidR="00527CAD" w:rsidRPr="00021F3A" w:rsidRDefault="00527CAD" w:rsidP="00527CAD">
      <w:pPr>
        <w:suppressAutoHyphens/>
        <w:autoSpaceDE w:val="0"/>
        <w:autoSpaceDN w:val="0"/>
        <w:adjustRightInd w:val="0"/>
        <w:spacing w:line="270" w:lineRule="exact"/>
        <w:jc w:val="center"/>
        <w:rPr>
          <w:rFonts w:ascii="Arial Narrow" w:hAnsi="Arial Narrow" w:cs="Arial"/>
          <w:bCs/>
          <w:sz w:val="18"/>
          <w:lang w:eastAsia="ar-SA"/>
        </w:rPr>
      </w:pPr>
      <w:r w:rsidRPr="00021F3A">
        <w:rPr>
          <w:rFonts w:ascii="Arial Narrow" w:hAnsi="Arial Narrow" w:cs="Arial"/>
          <w:b/>
          <w:sz w:val="18"/>
          <w:szCs w:val="18"/>
          <w:lang w:eastAsia="ar-SA"/>
        </w:rPr>
        <w:t xml:space="preserve">FINANCIAL CALENDAR 2020 </w:t>
      </w:r>
      <w:r w:rsidRPr="00021F3A">
        <w:rPr>
          <w:rFonts w:ascii="Arial Narrow" w:hAnsi="Arial Narrow" w:cs="Arial"/>
          <w:b/>
          <w:sz w:val="18"/>
          <w:lang w:eastAsia="ar-SA"/>
        </w:rPr>
        <w:t>(subject to change)</w:t>
      </w:r>
    </w:p>
    <w:p w:rsidR="00527CAD" w:rsidRPr="00021F3A" w:rsidRDefault="00527CAD" w:rsidP="00527CAD">
      <w:pPr>
        <w:suppressAutoHyphens/>
        <w:autoSpaceDE w:val="0"/>
        <w:autoSpaceDN w:val="0"/>
        <w:adjustRightInd w:val="0"/>
        <w:spacing w:line="270" w:lineRule="exact"/>
        <w:jc w:val="center"/>
        <w:rPr>
          <w:rFonts w:ascii="Arial Narrow" w:hAnsi="Arial Narrow" w:cs="Arial"/>
          <w:bCs/>
          <w:sz w:val="18"/>
          <w:lang w:eastAsia="ar-SA"/>
        </w:rPr>
      </w:pPr>
      <w:proofErr w:type="gramStart"/>
      <w:r w:rsidRPr="00021F3A">
        <w:rPr>
          <w:rFonts w:ascii="Arial Narrow" w:hAnsi="Arial Narrow" w:cs="Arial"/>
          <w:bCs/>
          <w:sz w:val="18"/>
          <w:lang w:eastAsia="ar-SA"/>
        </w:rPr>
        <w:t>9M</w:t>
      </w:r>
      <w:proofErr w:type="gramEnd"/>
      <w:r w:rsidRPr="00021F3A">
        <w:rPr>
          <w:rFonts w:ascii="Arial Narrow" w:hAnsi="Arial Narrow" w:cs="Arial"/>
          <w:bCs/>
          <w:sz w:val="18"/>
          <w:lang w:eastAsia="ar-SA"/>
        </w:rPr>
        <w:t>-2020 results: 29 October 2020 (after market close)</w:t>
      </w:r>
    </w:p>
    <w:p w:rsidR="00527CAD" w:rsidRPr="00021F3A" w:rsidRDefault="00527CAD" w:rsidP="00527CAD">
      <w:pPr>
        <w:suppressAutoHyphens/>
        <w:autoSpaceDE w:val="0"/>
        <w:autoSpaceDN w:val="0"/>
        <w:adjustRightInd w:val="0"/>
        <w:spacing w:line="270" w:lineRule="exact"/>
        <w:ind w:left="-567"/>
        <w:jc w:val="center"/>
        <w:rPr>
          <w:rFonts w:ascii="Arial Narrow" w:hAnsi="Arial Narrow" w:cs="Arial"/>
          <w:b/>
          <w:bCs/>
          <w:color w:val="000000"/>
          <w:sz w:val="18"/>
          <w:szCs w:val="18"/>
          <w:lang w:eastAsia="ar-SA"/>
        </w:rPr>
      </w:pPr>
    </w:p>
    <w:p w:rsidR="00527CAD" w:rsidRPr="00021F3A" w:rsidRDefault="00527CAD" w:rsidP="00527CAD">
      <w:pPr>
        <w:suppressAutoHyphens/>
        <w:autoSpaceDE w:val="0"/>
        <w:autoSpaceDN w:val="0"/>
        <w:adjustRightInd w:val="0"/>
        <w:spacing w:line="270" w:lineRule="exact"/>
        <w:jc w:val="center"/>
        <w:rPr>
          <w:rFonts w:ascii="Arial Narrow" w:hAnsi="Arial Narrow" w:cs="Arial"/>
          <w:b/>
          <w:bCs/>
          <w:color w:val="000000"/>
          <w:sz w:val="18"/>
          <w:szCs w:val="18"/>
          <w:lang w:eastAsia="ar-SA"/>
        </w:rPr>
      </w:pPr>
      <w:r w:rsidRPr="00021F3A">
        <w:rPr>
          <w:rFonts w:ascii="Arial Narrow" w:hAnsi="Arial Narrow" w:cs="Arial"/>
          <w:b/>
          <w:bCs/>
          <w:color w:val="000000"/>
          <w:sz w:val="18"/>
          <w:szCs w:val="18"/>
          <w:lang w:eastAsia="ar-SA"/>
        </w:rPr>
        <w:t>FINANCIAL INFORMATION</w:t>
      </w:r>
    </w:p>
    <w:p w:rsidR="00527CAD" w:rsidRPr="00021F3A" w:rsidRDefault="00527CAD" w:rsidP="00527CAD">
      <w:pPr>
        <w:suppressAutoHyphens/>
        <w:autoSpaceDE w:val="0"/>
        <w:autoSpaceDN w:val="0"/>
        <w:adjustRightInd w:val="0"/>
        <w:spacing w:line="270" w:lineRule="exact"/>
        <w:jc w:val="center"/>
        <w:rPr>
          <w:rFonts w:ascii="Arial Narrow" w:hAnsi="Arial Narrow" w:cs="Arial"/>
          <w:bCs/>
          <w:color w:val="000000"/>
          <w:sz w:val="18"/>
          <w:szCs w:val="18"/>
          <w:lang w:eastAsia="ar-SA"/>
        </w:rPr>
      </w:pPr>
      <w:r w:rsidRPr="00021F3A">
        <w:rPr>
          <w:rFonts w:ascii="Arial Narrow" w:hAnsi="Arial Narrow" w:cs="Arial"/>
          <w:bCs/>
          <w:color w:val="000000"/>
          <w:sz w:val="18"/>
          <w:szCs w:val="18"/>
          <w:lang w:eastAsia="ar-SA"/>
        </w:rPr>
        <w:t xml:space="preserve">This press release, as well as COFACE SA’s integral regulatory information, </w:t>
      </w:r>
      <w:proofErr w:type="gramStart"/>
      <w:r w:rsidRPr="00021F3A">
        <w:rPr>
          <w:rFonts w:ascii="Arial Narrow" w:hAnsi="Arial Narrow" w:cs="Arial"/>
          <w:bCs/>
          <w:color w:val="000000"/>
          <w:sz w:val="18"/>
          <w:szCs w:val="18"/>
          <w:lang w:eastAsia="ar-SA"/>
        </w:rPr>
        <w:t>can be found</w:t>
      </w:r>
      <w:proofErr w:type="gramEnd"/>
      <w:r w:rsidRPr="00021F3A">
        <w:rPr>
          <w:rFonts w:ascii="Arial Narrow" w:hAnsi="Arial Narrow" w:cs="Arial"/>
          <w:bCs/>
          <w:color w:val="000000"/>
          <w:sz w:val="18"/>
          <w:szCs w:val="18"/>
          <w:lang w:eastAsia="ar-SA"/>
        </w:rPr>
        <w:t xml:space="preserve"> on the Group’s website:</w:t>
      </w:r>
    </w:p>
    <w:p w:rsidR="00527CAD" w:rsidRPr="00021F3A" w:rsidRDefault="00B300CF" w:rsidP="00527CAD">
      <w:pPr>
        <w:suppressAutoHyphens/>
        <w:autoSpaceDE w:val="0"/>
        <w:autoSpaceDN w:val="0"/>
        <w:adjustRightInd w:val="0"/>
        <w:spacing w:line="270" w:lineRule="exact"/>
        <w:ind w:left="-567"/>
        <w:jc w:val="center"/>
        <w:rPr>
          <w:rFonts w:ascii="Arial Narrow" w:hAnsi="Arial Narrow" w:cs="Arial"/>
          <w:bCs/>
          <w:color w:val="000000"/>
          <w:sz w:val="18"/>
          <w:szCs w:val="18"/>
          <w:u w:val="single"/>
          <w:lang w:eastAsia="ar-SA"/>
        </w:rPr>
      </w:pPr>
      <w:hyperlink r:id="rId12" w:history="1">
        <w:r w:rsidR="00527CAD" w:rsidRPr="00021F3A">
          <w:rPr>
            <w:rFonts w:ascii="Arial Narrow" w:hAnsi="Arial Narrow" w:cs="Arial"/>
            <w:bCs/>
            <w:color w:val="0000FF"/>
            <w:sz w:val="18"/>
            <w:szCs w:val="18"/>
            <w:u w:val="single"/>
            <w:lang w:eastAsia="ar-SA"/>
          </w:rPr>
          <w:t>http://www.coface.com/Investors</w:t>
        </w:r>
      </w:hyperlink>
    </w:p>
    <w:p w:rsidR="00527CAD" w:rsidRPr="00021F3A" w:rsidRDefault="00527CAD" w:rsidP="00527CAD">
      <w:pPr>
        <w:suppressAutoHyphens/>
        <w:autoSpaceDE w:val="0"/>
        <w:autoSpaceDN w:val="0"/>
        <w:adjustRightInd w:val="0"/>
        <w:spacing w:line="270" w:lineRule="exact"/>
        <w:ind w:left="-567"/>
        <w:jc w:val="center"/>
        <w:rPr>
          <w:rFonts w:ascii="Arial Narrow" w:hAnsi="Arial Narrow" w:cs="Arial"/>
          <w:bCs/>
          <w:color w:val="000000"/>
          <w:sz w:val="18"/>
          <w:szCs w:val="18"/>
          <w:u w:val="single"/>
          <w:lang w:eastAsia="ar-SA"/>
        </w:rPr>
      </w:pPr>
    </w:p>
    <w:p w:rsidR="00527CAD" w:rsidRPr="00021F3A" w:rsidRDefault="00527CAD" w:rsidP="00527CAD">
      <w:pPr>
        <w:tabs>
          <w:tab w:val="left" w:pos="8335"/>
        </w:tabs>
        <w:suppressAutoHyphens/>
        <w:autoSpaceDE w:val="0"/>
        <w:autoSpaceDN w:val="0"/>
        <w:adjustRightInd w:val="0"/>
        <w:spacing w:line="270" w:lineRule="exact"/>
        <w:ind w:right="-29"/>
        <w:jc w:val="center"/>
        <w:rPr>
          <w:rFonts w:ascii="Arial Narrow" w:hAnsi="Arial Narrow" w:cs="Arial"/>
          <w:bCs/>
          <w:color w:val="000000"/>
          <w:sz w:val="18"/>
          <w:szCs w:val="18"/>
          <w:lang w:eastAsia="ar-SA"/>
        </w:rPr>
      </w:pPr>
      <w:r w:rsidRPr="00021F3A">
        <w:rPr>
          <w:rFonts w:ascii="Arial Narrow" w:hAnsi="Arial Narrow" w:cs="Arial"/>
          <w:bCs/>
          <w:color w:val="000000"/>
          <w:sz w:val="18"/>
          <w:szCs w:val="18"/>
          <w:lang w:eastAsia="ar-SA"/>
        </w:rPr>
        <w:t>For regulated information on Alternative Performance Measures (APM),</w:t>
      </w:r>
    </w:p>
    <w:p w:rsidR="00527CAD" w:rsidRPr="00021F3A" w:rsidRDefault="00527CAD" w:rsidP="00527CAD">
      <w:pPr>
        <w:tabs>
          <w:tab w:val="left" w:pos="8335"/>
        </w:tabs>
        <w:suppressAutoHyphens/>
        <w:autoSpaceDE w:val="0"/>
        <w:autoSpaceDN w:val="0"/>
        <w:adjustRightInd w:val="0"/>
        <w:spacing w:line="270" w:lineRule="exact"/>
        <w:ind w:right="-29"/>
        <w:jc w:val="center"/>
        <w:rPr>
          <w:rFonts w:ascii="Arial Narrow" w:hAnsi="Arial Narrow" w:cs="Arial"/>
          <w:bCs/>
          <w:color w:val="000000"/>
          <w:sz w:val="18"/>
          <w:szCs w:val="18"/>
          <w:lang w:eastAsia="ar-SA"/>
        </w:rPr>
      </w:pPr>
      <w:proofErr w:type="gramStart"/>
      <w:r w:rsidRPr="00021F3A">
        <w:rPr>
          <w:rFonts w:ascii="Arial Narrow" w:hAnsi="Arial Narrow" w:cs="Arial"/>
          <w:bCs/>
          <w:color w:val="000000"/>
          <w:sz w:val="18"/>
          <w:szCs w:val="18"/>
          <w:lang w:eastAsia="ar-SA"/>
        </w:rPr>
        <w:t>please</w:t>
      </w:r>
      <w:proofErr w:type="gramEnd"/>
      <w:r w:rsidRPr="00021F3A">
        <w:rPr>
          <w:rFonts w:ascii="Arial Narrow" w:hAnsi="Arial Narrow" w:cs="Arial"/>
          <w:bCs/>
          <w:color w:val="000000"/>
          <w:sz w:val="18"/>
          <w:szCs w:val="18"/>
          <w:lang w:eastAsia="ar-SA"/>
        </w:rPr>
        <w:t xml:space="preserve"> refer to our Interim Financial Report for S1-20</w:t>
      </w:r>
      <w:r>
        <w:rPr>
          <w:rFonts w:ascii="Arial Narrow" w:hAnsi="Arial Narrow" w:cs="Arial"/>
          <w:bCs/>
          <w:color w:val="000000"/>
          <w:sz w:val="18"/>
          <w:szCs w:val="18"/>
          <w:lang w:eastAsia="ar-SA"/>
        </w:rPr>
        <w:t>20</w:t>
      </w:r>
      <w:r w:rsidR="00463A97">
        <w:rPr>
          <w:rFonts w:ascii="Arial Narrow" w:hAnsi="Arial Narrow" w:cs="Arial"/>
          <w:bCs/>
          <w:color w:val="000000"/>
          <w:sz w:val="18"/>
          <w:szCs w:val="18"/>
          <w:lang w:eastAsia="ar-SA"/>
        </w:rPr>
        <w:t xml:space="preserve"> </w:t>
      </w:r>
      <w:r w:rsidRPr="00021F3A">
        <w:rPr>
          <w:rFonts w:ascii="Arial Narrow" w:hAnsi="Arial Narrow" w:cs="Arial"/>
          <w:bCs/>
          <w:color w:val="000000"/>
          <w:sz w:val="18"/>
          <w:szCs w:val="18"/>
          <w:lang w:eastAsia="ar-SA"/>
        </w:rPr>
        <w:t>and our 2019 Universal Registration Document.</w:t>
      </w:r>
    </w:p>
    <w:p w:rsidR="00527CAD" w:rsidRPr="00021F3A" w:rsidRDefault="00527CAD" w:rsidP="00527CAD">
      <w:pPr>
        <w:suppressAutoHyphens/>
        <w:autoSpaceDE w:val="0"/>
        <w:autoSpaceDN w:val="0"/>
        <w:adjustRightInd w:val="0"/>
        <w:spacing w:line="270" w:lineRule="exact"/>
        <w:ind w:left="360"/>
        <w:jc w:val="center"/>
        <w:rPr>
          <w:rFonts w:ascii="Arial Narrow" w:hAnsi="Arial Narrow" w:cs="Arial"/>
          <w:b/>
          <w:sz w:val="18"/>
          <w:szCs w:val="18"/>
          <w:lang w:eastAsia="ar-SA"/>
        </w:rPr>
      </w:pPr>
    </w:p>
    <w:tbl>
      <w:tblPr>
        <w:tblpPr w:leftFromText="141" w:rightFromText="141" w:bottomFromText="200" w:vertAnchor="text" w:horzAnchor="margin" w:tblpX="-141" w:tblpY="169"/>
        <w:tblW w:w="8788" w:type="dxa"/>
        <w:tblLayout w:type="fixed"/>
        <w:tblCellMar>
          <w:left w:w="0" w:type="dxa"/>
          <w:right w:w="0" w:type="dxa"/>
        </w:tblCellMar>
        <w:tblLook w:val="00A0" w:firstRow="1" w:lastRow="0" w:firstColumn="1" w:lastColumn="0" w:noHBand="0" w:noVBand="0"/>
      </w:tblPr>
      <w:tblGrid>
        <w:gridCol w:w="8788"/>
      </w:tblGrid>
      <w:tr w:rsidR="00527CAD" w:rsidRPr="00021F3A" w:rsidTr="006F263F">
        <w:trPr>
          <w:trHeight w:val="220"/>
        </w:trPr>
        <w:tc>
          <w:tcPr>
            <w:tcW w:w="8788" w:type="dxa"/>
            <w:shd w:val="clear" w:color="auto" w:fill="E9EDF4"/>
          </w:tcPr>
          <w:p w:rsidR="00527CAD" w:rsidRPr="00021F3A" w:rsidRDefault="00527CAD" w:rsidP="006F263F">
            <w:pPr>
              <w:spacing w:line="200" w:lineRule="exact"/>
              <w:ind w:left="101"/>
              <w:rPr>
                <w:rFonts w:ascii="Arial Narrow" w:hAnsi="Arial Narrow" w:cs="Arial"/>
                <w:b/>
                <w:sz w:val="18"/>
                <w:szCs w:val="16"/>
                <w:lang w:eastAsia="ar-SA"/>
              </w:rPr>
            </w:pPr>
          </w:p>
          <w:p w:rsidR="00527CAD" w:rsidRPr="00021F3A" w:rsidRDefault="00527CAD" w:rsidP="006F263F">
            <w:pPr>
              <w:spacing w:line="200" w:lineRule="exact"/>
              <w:ind w:left="101"/>
              <w:rPr>
                <w:rFonts w:ascii="Arial Narrow" w:hAnsi="Arial Narrow" w:cs="Arial"/>
                <w:b/>
                <w:sz w:val="18"/>
                <w:szCs w:val="16"/>
                <w:lang w:eastAsia="ar-SA"/>
              </w:rPr>
            </w:pPr>
            <w:r w:rsidRPr="00021F3A">
              <w:rPr>
                <w:rFonts w:ascii="Arial Narrow" w:hAnsi="Arial Narrow" w:cs="Arial"/>
                <w:b/>
                <w:sz w:val="18"/>
                <w:szCs w:val="16"/>
                <w:lang w:eastAsia="ar-SA"/>
              </w:rPr>
              <w:t xml:space="preserve">Coface: for trade </w:t>
            </w:r>
          </w:p>
          <w:p w:rsidR="00527CAD" w:rsidRPr="00021F3A" w:rsidRDefault="00527CAD" w:rsidP="006F263F">
            <w:pPr>
              <w:spacing w:before="60" w:after="60" w:line="240" w:lineRule="atLeast"/>
              <w:ind w:left="142" w:right="113"/>
              <w:jc w:val="both"/>
              <w:rPr>
                <w:rFonts w:ascii="Arial Narrow" w:hAnsi="Arial Narrow" w:cs="Arial"/>
                <w:sz w:val="18"/>
                <w:szCs w:val="16"/>
                <w:lang w:eastAsia="ar-SA"/>
              </w:rPr>
            </w:pPr>
            <w:r w:rsidRPr="00021F3A">
              <w:rPr>
                <w:rFonts w:ascii="Arial Narrow" w:hAnsi="Arial Narrow" w:cs="Arial"/>
                <w:sz w:val="18"/>
                <w:szCs w:val="16"/>
                <w:lang w:eastAsia="ar-SA"/>
              </w:rPr>
              <w:t xml:space="preserve">With over 70 years of experience and the most extensive international network, Coface is a leader in trade credit insurance and adjacent specialty services, including Factoring, Single Risk insurance, </w:t>
            </w:r>
            <w:proofErr w:type="gramStart"/>
            <w:r w:rsidRPr="00021F3A">
              <w:rPr>
                <w:rFonts w:ascii="Arial Narrow" w:hAnsi="Arial Narrow" w:cs="Arial"/>
                <w:sz w:val="18"/>
                <w:szCs w:val="16"/>
                <w:lang w:eastAsia="ar-SA"/>
              </w:rPr>
              <w:t>Bonding</w:t>
            </w:r>
            <w:proofErr w:type="gramEnd"/>
            <w:r w:rsidRPr="00021F3A">
              <w:rPr>
                <w:rFonts w:ascii="Arial Narrow" w:hAnsi="Arial Narrow" w:cs="Arial"/>
                <w:sz w:val="18"/>
                <w:szCs w:val="16"/>
                <w:lang w:eastAsia="ar-SA"/>
              </w:rPr>
              <w:t xml:space="preserve"> and Information services. Coface’s experts work to the beat of the global economy, helping ~50,000 clients build successful, growing, and dynamic businesses across the world. Coface helps companies in their credit decisions. The Group's services and solutions strengthen their ability to sell by protecting them against the risks of non-payment in their domestic and export markets. In 2019, Coface employed ~4,250 people and registered a turnover of €1.5 billion.</w:t>
            </w:r>
          </w:p>
          <w:p w:rsidR="00527CAD" w:rsidRPr="00021F3A" w:rsidRDefault="00B300CF" w:rsidP="006F263F">
            <w:pPr>
              <w:spacing w:before="60" w:after="60" w:line="240" w:lineRule="atLeast"/>
              <w:ind w:right="113"/>
              <w:jc w:val="center"/>
              <w:rPr>
                <w:rFonts w:ascii="Arial Narrow" w:hAnsi="Arial Narrow" w:cs="Arial"/>
                <w:color w:val="0000FF"/>
                <w:sz w:val="18"/>
                <w:szCs w:val="18"/>
                <w:u w:val="single"/>
                <w:lang w:eastAsia="ar-SA"/>
              </w:rPr>
            </w:pPr>
            <w:hyperlink r:id="rId13" w:history="1">
              <w:r w:rsidR="00527CAD" w:rsidRPr="00021F3A">
                <w:rPr>
                  <w:rFonts w:ascii="Arial Narrow" w:hAnsi="Arial Narrow" w:cs="Arial"/>
                  <w:color w:val="0000FF"/>
                  <w:sz w:val="18"/>
                  <w:szCs w:val="18"/>
                  <w:u w:val="single"/>
                  <w:lang w:eastAsia="ar-SA"/>
                </w:rPr>
                <w:t>www.coface.com</w:t>
              </w:r>
            </w:hyperlink>
          </w:p>
          <w:p w:rsidR="00527CAD" w:rsidRPr="00021F3A" w:rsidRDefault="00527CAD" w:rsidP="006F263F">
            <w:pPr>
              <w:tabs>
                <w:tab w:val="left" w:pos="8202"/>
              </w:tabs>
              <w:autoSpaceDE w:val="0"/>
              <w:autoSpaceDN w:val="0"/>
              <w:adjustRightInd w:val="0"/>
              <w:spacing w:line="240" w:lineRule="atLeast"/>
              <w:ind w:left="348" w:right="1587"/>
              <w:jc w:val="right"/>
              <w:rPr>
                <w:rFonts w:ascii="Arial Narrow" w:hAnsi="Arial Narrow" w:cs="Arial"/>
                <w:sz w:val="18"/>
                <w:szCs w:val="18"/>
                <w:lang w:eastAsia="ar-SA"/>
              </w:rPr>
            </w:pPr>
            <w:r w:rsidRPr="00021F3A">
              <w:rPr>
                <w:noProof/>
                <w:lang w:val="en-ZA" w:eastAsia="en-ZA"/>
              </w:rPr>
              <w:drawing>
                <wp:anchor distT="0" distB="0" distL="114300" distR="114300" simplePos="0" relativeHeight="251658240" behindDoc="0" locked="0" layoutInCell="1" allowOverlap="1" wp14:anchorId="0D036476" wp14:editId="5631B764">
                  <wp:simplePos x="0" y="0"/>
                  <wp:positionH relativeFrom="column">
                    <wp:posOffset>5000625</wp:posOffset>
                  </wp:positionH>
                  <wp:positionV relativeFrom="paragraph">
                    <wp:posOffset>143814</wp:posOffset>
                  </wp:positionV>
                  <wp:extent cx="519430" cy="514350"/>
                  <wp:effectExtent l="0" t="0" r="0" b="0"/>
                  <wp:wrapNone/>
                  <wp:docPr id="3" name="Image 1" descr="COFA-listed-emblems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FA-listed-emblems_bl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43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7CAD" w:rsidRPr="00021F3A" w:rsidRDefault="00527CAD" w:rsidP="006F263F">
            <w:pPr>
              <w:tabs>
                <w:tab w:val="left" w:pos="8202"/>
              </w:tabs>
              <w:autoSpaceDE w:val="0"/>
              <w:autoSpaceDN w:val="0"/>
              <w:adjustRightInd w:val="0"/>
              <w:spacing w:line="240" w:lineRule="atLeast"/>
              <w:ind w:left="348" w:right="1587"/>
              <w:jc w:val="right"/>
              <w:rPr>
                <w:rFonts w:ascii="Arial Narrow" w:hAnsi="Arial Narrow" w:cs="Arial"/>
                <w:sz w:val="18"/>
                <w:szCs w:val="18"/>
                <w:lang w:eastAsia="ar-SA"/>
              </w:rPr>
            </w:pPr>
            <w:r w:rsidRPr="00021F3A">
              <w:rPr>
                <w:rFonts w:ascii="Arial Narrow" w:hAnsi="Arial Narrow" w:cs="Arial"/>
                <w:sz w:val="18"/>
                <w:szCs w:val="18"/>
                <w:lang w:eastAsia="ar-SA"/>
              </w:rPr>
              <w:t>COFACE SA is quoted in Compartment A of Euronext Paris</w:t>
            </w:r>
          </w:p>
          <w:p w:rsidR="00527CAD" w:rsidRPr="00021F3A" w:rsidRDefault="00527CAD" w:rsidP="006F263F">
            <w:pPr>
              <w:tabs>
                <w:tab w:val="left" w:pos="8202"/>
              </w:tabs>
              <w:autoSpaceDE w:val="0"/>
              <w:autoSpaceDN w:val="0"/>
              <w:adjustRightInd w:val="0"/>
              <w:spacing w:line="240" w:lineRule="atLeast"/>
              <w:ind w:left="348" w:right="1587"/>
              <w:jc w:val="right"/>
              <w:rPr>
                <w:rFonts w:ascii="Arial Narrow" w:hAnsi="Arial Narrow" w:cs="Arial"/>
                <w:sz w:val="18"/>
                <w:szCs w:val="18"/>
                <w:lang w:val="fr-FR" w:eastAsia="ar-SA"/>
              </w:rPr>
            </w:pPr>
            <w:r w:rsidRPr="00021F3A">
              <w:rPr>
                <w:rFonts w:ascii="Arial Narrow" w:hAnsi="Arial Narrow" w:cs="Arial"/>
                <w:sz w:val="18"/>
                <w:szCs w:val="18"/>
                <w:lang w:val="fr-FR" w:eastAsia="ar-SA"/>
              </w:rPr>
              <w:t>Code ISIN: FR0010667147 / Mnémonique : COFA</w:t>
            </w:r>
          </w:p>
          <w:p w:rsidR="00527CAD" w:rsidRPr="00021F3A" w:rsidRDefault="00527CAD" w:rsidP="006F263F">
            <w:pPr>
              <w:spacing w:before="60" w:after="60"/>
              <w:ind w:right="113"/>
              <w:rPr>
                <w:rFonts w:ascii="Arial" w:hAnsi="Arial" w:cs="Arial"/>
                <w:sz w:val="16"/>
                <w:szCs w:val="18"/>
                <w:u w:val="single"/>
                <w:lang w:val="fr-FR" w:eastAsia="ar-SA"/>
              </w:rPr>
            </w:pPr>
          </w:p>
        </w:tc>
      </w:tr>
    </w:tbl>
    <w:p w:rsidR="00527CAD" w:rsidRPr="00021F3A" w:rsidRDefault="00527CAD" w:rsidP="00527CAD">
      <w:pPr>
        <w:rPr>
          <w:rFonts w:ascii="Arial Narrow" w:eastAsia="Calibri" w:hAnsi="Arial Narrow" w:cs="Arial"/>
          <w:i/>
          <w:sz w:val="16"/>
          <w:szCs w:val="16"/>
          <w:lang w:val="fr-FR" w:eastAsia="fr-FR"/>
        </w:rPr>
      </w:pPr>
    </w:p>
    <w:p w:rsidR="00527CAD" w:rsidRPr="008678F5" w:rsidRDefault="00527CAD" w:rsidP="00527CAD">
      <w:pPr>
        <w:widowControl/>
        <w:jc w:val="both"/>
        <w:rPr>
          <w:rFonts w:ascii="Arial Narrow" w:hAnsi="Arial Narrow" w:cs="Arial"/>
          <w:b/>
          <w:bCs/>
          <w:sz w:val="20"/>
          <w:szCs w:val="20"/>
          <w:lang w:eastAsia="ar-SA"/>
        </w:rPr>
      </w:pPr>
      <w:r w:rsidRPr="00021F3A">
        <w:rPr>
          <w:rFonts w:ascii="Arial Narrow" w:eastAsia="Calibri" w:hAnsi="Arial Narrow" w:cs="Arial"/>
          <w:i/>
          <w:sz w:val="16"/>
          <w:szCs w:val="16"/>
          <w:lang w:eastAsia="fr-FR"/>
        </w:rPr>
        <w:t xml:space="preserve">DISCLAIMER - </w:t>
      </w:r>
      <w:r w:rsidRPr="00021F3A">
        <w:rPr>
          <w:rFonts w:ascii="Arial Narrow" w:eastAsia="Calibri" w:hAnsi="Arial Narrow" w:cs="Times New Roman"/>
          <w:sz w:val="16"/>
          <w:szCs w:val="16"/>
          <w:lang w:eastAsia="fr-FR"/>
        </w:rPr>
        <w:t xml:space="preserve">Certain declarations featured in this press release may contain forecasts that notably relate to future events, trends, projects or targets. By nature, these forecasts include identified or unidentified risks and uncertainties, and </w:t>
      </w:r>
      <w:proofErr w:type="gramStart"/>
      <w:r w:rsidRPr="00021F3A">
        <w:rPr>
          <w:rFonts w:ascii="Arial Narrow" w:eastAsia="Calibri" w:hAnsi="Arial Narrow" w:cs="Times New Roman"/>
          <w:sz w:val="16"/>
          <w:szCs w:val="16"/>
          <w:lang w:eastAsia="fr-FR"/>
        </w:rPr>
        <w:t>may be affected</w:t>
      </w:r>
      <w:proofErr w:type="gramEnd"/>
      <w:r w:rsidRPr="00021F3A">
        <w:rPr>
          <w:rFonts w:ascii="Arial Narrow" w:eastAsia="Calibri" w:hAnsi="Arial Narrow" w:cs="Times New Roman"/>
          <w:sz w:val="16"/>
          <w:szCs w:val="16"/>
          <w:lang w:eastAsia="fr-FR"/>
        </w:rPr>
        <w:t xml:space="preserve"> by many factors likely to give rise to a significant discrepancy between the real results and those stated in these declarations. Please refer to chapter 5 “Main risk factors and their management within the Group” of the Coface Group's 2019 Universal Registration Document filed with AMF </w:t>
      </w:r>
      <w:r w:rsidRPr="00021F3A">
        <w:rPr>
          <w:rFonts w:ascii="Arial Narrow" w:eastAsia="Calibri" w:hAnsi="Arial Narrow" w:cs="Times New Roman"/>
          <w:sz w:val="16"/>
          <w:szCs w:val="16"/>
          <w:lang w:eastAsia="ar-SA"/>
        </w:rPr>
        <w:t xml:space="preserve">on 16 April 2020 under the number D.20-0302 </w:t>
      </w:r>
      <w:r w:rsidRPr="00021F3A">
        <w:rPr>
          <w:rFonts w:ascii="Arial Narrow" w:eastAsia="Calibri" w:hAnsi="Arial Narrow" w:cs="Times New Roman"/>
          <w:sz w:val="16"/>
          <w:szCs w:val="16"/>
          <w:lang w:eastAsia="fr-FR"/>
        </w:rPr>
        <w:t>in order to obtain a description of certain major factors, risks and uncertainties likely to influence the Coface Group's businesses. The Coface Group disclaims any intention or obligation to publish an update of these forecasts, or provide new information on future events or any other circumstance</w:t>
      </w:r>
      <w:r w:rsidRPr="00021F3A">
        <w:rPr>
          <w:rFonts w:ascii="Arial Narrow" w:eastAsia="Calibri" w:hAnsi="Arial Narrow" w:cs="Arial"/>
          <w:i/>
          <w:sz w:val="16"/>
          <w:szCs w:val="16"/>
          <w:lang w:eastAsia="fr-FR"/>
        </w:rPr>
        <w:t>.</w:t>
      </w:r>
    </w:p>
    <w:p w:rsidR="00527CAD" w:rsidRPr="00527CAD" w:rsidRDefault="00527CAD" w:rsidP="00C95B05">
      <w:pPr>
        <w:widowControl/>
        <w:jc w:val="center"/>
        <w:rPr>
          <w:rFonts w:ascii="Arial Narrow" w:hAnsi="Arial Narrow" w:cs="Arial"/>
          <w:b/>
          <w:sz w:val="20"/>
          <w:szCs w:val="20"/>
          <w:lang w:eastAsia="fr-FR"/>
        </w:rPr>
      </w:pPr>
    </w:p>
    <w:sectPr w:rsidR="00527CAD" w:rsidRPr="00527CAD" w:rsidSect="008B55B8">
      <w:headerReference w:type="default" r:id="rId15"/>
      <w:footerReference w:type="default" r:id="rId16"/>
      <w:footnotePr>
        <w:numRestart w:val="eachPage"/>
      </w:footnotePr>
      <w:type w:val="continuous"/>
      <w:pgSz w:w="11900" w:h="16837" w:code="9"/>
      <w:pgMar w:top="3119" w:right="985" w:bottom="1418" w:left="2155" w:header="2835"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CF" w:rsidRDefault="00B300CF">
      <w:r>
        <w:separator/>
      </w:r>
    </w:p>
  </w:endnote>
  <w:endnote w:type="continuationSeparator" w:id="0">
    <w:p w:rsidR="00B300CF" w:rsidRDefault="00B300CF">
      <w:r>
        <w:continuationSeparator/>
      </w:r>
    </w:p>
  </w:endnote>
  <w:endnote w:type="continuationNotice" w:id="1">
    <w:p w:rsidR="00B300CF" w:rsidRDefault="00B30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ITCLegacySansLTBookRegular">
    <w:altName w:val="Times New Roman"/>
    <w:charset w:val="00"/>
    <w:family w:val="auto"/>
    <w:pitch w:val="default"/>
  </w:font>
  <w:font w:name="Lucida Grande">
    <w:altName w:val="Segoe UI"/>
    <w:charset w:val="00"/>
    <w:family w:val="auto"/>
    <w:pitch w:val="variable"/>
    <w:sig w:usb0="00000000"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194194"/>
      <w:docPartObj>
        <w:docPartGallery w:val="Page Numbers (Bottom of Page)"/>
        <w:docPartUnique/>
      </w:docPartObj>
    </w:sdtPr>
    <w:sdtEndPr>
      <w:rPr>
        <w:rFonts w:ascii="Arial Narrow" w:hAnsi="Arial Narrow"/>
        <w:sz w:val="20"/>
        <w:szCs w:val="20"/>
      </w:rPr>
    </w:sdtEndPr>
    <w:sdtContent>
      <w:sdt>
        <w:sdtPr>
          <w:id w:val="-298373709"/>
          <w:docPartObj>
            <w:docPartGallery w:val="Page Numbers (Top of Page)"/>
            <w:docPartUnique/>
          </w:docPartObj>
        </w:sdtPr>
        <w:sdtEndPr>
          <w:rPr>
            <w:rFonts w:ascii="Arial Narrow" w:hAnsi="Arial Narrow"/>
            <w:sz w:val="20"/>
            <w:szCs w:val="20"/>
          </w:rPr>
        </w:sdtEndPr>
        <w:sdtContent>
          <w:p w:rsidR="00B254CF" w:rsidRPr="007053E7" w:rsidRDefault="00B254CF" w:rsidP="00B52D42">
            <w:pPr>
              <w:pStyle w:val="Footer"/>
              <w:tabs>
                <w:tab w:val="left" w:pos="7513"/>
              </w:tabs>
              <w:rPr>
                <w:rFonts w:ascii="Arial Narrow" w:hAnsi="Arial Narrow"/>
                <w:sz w:val="16"/>
                <w:szCs w:val="16"/>
                <w:lang w:val="fr-FR"/>
              </w:rPr>
            </w:pPr>
            <w:r>
              <w:rPr>
                <w:rFonts w:ascii="Arial Narrow" w:hAnsi="Arial Narrow"/>
                <w:sz w:val="16"/>
                <w:szCs w:val="16"/>
              </w:rPr>
              <w:t>H1-2020 results</w:t>
            </w:r>
            <w:r>
              <w:rPr>
                <w:rFonts w:ascii="Arial Narrow" w:hAnsi="Arial Narrow"/>
                <w:sz w:val="20"/>
                <w:szCs w:val="20"/>
                <w:lang w:val="fr-FR"/>
              </w:rPr>
              <w:tab/>
            </w:r>
            <w:r w:rsidRPr="00335148">
              <w:rPr>
                <w:rFonts w:ascii="Arial Narrow" w:hAnsi="Arial Narrow"/>
                <w:sz w:val="20"/>
                <w:szCs w:val="20"/>
                <w:lang w:val="fr-FR"/>
              </w:rPr>
              <w:t xml:space="preserve">Page </w:t>
            </w:r>
            <w:r w:rsidRPr="00335148">
              <w:rPr>
                <w:rFonts w:ascii="Arial Narrow" w:hAnsi="Arial Narrow"/>
                <w:b/>
                <w:bCs/>
                <w:sz w:val="20"/>
                <w:szCs w:val="20"/>
              </w:rPr>
              <w:fldChar w:fldCharType="begin"/>
            </w:r>
            <w:r w:rsidRPr="00335148">
              <w:rPr>
                <w:rFonts w:ascii="Arial Narrow" w:hAnsi="Arial Narrow"/>
                <w:b/>
                <w:bCs/>
                <w:sz w:val="20"/>
                <w:szCs w:val="20"/>
                <w:lang w:val="fr-FR"/>
              </w:rPr>
              <w:instrText>PAGE</w:instrText>
            </w:r>
            <w:r w:rsidRPr="00335148">
              <w:rPr>
                <w:rFonts w:ascii="Arial Narrow" w:hAnsi="Arial Narrow"/>
                <w:b/>
                <w:bCs/>
                <w:sz w:val="20"/>
                <w:szCs w:val="20"/>
              </w:rPr>
              <w:fldChar w:fldCharType="separate"/>
            </w:r>
            <w:r w:rsidR="00411DD7">
              <w:rPr>
                <w:rFonts w:ascii="Arial Narrow" w:hAnsi="Arial Narrow"/>
                <w:b/>
                <w:bCs/>
                <w:noProof/>
                <w:sz w:val="20"/>
                <w:szCs w:val="20"/>
                <w:lang w:val="fr-FR"/>
              </w:rPr>
              <w:t>8</w:t>
            </w:r>
            <w:r w:rsidRPr="00335148">
              <w:rPr>
                <w:rFonts w:ascii="Arial Narrow" w:hAnsi="Arial Narrow"/>
                <w:b/>
                <w:bCs/>
                <w:sz w:val="20"/>
                <w:szCs w:val="20"/>
              </w:rPr>
              <w:fldChar w:fldCharType="end"/>
            </w:r>
            <w:r w:rsidRPr="00335148">
              <w:rPr>
                <w:rFonts w:ascii="Arial Narrow" w:hAnsi="Arial Narrow"/>
                <w:sz w:val="20"/>
                <w:szCs w:val="20"/>
                <w:lang w:val="fr-FR"/>
              </w:rPr>
              <w:t xml:space="preserve"> / </w:t>
            </w:r>
            <w:r w:rsidRPr="00335148">
              <w:rPr>
                <w:rFonts w:ascii="Arial Narrow" w:hAnsi="Arial Narrow"/>
                <w:b/>
                <w:bCs/>
                <w:sz w:val="20"/>
                <w:szCs w:val="20"/>
              </w:rPr>
              <w:fldChar w:fldCharType="begin"/>
            </w:r>
            <w:r w:rsidRPr="00335148">
              <w:rPr>
                <w:rFonts w:ascii="Arial Narrow" w:hAnsi="Arial Narrow"/>
                <w:b/>
                <w:bCs/>
                <w:sz w:val="20"/>
                <w:szCs w:val="20"/>
                <w:lang w:val="fr-FR"/>
              </w:rPr>
              <w:instrText>NUMPAGES</w:instrText>
            </w:r>
            <w:r w:rsidRPr="00335148">
              <w:rPr>
                <w:rFonts w:ascii="Arial Narrow" w:hAnsi="Arial Narrow"/>
                <w:b/>
                <w:bCs/>
                <w:sz w:val="20"/>
                <w:szCs w:val="20"/>
              </w:rPr>
              <w:fldChar w:fldCharType="separate"/>
            </w:r>
            <w:r w:rsidR="00411DD7">
              <w:rPr>
                <w:rFonts w:ascii="Arial Narrow" w:hAnsi="Arial Narrow"/>
                <w:b/>
                <w:bCs/>
                <w:noProof/>
                <w:sz w:val="20"/>
                <w:szCs w:val="20"/>
                <w:lang w:val="fr-FR"/>
              </w:rPr>
              <w:t>8</w:t>
            </w:r>
            <w:r w:rsidRPr="00335148">
              <w:rPr>
                <w:rFonts w:ascii="Arial Narrow" w:hAnsi="Arial Narrow"/>
                <w:b/>
                <w:bCs/>
                <w:sz w:val="20"/>
                <w:szCs w:val="20"/>
              </w:rPr>
              <w:fldChar w:fldCharType="end"/>
            </w:r>
          </w:p>
        </w:sdtContent>
      </w:sdt>
    </w:sdtContent>
  </w:sdt>
  <w:p w:rsidR="00B254CF" w:rsidRPr="0013537C" w:rsidRDefault="00B254CF" w:rsidP="00B52D42">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CF" w:rsidRDefault="00B300CF">
      <w:r>
        <w:separator/>
      </w:r>
    </w:p>
  </w:footnote>
  <w:footnote w:type="continuationSeparator" w:id="0">
    <w:p w:rsidR="00B300CF" w:rsidRDefault="00B300CF">
      <w:r>
        <w:continuationSeparator/>
      </w:r>
    </w:p>
  </w:footnote>
  <w:footnote w:type="continuationNotice" w:id="1">
    <w:p w:rsidR="00B300CF" w:rsidRDefault="00B300CF"/>
  </w:footnote>
  <w:footnote w:id="2">
    <w:p w:rsidR="00B254CF" w:rsidRPr="008B55B8" w:rsidRDefault="00B254CF">
      <w:pPr>
        <w:pStyle w:val="FootnoteText"/>
      </w:pPr>
      <w:r w:rsidRPr="008B55B8">
        <w:rPr>
          <w:rStyle w:val="FootnoteReference"/>
          <w:rFonts w:ascii="Arial Narrow" w:hAnsi="Arial Narrow"/>
          <w:sz w:val="14"/>
          <w:szCs w:val="14"/>
        </w:rPr>
        <w:sym w:font="Symbol" w:char="F02A"/>
      </w:r>
      <w:r w:rsidRPr="008B55B8">
        <w:rPr>
          <w:rFonts w:ascii="Arial Narrow" w:hAnsi="Arial Narrow"/>
          <w:sz w:val="14"/>
          <w:szCs w:val="14"/>
        </w:rPr>
        <w:t xml:space="preserve"> </w:t>
      </w:r>
      <w:r w:rsidRPr="00B30555">
        <w:rPr>
          <w:rFonts w:ascii="Arial Narrow" w:hAnsi="Arial Narrow"/>
          <w:sz w:val="14"/>
          <w:szCs w:val="14"/>
        </w:rPr>
        <w:t>Also excludes scope impact</w:t>
      </w:r>
    </w:p>
  </w:footnote>
  <w:footnote w:id="3">
    <w:p w:rsidR="00B254CF" w:rsidRPr="00D72E80" w:rsidRDefault="00B254CF">
      <w:pPr>
        <w:pStyle w:val="FootnoteText"/>
        <w:rPr>
          <w:rFonts w:ascii="Arial Narrow" w:hAnsi="Arial Narrow"/>
          <w:sz w:val="14"/>
          <w:szCs w:val="14"/>
        </w:rPr>
      </w:pPr>
      <w:r w:rsidRPr="00D72E80">
        <w:rPr>
          <w:rStyle w:val="FootnoteReference"/>
          <w:rFonts w:ascii="Arial Narrow" w:hAnsi="Arial Narrow"/>
          <w:sz w:val="14"/>
          <w:szCs w:val="14"/>
        </w:rPr>
        <w:footnoteRef/>
      </w:r>
      <w:r w:rsidRPr="00D72E80">
        <w:rPr>
          <w:rFonts w:ascii="Arial Narrow" w:hAnsi="Arial Narrow"/>
          <w:sz w:val="14"/>
          <w:szCs w:val="14"/>
        </w:rPr>
        <w:t xml:space="preserve"> Book yield calculated on the average of the investment portfolio excluding non-consolidated subsidiaries</w:t>
      </w:r>
    </w:p>
  </w:footnote>
  <w:footnote w:id="4">
    <w:p w:rsidR="00B254CF" w:rsidRPr="00A56770" w:rsidRDefault="00B254CF">
      <w:pPr>
        <w:pStyle w:val="FootnoteText"/>
        <w:rPr>
          <w:rFonts w:ascii="Arial Narrow" w:hAnsi="Arial Narrow"/>
          <w:sz w:val="14"/>
          <w:szCs w:val="14"/>
        </w:rPr>
      </w:pPr>
      <w:r w:rsidRPr="00D72E80">
        <w:rPr>
          <w:rStyle w:val="FootnoteReference"/>
          <w:rFonts w:ascii="Arial Narrow" w:hAnsi="Arial Narrow"/>
          <w:sz w:val="14"/>
          <w:szCs w:val="14"/>
        </w:rPr>
        <w:footnoteRef/>
      </w:r>
      <w:r w:rsidRPr="00D72E80">
        <w:rPr>
          <w:rFonts w:ascii="Arial Narrow" w:hAnsi="Arial Narrow"/>
          <w:sz w:val="14"/>
          <w:szCs w:val="14"/>
        </w:rPr>
        <w:t xml:space="preserve"> </w:t>
      </w:r>
      <w:r w:rsidRPr="00D72E80">
        <w:rPr>
          <w:rFonts w:ascii="Arial Narrow" w:hAnsi="Arial Narrow" w:cs="Arial"/>
          <w:bCs/>
          <w:sz w:val="14"/>
          <w:szCs w:val="14"/>
          <w:lang w:eastAsia="ar-SA"/>
        </w:rPr>
        <w:t>This estimated solvency ratio constitutes a preliminary calculation made according to Coface’s interpretation of Solvency II regulations and using the Partial Internal Model. The result of the definitive calculation may differ from the preliminary calculation. The estimated solvency ratio is not audited</w:t>
      </w:r>
    </w:p>
  </w:footnote>
  <w:footnote w:id="5">
    <w:p w:rsidR="00B254CF" w:rsidRPr="00D72E80" w:rsidRDefault="00B254CF">
      <w:pPr>
        <w:pStyle w:val="FootnoteText"/>
        <w:rPr>
          <w:rFonts w:ascii="Arial Narrow" w:hAnsi="Arial Narrow"/>
          <w:sz w:val="14"/>
          <w:szCs w:val="14"/>
        </w:rPr>
      </w:pPr>
      <w:r w:rsidRPr="00D72E80">
        <w:rPr>
          <w:rStyle w:val="FootnoteReference"/>
          <w:rFonts w:ascii="Arial Narrow" w:hAnsi="Arial Narrow"/>
          <w:sz w:val="14"/>
          <w:szCs w:val="14"/>
        </w:rPr>
        <w:footnoteRef/>
      </w:r>
      <w:r w:rsidRPr="00D72E80">
        <w:rPr>
          <w:rFonts w:ascii="Arial Narrow" w:hAnsi="Arial Narrow" w:cs="Arial"/>
          <w:bCs/>
          <w:sz w:val="14"/>
          <w:szCs w:val="14"/>
          <w:lang w:eastAsia="ar-SA"/>
        </w:rPr>
        <w:t xml:space="preserve">This estimated solvency ratio disclosed is a preliminary calculation made according to Coface’s interpretation of Solvency II regulations and using the Partial Internal Model. The final calculation may differ from this preliminary calculation. The estimated Solvency ratio </w:t>
      </w:r>
      <w:proofErr w:type="gramStart"/>
      <w:r w:rsidRPr="00D72E80">
        <w:rPr>
          <w:rFonts w:ascii="Arial Narrow" w:hAnsi="Arial Narrow" w:cs="Arial"/>
          <w:bCs/>
          <w:sz w:val="14"/>
          <w:szCs w:val="14"/>
          <w:lang w:eastAsia="ar-SA"/>
        </w:rPr>
        <w:t>is not audited</w:t>
      </w:r>
      <w:proofErr w:type="gramEnd"/>
      <w:r w:rsidRPr="00D72E80">
        <w:rPr>
          <w:rFonts w:ascii="Arial Narrow" w:hAnsi="Arial Narrow" w:cs="Arial"/>
          <w:bCs/>
          <w:sz w:val="14"/>
          <w:szCs w:val="14"/>
          <w:lang w:eastAsia="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4CF" w:rsidRPr="00160178" w:rsidRDefault="00B254CF">
    <w:pPr>
      <w:pStyle w:val="Header"/>
    </w:pPr>
    <w:r w:rsidRPr="00160178">
      <w:rPr>
        <w:noProof/>
        <w:lang w:val="en-ZA" w:eastAsia="en-ZA"/>
      </w:rPr>
      <mc:AlternateContent>
        <mc:Choice Requires="wps">
          <w:drawing>
            <wp:anchor distT="0" distB="0" distL="114935" distR="114935" simplePos="0" relativeHeight="251661824" behindDoc="1" locked="0" layoutInCell="1" allowOverlap="1" wp14:anchorId="3C37965A" wp14:editId="3B8FBCC8">
              <wp:simplePos x="0" y="0"/>
              <wp:positionH relativeFrom="column">
                <wp:posOffset>-37465</wp:posOffset>
              </wp:positionH>
              <wp:positionV relativeFrom="page">
                <wp:posOffset>1503680</wp:posOffset>
              </wp:positionV>
              <wp:extent cx="5755005" cy="33020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005" cy="33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4CF" w:rsidRDefault="00B254CF" w:rsidP="00C95B05">
                          <w:pPr>
                            <w:spacing w:line="270" w:lineRule="exact"/>
                            <w:jc w:val="center"/>
                            <w:rPr>
                              <w:rFonts w:ascii="Arial" w:hAnsi="Arial" w:cs="Arial"/>
                              <w:b/>
                              <w:bCs/>
                              <w:color w:val="4FA76E"/>
                              <w:spacing w:val="518"/>
                              <w:sz w:val="26"/>
                              <w:szCs w:val="26"/>
                            </w:rPr>
                          </w:pPr>
                          <w:r>
                            <w:rPr>
                              <w:rFonts w:ascii="Arial" w:hAnsi="Arial"/>
                              <w:b/>
                              <w:color w:val="4FA76E"/>
                              <w:spacing w:val="518"/>
                              <w:sz w:val="26"/>
                            </w:rPr>
                            <w:t>PRESS RELEASE</w:t>
                          </w:r>
                        </w:p>
                        <w:p w:rsidR="00B254CF" w:rsidRPr="00861ECE" w:rsidRDefault="00B254CF" w:rsidP="00952FD5">
                          <w:pPr>
                            <w:spacing w:line="270" w:lineRule="exact"/>
                            <w:jc w:val="center"/>
                            <w:rPr>
                              <w:rFonts w:ascii="Arial" w:hAnsi="Arial" w:cs="Arial"/>
                              <w:b/>
                              <w:bCs/>
                              <w:color w:val="4FA76E"/>
                              <w:spacing w:val="280"/>
                              <w:sz w:val="26"/>
                              <w:szCs w:val="26"/>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7965A" id="_x0000_t202" coordsize="21600,21600" o:spt="202" path="m,l,21600r21600,l21600,xe">
              <v:stroke joinstyle="miter"/>
              <v:path gradientshapeok="t" o:connecttype="rect"/>
            </v:shapetype>
            <v:shape id="Zone de texte 9" o:spid="_x0000_s1026" type="#_x0000_t202" style="position:absolute;margin-left:-2.95pt;margin-top:118.4pt;width:453.15pt;height:26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" stroked="f">
              <v:fill opacity="0"/>
              <v:textbox inset="0,0,0,0">
                <w:txbxContent>
                  <w:p w:rsidR="00B254CF" w:rsidRDefault="00B254CF" w:rsidP="00C95B05">
                    <w:pPr>
                      <w:spacing w:line="270" w:lineRule="exact"/>
                      <w:jc w:val="center"/>
                      <w:rPr>
                        <w:rFonts w:ascii="Arial" w:hAnsi="Arial" w:cs="Arial"/>
                        <w:b/>
                        <w:bCs/>
                        <w:color w:val="4FA76E"/>
                        <w:spacing w:val="518"/>
                        <w:sz w:val="26"/>
                        <w:szCs w:val="26"/>
                      </w:rPr>
                    </w:pPr>
                    <w:r>
                      <w:rPr>
                        <w:rFonts w:ascii="Arial" w:hAnsi="Arial"/>
                        <w:b/>
                        <w:color w:val="4FA76E"/>
                        <w:spacing w:val="518"/>
                        <w:sz w:val="26"/>
                      </w:rPr>
                      <w:t>PRESS RELEASE</w:t>
                    </w:r>
                  </w:p>
                  <w:p w:rsidR="00B254CF" w:rsidRPr="00861ECE" w:rsidRDefault="00B254CF" w:rsidP="00952FD5">
                    <w:pPr>
                      <w:spacing w:line="270" w:lineRule="exact"/>
                      <w:jc w:val="center"/>
                      <w:rPr>
                        <w:rFonts w:ascii="Arial" w:hAnsi="Arial" w:cs="Arial"/>
                        <w:b/>
                        <w:bCs/>
                        <w:color w:val="4FA76E"/>
                        <w:spacing w:val="280"/>
                        <w:sz w:val="26"/>
                        <w:szCs w:val="26"/>
                        <w:lang w:val="fr-FR"/>
                      </w:rPr>
                    </w:pPr>
                  </w:p>
                </w:txbxContent>
              </v:textbox>
              <w10:wrap anchory="page"/>
            </v:shape>
          </w:pict>
        </mc:Fallback>
      </mc:AlternateContent>
    </w:r>
    <w:r w:rsidRPr="00160178">
      <w:rPr>
        <w:noProof/>
        <w:lang w:val="en-ZA" w:eastAsia="en-ZA"/>
      </w:rPr>
      <w:drawing>
        <wp:anchor distT="0" distB="0" distL="114935" distR="114935" simplePos="0" relativeHeight="251655680" behindDoc="1" locked="0" layoutInCell="1" allowOverlap="1" wp14:anchorId="144A2671" wp14:editId="7BB17219">
          <wp:simplePos x="0" y="0"/>
          <wp:positionH relativeFrom="column">
            <wp:posOffset>-458470</wp:posOffset>
          </wp:positionH>
          <wp:positionV relativeFrom="page">
            <wp:posOffset>585470</wp:posOffset>
          </wp:positionV>
          <wp:extent cx="5761355" cy="131508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315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60178">
      <w:rPr>
        <w:noProof/>
        <w:lang w:val="en-ZA" w:eastAsia="en-ZA"/>
      </w:rPr>
      <mc:AlternateContent>
        <mc:Choice Requires="wps">
          <w:drawing>
            <wp:anchor distT="0" distB="0" distL="114300" distR="114300" simplePos="0" relativeHeight="251658752" behindDoc="1" locked="0" layoutInCell="1" allowOverlap="1" wp14:anchorId="617319FF" wp14:editId="17B941A7">
              <wp:simplePos x="0" y="0"/>
              <wp:positionH relativeFrom="page">
                <wp:posOffset>107950</wp:posOffset>
              </wp:positionH>
              <wp:positionV relativeFrom="page">
                <wp:posOffset>3564255</wp:posOffset>
              </wp:positionV>
              <wp:extent cx="107950" cy="0"/>
              <wp:effectExtent l="12700" t="11430" r="12700" b="7620"/>
              <wp:wrapNone/>
              <wp:docPr id="1" name="Connecteur droit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3960">
                        <a:solidFill>
                          <a:srgbClr val="17274B"/>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07EE29" id="Connecteur droit 2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" strokecolor="#17274b" strokeweight=".11mm">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3C2EDA"/>
    <w:multiLevelType w:val="hybridMultilevel"/>
    <w:tmpl w:val="4D401FE0"/>
    <w:lvl w:ilvl="0" w:tplc="AC0841CE">
      <w:start w:val="1"/>
      <w:numFmt w:val="bullet"/>
      <w:lvlText w:val=""/>
      <w:lvlJc w:val="left"/>
      <w:pPr>
        <w:ind w:left="720" w:hanging="360"/>
      </w:pPr>
      <w:rPr>
        <w:rFonts w:ascii="Symbol" w:hAnsi="Symbol" w:hint="default"/>
      </w:rPr>
    </w:lvl>
    <w:lvl w:ilvl="1" w:tplc="ED02EB58">
      <w:start w:val="1"/>
      <w:numFmt w:val="bullet"/>
      <w:lvlText w:val="o"/>
      <w:lvlJc w:val="left"/>
      <w:pPr>
        <w:ind w:left="1440" w:hanging="360"/>
      </w:pPr>
      <w:rPr>
        <w:rFonts w:ascii="Courier New" w:hAnsi="Courier New" w:cs="Courier New" w:hint="default"/>
      </w:rPr>
    </w:lvl>
    <w:lvl w:ilvl="2" w:tplc="50F42FCA">
      <w:start w:val="1"/>
      <w:numFmt w:val="bullet"/>
      <w:lvlText w:val=""/>
      <w:lvlJc w:val="left"/>
      <w:pPr>
        <w:ind w:left="2160" w:hanging="360"/>
      </w:pPr>
      <w:rPr>
        <w:rFonts w:ascii="Wingdings" w:hAnsi="Wingdings" w:hint="default"/>
      </w:rPr>
    </w:lvl>
    <w:lvl w:ilvl="3" w:tplc="C1683B2C">
      <w:start w:val="1"/>
      <w:numFmt w:val="bullet"/>
      <w:lvlText w:val=""/>
      <w:lvlJc w:val="left"/>
      <w:pPr>
        <w:ind w:left="2880" w:hanging="360"/>
      </w:pPr>
      <w:rPr>
        <w:rFonts w:ascii="Symbol" w:hAnsi="Symbol" w:hint="default"/>
      </w:rPr>
    </w:lvl>
    <w:lvl w:ilvl="4" w:tplc="7E3A1F62">
      <w:start w:val="1"/>
      <w:numFmt w:val="bullet"/>
      <w:lvlText w:val="o"/>
      <w:lvlJc w:val="left"/>
      <w:pPr>
        <w:ind w:left="3600" w:hanging="360"/>
      </w:pPr>
      <w:rPr>
        <w:rFonts w:ascii="Courier New" w:hAnsi="Courier New" w:cs="Courier New" w:hint="default"/>
      </w:rPr>
    </w:lvl>
    <w:lvl w:ilvl="5" w:tplc="54666738">
      <w:start w:val="1"/>
      <w:numFmt w:val="bullet"/>
      <w:lvlText w:val=""/>
      <w:lvlJc w:val="left"/>
      <w:pPr>
        <w:ind w:left="4320" w:hanging="360"/>
      </w:pPr>
      <w:rPr>
        <w:rFonts w:ascii="Wingdings" w:hAnsi="Wingdings" w:hint="default"/>
      </w:rPr>
    </w:lvl>
    <w:lvl w:ilvl="6" w:tplc="2B6C4E04">
      <w:start w:val="1"/>
      <w:numFmt w:val="bullet"/>
      <w:lvlText w:val=""/>
      <w:lvlJc w:val="left"/>
      <w:pPr>
        <w:ind w:left="5040" w:hanging="360"/>
      </w:pPr>
      <w:rPr>
        <w:rFonts w:ascii="Symbol" w:hAnsi="Symbol" w:hint="default"/>
      </w:rPr>
    </w:lvl>
    <w:lvl w:ilvl="7" w:tplc="86C2483A">
      <w:start w:val="1"/>
      <w:numFmt w:val="bullet"/>
      <w:lvlText w:val="o"/>
      <w:lvlJc w:val="left"/>
      <w:pPr>
        <w:ind w:left="5760" w:hanging="360"/>
      </w:pPr>
      <w:rPr>
        <w:rFonts w:ascii="Courier New" w:hAnsi="Courier New" w:cs="Courier New" w:hint="default"/>
      </w:rPr>
    </w:lvl>
    <w:lvl w:ilvl="8" w:tplc="610EBD92">
      <w:start w:val="1"/>
      <w:numFmt w:val="bullet"/>
      <w:lvlText w:val=""/>
      <w:lvlJc w:val="left"/>
      <w:pPr>
        <w:ind w:left="6480" w:hanging="360"/>
      </w:pPr>
      <w:rPr>
        <w:rFonts w:ascii="Wingdings" w:hAnsi="Wingdings" w:hint="default"/>
      </w:rPr>
    </w:lvl>
  </w:abstractNum>
  <w:abstractNum w:abstractNumId="2" w15:restartNumberingAfterBreak="0">
    <w:nsid w:val="08112D1A"/>
    <w:multiLevelType w:val="hybridMultilevel"/>
    <w:tmpl w:val="EFF887DC"/>
    <w:lvl w:ilvl="0" w:tplc="904C47E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14EEC"/>
    <w:multiLevelType w:val="hybridMultilevel"/>
    <w:tmpl w:val="E10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61969"/>
    <w:multiLevelType w:val="hybridMultilevel"/>
    <w:tmpl w:val="AE42C396"/>
    <w:lvl w:ilvl="0" w:tplc="160E750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40C9D"/>
    <w:multiLevelType w:val="hybridMultilevel"/>
    <w:tmpl w:val="42401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D6225"/>
    <w:multiLevelType w:val="hybridMultilevel"/>
    <w:tmpl w:val="E1F2B8A6"/>
    <w:lvl w:ilvl="0" w:tplc="354ADAC8">
      <w:start w:val="1"/>
      <w:numFmt w:val="lowerRoman"/>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733A65"/>
    <w:multiLevelType w:val="hybridMultilevel"/>
    <w:tmpl w:val="03FE95E0"/>
    <w:lvl w:ilvl="0" w:tplc="CCE87B26">
      <w:start w:val="1"/>
      <w:numFmt w:val="bullet"/>
      <w:lvlText w:val=""/>
      <w:lvlJc w:val="left"/>
      <w:pPr>
        <w:ind w:left="720" w:hanging="360"/>
      </w:pPr>
      <w:rPr>
        <w:rFonts w:ascii="Symbol" w:hAnsi="Symbol" w:hint="default"/>
      </w:rPr>
    </w:lvl>
    <w:lvl w:ilvl="1" w:tplc="F8744272" w:tentative="1">
      <w:start w:val="1"/>
      <w:numFmt w:val="bullet"/>
      <w:lvlText w:val="o"/>
      <w:lvlJc w:val="left"/>
      <w:pPr>
        <w:ind w:left="1440" w:hanging="360"/>
      </w:pPr>
      <w:rPr>
        <w:rFonts w:ascii="Courier New" w:hAnsi="Courier New" w:cs="Courier New" w:hint="default"/>
      </w:rPr>
    </w:lvl>
    <w:lvl w:ilvl="2" w:tplc="95CACED4" w:tentative="1">
      <w:start w:val="1"/>
      <w:numFmt w:val="bullet"/>
      <w:lvlText w:val=""/>
      <w:lvlJc w:val="left"/>
      <w:pPr>
        <w:ind w:left="2160" w:hanging="360"/>
      </w:pPr>
      <w:rPr>
        <w:rFonts w:ascii="Wingdings" w:hAnsi="Wingdings" w:hint="default"/>
      </w:rPr>
    </w:lvl>
    <w:lvl w:ilvl="3" w:tplc="148214A2" w:tentative="1">
      <w:start w:val="1"/>
      <w:numFmt w:val="bullet"/>
      <w:lvlText w:val=""/>
      <w:lvlJc w:val="left"/>
      <w:pPr>
        <w:ind w:left="2880" w:hanging="360"/>
      </w:pPr>
      <w:rPr>
        <w:rFonts w:ascii="Symbol" w:hAnsi="Symbol" w:hint="default"/>
      </w:rPr>
    </w:lvl>
    <w:lvl w:ilvl="4" w:tplc="D20E0F52" w:tentative="1">
      <w:start w:val="1"/>
      <w:numFmt w:val="bullet"/>
      <w:lvlText w:val="o"/>
      <w:lvlJc w:val="left"/>
      <w:pPr>
        <w:ind w:left="3600" w:hanging="360"/>
      </w:pPr>
      <w:rPr>
        <w:rFonts w:ascii="Courier New" w:hAnsi="Courier New" w:cs="Courier New" w:hint="default"/>
      </w:rPr>
    </w:lvl>
    <w:lvl w:ilvl="5" w:tplc="06320ACC" w:tentative="1">
      <w:start w:val="1"/>
      <w:numFmt w:val="bullet"/>
      <w:lvlText w:val=""/>
      <w:lvlJc w:val="left"/>
      <w:pPr>
        <w:ind w:left="4320" w:hanging="360"/>
      </w:pPr>
      <w:rPr>
        <w:rFonts w:ascii="Wingdings" w:hAnsi="Wingdings" w:hint="default"/>
      </w:rPr>
    </w:lvl>
    <w:lvl w:ilvl="6" w:tplc="B832EDAC" w:tentative="1">
      <w:start w:val="1"/>
      <w:numFmt w:val="bullet"/>
      <w:lvlText w:val=""/>
      <w:lvlJc w:val="left"/>
      <w:pPr>
        <w:ind w:left="5040" w:hanging="360"/>
      </w:pPr>
      <w:rPr>
        <w:rFonts w:ascii="Symbol" w:hAnsi="Symbol" w:hint="default"/>
      </w:rPr>
    </w:lvl>
    <w:lvl w:ilvl="7" w:tplc="92566F18" w:tentative="1">
      <w:start w:val="1"/>
      <w:numFmt w:val="bullet"/>
      <w:lvlText w:val="o"/>
      <w:lvlJc w:val="left"/>
      <w:pPr>
        <w:ind w:left="5760" w:hanging="360"/>
      </w:pPr>
      <w:rPr>
        <w:rFonts w:ascii="Courier New" w:hAnsi="Courier New" w:cs="Courier New" w:hint="default"/>
      </w:rPr>
    </w:lvl>
    <w:lvl w:ilvl="8" w:tplc="4F20F566" w:tentative="1">
      <w:start w:val="1"/>
      <w:numFmt w:val="bullet"/>
      <w:lvlText w:val=""/>
      <w:lvlJc w:val="left"/>
      <w:pPr>
        <w:ind w:left="6480" w:hanging="360"/>
      </w:pPr>
      <w:rPr>
        <w:rFonts w:ascii="Wingdings" w:hAnsi="Wingdings" w:hint="default"/>
      </w:rPr>
    </w:lvl>
  </w:abstractNum>
  <w:abstractNum w:abstractNumId="8" w15:restartNumberingAfterBreak="0">
    <w:nsid w:val="1C69142C"/>
    <w:multiLevelType w:val="hybridMultilevel"/>
    <w:tmpl w:val="131A4A24"/>
    <w:lvl w:ilvl="0" w:tplc="BA968E42">
      <w:start w:val="14"/>
      <w:numFmt w:val="bullet"/>
      <w:lvlText w:val="-"/>
      <w:lvlJc w:val="left"/>
      <w:pPr>
        <w:ind w:left="720" w:hanging="360"/>
      </w:pPr>
      <w:rPr>
        <w:rFonts w:ascii="Arial Narrow" w:eastAsia="MS Mincho"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BE60B2"/>
    <w:multiLevelType w:val="hybridMultilevel"/>
    <w:tmpl w:val="95349AD6"/>
    <w:lvl w:ilvl="0" w:tplc="4AA87D7C">
      <w:numFmt w:val="bullet"/>
      <w:lvlText w:val="-"/>
      <w:lvlJc w:val="left"/>
      <w:pPr>
        <w:ind w:left="1065" w:hanging="705"/>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B555B1"/>
    <w:multiLevelType w:val="hybridMultilevel"/>
    <w:tmpl w:val="4DE6EA72"/>
    <w:lvl w:ilvl="0" w:tplc="15EC6A38">
      <w:start w:val="1"/>
      <w:numFmt w:val="bullet"/>
      <w:lvlText w:val=""/>
      <w:lvlJc w:val="left"/>
      <w:pPr>
        <w:ind w:left="720" w:hanging="360"/>
      </w:pPr>
      <w:rPr>
        <w:rFonts w:ascii="Symbol" w:hAnsi="Symbol" w:hint="default"/>
      </w:rPr>
    </w:lvl>
    <w:lvl w:ilvl="1" w:tplc="5356725C" w:tentative="1">
      <w:start w:val="1"/>
      <w:numFmt w:val="bullet"/>
      <w:lvlText w:val="o"/>
      <w:lvlJc w:val="left"/>
      <w:pPr>
        <w:ind w:left="1440" w:hanging="360"/>
      </w:pPr>
      <w:rPr>
        <w:rFonts w:ascii="Courier New" w:hAnsi="Courier New" w:cs="Courier New" w:hint="default"/>
      </w:rPr>
    </w:lvl>
    <w:lvl w:ilvl="2" w:tplc="CAEA10AC" w:tentative="1">
      <w:start w:val="1"/>
      <w:numFmt w:val="bullet"/>
      <w:lvlText w:val=""/>
      <w:lvlJc w:val="left"/>
      <w:pPr>
        <w:ind w:left="2160" w:hanging="360"/>
      </w:pPr>
      <w:rPr>
        <w:rFonts w:ascii="Wingdings" w:hAnsi="Wingdings" w:hint="default"/>
      </w:rPr>
    </w:lvl>
    <w:lvl w:ilvl="3" w:tplc="EB4EC250" w:tentative="1">
      <w:start w:val="1"/>
      <w:numFmt w:val="bullet"/>
      <w:lvlText w:val=""/>
      <w:lvlJc w:val="left"/>
      <w:pPr>
        <w:ind w:left="2880" w:hanging="360"/>
      </w:pPr>
      <w:rPr>
        <w:rFonts w:ascii="Symbol" w:hAnsi="Symbol" w:hint="default"/>
      </w:rPr>
    </w:lvl>
    <w:lvl w:ilvl="4" w:tplc="120EEF00" w:tentative="1">
      <w:start w:val="1"/>
      <w:numFmt w:val="bullet"/>
      <w:lvlText w:val="o"/>
      <w:lvlJc w:val="left"/>
      <w:pPr>
        <w:ind w:left="3600" w:hanging="360"/>
      </w:pPr>
      <w:rPr>
        <w:rFonts w:ascii="Courier New" w:hAnsi="Courier New" w:cs="Courier New" w:hint="default"/>
      </w:rPr>
    </w:lvl>
    <w:lvl w:ilvl="5" w:tplc="72186A74" w:tentative="1">
      <w:start w:val="1"/>
      <w:numFmt w:val="bullet"/>
      <w:lvlText w:val=""/>
      <w:lvlJc w:val="left"/>
      <w:pPr>
        <w:ind w:left="4320" w:hanging="360"/>
      </w:pPr>
      <w:rPr>
        <w:rFonts w:ascii="Wingdings" w:hAnsi="Wingdings" w:hint="default"/>
      </w:rPr>
    </w:lvl>
    <w:lvl w:ilvl="6" w:tplc="817611F4" w:tentative="1">
      <w:start w:val="1"/>
      <w:numFmt w:val="bullet"/>
      <w:lvlText w:val=""/>
      <w:lvlJc w:val="left"/>
      <w:pPr>
        <w:ind w:left="5040" w:hanging="360"/>
      </w:pPr>
      <w:rPr>
        <w:rFonts w:ascii="Symbol" w:hAnsi="Symbol" w:hint="default"/>
      </w:rPr>
    </w:lvl>
    <w:lvl w:ilvl="7" w:tplc="20E2E2CA" w:tentative="1">
      <w:start w:val="1"/>
      <w:numFmt w:val="bullet"/>
      <w:lvlText w:val="o"/>
      <w:lvlJc w:val="left"/>
      <w:pPr>
        <w:ind w:left="5760" w:hanging="360"/>
      </w:pPr>
      <w:rPr>
        <w:rFonts w:ascii="Courier New" w:hAnsi="Courier New" w:cs="Courier New" w:hint="default"/>
      </w:rPr>
    </w:lvl>
    <w:lvl w:ilvl="8" w:tplc="ECDAECE0" w:tentative="1">
      <w:start w:val="1"/>
      <w:numFmt w:val="bullet"/>
      <w:lvlText w:val=""/>
      <w:lvlJc w:val="left"/>
      <w:pPr>
        <w:ind w:left="6480" w:hanging="360"/>
      </w:pPr>
      <w:rPr>
        <w:rFonts w:ascii="Wingdings" w:hAnsi="Wingdings" w:hint="default"/>
      </w:rPr>
    </w:lvl>
  </w:abstractNum>
  <w:abstractNum w:abstractNumId="11" w15:restartNumberingAfterBreak="0">
    <w:nsid w:val="24F46BF9"/>
    <w:multiLevelType w:val="hybridMultilevel"/>
    <w:tmpl w:val="B66CDD0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0559DF"/>
    <w:multiLevelType w:val="hybridMultilevel"/>
    <w:tmpl w:val="B66CDD0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49C71FB"/>
    <w:multiLevelType w:val="hybridMultilevel"/>
    <w:tmpl w:val="B66CDD0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1E59E3"/>
    <w:multiLevelType w:val="hybridMultilevel"/>
    <w:tmpl w:val="855A6A10"/>
    <w:lvl w:ilvl="0" w:tplc="7408DB66">
      <w:numFmt w:val="bullet"/>
      <w:lvlText w:val="•"/>
      <w:lvlJc w:val="left"/>
      <w:pPr>
        <w:tabs>
          <w:tab w:val="num" w:pos="720"/>
        </w:tabs>
        <w:ind w:left="720" w:hanging="360"/>
      </w:pPr>
      <w:rPr>
        <w:rFonts w:ascii="Arial" w:hAnsi="Arial" w:hint="default"/>
        <w:color w:val="61B57C"/>
        <w:lang w:val="en-GB"/>
      </w:rPr>
    </w:lvl>
    <w:lvl w:ilvl="1" w:tplc="EA1839E2">
      <w:start w:val="37"/>
      <w:numFmt w:val="bullet"/>
      <w:lvlText w:val="-"/>
      <w:lvlJc w:val="left"/>
      <w:pPr>
        <w:tabs>
          <w:tab w:val="num" w:pos="1440"/>
        </w:tabs>
        <w:ind w:left="1440" w:hanging="360"/>
      </w:pPr>
      <w:rPr>
        <w:rFonts w:ascii="Arial Narrow" w:hAnsi="Arial Narrow" w:hint="default"/>
      </w:rPr>
    </w:lvl>
    <w:lvl w:ilvl="2" w:tplc="DC66CAC2">
      <w:start w:val="1"/>
      <w:numFmt w:val="bullet"/>
      <w:lvlText w:val=""/>
      <w:lvlJc w:val="left"/>
      <w:pPr>
        <w:tabs>
          <w:tab w:val="num" w:pos="2160"/>
        </w:tabs>
        <w:ind w:left="2160" w:hanging="360"/>
      </w:pPr>
      <w:rPr>
        <w:rFonts w:ascii="Wingdings" w:hAnsi="Wingdings" w:hint="default"/>
      </w:rPr>
    </w:lvl>
    <w:lvl w:ilvl="3" w:tplc="192E55CC">
      <w:start w:val="1"/>
      <w:numFmt w:val="bullet"/>
      <w:lvlText w:val=""/>
      <w:lvlJc w:val="left"/>
      <w:pPr>
        <w:tabs>
          <w:tab w:val="num" w:pos="2880"/>
        </w:tabs>
        <w:ind w:left="2880" w:hanging="360"/>
      </w:pPr>
      <w:rPr>
        <w:rFonts w:ascii="Wingdings" w:hAnsi="Wingdings" w:hint="default"/>
      </w:rPr>
    </w:lvl>
    <w:lvl w:ilvl="4" w:tplc="C37E5700" w:tentative="1">
      <w:start w:val="1"/>
      <w:numFmt w:val="bullet"/>
      <w:lvlText w:val=""/>
      <w:lvlJc w:val="left"/>
      <w:pPr>
        <w:tabs>
          <w:tab w:val="num" w:pos="3600"/>
        </w:tabs>
        <w:ind w:left="3600" w:hanging="360"/>
      </w:pPr>
      <w:rPr>
        <w:rFonts w:ascii="Wingdings" w:hAnsi="Wingdings" w:hint="default"/>
      </w:rPr>
    </w:lvl>
    <w:lvl w:ilvl="5" w:tplc="32B46AE0" w:tentative="1">
      <w:start w:val="1"/>
      <w:numFmt w:val="bullet"/>
      <w:lvlText w:val=""/>
      <w:lvlJc w:val="left"/>
      <w:pPr>
        <w:tabs>
          <w:tab w:val="num" w:pos="4320"/>
        </w:tabs>
        <w:ind w:left="4320" w:hanging="360"/>
      </w:pPr>
      <w:rPr>
        <w:rFonts w:ascii="Wingdings" w:hAnsi="Wingdings" w:hint="default"/>
      </w:rPr>
    </w:lvl>
    <w:lvl w:ilvl="6" w:tplc="B1FA70A2" w:tentative="1">
      <w:start w:val="1"/>
      <w:numFmt w:val="bullet"/>
      <w:lvlText w:val=""/>
      <w:lvlJc w:val="left"/>
      <w:pPr>
        <w:tabs>
          <w:tab w:val="num" w:pos="5040"/>
        </w:tabs>
        <w:ind w:left="5040" w:hanging="360"/>
      </w:pPr>
      <w:rPr>
        <w:rFonts w:ascii="Wingdings" w:hAnsi="Wingdings" w:hint="default"/>
      </w:rPr>
    </w:lvl>
    <w:lvl w:ilvl="7" w:tplc="68B69C08" w:tentative="1">
      <w:start w:val="1"/>
      <w:numFmt w:val="bullet"/>
      <w:lvlText w:val=""/>
      <w:lvlJc w:val="left"/>
      <w:pPr>
        <w:tabs>
          <w:tab w:val="num" w:pos="5760"/>
        </w:tabs>
        <w:ind w:left="5760" w:hanging="360"/>
      </w:pPr>
      <w:rPr>
        <w:rFonts w:ascii="Wingdings" w:hAnsi="Wingdings" w:hint="default"/>
      </w:rPr>
    </w:lvl>
    <w:lvl w:ilvl="8" w:tplc="61AA2C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810CA"/>
    <w:multiLevelType w:val="hybridMultilevel"/>
    <w:tmpl w:val="F4AE3E0C"/>
    <w:lvl w:ilvl="0" w:tplc="96721962">
      <w:start w:val="1"/>
      <w:numFmt w:val="bullet"/>
      <w:lvlText w:val=""/>
      <w:lvlJc w:val="left"/>
      <w:pPr>
        <w:ind w:left="720" w:hanging="360"/>
      </w:pPr>
      <w:rPr>
        <w:rFonts w:ascii="Symbol" w:hAnsi="Symbol" w:hint="default"/>
      </w:rPr>
    </w:lvl>
    <w:lvl w:ilvl="1" w:tplc="3DE016F6" w:tentative="1">
      <w:start w:val="1"/>
      <w:numFmt w:val="bullet"/>
      <w:lvlText w:val="o"/>
      <w:lvlJc w:val="left"/>
      <w:pPr>
        <w:ind w:left="1440" w:hanging="360"/>
      </w:pPr>
      <w:rPr>
        <w:rFonts w:ascii="Courier New" w:hAnsi="Courier New" w:cs="Courier New" w:hint="default"/>
      </w:rPr>
    </w:lvl>
    <w:lvl w:ilvl="2" w:tplc="38EE5CCA" w:tentative="1">
      <w:start w:val="1"/>
      <w:numFmt w:val="bullet"/>
      <w:lvlText w:val=""/>
      <w:lvlJc w:val="left"/>
      <w:pPr>
        <w:ind w:left="2160" w:hanging="360"/>
      </w:pPr>
      <w:rPr>
        <w:rFonts w:ascii="Wingdings" w:hAnsi="Wingdings" w:hint="default"/>
      </w:rPr>
    </w:lvl>
    <w:lvl w:ilvl="3" w:tplc="07C095F0" w:tentative="1">
      <w:start w:val="1"/>
      <w:numFmt w:val="bullet"/>
      <w:lvlText w:val=""/>
      <w:lvlJc w:val="left"/>
      <w:pPr>
        <w:ind w:left="2880" w:hanging="360"/>
      </w:pPr>
      <w:rPr>
        <w:rFonts w:ascii="Symbol" w:hAnsi="Symbol" w:hint="default"/>
      </w:rPr>
    </w:lvl>
    <w:lvl w:ilvl="4" w:tplc="B114CE96" w:tentative="1">
      <w:start w:val="1"/>
      <w:numFmt w:val="bullet"/>
      <w:lvlText w:val="o"/>
      <w:lvlJc w:val="left"/>
      <w:pPr>
        <w:ind w:left="3600" w:hanging="360"/>
      </w:pPr>
      <w:rPr>
        <w:rFonts w:ascii="Courier New" w:hAnsi="Courier New" w:cs="Courier New" w:hint="default"/>
      </w:rPr>
    </w:lvl>
    <w:lvl w:ilvl="5" w:tplc="C4EAF9BA" w:tentative="1">
      <w:start w:val="1"/>
      <w:numFmt w:val="bullet"/>
      <w:lvlText w:val=""/>
      <w:lvlJc w:val="left"/>
      <w:pPr>
        <w:ind w:left="4320" w:hanging="360"/>
      </w:pPr>
      <w:rPr>
        <w:rFonts w:ascii="Wingdings" w:hAnsi="Wingdings" w:hint="default"/>
      </w:rPr>
    </w:lvl>
    <w:lvl w:ilvl="6" w:tplc="F4248E82" w:tentative="1">
      <w:start w:val="1"/>
      <w:numFmt w:val="bullet"/>
      <w:lvlText w:val=""/>
      <w:lvlJc w:val="left"/>
      <w:pPr>
        <w:ind w:left="5040" w:hanging="360"/>
      </w:pPr>
      <w:rPr>
        <w:rFonts w:ascii="Symbol" w:hAnsi="Symbol" w:hint="default"/>
      </w:rPr>
    </w:lvl>
    <w:lvl w:ilvl="7" w:tplc="BBB6A3E0" w:tentative="1">
      <w:start w:val="1"/>
      <w:numFmt w:val="bullet"/>
      <w:lvlText w:val="o"/>
      <w:lvlJc w:val="left"/>
      <w:pPr>
        <w:ind w:left="5760" w:hanging="360"/>
      </w:pPr>
      <w:rPr>
        <w:rFonts w:ascii="Courier New" w:hAnsi="Courier New" w:cs="Courier New" w:hint="default"/>
      </w:rPr>
    </w:lvl>
    <w:lvl w:ilvl="8" w:tplc="59769BA0" w:tentative="1">
      <w:start w:val="1"/>
      <w:numFmt w:val="bullet"/>
      <w:lvlText w:val=""/>
      <w:lvlJc w:val="left"/>
      <w:pPr>
        <w:ind w:left="6480" w:hanging="360"/>
      </w:pPr>
      <w:rPr>
        <w:rFonts w:ascii="Wingdings" w:hAnsi="Wingdings" w:hint="default"/>
      </w:rPr>
    </w:lvl>
  </w:abstractNum>
  <w:abstractNum w:abstractNumId="16" w15:restartNumberingAfterBreak="0">
    <w:nsid w:val="5C1E2DCB"/>
    <w:multiLevelType w:val="hybridMultilevel"/>
    <w:tmpl w:val="12A4645C"/>
    <w:lvl w:ilvl="0" w:tplc="BA061378">
      <w:start w:val="5"/>
      <w:numFmt w:val="bullet"/>
      <w:lvlText w:val="-"/>
      <w:lvlJc w:val="left"/>
      <w:pPr>
        <w:ind w:left="720" w:hanging="360"/>
      </w:pPr>
      <w:rPr>
        <w:rFonts w:ascii="Calibri" w:hAnsi="Calibri"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F54C7"/>
    <w:multiLevelType w:val="hybridMultilevel"/>
    <w:tmpl w:val="BEAAF6DE"/>
    <w:lvl w:ilvl="0" w:tplc="7E38A14E">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C6AB2"/>
    <w:multiLevelType w:val="hybridMultilevel"/>
    <w:tmpl w:val="58E49966"/>
    <w:lvl w:ilvl="0" w:tplc="FE1053D8">
      <w:start w:val="1"/>
      <w:numFmt w:val="bullet"/>
      <w:lvlText w:val=""/>
      <w:lvlJc w:val="left"/>
      <w:pPr>
        <w:ind w:left="720" w:hanging="360"/>
      </w:pPr>
      <w:rPr>
        <w:rFonts w:ascii="Symbol" w:hAnsi="Symbol" w:hint="default"/>
      </w:rPr>
    </w:lvl>
    <w:lvl w:ilvl="1" w:tplc="0910F858" w:tentative="1">
      <w:start w:val="1"/>
      <w:numFmt w:val="bullet"/>
      <w:lvlText w:val="o"/>
      <w:lvlJc w:val="left"/>
      <w:pPr>
        <w:ind w:left="1440" w:hanging="360"/>
      </w:pPr>
      <w:rPr>
        <w:rFonts w:ascii="Courier New" w:hAnsi="Courier New" w:cs="Courier New" w:hint="default"/>
      </w:rPr>
    </w:lvl>
    <w:lvl w:ilvl="2" w:tplc="EC668790" w:tentative="1">
      <w:start w:val="1"/>
      <w:numFmt w:val="bullet"/>
      <w:lvlText w:val=""/>
      <w:lvlJc w:val="left"/>
      <w:pPr>
        <w:ind w:left="2160" w:hanging="360"/>
      </w:pPr>
      <w:rPr>
        <w:rFonts w:ascii="Wingdings" w:hAnsi="Wingdings" w:hint="default"/>
      </w:rPr>
    </w:lvl>
    <w:lvl w:ilvl="3" w:tplc="0666AF3A" w:tentative="1">
      <w:start w:val="1"/>
      <w:numFmt w:val="bullet"/>
      <w:lvlText w:val=""/>
      <w:lvlJc w:val="left"/>
      <w:pPr>
        <w:ind w:left="2880" w:hanging="360"/>
      </w:pPr>
      <w:rPr>
        <w:rFonts w:ascii="Symbol" w:hAnsi="Symbol" w:hint="default"/>
      </w:rPr>
    </w:lvl>
    <w:lvl w:ilvl="4" w:tplc="B9801A0E" w:tentative="1">
      <w:start w:val="1"/>
      <w:numFmt w:val="bullet"/>
      <w:lvlText w:val="o"/>
      <w:lvlJc w:val="left"/>
      <w:pPr>
        <w:ind w:left="3600" w:hanging="360"/>
      </w:pPr>
      <w:rPr>
        <w:rFonts w:ascii="Courier New" w:hAnsi="Courier New" w:cs="Courier New" w:hint="default"/>
      </w:rPr>
    </w:lvl>
    <w:lvl w:ilvl="5" w:tplc="05DAD8E4" w:tentative="1">
      <w:start w:val="1"/>
      <w:numFmt w:val="bullet"/>
      <w:lvlText w:val=""/>
      <w:lvlJc w:val="left"/>
      <w:pPr>
        <w:ind w:left="4320" w:hanging="360"/>
      </w:pPr>
      <w:rPr>
        <w:rFonts w:ascii="Wingdings" w:hAnsi="Wingdings" w:hint="default"/>
      </w:rPr>
    </w:lvl>
    <w:lvl w:ilvl="6" w:tplc="669AA572" w:tentative="1">
      <w:start w:val="1"/>
      <w:numFmt w:val="bullet"/>
      <w:lvlText w:val=""/>
      <w:lvlJc w:val="left"/>
      <w:pPr>
        <w:ind w:left="5040" w:hanging="360"/>
      </w:pPr>
      <w:rPr>
        <w:rFonts w:ascii="Symbol" w:hAnsi="Symbol" w:hint="default"/>
      </w:rPr>
    </w:lvl>
    <w:lvl w:ilvl="7" w:tplc="A6FA4A1E" w:tentative="1">
      <w:start w:val="1"/>
      <w:numFmt w:val="bullet"/>
      <w:lvlText w:val="o"/>
      <w:lvlJc w:val="left"/>
      <w:pPr>
        <w:ind w:left="5760" w:hanging="360"/>
      </w:pPr>
      <w:rPr>
        <w:rFonts w:ascii="Courier New" w:hAnsi="Courier New" w:cs="Courier New" w:hint="default"/>
      </w:rPr>
    </w:lvl>
    <w:lvl w:ilvl="8" w:tplc="C2943B4E" w:tentative="1">
      <w:start w:val="1"/>
      <w:numFmt w:val="bullet"/>
      <w:lvlText w:val=""/>
      <w:lvlJc w:val="left"/>
      <w:pPr>
        <w:ind w:left="6480" w:hanging="360"/>
      </w:pPr>
      <w:rPr>
        <w:rFonts w:ascii="Wingdings" w:hAnsi="Wingdings" w:hint="default"/>
      </w:rPr>
    </w:lvl>
  </w:abstractNum>
  <w:abstractNum w:abstractNumId="19" w15:restartNumberingAfterBreak="0">
    <w:nsid w:val="628544E6"/>
    <w:multiLevelType w:val="hybridMultilevel"/>
    <w:tmpl w:val="E1B6ADAE"/>
    <w:lvl w:ilvl="0" w:tplc="6F3A84A2">
      <w:start w:val="1"/>
      <w:numFmt w:val="decimal"/>
      <w:lvlText w:val="%1"/>
      <w:lvlJc w:val="left"/>
      <w:pPr>
        <w:tabs>
          <w:tab w:val="num" w:pos="720"/>
        </w:tabs>
        <w:ind w:left="720" w:hanging="360"/>
      </w:pPr>
    </w:lvl>
    <w:lvl w:ilvl="1" w:tplc="E5160C64" w:tentative="1">
      <w:start w:val="1"/>
      <w:numFmt w:val="decimal"/>
      <w:lvlText w:val="%2"/>
      <w:lvlJc w:val="left"/>
      <w:pPr>
        <w:tabs>
          <w:tab w:val="num" w:pos="1440"/>
        </w:tabs>
        <w:ind w:left="1440" w:hanging="360"/>
      </w:pPr>
    </w:lvl>
    <w:lvl w:ilvl="2" w:tplc="AFB2CB26" w:tentative="1">
      <w:start w:val="1"/>
      <w:numFmt w:val="decimal"/>
      <w:lvlText w:val="%3"/>
      <w:lvlJc w:val="left"/>
      <w:pPr>
        <w:tabs>
          <w:tab w:val="num" w:pos="2160"/>
        </w:tabs>
        <w:ind w:left="2160" w:hanging="360"/>
      </w:pPr>
    </w:lvl>
    <w:lvl w:ilvl="3" w:tplc="EC401186" w:tentative="1">
      <w:start w:val="1"/>
      <w:numFmt w:val="decimal"/>
      <w:lvlText w:val="%4"/>
      <w:lvlJc w:val="left"/>
      <w:pPr>
        <w:tabs>
          <w:tab w:val="num" w:pos="2880"/>
        </w:tabs>
        <w:ind w:left="2880" w:hanging="360"/>
      </w:pPr>
    </w:lvl>
    <w:lvl w:ilvl="4" w:tplc="BA26BEAC" w:tentative="1">
      <w:start w:val="1"/>
      <w:numFmt w:val="decimal"/>
      <w:lvlText w:val="%5"/>
      <w:lvlJc w:val="left"/>
      <w:pPr>
        <w:tabs>
          <w:tab w:val="num" w:pos="3600"/>
        </w:tabs>
        <w:ind w:left="3600" w:hanging="360"/>
      </w:pPr>
    </w:lvl>
    <w:lvl w:ilvl="5" w:tplc="87BCBC8C" w:tentative="1">
      <w:start w:val="1"/>
      <w:numFmt w:val="decimal"/>
      <w:lvlText w:val="%6"/>
      <w:lvlJc w:val="left"/>
      <w:pPr>
        <w:tabs>
          <w:tab w:val="num" w:pos="4320"/>
        </w:tabs>
        <w:ind w:left="4320" w:hanging="360"/>
      </w:pPr>
    </w:lvl>
    <w:lvl w:ilvl="6" w:tplc="EBBE7C60" w:tentative="1">
      <w:start w:val="1"/>
      <w:numFmt w:val="decimal"/>
      <w:lvlText w:val="%7"/>
      <w:lvlJc w:val="left"/>
      <w:pPr>
        <w:tabs>
          <w:tab w:val="num" w:pos="5040"/>
        </w:tabs>
        <w:ind w:left="5040" w:hanging="360"/>
      </w:pPr>
    </w:lvl>
    <w:lvl w:ilvl="7" w:tplc="F326B3E0" w:tentative="1">
      <w:start w:val="1"/>
      <w:numFmt w:val="decimal"/>
      <w:lvlText w:val="%8"/>
      <w:lvlJc w:val="left"/>
      <w:pPr>
        <w:tabs>
          <w:tab w:val="num" w:pos="5760"/>
        </w:tabs>
        <w:ind w:left="5760" w:hanging="360"/>
      </w:pPr>
    </w:lvl>
    <w:lvl w:ilvl="8" w:tplc="4658EF00" w:tentative="1">
      <w:start w:val="1"/>
      <w:numFmt w:val="decimal"/>
      <w:lvlText w:val="%9"/>
      <w:lvlJc w:val="left"/>
      <w:pPr>
        <w:tabs>
          <w:tab w:val="num" w:pos="6480"/>
        </w:tabs>
        <w:ind w:left="6480" w:hanging="360"/>
      </w:pPr>
    </w:lvl>
  </w:abstractNum>
  <w:abstractNum w:abstractNumId="20" w15:restartNumberingAfterBreak="0">
    <w:nsid w:val="66772569"/>
    <w:multiLevelType w:val="hybridMultilevel"/>
    <w:tmpl w:val="C8E2161C"/>
    <w:lvl w:ilvl="0" w:tplc="0608D938">
      <w:start w:val="1"/>
      <w:numFmt w:val="bullet"/>
      <w:lvlText w:val=""/>
      <w:lvlJc w:val="left"/>
      <w:pPr>
        <w:ind w:left="720" w:hanging="360"/>
      </w:pPr>
      <w:rPr>
        <w:rFonts w:ascii="Wingdings" w:hAnsi="Wingdings" w:hint="default"/>
      </w:rPr>
    </w:lvl>
    <w:lvl w:ilvl="1" w:tplc="B276057E" w:tentative="1">
      <w:start w:val="1"/>
      <w:numFmt w:val="bullet"/>
      <w:lvlText w:val="o"/>
      <w:lvlJc w:val="left"/>
      <w:pPr>
        <w:ind w:left="1440" w:hanging="360"/>
      </w:pPr>
      <w:rPr>
        <w:rFonts w:ascii="Courier New" w:hAnsi="Courier New" w:cs="Courier New" w:hint="default"/>
      </w:rPr>
    </w:lvl>
    <w:lvl w:ilvl="2" w:tplc="01BA9766" w:tentative="1">
      <w:start w:val="1"/>
      <w:numFmt w:val="bullet"/>
      <w:lvlText w:val=""/>
      <w:lvlJc w:val="left"/>
      <w:pPr>
        <w:ind w:left="2160" w:hanging="360"/>
      </w:pPr>
      <w:rPr>
        <w:rFonts w:ascii="Wingdings" w:hAnsi="Wingdings" w:hint="default"/>
      </w:rPr>
    </w:lvl>
    <w:lvl w:ilvl="3" w:tplc="CECC0B84" w:tentative="1">
      <w:start w:val="1"/>
      <w:numFmt w:val="bullet"/>
      <w:lvlText w:val=""/>
      <w:lvlJc w:val="left"/>
      <w:pPr>
        <w:ind w:left="2880" w:hanging="360"/>
      </w:pPr>
      <w:rPr>
        <w:rFonts w:ascii="Symbol" w:hAnsi="Symbol" w:hint="default"/>
      </w:rPr>
    </w:lvl>
    <w:lvl w:ilvl="4" w:tplc="158E516A" w:tentative="1">
      <w:start w:val="1"/>
      <w:numFmt w:val="bullet"/>
      <w:lvlText w:val="o"/>
      <w:lvlJc w:val="left"/>
      <w:pPr>
        <w:ind w:left="3600" w:hanging="360"/>
      </w:pPr>
      <w:rPr>
        <w:rFonts w:ascii="Courier New" w:hAnsi="Courier New" w:cs="Courier New" w:hint="default"/>
      </w:rPr>
    </w:lvl>
    <w:lvl w:ilvl="5" w:tplc="A268E55A" w:tentative="1">
      <w:start w:val="1"/>
      <w:numFmt w:val="bullet"/>
      <w:lvlText w:val=""/>
      <w:lvlJc w:val="left"/>
      <w:pPr>
        <w:ind w:left="4320" w:hanging="360"/>
      </w:pPr>
      <w:rPr>
        <w:rFonts w:ascii="Wingdings" w:hAnsi="Wingdings" w:hint="default"/>
      </w:rPr>
    </w:lvl>
    <w:lvl w:ilvl="6" w:tplc="5A0A8B8E" w:tentative="1">
      <w:start w:val="1"/>
      <w:numFmt w:val="bullet"/>
      <w:lvlText w:val=""/>
      <w:lvlJc w:val="left"/>
      <w:pPr>
        <w:ind w:left="5040" w:hanging="360"/>
      </w:pPr>
      <w:rPr>
        <w:rFonts w:ascii="Symbol" w:hAnsi="Symbol" w:hint="default"/>
      </w:rPr>
    </w:lvl>
    <w:lvl w:ilvl="7" w:tplc="48E63278" w:tentative="1">
      <w:start w:val="1"/>
      <w:numFmt w:val="bullet"/>
      <w:lvlText w:val="o"/>
      <w:lvlJc w:val="left"/>
      <w:pPr>
        <w:ind w:left="5760" w:hanging="360"/>
      </w:pPr>
      <w:rPr>
        <w:rFonts w:ascii="Courier New" w:hAnsi="Courier New" w:cs="Courier New" w:hint="default"/>
      </w:rPr>
    </w:lvl>
    <w:lvl w:ilvl="8" w:tplc="AD725A2C" w:tentative="1">
      <w:start w:val="1"/>
      <w:numFmt w:val="bullet"/>
      <w:lvlText w:val=""/>
      <w:lvlJc w:val="left"/>
      <w:pPr>
        <w:ind w:left="6480" w:hanging="360"/>
      </w:pPr>
      <w:rPr>
        <w:rFonts w:ascii="Wingdings" w:hAnsi="Wingdings" w:hint="default"/>
      </w:rPr>
    </w:lvl>
  </w:abstractNum>
  <w:abstractNum w:abstractNumId="21" w15:restartNumberingAfterBreak="0">
    <w:nsid w:val="72D17A0D"/>
    <w:multiLevelType w:val="hybridMultilevel"/>
    <w:tmpl w:val="0E7CF460"/>
    <w:lvl w:ilvl="0" w:tplc="852696F8">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EE440E"/>
    <w:multiLevelType w:val="hybridMultilevel"/>
    <w:tmpl w:val="0F2671D4"/>
    <w:lvl w:ilvl="0" w:tplc="225EDC34">
      <w:start w:val="1"/>
      <w:numFmt w:val="bullet"/>
      <w:lvlText w:val=""/>
      <w:lvlJc w:val="left"/>
      <w:pPr>
        <w:ind w:left="720" w:hanging="360"/>
      </w:pPr>
      <w:rPr>
        <w:rFonts w:ascii="Symbol" w:hAnsi="Symbol" w:hint="default"/>
      </w:rPr>
    </w:lvl>
    <w:lvl w:ilvl="1" w:tplc="38744BA8" w:tentative="1">
      <w:start w:val="1"/>
      <w:numFmt w:val="bullet"/>
      <w:lvlText w:val="o"/>
      <w:lvlJc w:val="left"/>
      <w:pPr>
        <w:ind w:left="1440" w:hanging="360"/>
      </w:pPr>
      <w:rPr>
        <w:rFonts w:ascii="Courier New" w:hAnsi="Courier New" w:cs="Courier New" w:hint="default"/>
      </w:rPr>
    </w:lvl>
    <w:lvl w:ilvl="2" w:tplc="DEFCE298" w:tentative="1">
      <w:start w:val="1"/>
      <w:numFmt w:val="bullet"/>
      <w:lvlText w:val=""/>
      <w:lvlJc w:val="left"/>
      <w:pPr>
        <w:ind w:left="2160" w:hanging="360"/>
      </w:pPr>
      <w:rPr>
        <w:rFonts w:ascii="Wingdings" w:hAnsi="Wingdings" w:hint="default"/>
      </w:rPr>
    </w:lvl>
    <w:lvl w:ilvl="3" w:tplc="86E225E6" w:tentative="1">
      <w:start w:val="1"/>
      <w:numFmt w:val="bullet"/>
      <w:lvlText w:val=""/>
      <w:lvlJc w:val="left"/>
      <w:pPr>
        <w:ind w:left="2880" w:hanging="360"/>
      </w:pPr>
      <w:rPr>
        <w:rFonts w:ascii="Symbol" w:hAnsi="Symbol" w:hint="default"/>
      </w:rPr>
    </w:lvl>
    <w:lvl w:ilvl="4" w:tplc="6442B0E2" w:tentative="1">
      <w:start w:val="1"/>
      <w:numFmt w:val="bullet"/>
      <w:lvlText w:val="o"/>
      <w:lvlJc w:val="left"/>
      <w:pPr>
        <w:ind w:left="3600" w:hanging="360"/>
      </w:pPr>
      <w:rPr>
        <w:rFonts w:ascii="Courier New" w:hAnsi="Courier New" w:cs="Courier New" w:hint="default"/>
      </w:rPr>
    </w:lvl>
    <w:lvl w:ilvl="5" w:tplc="580899DC" w:tentative="1">
      <w:start w:val="1"/>
      <w:numFmt w:val="bullet"/>
      <w:lvlText w:val=""/>
      <w:lvlJc w:val="left"/>
      <w:pPr>
        <w:ind w:left="4320" w:hanging="360"/>
      </w:pPr>
      <w:rPr>
        <w:rFonts w:ascii="Wingdings" w:hAnsi="Wingdings" w:hint="default"/>
      </w:rPr>
    </w:lvl>
    <w:lvl w:ilvl="6" w:tplc="11FA01BA" w:tentative="1">
      <w:start w:val="1"/>
      <w:numFmt w:val="bullet"/>
      <w:lvlText w:val=""/>
      <w:lvlJc w:val="left"/>
      <w:pPr>
        <w:ind w:left="5040" w:hanging="360"/>
      </w:pPr>
      <w:rPr>
        <w:rFonts w:ascii="Symbol" w:hAnsi="Symbol" w:hint="default"/>
      </w:rPr>
    </w:lvl>
    <w:lvl w:ilvl="7" w:tplc="80C4567C" w:tentative="1">
      <w:start w:val="1"/>
      <w:numFmt w:val="bullet"/>
      <w:lvlText w:val="o"/>
      <w:lvlJc w:val="left"/>
      <w:pPr>
        <w:ind w:left="5760" w:hanging="360"/>
      </w:pPr>
      <w:rPr>
        <w:rFonts w:ascii="Courier New" w:hAnsi="Courier New" w:cs="Courier New" w:hint="default"/>
      </w:rPr>
    </w:lvl>
    <w:lvl w:ilvl="8" w:tplc="3556A20A" w:tentative="1">
      <w:start w:val="1"/>
      <w:numFmt w:val="bullet"/>
      <w:lvlText w:val=""/>
      <w:lvlJc w:val="left"/>
      <w:pPr>
        <w:ind w:left="6480" w:hanging="360"/>
      </w:pPr>
      <w:rPr>
        <w:rFonts w:ascii="Wingdings" w:hAnsi="Wingdings" w:hint="default"/>
      </w:rPr>
    </w:lvl>
  </w:abstractNum>
  <w:abstractNum w:abstractNumId="23" w15:restartNumberingAfterBreak="0">
    <w:nsid w:val="7B8A3481"/>
    <w:multiLevelType w:val="hybridMultilevel"/>
    <w:tmpl w:val="57B64F62"/>
    <w:lvl w:ilvl="0" w:tplc="6AFE0464">
      <w:start w:val="1"/>
      <w:numFmt w:val="bullet"/>
      <w:lvlText w:val=""/>
      <w:lvlJc w:val="left"/>
      <w:pPr>
        <w:ind w:left="720" w:hanging="360"/>
      </w:pPr>
      <w:rPr>
        <w:rFonts w:ascii="Symbol" w:hAnsi="Symbol" w:hint="default"/>
      </w:rPr>
    </w:lvl>
    <w:lvl w:ilvl="1" w:tplc="BEBCD92A" w:tentative="1">
      <w:start w:val="1"/>
      <w:numFmt w:val="bullet"/>
      <w:lvlText w:val="o"/>
      <w:lvlJc w:val="left"/>
      <w:pPr>
        <w:ind w:left="1440" w:hanging="360"/>
      </w:pPr>
      <w:rPr>
        <w:rFonts w:ascii="Courier New" w:hAnsi="Courier New" w:cs="Courier New" w:hint="default"/>
      </w:rPr>
    </w:lvl>
    <w:lvl w:ilvl="2" w:tplc="D3609634" w:tentative="1">
      <w:start w:val="1"/>
      <w:numFmt w:val="bullet"/>
      <w:lvlText w:val=""/>
      <w:lvlJc w:val="left"/>
      <w:pPr>
        <w:ind w:left="2160" w:hanging="360"/>
      </w:pPr>
      <w:rPr>
        <w:rFonts w:ascii="Wingdings" w:hAnsi="Wingdings" w:hint="default"/>
      </w:rPr>
    </w:lvl>
    <w:lvl w:ilvl="3" w:tplc="BC14EEF0" w:tentative="1">
      <w:start w:val="1"/>
      <w:numFmt w:val="bullet"/>
      <w:lvlText w:val=""/>
      <w:lvlJc w:val="left"/>
      <w:pPr>
        <w:ind w:left="2880" w:hanging="360"/>
      </w:pPr>
      <w:rPr>
        <w:rFonts w:ascii="Symbol" w:hAnsi="Symbol" w:hint="default"/>
      </w:rPr>
    </w:lvl>
    <w:lvl w:ilvl="4" w:tplc="008C3ED2" w:tentative="1">
      <w:start w:val="1"/>
      <w:numFmt w:val="bullet"/>
      <w:lvlText w:val="o"/>
      <w:lvlJc w:val="left"/>
      <w:pPr>
        <w:ind w:left="3600" w:hanging="360"/>
      </w:pPr>
      <w:rPr>
        <w:rFonts w:ascii="Courier New" w:hAnsi="Courier New" w:cs="Courier New" w:hint="default"/>
      </w:rPr>
    </w:lvl>
    <w:lvl w:ilvl="5" w:tplc="58726122" w:tentative="1">
      <w:start w:val="1"/>
      <w:numFmt w:val="bullet"/>
      <w:lvlText w:val=""/>
      <w:lvlJc w:val="left"/>
      <w:pPr>
        <w:ind w:left="4320" w:hanging="360"/>
      </w:pPr>
      <w:rPr>
        <w:rFonts w:ascii="Wingdings" w:hAnsi="Wingdings" w:hint="default"/>
      </w:rPr>
    </w:lvl>
    <w:lvl w:ilvl="6" w:tplc="BE08E04A" w:tentative="1">
      <w:start w:val="1"/>
      <w:numFmt w:val="bullet"/>
      <w:lvlText w:val=""/>
      <w:lvlJc w:val="left"/>
      <w:pPr>
        <w:ind w:left="5040" w:hanging="360"/>
      </w:pPr>
      <w:rPr>
        <w:rFonts w:ascii="Symbol" w:hAnsi="Symbol" w:hint="default"/>
      </w:rPr>
    </w:lvl>
    <w:lvl w:ilvl="7" w:tplc="3A96E896" w:tentative="1">
      <w:start w:val="1"/>
      <w:numFmt w:val="bullet"/>
      <w:lvlText w:val="o"/>
      <w:lvlJc w:val="left"/>
      <w:pPr>
        <w:ind w:left="5760" w:hanging="360"/>
      </w:pPr>
      <w:rPr>
        <w:rFonts w:ascii="Courier New" w:hAnsi="Courier New" w:cs="Courier New" w:hint="default"/>
      </w:rPr>
    </w:lvl>
    <w:lvl w:ilvl="8" w:tplc="7C703B40" w:tentative="1">
      <w:start w:val="1"/>
      <w:numFmt w:val="bullet"/>
      <w:lvlText w:val=""/>
      <w:lvlJc w:val="left"/>
      <w:pPr>
        <w:ind w:left="6480" w:hanging="360"/>
      </w:pPr>
      <w:rPr>
        <w:rFonts w:ascii="Wingdings" w:hAnsi="Wingdings" w:hint="default"/>
      </w:rPr>
    </w:lvl>
  </w:abstractNum>
  <w:abstractNum w:abstractNumId="24" w15:restartNumberingAfterBreak="0">
    <w:nsid w:val="7D4811F6"/>
    <w:multiLevelType w:val="hybridMultilevel"/>
    <w:tmpl w:val="1D28D1FE"/>
    <w:lvl w:ilvl="0" w:tplc="7E38A14E">
      <w:numFmt w:val="bullet"/>
      <w:lvlText w:val="-"/>
      <w:lvlJc w:val="left"/>
      <w:pPr>
        <w:ind w:left="720" w:hanging="360"/>
      </w:pPr>
      <w:rPr>
        <w:rFonts w:ascii="Arial Narrow" w:eastAsia="MS Mincho"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E2181"/>
    <w:multiLevelType w:val="hybridMultilevel"/>
    <w:tmpl w:val="44A25960"/>
    <w:lvl w:ilvl="0" w:tplc="1E8C3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8718B"/>
    <w:multiLevelType w:val="hybridMultilevel"/>
    <w:tmpl w:val="1E82B0D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5"/>
  </w:num>
  <w:num w:numId="3">
    <w:abstractNumId w:val="23"/>
  </w:num>
  <w:num w:numId="4">
    <w:abstractNumId w:val="18"/>
  </w:num>
  <w:num w:numId="5">
    <w:abstractNumId w:val="7"/>
  </w:num>
  <w:num w:numId="6">
    <w:abstractNumId w:val="1"/>
  </w:num>
  <w:num w:numId="7">
    <w:abstractNumId w:val="1"/>
  </w:num>
  <w:num w:numId="8">
    <w:abstractNumId w:val="22"/>
  </w:num>
  <w:num w:numId="9">
    <w:abstractNumId w:val="20"/>
  </w:num>
  <w:num w:numId="10">
    <w:abstractNumId w:val="10"/>
  </w:num>
  <w:num w:numId="11">
    <w:abstractNumId w:val="23"/>
  </w:num>
  <w:num w:numId="12">
    <w:abstractNumId w:val="2"/>
  </w:num>
  <w:num w:numId="13">
    <w:abstractNumId w:val="5"/>
  </w:num>
  <w:num w:numId="14">
    <w:abstractNumId w:val="9"/>
  </w:num>
  <w:num w:numId="15">
    <w:abstractNumId w:val="14"/>
  </w:num>
  <w:num w:numId="16">
    <w:abstractNumId w:val="3"/>
  </w:num>
  <w:num w:numId="17">
    <w:abstractNumId w:val="21"/>
  </w:num>
  <w:num w:numId="18">
    <w:abstractNumId w:val="13"/>
  </w:num>
  <w:num w:numId="19">
    <w:abstractNumId w:val="8"/>
  </w:num>
  <w:num w:numId="20">
    <w:abstractNumId w:val="12"/>
  </w:num>
  <w:num w:numId="21">
    <w:abstractNumId w:val="26"/>
  </w:num>
  <w:num w:numId="22">
    <w:abstractNumId w:val="11"/>
  </w:num>
  <w:num w:numId="23">
    <w:abstractNumId w:val="19"/>
  </w:num>
  <w:num w:numId="24">
    <w:abstractNumId w:val="25"/>
  </w:num>
  <w:num w:numId="25">
    <w:abstractNumId w:val="17"/>
  </w:num>
  <w:num w:numId="26">
    <w:abstractNumId w:val="24"/>
  </w:num>
  <w:num w:numId="27">
    <w:abstractNumId w:val="6"/>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activeWritingStyle w:appName="MSWord" w:lang="es-PE" w:vendorID="64" w:dllVersion="131078" w:nlCheck="1" w:checkStyle="1"/>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1"/>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FD54F1"/>
    <w:rsid w:val="00002385"/>
    <w:rsid w:val="00003E5E"/>
    <w:rsid w:val="000049A4"/>
    <w:rsid w:val="00005660"/>
    <w:rsid w:val="000070CF"/>
    <w:rsid w:val="00011D29"/>
    <w:rsid w:val="00013523"/>
    <w:rsid w:val="00014874"/>
    <w:rsid w:val="00016D61"/>
    <w:rsid w:val="0001712E"/>
    <w:rsid w:val="000212A9"/>
    <w:rsid w:val="00021B5E"/>
    <w:rsid w:val="00024C39"/>
    <w:rsid w:val="00030CC4"/>
    <w:rsid w:val="00030E82"/>
    <w:rsid w:val="000343EF"/>
    <w:rsid w:val="0003556A"/>
    <w:rsid w:val="00035620"/>
    <w:rsid w:val="00036F7B"/>
    <w:rsid w:val="00040B21"/>
    <w:rsid w:val="0004300B"/>
    <w:rsid w:val="00044B50"/>
    <w:rsid w:val="000460E7"/>
    <w:rsid w:val="00046AB5"/>
    <w:rsid w:val="00050A02"/>
    <w:rsid w:val="00051B7C"/>
    <w:rsid w:val="000547DA"/>
    <w:rsid w:val="00055732"/>
    <w:rsid w:val="00056D69"/>
    <w:rsid w:val="00056F64"/>
    <w:rsid w:val="00061C88"/>
    <w:rsid w:val="000622DA"/>
    <w:rsid w:val="000702EA"/>
    <w:rsid w:val="00072031"/>
    <w:rsid w:val="00072D07"/>
    <w:rsid w:val="000732F1"/>
    <w:rsid w:val="0007389F"/>
    <w:rsid w:val="00074E36"/>
    <w:rsid w:val="00077245"/>
    <w:rsid w:val="00077B4D"/>
    <w:rsid w:val="000805F5"/>
    <w:rsid w:val="0008074E"/>
    <w:rsid w:val="0008125F"/>
    <w:rsid w:val="00081481"/>
    <w:rsid w:val="00082E63"/>
    <w:rsid w:val="00084C27"/>
    <w:rsid w:val="00087F9E"/>
    <w:rsid w:val="000936B6"/>
    <w:rsid w:val="00096277"/>
    <w:rsid w:val="00096C20"/>
    <w:rsid w:val="00096CF4"/>
    <w:rsid w:val="00096F42"/>
    <w:rsid w:val="000A1065"/>
    <w:rsid w:val="000A1B81"/>
    <w:rsid w:val="000A30B0"/>
    <w:rsid w:val="000A5D78"/>
    <w:rsid w:val="000A71A1"/>
    <w:rsid w:val="000A758E"/>
    <w:rsid w:val="000B0635"/>
    <w:rsid w:val="000B0802"/>
    <w:rsid w:val="000B1DA6"/>
    <w:rsid w:val="000B211C"/>
    <w:rsid w:val="000B5198"/>
    <w:rsid w:val="000B5D6D"/>
    <w:rsid w:val="000B6B39"/>
    <w:rsid w:val="000C138A"/>
    <w:rsid w:val="000C1D4F"/>
    <w:rsid w:val="000C2550"/>
    <w:rsid w:val="000C2F0B"/>
    <w:rsid w:val="000C3819"/>
    <w:rsid w:val="000C48DA"/>
    <w:rsid w:val="000C73E3"/>
    <w:rsid w:val="000D1E69"/>
    <w:rsid w:val="000D24C9"/>
    <w:rsid w:val="000D2B0F"/>
    <w:rsid w:val="000D464F"/>
    <w:rsid w:val="000D5C6E"/>
    <w:rsid w:val="000D7359"/>
    <w:rsid w:val="000D7D52"/>
    <w:rsid w:val="000E1784"/>
    <w:rsid w:val="000E1FFF"/>
    <w:rsid w:val="000E3C92"/>
    <w:rsid w:val="000E450A"/>
    <w:rsid w:val="000E518B"/>
    <w:rsid w:val="000E5569"/>
    <w:rsid w:val="000F0E74"/>
    <w:rsid w:val="000F2DFF"/>
    <w:rsid w:val="000F39FD"/>
    <w:rsid w:val="000F3B0B"/>
    <w:rsid w:val="000F425F"/>
    <w:rsid w:val="000F46A4"/>
    <w:rsid w:val="000F4F22"/>
    <w:rsid w:val="000F76B0"/>
    <w:rsid w:val="000F76E7"/>
    <w:rsid w:val="0010119B"/>
    <w:rsid w:val="00101BEA"/>
    <w:rsid w:val="00102544"/>
    <w:rsid w:val="001047A9"/>
    <w:rsid w:val="00104F19"/>
    <w:rsid w:val="0010524E"/>
    <w:rsid w:val="00105DB1"/>
    <w:rsid w:val="001069DD"/>
    <w:rsid w:val="00112F0F"/>
    <w:rsid w:val="001141C2"/>
    <w:rsid w:val="0011457B"/>
    <w:rsid w:val="001153E9"/>
    <w:rsid w:val="001156B4"/>
    <w:rsid w:val="00116725"/>
    <w:rsid w:val="00116EE2"/>
    <w:rsid w:val="00122312"/>
    <w:rsid w:val="0012232B"/>
    <w:rsid w:val="00124925"/>
    <w:rsid w:val="00125AC0"/>
    <w:rsid w:val="001266A9"/>
    <w:rsid w:val="001270B8"/>
    <w:rsid w:val="00130799"/>
    <w:rsid w:val="00130989"/>
    <w:rsid w:val="001311F7"/>
    <w:rsid w:val="00132531"/>
    <w:rsid w:val="0013318F"/>
    <w:rsid w:val="001350B5"/>
    <w:rsid w:val="0013537C"/>
    <w:rsid w:val="001368F3"/>
    <w:rsid w:val="00136ED6"/>
    <w:rsid w:val="001404BA"/>
    <w:rsid w:val="0014241A"/>
    <w:rsid w:val="001449B4"/>
    <w:rsid w:val="00145140"/>
    <w:rsid w:val="001500B0"/>
    <w:rsid w:val="00152124"/>
    <w:rsid w:val="00152414"/>
    <w:rsid w:val="001526F5"/>
    <w:rsid w:val="00152F0E"/>
    <w:rsid w:val="001543D5"/>
    <w:rsid w:val="00154D03"/>
    <w:rsid w:val="00160178"/>
    <w:rsid w:val="00161C53"/>
    <w:rsid w:val="00163960"/>
    <w:rsid w:val="00165DF1"/>
    <w:rsid w:val="00165E62"/>
    <w:rsid w:val="00170445"/>
    <w:rsid w:val="00173938"/>
    <w:rsid w:val="00173D45"/>
    <w:rsid w:val="00174187"/>
    <w:rsid w:val="00174F31"/>
    <w:rsid w:val="00175E0E"/>
    <w:rsid w:val="00175E33"/>
    <w:rsid w:val="00177A84"/>
    <w:rsid w:val="00182C25"/>
    <w:rsid w:val="00183FEB"/>
    <w:rsid w:val="00185250"/>
    <w:rsid w:val="001864BD"/>
    <w:rsid w:val="001872FB"/>
    <w:rsid w:val="00195988"/>
    <w:rsid w:val="001960F4"/>
    <w:rsid w:val="001A292C"/>
    <w:rsid w:val="001A2C7F"/>
    <w:rsid w:val="001A337A"/>
    <w:rsid w:val="001A7E35"/>
    <w:rsid w:val="001B16AE"/>
    <w:rsid w:val="001B6BDD"/>
    <w:rsid w:val="001B7B77"/>
    <w:rsid w:val="001B7D37"/>
    <w:rsid w:val="001B7FB2"/>
    <w:rsid w:val="001C1A54"/>
    <w:rsid w:val="001C1FE2"/>
    <w:rsid w:val="001C2188"/>
    <w:rsid w:val="001C43DB"/>
    <w:rsid w:val="001C5813"/>
    <w:rsid w:val="001D1F53"/>
    <w:rsid w:val="001D74E7"/>
    <w:rsid w:val="001E0665"/>
    <w:rsid w:val="001E06B3"/>
    <w:rsid w:val="001E0745"/>
    <w:rsid w:val="001E09C9"/>
    <w:rsid w:val="001E1169"/>
    <w:rsid w:val="001E2117"/>
    <w:rsid w:val="001E2D39"/>
    <w:rsid w:val="001E34EA"/>
    <w:rsid w:val="001E37EC"/>
    <w:rsid w:val="001E3E67"/>
    <w:rsid w:val="001E4D41"/>
    <w:rsid w:val="001E5E4F"/>
    <w:rsid w:val="001E60C7"/>
    <w:rsid w:val="001E6387"/>
    <w:rsid w:val="001E66DD"/>
    <w:rsid w:val="001E7230"/>
    <w:rsid w:val="001E765B"/>
    <w:rsid w:val="001E7672"/>
    <w:rsid w:val="001F2ABA"/>
    <w:rsid w:val="001F3A5D"/>
    <w:rsid w:val="001F49FD"/>
    <w:rsid w:val="001F5974"/>
    <w:rsid w:val="00200A04"/>
    <w:rsid w:val="00202EBD"/>
    <w:rsid w:val="0020350B"/>
    <w:rsid w:val="002120C7"/>
    <w:rsid w:val="0021256F"/>
    <w:rsid w:val="0021385F"/>
    <w:rsid w:val="0021393B"/>
    <w:rsid w:val="00214A8E"/>
    <w:rsid w:val="00215AE6"/>
    <w:rsid w:val="0021716C"/>
    <w:rsid w:val="00217551"/>
    <w:rsid w:val="0022092C"/>
    <w:rsid w:val="00220D57"/>
    <w:rsid w:val="002213E1"/>
    <w:rsid w:val="00221CF1"/>
    <w:rsid w:val="00223443"/>
    <w:rsid w:val="002237F6"/>
    <w:rsid w:val="00225CE1"/>
    <w:rsid w:val="002275D6"/>
    <w:rsid w:val="00234440"/>
    <w:rsid w:val="002377FE"/>
    <w:rsid w:val="00241A9C"/>
    <w:rsid w:val="00244770"/>
    <w:rsid w:val="002477ED"/>
    <w:rsid w:val="002508BF"/>
    <w:rsid w:val="0025108D"/>
    <w:rsid w:val="002520D2"/>
    <w:rsid w:val="00252302"/>
    <w:rsid w:val="00253365"/>
    <w:rsid w:val="002536EA"/>
    <w:rsid w:val="00253992"/>
    <w:rsid w:val="00253F8A"/>
    <w:rsid w:val="002543DF"/>
    <w:rsid w:val="00260015"/>
    <w:rsid w:val="00260ABC"/>
    <w:rsid w:val="00261467"/>
    <w:rsid w:val="002664D8"/>
    <w:rsid w:val="00267B67"/>
    <w:rsid w:val="0027040B"/>
    <w:rsid w:val="00270647"/>
    <w:rsid w:val="00270ECF"/>
    <w:rsid w:val="0027173D"/>
    <w:rsid w:val="00271FF1"/>
    <w:rsid w:val="00272B4A"/>
    <w:rsid w:val="00273AC9"/>
    <w:rsid w:val="00274134"/>
    <w:rsid w:val="002767FD"/>
    <w:rsid w:val="002777A1"/>
    <w:rsid w:val="0028048E"/>
    <w:rsid w:val="00280623"/>
    <w:rsid w:val="002808E4"/>
    <w:rsid w:val="002810F9"/>
    <w:rsid w:val="0028295C"/>
    <w:rsid w:val="00283EA4"/>
    <w:rsid w:val="002843A7"/>
    <w:rsid w:val="00284998"/>
    <w:rsid w:val="002849A3"/>
    <w:rsid w:val="00284F07"/>
    <w:rsid w:val="002851C3"/>
    <w:rsid w:val="00286220"/>
    <w:rsid w:val="00290462"/>
    <w:rsid w:val="002933BC"/>
    <w:rsid w:val="0029369E"/>
    <w:rsid w:val="0029553D"/>
    <w:rsid w:val="002959EF"/>
    <w:rsid w:val="002A1FC6"/>
    <w:rsid w:val="002A2644"/>
    <w:rsid w:val="002A2D14"/>
    <w:rsid w:val="002A39F5"/>
    <w:rsid w:val="002A4E3D"/>
    <w:rsid w:val="002A5057"/>
    <w:rsid w:val="002A5F15"/>
    <w:rsid w:val="002B0087"/>
    <w:rsid w:val="002B136B"/>
    <w:rsid w:val="002B16CF"/>
    <w:rsid w:val="002B31A5"/>
    <w:rsid w:val="002B4834"/>
    <w:rsid w:val="002B4A0D"/>
    <w:rsid w:val="002B6FD0"/>
    <w:rsid w:val="002C23EA"/>
    <w:rsid w:val="002C2C6C"/>
    <w:rsid w:val="002C3959"/>
    <w:rsid w:val="002C3DCB"/>
    <w:rsid w:val="002C3F4A"/>
    <w:rsid w:val="002C4293"/>
    <w:rsid w:val="002C7AFE"/>
    <w:rsid w:val="002D260E"/>
    <w:rsid w:val="002D76D2"/>
    <w:rsid w:val="002E0690"/>
    <w:rsid w:val="002E2EBE"/>
    <w:rsid w:val="002E3793"/>
    <w:rsid w:val="002E60A8"/>
    <w:rsid w:val="002E6D93"/>
    <w:rsid w:val="002E7AD0"/>
    <w:rsid w:val="002F0BF5"/>
    <w:rsid w:val="002F2024"/>
    <w:rsid w:val="002F3CA9"/>
    <w:rsid w:val="002F6856"/>
    <w:rsid w:val="002F7518"/>
    <w:rsid w:val="0030224C"/>
    <w:rsid w:val="0030251A"/>
    <w:rsid w:val="00303140"/>
    <w:rsid w:val="00303C26"/>
    <w:rsid w:val="00304148"/>
    <w:rsid w:val="00306402"/>
    <w:rsid w:val="0030666E"/>
    <w:rsid w:val="00312958"/>
    <w:rsid w:val="00312A2A"/>
    <w:rsid w:val="003167F3"/>
    <w:rsid w:val="0031714F"/>
    <w:rsid w:val="00317DB3"/>
    <w:rsid w:val="00317E84"/>
    <w:rsid w:val="00324EC6"/>
    <w:rsid w:val="0032736F"/>
    <w:rsid w:val="00330D04"/>
    <w:rsid w:val="003312A8"/>
    <w:rsid w:val="00332101"/>
    <w:rsid w:val="00334D4F"/>
    <w:rsid w:val="00334DF6"/>
    <w:rsid w:val="00335191"/>
    <w:rsid w:val="00335198"/>
    <w:rsid w:val="00335A2F"/>
    <w:rsid w:val="00335C08"/>
    <w:rsid w:val="003376AB"/>
    <w:rsid w:val="00344758"/>
    <w:rsid w:val="003447A1"/>
    <w:rsid w:val="003456F0"/>
    <w:rsid w:val="0034695B"/>
    <w:rsid w:val="003470E3"/>
    <w:rsid w:val="00347BC5"/>
    <w:rsid w:val="003523B4"/>
    <w:rsid w:val="003550B2"/>
    <w:rsid w:val="00355367"/>
    <w:rsid w:val="0035566B"/>
    <w:rsid w:val="0035727F"/>
    <w:rsid w:val="00360EB7"/>
    <w:rsid w:val="00361BA1"/>
    <w:rsid w:val="00362B95"/>
    <w:rsid w:val="00363995"/>
    <w:rsid w:val="00364D24"/>
    <w:rsid w:val="00367817"/>
    <w:rsid w:val="003704D8"/>
    <w:rsid w:val="00371CAD"/>
    <w:rsid w:val="00371F5A"/>
    <w:rsid w:val="0037306C"/>
    <w:rsid w:val="003755FA"/>
    <w:rsid w:val="00376683"/>
    <w:rsid w:val="00381F75"/>
    <w:rsid w:val="00383F74"/>
    <w:rsid w:val="00385E25"/>
    <w:rsid w:val="0038638F"/>
    <w:rsid w:val="003905E8"/>
    <w:rsid w:val="003915CD"/>
    <w:rsid w:val="00394A38"/>
    <w:rsid w:val="003956DA"/>
    <w:rsid w:val="00396FE6"/>
    <w:rsid w:val="00397973"/>
    <w:rsid w:val="003A01E4"/>
    <w:rsid w:val="003A0BC6"/>
    <w:rsid w:val="003A15D5"/>
    <w:rsid w:val="003A262B"/>
    <w:rsid w:val="003A2A69"/>
    <w:rsid w:val="003A2D0B"/>
    <w:rsid w:val="003A63E4"/>
    <w:rsid w:val="003A6565"/>
    <w:rsid w:val="003A6BC3"/>
    <w:rsid w:val="003A78A4"/>
    <w:rsid w:val="003B0F02"/>
    <w:rsid w:val="003B2090"/>
    <w:rsid w:val="003B2931"/>
    <w:rsid w:val="003B297D"/>
    <w:rsid w:val="003B5EDB"/>
    <w:rsid w:val="003B6254"/>
    <w:rsid w:val="003B73B8"/>
    <w:rsid w:val="003C012B"/>
    <w:rsid w:val="003C2855"/>
    <w:rsid w:val="003C2BA1"/>
    <w:rsid w:val="003C3E5E"/>
    <w:rsid w:val="003C521B"/>
    <w:rsid w:val="003C5626"/>
    <w:rsid w:val="003C57D8"/>
    <w:rsid w:val="003C6EDE"/>
    <w:rsid w:val="003D15C2"/>
    <w:rsid w:val="003D1BA2"/>
    <w:rsid w:val="003D2B57"/>
    <w:rsid w:val="003D3EED"/>
    <w:rsid w:val="003D3FA3"/>
    <w:rsid w:val="003D72AA"/>
    <w:rsid w:val="003E1028"/>
    <w:rsid w:val="003E142E"/>
    <w:rsid w:val="003E2810"/>
    <w:rsid w:val="003E47D9"/>
    <w:rsid w:val="003E5B2E"/>
    <w:rsid w:val="003E7765"/>
    <w:rsid w:val="003E77E5"/>
    <w:rsid w:val="003E7D58"/>
    <w:rsid w:val="003F0BC8"/>
    <w:rsid w:val="003F0EB9"/>
    <w:rsid w:val="003F0ECE"/>
    <w:rsid w:val="003F1154"/>
    <w:rsid w:val="003F1655"/>
    <w:rsid w:val="003F24FA"/>
    <w:rsid w:val="003F3038"/>
    <w:rsid w:val="003F4FF1"/>
    <w:rsid w:val="003F55F1"/>
    <w:rsid w:val="003F56E2"/>
    <w:rsid w:val="003F6342"/>
    <w:rsid w:val="00400EB6"/>
    <w:rsid w:val="00400EEE"/>
    <w:rsid w:val="00400FB2"/>
    <w:rsid w:val="00401347"/>
    <w:rsid w:val="0040152E"/>
    <w:rsid w:val="00401A4D"/>
    <w:rsid w:val="00401F27"/>
    <w:rsid w:val="004025B2"/>
    <w:rsid w:val="00403188"/>
    <w:rsid w:val="004040EA"/>
    <w:rsid w:val="004066B0"/>
    <w:rsid w:val="00406CFB"/>
    <w:rsid w:val="00411371"/>
    <w:rsid w:val="00411DD7"/>
    <w:rsid w:val="004201F1"/>
    <w:rsid w:val="004208CB"/>
    <w:rsid w:val="00420CAA"/>
    <w:rsid w:val="00423369"/>
    <w:rsid w:val="00424C8E"/>
    <w:rsid w:val="00425319"/>
    <w:rsid w:val="00426F5F"/>
    <w:rsid w:val="00427404"/>
    <w:rsid w:val="00431ED1"/>
    <w:rsid w:val="00435499"/>
    <w:rsid w:val="004355E0"/>
    <w:rsid w:val="00436F5B"/>
    <w:rsid w:val="00437095"/>
    <w:rsid w:val="004379B0"/>
    <w:rsid w:val="00441827"/>
    <w:rsid w:val="00442374"/>
    <w:rsid w:val="0044297E"/>
    <w:rsid w:val="00444770"/>
    <w:rsid w:val="004470EC"/>
    <w:rsid w:val="004510DB"/>
    <w:rsid w:val="00451840"/>
    <w:rsid w:val="00453735"/>
    <w:rsid w:val="004549A5"/>
    <w:rsid w:val="00455099"/>
    <w:rsid w:val="0045531C"/>
    <w:rsid w:val="00455329"/>
    <w:rsid w:val="004570E1"/>
    <w:rsid w:val="00457559"/>
    <w:rsid w:val="00461894"/>
    <w:rsid w:val="00463A97"/>
    <w:rsid w:val="00464675"/>
    <w:rsid w:val="0046784F"/>
    <w:rsid w:val="00467DC3"/>
    <w:rsid w:val="00470035"/>
    <w:rsid w:val="00471D0D"/>
    <w:rsid w:val="00472FBF"/>
    <w:rsid w:val="0047383C"/>
    <w:rsid w:val="00475149"/>
    <w:rsid w:val="0047561B"/>
    <w:rsid w:val="00477357"/>
    <w:rsid w:val="004775E8"/>
    <w:rsid w:val="004820EC"/>
    <w:rsid w:val="00482F07"/>
    <w:rsid w:val="00483406"/>
    <w:rsid w:val="00485B39"/>
    <w:rsid w:val="00486DDC"/>
    <w:rsid w:val="00490462"/>
    <w:rsid w:val="00491B88"/>
    <w:rsid w:val="00492024"/>
    <w:rsid w:val="004925B5"/>
    <w:rsid w:val="00492901"/>
    <w:rsid w:val="00492941"/>
    <w:rsid w:val="004948CE"/>
    <w:rsid w:val="00497236"/>
    <w:rsid w:val="004A1C18"/>
    <w:rsid w:val="004A3CDE"/>
    <w:rsid w:val="004A413F"/>
    <w:rsid w:val="004A438C"/>
    <w:rsid w:val="004A72DA"/>
    <w:rsid w:val="004A7A04"/>
    <w:rsid w:val="004B0CC9"/>
    <w:rsid w:val="004B39D1"/>
    <w:rsid w:val="004B45DD"/>
    <w:rsid w:val="004B5DE6"/>
    <w:rsid w:val="004B73CA"/>
    <w:rsid w:val="004C1528"/>
    <w:rsid w:val="004C2B90"/>
    <w:rsid w:val="004C5A5F"/>
    <w:rsid w:val="004C613E"/>
    <w:rsid w:val="004C662D"/>
    <w:rsid w:val="004C74FC"/>
    <w:rsid w:val="004C75AD"/>
    <w:rsid w:val="004C7EC5"/>
    <w:rsid w:val="004D1992"/>
    <w:rsid w:val="004D1AB0"/>
    <w:rsid w:val="004D1BDC"/>
    <w:rsid w:val="004D1E2E"/>
    <w:rsid w:val="004D3752"/>
    <w:rsid w:val="004D483E"/>
    <w:rsid w:val="004D5E4F"/>
    <w:rsid w:val="004D6738"/>
    <w:rsid w:val="004D6C9A"/>
    <w:rsid w:val="004D7676"/>
    <w:rsid w:val="004D77AC"/>
    <w:rsid w:val="004E333C"/>
    <w:rsid w:val="004E36FD"/>
    <w:rsid w:val="004E5D70"/>
    <w:rsid w:val="004E6D8F"/>
    <w:rsid w:val="004E7BB1"/>
    <w:rsid w:val="004F0043"/>
    <w:rsid w:val="004F1C88"/>
    <w:rsid w:val="004F2139"/>
    <w:rsid w:val="004F2524"/>
    <w:rsid w:val="004F4099"/>
    <w:rsid w:val="004F69F8"/>
    <w:rsid w:val="004F79C3"/>
    <w:rsid w:val="00501E9E"/>
    <w:rsid w:val="00503672"/>
    <w:rsid w:val="00503C34"/>
    <w:rsid w:val="005047AB"/>
    <w:rsid w:val="005049AC"/>
    <w:rsid w:val="00504C1D"/>
    <w:rsid w:val="005061CB"/>
    <w:rsid w:val="005066DB"/>
    <w:rsid w:val="00507908"/>
    <w:rsid w:val="005113B0"/>
    <w:rsid w:val="00512E7E"/>
    <w:rsid w:val="00513FFB"/>
    <w:rsid w:val="00517458"/>
    <w:rsid w:val="005215B4"/>
    <w:rsid w:val="00521EBC"/>
    <w:rsid w:val="00522929"/>
    <w:rsid w:val="00522D0A"/>
    <w:rsid w:val="0052366C"/>
    <w:rsid w:val="00525413"/>
    <w:rsid w:val="005257CB"/>
    <w:rsid w:val="00527CAD"/>
    <w:rsid w:val="0053085F"/>
    <w:rsid w:val="00534A16"/>
    <w:rsid w:val="005354D6"/>
    <w:rsid w:val="00535545"/>
    <w:rsid w:val="00536948"/>
    <w:rsid w:val="005373F6"/>
    <w:rsid w:val="0054343B"/>
    <w:rsid w:val="00544D5D"/>
    <w:rsid w:val="00546A1F"/>
    <w:rsid w:val="00553E6C"/>
    <w:rsid w:val="00554854"/>
    <w:rsid w:val="00561871"/>
    <w:rsid w:val="00563303"/>
    <w:rsid w:val="005656C3"/>
    <w:rsid w:val="00566636"/>
    <w:rsid w:val="0056753F"/>
    <w:rsid w:val="00567EF8"/>
    <w:rsid w:val="0057067A"/>
    <w:rsid w:val="00572866"/>
    <w:rsid w:val="00572C46"/>
    <w:rsid w:val="00575DDD"/>
    <w:rsid w:val="00577053"/>
    <w:rsid w:val="00577085"/>
    <w:rsid w:val="0058169B"/>
    <w:rsid w:val="005839B3"/>
    <w:rsid w:val="00585F6C"/>
    <w:rsid w:val="0059016C"/>
    <w:rsid w:val="00590262"/>
    <w:rsid w:val="00592498"/>
    <w:rsid w:val="00593BE4"/>
    <w:rsid w:val="005945F9"/>
    <w:rsid w:val="00596F5A"/>
    <w:rsid w:val="00597D2F"/>
    <w:rsid w:val="00597DE1"/>
    <w:rsid w:val="005A0235"/>
    <w:rsid w:val="005A0F0B"/>
    <w:rsid w:val="005A1B01"/>
    <w:rsid w:val="005A2BB5"/>
    <w:rsid w:val="005A4018"/>
    <w:rsid w:val="005A41D2"/>
    <w:rsid w:val="005A4B72"/>
    <w:rsid w:val="005A6554"/>
    <w:rsid w:val="005A6F81"/>
    <w:rsid w:val="005A7FAE"/>
    <w:rsid w:val="005B2AB4"/>
    <w:rsid w:val="005B2E3A"/>
    <w:rsid w:val="005B4407"/>
    <w:rsid w:val="005B49E0"/>
    <w:rsid w:val="005B5DBA"/>
    <w:rsid w:val="005B7851"/>
    <w:rsid w:val="005C0F82"/>
    <w:rsid w:val="005C2298"/>
    <w:rsid w:val="005C37EB"/>
    <w:rsid w:val="005C3D6E"/>
    <w:rsid w:val="005C4182"/>
    <w:rsid w:val="005C5776"/>
    <w:rsid w:val="005D133E"/>
    <w:rsid w:val="005D3BBC"/>
    <w:rsid w:val="005E35FE"/>
    <w:rsid w:val="005E4094"/>
    <w:rsid w:val="005E4CE2"/>
    <w:rsid w:val="005E5096"/>
    <w:rsid w:val="005E54FF"/>
    <w:rsid w:val="005E720B"/>
    <w:rsid w:val="005E7D55"/>
    <w:rsid w:val="005F05F3"/>
    <w:rsid w:val="005F22C7"/>
    <w:rsid w:val="005F2C7A"/>
    <w:rsid w:val="005F321A"/>
    <w:rsid w:val="005F55DE"/>
    <w:rsid w:val="00604203"/>
    <w:rsid w:val="006063E5"/>
    <w:rsid w:val="00606490"/>
    <w:rsid w:val="00606979"/>
    <w:rsid w:val="00607802"/>
    <w:rsid w:val="00607ECB"/>
    <w:rsid w:val="006112C2"/>
    <w:rsid w:val="00612171"/>
    <w:rsid w:val="006146BA"/>
    <w:rsid w:val="00615282"/>
    <w:rsid w:val="00615EF0"/>
    <w:rsid w:val="00616488"/>
    <w:rsid w:val="00620666"/>
    <w:rsid w:val="006208FF"/>
    <w:rsid w:val="00621BF1"/>
    <w:rsid w:val="00622FA2"/>
    <w:rsid w:val="00625428"/>
    <w:rsid w:val="0062586D"/>
    <w:rsid w:val="006267D4"/>
    <w:rsid w:val="0063013B"/>
    <w:rsid w:val="00630709"/>
    <w:rsid w:val="00631A11"/>
    <w:rsid w:val="00634BFD"/>
    <w:rsid w:val="0063556A"/>
    <w:rsid w:val="00635ED2"/>
    <w:rsid w:val="006378C9"/>
    <w:rsid w:val="006408ED"/>
    <w:rsid w:val="00642767"/>
    <w:rsid w:val="00643F80"/>
    <w:rsid w:val="00644226"/>
    <w:rsid w:val="006456BB"/>
    <w:rsid w:val="006466A9"/>
    <w:rsid w:val="00647314"/>
    <w:rsid w:val="00647990"/>
    <w:rsid w:val="00650998"/>
    <w:rsid w:val="00650E1B"/>
    <w:rsid w:val="0065162B"/>
    <w:rsid w:val="006520ED"/>
    <w:rsid w:val="00654764"/>
    <w:rsid w:val="0065488C"/>
    <w:rsid w:val="006551D3"/>
    <w:rsid w:val="00655663"/>
    <w:rsid w:val="0066051C"/>
    <w:rsid w:val="00661349"/>
    <w:rsid w:val="006667BE"/>
    <w:rsid w:val="00667FD1"/>
    <w:rsid w:val="00670AF4"/>
    <w:rsid w:val="00674298"/>
    <w:rsid w:val="00674916"/>
    <w:rsid w:val="00675E1B"/>
    <w:rsid w:val="00676759"/>
    <w:rsid w:val="00676F19"/>
    <w:rsid w:val="00677DBA"/>
    <w:rsid w:val="00680292"/>
    <w:rsid w:val="00680F38"/>
    <w:rsid w:val="006815AE"/>
    <w:rsid w:val="0068527B"/>
    <w:rsid w:val="006859F2"/>
    <w:rsid w:val="0068614F"/>
    <w:rsid w:val="00693E0B"/>
    <w:rsid w:val="006943AF"/>
    <w:rsid w:val="00695DEF"/>
    <w:rsid w:val="0069673A"/>
    <w:rsid w:val="006A1437"/>
    <w:rsid w:val="006A5591"/>
    <w:rsid w:val="006A6E4C"/>
    <w:rsid w:val="006A761C"/>
    <w:rsid w:val="006B0796"/>
    <w:rsid w:val="006B3884"/>
    <w:rsid w:val="006B4E3B"/>
    <w:rsid w:val="006B4E49"/>
    <w:rsid w:val="006B54C6"/>
    <w:rsid w:val="006B6008"/>
    <w:rsid w:val="006B69CB"/>
    <w:rsid w:val="006B754B"/>
    <w:rsid w:val="006B7E77"/>
    <w:rsid w:val="006C1123"/>
    <w:rsid w:val="006C2223"/>
    <w:rsid w:val="006C28F2"/>
    <w:rsid w:val="006C3724"/>
    <w:rsid w:val="006C486B"/>
    <w:rsid w:val="006C4911"/>
    <w:rsid w:val="006C4DCE"/>
    <w:rsid w:val="006C5426"/>
    <w:rsid w:val="006C68F9"/>
    <w:rsid w:val="006C7DBB"/>
    <w:rsid w:val="006D04A9"/>
    <w:rsid w:val="006D05B1"/>
    <w:rsid w:val="006D540B"/>
    <w:rsid w:val="006D584F"/>
    <w:rsid w:val="006E001D"/>
    <w:rsid w:val="006E406D"/>
    <w:rsid w:val="006E430D"/>
    <w:rsid w:val="006E4F2B"/>
    <w:rsid w:val="006E5929"/>
    <w:rsid w:val="006E5D78"/>
    <w:rsid w:val="006E7308"/>
    <w:rsid w:val="006F1DE8"/>
    <w:rsid w:val="006F263F"/>
    <w:rsid w:val="006F43D1"/>
    <w:rsid w:val="006F47AC"/>
    <w:rsid w:val="006F581B"/>
    <w:rsid w:val="006F64C2"/>
    <w:rsid w:val="006F6DD0"/>
    <w:rsid w:val="00700D12"/>
    <w:rsid w:val="007041C6"/>
    <w:rsid w:val="00705031"/>
    <w:rsid w:val="007053E7"/>
    <w:rsid w:val="007055BB"/>
    <w:rsid w:val="00707E12"/>
    <w:rsid w:val="00713D61"/>
    <w:rsid w:val="00716D9B"/>
    <w:rsid w:val="00717791"/>
    <w:rsid w:val="00717BED"/>
    <w:rsid w:val="007216EE"/>
    <w:rsid w:val="0072248A"/>
    <w:rsid w:val="00722A90"/>
    <w:rsid w:val="00722BE8"/>
    <w:rsid w:val="00725DF0"/>
    <w:rsid w:val="0072711A"/>
    <w:rsid w:val="00727D4D"/>
    <w:rsid w:val="0073009E"/>
    <w:rsid w:val="00731D93"/>
    <w:rsid w:val="00731F26"/>
    <w:rsid w:val="00732472"/>
    <w:rsid w:val="00734507"/>
    <w:rsid w:val="007348C2"/>
    <w:rsid w:val="00740696"/>
    <w:rsid w:val="00741B93"/>
    <w:rsid w:val="00747384"/>
    <w:rsid w:val="007473C9"/>
    <w:rsid w:val="00750E64"/>
    <w:rsid w:val="007512E8"/>
    <w:rsid w:val="00751586"/>
    <w:rsid w:val="007518CC"/>
    <w:rsid w:val="007523BB"/>
    <w:rsid w:val="00752727"/>
    <w:rsid w:val="00752D6E"/>
    <w:rsid w:val="00753426"/>
    <w:rsid w:val="00753EED"/>
    <w:rsid w:val="007540FA"/>
    <w:rsid w:val="00754F3F"/>
    <w:rsid w:val="00755956"/>
    <w:rsid w:val="00756106"/>
    <w:rsid w:val="007645B0"/>
    <w:rsid w:val="0076463B"/>
    <w:rsid w:val="00765312"/>
    <w:rsid w:val="00765A93"/>
    <w:rsid w:val="00765D59"/>
    <w:rsid w:val="00766802"/>
    <w:rsid w:val="00766DB6"/>
    <w:rsid w:val="00766DEF"/>
    <w:rsid w:val="00766E60"/>
    <w:rsid w:val="0076747A"/>
    <w:rsid w:val="007703DE"/>
    <w:rsid w:val="007716DB"/>
    <w:rsid w:val="00771909"/>
    <w:rsid w:val="0077213A"/>
    <w:rsid w:val="00773207"/>
    <w:rsid w:val="00774303"/>
    <w:rsid w:val="007756CF"/>
    <w:rsid w:val="00780C31"/>
    <w:rsid w:val="007824BE"/>
    <w:rsid w:val="00782B3D"/>
    <w:rsid w:val="00784AFC"/>
    <w:rsid w:val="00785E80"/>
    <w:rsid w:val="0078680A"/>
    <w:rsid w:val="0078690C"/>
    <w:rsid w:val="00790567"/>
    <w:rsid w:val="0079224E"/>
    <w:rsid w:val="00793C96"/>
    <w:rsid w:val="007A1E73"/>
    <w:rsid w:val="007A22DC"/>
    <w:rsid w:val="007A3839"/>
    <w:rsid w:val="007A4A52"/>
    <w:rsid w:val="007B240E"/>
    <w:rsid w:val="007B396A"/>
    <w:rsid w:val="007B76A3"/>
    <w:rsid w:val="007B7C82"/>
    <w:rsid w:val="007C1C1D"/>
    <w:rsid w:val="007C1F86"/>
    <w:rsid w:val="007C2C35"/>
    <w:rsid w:val="007C3550"/>
    <w:rsid w:val="007C4565"/>
    <w:rsid w:val="007C6491"/>
    <w:rsid w:val="007C709D"/>
    <w:rsid w:val="007C7FC9"/>
    <w:rsid w:val="007D0A1B"/>
    <w:rsid w:val="007D2520"/>
    <w:rsid w:val="007D4803"/>
    <w:rsid w:val="007D5730"/>
    <w:rsid w:val="007D7486"/>
    <w:rsid w:val="007E04F3"/>
    <w:rsid w:val="007E14A4"/>
    <w:rsid w:val="007E36F2"/>
    <w:rsid w:val="007E59E3"/>
    <w:rsid w:val="007E60EB"/>
    <w:rsid w:val="007E68C1"/>
    <w:rsid w:val="007F0288"/>
    <w:rsid w:val="007F0E00"/>
    <w:rsid w:val="007F1CCF"/>
    <w:rsid w:val="007F1CE6"/>
    <w:rsid w:val="007F3359"/>
    <w:rsid w:val="007F355E"/>
    <w:rsid w:val="007F5A85"/>
    <w:rsid w:val="007F5D43"/>
    <w:rsid w:val="007F6168"/>
    <w:rsid w:val="007F6E36"/>
    <w:rsid w:val="008019B0"/>
    <w:rsid w:val="0080209E"/>
    <w:rsid w:val="00803015"/>
    <w:rsid w:val="00805D15"/>
    <w:rsid w:val="00805EDC"/>
    <w:rsid w:val="0080606D"/>
    <w:rsid w:val="00806637"/>
    <w:rsid w:val="00812326"/>
    <w:rsid w:val="00812651"/>
    <w:rsid w:val="00814ECF"/>
    <w:rsid w:val="00815D47"/>
    <w:rsid w:val="00816300"/>
    <w:rsid w:val="00816A44"/>
    <w:rsid w:val="00821DFD"/>
    <w:rsid w:val="00822129"/>
    <w:rsid w:val="00822CCB"/>
    <w:rsid w:val="00824C5B"/>
    <w:rsid w:val="008250C3"/>
    <w:rsid w:val="00825327"/>
    <w:rsid w:val="00825882"/>
    <w:rsid w:val="00826BD1"/>
    <w:rsid w:val="0082773F"/>
    <w:rsid w:val="00827D40"/>
    <w:rsid w:val="00830630"/>
    <w:rsid w:val="008309D1"/>
    <w:rsid w:val="00830F37"/>
    <w:rsid w:val="008311DC"/>
    <w:rsid w:val="00833F3B"/>
    <w:rsid w:val="0083461B"/>
    <w:rsid w:val="00836138"/>
    <w:rsid w:val="00836853"/>
    <w:rsid w:val="00840AD3"/>
    <w:rsid w:val="00842238"/>
    <w:rsid w:val="00842412"/>
    <w:rsid w:val="008434B4"/>
    <w:rsid w:val="00843D5F"/>
    <w:rsid w:val="008459CD"/>
    <w:rsid w:val="00846E40"/>
    <w:rsid w:val="00851B39"/>
    <w:rsid w:val="008531B4"/>
    <w:rsid w:val="00855854"/>
    <w:rsid w:val="00861ECE"/>
    <w:rsid w:val="0086233A"/>
    <w:rsid w:val="00865C02"/>
    <w:rsid w:val="00866128"/>
    <w:rsid w:val="008662A4"/>
    <w:rsid w:val="008665BF"/>
    <w:rsid w:val="00866A76"/>
    <w:rsid w:val="00867D66"/>
    <w:rsid w:val="008705A0"/>
    <w:rsid w:val="00871CB2"/>
    <w:rsid w:val="008746CF"/>
    <w:rsid w:val="00875869"/>
    <w:rsid w:val="00875E90"/>
    <w:rsid w:val="008808AD"/>
    <w:rsid w:val="008813BA"/>
    <w:rsid w:val="008825EB"/>
    <w:rsid w:val="00884A37"/>
    <w:rsid w:val="00885546"/>
    <w:rsid w:val="008860E2"/>
    <w:rsid w:val="008868C9"/>
    <w:rsid w:val="0088746D"/>
    <w:rsid w:val="008912B1"/>
    <w:rsid w:val="00891EEC"/>
    <w:rsid w:val="00892572"/>
    <w:rsid w:val="008925A4"/>
    <w:rsid w:val="00893D8D"/>
    <w:rsid w:val="0089446A"/>
    <w:rsid w:val="008A1A36"/>
    <w:rsid w:val="008A5387"/>
    <w:rsid w:val="008A5DDF"/>
    <w:rsid w:val="008B244E"/>
    <w:rsid w:val="008B55B8"/>
    <w:rsid w:val="008B5B5A"/>
    <w:rsid w:val="008C10EE"/>
    <w:rsid w:val="008C1A81"/>
    <w:rsid w:val="008C317F"/>
    <w:rsid w:val="008C3DDC"/>
    <w:rsid w:val="008C4072"/>
    <w:rsid w:val="008C4D74"/>
    <w:rsid w:val="008C7172"/>
    <w:rsid w:val="008C7E63"/>
    <w:rsid w:val="008D015B"/>
    <w:rsid w:val="008D489E"/>
    <w:rsid w:val="008D6087"/>
    <w:rsid w:val="008E1F5C"/>
    <w:rsid w:val="008E3044"/>
    <w:rsid w:val="008E30D7"/>
    <w:rsid w:val="008E47CD"/>
    <w:rsid w:val="008E6A9F"/>
    <w:rsid w:val="008E6B3D"/>
    <w:rsid w:val="008F1599"/>
    <w:rsid w:val="008F3067"/>
    <w:rsid w:val="008F32E3"/>
    <w:rsid w:val="008F42CC"/>
    <w:rsid w:val="008F457B"/>
    <w:rsid w:val="008F4DC1"/>
    <w:rsid w:val="008F6A7B"/>
    <w:rsid w:val="008F7787"/>
    <w:rsid w:val="00900803"/>
    <w:rsid w:val="00902CDC"/>
    <w:rsid w:val="00902EFE"/>
    <w:rsid w:val="00904867"/>
    <w:rsid w:val="0090698B"/>
    <w:rsid w:val="009122ED"/>
    <w:rsid w:val="00913DAD"/>
    <w:rsid w:val="009142FE"/>
    <w:rsid w:val="00914A50"/>
    <w:rsid w:val="0091599A"/>
    <w:rsid w:val="00916907"/>
    <w:rsid w:val="0091767E"/>
    <w:rsid w:val="009176FF"/>
    <w:rsid w:val="00917F42"/>
    <w:rsid w:val="009206E4"/>
    <w:rsid w:val="00920F38"/>
    <w:rsid w:val="009215D0"/>
    <w:rsid w:val="00923562"/>
    <w:rsid w:val="009254E9"/>
    <w:rsid w:val="00925507"/>
    <w:rsid w:val="00925DCE"/>
    <w:rsid w:val="00927AEA"/>
    <w:rsid w:val="009310B0"/>
    <w:rsid w:val="009314BB"/>
    <w:rsid w:val="00933069"/>
    <w:rsid w:val="009334FA"/>
    <w:rsid w:val="009343AE"/>
    <w:rsid w:val="00935F0E"/>
    <w:rsid w:val="009401DA"/>
    <w:rsid w:val="00940E9F"/>
    <w:rsid w:val="00941D97"/>
    <w:rsid w:val="00945C78"/>
    <w:rsid w:val="00946A44"/>
    <w:rsid w:val="00946DCE"/>
    <w:rsid w:val="00947D36"/>
    <w:rsid w:val="00950B3C"/>
    <w:rsid w:val="00952FD5"/>
    <w:rsid w:val="00953140"/>
    <w:rsid w:val="0095436B"/>
    <w:rsid w:val="00955B63"/>
    <w:rsid w:val="00956AC4"/>
    <w:rsid w:val="009570CB"/>
    <w:rsid w:val="009576AB"/>
    <w:rsid w:val="00960AF6"/>
    <w:rsid w:val="00960CFE"/>
    <w:rsid w:val="0096378C"/>
    <w:rsid w:val="00963F33"/>
    <w:rsid w:val="00965970"/>
    <w:rsid w:val="00965F49"/>
    <w:rsid w:val="00966E9D"/>
    <w:rsid w:val="009677E4"/>
    <w:rsid w:val="0097035B"/>
    <w:rsid w:val="00971FFA"/>
    <w:rsid w:val="0097228E"/>
    <w:rsid w:val="0097404F"/>
    <w:rsid w:val="009750E0"/>
    <w:rsid w:val="00977947"/>
    <w:rsid w:val="00977B6B"/>
    <w:rsid w:val="00977B81"/>
    <w:rsid w:val="009801DB"/>
    <w:rsid w:val="00980315"/>
    <w:rsid w:val="009805D5"/>
    <w:rsid w:val="009819AB"/>
    <w:rsid w:val="00982F79"/>
    <w:rsid w:val="00983984"/>
    <w:rsid w:val="009847F9"/>
    <w:rsid w:val="00987B04"/>
    <w:rsid w:val="00990DF1"/>
    <w:rsid w:val="00993561"/>
    <w:rsid w:val="00993BC3"/>
    <w:rsid w:val="00994681"/>
    <w:rsid w:val="00994877"/>
    <w:rsid w:val="00994F79"/>
    <w:rsid w:val="00995A9A"/>
    <w:rsid w:val="009A3B52"/>
    <w:rsid w:val="009A4E6B"/>
    <w:rsid w:val="009B006B"/>
    <w:rsid w:val="009B1578"/>
    <w:rsid w:val="009B2C42"/>
    <w:rsid w:val="009B4CD8"/>
    <w:rsid w:val="009B6CA5"/>
    <w:rsid w:val="009C0306"/>
    <w:rsid w:val="009C0DCE"/>
    <w:rsid w:val="009C2635"/>
    <w:rsid w:val="009C4ED1"/>
    <w:rsid w:val="009C5054"/>
    <w:rsid w:val="009C5507"/>
    <w:rsid w:val="009C62D0"/>
    <w:rsid w:val="009C6EC1"/>
    <w:rsid w:val="009D1A66"/>
    <w:rsid w:val="009D2B85"/>
    <w:rsid w:val="009D2D0D"/>
    <w:rsid w:val="009D4377"/>
    <w:rsid w:val="009D43F2"/>
    <w:rsid w:val="009D5FD1"/>
    <w:rsid w:val="009D6025"/>
    <w:rsid w:val="009D6171"/>
    <w:rsid w:val="009D73D1"/>
    <w:rsid w:val="009D7C8A"/>
    <w:rsid w:val="009D7ECB"/>
    <w:rsid w:val="009E0050"/>
    <w:rsid w:val="009E0B10"/>
    <w:rsid w:val="009E17EE"/>
    <w:rsid w:val="009E3348"/>
    <w:rsid w:val="009E3357"/>
    <w:rsid w:val="009E3A64"/>
    <w:rsid w:val="009E4002"/>
    <w:rsid w:val="009E46F3"/>
    <w:rsid w:val="009F0148"/>
    <w:rsid w:val="009F0213"/>
    <w:rsid w:val="009F2C17"/>
    <w:rsid w:val="009F3428"/>
    <w:rsid w:val="009F370E"/>
    <w:rsid w:val="009F42F2"/>
    <w:rsid w:val="009F484C"/>
    <w:rsid w:val="00A03D29"/>
    <w:rsid w:val="00A06604"/>
    <w:rsid w:val="00A06B7A"/>
    <w:rsid w:val="00A124BD"/>
    <w:rsid w:val="00A138BF"/>
    <w:rsid w:val="00A150DF"/>
    <w:rsid w:val="00A15D0D"/>
    <w:rsid w:val="00A15E74"/>
    <w:rsid w:val="00A166AE"/>
    <w:rsid w:val="00A16852"/>
    <w:rsid w:val="00A20409"/>
    <w:rsid w:val="00A22445"/>
    <w:rsid w:val="00A2397E"/>
    <w:rsid w:val="00A256B9"/>
    <w:rsid w:val="00A26DCC"/>
    <w:rsid w:val="00A26E58"/>
    <w:rsid w:val="00A272A0"/>
    <w:rsid w:val="00A27CB9"/>
    <w:rsid w:val="00A31AA3"/>
    <w:rsid w:val="00A345E2"/>
    <w:rsid w:val="00A35620"/>
    <w:rsid w:val="00A365D3"/>
    <w:rsid w:val="00A36D9A"/>
    <w:rsid w:val="00A417B8"/>
    <w:rsid w:val="00A420C3"/>
    <w:rsid w:val="00A42663"/>
    <w:rsid w:val="00A42E56"/>
    <w:rsid w:val="00A45A80"/>
    <w:rsid w:val="00A46E52"/>
    <w:rsid w:val="00A47130"/>
    <w:rsid w:val="00A51197"/>
    <w:rsid w:val="00A53868"/>
    <w:rsid w:val="00A538CD"/>
    <w:rsid w:val="00A54938"/>
    <w:rsid w:val="00A56770"/>
    <w:rsid w:val="00A56D07"/>
    <w:rsid w:val="00A56D4D"/>
    <w:rsid w:val="00A57279"/>
    <w:rsid w:val="00A57933"/>
    <w:rsid w:val="00A57C8F"/>
    <w:rsid w:val="00A57EFC"/>
    <w:rsid w:val="00A60E8A"/>
    <w:rsid w:val="00A613C0"/>
    <w:rsid w:val="00A62000"/>
    <w:rsid w:val="00A620FD"/>
    <w:rsid w:val="00A63E2A"/>
    <w:rsid w:val="00A64776"/>
    <w:rsid w:val="00A64CA9"/>
    <w:rsid w:val="00A64D72"/>
    <w:rsid w:val="00A67DF1"/>
    <w:rsid w:val="00A7260A"/>
    <w:rsid w:val="00A73E99"/>
    <w:rsid w:val="00A741EE"/>
    <w:rsid w:val="00A7734D"/>
    <w:rsid w:val="00A773E8"/>
    <w:rsid w:val="00A77700"/>
    <w:rsid w:val="00A777D6"/>
    <w:rsid w:val="00A81949"/>
    <w:rsid w:val="00A84818"/>
    <w:rsid w:val="00A90BAE"/>
    <w:rsid w:val="00A91ABC"/>
    <w:rsid w:val="00A91DB4"/>
    <w:rsid w:val="00A952AE"/>
    <w:rsid w:val="00A968E3"/>
    <w:rsid w:val="00AA28A9"/>
    <w:rsid w:val="00AA2B87"/>
    <w:rsid w:val="00AA4268"/>
    <w:rsid w:val="00AA48F6"/>
    <w:rsid w:val="00AA7633"/>
    <w:rsid w:val="00AA77AD"/>
    <w:rsid w:val="00AB2632"/>
    <w:rsid w:val="00AB3894"/>
    <w:rsid w:val="00AB415A"/>
    <w:rsid w:val="00AB432B"/>
    <w:rsid w:val="00AB459A"/>
    <w:rsid w:val="00AB45B1"/>
    <w:rsid w:val="00AB6B89"/>
    <w:rsid w:val="00AC03F3"/>
    <w:rsid w:val="00AC1BA8"/>
    <w:rsid w:val="00AC23C7"/>
    <w:rsid w:val="00AC4071"/>
    <w:rsid w:val="00AC4B86"/>
    <w:rsid w:val="00AC5702"/>
    <w:rsid w:val="00AC6A20"/>
    <w:rsid w:val="00AC7A0F"/>
    <w:rsid w:val="00AD2F6E"/>
    <w:rsid w:val="00AD3275"/>
    <w:rsid w:val="00AD32D4"/>
    <w:rsid w:val="00AE00AE"/>
    <w:rsid w:val="00AE00D8"/>
    <w:rsid w:val="00AE06A6"/>
    <w:rsid w:val="00AE0FC1"/>
    <w:rsid w:val="00AE1A0C"/>
    <w:rsid w:val="00AE3587"/>
    <w:rsid w:val="00AE4E28"/>
    <w:rsid w:val="00AE7DF7"/>
    <w:rsid w:val="00AF01EB"/>
    <w:rsid w:val="00AF0545"/>
    <w:rsid w:val="00AF1CFA"/>
    <w:rsid w:val="00AF26EE"/>
    <w:rsid w:val="00AF4765"/>
    <w:rsid w:val="00AF4768"/>
    <w:rsid w:val="00AF4B73"/>
    <w:rsid w:val="00AF6AAC"/>
    <w:rsid w:val="00B008E0"/>
    <w:rsid w:val="00B01059"/>
    <w:rsid w:val="00B01B5C"/>
    <w:rsid w:val="00B02B07"/>
    <w:rsid w:val="00B0341C"/>
    <w:rsid w:val="00B03520"/>
    <w:rsid w:val="00B0414F"/>
    <w:rsid w:val="00B05874"/>
    <w:rsid w:val="00B06833"/>
    <w:rsid w:val="00B1183E"/>
    <w:rsid w:val="00B1366B"/>
    <w:rsid w:val="00B13A0C"/>
    <w:rsid w:val="00B14723"/>
    <w:rsid w:val="00B15CAF"/>
    <w:rsid w:val="00B1751C"/>
    <w:rsid w:val="00B20CD3"/>
    <w:rsid w:val="00B21BB9"/>
    <w:rsid w:val="00B220D9"/>
    <w:rsid w:val="00B230DC"/>
    <w:rsid w:val="00B23A16"/>
    <w:rsid w:val="00B244EC"/>
    <w:rsid w:val="00B24AEE"/>
    <w:rsid w:val="00B254CF"/>
    <w:rsid w:val="00B25828"/>
    <w:rsid w:val="00B26FEA"/>
    <w:rsid w:val="00B27AE5"/>
    <w:rsid w:val="00B300CF"/>
    <w:rsid w:val="00B31DED"/>
    <w:rsid w:val="00B346FF"/>
    <w:rsid w:val="00B35C03"/>
    <w:rsid w:val="00B41196"/>
    <w:rsid w:val="00B43AE9"/>
    <w:rsid w:val="00B44750"/>
    <w:rsid w:val="00B459B1"/>
    <w:rsid w:val="00B462F0"/>
    <w:rsid w:val="00B46AD7"/>
    <w:rsid w:val="00B46DAC"/>
    <w:rsid w:val="00B50E96"/>
    <w:rsid w:val="00B52254"/>
    <w:rsid w:val="00B52D42"/>
    <w:rsid w:val="00B54FD2"/>
    <w:rsid w:val="00B55235"/>
    <w:rsid w:val="00B57DD6"/>
    <w:rsid w:val="00B610E7"/>
    <w:rsid w:val="00B627C3"/>
    <w:rsid w:val="00B66CB2"/>
    <w:rsid w:val="00B67D91"/>
    <w:rsid w:val="00B70D25"/>
    <w:rsid w:val="00B73F5A"/>
    <w:rsid w:val="00B7531A"/>
    <w:rsid w:val="00B76FEF"/>
    <w:rsid w:val="00B87931"/>
    <w:rsid w:val="00B91156"/>
    <w:rsid w:val="00B928FC"/>
    <w:rsid w:val="00B92E45"/>
    <w:rsid w:val="00B95133"/>
    <w:rsid w:val="00B977DB"/>
    <w:rsid w:val="00BA0595"/>
    <w:rsid w:val="00BA3E98"/>
    <w:rsid w:val="00BA5CD6"/>
    <w:rsid w:val="00BA6C76"/>
    <w:rsid w:val="00BB3B7E"/>
    <w:rsid w:val="00BB7166"/>
    <w:rsid w:val="00BB7711"/>
    <w:rsid w:val="00BC1439"/>
    <w:rsid w:val="00BC425B"/>
    <w:rsid w:val="00BC5752"/>
    <w:rsid w:val="00BC5AB8"/>
    <w:rsid w:val="00BC5C98"/>
    <w:rsid w:val="00BC62F0"/>
    <w:rsid w:val="00BC68A6"/>
    <w:rsid w:val="00BD09B6"/>
    <w:rsid w:val="00BD1C6A"/>
    <w:rsid w:val="00BD2138"/>
    <w:rsid w:val="00BD4566"/>
    <w:rsid w:val="00BD7A7F"/>
    <w:rsid w:val="00BE1306"/>
    <w:rsid w:val="00BE2B5C"/>
    <w:rsid w:val="00BE5168"/>
    <w:rsid w:val="00BE5963"/>
    <w:rsid w:val="00BE5BB2"/>
    <w:rsid w:val="00BF311A"/>
    <w:rsid w:val="00BF3C3A"/>
    <w:rsid w:val="00BF3F70"/>
    <w:rsid w:val="00BF7A8F"/>
    <w:rsid w:val="00C02485"/>
    <w:rsid w:val="00C03663"/>
    <w:rsid w:val="00C04AD7"/>
    <w:rsid w:val="00C11144"/>
    <w:rsid w:val="00C14A6E"/>
    <w:rsid w:val="00C14C28"/>
    <w:rsid w:val="00C17CCC"/>
    <w:rsid w:val="00C20AD8"/>
    <w:rsid w:val="00C21071"/>
    <w:rsid w:val="00C214B7"/>
    <w:rsid w:val="00C21F3C"/>
    <w:rsid w:val="00C22D23"/>
    <w:rsid w:val="00C2377F"/>
    <w:rsid w:val="00C23BB6"/>
    <w:rsid w:val="00C23C75"/>
    <w:rsid w:val="00C23F02"/>
    <w:rsid w:val="00C25543"/>
    <w:rsid w:val="00C25A95"/>
    <w:rsid w:val="00C30C0D"/>
    <w:rsid w:val="00C33A61"/>
    <w:rsid w:val="00C33D13"/>
    <w:rsid w:val="00C34337"/>
    <w:rsid w:val="00C365F0"/>
    <w:rsid w:val="00C36674"/>
    <w:rsid w:val="00C37E83"/>
    <w:rsid w:val="00C41E0C"/>
    <w:rsid w:val="00C4318D"/>
    <w:rsid w:val="00C474B5"/>
    <w:rsid w:val="00C505EE"/>
    <w:rsid w:val="00C51A2B"/>
    <w:rsid w:val="00C523DB"/>
    <w:rsid w:val="00C540EF"/>
    <w:rsid w:val="00C557FB"/>
    <w:rsid w:val="00C57245"/>
    <w:rsid w:val="00C57CB2"/>
    <w:rsid w:val="00C57D2E"/>
    <w:rsid w:val="00C60EFB"/>
    <w:rsid w:val="00C61D48"/>
    <w:rsid w:val="00C62B36"/>
    <w:rsid w:val="00C63E5A"/>
    <w:rsid w:val="00C64DC6"/>
    <w:rsid w:val="00C654FE"/>
    <w:rsid w:val="00C67143"/>
    <w:rsid w:val="00C6794B"/>
    <w:rsid w:val="00C70A2B"/>
    <w:rsid w:val="00C7192E"/>
    <w:rsid w:val="00C71CC1"/>
    <w:rsid w:val="00C7201C"/>
    <w:rsid w:val="00C73242"/>
    <w:rsid w:val="00C737B7"/>
    <w:rsid w:val="00C74BB4"/>
    <w:rsid w:val="00C7553C"/>
    <w:rsid w:val="00C755C2"/>
    <w:rsid w:val="00C761E9"/>
    <w:rsid w:val="00C76F3B"/>
    <w:rsid w:val="00C813F7"/>
    <w:rsid w:val="00C82EC7"/>
    <w:rsid w:val="00C832F3"/>
    <w:rsid w:val="00C83820"/>
    <w:rsid w:val="00C86AED"/>
    <w:rsid w:val="00C872F6"/>
    <w:rsid w:val="00C87D66"/>
    <w:rsid w:val="00C87E38"/>
    <w:rsid w:val="00C940BE"/>
    <w:rsid w:val="00C9480D"/>
    <w:rsid w:val="00C949AC"/>
    <w:rsid w:val="00C94C15"/>
    <w:rsid w:val="00C95B05"/>
    <w:rsid w:val="00CA1FD2"/>
    <w:rsid w:val="00CA2027"/>
    <w:rsid w:val="00CA3369"/>
    <w:rsid w:val="00CA455C"/>
    <w:rsid w:val="00CA7BB5"/>
    <w:rsid w:val="00CB3073"/>
    <w:rsid w:val="00CB31C5"/>
    <w:rsid w:val="00CB3584"/>
    <w:rsid w:val="00CB676F"/>
    <w:rsid w:val="00CB6F91"/>
    <w:rsid w:val="00CC11EB"/>
    <w:rsid w:val="00CC1B60"/>
    <w:rsid w:val="00CC5168"/>
    <w:rsid w:val="00CC58EE"/>
    <w:rsid w:val="00CC63C8"/>
    <w:rsid w:val="00CC6CCC"/>
    <w:rsid w:val="00CD0A8B"/>
    <w:rsid w:val="00CD0CE2"/>
    <w:rsid w:val="00CD2C32"/>
    <w:rsid w:val="00CD2CB8"/>
    <w:rsid w:val="00CD30D6"/>
    <w:rsid w:val="00CD5D04"/>
    <w:rsid w:val="00CD78E3"/>
    <w:rsid w:val="00CD798D"/>
    <w:rsid w:val="00CE08FE"/>
    <w:rsid w:val="00CE20E1"/>
    <w:rsid w:val="00CE5A60"/>
    <w:rsid w:val="00CE6A17"/>
    <w:rsid w:val="00CE79D2"/>
    <w:rsid w:val="00CF18BE"/>
    <w:rsid w:val="00CF1DF1"/>
    <w:rsid w:val="00CF1E17"/>
    <w:rsid w:val="00CF25F4"/>
    <w:rsid w:val="00CF727D"/>
    <w:rsid w:val="00D0076B"/>
    <w:rsid w:val="00D02F0E"/>
    <w:rsid w:val="00D0392B"/>
    <w:rsid w:val="00D04F82"/>
    <w:rsid w:val="00D07006"/>
    <w:rsid w:val="00D075AF"/>
    <w:rsid w:val="00D1047D"/>
    <w:rsid w:val="00D1116E"/>
    <w:rsid w:val="00D1246F"/>
    <w:rsid w:val="00D13858"/>
    <w:rsid w:val="00D14A02"/>
    <w:rsid w:val="00D16306"/>
    <w:rsid w:val="00D16884"/>
    <w:rsid w:val="00D16A2B"/>
    <w:rsid w:val="00D17752"/>
    <w:rsid w:val="00D20802"/>
    <w:rsid w:val="00D20C8D"/>
    <w:rsid w:val="00D271CD"/>
    <w:rsid w:val="00D31BD4"/>
    <w:rsid w:val="00D3225D"/>
    <w:rsid w:val="00D346FD"/>
    <w:rsid w:val="00D35C1A"/>
    <w:rsid w:val="00D3718B"/>
    <w:rsid w:val="00D4005F"/>
    <w:rsid w:val="00D40457"/>
    <w:rsid w:val="00D40715"/>
    <w:rsid w:val="00D40ADA"/>
    <w:rsid w:val="00D42F03"/>
    <w:rsid w:val="00D4350A"/>
    <w:rsid w:val="00D43711"/>
    <w:rsid w:val="00D439C2"/>
    <w:rsid w:val="00D45215"/>
    <w:rsid w:val="00D503CF"/>
    <w:rsid w:val="00D516DB"/>
    <w:rsid w:val="00D52A4A"/>
    <w:rsid w:val="00D52AE5"/>
    <w:rsid w:val="00D52C48"/>
    <w:rsid w:val="00D52E5A"/>
    <w:rsid w:val="00D52EA6"/>
    <w:rsid w:val="00D53AD7"/>
    <w:rsid w:val="00D5479C"/>
    <w:rsid w:val="00D55BCF"/>
    <w:rsid w:val="00D55CDA"/>
    <w:rsid w:val="00D6306C"/>
    <w:rsid w:val="00D63459"/>
    <w:rsid w:val="00D66F37"/>
    <w:rsid w:val="00D67628"/>
    <w:rsid w:val="00D70B05"/>
    <w:rsid w:val="00D72E80"/>
    <w:rsid w:val="00D74150"/>
    <w:rsid w:val="00D74297"/>
    <w:rsid w:val="00D74C74"/>
    <w:rsid w:val="00D7618C"/>
    <w:rsid w:val="00D7641F"/>
    <w:rsid w:val="00D76F30"/>
    <w:rsid w:val="00D772E3"/>
    <w:rsid w:val="00D7735B"/>
    <w:rsid w:val="00D773B5"/>
    <w:rsid w:val="00D80DE3"/>
    <w:rsid w:val="00D851A0"/>
    <w:rsid w:val="00D862DB"/>
    <w:rsid w:val="00D879CA"/>
    <w:rsid w:val="00D9063F"/>
    <w:rsid w:val="00D90AF9"/>
    <w:rsid w:val="00D9145D"/>
    <w:rsid w:val="00D92608"/>
    <w:rsid w:val="00D9622D"/>
    <w:rsid w:val="00DA155F"/>
    <w:rsid w:val="00DA2992"/>
    <w:rsid w:val="00DA2CA8"/>
    <w:rsid w:val="00DA425C"/>
    <w:rsid w:val="00DA5A0C"/>
    <w:rsid w:val="00DA6FCA"/>
    <w:rsid w:val="00DB122F"/>
    <w:rsid w:val="00DB24B4"/>
    <w:rsid w:val="00DB2A6B"/>
    <w:rsid w:val="00DB2F8F"/>
    <w:rsid w:val="00DB3814"/>
    <w:rsid w:val="00DB4AA7"/>
    <w:rsid w:val="00DB54AC"/>
    <w:rsid w:val="00DB6756"/>
    <w:rsid w:val="00DB6D7B"/>
    <w:rsid w:val="00DB7D2C"/>
    <w:rsid w:val="00DC1A88"/>
    <w:rsid w:val="00DC1E3A"/>
    <w:rsid w:val="00DC7211"/>
    <w:rsid w:val="00DD178B"/>
    <w:rsid w:val="00DD2782"/>
    <w:rsid w:val="00DD27CD"/>
    <w:rsid w:val="00DD33A7"/>
    <w:rsid w:val="00DD355C"/>
    <w:rsid w:val="00DD3B94"/>
    <w:rsid w:val="00DD44B4"/>
    <w:rsid w:val="00DD4DE2"/>
    <w:rsid w:val="00DD5ECE"/>
    <w:rsid w:val="00DD6108"/>
    <w:rsid w:val="00DD699A"/>
    <w:rsid w:val="00DE0AF9"/>
    <w:rsid w:val="00DE167D"/>
    <w:rsid w:val="00DE1AC9"/>
    <w:rsid w:val="00DE2DAC"/>
    <w:rsid w:val="00DE6191"/>
    <w:rsid w:val="00DE75AC"/>
    <w:rsid w:val="00DF2026"/>
    <w:rsid w:val="00DF53BE"/>
    <w:rsid w:val="00E00548"/>
    <w:rsid w:val="00E029A5"/>
    <w:rsid w:val="00E0476C"/>
    <w:rsid w:val="00E05203"/>
    <w:rsid w:val="00E12543"/>
    <w:rsid w:val="00E132C0"/>
    <w:rsid w:val="00E17467"/>
    <w:rsid w:val="00E21694"/>
    <w:rsid w:val="00E2210E"/>
    <w:rsid w:val="00E236E6"/>
    <w:rsid w:val="00E2499C"/>
    <w:rsid w:val="00E261C1"/>
    <w:rsid w:val="00E279BB"/>
    <w:rsid w:val="00E27E89"/>
    <w:rsid w:val="00E30452"/>
    <w:rsid w:val="00E31701"/>
    <w:rsid w:val="00E32CAA"/>
    <w:rsid w:val="00E35548"/>
    <w:rsid w:val="00E35D2E"/>
    <w:rsid w:val="00E41E32"/>
    <w:rsid w:val="00E45E05"/>
    <w:rsid w:val="00E47BDC"/>
    <w:rsid w:val="00E50EA2"/>
    <w:rsid w:val="00E5271C"/>
    <w:rsid w:val="00E5546B"/>
    <w:rsid w:val="00E55624"/>
    <w:rsid w:val="00E55943"/>
    <w:rsid w:val="00E56666"/>
    <w:rsid w:val="00E568ED"/>
    <w:rsid w:val="00E61438"/>
    <w:rsid w:val="00E616A5"/>
    <w:rsid w:val="00E6321A"/>
    <w:rsid w:val="00E66352"/>
    <w:rsid w:val="00E700A8"/>
    <w:rsid w:val="00E7030C"/>
    <w:rsid w:val="00E7031C"/>
    <w:rsid w:val="00E71CAA"/>
    <w:rsid w:val="00E72BCB"/>
    <w:rsid w:val="00E72C56"/>
    <w:rsid w:val="00E7426E"/>
    <w:rsid w:val="00E75B94"/>
    <w:rsid w:val="00E76424"/>
    <w:rsid w:val="00E76B6E"/>
    <w:rsid w:val="00E775BD"/>
    <w:rsid w:val="00E77900"/>
    <w:rsid w:val="00E8093E"/>
    <w:rsid w:val="00E8241B"/>
    <w:rsid w:val="00E824A6"/>
    <w:rsid w:val="00E846BE"/>
    <w:rsid w:val="00E879A5"/>
    <w:rsid w:val="00E90418"/>
    <w:rsid w:val="00E918DE"/>
    <w:rsid w:val="00E92256"/>
    <w:rsid w:val="00E94D10"/>
    <w:rsid w:val="00E95F8C"/>
    <w:rsid w:val="00E97BE0"/>
    <w:rsid w:val="00E97D30"/>
    <w:rsid w:val="00EA29A5"/>
    <w:rsid w:val="00EA3DA1"/>
    <w:rsid w:val="00EB2AA4"/>
    <w:rsid w:val="00EB3581"/>
    <w:rsid w:val="00EB386E"/>
    <w:rsid w:val="00EB7DA2"/>
    <w:rsid w:val="00EC04E5"/>
    <w:rsid w:val="00EC2281"/>
    <w:rsid w:val="00EC248C"/>
    <w:rsid w:val="00EC73D9"/>
    <w:rsid w:val="00ED1485"/>
    <w:rsid w:val="00ED1984"/>
    <w:rsid w:val="00ED30B7"/>
    <w:rsid w:val="00ED3A7E"/>
    <w:rsid w:val="00ED588A"/>
    <w:rsid w:val="00ED6151"/>
    <w:rsid w:val="00ED7EA9"/>
    <w:rsid w:val="00EE1EE4"/>
    <w:rsid w:val="00EE220C"/>
    <w:rsid w:val="00EE2292"/>
    <w:rsid w:val="00EE3395"/>
    <w:rsid w:val="00EE6063"/>
    <w:rsid w:val="00EE67AB"/>
    <w:rsid w:val="00EF1987"/>
    <w:rsid w:val="00EF23D9"/>
    <w:rsid w:val="00EF712C"/>
    <w:rsid w:val="00F01571"/>
    <w:rsid w:val="00F01EEF"/>
    <w:rsid w:val="00F028FD"/>
    <w:rsid w:val="00F0457D"/>
    <w:rsid w:val="00F04D6F"/>
    <w:rsid w:val="00F051D4"/>
    <w:rsid w:val="00F139D1"/>
    <w:rsid w:val="00F169C7"/>
    <w:rsid w:val="00F210D2"/>
    <w:rsid w:val="00F21BE1"/>
    <w:rsid w:val="00F21CBC"/>
    <w:rsid w:val="00F24866"/>
    <w:rsid w:val="00F2590E"/>
    <w:rsid w:val="00F26E0F"/>
    <w:rsid w:val="00F27572"/>
    <w:rsid w:val="00F303CF"/>
    <w:rsid w:val="00F30747"/>
    <w:rsid w:val="00F3128E"/>
    <w:rsid w:val="00F31957"/>
    <w:rsid w:val="00F31B0D"/>
    <w:rsid w:val="00F35C85"/>
    <w:rsid w:val="00F37136"/>
    <w:rsid w:val="00F40882"/>
    <w:rsid w:val="00F40EB0"/>
    <w:rsid w:val="00F419D2"/>
    <w:rsid w:val="00F42437"/>
    <w:rsid w:val="00F42C31"/>
    <w:rsid w:val="00F45B90"/>
    <w:rsid w:val="00F46EBB"/>
    <w:rsid w:val="00F52650"/>
    <w:rsid w:val="00F53DFB"/>
    <w:rsid w:val="00F56BA1"/>
    <w:rsid w:val="00F573CA"/>
    <w:rsid w:val="00F57F29"/>
    <w:rsid w:val="00F602D1"/>
    <w:rsid w:val="00F6347D"/>
    <w:rsid w:val="00F63CD1"/>
    <w:rsid w:val="00F65A3D"/>
    <w:rsid w:val="00F65CD4"/>
    <w:rsid w:val="00F663C6"/>
    <w:rsid w:val="00F666F4"/>
    <w:rsid w:val="00F70675"/>
    <w:rsid w:val="00F71179"/>
    <w:rsid w:val="00F71261"/>
    <w:rsid w:val="00F7127E"/>
    <w:rsid w:val="00F7400A"/>
    <w:rsid w:val="00F766F6"/>
    <w:rsid w:val="00F82215"/>
    <w:rsid w:val="00F828A3"/>
    <w:rsid w:val="00F864AD"/>
    <w:rsid w:val="00F870A3"/>
    <w:rsid w:val="00F876EB"/>
    <w:rsid w:val="00F90525"/>
    <w:rsid w:val="00F908F2"/>
    <w:rsid w:val="00F90C22"/>
    <w:rsid w:val="00F92E06"/>
    <w:rsid w:val="00F943A2"/>
    <w:rsid w:val="00F94B04"/>
    <w:rsid w:val="00F96F77"/>
    <w:rsid w:val="00FA0028"/>
    <w:rsid w:val="00FA197B"/>
    <w:rsid w:val="00FA420B"/>
    <w:rsid w:val="00FA4AAC"/>
    <w:rsid w:val="00FA7EAF"/>
    <w:rsid w:val="00FB018D"/>
    <w:rsid w:val="00FB1986"/>
    <w:rsid w:val="00FB26EF"/>
    <w:rsid w:val="00FB311B"/>
    <w:rsid w:val="00FB3F55"/>
    <w:rsid w:val="00FB5D0E"/>
    <w:rsid w:val="00FC12C0"/>
    <w:rsid w:val="00FC1F16"/>
    <w:rsid w:val="00FC30BB"/>
    <w:rsid w:val="00FC3B7C"/>
    <w:rsid w:val="00FC3FB7"/>
    <w:rsid w:val="00FC409F"/>
    <w:rsid w:val="00FC5782"/>
    <w:rsid w:val="00FC693D"/>
    <w:rsid w:val="00FD3249"/>
    <w:rsid w:val="00FD379F"/>
    <w:rsid w:val="00FD54F1"/>
    <w:rsid w:val="00FD58A0"/>
    <w:rsid w:val="00FE32A2"/>
    <w:rsid w:val="00FE4CDD"/>
    <w:rsid w:val="00FE563B"/>
    <w:rsid w:val="00FE6DC0"/>
    <w:rsid w:val="00FE79E8"/>
    <w:rsid w:val="00FE7B02"/>
    <w:rsid w:val="00FE7E61"/>
    <w:rsid w:val="00FF0D88"/>
    <w:rsid w:val="00FF3927"/>
    <w:rsid w:val="00FF7052"/>
    <w:rsid w:val="00FF7773"/>
    <w:rsid w:val="00FF7B85"/>
    <w:rsid w:val="00FF7DA5"/>
    <w:rsid w:val="00FF7E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93CF7"/>
  <w15:docId w15:val="{B42D49B6-FCCA-4478-A56D-51995B2E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mbria" w:eastAsia="MS Mincho" w:hAnsi="Cambria" w:cs="Cambria"/>
      <w:sz w:val="24"/>
      <w:szCs w:val="24"/>
      <w:lang w:val="en-GB" w:eastAsia="en-GB"/>
    </w:rPr>
  </w:style>
  <w:style w:type="paragraph" w:styleId="Heading3">
    <w:name w:val="heading 3"/>
    <w:basedOn w:val="Normal"/>
    <w:next w:val="BodyText"/>
    <w:qFormat/>
    <w:pPr>
      <w:numPr>
        <w:ilvl w:val="2"/>
        <w:numId w:val="1"/>
      </w:numPr>
      <w:spacing w:before="280" w:after="280" w:line="330" w:lineRule="atLeast"/>
      <w:outlineLvl w:val="2"/>
    </w:pPr>
    <w:rPr>
      <w:rFonts w:ascii="ITCLegacySansLTBookRegular" w:eastAsia="Times New Roman" w:hAnsi="ITCLegacySansLTBookRegular"/>
      <w:color w:val="000000"/>
      <w:sz w:val="33"/>
      <w:szCs w:val="33"/>
    </w:rPr>
  </w:style>
  <w:style w:type="paragraph" w:styleId="Heading4">
    <w:name w:val="heading 4"/>
    <w:basedOn w:val="Normal"/>
    <w:next w:val="Normal"/>
    <w:link w:val="Heading4Char"/>
    <w:uiPriority w:val="9"/>
    <w:semiHidden/>
    <w:unhideWhenUsed/>
    <w:qFormat/>
    <w:rsid w:val="00061639"/>
    <w:pPr>
      <w:keepNext/>
      <w:spacing w:before="240" w:after="60"/>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
    <w:unhideWhenUsed/>
    <w:qFormat/>
    <w:rsid w:val="00940D8C"/>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000080"/>
      <w:lang w:val="en-GB" w:eastAsia="en-GB"/>
    </w:rPr>
  </w:style>
  <w:style w:type="character" w:customStyle="1" w:styleId="WW8Num3z0">
    <w:name w:val="WW8Num3z0"/>
    <w:rPr>
      <w:rFonts w:ascii="Symbol" w:hAnsi="Symbol"/>
      <w:lang w:val="en-GB" w:eastAsia="en-GB"/>
    </w:rPr>
  </w:style>
  <w:style w:type="character" w:customStyle="1" w:styleId="WW8Num3z1">
    <w:name w:val="WW8Num3z1"/>
    <w:rPr>
      <w:rFonts w:ascii="Courier New" w:hAnsi="Courier New" w:cs="Courier New"/>
      <w:lang w:val="en-GB" w:eastAsia="en-GB"/>
    </w:rPr>
  </w:style>
  <w:style w:type="character" w:customStyle="1" w:styleId="WW8Num3z2">
    <w:name w:val="WW8Num3z2"/>
    <w:rPr>
      <w:rFonts w:ascii="Wingdings" w:hAnsi="Wingdings"/>
      <w:lang w:val="en-GB" w:eastAsia="en-GB"/>
    </w:rPr>
  </w:style>
  <w:style w:type="character" w:customStyle="1" w:styleId="WW8Num3z3">
    <w:name w:val="WW8Num3z3"/>
    <w:rPr>
      <w:rFonts w:ascii="Symbol" w:hAnsi="Symbol"/>
      <w:lang w:val="en-GB" w:eastAsia="en-GB"/>
    </w:rPr>
  </w:style>
  <w:style w:type="character" w:customStyle="1" w:styleId="WW8Num3z4">
    <w:name w:val="WW8Num3z4"/>
    <w:rPr>
      <w:rFonts w:ascii="Courier New" w:hAnsi="Courier New" w:cs="Courier New"/>
      <w:lang w:val="en-GB" w:eastAsia="en-GB"/>
    </w:rPr>
  </w:style>
  <w:style w:type="character" w:customStyle="1" w:styleId="WW8Num3z5">
    <w:name w:val="WW8Num3z5"/>
    <w:rPr>
      <w:rFonts w:ascii="Wingdings" w:hAnsi="Wingdings"/>
      <w:lang w:val="en-GB" w:eastAsia="en-GB"/>
    </w:rPr>
  </w:style>
  <w:style w:type="character" w:customStyle="1" w:styleId="Policepardfaut2">
    <w:name w:val="Police par défaut2"/>
  </w:style>
  <w:style w:type="character" w:customStyle="1" w:styleId="WW8Num1z0">
    <w:name w:val="WW8Num1z0"/>
    <w:rPr>
      <w:rFonts w:ascii="Times New Roman" w:eastAsia="MS Mincho" w:hAnsi="Times New Roman" w:cs="Times New Roman"/>
      <w:lang w:val="en-GB" w:eastAsia="en-GB"/>
    </w:rPr>
  </w:style>
  <w:style w:type="character" w:customStyle="1" w:styleId="WW8Num1z1">
    <w:name w:val="WW8Num1z1"/>
    <w:rPr>
      <w:rFonts w:ascii="Courier New" w:hAnsi="Courier New" w:cs="Courier New"/>
      <w:lang w:val="en-GB" w:eastAsia="en-GB"/>
    </w:rPr>
  </w:style>
  <w:style w:type="character" w:customStyle="1" w:styleId="WW8Num1z2">
    <w:name w:val="WW8Num1z2"/>
    <w:rPr>
      <w:rFonts w:ascii="Wingdings" w:hAnsi="Wingdings"/>
      <w:lang w:val="en-GB" w:eastAsia="en-GB"/>
    </w:rPr>
  </w:style>
  <w:style w:type="character" w:customStyle="1" w:styleId="WW8Num1z3">
    <w:name w:val="WW8Num1z3"/>
    <w:rPr>
      <w:rFonts w:ascii="Symbol" w:hAnsi="Symbol"/>
      <w:lang w:val="en-GB" w:eastAsia="en-GB"/>
    </w:rPr>
  </w:style>
  <w:style w:type="character" w:customStyle="1" w:styleId="WW8Num2z1">
    <w:name w:val="WW8Num2z1"/>
    <w:rPr>
      <w:rFonts w:ascii="Wingdings" w:hAnsi="Wingdings"/>
      <w:color w:val="000080"/>
      <w:lang w:val="en-GB" w:eastAsia="en-GB"/>
    </w:rPr>
  </w:style>
  <w:style w:type="character" w:customStyle="1" w:styleId="WW8Num2z2">
    <w:name w:val="WW8Num2z2"/>
    <w:rPr>
      <w:rFonts w:ascii="Arial" w:eastAsia="MS Mincho" w:hAnsi="Arial" w:cs="Arial"/>
      <w:lang w:val="en-GB" w:eastAsia="en-GB"/>
    </w:rPr>
  </w:style>
  <w:style w:type="character" w:customStyle="1" w:styleId="WW8Num2z3">
    <w:name w:val="WW8Num2z3"/>
    <w:rPr>
      <w:rFonts w:ascii="Symbol" w:hAnsi="Symbol"/>
      <w:lang w:val="en-GB" w:eastAsia="en-GB"/>
    </w:rPr>
  </w:style>
  <w:style w:type="character" w:customStyle="1" w:styleId="WW8Num2z4">
    <w:name w:val="WW8Num2z4"/>
    <w:rPr>
      <w:rFonts w:ascii="Courier New" w:hAnsi="Courier New" w:cs="Courier New"/>
      <w:lang w:val="en-GB" w:eastAsia="en-GB"/>
    </w:rPr>
  </w:style>
  <w:style w:type="character" w:customStyle="1" w:styleId="WW8Num2z5">
    <w:name w:val="WW8Num2z5"/>
    <w:rPr>
      <w:rFonts w:ascii="Wingdings" w:hAnsi="Wingdings"/>
      <w:lang w:val="en-GB" w:eastAsia="en-GB"/>
    </w:rPr>
  </w:style>
  <w:style w:type="character" w:customStyle="1" w:styleId="WW8Num4z0">
    <w:name w:val="WW8Num4z0"/>
    <w:rPr>
      <w:rFonts w:ascii="Symbol" w:hAnsi="Symbol"/>
      <w:color w:val="000080"/>
      <w:lang w:val="en-GB" w:eastAsia="en-GB"/>
    </w:rPr>
  </w:style>
  <w:style w:type="character" w:customStyle="1" w:styleId="WW8Num4z1">
    <w:name w:val="WW8Num4z1"/>
    <w:rPr>
      <w:rFonts w:ascii="Courier New" w:hAnsi="Courier New"/>
      <w:color w:val="000080"/>
      <w:lang w:val="en-GB" w:eastAsia="en-GB"/>
    </w:rPr>
  </w:style>
  <w:style w:type="character" w:customStyle="1" w:styleId="WW8Num4z2">
    <w:name w:val="WW8Num4z2"/>
    <w:rPr>
      <w:rFonts w:ascii="Arial" w:eastAsia="MS Mincho" w:hAnsi="Arial" w:cs="Arial"/>
      <w:lang w:val="en-GB" w:eastAsia="en-GB"/>
    </w:rPr>
  </w:style>
  <w:style w:type="character" w:customStyle="1" w:styleId="WW8Num4z3">
    <w:name w:val="WW8Num4z3"/>
    <w:rPr>
      <w:rFonts w:ascii="Symbol" w:hAnsi="Symbol"/>
      <w:lang w:val="en-GB" w:eastAsia="en-GB"/>
    </w:rPr>
  </w:style>
  <w:style w:type="character" w:customStyle="1" w:styleId="WW8Num4z4">
    <w:name w:val="WW8Num4z4"/>
    <w:rPr>
      <w:rFonts w:ascii="Courier New" w:hAnsi="Courier New" w:cs="Courier New"/>
      <w:lang w:val="en-GB" w:eastAsia="en-GB"/>
    </w:rPr>
  </w:style>
  <w:style w:type="character" w:customStyle="1" w:styleId="WW8Num4z5">
    <w:name w:val="WW8Num4z5"/>
    <w:rPr>
      <w:rFonts w:ascii="Wingdings" w:hAnsi="Wingdings"/>
      <w:lang w:val="en-GB" w:eastAsia="en-GB"/>
    </w:rPr>
  </w:style>
  <w:style w:type="character" w:customStyle="1" w:styleId="WW8Num5z0">
    <w:name w:val="WW8Num5z0"/>
    <w:rPr>
      <w:rFonts w:ascii="Symbol" w:hAnsi="Symbol"/>
      <w:color w:val="61B57C"/>
      <w:w w:val="100"/>
      <w:lang w:val="en-GB" w:eastAsia="en-GB"/>
    </w:rPr>
  </w:style>
  <w:style w:type="character" w:customStyle="1" w:styleId="WW8Num5z1">
    <w:name w:val="WW8Num5z1"/>
    <w:rPr>
      <w:rFonts w:ascii="Courier New" w:hAnsi="Courier New" w:cs="Courier New"/>
      <w:lang w:val="en-GB" w:eastAsia="en-GB"/>
    </w:rPr>
  </w:style>
  <w:style w:type="character" w:customStyle="1" w:styleId="WW8Num5z2">
    <w:name w:val="WW8Num5z2"/>
    <w:rPr>
      <w:rFonts w:ascii="Wingdings" w:hAnsi="Wingdings"/>
      <w:lang w:val="en-GB" w:eastAsia="en-GB"/>
    </w:rPr>
  </w:style>
  <w:style w:type="character" w:customStyle="1" w:styleId="WW8Num5z3">
    <w:name w:val="WW8Num5z3"/>
    <w:rPr>
      <w:rFonts w:ascii="Symbol" w:hAnsi="Symbol"/>
      <w:lang w:val="en-GB" w:eastAsia="en-GB"/>
    </w:rPr>
  </w:style>
  <w:style w:type="character" w:customStyle="1" w:styleId="WW8Num6z0">
    <w:name w:val="WW8Num6z0"/>
    <w:rPr>
      <w:rFonts w:ascii="Symbol" w:hAnsi="Symbol"/>
      <w:color w:val="61B57C"/>
      <w:w w:val="100"/>
      <w:lang w:val="en-GB" w:eastAsia="en-GB"/>
    </w:rPr>
  </w:style>
  <w:style w:type="character" w:customStyle="1" w:styleId="WW8Num6z1">
    <w:name w:val="WW8Num6z1"/>
    <w:rPr>
      <w:rFonts w:ascii="Courier New" w:hAnsi="Courier New" w:cs="Courier New"/>
      <w:lang w:val="en-GB" w:eastAsia="en-GB"/>
    </w:rPr>
  </w:style>
  <w:style w:type="character" w:customStyle="1" w:styleId="WW8Num6z2">
    <w:name w:val="WW8Num6z2"/>
    <w:rPr>
      <w:rFonts w:ascii="Wingdings" w:hAnsi="Wingdings"/>
      <w:lang w:val="en-GB" w:eastAsia="en-GB"/>
    </w:rPr>
  </w:style>
  <w:style w:type="character" w:customStyle="1" w:styleId="WW8Num6z3">
    <w:name w:val="WW8Num6z3"/>
    <w:rPr>
      <w:rFonts w:ascii="Symbol" w:hAnsi="Symbol"/>
      <w:lang w:val="en-GB" w:eastAsia="en-GB"/>
    </w:rPr>
  </w:style>
  <w:style w:type="character" w:customStyle="1" w:styleId="WW8Num7z0">
    <w:name w:val="WW8Num7z0"/>
    <w:rPr>
      <w:rFonts w:ascii="Symbol" w:hAnsi="Symbol"/>
      <w:color w:val="000080"/>
      <w:lang w:val="en-GB" w:eastAsia="en-GB"/>
    </w:rPr>
  </w:style>
  <w:style w:type="character" w:customStyle="1" w:styleId="WW8Num7z1">
    <w:name w:val="WW8Num7z1"/>
    <w:rPr>
      <w:rFonts w:ascii="Wingdings" w:hAnsi="Wingdings"/>
      <w:color w:val="000080"/>
      <w:lang w:val="en-GB" w:eastAsia="en-GB"/>
    </w:rPr>
  </w:style>
  <w:style w:type="character" w:customStyle="1" w:styleId="WW8Num7z2">
    <w:name w:val="WW8Num7z2"/>
    <w:rPr>
      <w:rFonts w:ascii="Arial" w:eastAsia="MS Mincho" w:hAnsi="Arial" w:cs="Arial"/>
      <w:lang w:val="en-GB" w:eastAsia="en-GB"/>
    </w:rPr>
  </w:style>
  <w:style w:type="character" w:customStyle="1" w:styleId="WW8Num7z3">
    <w:name w:val="WW8Num7z3"/>
    <w:rPr>
      <w:rFonts w:ascii="Symbol" w:hAnsi="Symbol"/>
      <w:lang w:val="en-GB" w:eastAsia="en-GB"/>
    </w:rPr>
  </w:style>
  <w:style w:type="character" w:customStyle="1" w:styleId="WW8Num7z4">
    <w:name w:val="WW8Num7z4"/>
    <w:rPr>
      <w:rFonts w:ascii="Courier New" w:hAnsi="Courier New" w:cs="Courier New"/>
      <w:lang w:val="en-GB" w:eastAsia="en-GB"/>
    </w:rPr>
  </w:style>
  <w:style w:type="character" w:customStyle="1" w:styleId="WW8Num7z5">
    <w:name w:val="WW8Num7z5"/>
    <w:rPr>
      <w:rFonts w:ascii="Wingdings" w:hAnsi="Wingdings"/>
      <w:lang w:val="en-GB" w:eastAsia="en-GB"/>
    </w:rPr>
  </w:style>
  <w:style w:type="character" w:customStyle="1" w:styleId="WW8Num8z0">
    <w:name w:val="WW8Num8z0"/>
    <w:rPr>
      <w:rFonts w:ascii="Symbol" w:hAnsi="Symbol"/>
      <w:lang w:val="en-GB" w:eastAsia="en-GB"/>
    </w:rPr>
  </w:style>
  <w:style w:type="character" w:customStyle="1" w:styleId="WW8Num8z1">
    <w:name w:val="WW8Num8z1"/>
    <w:rPr>
      <w:rFonts w:ascii="Courier New" w:hAnsi="Courier New" w:cs="Courier New"/>
      <w:lang w:val="en-GB" w:eastAsia="en-GB"/>
    </w:rPr>
  </w:style>
  <w:style w:type="character" w:customStyle="1" w:styleId="WW8Num8z2">
    <w:name w:val="WW8Num8z2"/>
    <w:rPr>
      <w:rFonts w:ascii="Wingdings" w:hAnsi="Wingdings"/>
      <w:lang w:val="en-GB" w:eastAsia="en-GB"/>
    </w:rPr>
  </w:style>
  <w:style w:type="character" w:customStyle="1" w:styleId="WW8Num9z0">
    <w:name w:val="WW8Num9z0"/>
    <w:rPr>
      <w:rFonts w:ascii="Symbol" w:hAnsi="Symbol"/>
      <w:color w:val="000080"/>
      <w:lang w:val="en-GB" w:eastAsia="en-GB"/>
    </w:rPr>
  </w:style>
  <w:style w:type="character" w:customStyle="1" w:styleId="WW8Num9z1">
    <w:name w:val="WW8Num9z1"/>
    <w:rPr>
      <w:rFonts w:ascii="Wingdings" w:hAnsi="Wingdings"/>
      <w:color w:val="61B57C"/>
      <w:lang w:val="en-GB" w:eastAsia="en-GB"/>
    </w:rPr>
  </w:style>
  <w:style w:type="character" w:customStyle="1" w:styleId="WW8Num9z2">
    <w:name w:val="WW8Num9z2"/>
    <w:rPr>
      <w:rFonts w:ascii="Arial" w:eastAsia="MS Mincho" w:hAnsi="Arial" w:cs="Arial"/>
      <w:lang w:val="en-GB" w:eastAsia="en-GB"/>
    </w:rPr>
  </w:style>
  <w:style w:type="character" w:customStyle="1" w:styleId="WW8Num9z3">
    <w:name w:val="WW8Num9z3"/>
    <w:rPr>
      <w:rFonts w:ascii="Symbol" w:hAnsi="Symbol"/>
      <w:lang w:val="en-GB" w:eastAsia="en-GB"/>
    </w:rPr>
  </w:style>
  <w:style w:type="character" w:customStyle="1" w:styleId="WW8Num9z4">
    <w:name w:val="WW8Num9z4"/>
    <w:rPr>
      <w:rFonts w:ascii="Courier New" w:hAnsi="Courier New" w:cs="Courier New"/>
      <w:lang w:val="en-GB" w:eastAsia="en-GB"/>
    </w:rPr>
  </w:style>
  <w:style w:type="character" w:customStyle="1" w:styleId="WW8Num9z5">
    <w:name w:val="WW8Num9z5"/>
    <w:rPr>
      <w:rFonts w:ascii="Wingdings" w:hAnsi="Wingdings"/>
      <w:lang w:val="en-GB" w:eastAsia="en-GB"/>
    </w:rPr>
  </w:style>
  <w:style w:type="character" w:customStyle="1" w:styleId="WW8Num11z0">
    <w:name w:val="WW8Num11z0"/>
    <w:rPr>
      <w:rFonts w:ascii="Symbol" w:hAnsi="Symbol"/>
      <w:color w:val="000080"/>
      <w:lang w:val="en-GB" w:eastAsia="en-GB"/>
    </w:rPr>
  </w:style>
  <w:style w:type="character" w:customStyle="1" w:styleId="WW8Num11z1">
    <w:name w:val="WW8Num11z1"/>
    <w:rPr>
      <w:rFonts w:ascii="Courier New" w:hAnsi="Courier New"/>
      <w:color w:val="000080"/>
      <w:lang w:val="en-GB" w:eastAsia="en-GB"/>
    </w:rPr>
  </w:style>
  <w:style w:type="character" w:customStyle="1" w:styleId="WW8Num11z2">
    <w:name w:val="WW8Num11z2"/>
    <w:rPr>
      <w:rFonts w:ascii="Arial" w:eastAsia="MS Mincho" w:hAnsi="Arial" w:cs="Arial"/>
      <w:lang w:val="en-GB" w:eastAsia="en-GB"/>
    </w:rPr>
  </w:style>
  <w:style w:type="character" w:customStyle="1" w:styleId="WW8Num11z3">
    <w:name w:val="WW8Num11z3"/>
    <w:rPr>
      <w:rFonts w:ascii="Symbol" w:hAnsi="Symbol"/>
      <w:lang w:val="en-GB" w:eastAsia="en-GB"/>
    </w:rPr>
  </w:style>
  <w:style w:type="character" w:customStyle="1" w:styleId="WW8Num11z4">
    <w:name w:val="WW8Num11z4"/>
    <w:rPr>
      <w:rFonts w:ascii="Courier New" w:hAnsi="Courier New" w:cs="Courier New"/>
      <w:lang w:val="en-GB" w:eastAsia="en-GB"/>
    </w:rPr>
  </w:style>
  <w:style w:type="character" w:customStyle="1" w:styleId="WW8Num11z5">
    <w:name w:val="WW8Num11z5"/>
    <w:rPr>
      <w:rFonts w:ascii="Wingdings" w:hAnsi="Wingdings"/>
      <w:lang w:val="en-GB" w:eastAsia="en-GB"/>
    </w:rPr>
  </w:style>
  <w:style w:type="character" w:customStyle="1" w:styleId="WW8Num12z0">
    <w:name w:val="WW8Num12z0"/>
    <w:rPr>
      <w:rFonts w:ascii="Symbol" w:hAnsi="Symbol"/>
      <w:color w:val="61B57C"/>
      <w:w w:val="100"/>
      <w:lang w:val="en-GB" w:eastAsia="en-GB"/>
    </w:rPr>
  </w:style>
  <w:style w:type="character" w:customStyle="1" w:styleId="WW8Num12z1">
    <w:name w:val="WW8Num12z1"/>
    <w:rPr>
      <w:rFonts w:ascii="Courier New" w:hAnsi="Courier New" w:cs="Courier New"/>
      <w:lang w:val="en-GB" w:eastAsia="en-GB"/>
    </w:rPr>
  </w:style>
  <w:style w:type="character" w:customStyle="1" w:styleId="WW8Num12z2">
    <w:name w:val="WW8Num12z2"/>
    <w:rPr>
      <w:rFonts w:ascii="Wingdings" w:hAnsi="Wingdings"/>
      <w:lang w:val="en-GB" w:eastAsia="en-GB"/>
    </w:rPr>
  </w:style>
  <w:style w:type="character" w:customStyle="1" w:styleId="WW8Num12z3">
    <w:name w:val="WW8Num12z3"/>
    <w:rPr>
      <w:rFonts w:ascii="Symbol" w:hAnsi="Symbol"/>
      <w:lang w:val="en-GB" w:eastAsia="en-GB"/>
    </w:rPr>
  </w:style>
  <w:style w:type="character" w:customStyle="1" w:styleId="Policepardfaut1">
    <w:name w:val="Police par défaut1"/>
  </w:style>
  <w:style w:type="character" w:customStyle="1" w:styleId="CarCar2">
    <w:name w:val="Car Car2"/>
    <w:basedOn w:val="Policepardfaut1"/>
  </w:style>
  <w:style w:type="character" w:customStyle="1" w:styleId="CarCar1">
    <w:name w:val="Car Car1"/>
    <w:basedOn w:val="Policepardfaut1"/>
  </w:style>
  <w:style w:type="character" w:customStyle="1" w:styleId="CarCar">
    <w:name w:val="Car Car"/>
    <w:rPr>
      <w:rFonts w:ascii="Lucida Grande" w:hAnsi="Lucida Grande" w:cs="Lucida Grande"/>
      <w:sz w:val="18"/>
      <w:szCs w:val="18"/>
      <w:lang w:val="en-GB" w:eastAsia="en-GB"/>
    </w:rPr>
  </w:style>
  <w:style w:type="character" w:styleId="Hyperlink">
    <w:name w:val="Hyperlink"/>
    <w:uiPriority w:val="99"/>
    <w:rPr>
      <w:rFonts w:cs="Times New Roman"/>
      <w:color w:val="0000FF"/>
      <w:u w:val="single"/>
      <w:lang w:val="en-GB" w:eastAsia="en-GB"/>
    </w:rPr>
  </w:style>
  <w:style w:type="character" w:customStyle="1" w:styleId="Caractresdenotedebasdepage">
    <w:name w:val="Caractères de note de bas de page"/>
    <w:rPr>
      <w:vertAlign w:val="superscript"/>
      <w:lang w:val="en-GB" w:eastAsia="en-GB"/>
    </w:rPr>
  </w:style>
  <w:style w:type="character" w:customStyle="1" w:styleId="st1">
    <w:name w:val="st1"/>
    <w:basedOn w:val="Policepardfaut1"/>
  </w:style>
  <w:style w:type="character" w:styleId="PageNumber">
    <w:name w:val="page number"/>
    <w:basedOn w:val="Policepardfaut1"/>
    <w:semiHidden/>
  </w:style>
  <w:style w:type="character" w:styleId="Strong">
    <w:name w:val="Strong"/>
    <w:qFormat/>
    <w:rPr>
      <w:b/>
      <w:bCs/>
      <w:lang w:val="en-GB" w:eastAsia="en-GB"/>
    </w:rPr>
  </w:style>
  <w:style w:type="character" w:customStyle="1" w:styleId="PieddepageCar">
    <w:name w:val="Pied de page Car"/>
    <w:uiPriority w:val="99"/>
    <w:rPr>
      <w:rFonts w:ascii="Cambria" w:eastAsia="MS Mincho" w:hAnsi="Cambria" w:cs="Cambria"/>
      <w:sz w:val="24"/>
      <w:szCs w:val="24"/>
      <w:lang w:val="en-GB" w:eastAsia="en-GB"/>
    </w:rPr>
  </w:style>
  <w:style w:type="character" w:customStyle="1" w:styleId="italique">
    <w:name w:val="italique"/>
  </w:style>
  <w:style w:type="character" w:customStyle="1" w:styleId="Appelnotedebasdep1">
    <w:name w:val="Appel note de bas de p.1"/>
    <w:rPr>
      <w:vertAlign w:val="superscript"/>
      <w:lang w:val="en-GB" w:eastAsia="en-GB"/>
    </w:rPr>
  </w:style>
  <w:style w:type="character" w:customStyle="1" w:styleId="hps">
    <w:name w:val="hps"/>
  </w:style>
  <w:style w:type="paragraph" w:customStyle="1" w:styleId="Titre2">
    <w:name w:val="Titre2"/>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Lgende2">
    <w:name w:val="Légende2"/>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Titre1">
    <w:name w:val="Titre1"/>
    <w:basedOn w:val="Normal"/>
    <w:next w:val="BodyText"/>
    <w:pPr>
      <w:keepNext/>
      <w:spacing w:before="240" w:after="120"/>
    </w:pPr>
    <w:rPr>
      <w:rFonts w:ascii="Arial" w:eastAsia="Lucida Sans Unicode"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Header">
    <w:name w:val="header"/>
    <w:basedOn w:val="Normal"/>
    <w:semiHidden/>
  </w:style>
  <w:style w:type="paragraph" w:styleId="Footer">
    <w:name w:val="footer"/>
    <w:basedOn w:val="Normal"/>
    <w:uiPriority w:val="99"/>
  </w:style>
  <w:style w:type="paragraph" w:styleId="BalloonText">
    <w:name w:val="Balloon Text"/>
    <w:basedOn w:val="Normal"/>
    <w:rPr>
      <w:rFonts w:ascii="Lucida Grande" w:hAnsi="Lucida Grande" w:cs="Lucida Grande"/>
      <w:sz w:val="18"/>
      <w:szCs w:val="18"/>
    </w:rPr>
  </w:style>
  <w:style w:type="paragraph" w:customStyle="1" w:styleId="textecontact">
    <w:name w:val="textecontact"/>
    <w:basedOn w:val="Normal"/>
    <w:pPr>
      <w:spacing w:before="280" w:after="280"/>
    </w:pPr>
    <w:rPr>
      <w:rFonts w:ascii="Times New Roman" w:eastAsia="Times New Roman" w:hAnsi="Times New Roman"/>
    </w:rPr>
  </w:style>
  <w:style w:type="paragraph" w:customStyle="1" w:styleId="Textecontact0">
    <w:name w:val="Texte contact"/>
    <w:basedOn w:val="Normal"/>
    <w:pPr>
      <w:spacing w:before="60" w:after="60" w:line="220" w:lineRule="atLeast"/>
      <w:ind w:left="113" w:right="113"/>
      <w:jc w:val="both"/>
    </w:pPr>
    <w:rPr>
      <w:rFonts w:ascii="Arial" w:eastAsia="Times New Roman" w:hAnsi="Arial"/>
      <w:sz w:val="18"/>
      <w:szCs w:val="20"/>
    </w:rPr>
  </w:style>
  <w:style w:type="paragraph" w:customStyle="1" w:styleId="Titrecontact">
    <w:name w:val="Titre contact"/>
    <w:basedOn w:val="Textecontact0"/>
    <w:pPr>
      <w:spacing w:before="0" w:after="0"/>
      <w:ind w:left="0" w:right="0"/>
    </w:pPr>
    <w:rPr>
      <w:b/>
      <w:color w:val="000000"/>
    </w:rPr>
  </w:style>
  <w:style w:type="paragraph" w:styleId="FootnoteText">
    <w:name w:val="footnote text"/>
    <w:basedOn w:val="Normal"/>
    <w:link w:val="FootnoteTextChar"/>
    <w:uiPriority w:val="99"/>
    <w:rPr>
      <w:sz w:val="20"/>
      <w:szCs w:val="20"/>
    </w:rPr>
  </w:style>
  <w:style w:type="paragraph" w:customStyle="1" w:styleId="Textedesaisie">
    <w:name w:val="Texte de saisie"/>
    <w:basedOn w:val="Normal"/>
    <w:pPr>
      <w:spacing w:line="260" w:lineRule="atLeast"/>
      <w:jc w:val="both"/>
    </w:pPr>
    <w:rPr>
      <w:rFonts w:ascii="Arial" w:eastAsia="Times New Roman" w:hAnsi="Arial"/>
      <w:sz w:val="20"/>
      <w:szCs w:val="20"/>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BodyText"/>
  </w:style>
  <w:style w:type="paragraph" w:styleId="NormalWeb">
    <w:name w:val="Normal (Web)"/>
    <w:basedOn w:val="Normal"/>
    <w:uiPriority w:val="99"/>
    <w:pPr>
      <w:widowControl/>
      <w:spacing w:before="240" w:after="240"/>
    </w:pPr>
    <w:rPr>
      <w:rFonts w:ascii="Times New Roman" w:eastAsia="Times New Roman" w:hAnsi="Times New Roman" w:cs="Times New Roman"/>
    </w:rPr>
  </w:style>
  <w:style w:type="paragraph" w:customStyle="1" w:styleId="Default">
    <w:name w:val="Default"/>
    <w:rsid w:val="00286AFD"/>
    <w:pPr>
      <w:autoSpaceDE w:val="0"/>
      <w:autoSpaceDN w:val="0"/>
      <w:adjustRightInd w:val="0"/>
    </w:pPr>
    <w:rPr>
      <w:rFonts w:ascii="Arial" w:hAnsi="Arial" w:cs="Arial"/>
      <w:color w:val="000000"/>
      <w:sz w:val="24"/>
      <w:szCs w:val="24"/>
      <w:lang w:val="en-GB" w:eastAsia="en-GB"/>
    </w:rPr>
  </w:style>
  <w:style w:type="character" w:customStyle="1" w:styleId="Heading6Char">
    <w:name w:val="Heading 6 Char"/>
    <w:link w:val="Heading6"/>
    <w:uiPriority w:val="9"/>
    <w:rsid w:val="00940D8C"/>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9C1C3B"/>
    <w:pPr>
      <w:widowControl/>
      <w:spacing w:after="200" w:line="276" w:lineRule="auto"/>
      <w:ind w:left="720"/>
      <w:contextualSpacing/>
    </w:pPr>
    <w:rPr>
      <w:rFonts w:ascii="Calibri" w:eastAsia="Calibri" w:hAnsi="Calibri" w:cs="Times New Roman"/>
      <w:sz w:val="22"/>
      <w:szCs w:val="22"/>
    </w:rPr>
  </w:style>
  <w:style w:type="character" w:styleId="FootnoteReference">
    <w:name w:val="footnote reference"/>
    <w:uiPriority w:val="99"/>
    <w:semiHidden/>
    <w:unhideWhenUsed/>
    <w:rsid w:val="00D27875"/>
    <w:rPr>
      <w:vertAlign w:val="superscript"/>
      <w:lang w:val="en-GB" w:eastAsia="en-GB"/>
    </w:rPr>
  </w:style>
  <w:style w:type="character" w:styleId="CommentReference">
    <w:name w:val="annotation reference"/>
    <w:uiPriority w:val="99"/>
    <w:semiHidden/>
    <w:unhideWhenUsed/>
    <w:rsid w:val="005E6D3C"/>
    <w:rPr>
      <w:sz w:val="16"/>
      <w:szCs w:val="16"/>
      <w:lang w:val="en-GB" w:eastAsia="en-GB"/>
    </w:rPr>
  </w:style>
  <w:style w:type="paragraph" w:styleId="CommentText">
    <w:name w:val="annotation text"/>
    <w:basedOn w:val="Normal"/>
    <w:link w:val="CommentTextChar"/>
    <w:uiPriority w:val="99"/>
    <w:semiHidden/>
    <w:unhideWhenUsed/>
    <w:rsid w:val="005E6D3C"/>
    <w:rPr>
      <w:sz w:val="20"/>
      <w:szCs w:val="20"/>
    </w:rPr>
  </w:style>
  <w:style w:type="character" w:customStyle="1" w:styleId="CommentTextChar">
    <w:name w:val="Comment Text Char"/>
    <w:link w:val="CommentText"/>
    <w:uiPriority w:val="99"/>
    <w:semiHidden/>
    <w:rsid w:val="005E6D3C"/>
    <w:rPr>
      <w:rFonts w:ascii="Cambria" w:eastAsia="MS Mincho" w:hAnsi="Cambria" w:cs="Cambria"/>
      <w:lang w:val="en-GB" w:eastAsia="en-GB"/>
    </w:rPr>
  </w:style>
  <w:style w:type="paragraph" w:styleId="CommentSubject">
    <w:name w:val="annotation subject"/>
    <w:basedOn w:val="CommentText"/>
    <w:next w:val="CommentText"/>
    <w:link w:val="CommentSubjectChar"/>
    <w:uiPriority w:val="99"/>
    <w:semiHidden/>
    <w:unhideWhenUsed/>
    <w:rsid w:val="005E6D3C"/>
    <w:rPr>
      <w:b/>
      <w:bCs/>
    </w:rPr>
  </w:style>
  <w:style w:type="character" w:customStyle="1" w:styleId="CommentSubjectChar">
    <w:name w:val="Comment Subject Char"/>
    <w:link w:val="CommentSubject"/>
    <w:uiPriority w:val="99"/>
    <w:semiHidden/>
    <w:rsid w:val="005E6D3C"/>
    <w:rPr>
      <w:rFonts w:ascii="Cambria" w:eastAsia="MS Mincho" w:hAnsi="Cambria" w:cs="Cambria"/>
      <w:b/>
      <w:bCs/>
      <w:lang w:val="en-GB" w:eastAsia="en-GB"/>
    </w:rPr>
  </w:style>
  <w:style w:type="paragraph" w:styleId="Revision">
    <w:name w:val="Revision"/>
    <w:hidden/>
    <w:uiPriority w:val="99"/>
    <w:semiHidden/>
    <w:rsid w:val="005E6D3C"/>
    <w:rPr>
      <w:rFonts w:ascii="Cambria" w:eastAsia="MS Mincho" w:hAnsi="Cambria" w:cs="Cambria"/>
      <w:sz w:val="24"/>
      <w:szCs w:val="24"/>
      <w:lang w:val="en-GB" w:eastAsia="en-GB"/>
    </w:rPr>
  </w:style>
  <w:style w:type="character" w:customStyle="1" w:styleId="st">
    <w:name w:val="st"/>
    <w:rsid w:val="00E22E3D"/>
  </w:style>
  <w:style w:type="character" w:styleId="Emphasis">
    <w:name w:val="Emphasis"/>
    <w:uiPriority w:val="20"/>
    <w:qFormat/>
    <w:rsid w:val="001A5088"/>
    <w:rPr>
      <w:i/>
      <w:iCs/>
      <w:lang w:val="en-GB" w:eastAsia="en-GB"/>
    </w:rPr>
  </w:style>
  <w:style w:type="character" w:customStyle="1" w:styleId="Heading4Char">
    <w:name w:val="Heading 4 Char"/>
    <w:link w:val="Heading4"/>
    <w:uiPriority w:val="9"/>
    <w:semiHidden/>
    <w:rsid w:val="00061639"/>
    <w:rPr>
      <w:rFonts w:ascii="Calibri" w:eastAsia="Times New Roman" w:hAnsi="Calibri" w:cs="Times New Roman"/>
      <w:b/>
      <w:bCs/>
      <w:sz w:val="28"/>
      <w:szCs w:val="28"/>
      <w:lang w:val="en-GB" w:eastAsia="en-GB"/>
    </w:rPr>
  </w:style>
  <w:style w:type="character" w:customStyle="1" w:styleId="FootnoteTextChar">
    <w:name w:val="Footnote Text Char"/>
    <w:link w:val="FootnoteText"/>
    <w:uiPriority w:val="99"/>
    <w:rsid w:val="00866128"/>
    <w:rPr>
      <w:rFonts w:ascii="Cambria" w:eastAsia="MS Mincho" w:hAnsi="Cambria" w:cs="Cambria"/>
      <w:lang w:val="en-GB" w:eastAsia="en-GB"/>
    </w:rPr>
  </w:style>
  <w:style w:type="paragraph" w:styleId="HTMLPreformatted">
    <w:name w:val="HTML Preformatted"/>
    <w:basedOn w:val="Normal"/>
    <w:link w:val="HTMLPreformattedChar"/>
    <w:uiPriority w:val="99"/>
    <w:semiHidden/>
    <w:unhideWhenUsed/>
    <w:rsid w:val="00335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335C08"/>
    <w:rPr>
      <w:rFonts w:ascii="Courier New" w:hAnsi="Courier New" w:cs="Courier New"/>
      <w:lang w:val="fr-FR" w:eastAsia="fr-FR"/>
    </w:rPr>
  </w:style>
  <w:style w:type="paragraph" w:styleId="EndnoteText">
    <w:name w:val="endnote text"/>
    <w:basedOn w:val="Normal"/>
    <w:link w:val="EndnoteTextChar"/>
    <w:uiPriority w:val="99"/>
    <w:semiHidden/>
    <w:unhideWhenUsed/>
    <w:rsid w:val="000A1B81"/>
    <w:rPr>
      <w:sz w:val="20"/>
      <w:szCs w:val="20"/>
    </w:rPr>
  </w:style>
  <w:style w:type="character" w:customStyle="1" w:styleId="EndnoteTextChar">
    <w:name w:val="Endnote Text Char"/>
    <w:basedOn w:val="DefaultParagraphFont"/>
    <w:link w:val="EndnoteText"/>
    <w:uiPriority w:val="99"/>
    <w:semiHidden/>
    <w:rsid w:val="000A1B81"/>
    <w:rPr>
      <w:rFonts w:ascii="Cambria" w:eastAsia="MS Mincho" w:hAnsi="Cambria" w:cs="Cambria"/>
      <w:lang w:val="en-GB" w:eastAsia="en-GB"/>
    </w:rPr>
  </w:style>
  <w:style w:type="character" w:styleId="EndnoteReference">
    <w:name w:val="endnote reference"/>
    <w:basedOn w:val="DefaultParagraphFont"/>
    <w:uiPriority w:val="99"/>
    <w:semiHidden/>
    <w:unhideWhenUsed/>
    <w:rsid w:val="000A1B81"/>
    <w:rPr>
      <w:vertAlign w:val="superscript"/>
    </w:rPr>
  </w:style>
  <w:style w:type="character" w:styleId="PlaceholderText">
    <w:name w:val="Placeholder Text"/>
    <w:basedOn w:val="DefaultParagraphFont"/>
    <w:uiPriority w:val="99"/>
    <w:semiHidden/>
    <w:rsid w:val="005E50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5191">
      <w:bodyDiv w:val="1"/>
      <w:marLeft w:val="0"/>
      <w:marRight w:val="0"/>
      <w:marTop w:val="0"/>
      <w:marBottom w:val="0"/>
      <w:divBdr>
        <w:top w:val="none" w:sz="0" w:space="0" w:color="auto"/>
        <w:left w:val="none" w:sz="0" w:space="0" w:color="auto"/>
        <w:bottom w:val="none" w:sz="0" w:space="0" w:color="auto"/>
        <w:right w:val="none" w:sz="0" w:space="0" w:color="auto"/>
      </w:divBdr>
    </w:div>
    <w:div w:id="73095219">
      <w:bodyDiv w:val="1"/>
      <w:marLeft w:val="0"/>
      <w:marRight w:val="0"/>
      <w:marTop w:val="0"/>
      <w:marBottom w:val="0"/>
      <w:divBdr>
        <w:top w:val="none" w:sz="0" w:space="0" w:color="auto"/>
        <w:left w:val="none" w:sz="0" w:space="0" w:color="auto"/>
        <w:bottom w:val="none" w:sz="0" w:space="0" w:color="auto"/>
        <w:right w:val="none" w:sz="0" w:space="0" w:color="auto"/>
      </w:divBdr>
    </w:div>
    <w:div w:id="116797022">
      <w:bodyDiv w:val="1"/>
      <w:marLeft w:val="0"/>
      <w:marRight w:val="0"/>
      <w:marTop w:val="0"/>
      <w:marBottom w:val="0"/>
      <w:divBdr>
        <w:top w:val="none" w:sz="0" w:space="0" w:color="auto"/>
        <w:left w:val="none" w:sz="0" w:space="0" w:color="auto"/>
        <w:bottom w:val="none" w:sz="0" w:space="0" w:color="auto"/>
        <w:right w:val="none" w:sz="0" w:space="0" w:color="auto"/>
      </w:divBdr>
    </w:div>
    <w:div w:id="137966795">
      <w:bodyDiv w:val="1"/>
      <w:marLeft w:val="0"/>
      <w:marRight w:val="0"/>
      <w:marTop w:val="0"/>
      <w:marBottom w:val="0"/>
      <w:divBdr>
        <w:top w:val="none" w:sz="0" w:space="0" w:color="auto"/>
        <w:left w:val="none" w:sz="0" w:space="0" w:color="auto"/>
        <w:bottom w:val="none" w:sz="0" w:space="0" w:color="auto"/>
        <w:right w:val="none" w:sz="0" w:space="0" w:color="auto"/>
      </w:divBdr>
    </w:div>
    <w:div w:id="143281099">
      <w:bodyDiv w:val="1"/>
      <w:marLeft w:val="0"/>
      <w:marRight w:val="0"/>
      <w:marTop w:val="0"/>
      <w:marBottom w:val="0"/>
      <w:divBdr>
        <w:top w:val="none" w:sz="0" w:space="0" w:color="auto"/>
        <w:left w:val="none" w:sz="0" w:space="0" w:color="auto"/>
        <w:bottom w:val="none" w:sz="0" w:space="0" w:color="auto"/>
        <w:right w:val="none" w:sz="0" w:space="0" w:color="auto"/>
      </w:divBdr>
    </w:div>
    <w:div w:id="193155319">
      <w:bodyDiv w:val="1"/>
      <w:marLeft w:val="0"/>
      <w:marRight w:val="0"/>
      <w:marTop w:val="0"/>
      <w:marBottom w:val="0"/>
      <w:divBdr>
        <w:top w:val="none" w:sz="0" w:space="0" w:color="auto"/>
        <w:left w:val="none" w:sz="0" w:space="0" w:color="auto"/>
        <w:bottom w:val="none" w:sz="0" w:space="0" w:color="auto"/>
        <w:right w:val="none" w:sz="0" w:space="0" w:color="auto"/>
      </w:divBdr>
    </w:div>
    <w:div w:id="210459084">
      <w:bodyDiv w:val="1"/>
      <w:marLeft w:val="0"/>
      <w:marRight w:val="0"/>
      <w:marTop w:val="0"/>
      <w:marBottom w:val="0"/>
      <w:divBdr>
        <w:top w:val="none" w:sz="0" w:space="0" w:color="auto"/>
        <w:left w:val="none" w:sz="0" w:space="0" w:color="auto"/>
        <w:bottom w:val="none" w:sz="0" w:space="0" w:color="auto"/>
        <w:right w:val="none" w:sz="0" w:space="0" w:color="auto"/>
      </w:divBdr>
    </w:div>
    <w:div w:id="255335112">
      <w:bodyDiv w:val="1"/>
      <w:marLeft w:val="0"/>
      <w:marRight w:val="0"/>
      <w:marTop w:val="0"/>
      <w:marBottom w:val="0"/>
      <w:divBdr>
        <w:top w:val="none" w:sz="0" w:space="0" w:color="auto"/>
        <w:left w:val="none" w:sz="0" w:space="0" w:color="auto"/>
        <w:bottom w:val="none" w:sz="0" w:space="0" w:color="auto"/>
        <w:right w:val="none" w:sz="0" w:space="0" w:color="auto"/>
      </w:divBdr>
      <w:divsChild>
        <w:div w:id="208691023">
          <w:marLeft w:val="360"/>
          <w:marRight w:val="0"/>
          <w:marTop w:val="0"/>
          <w:marBottom w:val="0"/>
          <w:divBdr>
            <w:top w:val="none" w:sz="0" w:space="0" w:color="auto"/>
            <w:left w:val="none" w:sz="0" w:space="0" w:color="auto"/>
            <w:bottom w:val="none" w:sz="0" w:space="0" w:color="auto"/>
            <w:right w:val="none" w:sz="0" w:space="0" w:color="auto"/>
          </w:divBdr>
        </w:div>
      </w:divsChild>
    </w:div>
    <w:div w:id="256600391">
      <w:bodyDiv w:val="1"/>
      <w:marLeft w:val="0"/>
      <w:marRight w:val="0"/>
      <w:marTop w:val="0"/>
      <w:marBottom w:val="0"/>
      <w:divBdr>
        <w:top w:val="none" w:sz="0" w:space="0" w:color="auto"/>
        <w:left w:val="none" w:sz="0" w:space="0" w:color="auto"/>
        <w:bottom w:val="none" w:sz="0" w:space="0" w:color="auto"/>
        <w:right w:val="none" w:sz="0" w:space="0" w:color="auto"/>
      </w:divBdr>
    </w:div>
    <w:div w:id="261762352">
      <w:bodyDiv w:val="1"/>
      <w:marLeft w:val="0"/>
      <w:marRight w:val="0"/>
      <w:marTop w:val="0"/>
      <w:marBottom w:val="0"/>
      <w:divBdr>
        <w:top w:val="none" w:sz="0" w:space="0" w:color="auto"/>
        <w:left w:val="none" w:sz="0" w:space="0" w:color="auto"/>
        <w:bottom w:val="none" w:sz="0" w:space="0" w:color="auto"/>
        <w:right w:val="none" w:sz="0" w:space="0" w:color="auto"/>
      </w:divBdr>
    </w:div>
    <w:div w:id="305935243">
      <w:bodyDiv w:val="1"/>
      <w:marLeft w:val="0"/>
      <w:marRight w:val="0"/>
      <w:marTop w:val="0"/>
      <w:marBottom w:val="0"/>
      <w:divBdr>
        <w:top w:val="none" w:sz="0" w:space="0" w:color="auto"/>
        <w:left w:val="none" w:sz="0" w:space="0" w:color="auto"/>
        <w:bottom w:val="none" w:sz="0" w:space="0" w:color="auto"/>
        <w:right w:val="none" w:sz="0" w:space="0" w:color="auto"/>
      </w:divBdr>
    </w:div>
    <w:div w:id="317418762">
      <w:bodyDiv w:val="1"/>
      <w:marLeft w:val="0"/>
      <w:marRight w:val="0"/>
      <w:marTop w:val="0"/>
      <w:marBottom w:val="0"/>
      <w:divBdr>
        <w:top w:val="none" w:sz="0" w:space="0" w:color="auto"/>
        <w:left w:val="none" w:sz="0" w:space="0" w:color="auto"/>
        <w:bottom w:val="none" w:sz="0" w:space="0" w:color="auto"/>
        <w:right w:val="none" w:sz="0" w:space="0" w:color="auto"/>
      </w:divBdr>
    </w:div>
    <w:div w:id="327681279">
      <w:bodyDiv w:val="1"/>
      <w:marLeft w:val="0"/>
      <w:marRight w:val="0"/>
      <w:marTop w:val="0"/>
      <w:marBottom w:val="0"/>
      <w:divBdr>
        <w:top w:val="none" w:sz="0" w:space="0" w:color="auto"/>
        <w:left w:val="none" w:sz="0" w:space="0" w:color="auto"/>
        <w:bottom w:val="none" w:sz="0" w:space="0" w:color="auto"/>
        <w:right w:val="none" w:sz="0" w:space="0" w:color="auto"/>
      </w:divBdr>
    </w:div>
    <w:div w:id="367267547">
      <w:bodyDiv w:val="1"/>
      <w:marLeft w:val="0"/>
      <w:marRight w:val="0"/>
      <w:marTop w:val="0"/>
      <w:marBottom w:val="0"/>
      <w:divBdr>
        <w:top w:val="none" w:sz="0" w:space="0" w:color="auto"/>
        <w:left w:val="none" w:sz="0" w:space="0" w:color="auto"/>
        <w:bottom w:val="none" w:sz="0" w:space="0" w:color="auto"/>
        <w:right w:val="none" w:sz="0" w:space="0" w:color="auto"/>
      </w:divBdr>
    </w:div>
    <w:div w:id="406925687">
      <w:bodyDiv w:val="1"/>
      <w:marLeft w:val="0"/>
      <w:marRight w:val="0"/>
      <w:marTop w:val="0"/>
      <w:marBottom w:val="0"/>
      <w:divBdr>
        <w:top w:val="none" w:sz="0" w:space="0" w:color="auto"/>
        <w:left w:val="none" w:sz="0" w:space="0" w:color="auto"/>
        <w:bottom w:val="none" w:sz="0" w:space="0" w:color="auto"/>
        <w:right w:val="none" w:sz="0" w:space="0" w:color="auto"/>
      </w:divBdr>
    </w:div>
    <w:div w:id="456991395">
      <w:bodyDiv w:val="1"/>
      <w:marLeft w:val="0"/>
      <w:marRight w:val="0"/>
      <w:marTop w:val="0"/>
      <w:marBottom w:val="0"/>
      <w:divBdr>
        <w:top w:val="none" w:sz="0" w:space="0" w:color="auto"/>
        <w:left w:val="none" w:sz="0" w:space="0" w:color="auto"/>
        <w:bottom w:val="none" w:sz="0" w:space="0" w:color="auto"/>
        <w:right w:val="none" w:sz="0" w:space="0" w:color="auto"/>
      </w:divBdr>
      <w:divsChild>
        <w:div w:id="678238681">
          <w:marLeft w:val="0"/>
          <w:marRight w:val="0"/>
          <w:marTop w:val="0"/>
          <w:marBottom w:val="0"/>
          <w:divBdr>
            <w:top w:val="none" w:sz="0" w:space="0" w:color="auto"/>
            <w:left w:val="none" w:sz="0" w:space="0" w:color="auto"/>
            <w:bottom w:val="none" w:sz="0" w:space="0" w:color="auto"/>
            <w:right w:val="none" w:sz="0" w:space="0" w:color="auto"/>
          </w:divBdr>
          <w:divsChild>
            <w:div w:id="945969386">
              <w:marLeft w:val="0"/>
              <w:marRight w:val="0"/>
              <w:marTop w:val="0"/>
              <w:marBottom w:val="0"/>
              <w:divBdr>
                <w:top w:val="none" w:sz="0" w:space="0" w:color="auto"/>
                <w:left w:val="none" w:sz="0" w:space="0" w:color="auto"/>
                <w:bottom w:val="none" w:sz="0" w:space="0" w:color="auto"/>
                <w:right w:val="none" w:sz="0" w:space="0" w:color="auto"/>
              </w:divBdr>
              <w:divsChild>
                <w:div w:id="8085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5786">
      <w:bodyDiv w:val="1"/>
      <w:marLeft w:val="0"/>
      <w:marRight w:val="0"/>
      <w:marTop w:val="0"/>
      <w:marBottom w:val="0"/>
      <w:divBdr>
        <w:top w:val="none" w:sz="0" w:space="0" w:color="auto"/>
        <w:left w:val="none" w:sz="0" w:space="0" w:color="auto"/>
        <w:bottom w:val="none" w:sz="0" w:space="0" w:color="auto"/>
        <w:right w:val="none" w:sz="0" w:space="0" w:color="auto"/>
      </w:divBdr>
    </w:div>
    <w:div w:id="476922266">
      <w:bodyDiv w:val="1"/>
      <w:marLeft w:val="0"/>
      <w:marRight w:val="0"/>
      <w:marTop w:val="0"/>
      <w:marBottom w:val="0"/>
      <w:divBdr>
        <w:top w:val="none" w:sz="0" w:space="0" w:color="auto"/>
        <w:left w:val="none" w:sz="0" w:space="0" w:color="auto"/>
        <w:bottom w:val="none" w:sz="0" w:space="0" w:color="auto"/>
        <w:right w:val="none" w:sz="0" w:space="0" w:color="auto"/>
      </w:divBdr>
    </w:div>
    <w:div w:id="495540873">
      <w:bodyDiv w:val="1"/>
      <w:marLeft w:val="0"/>
      <w:marRight w:val="0"/>
      <w:marTop w:val="0"/>
      <w:marBottom w:val="0"/>
      <w:divBdr>
        <w:top w:val="none" w:sz="0" w:space="0" w:color="auto"/>
        <w:left w:val="none" w:sz="0" w:space="0" w:color="auto"/>
        <w:bottom w:val="none" w:sz="0" w:space="0" w:color="auto"/>
        <w:right w:val="none" w:sz="0" w:space="0" w:color="auto"/>
      </w:divBdr>
    </w:div>
    <w:div w:id="505945374">
      <w:bodyDiv w:val="1"/>
      <w:marLeft w:val="0"/>
      <w:marRight w:val="0"/>
      <w:marTop w:val="0"/>
      <w:marBottom w:val="0"/>
      <w:divBdr>
        <w:top w:val="none" w:sz="0" w:space="0" w:color="auto"/>
        <w:left w:val="none" w:sz="0" w:space="0" w:color="auto"/>
        <w:bottom w:val="none" w:sz="0" w:space="0" w:color="auto"/>
        <w:right w:val="none" w:sz="0" w:space="0" w:color="auto"/>
      </w:divBdr>
    </w:div>
    <w:div w:id="526989847">
      <w:bodyDiv w:val="1"/>
      <w:marLeft w:val="0"/>
      <w:marRight w:val="0"/>
      <w:marTop w:val="0"/>
      <w:marBottom w:val="0"/>
      <w:divBdr>
        <w:top w:val="none" w:sz="0" w:space="0" w:color="auto"/>
        <w:left w:val="none" w:sz="0" w:space="0" w:color="auto"/>
        <w:bottom w:val="none" w:sz="0" w:space="0" w:color="auto"/>
        <w:right w:val="none" w:sz="0" w:space="0" w:color="auto"/>
      </w:divBdr>
    </w:div>
    <w:div w:id="544562278">
      <w:bodyDiv w:val="1"/>
      <w:marLeft w:val="0"/>
      <w:marRight w:val="0"/>
      <w:marTop w:val="0"/>
      <w:marBottom w:val="0"/>
      <w:divBdr>
        <w:top w:val="none" w:sz="0" w:space="0" w:color="auto"/>
        <w:left w:val="none" w:sz="0" w:space="0" w:color="auto"/>
        <w:bottom w:val="none" w:sz="0" w:space="0" w:color="auto"/>
        <w:right w:val="none" w:sz="0" w:space="0" w:color="auto"/>
      </w:divBdr>
    </w:div>
    <w:div w:id="612706763">
      <w:bodyDiv w:val="1"/>
      <w:marLeft w:val="0"/>
      <w:marRight w:val="0"/>
      <w:marTop w:val="0"/>
      <w:marBottom w:val="0"/>
      <w:divBdr>
        <w:top w:val="none" w:sz="0" w:space="0" w:color="auto"/>
        <w:left w:val="none" w:sz="0" w:space="0" w:color="auto"/>
        <w:bottom w:val="none" w:sz="0" w:space="0" w:color="auto"/>
        <w:right w:val="none" w:sz="0" w:space="0" w:color="auto"/>
      </w:divBdr>
    </w:div>
    <w:div w:id="620573536">
      <w:bodyDiv w:val="1"/>
      <w:marLeft w:val="0"/>
      <w:marRight w:val="0"/>
      <w:marTop w:val="0"/>
      <w:marBottom w:val="0"/>
      <w:divBdr>
        <w:top w:val="none" w:sz="0" w:space="0" w:color="auto"/>
        <w:left w:val="none" w:sz="0" w:space="0" w:color="auto"/>
        <w:bottom w:val="none" w:sz="0" w:space="0" w:color="auto"/>
        <w:right w:val="none" w:sz="0" w:space="0" w:color="auto"/>
      </w:divBdr>
    </w:div>
    <w:div w:id="649751217">
      <w:bodyDiv w:val="1"/>
      <w:marLeft w:val="0"/>
      <w:marRight w:val="0"/>
      <w:marTop w:val="0"/>
      <w:marBottom w:val="0"/>
      <w:divBdr>
        <w:top w:val="none" w:sz="0" w:space="0" w:color="auto"/>
        <w:left w:val="none" w:sz="0" w:space="0" w:color="auto"/>
        <w:bottom w:val="none" w:sz="0" w:space="0" w:color="auto"/>
        <w:right w:val="none" w:sz="0" w:space="0" w:color="auto"/>
      </w:divBdr>
    </w:div>
    <w:div w:id="679241736">
      <w:bodyDiv w:val="1"/>
      <w:marLeft w:val="0"/>
      <w:marRight w:val="0"/>
      <w:marTop w:val="0"/>
      <w:marBottom w:val="0"/>
      <w:divBdr>
        <w:top w:val="none" w:sz="0" w:space="0" w:color="auto"/>
        <w:left w:val="none" w:sz="0" w:space="0" w:color="auto"/>
        <w:bottom w:val="none" w:sz="0" w:space="0" w:color="auto"/>
        <w:right w:val="none" w:sz="0" w:space="0" w:color="auto"/>
      </w:divBdr>
    </w:div>
    <w:div w:id="679477576">
      <w:bodyDiv w:val="1"/>
      <w:marLeft w:val="0"/>
      <w:marRight w:val="0"/>
      <w:marTop w:val="0"/>
      <w:marBottom w:val="0"/>
      <w:divBdr>
        <w:top w:val="none" w:sz="0" w:space="0" w:color="auto"/>
        <w:left w:val="none" w:sz="0" w:space="0" w:color="auto"/>
        <w:bottom w:val="none" w:sz="0" w:space="0" w:color="auto"/>
        <w:right w:val="none" w:sz="0" w:space="0" w:color="auto"/>
      </w:divBdr>
    </w:div>
    <w:div w:id="692465442">
      <w:bodyDiv w:val="1"/>
      <w:marLeft w:val="0"/>
      <w:marRight w:val="0"/>
      <w:marTop w:val="0"/>
      <w:marBottom w:val="0"/>
      <w:divBdr>
        <w:top w:val="none" w:sz="0" w:space="0" w:color="auto"/>
        <w:left w:val="none" w:sz="0" w:space="0" w:color="auto"/>
        <w:bottom w:val="none" w:sz="0" w:space="0" w:color="auto"/>
        <w:right w:val="none" w:sz="0" w:space="0" w:color="auto"/>
      </w:divBdr>
    </w:div>
    <w:div w:id="723986737">
      <w:bodyDiv w:val="1"/>
      <w:marLeft w:val="0"/>
      <w:marRight w:val="0"/>
      <w:marTop w:val="0"/>
      <w:marBottom w:val="0"/>
      <w:divBdr>
        <w:top w:val="none" w:sz="0" w:space="0" w:color="auto"/>
        <w:left w:val="none" w:sz="0" w:space="0" w:color="auto"/>
        <w:bottom w:val="none" w:sz="0" w:space="0" w:color="auto"/>
        <w:right w:val="none" w:sz="0" w:space="0" w:color="auto"/>
      </w:divBdr>
    </w:div>
    <w:div w:id="737291439">
      <w:bodyDiv w:val="1"/>
      <w:marLeft w:val="0"/>
      <w:marRight w:val="0"/>
      <w:marTop w:val="0"/>
      <w:marBottom w:val="0"/>
      <w:divBdr>
        <w:top w:val="none" w:sz="0" w:space="0" w:color="auto"/>
        <w:left w:val="none" w:sz="0" w:space="0" w:color="auto"/>
        <w:bottom w:val="none" w:sz="0" w:space="0" w:color="auto"/>
        <w:right w:val="none" w:sz="0" w:space="0" w:color="auto"/>
      </w:divBdr>
    </w:div>
    <w:div w:id="742416745">
      <w:bodyDiv w:val="1"/>
      <w:marLeft w:val="0"/>
      <w:marRight w:val="0"/>
      <w:marTop w:val="0"/>
      <w:marBottom w:val="0"/>
      <w:divBdr>
        <w:top w:val="none" w:sz="0" w:space="0" w:color="auto"/>
        <w:left w:val="none" w:sz="0" w:space="0" w:color="auto"/>
        <w:bottom w:val="none" w:sz="0" w:space="0" w:color="auto"/>
        <w:right w:val="none" w:sz="0" w:space="0" w:color="auto"/>
      </w:divBdr>
    </w:div>
    <w:div w:id="760833739">
      <w:bodyDiv w:val="1"/>
      <w:marLeft w:val="0"/>
      <w:marRight w:val="0"/>
      <w:marTop w:val="0"/>
      <w:marBottom w:val="0"/>
      <w:divBdr>
        <w:top w:val="none" w:sz="0" w:space="0" w:color="auto"/>
        <w:left w:val="none" w:sz="0" w:space="0" w:color="auto"/>
        <w:bottom w:val="none" w:sz="0" w:space="0" w:color="auto"/>
        <w:right w:val="none" w:sz="0" w:space="0" w:color="auto"/>
      </w:divBdr>
    </w:div>
    <w:div w:id="761531289">
      <w:bodyDiv w:val="1"/>
      <w:marLeft w:val="0"/>
      <w:marRight w:val="0"/>
      <w:marTop w:val="0"/>
      <w:marBottom w:val="0"/>
      <w:divBdr>
        <w:top w:val="none" w:sz="0" w:space="0" w:color="auto"/>
        <w:left w:val="none" w:sz="0" w:space="0" w:color="auto"/>
        <w:bottom w:val="none" w:sz="0" w:space="0" w:color="auto"/>
        <w:right w:val="none" w:sz="0" w:space="0" w:color="auto"/>
      </w:divBdr>
    </w:div>
    <w:div w:id="769400286">
      <w:bodyDiv w:val="1"/>
      <w:marLeft w:val="0"/>
      <w:marRight w:val="0"/>
      <w:marTop w:val="0"/>
      <w:marBottom w:val="0"/>
      <w:divBdr>
        <w:top w:val="none" w:sz="0" w:space="0" w:color="auto"/>
        <w:left w:val="none" w:sz="0" w:space="0" w:color="auto"/>
        <w:bottom w:val="none" w:sz="0" w:space="0" w:color="auto"/>
        <w:right w:val="none" w:sz="0" w:space="0" w:color="auto"/>
      </w:divBdr>
    </w:div>
    <w:div w:id="775366839">
      <w:bodyDiv w:val="1"/>
      <w:marLeft w:val="0"/>
      <w:marRight w:val="0"/>
      <w:marTop w:val="0"/>
      <w:marBottom w:val="0"/>
      <w:divBdr>
        <w:top w:val="none" w:sz="0" w:space="0" w:color="auto"/>
        <w:left w:val="none" w:sz="0" w:space="0" w:color="auto"/>
        <w:bottom w:val="none" w:sz="0" w:space="0" w:color="auto"/>
        <w:right w:val="none" w:sz="0" w:space="0" w:color="auto"/>
      </w:divBdr>
    </w:div>
    <w:div w:id="806581636">
      <w:bodyDiv w:val="1"/>
      <w:marLeft w:val="0"/>
      <w:marRight w:val="0"/>
      <w:marTop w:val="0"/>
      <w:marBottom w:val="0"/>
      <w:divBdr>
        <w:top w:val="none" w:sz="0" w:space="0" w:color="auto"/>
        <w:left w:val="none" w:sz="0" w:space="0" w:color="auto"/>
        <w:bottom w:val="none" w:sz="0" w:space="0" w:color="auto"/>
        <w:right w:val="none" w:sz="0" w:space="0" w:color="auto"/>
      </w:divBdr>
    </w:div>
    <w:div w:id="829708636">
      <w:bodyDiv w:val="1"/>
      <w:marLeft w:val="0"/>
      <w:marRight w:val="0"/>
      <w:marTop w:val="0"/>
      <w:marBottom w:val="0"/>
      <w:divBdr>
        <w:top w:val="none" w:sz="0" w:space="0" w:color="auto"/>
        <w:left w:val="none" w:sz="0" w:space="0" w:color="auto"/>
        <w:bottom w:val="none" w:sz="0" w:space="0" w:color="auto"/>
        <w:right w:val="none" w:sz="0" w:space="0" w:color="auto"/>
      </w:divBdr>
    </w:div>
    <w:div w:id="831990825">
      <w:bodyDiv w:val="1"/>
      <w:marLeft w:val="0"/>
      <w:marRight w:val="0"/>
      <w:marTop w:val="0"/>
      <w:marBottom w:val="0"/>
      <w:divBdr>
        <w:top w:val="none" w:sz="0" w:space="0" w:color="auto"/>
        <w:left w:val="none" w:sz="0" w:space="0" w:color="auto"/>
        <w:bottom w:val="none" w:sz="0" w:space="0" w:color="auto"/>
        <w:right w:val="none" w:sz="0" w:space="0" w:color="auto"/>
      </w:divBdr>
    </w:div>
    <w:div w:id="835850708">
      <w:bodyDiv w:val="1"/>
      <w:marLeft w:val="0"/>
      <w:marRight w:val="0"/>
      <w:marTop w:val="0"/>
      <w:marBottom w:val="0"/>
      <w:divBdr>
        <w:top w:val="none" w:sz="0" w:space="0" w:color="auto"/>
        <w:left w:val="none" w:sz="0" w:space="0" w:color="auto"/>
        <w:bottom w:val="none" w:sz="0" w:space="0" w:color="auto"/>
        <w:right w:val="none" w:sz="0" w:space="0" w:color="auto"/>
      </w:divBdr>
    </w:div>
    <w:div w:id="840390645">
      <w:bodyDiv w:val="1"/>
      <w:marLeft w:val="0"/>
      <w:marRight w:val="0"/>
      <w:marTop w:val="0"/>
      <w:marBottom w:val="0"/>
      <w:divBdr>
        <w:top w:val="none" w:sz="0" w:space="0" w:color="auto"/>
        <w:left w:val="none" w:sz="0" w:space="0" w:color="auto"/>
        <w:bottom w:val="none" w:sz="0" w:space="0" w:color="auto"/>
        <w:right w:val="none" w:sz="0" w:space="0" w:color="auto"/>
      </w:divBdr>
    </w:div>
    <w:div w:id="857432274">
      <w:bodyDiv w:val="1"/>
      <w:marLeft w:val="0"/>
      <w:marRight w:val="0"/>
      <w:marTop w:val="0"/>
      <w:marBottom w:val="0"/>
      <w:divBdr>
        <w:top w:val="none" w:sz="0" w:space="0" w:color="auto"/>
        <w:left w:val="none" w:sz="0" w:space="0" w:color="auto"/>
        <w:bottom w:val="none" w:sz="0" w:space="0" w:color="auto"/>
        <w:right w:val="none" w:sz="0" w:space="0" w:color="auto"/>
      </w:divBdr>
    </w:div>
    <w:div w:id="890574448">
      <w:bodyDiv w:val="1"/>
      <w:marLeft w:val="0"/>
      <w:marRight w:val="0"/>
      <w:marTop w:val="0"/>
      <w:marBottom w:val="0"/>
      <w:divBdr>
        <w:top w:val="none" w:sz="0" w:space="0" w:color="auto"/>
        <w:left w:val="none" w:sz="0" w:space="0" w:color="auto"/>
        <w:bottom w:val="none" w:sz="0" w:space="0" w:color="auto"/>
        <w:right w:val="none" w:sz="0" w:space="0" w:color="auto"/>
      </w:divBdr>
    </w:div>
    <w:div w:id="938560948">
      <w:bodyDiv w:val="1"/>
      <w:marLeft w:val="0"/>
      <w:marRight w:val="0"/>
      <w:marTop w:val="0"/>
      <w:marBottom w:val="0"/>
      <w:divBdr>
        <w:top w:val="none" w:sz="0" w:space="0" w:color="auto"/>
        <w:left w:val="none" w:sz="0" w:space="0" w:color="auto"/>
        <w:bottom w:val="none" w:sz="0" w:space="0" w:color="auto"/>
        <w:right w:val="none" w:sz="0" w:space="0" w:color="auto"/>
      </w:divBdr>
    </w:div>
    <w:div w:id="951933702">
      <w:bodyDiv w:val="1"/>
      <w:marLeft w:val="0"/>
      <w:marRight w:val="0"/>
      <w:marTop w:val="0"/>
      <w:marBottom w:val="0"/>
      <w:divBdr>
        <w:top w:val="none" w:sz="0" w:space="0" w:color="auto"/>
        <w:left w:val="none" w:sz="0" w:space="0" w:color="auto"/>
        <w:bottom w:val="none" w:sz="0" w:space="0" w:color="auto"/>
        <w:right w:val="none" w:sz="0" w:space="0" w:color="auto"/>
      </w:divBdr>
    </w:div>
    <w:div w:id="956373877">
      <w:bodyDiv w:val="1"/>
      <w:marLeft w:val="0"/>
      <w:marRight w:val="0"/>
      <w:marTop w:val="0"/>
      <w:marBottom w:val="0"/>
      <w:divBdr>
        <w:top w:val="none" w:sz="0" w:space="0" w:color="auto"/>
        <w:left w:val="none" w:sz="0" w:space="0" w:color="auto"/>
        <w:bottom w:val="none" w:sz="0" w:space="0" w:color="auto"/>
        <w:right w:val="none" w:sz="0" w:space="0" w:color="auto"/>
      </w:divBdr>
    </w:div>
    <w:div w:id="973413802">
      <w:bodyDiv w:val="1"/>
      <w:marLeft w:val="0"/>
      <w:marRight w:val="0"/>
      <w:marTop w:val="0"/>
      <w:marBottom w:val="0"/>
      <w:divBdr>
        <w:top w:val="none" w:sz="0" w:space="0" w:color="auto"/>
        <w:left w:val="none" w:sz="0" w:space="0" w:color="auto"/>
        <w:bottom w:val="none" w:sz="0" w:space="0" w:color="auto"/>
        <w:right w:val="none" w:sz="0" w:space="0" w:color="auto"/>
      </w:divBdr>
    </w:div>
    <w:div w:id="980040233">
      <w:bodyDiv w:val="1"/>
      <w:marLeft w:val="0"/>
      <w:marRight w:val="0"/>
      <w:marTop w:val="0"/>
      <w:marBottom w:val="0"/>
      <w:divBdr>
        <w:top w:val="none" w:sz="0" w:space="0" w:color="auto"/>
        <w:left w:val="none" w:sz="0" w:space="0" w:color="auto"/>
        <w:bottom w:val="none" w:sz="0" w:space="0" w:color="auto"/>
        <w:right w:val="none" w:sz="0" w:space="0" w:color="auto"/>
      </w:divBdr>
    </w:div>
    <w:div w:id="981957970">
      <w:bodyDiv w:val="1"/>
      <w:marLeft w:val="0"/>
      <w:marRight w:val="0"/>
      <w:marTop w:val="0"/>
      <w:marBottom w:val="0"/>
      <w:divBdr>
        <w:top w:val="none" w:sz="0" w:space="0" w:color="auto"/>
        <w:left w:val="none" w:sz="0" w:space="0" w:color="auto"/>
        <w:bottom w:val="none" w:sz="0" w:space="0" w:color="auto"/>
        <w:right w:val="none" w:sz="0" w:space="0" w:color="auto"/>
      </w:divBdr>
    </w:div>
    <w:div w:id="1001549455">
      <w:bodyDiv w:val="1"/>
      <w:marLeft w:val="0"/>
      <w:marRight w:val="0"/>
      <w:marTop w:val="0"/>
      <w:marBottom w:val="0"/>
      <w:divBdr>
        <w:top w:val="none" w:sz="0" w:space="0" w:color="auto"/>
        <w:left w:val="none" w:sz="0" w:space="0" w:color="auto"/>
        <w:bottom w:val="none" w:sz="0" w:space="0" w:color="auto"/>
        <w:right w:val="none" w:sz="0" w:space="0" w:color="auto"/>
      </w:divBdr>
    </w:div>
    <w:div w:id="1010641043">
      <w:bodyDiv w:val="1"/>
      <w:marLeft w:val="0"/>
      <w:marRight w:val="0"/>
      <w:marTop w:val="0"/>
      <w:marBottom w:val="0"/>
      <w:divBdr>
        <w:top w:val="none" w:sz="0" w:space="0" w:color="auto"/>
        <w:left w:val="none" w:sz="0" w:space="0" w:color="auto"/>
        <w:bottom w:val="none" w:sz="0" w:space="0" w:color="auto"/>
        <w:right w:val="none" w:sz="0" w:space="0" w:color="auto"/>
      </w:divBdr>
    </w:div>
    <w:div w:id="1064450593">
      <w:bodyDiv w:val="1"/>
      <w:marLeft w:val="0"/>
      <w:marRight w:val="0"/>
      <w:marTop w:val="0"/>
      <w:marBottom w:val="0"/>
      <w:divBdr>
        <w:top w:val="none" w:sz="0" w:space="0" w:color="auto"/>
        <w:left w:val="none" w:sz="0" w:space="0" w:color="auto"/>
        <w:bottom w:val="none" w:sz="0" w:space="0" w:color="auto"/>
        <w:right w:val="none" w:sz="0" w:space="0" w:color="auto"/>
      </w:divBdr>
    </w:div>
    <w:div w:id="1105420115">
      <w:bodyDiv w:val="1"/>
      <w:marLeft w:val="0"/>
      <w:marRight w:val="0"/>
      <w:marTop w:val="0"/>
      <w:marBottom w:val="0"/>
      <w:divBdr>
        <w:top w:val="none" w:sz="0" w:space="0" w:color="auto"/>
        <w:left w:val="none" w:sz="0" w:space="0" w:color="auto"/>
        <w:bottom w:val="none" w:sz="0" w:space="0" w:color="auto"/>
        <w:right w:val="none" w:sz="0" w:space="0" w:color="auto"/>
      </w:divBdr>
    </w:div>
    <w:div w:id="1110585164">
      <w:bodyDiv w:val="1"/>
      <w:marLeft w:val="0"/>
      <w:marRight w:val="0"/>
      <w:marTop w:val="0"/>
      <w:marBottom w:val="0"/>
      <w:divBdr>
        <w:top w:val="none" w:sz="0" w:space="0" w:color="auto"/>
        <w:left w:val="none" w:sz="0" w:space="0" w:color="auto"/>
        <w:bottom w:val="none" w:sz="0" w:space="0" w:color="auto"/>
        <w:right w:val="none" w:sz="0" w:space="0" w:color="auto"/>
      </w:divBdr>
      <w:divsChild>
        <w:div w:id="1009983415">
          <w:marLeft w:val="0"/>
          <w:marRight w:val="0"/>
          <w:marTop w:val="0"/>
          <w:marBottom w:val="0"/>
          <w:divBdr>
            <w:top w:val="none" w:sz="0" w:space="0" w:color="auto"/>
            <w:left w:val="none" w:sz="0" w:space="0" w:color="auto"/>
            <w:bottom w:val="none" w:sz="0" w:space="0" w:color="auto"/>
            <w:right w:val="none" w:sz="0" w:space="0" w:color="auto"/>
          </w:divBdr>
          <w:divsChild>
            <w:div w:id="1779448881">
              <w:marLeft w:val="0"/>
              <w:marRight w:val="0"/>
              <w:marTop w:val="0"/>
              <w:marBottom w:val="0"/>
              <w:divBdr>
                <w:top w:val="none" w:sz="0" w:space="0" w:color="auto"/>
                <w:left w:val="none" w:sz="0" w:space="0" w:color="auto"/>
                <w:bottom w:val="none" w:sz="0" w:space="0" w:color="auto"/>
                <w:right w:val="none" w:sz="0" w:space="0" w:color="auto"/>
              </w:divBdr>
              <w:divsChild>
                <w:div w:id="3577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24637">
      <w:bodyDiv w:val="1"/>
      <w:marLeft w:val="0"/>
      <w:marRight w:val="0"/>
      <w:marTop w:val="0"/>
      <w:marBottom w:val="0"/>
      <w:divBdr>
        <w:top w:val="none" w:sz="0" w:space="0" w:color="auto"/>
        <w:left w:val="none" w:sz="0" w:space="0" w:color="auto"/>
        <w:bottom w:val="none" w:sz="0" w:space="0" w:color="auto"/>
        <w:right w:val="none" w:sz="0" w:space="0" w:color="auto"/>
      </w:divBdr>
    </w:div>
    <w:div w:id="1245147931">
      <w:bodyDiv w:val="1"/>
      <w:marLeft w:val="0"/>
      <w:marRight w:val="0"/>
      <w:marTop w:val="0"/>
      <w:marBottom w:val="0"/>
      <w:divBdr>
        <w:top w:val="none" w:sz="0" w:space="0" w:color="auto"/>
        <w:left w:val="none" w:sz="0" w:space="0" w:color="auto"/>
        <w:bottom w:val="none" w:sz="0" w:space="0" w:color="auto"/>
        <w:right w:val="none" w:sz="0" w:space="0" w:color="auto"/>
      </w:divBdr>
    </w:div>
    <w:div w:id="1275669077">
      <w:bodyDiv w:val="1"/>
      <w:marLeft w:val="0"/>
      <w:marRight w:val="0"/>
      <w:marTop w:val="0"/>
      <w:marBottom w:val="0"/>
      <w:divBdr>
        <w:top w:val="none" w:sz="0" w:space="0" w:color="auto"/>
        <w:left w:val="none" w:sz="0" w:space="0" w:color="auto"/>
        <w:bottom w:val="none" w:sz="0" w:space="0" w:color="auto"/>
        <w:right w:val="none" w:sz="0" w:space="0" w:color="auto"/>
      </w:divBdr>
    </w:div>
    <w:div w:id="1312951421">
      <w:bodyDiv w:val="1"/>
      <w:marLeft w:val="0"/>
      <w:marRight w:val="0"/>
      <w:marTop w:val="0"/>
      <w:marBottom w:val="0"/>
      <w:divBdr>
        <w:top w:val="none" w:sz="0" w:space="0" w:color="auto"/>
        <w:left w:val="none" w:sz="0" w:space="0" w:color="auto"/>
        <w:bottom w:val="none" w:sz="0" w:space="0" w:color="auto"/>
        <w:right w:val="none" w:sz="0" w:space="0" w:color="auto"/>
      </w:divBdr>
    </w:div>
    <w:div w:id="1323657142">
      <w:bodyDiv w:val="1"/>
      <w:marLeft w:val="0"/>
      <w:marRight w:val="0"/>
      <w:marTop w:val="0"/>
      <w:marBottom w:val="0"/>
      <w:divBdr>
        <w:top w:val="none" w:sz="0" w:space="0" w:color="auto"/>
        <w:left w:val="none" w:sz="0" w:space="0" w:color="auto"/>
        <w:bottom w:val="none" w:sz="0" w:space="0" w:color="auto"/>
        <w:right w:val="none" w:sz="0" w:space="0" w:color="auto"/>
      </w:divBdr>
    </w:div>
    <w:div w:id="1334801824">
      <w:bodyDiv w:val="1"/>
      <w:marLeft w:val="0"/>
      <w:marRight w:val="0"/>
      <w:marTop w:val="0"/>
      <w:marBottom w:val="0"/>
      <w:divBdr>
        <w:top w:val="none" w:sz="0" w:space="0" w:color="auto"/>
        <w:left w:val="none" w:sz="0" w:space="0" w:color="auto"/>
        <w:bottom w:val="none" w:sz="0" w:space="0" w:color="auto"/>
        <w:right w:val="none" w:sz="0" w:space="0" w:color="auto"/>
      </w:divBdr>
    </w:div>
    <w:div w:id="1355880837">
      <w:bodyDiv w:val="1"/>
      <w:marLeft w:val="0"/>
      <w:marRight w:val="0"/>
      <w:marTop w:val="0"/>
      <w:marBottom w:val="0"/>
      <w:divBdr>
        <w:top w:val="none" w:sz="0" w:space="0" w:color="auto"/>
        <w:left w:val="none" w:sz="0" w:space="0" w:color="auto"/>
        <w:bottom w:val="none" w:sz="0" w:space="0" w:color="auto"/>
        <w:right w:val="none" w:sz="0" w:space="0" w:color="auto"/>
      </w:divBdr>
    </w:div>
    <w:div w:id="1420255630">
      <w:bodyDiv w:val="1"/>
      <w:marLeft w:val="0"/>
      <w:marRight w:val="0"/>
      <w:marTop w:val="0"/>
      <w:marBottom w:val="0"/>
      <w:divBdr>
        <w:top w:val="none" w:sz="0" w:space="0" w:color="auto"/>
        <w:left w:val="none" w:sz="0" w:space="0" w:color="auto"/>
        <w:bottom w:val="none" w:sz="0" w:space="0" w:color="auto"/>
        <w:right w:val="none" w:sz="0" w:space="0" w:color="auto"/>
      </w:divBdr>
    </w:div>
    <w:div w:id="1443718908">
      <w:bodyDiv w:val="1"/>
      <w:marLeft w:val="0"/>
      <w:marRight w:val="0"/>
      <w:marTop w:val="0"/>
      <w:marBottom w:val="0"/>
      <w:divBdr>
        <w:top w:val="none" w:sz="0" w:space="0" w:color="auto"/>
        <w:left w:val="none" w:sz="0" w:space="0" w:color="auto"/>
        <w:bottom w:val="none" w:sz="0" w:space="0" w:color="auto"/>
        <w:right w:val="none" w:sz="0" w:space="0" w:color="auto"/>
      </w:divBdr>
    </w:div>
    <w:div w:id="1446773372">
      <w:bodyDiv w:val="1"/>
      <w:marLeft w:val="0"/>
      <w:marRight w:val="0"/>
      <w:marTop w:val="0"/>
      <w:marBottom w:val="0"/>
      <w:divBdr>
        <w:top w:val="none" w:sz="0" w:space="0" w:color="auto"/>
        <w:left w:val="none" w:sz="0" w:space="0" w:color="auto"/>
        <w:bottom w:val="none" w:sz="0" w:space="0" w:color="auto"/>
        <w:right w:val="none" w:sz="0" w:space="0" w:color="auto"/>
      </w:divBdr>
    </w:div>
    <w:div w:id="1457990643">
      <w:bodyDiv w:val="1"/>
      <w:marLeft w:val="0"/>
      <w:marRight w:val="0"/>
      <w:marTop w:val="0"/>
      <w:marBottom w:val="0"/>
      <w:divBdr>
        <w:top w:val="none" w:sz="0" w:space="0" w:color="auto"/>
        <w:left w:val="none" w:sz="0" w:space="0" w:color="auto"/>
        <w:bottom w:val="none" w:sz="0" w:space="0" w:color="auto"/>
        <w:right w:val="none" w:sz="0" w:space="0" w:color="auto"/>
      </w:divBdr>
    </w:div>
    <w:div w:id="1469280528">
      <w:bodyDiv w:val="1"/>
      <w:marLeft w:val="0"/>
      <w:marRight w:val="0"/>
      <w:marTop w:val="0"/>
      <w:marBottom w:val="0"/>
      <w:divBdr>
        <w:top w:val="none" w:sz="0" w:space="0" w:color="auto"/>
        <w:left w:val="none" w:sz="0" w:space="0" w:color="auto"/>
        <w:bottom w:val="none" w:sz="0" w:space="0" w:color="auto"/>
        <w:right w:val="none" w:sz="0" w:space="0" w:color="auto"/>
      </w:divBdr>
    </w:div>
    <w:div w:id="1487822710">
      <w:bodyDiv w:val="1"/>
      <w:marLeft w:val="0"/>
      <w:marRight w:val="0"/>
      <w:marTop w:val="0"/>
      <w:marBottom w:val="0"/>
      <w:divBdr>
        <w:top w:val="none" w:sz="0" w:space="0" w:color="auto"/>
        <w:left w:val="none" w:sz="0" w:space="0" w:color="auto"/>
        <w:bottom w:val="none" w:sz="0" w:space="0" w:color="auto"/>
        <w:right w:val="none" w:sz="0" w:space="0" w:color="auto"/>
      </w:divBdr>
      <w:divsChild>
        <w:div w:id="966203102">
          <w:marLeft w:val="360"/>
          <w:marRight w:val="0"/>
          <w:marTop w:val="0"/>
          <w:marBottom w:val="0"/>
          <w:divBdr>
            <w:top w:val="none" w:sz="0" w:space="0" w:color="auto"/>
            <w:left w:val="none" w:sz="0" w:space="0" w:color="auto"/>
            <w:bottom w:val="none" w:sz="0" w:space="0" w:color="auto"/>
            <w:right w:val="none" w:sz="0" w:space="0" w:color="auto"/>
          </w:divBdr>
        </w:div>
      </w:divsChild>
    </w:div>
    <w:div w:id="1518226609">
      <w:bodyDiv w:val="1"/>
      <w:marLeft w:val="0"/>
      <w:marRight w:val="0"/>
      <w:marTop w:val="0"/>
      <w:marBottom w:val="0"/>
      <w:divBdr>
        <w:top w:val="none" w:sz="0" w:space="0" w:color="auto"/>
        <w:left w:val="none" w:sz="0" w:space="0" w:color="auto"/>
        <w:bottom w:val="none" w:sz="0" w:space="0" w:color="auto"/>
        <w:right w:val="none" w:sz="0" w:space="0" w:color="auto"/>
      </w:divBdr>
    </w:div>
    <w:div w:id="1548450458">
      <w:bodyDiv w:val="1"/>
      <w:marLeft w:val="0"/>
      <w:marRight w:val="0"/>
      <w:marTop w:val="0"/>
      <w:marBottom w:val="0"/>
      <w:divBdr>
        <w:top w:val="none" w:sz="0" w:space="0" w:color="auto"/>
        <w:left w:val="none" w:sz="0" w:space="0" w:color="auto"/>
        <w:bottom w:val="none" w:sz="0" w:space="0" w:color="auto"/>
        <w:right w:val="none" w:sz="0" w:space="0" w:color="auto"/>
      </w:divBdr>
    </w:div>
    <w:div w:id="1581984751">
      <w:bodyDiv w:val="1"/>
      <w:marLeft w:val="0"/>
      <w:marRight w:val="0"/>
      <w:marTop w:val="0"/>
      <w:marBottom w:val="0"/>
      <w:divBdr>
        <w:top w:val="none" w:sz="0" w:space="0" w:color="auto"/>
        <w:left w:val="none" w:sz="0" w:space="0" w:color="auto"/>
        <w:bottom w:val="none" w:sz="0" w:space="0" w:color="auto"/>
        <w:right w:val="none" w:sz="0" w:space="0" w:color="auto"/>
      </w:divBdr>
    </w:div>
    <w:div w:id="1645234867">
      <w:bodyDiv w:val="1"/>
      <w:marLeft w:val="0"/>
      <w:marRight w:val="0"/>
      <w:marTop w:val="0"/>
      <w:marBottom w:val="0"/>
      <w:divBdr>
        <w:top w:val="none" w:sz="0" w:space="0" w:color="auto"/>
        <w:left w:val="none" w:sz="0" w:space="0" w:color="auto"/>
        <w:bottom w:val="none" w:sz="0" w:space="0" w:color="auto"/>
        <w:right w:val="none" w:sz="0" w:space="0" w:color="auto"/>
      </w:divBdr>
    </w:div>
    <w:div w:id="1670012450">
      <w:bodyDiv w:val="1"/>
      <w:marLeft w:val="0"/>
      <w:marRight w:val="0"/>
      <w:marTop w:val="0"/>
      <w:marBottom w:val="0"/>
      <w:divBdr>
        <w:top w:val="none" w:sz="0" w:space="0" w:color="auto"/>
        <w:left w:val="none" w:sz="0" w:space="0" w:color="auto"/>
        <w:bottom w:val="none" w:sz="0" w:space="0" w:color="auto"/>
        <w:right w:val="none" w:sz="0" w:space="0" w:color="auto"/>
      </w:divBdr>
    </w:div>
    <w:div w:id="1701472776">
      <w:bodyDiv w:val="1"/>
      <w:marLeft w:val="0"/>
      <w:marRight w:val="0"/>
      <w:marTop w:val="0"/>
      <w:marBottom w:val="0"/>
      <w:divBdr>
        <w:top w:val="none" w:sz="0" w:space="0" w:color="auto"/>
        <w:left w:val="none" w:sz="0" w:space="0" w:color="auto"/>
        <w:bottom w:val="none" w:sz="0" w:space="0" w:color="auto"/>
        <w:right w:val="none" w:sz="0" w:space="0" w:color="auto"/>
      </w:divBdr>
    </w:div>
    <w:div w:id="1736316771">
      <w:bodyDiv w:val="1"/>
      <w:marLeft w:val="0"/>
      <w:marRight w:val="0"/>
      <w:marTop w:val="0"/>
      <w:marBottom w:val="0"/>
      <w:divBdr>
        <w:top w:val="none" w:sz="0" w:space="0" w:color="auto"/>
        <w:left w:val="none" w:sz="0" w:space="0" w:color="auto"/>
        <w:bottom w:val="none" w:sz="0" w:space="0" w:color="auto"/>
        <w:right w:val="none" w:sz="0" w:space="0" w:color="auto"/>
      </w:divBdr>
    </w:div>
    <w:div w:id="1738892371">
      <w:bodyDiv w:val="1"/>
      <w:marLeft w:val="0"/>
      <w:marRight w:val="0"/>
      <w:marTop w:val="0"/>
      <w:marBottom w:val="0"/>
      <w:divBdr>
        <w:top w:val="none" w:sz="0" w:space="0" w:color="auto"/>
        <w:left w:val="none" w:sz="0" w:space="0" w:color="auto"/>
        <w:bottom w:val="none" w:sz="0" w:space="0" w:color="auto"/>
        <w:right w:val="none" w:sz="0" w:space="0" w:color="auto"/>
      </w:divBdr>
    </w:div>
    <w:div w:id="1749419229">
      <w:bodyDiv w:val="1"/>
      <w:marLeft w:val="0"/>
      <w:marRight w:val="0"/>
      <w:marTop w:val="0"/>
      <w:marBottom w:val="0"/>
      <w:divBdr>
        <w:top w:val="none" w:sz="0" w:space="0" w:color="auto"/>
        <w:left w:val="none" w:sz="0" w:space="0" w:color="auto"/>
        <w:bottom w:val="none" w:sz="0" w:space="0" w:color="auto"/>
        <w:right w:val="none" w:sz="0" w:space="0" w:color="auto"/>
      </w:divBdr>
    </w:div>
    <w:div w:id="1783918544">
      <w:bodyDiv w:val="1"/>
      <w:marLeft w:val="0"/>
      <w:marRight w:val="0"/>
      <w:marTop w:val="0"/>
      <w:marBottom w:val="0"/>
      <w:divBdr>
        <w:top w:val="none" w:sz="0" w:space="0" w:color="auto"/>
        <w:left w:val="none" w:sz="0" w:space="0" w:color="auto"/>
        <w:bottom w:val="none" w:sz="0" w:space="0" w:color="auto"/>
        <w:right w:val="none" w:sz="0" w:space="0" w:color="auto"/>
      </w:divBdr>
    </w:div>
    <w:div w:id="1787507279">
      <w:bodyDiv w:val="1"/>
      <w:marLeft w:val="0"/>
      <w:marRight w:val="0"/>
      <w:marTop w:val="0"/>
      <w:marBottom w:val="0"/>
      <w:divBdr>
        <w:top w:val="none" w:sz="0" w:space="0" w:color="auto"/>
        <w:left w:val="none" w:sz="0" w:space="0" w:color="auto"/>
        <w:bottom w:val="none" w:sz="0" w:space="0" w:color="auto"/>
        <w:right w:val="none" w:sz="0" w:space="0" w:color="auto"/>
      </w:divBdr>
    </w:div>
    <w:div w:id="1789011448">
      <w:bodyDiv w:val="1"/>
      <w:marLeft w:val="0"/>
      <w:marRight w:val="0"/>
      <w:marTop w:val="0"/>
      <w:marBottom w:val="0"/>
      <w:divBdr>
        <w:top w:val="none" w:sz="0" w:space="0" w:color="auto"/>
        <w:left w:val="none" w:sz="0" w:space="0" w:color="auto"/>
        <w:bottom w:val="none" w:sz="0" w:space="0" w:color="auto"/>
        <w:right w:val="none" w:sz="0" w:space="0" w:color="auto"/>
      </w:divBdr>
    </w:div>
    <w:div w:id="1823961494">
      <w:bodyDiv w:val="1"/>
      <w:marLeft w:val="0"/>
      <w:marRight w:val="0"/>
      <w:marTop w:val="0"/>
      <w:marBottom w:val="0"/>
      <w:divBdr>
        <w:top w:val="none" w:sz="0" w:space="0" w:color="auto"/>
        <w:left w:val="none" w:sz="0" w:space="0" w:color="auto"/>
        <w:bottom w:val="none" w:sz="0" w:space="0" w:color="auto"/>
        <w:right w:val="none" w:sz="0" w:space="0" w:color="auto"/>
      </w:divBdr>
    </w:div>
    <w:div w:id="1836799567">
      <w:bodyDiv w:val="1"/>
      <w:marLeft w:val="0"/>
      <w:marRight w:val="0"/>
      <w:marTop w:val="0"/>
      <w:marBottom w:val="0"/>
      <w:divBdr>
        <w:top w:val="none" w:sz="0" w:space="0" w:color="auto"/>
        <w:left w:val="none" w:sz="0" w:space="0" w:color="auto"/>
        <w:bottom w:val="none" w:sz="0" w:space="0" w:color="auto"/>
        <w:right w:val="none" w:sz="0" w:space="0" w:color="auto"/>
      </w:divBdr>
    </w:div>
    <w:div w:id="1862426102">
      <w:bodyDiv w:val="1"/>
      <w:marLeft w:val="0"/>
      <w:marRight w:val="0"/>
      <w:marTop w:val="0"/>
      <w:marBottom w:val="0"/>
      <w:divBdr>
        <w:top w:val="none" w:sz="0" w:space="0" w:color="auto"/>
        <w:left w:val="none" w:sz="0" w:space="0" w:color="auto"/>
        <w:bottom w:val="none" w:sz="0" w:space="0" w:color="auto"/>
        <w:right w:val="none" w:sz="0" w:space="0" w:color="auto"/>
      </w:divBdr>
    </w:div>
    <w:div w:id="1910310430">
      <w:bodyDiv w:val="1"/>
      <w:marLeft w:val="0"/>
      <w:marRight w:val="0"/>
      <w:marTop w:val="0"/>
      <w:marBottom w:val="0"/>
      <w:divBdr>
        <w:top w:val="none" w:sz="0" w:space="0" w:color="auto"/>
        <w:left w:val="none" w:sz="0" w:space="0" w:color="auto"/>
        <w:bottom w:val="none" w:sz="0" w:space="0" w:color="auto"/>
        <w:right w:val="none" w:sz="0" w:space="0" w:color="auto"/>
      </w:divBdr>
    </w:div>
    <w:div w:id="1915817405">
      <w:bodyDiv w:val="1"/>
      <w:marLeft w:val="0"/>
      <w:marRight w:val="0"/>
      <w:marTop w:val="0"/>
      <w:marBottom w:val="0"/>
      <w:divBdr>
        <w:top w:val="none" w:sz="0" w:space="0" w:color="auto"/>
        <w:left w:val="none" w:sz="0" w:space="0" w:color="auto"/>
        <w:bottom w:val="none" w:sz="0" w:space="0" w:color="auto"/>
        <w:right w:val="none" w:sz="0" w:space="0" w:color="auto"/>
      </w:divBdr>
    </w:div>
    <w:div w:id="1923678403">
      <w:bodyDiv w:val="1"/>
      <w:marLeft w:val="0"/>
      <w:marRight w:val="0"/>
      <w:marTop w:val="0"/>
      <w:marBottom w:val="0"/>
      <w:divBdr>
        <w:top w:val="none" w:sz="0" w:space="0" w:color="auto"/>
        <w:left w:val="none" w:sz="0" w:space="0" w:color="auto"/>
        <w:bottom w:val="none" w:sz="0" w:space="0" w:color="auto"/>
        <w:right w:val="none" w:sz="0" w:space="0" w:color="auto"/>
      </w:divBdr>
    </w:div>
    <w:div w:id="1989360207">
      <w:bodyDiv w:val="1"/>
      <w:marLeft w:val="0"/>
      <w:marRight w:val="0"/>
      <w:marTop w:val="0"/>
      <w:marBottom w:val="0"/>
      <w:divBdr>
        <w:top w:val="none" w:sz="0" w:space="0" w:color="auto"/>
        <w:left w:val="none" w:sz="0" w:space="0" w:color="auto"/>
        <w:bottom w:val="none" w:sz="0" w:space="0" w:color="auto"/>
        <w:right w:val="none" w:sz="0" w:space="0" w:color="auto"/>
      </w:divBdr>
    </w:div>
    <w:div w:id="1995404348">
      <w:bodyDiv w:val="1"/>
      <w:marLeft w:val="0"/>
      <w:marRight w:val="0"/>
      <w:marTop w:val="0"/>
      <w:marBottom w:val="0"/>
      <w:divBdr>
        <w:top w:val="none" w:sz="0" w:space="0" w:color="auto"/>
        <w:left w:val="none" w:sz="0" w:space="0" w:color="auto"/>
        <w:bottom w:val="none" w:sz="0" w:space="0" w:color="auto"/>
        <w:right w:val="none" w:sz="0" w:space="0" w:color="auto"/>
      </w:divBdr>
    </w:div>
    <w:div w:id="2013071749">
      <w:bodyDiv w:val="1"/>
      <w:marLeft w:val="0"/>
      <w:marRight w:val="0"/>
      <w:marTop w:val="0"/>
      <w:marBottom w:val="0"/>
      <w:divBdr>
        <w:top w:val="none" w:sz="0" w:space="0" w:color="auto"/>
        <w:left w:val="none" w:sz="0" w:space="0" w:color="auto"/>
        <w:bottom w:val="none" w:sz="0" w:space="0" w:color="auto"/>
        <w:right w:val="none" w:sz="0" w:space="0" w:color="auto"/>
      </w:divBdr>
    </w:div>
    <w:div w:id="2027904703">
      <w:bodyDiv w:val="1"/>
      <w:marLeft w:val="0"/>
      <w:marRight w:val="0"/>
      <w:marTop w:val="0"/>
      <w:marBottom w:val="0"/>
      <w:divBdr>
        <w:top w:val="none" w:sz="0" w:space="0" w:color="auto"/>
        <w:left w:val="none" w:sz="0" w:space="0" w:color="auto"/>
        <w:bottom w:val="none" w:sz="0" w:space="0" w:color="auto"/>
        <w:right w:val="none" w:sz="0" w:space="0" w:color="auto"/>
      </w:divBdr>
    </w:div>
    <w:div w:id="2028167888">
      <w:bodyDiv w:val="1"/>
      <w:marLeft w:val="0"/>
      <w:marRight w:val="0"/>
      <w:marTop w:val="0"/>
      <w:marBottom w:val="0"/>
      <w:divBdr>
        <w:top w:val="none" w:sz="0" w:space="0" w:color="auto"/>
        <w:left w:val="none" w:sz="0" w:space="0" w:color="auto"/>
        <w:bottom w:val="none" w:sz="0" w:space="0" w:color="auto"/>
        <w:right w:val="none" w:sz="0" w:space="0" w:color="auto"/>
      </w:divBdr>
    </w:div>
    <w:div w:id="2072532417">
      <w:bodyDiv w:val="1"/>
      <w:marLeft w:val="0"/>
      <w:marRight w:val="0"/>
      <w:marTop w:val="0"/>
      <w:marBottom w:val="0"/>
      <w:divBdr>
        <w:top w:val="none" w:sz="0" w:space="0" w:color="auto"/>
        <w:left w:val="none" w:sz="0" w:space="0" w:color="auto"/>
        <w:bottom w:val="none" w:sz="0" w:space="0" w:color="auto"/>
        <w:right w:val="none" w:sz="0" w:space="0" w:color="auto"/>
      </w:divBdr>
    </w:div>
    <w:div w:id="2073963002">
      <w:bodyDiv w:val="1"/>
      <w:marLeft w:val="0"/>
      <w:marRight w:val="0"/>
      <w:marTop w:val="0"/>
      <w:marBottom w:val="0"/>
      <w:divBdr>
        <w:top w:val="none" w:sz="0" w:space="0" w:color="auto"/>
        <w:left w:val="none" w:sz="0" w:space="0" w:color="auto"/>
        <w:bottom w:val="none" w:sz="0" w:space="0" w:color="auto"/>
        <w:right w:val="none" w:sz="0" w:space="0" w:color="auto"/>
      </w:divBdr>
    </w:div>
    <w:div w:id="2118137470">
      <w:bodyDiv w:val="1"/>
      <w:marLeft w:val="0"/>
      <w:marRight w:val="0"/>
      <w:marTop w:val="0"/>
      <w:marBottom w:val="0"/>
      <w:divBdr>
        <w:top w:val="none" w:sz="0" w:space="0" w:color="auto"/>
        <w:left w:val="none" w:sz="0" w:space="0" w:color="auto"/>
        <w:bottom w:val="none" w:sz="0" w:space="0" w:color="auto"/>
        <w:right w:val="none" w:sz="0" w:space="0" w:color="auto"/>
      </w:divBdr>
      <w:divsChild>
        <w:div w:id="918708945">
          <w:marLeft w:val="0"/>
          <w:marRight w:val="0"/>
          <w:marTop w:val="0"/>
          <w:marBottom w:val="0"/>
          <w:divBdr>
            <w:top w:val="none" w:sz="0" w:space="0" w:color="auto"/>
            <w:left w:val="none" w:sz="0" w:space="0" w:color="auto"/>
            <w:bottom w:val="none" w:sz="0" w:space="0" w:color="auto"/>
            <w:right w:val="none" w:sz="0" w:space="0" w:color="auto"/>
          </w:divBdr>
          <w:divsChild>
            <w:div w:id="1632975123">
              <w:marLeft w:val="0"/>
              <w:marRight w:val="0"/>
              <w:marTop w:val="0"/>
              <w:marBottom w:val="0"/>
              <w:divBdr>
                <w:top w:val="none" w:sz="0" w:space="0" w:color="auto"/>
                <w:left w:val="none" w:sz="0" w:space="0" w:color="auto"/>
                <w:bottom w:val="none" w:sz="0" w:space="0" w:color="auto"/>
                <w:right w:val="none" w:sz="0" w:space="0" w:color="auto"/>
              </w:divBdr>
              <w:divsChild>
                <w:div w:id="19813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face.com/Investors/financial-results-and-reports" TargetMode="External"/><Relationship Id="rId13" Type="http://schemas.openxmlformats.org/officeDocument/2006/relationships/hyperlink" Target="http://www.cofac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face.com/Inves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oit.chastel@cofac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homas.jacquet@coface.com" TargetMode="External"/><Relationship Id="rId4" Type="http://schemas.openxmlformats.org/officeDocument/2006/relationships/settings" Target="settings.xml"/><Relationship Id="rId9" Type="http://schemas.openxmlformats.org/officeDocument/2006/relationships/hyperlink" Target="mailto:amelie.rivenet@coface.com"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1">
  <a:themeElements>
    <a:clrScheme name="Personnalisé 1">
      <a:dk1>
        <a:srgbClr val="03365F"/>
      </a:dk1>
      <a:lt1>
        <a:srgbClr val="61B57C"/>
      </a:lt1>
      <a:dk2>
        <a:srgbClr val="18B3B9"/>
      </a:dk2>
      <a:lt2>
        <a:srgbClr val="C40070"/>
      </a:lt2>
      <a:accent1>
        <a:srgbClr val="AE5CA7"/>
      </a:accent1>
      <a:accent2>
        <a:srgbClr val="C1A52A"/>
      </a:accent2>
      <a:accent3>
        <a:srgbClr val="E06E2B"/>
      </a:accent3>
      <a:accent4>
        <a:srgbClr val="ED4447"/>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2B1B-96DA-4D2C-A7DF-A3E1FA12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2937</Words>
  <Characters>16744</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Paris, 21 janvier 2013</vt:lpstr>
    </vt:vector>
  </TitlesOfParts>
  <Company>Coface</Company>
  <LinksUpToDate>false</LinksUpToDate>
  <CharactersWithSpaces>19642</CharactersWithSpaces>
  <SharedDoc>false</SharedDoc>
  <HLinks>
    <vt:vector size="24" baseType="variant">
      <vt:variant>
        <vt:i4>2293813</vt:i4>
      </vt:variant>
      <vt:variant>
        <vt:i4>15</vt:i4>
      </vt:variant>
      <vt:variant>
        <vt:i4>0</vt:i4>
      </vt:variant>
      <vt:variant>
        <vt:i4>5</vt:i4>
      </vt:variant>
      <vt:variant>
        <vt:lpwstr>http://www.coface.com/</vt:lpwstr>
      </vt:variant>
      <vt:variant>
        <vt:lpwstr/>
      </vt:variant>
      <vt:variant>
        <vt:i4>3473423</vt:i4>
      </vt:variant>
      <vt:variant>
        <vt:i4>12</vt:i4>
      </vt:variant>
      <vt:variant>
        <vt:i4>0</vt:i4>
      </vt:variant>
      <vt:variant>
        <vt:i4>5</vt:i4>
      </vt:variant>
      <vt:variant>
        <vt:lpwstr>mailto:investors@coface.com</vt:lpwstr>
      </vt:variant>
      <vt:variant>
        <vt:lpwstr/>
      </vt:variant>
      <vt:variant>
        <vt:i4>2621512</vt:i4>
      </vt:variant>
      <vt:variant>
        <vt:i4>9</vt:i4>
      </vt:variant>
      <vt:variant>
        <vt:i4>0</vt:i4>
      </vt:variant>
      <vt:variant>
        <vt:i4>5</vt:i4>
      </vt:variant>
      <vt:variant>
        <vt:lpwstr>mailto:maria.krellenstein@coface.com</vt:lpwstr>
      </vt:variant>
      <vt:variant>
        <vt:lpwstr/>
      </vt:variant>
      <vt:variant>
        <vt:i4>655472</vt:i4>
      </vt:variant>
      <vt:variant>
        <vt:i4>6</vt:i4>
      </vt:variant>
      <vt:variant>
        <vt:i4>0</vt:i4>
      </vt:variant>
      <vt:variant>
        <vt:i4>5</vt:i4>
      </vt:variant>
      <vt:variant>
        <vt:lpwstr>mailto:monica.coull@coface.com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benoit.chastel@coface.com</dc:creator>
  <cp:lastModifiedBy>KHAN Shaazia</cp:lastModifiedBy>
  <cp:revision>3</cp:revision>
  <cp:lastPrinted>2020-07-29T11:10:00Z</cp:lastPrinted>
  <dcterms:created xsi:type="dcterms:W3CDTF">2020-07-29T13:10:00Z</dcterms:created>
  <dcterms:modified xsi:type="dcterms:W3CDTF">2020-08-04T07:36:00Z</dcterms:modified>
</cp:coreProperties>
</file>