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289" w:type="dxa"/>
        <w:tblLook w:val="04A0" w:firstRow="1" w:lastRow="0" w:firstColumn="1" w:lastColumn="0" w:noHBand="0" w:noVBand="1"/>
      </w:tblPr>
      <w:tblGrid>
        <w:gridCol w:w="7620"/>
      </w:tblGrid>
      <w:tr w:rsidR="009B2257" w14:paraId="4183365E" w14:textId="77777777" w:rsidTr="009B2257">
        <w:trPr>
          <w:trHeight w:val="20"/>
        </w:trPr>
        <w:tc>
          <w:tcPr>
            <w:tcW w:w="7620" w:type="dxa"/>
            <w:tcBorders>
              <w:top w:val="single" w:sz="4" w:space="0" w:color="FFFFFF" w:themeColor="background1"/>
              <w:left w:val="single" w:sz="4" w:space="0" w:color="FFFFFF" w:themeColor="background1"/>
              <w:bottom w:val="nil"/>
              <w:right w:val="nil"/>
            </w:tcBorders>
          </w:tcPr>
          <w:p w14:paraId="0F4ABEB7" w14:textId="77777777" w:rsidR="009B2257" w:rsidRDefault="009B2257" w:rsidP="009B2257">
            <w:pPr>
              <w:pStyle w:val="Subtitle"/>
              <w:spacing w:after="0" w:line="120" w:lineRule="auto"/>
              <w:rPr>
                <w:b/>
                <w:i/>
                <w:iCs w:val="0"/>
                <w:color w:val="FFFFFF" w:themeColor="background1"/>
                <w:spacing w:val="5"/>
                <w:kern w:val="28"/>
                <w:szCs w:val="52"/>
              </w:rPr>
            </w:pPr>
          </w:p>
        </w:tc>
      </w:tr>
    </w:tbl>
    <w:p w14:paraId="73EBB5D9" w14:textId="3C4C6CA3" w:rsidR="00AC41F5" w:rsidRDefault="00643FB5" w:rsidP="004631E0">
      <w:pPr>
        <w:pStyle w:val="Subtitle"/>
        <w:rPr>
          <w:b/>
          <w:i/>
          <w:iCs w:val="0"/>
          <w:color w:val="FFFFFF" w:themeColor="background1"/>
          <w:spacing w:val="5"/>
          <w:kern w:val="28"/>
          <w:szCs w:val="52"/>
        </w:rPr>
      </w:pPr>
      <w:r>
        <w:rPr>
          <w:b/>
          <w:i/>
          <w:iCs w:val="0"/>
          <w:color w:val="FFFFFF" w:themeColor="background1"/>
          <w:spacing w:val="5"/>
          <w:kern w:val="28"/>
          <w:szCs w:val="52"/>
        </w:rPr>
        <w:t xml:space="preserve">State of </w:t>
      </w:r>
      <w:r w:rsidR="00AC41F5">
        <w:rPr>
          <w:b/>
          <w:i/>
          <w:iCs w:val="0"/>
          <w:color w:val="FFFFFF" w:themeColor="background1"/>
          <w:spacing w:val="5"/>
          <w:kern w:val="28"/>
          <w:szCs w:val="52"/>
        </w:rPr>
        <w:t>the South African Economy</w:t>
      </w:r>
    </w:p>
    <w:p w14:paraId="098730C1" w14:textId="413C31BA" w:rsidR="004631E0" w:rsidRPr="002A76B3" w:rsidRDefault="00AC41F5" w:rsidP="004631E0">
      <w:pPr>
        <w:pStyle w:val="Subtitle"/>
        <w:rPr>
          <w:b/>
          <w:i/>
          <w:iCs w:val="0"/>
          <w:color w:val="FFFFFF" w:themeColor="background1"/>
          <w:spacing w:val="5"/>
          <w:kern w:val="28"/>
          <w:szCs w:val="52"/>
        </w:rPr>
      </w:pPr>
      <w:r>
        <w:rPr>
          <w:color w:val="FFFFFF" w:themeColor="background1"/>
          <w:sz w:val="44"/>
        </w:rPr>
        <w:t xml:space="preserve">Sectoral insights </w:t>
      </w:r>
      <w:r w:rsidR="00C5267D">
        <w:rPr>
          <w:color w:val="FFFFFF" w:themeColor="background1"/>
          <w:sz w:val="44"/>
        </w:rPr>
        <w:t xml:space="preserve">accompanying </w:t>
      </w:r>
      <w:r>
        <w:rPr>
          <w:color w:val="FFFFFF" w:themeColor="background1"/>
          <w:sz w:val="44"/>
        </w:rPr>
        <w:t>the GDP data release</w:t>
      </w:r>
    </w:p>
    <w:tbl>
      <w:tblPr>
        <w:tblpPr w:leftFromText="181" w:rightFromText="181" w:vertAnchor="page" w:horzAnchor="page" w:tblpX="1022" w:tblpY="6680"/>
        <w:tblOverlap w:val="never"/>
        <w:tblW w:w="1525" w:type="pct"/>
        <w:tblBorders>
          <w:top w:val="single" w:sz="4" w:space="0" w:color="FFFFFF" w:themeColor="background1"/>
          <w:left w:val="single" w:sz="4" w:space="0" w:color="FFFFFF" w:themeColor="background1"/>
        </w:tblBorders>
        <w:tblCellMar>
          <w:left w:w="227" w:type="dxa"/>
        </w:tblCellMar>
        <w:tblLook w:val="04A0" w:firstRow="1" w:lastRow="0" w:firstColumn="1" w:lastColumn="0" w:noHBand="0" w:noVBand="1"/>
      </w:tblPr>
      <w:tblGrid>
        <w:gridCol w:w="2237"/>
      </w:tblGrid>
      <w:tr w:rsidR="004631E0" w:rsidRPr="007F0A75" w14:paraId="3F15152D" w14:textId="77777777" w:rsidTr="009B2257">
        <w:tc>
          <w:tcPr>
            <w:tcW w:w="7557" w:type="dxa"/>
            <w:tcBorders>
              <w:top w:val="dashSmallGap" w:sz="4" w:space="0" w:color="FFFFFF" w:themeColor="background1"/>
              <w:left w:val="dashSmallGap" w:sz="4" w:space="0" w:color="FFFFFF" w:themeColor="background1"/>
            </w:tcBorders>
          </w:tcPr>
          <w:p w14:paraId="22660686" w14:textId="77777777" w:rsidR="004631E0" w:rsidRPr="007F0A75" w:rsidRDefault="004631E0" w:rsidP="0079020C">
            <w:pPr>
              <w:spacing w:after="0" w:line="240" w:lineRule="auto"/>
            </w:pPr>
          </w:p>
        </w:tc>
      </w:tr>
      <w:tr w:rsidR="004631E0" w:rsidRPr="007F0A75" w14:paraId="1CBC9904" w14:textId="77777777" w:rsidTr="00452477">
        <w:trPr>
          <w:trHeight w:val="87"/>
        </w:trPr>
        <w:tc>
          <w:tcPr>
            <w:tcW w:w="7557" w:type="dxa"/>
          </w:tcPr>
          <w:p w14:paraId="26DA38AA" w14:textId="6C63CDB8" w:rsidR="004631E0" w:rsidRPr="007F0A75" w:rsidRDefault="00C5267D" w:rsidP="00AC41F5">
            <w:pPr>
              <w:pStyle w:val="BodyText"/>
              <w:spacing w:after="0" w:line="240" w:lineRule="auto"/>
            </w:pPr>
            <w:r w:rsidRPr="00C5267D">
              <w:rPr>
                <w:rStyle w:val="Emphasis"/>
                <w:color w:val="FFFFFF" w:themeColor="background1"/>
                <w:sz w:val="19"/>
                <w:szCs w:val="19"/>
              </w:rPr>
              <w:t>3 September 2019</w:t>
            </w:r>
          </w:p>
        </w:tc>
      </w:tr>
    </w:tbl>
    <w:p w14:paraId="0A46FE55" w14:textId="5126CE9C" w:rsidR="004631E0" w:rsidRPr="007F0A75" w:rsidRDefault="004631E0" w:rsidP="004631E0">
      <w:pPr>
        <w:pStyle w:val="BodyText"/>
      </w:pPr>
    </w:p>
    <w:p w14:paraId="6097A81E" w14:textId="25996371" w:rsidR="00765405" w:rsidRPr="007F0A75" w:rsidRDefault="00765405" w:rsidP="004631E0"/>
    <w:p w14:paraId="3680D327" w14:textId="77777777" w:rsidR="00765405" w:rsidRPr="007F0A75" w:rsidRDefault="00765405" w:rsidP="00765405"/>
    <w:p w14:paraId="0B5E7155" w14:textId="77777777" w:rsidR="00765405" w:rsidRPr="007F0A75" w:rsidRDefault="00765405" w:rsidP="00765405"/>
    <w:p w14:paraId="31188BE2" w14:textId="77777777" w:rsidR="00765405" w:rsidRPr="007F0A75" w:rsidRDefault="00765405" w:rsidP="00765405"/>
    <w:p w14:paraId="4B29025C" w14:textId="77777777" w:rsidR="00765405" w:rsidRPr="007F0A75" w:rsidRDefault="00765405" w:rsidP="00765405"/>
    <w:p w14:paraId="2F6EE757" w14:textId="77777777" w:rsidR="00765405" w:rsidRPr="007F0A75" w:rsidRDefault="00765405" w:rsidP="00765405"/>
    <w:p w14:paraId="4262C242" w14:textId="77777777" w:rsidR="00765405" w:rsidRPr="007F0A75" w:rsidRDefault="00765405" w:rsidP="00765405"/>
    <w:p w14:paraId="08889C14" w14:textId="61C342C1" w:rsidR="00765405" w:rsidRPr="007F0A75" w:rsidRDefault="00765405" w:rsidP="00765405"/>
    <w:p w14:paraId="1AE4CBB8" w14:textId="077445E9" w:rsidR="00765405" w:rsidRPr="007F0A75" w:rsidRDefault="00765405" w:rsidP="00765405"/>
    <w:p w14:paraId="12AAC215" w14:textId="77777777" w:rsidR="004631E0" w:rsidRPr="007F0A75" w:rsidRDefault="004631E0" w:rsidP="00765405">
      <w:pPr>
        <w:sectPr w:rsidR="004631E0" w:rsidRPr="007F0A75">
          <w:headerReference w:type="even" r:id="rId8"/>
          <w:headerReference w:type="default" r:id="rId9"/>
          <w:footerReference w:type="even" r:id="rId10"/>
          <w:footerReference w:type="default" r:id="rId11"/>
          <w:headerReference w:type="first" r:id="rId12"/>
          <w:footerReference w:type="first" r:id="rId13"/>
          <w:pgSz w:w="11906" w:h="16838" w:code="9"/>
          <w:pgMar w:top="2313" w:right="1021" w:bottom="1474" w:left="3544" w:header="567" w:footer="567" w:gutter="0"/>
          <w:cols w:space="708"/>
          <w:titlePg/>
          <w:docGrid w:linePitch="360"/>
        </w:sectPr>
      </w:pPr>
    </w:p>
    <w:p w14:paraId="35196B4E" w14:textId="77777777" w:rsidR="004631E0" w:rsidRPr="007F0A75" w:rsidRDefault="004631E0" w:rsidP="00067F90">
      <w:pPr>
        <w:pStyle w:val="Heading1"/>
        <w:numPr>
          <w:ilvl w:val="0"/>
          <w:numId w:val="0"/>
        </w:numPr>
      </w:pPr>
      <w:bookmarkStart w:id="0" w:name="_Toc18408702"/>
      <w:r w:rsidRPr="007F0A75">
        <w:lastRenderedPageBreak/>
        <w:t>Table of Contents</w:t>
      </w:r>
      <w:bookmarkEnd w:id="0"/>
    </w:p>
    <w:p w14:paraId="4D0A4306" w14:textId="2821F7E8" w:rsidR="00FA2342" w:rsidRDefault="004631E0">
      <w:pPr>
        <w:pStyle w:val="TOC1"/>
        <w:rPr>
          <w:rFonts w:asciiTheme="minorHAnsi" w:eastAsiaTheme="minorEastAsia" w:hAnsiTheme="minorHAnsi" w:cstheme="minorBidi"/>
          <w:noProof/>
          <w:sz w:val="22"/>
          <w:szCs w:val="22"/>
          <w:lang w:eastAsia="en-ZA"/>
        </w:rPr>
      </w:pPr>
      <w:r w:rsidRPr="007F0A75">
        <w:fldChar w:fldCharType="begin"/>
      </w:r>
      <w:r w:rsidRPr="007F0A75">
        <w:instrText xml:space="preserve"> TOC \o "2-5" \h \z \t "Heading 1,1,Heading 1 No Spacing,1" </w:instrText>
      </w:r>
      <w:r w:rsidRPr="007F0A75">
        <w:fldChar w:fldCharType="separate"/>
      </w:r>
      <w:hyperlink w:anchor="_Toc18408702" w:history="1">
        <w:r w:rsidR="00FA2342" w:rsidRPr="001B684E">
          <w:rPr>
            <w:rStyle w:val="Hyperlink"/>
            <w:noProof/>
          </w:rPr>
          <w:t>Table of Contents</w:t>
        </w:r>
        <w:r w:rsidR="00FA2342">
          <w:rPr>
            <w:noProof/>
            <w:webHidden/>
          </w:rPr>
          <w:tab/>
        </w:r>
        <w:r w:rsidR="00FA2342">
          <w:rPr>
            <w:noProof/>
            <w:webHidden/>
          </w:rPr>
          <w:fldChar w:fldCharType="begin"/>
        </w:r>
        <w:r w:rsidR="00FA2342">
          <w:rPr>
            <w:noProof/>
            <w:webHidden/>
          </w:rPr>
          <w:instrText xml:space="preserve"> PAGEREF _Toc18408702 \h </w:instrText>
        </w:r>
        <w:r w:rsidR="00FA2342">
          <w:rPr>
            <w:noProof/>
            <w:webHidden/>
          </w:rPr>
        </w:r>
        <w:r w:rsidR="00FA2342">
          <w:rPr>
            <w:noProof/>
            <w:webHidden/>
          </w:rPr>
          <w:fldChar w:fldCharType="separate"/>
        </w:r>
        <w:r w:rsidR="00FA2342">
          <w:rPr>
            <w:noProof/>
            <w:webHidden/>
          </w:rPr>
          <w:t>2</w:t>
        </w:r>
        <w:r w:rsidR="00FA2342">
          <w:rPr>
            <w:noProof/>
            <w:webHidden/>
          </w:rPr>
          <w:fldChar w:fldCharType="end"/>
        </w:r>
      </w:hyperlink>
    </w:p>
    <w:p w14:paraId="1DBA1586" w14:textId="027EB168" w:rsidR="00FA2342" w:rsidRDefault="00FA2342">
      <w:pPr>
        <w:pStyle w:val="TOC1"/>
        <w:rPr>
          <w:rFonts w:asciiTheme="minorHAnsi" w:eastAsiaTheme="minorEastAsia" w:hAnsiTheme="minorHAnsi" w:cstheme="minorBidi"/>
          <w:noProof/>
          <w:sz w:val="22"/>
          <w:szCs w:val="22"/>
          <w:lang w:eastAsia="en-ZA"/>
        </w:rPr>
      </w:pPr>
      <w:hyperlink w:anchor="_Toc18408703" w:history="1">
        <w:r w:rsidRPr="001B684E">
          <w:rPr>
            <w:rStyle w:val="Hyperlink"/>
            <w:noProof/>
          </w:rPr>
          <w:t>1.</w:t>
        </w:r>
        <w:r>
          <w:rPr>
            <w:rFonts w:asciiTheme="minorHAnsi" w:eastAsiaTheme="minorEastAsia" w:hAnsiTheme="minorHAnsi" w:cstheme="minorBidi"/>
            <w:noProof/>
            <w:sz w:val="22"/>
            <w:szCs w:val="22"/>
            <w:lang w:eastAsia="en-ZA"/>
          </w:rPr>
          <w:tab/>
        </w:r>
        <w:r w:rsidRPr="001B684E">
          <w:rPr>
            <w:rStyle w:val="Hyperlink"/>
            <w:noProof/>
          </w:rPr>
          <w:t>State of the South African Economy</w:t>
        </w:r>
        <w:r>
          <w:rPr>
            <w:noProof/>
            <w:webHidden/>
          </w:rPr>
          <w:tab/>
        </w:r>
        <w:r>
          <w:rPr>
            <w:noProof/>
            <w:webHidden/>
          </w:rPr>
          <w:fldChar w:fldCharType="begin"/>
        </w:r>
        <w:r>
          <w:rPr>
            <w:noProof/>
            <w:webHidden/>
          </w:rPr>
          <w:instrText xml:space="preserve"> PAGEREF _Toc18408703 \h </w:instrText>
        </w:r>
        <w:r>
          <w:rPr>
            <w:noProof/>
            <w:webHidden/>
          </w:rPr>
        </w:r>
        <w:r>
          <w:rPr>
            <w:noProof/>
            <w:webHidden/>
          </w:rPr>
          <w:fldChar w:fldCharType="separate"/>
        </w:r>
        <w:r>
          <w:rPr>
            <w:noProof/>
            <w:webHidden/>
          </w:rPr>
          <w:t>3</w:t>
        </w:r>
        <w:r>
          <w:rPr>
            <w:noProof/>
            <w:webHidden/>
          </w:rPr>
          <w:fldChar w:fldCharType="end"/>
        </w:r>
      </w:hyperlink>
    </w:p>
    <w:p w14:paraId="06D86F14" w14:textId="5A59D704" w:rsidR="00FA2342" w:rsidRDefault="00FA2342">
      <w:pPr>
        <w:pStyle w:val="TOC1"/>
        <w:rPr>
          <w:rFonts w:asciiTheme="minorHAnsi" w:eastAsiaTheme="minorEastAsia" w:hAnsiTheme="minorHAnsi" w:cstheme="minorBidi"/>
          <w:noProof/>
          <w:sz w:val="22"/>
          <w:szCs w:val="22"/>
          <w:lang w:eastAsia="en-ZA"/>
        </w:rPr>
      </w:pPr>
      <w:hyperlink w:anchor="_Toc18408704" w:history="1">
        <w:r w:rsidRPr="001B684E">
          <w:rPr>
            <w:rStyle w:val="Hyperlink"/>
            <w:noProof/>
          </w:rPr>
          <w:t>2.</w:t>
        </w:r>
        <w:r>
          <w:rPr>
            <w:rFonts w:asciiTheme="minorHAnsi" w:eastAsiaTheme="minorEastAsia" w:hAnsiTheme="minorHAnsi" w:cstheme="minorBidi"/>
            <w:noProof/>
            <w:sz w:val="22"/>
            <w:szCs w:val="22"/>
            <w:lang w:eastAsia="en-ZA"/>
          </w:rPr>
          <w:tab/>
        </w:r>
        <w:r w:rsidRPr="001B684E">
          <w:rPr>
            <w:rStyle w:val="Hyperlink"/>
            <w:noProof/>
          </w:rPr>
          <w:t>Key economic data</w:t>
        </w:r>
        <w:r>
          <w:rPr>
            <w:noProof/>
            <w:webHidden/>
          </w:rPr>
          <w:tab/>
        </w:r>
        <w:r>
          <w:rPr>
            <w:noProof/>
            <w:webHidden/>
          </w:rPr>
          <w:fldChar w:fldCharType="begin"/>
        </w:r>
        <w:r>
          <w:rPr>
            <w:noProof/>
            <w:webHidden/>
          </w:rPr>
          <w:instrText xml:space="preserve"> PAGEREF _Toc18408704 \h </w:instrText>
        </w:r>
        <w:r>
          <w:rPr>
            <w:noProof/>
            <w:webHidden/>
          </w:rPr>
        </w:r>
        <w:r>
          <w:rPr>
            <w:noProof/>
            <w:webHidden/>
          </w:rPr>
          <w:fldChar w:fldCharType="separate"/>
        </w:r>
        <w:r>
          <w:rPr>
            <w:noProof/>
            <w:webHidden/>
          </w:rPr>
          <w:t>3</w:t>
        </w:r>
        <w:r>
          <w:rPr>
            <w:noProof/>
            <w:webHidden/>
          </w:rPr>
          <w:fldChar w:fldCharType="end"/>
        </w:r>
      </w:hyperlink>
    </w:p>
    <w:p w14:paraId="382A0AFD" w14:textId="1BB87692"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05" w:history="1">
        <w:r w:rsidRPr="001B684E">
          <w:rPr>
            <w:rStyle w:val="Hyperlink"/>
            <w:noProof/>
          </w:rPr>
          <w:t>2.1</w:t>
        </w:r>
        <w:r>
          <w:rPr>
            <w:rFonts w:asciiTheme="minorHAnsi" w:eastAsiaTheme="minorEastAsia" w:hAnsiTheme="minorHAnsi" w:cstheme="minorBidi"/>
            <w:noProof/>
            <w:sz w:val="22"/>
            <w:szCs w:val="22"/>
            <w:lang w:eastAsia="en-ZA"/>
          </w:rPr>
          <w:tab/>
        </w:r>
        <w:r w:rsidRPr="001B684E">
          <w:rPr>
            <w:rStyle w:val="Hyperlink"/>
            <w:noProof/>
          </w:rPr>
          <w:t>Real retail sales supported by low supermarket inflation rates</w:t>
        </w:r>
        <w:r>
          <w:rPr>
            <w:noProof/>
            <w:webHidden/>
          </w:rPr>
          <w:tab/>
        </w:r>
        <w:r>
          <w:rPr>
            <w:noProof/>
            <w:webHidden/>
          </w:rPr>
          <w:fldChar w:fldCharType="begin"/>
        </w:r>
        <w:r>
          <w:rPr>
            <w:noProof/>
            <w:webHidden/>
          </w:rPr>
          <w:instrText xml:space="preserve"> PAGEREF _Toc18408705 \h </w:instrText>
        </w:r>
        <w:r>
          <w:rPr>
            <w:noProof/>
            <w:webHidden/>
          </w:rPr>
        </w:r>
        <w:r>
          <w:rPr>
            <w:noProof/>
            <w:webHidden/>
          </w:rPr>
          <w:fldChar w:fldCharType="separate"/>
        </w:r>
        <w:r>
          <w:rPr>
            <w:noProof/>
            <w:webHidden/>
          </w:rPr>
          <w:t>3</w:t>
        </w:r>
        <w:r>
          <w:rPr>
            <w:noProof/>
            <w:webHidden/>
          </w:rPr>
          <w:fldChar w:fldCharType="end"/>
        </w:r>
      </w:hyperlink>
    </w:p>
    <w:p w14:paraId="3FF452A5" w14:textId="471ECFCA"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06" w:history="1">
        <w:r w:rsidRPr="001B684E">
          <w:rPr>
            <w:rStyle w:val="Hyperlink"/>
            <w:noProof/>
          </w:rPr>
          <w:t>2.2</w:t>
        </w:r>
        <w:r>
          <w:rPr>
            <w:rFonts w:asciiTheme="minorHAnsi" w:eastAsiaTheme="minorEastAsia" w:hAnsiTheme="minorHAnsi" w:cstheme="minorBidi"/>
            <w:noProof/>
            <w:sz w:val="22"/>
            <w:szCs w:val="22"/>
            <w:lang w:eastAsia="en-ZA"/>
          </w:rPr>
          <w:tab/>
        </w:r>
        <w:r w:rsidRPr="001B684E">
          <w:rPr>
            <w:rStyle w:val="Hyperlink"/>
            <w:noProof/>
          </w:rPr>
          <w:t>Wholesale trade boosted by higher fuel sales</w:t>
        </w:r>
        <w:r>
          <w:rPr>
            <w:noProof/>
            <w:webHidden/>
          </w:rPr>
          <w:tab/>
        </w:r>
        <w:r>
          <w:rPr>
            <w:noProof/>
            <w:webHidden/>
          </w:rPr>
          <w:fldChar w:fldCharType="begin"/>
        </w:r>
        <w:r>
          <w:rPr>
            <w:noProof/>
            <w:webHidden/>
          </w:rPr>
          <w:instrText xml:space="preserve"> PAGEREF _Toc18408706 \h </w:instrText>
        </w:r>
        <w:r>
          <w:rPr>
            <w:noProof/>
            <w:webHidden/>
          </w:rPr>
        </w:r>
        <w:r>
          <w:rPr>
            <w:noProof/>
            <w:webHidden/>
          </w:rPr>
          <w:fldChar w:fldCharType="separate"/>
        </w:r>
        <w:r>
          <w:rPr>
            <w:noProof/>
            <w:webHidden/>
          </w:rPr>
          <w:t>4</w:t>
        </w:r>
        <w:r>
          <w:rPr>
            <w:noProof/>
            <w:webHidden/>
          </w:rPr>
          <w:fldChar w:fldCharType="end"/>
        </w:r>
      </w:hyperlink>
    </w:p>
    <w:p w14:paraId="1B134967" w14:textId="2420B77A"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07" w:history="1">
        <w:r w:rsidRPr="001B684E">
          <w:rPr>
            <w:rStyle w:val="Hyperlink"/>
            <w:noProof/>
          </w:rPr>
          <w:t>2.3</w:t>
        </w:r>
        <w:r>
          <w:rPr>
            <w:rFonts w:asciiTheme="minorHAnsi" w:eastAsiaTheme="minorEastAsia" w:hAnsiTheme="minorHAnsi" w:cstheme="minorBidi"/>
            <w:noProof/>
            <w:sz w:val="22"/>
            <w:szCs w:val="22"/>
            <w:lang w:eastAsia="en-ZA"/>
          </w:rPr>
          <w:tab/>
        </w:r>
        <w:r w:rsidRPr="001B684E">
          <w:rPr>
            <w:rStyle w:val="Hyperlink"/>
            <w:noProof/>
          </w:rPr>
          <w:t>Manufacturing environment improves but remains constrained</w:t>
        </w:r>
        <w:r>
          <w:rPr>
            <w:noProof/>
            <w:webHidden/>
          </w:rPr>
          <w:tab/>
        </w:r>
        <w:r>
          <w:rPr>
            <w:noProof/>
            <w:webHidden/>
          </w:rPr>
          <w:fldChar w:fldCharType="begin"/>
        </w:r>
        <w:r>
          <w:rPr>
            <w:noProof/>
            <w:webHidden/>
          </w:rPr>
          <w:instrText xml:space="preserve"> PAGEREF _Toc18408707 \h </w:instrText>
        </w:r>
        <w:r>
          <w:rPr>
            <w:noProof/>
            <w:webHidden/>
          </w:rPr>
        </w:r>
        <w:r>
          <w:rPr>
            <w:noProof/>
            <w:webHidden/>
          </w:rPr>
          <w:fldChar w:fldCharType="separate"/>
        </w:r>
        <w:r>
          <w:rPr>
            <w:noProof/>
            <w:webHidden/>
          </w:rPr>
          <w:t>4</w:t>
        </w:r>
        <w:r>
          <w:rPr>
            <w:noProof/>
            <w:webHidden/>
          </w:rPr>
          <w:fldChar w:fldCharType="end"/>
        </w:r>
      </w:hyperlink>
    </w:p>
    <w:p w14:paraId="4DF3B681" w14:textId="37B15F7E"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08" w:history="1">
        <w:r w:rsidRPr="001B684E">
          <w:rPr>
            <w:rStyle w:val="Hyperlink"/>
            <w:noProof/>
          </w:rPr>
          <w:t>2.4</w:t>
        </w:r>
        <w:r>
          <w:rPr>
            <w:rFonts w:asciiTheme="minorHAnsi" w:eastAsiaTheme="minorEastAsia" w:hAnsiTheme="minorHAnsi" w:cstheme="minorBidi"/>
            <w:noProof/>
            <w:sz w:val="22"/>
            <w:szCs w:val="22"/>
            <w:lang w:eastAsia="en-ZA"/>
          </w:rPr>
          <w:tab/>
        </w:r>
        <w:r w:rsidRPr="001B684E">
          <w:rPr>
            <w:rStyle w:val="Hyperlink"/>
            <w:noProof/>
          </w:rPr>
          <w:t>Mining production improves as iron ore price boost buoys output</w:t>
        </w:r>
        <w:r>
          <w:rPr>
            <w:noProof/>
            <w:webHidden/>
          </w:rPr>
          <w:tab/>
        </w:r>
        <w:r>
          <w:rPr>
            <w:noProof/>
            <w:webHidden/>
          </w:rPr>
          <w:fldChar w:fldCharType="begin"/>
        </w:r>
        <w:r>
          <w:rPr>
            <w:noProof/>
            <w:webHidden/>
          </w:rPr>
          <w:instrText xml:space="preserve"> PAGEREF _Toc18408708 \h </w:instrText>
        </w:r>
        <w:r>
          <w:rPr>
            <w:noProof/>
            <w:webHidden/>
          </w:rPr>
        </w:r>
        <w:r>
          <w:rPr>
            <w:noProof/>
            <w:webHidden/>
          </w:rPr>
          <w:fldChar w:fldCharType="separate"/>
        </w:r>
        <w:r>
          <w:rPr>
            <w:noProof/>
            <w:webHidden/>
          </w:rPr>
          <w:t>4</w:t>
        </w:r>
        <w:r>
          <w:rPr>
            <w:noProof/>
            <w:webHidden/>
          </w:rPr>
          <w:fldChar w:fldCharType="end"/>
        </w:r>
      </w:hyperlink>
    </w:p>
    <w:p w14:paraId="19AD54A6" w14:textId="42BBC83C"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09" w:history="1">
        <w:r w:rsidRPr="001B684E">
          <w:rPr>
            <w:rStyle w:val="Hyperlink"/>
            <w:noProof/>
          </w:rPr>
          <w:t>2.5</w:t>
        </w:r>
        <w:r>
          <w:rPr>
            <w:rFonts w:asciiTheme="minorHAnsi" w:eastAsiaTheme="minorEastAsia" w:hAnsiTheme="minorHAnsi" w:cstheme="minorBidi"/>
            <w:noProof/>
            <w:sz w:val="22"/>
            <w:szCs w:val="22"/>
            <w:lang w:eastAsia="en-ZA"/>
          </w:rPr>
          <w:tab/>
        </w:r>
        <w:r w:rsidRPr="001B684E">
          <w:rPr>
            <w:rStyle w:val="Hyperlink"/>
            <w:noProof/>
          </w:rPr>
          <w:t>Electricity distribution improves after end to loadshedding</w:t>
        </w:r>
        <w:r>
          <w:rPr>
            <w:noProof/>
            <w:webHidden/>
          </w:rPr>
          <w:tab/>
        </w:r>
        <w:r>
          <w:rPr>
            <w:noProof/>
            <w:webHidden/>
          </w:rPr>
          <w:fldChar w:fldCharType="begin"/>
        </w:r>
        <w:r>
          <w:rPr>
            <w:noProof/>
            <w:webHidden/>
          </w:rPr>
          <w:instrText xml:space="preserve"> PAGEREF _Toc18408709 \h </w:instrText>
        </w:r>
        <w:r>
          <w:rPr>
            <w:noProof/>
            <w:webHidden/>
          </w:rPr>
        </w:r>
        <w:r>
          <w:rPr>
            <w:noProof/>
            <w:webHidden/>
          </w:rPr>
          <w:fldChar w:fldCharType="separate"/>
        </w:r>
        <w:r>
          <w:rPr>
            <w:noProof/>
            <w:webHidden/>
          </w:rPr>
          <w:t>5</w:t>
        </w:r>
        <w:r>
          <w:rPr>
            <w:noProof/>
            <w:webHidden/>
          </w:rPr>
          <w:fldChar w:fldCharType="end"/>
        </w:r>
      </w:hyperlink>
    </w:p>
    <w:p w14:paraId="2995195B" w14:textId="51E06696"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0" w:history="1">
        <w:r w:rsidRPr="001B684E">
          <w:rPr>
            <w:rStyle w:val="Hyperlink"/>
            <w:noProof/>
          </w:rPr>
          <w:t>2.6</w:t>
        </w:r>
        <w:r>
          <w:rPr>
            <w:rFonts w:asciiTheme="minorHAnsi" w:eastAsiaTheme="minorEastAsia" w:hAnsiTheme="minorHAnsi" w:cstheme="minorBidi"/>
            <w:noProof/>
            <w:sz w:val="22"/>
            <w:szCs w:val="22"/>
            <w:lang w:eastAsia="en-ZA"/>
          </w:rPr>
          <w:tab/>
        </w:r>
        <w:r w:rsidRPr="001B684E">
          <w:rPr>
            <w:rStyle w:val="Hyperlink"/>
            <w:noProof/>
          </w:rPr>
          <w:t>Passenger vehicle sales continue recent volatile trend</w:t>
        </w:r>
        <w:r>
          <w:rPr>
            <w:noProof/>
            <w:webHidden/>
          </w:rPr>
          <w:tab/>
        </w:r>
        <w:r>
          <w:rPr>
            <w:noProof/>
            <w:webHidden/>
          </w:rPr>
          <w:fldChar w:fldCharType="begin"/>
        </w:r>
        <w:r>
          <w:rPr>
            <w:noProof/>
            <w:webHidden/>
          </w:rPr>
          <w:instrText xml:space="preserve"> PAGEREF _Toc18408710 \h </w:instrText>
        </w:r>
        <w:r>
          <w:rPr>
            <w:noProof/>
            <w:webHidden/>
          </w:rPr>
        </w:r>
        <w:r>
          <w:rPr>
            <w:noProof/>
            <w:webHidden/>
          </w:rPr>
          <w:fldChar w:fldCharType="separate"/>
        </w:r>
        <w:r>
          <w:rPr>
            <w:noProof/>
            <w:webHidden/>
          </w:rPr>
          <w:t>5</w:t>
        </w:r>
        <w:r>
          <w:rPr>
            <w:noProof/>
            <w:webHidden/>
          </w:rPr>
          <w:fldChar w:fldCharType="end"/>
        </w:r>
      </w:hyperlink>
    </w:p>
    <w:p w14:paraId="57FA829C" w14:textId="626942BD"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1" w:history="1">
        <w:r w:rsidRPr="001B684E">
          <w:rPr>
            <w:rStyle w:val="Hyperlink"/>
            <w:noProof/>
          </w:rPr>
          <w:t>2.7</w:t>
        </w:r>
        <w:r>
          <w:rPr>
            <w:rFonts w:asciiTheme="minorHAnsi" w:eastAsiaTheme="minorEastAsia" w:hAnsiTheme="minorHAnsi" w:cstheme="minorBidi"/>
            <w:noProof/>
            <w:sz w:val="22"/>
            <w:szCs w:val="22"/>
            <w:lang w:eastAsia="en-ZA"/>
          </w:rPr>
          <w:tab/>
        </w:r>
        <w:r w:rsidRPr="001B684E">
          <w:rPr>
            <w:rStyle w:val="Hyperlink"/>
            <w:noProof/>
          </w:rPr>
          <w:t>Private sector credit extension shows continued improvement</w:t>
        </w:r>
        <w:r>
          <w:rPr>
            <w:noProof/>
            <w:webHidden/>
          </w:rPr>
          <w:tab/>
        </w:r>
        <w:r>
          <w:rPr>
            <w:noProof/>
            <w:webHidden/>
          </w:rPr>
          <w:fldChar w:fldCharType="begin"/>
        </w:r>
        <w:r>
          <w:rPr>
            <w:noProof/>
            <w:webHidden/>
          </w:rPr>
          <w:instrText xml:space="preserve"> PAGEREF _Toc18408711 \h </w:instrText>
        </w:r>
        <w:r>
          <w:rPr>
            <w:noProof/>
            <w:webHidden/>
          </w:rPr>
        </w:r>
        <w:r>
          <w:rPr>
            <w:noProof/>
            <w:webHidden/>
          </w:rPr>
          <w:fldChar w:fldCharType="separate"/>
        </w:r>
        <w:r>
          <w:rPr>
            <w:noProof/>
            <w:webHidden/>
          </w:rPr>
          <w:t>5</w:t>
        </w:r>
        <w:r>
          <w:rPr>
            <w:noProof/>
            <w:webHidden/>
          </w:rPr>
          <w:fldChar w:fldCharType="end"/>
        </w:r>
      </w:hyperlink>
    </w:p>
    <w:p w14:paraId="4071909C" w14:textId="22A9F02C" w:rsidR="00FA2342" w:rsidRDefault="00FA2342">
      <w:pPr>
        <w:pStyle w:val="TOC2"/>
        <w:tabs>
          <w:tab w:val="left" w:pos="600"/>
          <w:tab w:val="right" w:pos="9854"/>
        </w:tabs>
        <w:rPr>
          <w:rFonts w:asciiTheme="minorHAnsi" w:eastAsiaTheme="minorEastAsia" w:hAnsiTheme="minorHAnsi" w:cstheme="minorBidi"/>
          <w:noProof/>
          <w:sz w:val="22"/>
          <w:szCs w:val="22"/>
          <w:lang w:eastAsia="en-ZA"/>
        </w:rPr>
      </w:pPr>
      <w:hyperlink w:anchor="_Toc18408712" w:history="1">
        <w:r w:rsidRPr="001B684E">
          <w:rPr>
            <w:rStyle w:val="Hyperlink"/>
            <w:noProof/>
          </w:rPr>
          <w:t>2.8</w:t>
        </w:r>
        <w:r>
          <w:rPr>
            <w:rFonts w:asciiTheme="minorHAnsi" w:eastAsiaTheme="minorEastAsia" w:hAnsiTheme="minorHAnsi" w:cstheme="minorBidi"/>
            <w:noProof/>
            <w:sz w:val="22"/>
            <w:szCs w:val="22"/>
            <w:lang w:eastAsia="en-ZA"/>
          </w:rPr>
          <w:tab/>
        </w:r>
        <w:r w:rsidRPr="001B684E">
          <w:rPr>
            <w:rStyle w:val="Hyperlink"/>
            <w:noProof/>
          </w:rPr>
          <w:t>Economic transactions no longer hampered by loadshedding</w:t>
        </w:r>
        <w:r>
          <w:rPr>
            <w:noProof/>
            <w:webHidden/>
          </w:rPr>
          <w:tab/>
        </w:r>
        <w:r>
          <w:rPr>
            <w:noProof/>
            <w:webHidden/>
          </w:rPr>
          <w:fldChar w:fldCharType="begin"/>
        </w:r>
        <w:r>
          <w:rPr>
            <w:noProof/>
            <w:webHidden/>
          </w:rPr>
          <w:instrText xml:space="preserve"> PAGEREF _Toc18408712 \h </w:instrText>
        </w:r>
        <w:r>
          <w:rPr>
            <w:noProof/>
            <w:webHidden/>
          </w:rPr>
        </w:r>
        <w:r>
          <w:rPr>
            <w:noProof/>
            <w:webHidden/>
          </w:rPr>
          <w:fldChar w:fldCharType="separate"/>
        </w:r>
        <w:r>
          <w:rPr>
            <w:noProof/>
            <w:webHidden/>
          </w:rPr>
          <w:t>6</w:t>
        </w:r>
        <w:r>
          <w:rPr>
            <w:noProof/>
            <w:webHidden/>
          </w:rPr>
          <w:fldChar w:fldCharType="end"/>
        </w:r>
      </w:hyperlink>
    </w:p>
    <w:p w14:paraId="5FC586C3" w14:textId="03BC48F0"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3" w:history="1">
        <w:r w:rsidRPr="001B684E">
          <w:rPr>
            <w:rStyle w:val="Hyperlink"/>
            <w:noProof/>
          </w:rPr>
          <w:t>2.9</w:t>
        </w:r>
        <w:r>
          <w:rPr>
            <w:rFonts w:asciiTheme="minorHAnsi" w:eastAsiaTheme="minorEastAsia" w:hAnsiTheme="minorHAnsi" w:cstheme="minorBidi"/>
            <w:noProof/>
            <w:sz w:val="22"/>
            <w:szCs w:val="22"/>
            <w:lang w:eastAsia="en-ZA"/>
          </w:rPr>
          <w:tab/>
        </w:r>
        <w:r w:rsidRPr="001B684E">
          <w:rPr>
            <w:rStyle w:val="Hyperlink"/>
            <w:noProof/>
          </w:rPr>
          <w:t>Freight transport gains momentum on increased mineral shipments</w:t>
        </w:r>
        <w:r>
          <w:rPr>
            <w:noProof/>
            <w:webHidden/>
          </w:rPr>
          <w:tab/>
        </w:r>
        <w:r>
          <w:rPr>
            <w:noProof/>
            <w:webHidden/>
          </w:rPr>
          <w:fldChar w:fldCharType="begin"/>
        </w:r>
        <w:r>
          <w:rPr>
            <w:noProof/>
            <w:webHidden/>
          </w:rPr>
          <w:instrText xml:space="preserve"> PAGEREF _Toc18408713 \h </w:instrText>
        </w:r>
        <w:r>
          <w:rPr>
            <w:noProof/>
            <w:webHidden/>
          </w:rPr>
        </w:r>
        <w:r>
          <w:rPr>
            <w:noProof/>
            <w:webHidden/>
          </w:rPr>
          <w:fldChar w:fldCharType="separate"/>
        </w:r>
        <w:r>
          <w:rPr>
            <w:noProof/>
            <w:webHidden/>
          </w:rPr>
          <w:t>6</w:t>
        </w:r>
        <w:r>
          <w:rPr>
            <w:noProof/>
            <w:webHidden/>
          </w:rPr>
          <w:fldChar w:fldCharType="end"/>
        </w:r>
      </w:hyperlink>
    </w:p>
    <w:p w14:paraId="37CFDBBB" w14:textId="20AA305C" w:rsidR="00FA2342" w:rsidRDefault="00FA2342">
      <w:pPr>
        <w:pStyle w:val="TOC1"/>
        <w:rPr>
          <w:rFonts w:asciiTheme="minorHAnsi" w:eastAsiaTheme="minorEastAsia" w:hAnsiTheme="minorHAnsi" w:cstheme="minorBidi"/>
          <w:noProof/>
          <w:sz w:val="22"/>
          <w:szCs w:val="22"/>
          <w:lang w:eastAsia="en-ZA"/>
        </w:rPr>
      </w:pPr>
      <w:hyperlink w:anchor="_Toc18408714" w:history="1">
        <w:r w:rsidRPr="001B684E">
          <w:rPr>
            <w:rStyle w:val="Hyperlink"/>
            <w:noProof/>
          </w:rPr>
          <w:t>3.</w:t>
        </w:r>
        <w:r>
          <w:rPr>
            <w:rFonts w:asciiTheme="minorHAnsi" w:eastAsiaTheme="minorEastAsia" w:hAnsiTheme="minorHAnsi" w:cstheme="minorBidi"/>
            <w:noProof/>
            <w:sz w:val="22"/>
            <w:szCs w:val="22"/>
            <w:lang w:eastAsia="en-ZA"/>
          </w:rPr>
          <w:tab/>
        </w:r>
        <w:r w:rsidRPr="001B684E">
          <w:rPr>
            <w:rStyle w:val="Hyperlink"/>
            <w:noProof/>
          </w:rPr>
          <w:t>Key indices</w:t>
        </w:r>
        <w:r>
          <w:rPr>
            <w:noProof/>
            <w:webHidden/>
          </w:rPr>
          <w:tab/>
        </w:r>
        <w:r>
          <w:rPr>
            <w:noProof/>
            <w:webHidden/>
          </w:rPr>
          <w:fldChar w:fldCharType="begin"/>
        </w:r>
        <w:r>
          <w:rPr>
            <w:noProof/>
            <w:webHidden/>
          </w:rPr>
          <w:instrText xml:space="preserve"> PAGEREF _Toc18408714 \h </w:instrText>
        </w:r>
        <w:r>
          <w:rPr>
            <w:noProof/>
            <w:webHidden/>
          </w:rPr>
        </w:r>
        <w:r>
          <w:rPr>
            <w:noProof/>
            <w:webHidden/>
          </w:rPr>
          <w:fldChar w:fldCharType="separate"/>
        </w:r>
        <w:r>
          <w:rPr>
            <w:noProof/>
            <w:webHidden/>
          </w:rPr>
          <w:t>6</w:t>
        </w:r>
        <w:r>
          <w:rPr>
            <w:noProof/>
            <w:webHidden/>
          </w:rPr>
          <w:fldChar w:fldCharType="end"/>
        </w:r>
      </w:hyperlink>
    </w:p>
    <w:p w14:paraId="3C2D5632" w14:textId="411596C5"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5" w:history="1">
        <w:r w:rsidRPr="001B684E">
          <w:rPr>
            <w:rStyle w:val="Hyperlink"/>
            <w:noProof/>
          </w:rPr>
          <w:t>3.1</w:t>
        </w:r>
        <w:r>
          <w:rPr>
            <w:rFonts w:asciiTheme="minorHAnsi" w:eastAsiaTheme="minorEastAsia" w:hAnsiTheme="minorHAnsi" w:cstheme="minorBidi"/>
            <w:noProof/>
            <w:sz w:val="22"/>
            <w:szCs w:val="22"/>
            <w:lang w:eastAsia="en-ZA"/>
          </w:rPr>
          <w:tab/>
        </w:r>
        <w:r w:rsidRPr="001B684E">
          <w:rPr>
            <w:rStyle w:val="Hyperlink"/>
            <w:noProof/>
          </w:rPr>
          <w:t>Construction confidence drops as contractors struggle</w:t>
        </w:r>
        <w:r>
          <w:rPr>
            <w:noProof/>
            <w:webHidden/>
          </w:rPr>
          <w:tab/>
        </w:r>
        <w:r>
          <w:rPr>
            <w:noProof/>
            <w:webHidden/>
          </w:rPr>
          <w:fldChar w:fldCharType="begin"/>
        </w:r>
        <w:r>
          <w:rPr>
            <w:noProof/>
            <w:webHidden/>
          </w:rPr>
          <w:instrText xml:space="preserve"> PAGEREF _Toc18408715 \h </w:instrText>
        </w:r>
        <w:r>
          <w:rPr>
            <w:noProof/>
            <w:webHidden/>
          </w:rPr>
        </w:r>
        <w:r>
          <w:rPr>
            <w:noProof/>
            <w:webHidden/>
          </w:rPr>
          <w:fldChar w:fldCharType="separate"/>
        </w:r>
        <w:r>
          <w:rPr>
            <w:noProof/>
            <w:webHidden/>
          </w:rPr>
          <w:t>7</w:t>
        </w:r>
        <w:r>
          <w:rPr>
            <w:noProof/>
            <w:webHidden/>
          </w:rPr>
          <w:fldChar w:fldCharType="end"/>
        </w:r>
      </w:hyperlink>
    </w:p>
    <w:p w14:paraId="32509E06" w14:textId="38A066A3"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6" w:history="1">
        <w:r w:rsidRPr="001B684E">
          <w:rPr>
            <w:rStyle w:val="Hyperlink"/>
            <w:noProof/>
          </w:rPr>
          <w:t>3.2</w:t>
        </w:r>
        <w:r>
          <w:rPr>
            <w:rFonts w:asciiTheme="minorHAnsi" w:eastAsiaTheme="minorEastAsia" w:hAnsiTheme="minorHAnsi" w:cstheme="minorBidi"/>
            <w:noProof/>
            <w:sz w:val="22"/>
            <w:szCs w:val="22"/>
            <w:lang w:eastAsia="en-ZA"/>
          </w:rPr>
          <w:tab/>
        </w:r>
        <w:r w:rsidRPr="001B684E">
          <w:rPr>
            <w:rStyle w:val="Hyperlink"/>
            <w:noProof/>
          </w:rPr>
          <w:t>Consumer confidence improves slightly after peaceful elections</w:t>
        </w:r>
        <w:r>
          <w:rPr>
            <w:noProof/>
            <w:webHidden/>
          </w:rPr>
          <w:tab/>
        </w:r>
        <w:r>
          <w:rPr>
            <w:noProof/>
            <w:webHidden/>
          </w:rPr>
          <w:fldChar w:fldCharType="begin"/>
        </w:r>
        <w:r>
          <w:rPr>
            <w:noProof/>
            <w:webHidden/>
          </w:rPr>
          <w:instrText xml:space="preserve"> PAGEREF _Toc18408716 \h </w:instrText>
        </w:r>
        <w:r>
          <w:rPr>
            <w:noProof/>
            <w:webHidden/>
          </w:rPr>
        </w:r>
        <w:r>
          <w:rPr>
            <w:noProof/>
            <w:webHidden/>
          </w:rPr>
          <w:fldChar w:fldCharType="separate"/>
        </w:r>
        <w:r>
          <w:rPr>
            <w:noProof/>
            <w:webHidden/>
          </w:rPr>
          <w:t>7</w:t>
        </w:r>
        <w:r>
          <w:rPr>
            <w:noProof/>
            <w:webHidden/>
          </w:rPr>
          <w:fldChar w:fldCharType="end"/>
        </w:r>
      </w:hyperlink>
    </w:p>
    <w:p w14:paraId="59CB0832" w14:textId="135B6D93"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7" w:history="1">
        <w:r w:rsidRPr="001B684E">
          <w:rPr>
            <w:rStyle w:val="Hyperlink"/>
            <w:noProof/>
          </w:rPr>
          <w:t>3.3</w:t>
        </w:r>
        <w:r>
          <w:rPr>
            <w:rFonts w:asciiTheme="minorHAnsi" w:eastAsiaTheme="minorEastAsia" w:hAnsiTheme="minorHAnsi" w:cstheme="minorBidi"/>
            <w:noProof/>
            <w:sz w:val="22"/>
            <w:szCs w:val="22"/>
            <w:lang w:eastAsia="en-ZA"/>
          </w:rPr>
          <w:tab/>
        </w:r>
        <w:r w:rsidRPr="001B684E">
          <w:rPr>
            <w:rStyle w:val="Hyperlink"/>
            <w:noProof/>
          </w:rPr>
          <w:t>Business confidence remains stagnant</w:t>
        </w:r>
        <w:r>
          <w:rPr>
            <w:noProof/>
            <w:webHidden/>
          </w:rPr>
          <w:tab/>
        </w:r>
        <w:r>
          <w:rPr>
            <w:noProof/>
            <w:webHidden/>
          </w:rPr>
          <w:fldChar w:fldCharType="begin"/>
        </w:r>
        <w:r>
          <w:rPr>
            <w:noProof/>
            <w:webHidden/>
          </w:rPr>
          <w:instrText xml:space="preserve"> PAGEREF _Toc18408717 \h </w:instrText>
        </w:r>
        <w:r>
          <w:rPr>
            <w:noProof/>
            <w:webHidden/>
          </w:rPr>
        </w:r>
        <w:r>
          <w:rPr>
            <w:noProof/>
            <w:webHidden/>
          </w:rPr>
          <w:fldChar w:fldCharType="separate"/>
        </w:r>
        <w:r>
          <w:rPr>
            <w:noProof/>
            <w:webHidden/>
          </w:rPr>
          <w:t>7</w:t>
        </w:r>
        <w:r>
          <w:rPr>
            <w:noProof/>
            <w:webHidden/>
          </w:rPr>
          <w:fldChar w:fldCharType="end"/>
        </w:r>
      </w:hyperlink>
    </w:p>
    <w:p w14:paraId="5D0652F5" w14:textId="51835160"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8" w:history="1">
        <w:r w:rsidRPr="001B684E">
          <w:rPr>
            <w:rStyle w:val="Hyperlink"/>
            <w:noProof/>
          </w:rPr>
          <w:t>3.4</w:t>
        </w:r>
        <w:r>
          <w:rPr>
            <w:rFonts w:asciiTheme="minorHAnsi" w:eastAsiaTheme="minorEastAsia" w:hAnsiTheme="minorHAnsi" w:cstheme="minorBidi"/>
            <w:noProof/>
            <w:sz w:val="22"/>
            <w:szCs w:val="22"/>
            <w:lang w:eastAsia="en-ZA"/>
          </w:rPr>
          <w:tab/>
        </w:r>
        <w:r w:rsidRPr="001B684E">
          <w:rPr>
            <w:rStyle w:val="Hyperlink"/>
            <w:noProof/>
          </w:rPr>
          <w:t>Policy uncertainty increases due to debate over SARB mandate</w:t>
        </w:r>
        <w:r>
          <w:rPr>
            <w:noProof/>
            <w:webHidden/>
          </w:rPr>
          <w:tab/>
        </w:r>
        <w:r>
          <w:rPr>
            <w:noProof/>
            <w:webHidden/>
          </w:rPr>
          <w:fldChar w:fldCharType="begin"/>
        </w:r>
        <w:r>
          <w:rPr>
            <w:noProof/>
            <w:webHidden/>
          </w:rPr>
          <w:instrText xml:space="preserve"> PAGEREF _Toc18408718 \h </w:instrText>
        </w:r>
        <w:r>
          <w:rPr>
            <w:noProof/>
            <w:webHidden/>
          </w:rPr>
        </w:r>
        <w:r>
          <w:rPr>
            <w:noProof/>
            <w:webHidden/>
          </w:rPr>
          <w:fldChar w:fldCharType="separate"/>
        </w:r>
        <w:r>
          <w:rPr>
            <w:noProof/>
            <w:webHidden/>
          </w:rPr>
          <w:t>8</w:t>
        </w:r>
        <w:r>
          <w:rPr>
            <w:noProof/>
            <w:webHidden/>
          </w:rPr>
          <w:fldChar w:fldCharType="end"/>
        </w:r>
      </w:hyperlink>
    </w:p>
    <w:p w14:paraId="56A97751" w14:textId="13C82958" w:rsidR="00FA2342" w:rsidRDefault="00FA2342">
      <w:pPr>
        <w:pStyle w:val="TOC2"/>
        <w:tabs>
          <w:tab w:val="right" w:pos="9854"/>
        </w:tabs>
        <w:rPr>
          <w:rFonts w:asciiTheme="minorHAnsi" w:eastAsiaTheme="minorEastAsia" w:hAnsiTheme="minorHAnsi" w:cstheme="minorBidi"/>
          <w:noProof/>
          <w:sz w:val="22"/>
          <w:szCs w:val="22"/>
          <w:lang w:eastAsia="en-ZA"/>
        </w:rPr>
      </w:pPr>
      <w:hyperlink w:anchor="_Toc18408719" w:history="1">
        <w:r w:rsidRPr="001B684E">
          <w:rPr>
            <w:rStyle w:val="Hyperlink"/>
            <w:noProof/>
          </w:rPr>
          <w:t>3.5</w:t>
        </w:r>
        <w:r>
          <w:rPr>
            <w:rFonts w:asciiTheme="minorHAnsi" w:eastAsiaTheme="minorEastAsia" w:hAnsiTheme="minorHAnsi" w:cstheme="minorBidi"/>
            <w:noProof/>
            <w:sz w:val="22"/>
            <w:szCs w:val="22"/>
            <w:lang w:eastAsia="en-ZA"/>
          </w:rPr>
          <w:tab/>
        </w:r>
        <w:r w:rsidRPr="001B684E">
          <w:rPr>
            <w:rStyle w:val="Hyperlink"/>
            <w:noProof/>
          </w:rPr>
          <w:t>Business climate problematic due to fiscal challenges and structural reforms needs</w:t>
        </w:r>
        <w:r>
          <w:rPr>
            <w:noProof/>
            <w:webHidden/>
          </w:rPr>
          <w:tab/>
        </w:r>
        <w:r>
          <w:rPr>
            <w:noProof/>
            <w:webHidden/>
          </w:rPr>
          <w:fldChar w:fldCharType="begin"/>
        </w:r>
        <w:r>
          <w:rPr>
            <w:noProof/>
            <w:webHidden/>
          </w:rPr>
          <w:instrText xml:space="preserve"> PAGEREF _Toc18408719 \h </w:instrText>
        </w:r>
        <w:r>
          <w:rPr>
            <w:noProof/>
            <w:webHidden/>
          </w:rPr>
        </w:r>
        <w:r>
          <w:rPr>
            <w:noProof/>
            <w:webHidden/>
          </w:rPr>
          <w:fldChar w:fldCharType="separate"/>
        </w:r>
        <w:r>
          <w:rPr>
            <w:noProof/>
            <w:webHidden/>
          </w:rPr>
          <w:t>8</w:t>
        </w:r>
        <w:r>
          <w:rPr>
            <w:noProof/>
            <w:webHidden/>
          </w:rPr>
          <w:fldChar w:fldCharType="end"/>
        </w:r>
      </w:hyperlink>
    </w:p>
    <w:p w14:paraId="3E5330FF" w14:textId="4043811A" w:rsidR="00FA2342" w:rsidRDefault="00FA2342">
      <w:pPr>
        <w:pStyle w:val="TOC1"/>
        <w:rPr>
          <w:rFonts w:asciiTheme="minorHAnsi" w:eastAsiaTheme="minorEastAsia" w:hAnsiTheme="minorHAnsi" w:cstheme="minorBidi"/>
          <w:noProof/>
          <w:sz w:val="22"/>
          <w:szCs w:val="22"/>
          <w:lang w:eastAsia="en-ZA"/>
        </w:rPr>
      </w:pPr>
      <w:hyperlink w:anchor="_Toc18408720" w:history="1">
        <w:r w:rsidRPr="001B684E">
          <w:rPr>
            <w:rStyle w:val="Hyperlink"/>
            <w:noProof/>
          </w:rPr>
          <w:t>4.</w:t>
        </w:r>
        <w:r>
          <w:rPr>
            <w:rFonts w:asciiTheme="minorHAnsi" w:eastAsiaTheme="minorEastAsia" w:hAnsiTheme="minorHAnsi" w:cstheme="minorBidi"/>
            <w:noProof/>
            <w:sz w:val="22"/>
            <w:szCs w:val="22"/>
            <w:lang w:eastAsia="en-ZA"/>
          </w:rPr>
          <w:tab/>
        </w:r>
        <w:r w:rsidRPr="001B684E">
          <w:rPr>
            <w:rStyle w:val="Hyperlink"/>
            <w:noProof/>
          </w:rPr>
          <w:t>Conclusion: what is the State of the South African economy</w:t>
        </w:r>
        <w:r>
          <w:rPr>
            <w:noProof/>
            <w:webHidden/>
          </w:rPr>
          <w:tab/>
        </w:r>
        <w:r>
          <w:rPr>
            <w:noProof/>
            <w:webHidden/>
          </w:rPr>
          <w:fldChar w:fldCharType="begin"/>
        </w:r>
        <w:r>
          <w:rPr>
            <w:noProof/>
            <w:webHidden/>
          </w:rPr>
          <w:instrText xml:space="preserve"> PAGEREF _Toc18408720 \h </w:instrText>
        </w:r>
        <w:r>
          <w:rPr>
            <w:noProof/>
            <w:webHidden/>
          </w:rPr>
        </w:r>
        <w:r>
          <w:rPr>
            <w:noProof/>
            <w:webHidden/>
          </w:rPr>
          <w:fldChar w:fldCharType="separate"/>
        </w:r>
        <w:r>
          <w:rPr>
            <w:noProof/>
            <w:webHidden/>
          </w:rPr>
          <w:t>8</w:t>
        </w:r>
        <w:r>
          <w:rPr>
            <w:noProof/>
            <w:webHidden/>
          </w:rPr>
          <w:fldChar w:fldCharType="end"/>
        </w:r>
      </w:hyperlink>
    </w:p>
    <w:p w14:paraId="188B86EC" w14:textId="602715BB" w:rsidR="00FA2342" w:rsidRDefault="00FA2342">
      <w:pPr>
        <w:pStyle w:val="TOC1"/>
        <w:rPr>
          <w:rFonts w:asciiTheme="minorHAnsi" w:eastAsiaTheme="minorEastAsia" w:hAnsiTheme="minorHAnsi" w:cstheme="minorBidi"/>
          <w:noProof/>
          <w:sz w:val="22"/>
          <w:szCs w:val="22"/>
          <w:lang w:eastAsia="en-ZA"/>
        </w:rPr>
      </w:pPr>
      <w:hyperlink w:anchor="_Toc18408721" w:history="1">
        <w:r w:rsidRPr="001B684E">
          <w:rPr>
            <w:rStyle w:val="Hyperlink"/>
            <w:noProof/>
          </w:rPr>
          <w:t>5.</w:t>
        </w:r>
        <w:r>
          <w:rPr>
            <w:rFonts w:asciiTheme="minorHAnsi" w:eastAsiaTheme="minorEastAsia" w:hAnsiTheme="minorHAnsi" w:cstheme="minorBidi"/>
            <w:noProof/>
            <w:sz w:val="22"/>
            <w:szCs w:val="22"/>
            <w:lang w:eastAsia="en-ZA"/>
          </w:rPr>
          <w:tab/>
        </w:r>
        <w:r w:rsidRPr="001B684E">
          <w:rPr>
            <w:rStyle w:val="Hyperlink"/>
            <w:noProof/>
          </w:rPr>
          <w:t>Contacts</w:t>
        </w:r>
        <w:r>
          <w:rPr>
            <w:noProof/>
            <w:webHidden/>
          </w:rPr>
          <w:tab/>
        </w:r>
        <w:r>
          <w:rPr>
            <w:noProof/>
            <w:webHidden/>
          </w:rPr>
          <w:fldChar w:fldCharType="begin"/>
        </w:r>
        <w:r>
          <w:rPr>
            <w:noProof/>
            <w:webHidden/>
          </w:rPr>
          <w:instrText xml:space="preserve"> PAGEREF _Toc18408721 \h </w:instrText>
        </w:r>
        <w:r>
          <w:rPr>
            <w:noProof/>
            <w:webHidden/>
          </w:rPr>
        </w:r>
        <w:r>
          <w:rPr>
            <w:noProof/>
            <w:webHidden/>
          </w:rPr>
          <w:fldChar w:fldCharType="separate"/>
        </w:r>
        <w:r>
          <w:rPr>
            <w:noProof/>
            <w:webHidden/>
          </w:rPr>
          <w:t>9</w:t>
        </w:r>
        <w:r>
          <w:rPr>
            <w:noProof/>
            <w:webHidden/>
          </w:rPr>
          <w:fldChar w:fldCharType="end"/>
        </w:r>
      </w:hyperlink>
    </w:p>
    <w:p w14:paraId="19B48DFA" w14:textId="58EB1179" w:rsidR="004631E0" w:rsidRPr="007F0A75" w:rsidRDefault="004631E0" w:rsidP="004631E0">
      <w:r w:rsidRPr="007F0A75">
        <w:fldChar w:fldCharType="end"/>
      </w:r>
    </w:p>
    <w:p w14:paraId="435C3F05" w14:textId="630F655A" w:rsidR="00CF3D3C" w:rsidRPr="007F0A75" w:rsidRDefault="004631E0" w:rsidP="004631E0">
      <w:pPr>
        <w:keepNext/>
        <w:keepLines/>
        <w:spacing w:after="480" w:line="600" w:lineRule="atLeast"/>
        <w:rPr>
          <w:rFonts w:eastAsia="Times New Roman"/>
          <w:b/>
          <w:bCs/>
          <w:i/>
          <w:sz w:val="56"/>
          <w:szCs w:val="28"/>
        </w:rPr>
      </w:pPr>
      <w:r w:rsidRPr="007F0A75">
        <w:br w:type="page"/>
      </w:r>
    </w:p>
    <w:p w14:paraId="5B45FC0F" w14:textId="75C06C7E" w:rsidR="00A4648A" w:rsidRPr="00B22782" w:rsidRDefault="00A4648A" w:rsidP="00A4648A">
      <w:pPr>
        <w:pStyle w:val="Heading1"/>
        <w:ind w:left="567" w:hanging="567"/>
      </w:pPr>
      <w:bookmarkStart w:id="1" w:name="_Toc18408703"/>
      <w:r w:rsidRPr="00A4648A">
        <w:lastRenderedPageBreak/>
        <w:t xml:space="preserve">State of the South African </w:t>
      </w:r>
      <w:r w:rsidR="00CE05FE" w:rsidRPr="00B22782">
        <w:t>E</w:t>
      </w:r>
      <w:r w:rsidRPr="00B22782">
        <w:t>conomy</w:t>
      </w:r>
      <w:bookmarkEnd w:id="1"/>
      <w:r w:rsidRPr="00B22782">
        <w:t xml:space="preserve"> </w:t>
      </w:r>
    </w:p>
    <w:p w14:paraId="5865DD1B" w14:textId="5C7704FB" w:rsidR="00FA2342" w:rsidRDefault="00C82684" w:rsidP="00A4648A">
      <w:pPr>
        <w:rPr>
          <w:lang w:val="en-US"/>
        </w:rPr>
      </w:pPr>
      <w:r w:rsidRPr="00B22782">
        <w:rPr>
          <w:noProof/>
          <w:lang w:eastAsia="en-ZA"/>
        </w:rPr>
        <w:drawing>
          <wp:anchor distT="0" distB="0" distL="114300" distR="114300" simplePos="0" relativeHeight="251960320" behindDoc="0" locked="0" layoutInCell="1" allowOverlap="1" wp14:anchorId="1319D6EB" wp14:editId="70E50045">
            <wp:simplePos x="0" y="0"/>
            <wp:positionH relativeFrom="margin">
              <wp:align>left</wp:align>
            </wp:positionH>
            <wp:positionV relativeFrom="paragraph">
              <wp:posOffset>1270</wp:posOffset>
            </wp:positionV>
            <wp:extent cx="3756660" cy="2891155"/>
            <wp:effectExtent l="0" t="0" r="0" b="444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A02ACF" w:rsidRPr="00B22782">
        <w:rPr>
          <w:lang w:val="en-US"/>
        </w:rPr>
        <w:t>Statistics South Africa (StatsSA) release</w:t>
      </w:r>
      <w:r w:rsidR="00FA2342">
        <w:rPr>
          <w:lang w:val="en-US"/>
        </w:rPr>
        <w:t>d</w:t>
      </w:r>
      <w:r w:rsidR="00A02ACF" w:rsidRPr="00B22782">
        <w:rPr>
          <w:lang w:val="en-US"/>
        </w:rPr>
        <w:t xml:space="preserve"> the country’s latest gross domestic product (GDP) data on Tuesday, September 3. </w:t>
      </w:r>
      <w:r w:rsidR="00FA2342">
        <w:rPr>
          <w:lang w:val="en-US"/>
        </w:rPr>
        <w:t xml:space="preserve">The </w:t>
      </w:r>
      <w:r w:rsidR="00FA2342" w:rsidRPr="00FA2342">
        <w:rPr>
          <w:lang w:val="en-US"/>
        </w:rPr>
        <w:t>South African economy expanded by 3.1% quarter-on-quarter (q-o-q) during 2019Q2. This was a much stronger outcome than expected and allowed South Africa to ward off a dreaded recession. The largest contributor to the q-o-q recovery in GDP was a 14.4% q-o-q rebound in mining activity – the first positive q-o-q reading in a year. Based in the q-o-q changes in real GDP, the South African economy was 0.9% y-o-y larger during the second quarter. This was a notable recovery from the 0.0% y-o-y number recorded in 2019Q1.</w:t>
      </w:r>
      <w:r w:rsidR="00FA2342">
        <w:rPr>
          <w:rStyle w:val="EndnoteReference"/>
          <w:lang w:val="en-US"/>
        </w:rPr>
        <w:endnoteReference w:id="1"/>
      </w:r>
      <w:r w:rsidR="00FA2342" w:rsidRPr="00FA2342">
        <w:rPr>
          <w:lang w:val="en-US"/>
        </w:rPr>
        <w:t xml:space="preserve"> </w:t>
      </w:r>
    </w:p>
    <w:p w14:paraId="6102F0CA" w14:textId="56E03517" w:rsidR="00A02ACF" w:rsidRPr="00B22782" w:rsidRDefault="00A02ACF" w:rsidP="00A4648A">
      <w:pPr>
        <w:rPr>
          <w:lang w:val="en-US"/>
        </w:rPr>
      </w:pPr>
      <w:r w:rsidRPr="00B22782">
        <w:rPr>
          <w:lang w:val="en-US"/>
        </w:rPr>
        <w:t>Many analysts commented ahead of the release that high-frequency data suggested that GDP would be healthier in the second quarter of 2019 compared to the first quarter of the year. The following subsections consider recent q-o-q and year-on-year (y-o-y) growth data for industries covering around 75% of the South African economy. This information gives a perspective on the state of the South African economy alongside the GDP numbers, and provide some context for the official data release.</w:t>
      </w:r>
    </w:p>
    <w:p w14:paraId="41DB2A16" w14:textId="62520B81" w:rsidR="00CF5AE7" w:rsidRPr="00B22782" w:rsidRDefault="00C4312E" w:rsidP="00C01603">
      <w:pPr>
        <w:pStyle w:val="Heading1"/>
        <w:ind w:left="567" w:hanging="567"/>
      </w:pPr>
      <w:bookmarkStart w:id="2" w:name="_Toc18408704"/>
      <w:r w:rsidRPr="00B22782">
        <w:t>Key economic data</w:t>
      </w:r>
      <w:bookmarkEnd w:id="2"/>
    </w:p>
    <w:p w14:paraId="23C9B1F0" w14:textId="42AC4F02" w:rsidR="00CF5AE7" w:rsidRPr="00B22782" w:rsidRDefault="00C82684" w:rsidP="00A4648A">
      <w:pPr>
        <w:rPr>
          <w:lang w:val="en-US"/>
        </w:rPr>
      </w:pPr>
      <w:r w:rsidRPr="00B22782">
        <w:rPr>
          <w:lang w:val="en-US"/>
        </w:rPr>
        <w:t>The following subsections consider key economic data required to better understand the GDP outcome. These include retail and wholesale sales, manufacturing and mining production, electricity distribution, passenger vehicle sales, private sector credit, economic transactions and freight transport.</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700042" w:rsidRPr="00B22782" w14:paraId="02093A94" w14:textId="77777777" w:rsidTr="00452199">
        <w:trPr>
          <w:trHeight w:val="1101"/>
        </w:trPr>
        <w:tc>
          <w:tcPr>
            <w:tcW w:w="8782" w:type="dxa"/>
            <w:vAlign w:val="bottom"/>
          </w:tcPr>
          <w:p w14:paraId="377C761E" w14:textId="779B91F6" w:rsidR="00700042" w:rsidRPr="00B22782" w:rsidRDefault="00496A98" w:rsidP="00CF5AE7">
            <w:pPr>
              <w:pStyle w:val="Heading2"/>
              <w:outlineLvl w:val="1"/>
            </w:pPr>
            <w:bookmarkStart w:id="3" w:name="_Toc18408705"/>
            <w:r w:rsidRPr="00B22782">
              <w:t>Real r</w:t>
            </w:r>
            <w:r w:rsidR="00700042" w:rsidRPr="00B22782">
              <w:t xml:space="preserve">etail sales </w:t>
            </w:r>
            <w:r w:rsidRPr="00B22782">
              <w:t>supported by low supermarket inflation rates</w:t>
            </w:r>
            <w:bookmarkEnd w:id="3"/>
          </w:p>
        </w:tc>
        <w:tc>
          <w:tcPr>
            <w:tcW w:w="1278" w:type="dxa"/>
            <w:vAlign w:val="bottom"/>
          </w:tcPr>
          <w:p w14:paraId="3CCC3B3C" w14:textId="4857F71D" w:rsidR="00700042" w:rsidRPr="00B22782" w:rsidRDefault="00700042" w:rsidP="00700042">
            <w:pPr>
              <w:jc w:val="center"/>
              <w:rPr>
                <w:lang w:val="en-US"/>
              </w:rPr>
            </w:pPr>
            <w:r w:rsidRPr="00B22782">
              <w:rPr>
                <w:noProof/>
                <w:lang w:eastAsia="en-ZA"/>
              </w:rPr>
              <w:drawing>
                <wp:inline distT="0" distB="0" distL="0" distR="0" wp14:anchorId="4075E121" wp14:editId="1813BD75">
                  <wp:extent cx="674370" cy="6680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4370" cy="668020"/>
                          </a:xfrm>
                          <a:prstGeom prst="rect">
                            <a:avLst/>
                          </a:prstGeom>
                          <a:noFill/>
                          <a:ln>
                            <a:noFill/>
                          </a:ln>
                        </pic:spPr>
                      </pic:pic>
                    </a:graphicData>
                  </a:graphic>
                </wp:inline>
              </w:drawing>
            </w:r>
          </w:p>
        </w:tc>
      </w:tr>
    </w:tbl>
    <w:p w14:paraId="696966A3" w14:textId="51B64BDC" w:rsidR="00700042" w:rsidRPr="00B22782" w:rsidRDefault="00613CAC" w:rsidP="00A4648A">
      <w:pPr>
        <w:jc w:val="both"/>
        <w:rPr>
          <w:sz w:val="2"/>
          <w:szCs w:val="2"/>
          <w:lang w:val="en-US"/>
        </w:rPr>
      </w:pPr>
      <w:r w:rsidRPr="00B22782">
        <w:rPr>
          <w:noProof/>
          <w:lang w:val="en-US"/>
        </w:rPr>
        <w:drawing>
          <wp:anchor distT="0" distB="0" distL="114300" distR="114300" simplePos="0" relativeHeight="251964416" behindDoc="0" locked="0" layoutInCell="1" allowOverlap="1" wp14:anchorId="39CC351D" wp14:editId="540FF14D">
            <wp:simplePos x="0" y="0"/>
            <wp:positionH relativeFrom="margin">
              <wp:posOffset>-635</wp:posOffset>
            </wp:positionH>
            <wp:positionV relativeFrom="paragraph">
              <wp:posOffset>148590</wp:posOffset>
            </wp:positionV>
            <wp:extent cx="3042285" cy="2286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anchor>
        </w:drawing>
      </w:r>
    </w:p>
    <w:p w14:paraId="3A814F31" w14:textId="4A104649" w:rsidR="00A02ACF" w:rsidRPr="00B22782" w:rsidRDefault="00A4648A" w:rsidP="00C5267D">
      <w:pPr>
        <w:rPr>
          <w:lang w:val="en-US"/>
        </w:rPr>
      </w:pPr>
      <w:r w:rsidRPr="00B22782">
        <w:rPr>
          <w:lang w:val="en-US"/>
        </w:rPr>
        <w:t xml:space="preserve">South African real </w:t>
      </w:r>
      <w:r w:rsidR="00A51B45" w:rsidRPr="00B22782">
        <w:rPr>
          <w:lang w:val="en-US"/>
        </w:rPr>
        <w:t xml:space="preserve">(i.e. inflation adjusted) </w:t>
      </w:r>
      <w:r w:rsidRPr="00B22782">
        <w:rPr>
          <w:lang w:val="en-US"/>
        </w:rPr>
        <w:t xml:space="preserve">retail sales increased by </w:t>
      </w:r>
      <w:r w:rsidR="00A02ACF" w:rsidRPr="00B22782">
        <w:rPr>
          <w:lang w:val="en-US"/>
        </w:rPr>
        <w:t xml:space="preserve">2.3% y-o-y in May and 2.4% y-o-y in June, </w:t>
      </w:r>
      <w:r w:rsidRPr="00B22782">
        <w:rPr>
          <w:lang w:val="en-US"/>
        </w:rPr>
        <w:t xml:space="preserve">with an average increase of </w:t>
      </w:r>
      <w:r w:rsidR="00A02ACF" w:rsidRPr="00B22782">
        <w:rPr>
          <w:lang w:val="en-US"/>
        </w:rPr>
        <w:t xml:space="preserve">2.5% </w:t>
      </w:r>
      <w:r w:rsidRPr="00B22782">
        <w:rPr>
          <w:lang w:val="en-US"/>
        </w:rPr>
        <w:t xml:space="preserve">during Q1 of 2019. </w:t>
      </w:r>
      <w:r w:rsidR="00B22782" w:rsidRPr="00B22782">
        <w:rPr>
          <w:lang w:val="en-US"/>
        </w:rPr>
        <w:t>A</w:t>
      </w:r>
      <w:r w:rsidR="00A02ACF" w:rsidRPr="00B22782">
        <w:rPr>
          <w:lang w:val="en-US"/>
        </w:rPr>
        <w:t xml:space="preserve">n improvement was seen </w:t>
      </w:r>
      <w:r w:rsidR="00B22782" w:rsidRPr="00B22782">
        <w:rPr>
          <w:lang w:val="en-US"/>
        </w:rPr>
        <w:t xml:space="preserve">in sales </w:t>
      </w:r>
      <w:r w:rsidR="00A02ACF" w:rsidRPr="00B22782">
        <w:rPr>
          <w:lang w:val="en-US"/>
        </w:rPr>
        <w:t>from a 0.6% q-o-q contraction in Q1 of 2019 to growth of 0.7% q-o-q in the second quarter.</w:t>
      </w:r>
      <w:r w:rsidR="00A02ACF" w:rsidRPr="00B22782">
        <w:rPr>
          <w:rStyle w:val="EndnoteReference"/>
          <w:lang w:val="en-US"/>
        </w:rPr>
        <w:t xml:space="preserve"> </w:t>
      </w:r>
      <w:r w:rsidR="00A02ACF" w:rsidRPr="00B22782">
        <w:rPr>
          <w:rStyle w:val="EndnoteReference"/>
          <w:lang w:val="en-US"/>
        </w:rPr>
        <w:endnoteReference w:id="2"/>
      </w:r>
      <w:r w:rsidR="00A02ACF" w:rsidRPr="00B22782">
        <w:rPr>
          <w:lang w:val="en-US"/>
        </w:rPr>
        <w:t xml:space="preserve"> </w:t>
      </w:r>
    </w:p>
    <w:p w14:paraId="0B7B00CC" w14:textId="7955F2C0" w:rsidR="000E5E8C" w:rsidRPr="00B22782" w:rsidRDefault="000E5E8C" w:rsidP="00C5267D">
      <w:pPr>
        <w:rPr>
          <w:lang w:val="en-US"/>
        </w:rPr>
      </w:pPr>
      <w:r w:rsidRPr="00B22782">
        <w:rPr>
          <w:lang w:val="en-US"/>
        </w:rPr>
        <w:t xml:space="preserve">A key </w:t>
      </w:r>
      <w:r w:rsidR="00A4648A" w:rsidRPr="00B22782">
        <w:rPr>
          <w:lang w:val="en-US"/>
        </w:rPr>
        <w:t xml:space="preserve">reason for the </w:t>
      </w:r>
      <w:r w:rsidRPr="00B22782">
        <w:rPr>
          <w:lang w:val="en-US"/>
        </w:rPr>
        <w:t xml:space="preserve">improvement in real retail sales </w:t>
      </w:r>
      <w:r w:rsidR="00A4648A" w:rsidRPr="00B22782">
        <w:rPr>
          <w:lang w:val="en-US"/>
        </w:rPr>
        <w:t xml:space="preserve">momentum was the </w:t>
      </w:r>
      <w:r w:rsidRPr="00B22782">
        <w:rPr>
          <w:lang w:val="en-US"/>
        </w:rPr>
        <w:t>continued inability of retailers to pass on price increases to cash-strapped consumer.</w:t>
      </w:r>
      <w:r w:rsidRPr="00B22782">
        <w:rPr>
          <w:rStyle w:val="EndnoteReference"/>
          <w:lang w:val="en-US"/>
        </w:rPr>
        <w:endnoteReference w:id="3"/>
      </w:r>
      <w:r w:rsidRPr="00B22782">
        <w:rPr>
          <w:lang w:val="en-US"/>
        </w:rPr>
        <w:t xml:space="preserve"> Inflation in some supermarkets were below 2% over the past year.</w:t>
      </w:r>
      <w:r w:rsidRPr="00B22782">
        <w:rPr>
          <w:rStyle w:val="EndnoteReference"/>
          <w:lang w:val="en-US"/>
        </w:rPr>
        <w:endnoteReference w:id="4"/>
      </w:r>
    </w:p>
    <w:p w14:paraId="11CCB40A" w14:textId="415CF526" w:rsidR="00700042" w:rsidRPr="00B22782" w:rsidRDefault="00700042" w:rsidP="00A4648A">
      <w:pPr>
        <w:jc w:val="both"/>
        <w:rPr>
          <w:lang w:val="en-US"/>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700042" w:rsidRPr="00B22782" w14:paraId="0ABF625E" w14:textId="77777777" w:rsidTr="00700042">
        <w:trPr>
          <w:trHeight w:val="1101"/>
        </w:trPr>
        <w:tc>
          <w:tcPr>
            <w:tcW w:w="8782" w:type="dxa"/>
            <w:vAlign w:val="bottom"/>
          </w:tcPr>
          <w:p w14:paraId="2B8D4F0B" w14:textId="475D9BBF" w:rsidR="00700042" w:rsidRPr="00D3246B" w:rsidRDefault="00C82684" w:rsidP="00CF5AE7">
            <w:pPr>
              <w:pStyle w:val="Heading2"/>
              <w:outlineLvl w:val="1"/>
              <w:rPr>
                <w:sz w:val="34"/>
                <w:szCs w:val="34"/>
              </w:rPr>
            </w:pPr>
            <w:bookmarkStart w:id="4" w:name="_Toc18408706"/>
            <w:r w:rsidRPr="00D3246B">
              <w:rPr>
                <w:sz w:val="34"/>
                <w:szCs w:val="34"/>
              </w:rPr>
              <w:lastRenderedPageBreak/>
              <w:t>W</w:t>
            </w:r>
            <w:r w:rsidR="00CF5AE7" w:rsidRPr="00D3246B">
              <w:rPr>
                <w:sz w:val="34"/>
                <w:szCs w:val="34"/>
              </w:rPr>
              <w:t xml:space="preserve">holesale trade </w:t>
            </w:r>
            <w:r w:rsidR="00496A98" w:rsidRPr="00D3246B">
              <w:rPr>
                <w:sz w:val="34"/>
                <w:szCs w:val="34"/>
              </w:rPr>
              <w:t xml:space="preserve">boosted by </w:t>
            </w:r>
            <w:r w:rsidR="002339D2">
              <w:rPr>
                <w:sz w:val="34"/>
                <w:szCs w:val="34"/>
              </w:rPr>
              <w:t>higher fuel sales</w:t>
            </w:r>
            <w:bookmarkEnd w:id="4"/>
          </w:p>
        </w:tc>
        <w:tc>
          <w:tcPr>
            <w:tcW w:w="1278" w:type="dxa"/>
            <w:vAlign w:val="bottom"/>
          </w:tcPr>
          <w:p w14:paraId="671E26B2" w14:textId="4BB9097C" w:rsidR="00700042" w:rsidRPr="00B22782" w:rsidRDefault="00CF5AE7" w:rsidP="00C4312E">
            <w:pPr>
              <w:jc w:val="center"/>
              <w:rPr>
                <w:lang w:val="en-US"/>
              </w:rPr>
            </w:pPr>
            <w:r w:rsidRPr="00B22782">
              <w:rPr>
                <w:noProof/>
                <w:lang w:eastAsia="en-ZA"/>
              </w:rPr>
              <w:drawing>
                <wp:inline distT="0" distB="0" distL="0" distR="0" wp14:anchorId="0ABFA266" wp14:editId="5141286F">
                  <wp:extent cx="669290" cy="66929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6B2D729C" w14:textId="404DFDF7" w:rsidR="00700042" w:rsidRPr="00B22782" w:rsidRDefault="00976C15" w:rsidP="00700042">
      <w:pPr>
        <w:jc w:val="both"/>
        <w:rPr>
          <w:sz w:val="2"/>
          <w:szCs w:val="2"/>
          <w:lang w:val="en-US"/>
        </w:rPr>
      </w:pPr>
      <w:r w:rsidRPr="00B22782">
        <w:rPr>
          <w:noProof/>
          <w:lang w:val="en-US"/>
        </w:rPr>
        <w:drawing>
          <wp:anchor distT="0" distB="0" distL="114300" distR="114300" simplePos="0" relativeHeight="251965440" behindDoc="0" locked="0" layoutInCell="1" allowOverlap="1" wp14:anchorId="02D30AE1" wp14:editId="5160ADFC">
            <wp:simplePos x="0" y="0"/>
            <wp:positionH relativeFrom="margin">
              <wp:posOffset>-635</wp:posOffset>
            </wp:positionH>
            <wp:positionV relativeFrom="paragraph">
              <wp:posOffset>142240</wp:posOffset>
            </wp:positionV>
            <wp:extent cx="3042285" cy="22860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anchor>
        </w:drawing>
      </w:r>
    </w:p>
    <w:p w14:paraId="1BECAE57" w14:textId="06C56DF2" w:rsidR="00606919" w:rsidRPr="00B22782" w:rsidRDefault="00A4648A" w:rsidP="00C5267D">
      <w:pPr>
        <w:rPr>
          <w:lang w:val="en-US"/>
        </w:rPr>
      </w:pPr>
      <w:r w:rsidRPr="00B22782">
        <w:rPr>
          <w:lang w:val="en-US"/>
        </w:rPr>
        <w:t xml:space="preserve">As retail trade </w:t>
      </w:r>
      <w:r w:rsidR="00FC3FB5" w:rsidRPr="00B22782">
        <w:rPr>
          <w:lang w:val="en-US"/>
        </w:rPr>
        <w:t xml:space="preserve">conditions improved, </w:t>
      </w:r>
      <w:r w:rsidRPr="00B22782">
        <w:rPr>
          <w:lang w:val="en-US"/>
        </w:rPr>
        <w:t xml:space="preserve">wholesalers </w:t>
      </w:r>
      <w:r w:rsidR="00FC3FB5" w:rsidRPr="00B22782">
        <w:rPr>
          <w:lang w:val="en-US"/>
        </w:rPr>
        <w:t xml:space="preserve">also experienced a more positive trading environment. </w:t>
      </w:r>
      <w:r w:rsidR="00A51B45" w:rsidRPr="00B22782">
        <w:rPr>
          <w:lang w:val="en-US"/>
        </w:rPr>
        <w:t>Real w</w:t>
      </w:r>
      <w:r w:rsidRPr="00B22782">
        <w:rPr>
          <w:lang w:val="en-US"/>
        </w:rPr>
        <w:t xml:space="preserve">holesale trade decreased by </w:t>
      </w:r>
      <w:r w:rsidR="00FC3FB5" w:rsidRPr="00B22782">
        <w:rPr>
          <w:lang w:val="en-US"/>
        </w:rPr>
        <w:t xml:space="preserve">0.4% y-o-y in Q2 of 2019 compared to a decline of 0.8% y-o-y in the preceding quarter. </w:t>
      </w:r>
      <w:r w:rsidR="00B22782" w:rsidRPr="00B22782">
        <w:rPr>
          <w:lang w:val="en-US"/>
        </w:rPr>
        <w:t>W</w:t>
      </w:r>
      <w:r w:rsidRPr="00B22782">
        <w:rPr>
          <w:lang w:val="en-US"/>
        </w:rPr>
        <w:t xml:space="preserve">holesale trade </w:t>
      </w:r>
      <w:r w:rsidR="00FC3FB5" w:rsidRPr="00B22782">
        <w:rPr>
          <w:lang w:val="en-US"/>
        </w:rPr>
        <w:t>expanded by 2.4% q-o-q in the second quarter, versus a 4.5% q-o-q contraction in Q1 of 2019.</w:t>
      </w:r>
      <w:r w:rsidR="00606919" w:rsidRPr="00B22782">
        <w:rPr>
          <w:rStyle w:val="EndnoteReference"/>
          <w:lang w:val="en-US"/>
        </w:rPr>
        <w:endnoteReference w:id="5"/>
      </w:r>
      <w:r w:rsidR="00606919" w:rsidRPr="00B22782">
        <w:rPr>
          <w:lang w:val="en-US"/>
        </w:rPr>
        <w:t xml:space="preserve"> </w:t>
      </w:r>
    </w:p>
    <w:p w14:paraId="01F444F3" w14:textId="6AEF8A5E" w:rsidR="006B75E5" w:rsidRPr="00B22782" w:rsidRDefault="00606919" w:rsidP="00A4648A">
      <w:pPr>
        <w:jc w:val="both"/>
        <w:rPr>
          <w:lang w:val="en-US"/>
        </w:rPr>
      </w:pPr>
      <w:r w:rsidRPr="00B22782">
        <w:rPr>
          <w:lang w:val="en-US"/>
        </w:rPr>
        <w:t xml:space="preserve">The main driver of this improvement was notably higher sales </w:t>
      </w:r>
      <w:r w:rsidR="0041761A" w:rsidRPr="00B22782">
        <w:rPr>
          <w:lang w:val="en-US"/>
        </w:rPr>
        <w:t xml:space="preserve">in the category </w:t>
      </w:r>
      <w:r w:rsidRPr="00B22782">
        <w:rPr>
          <w:lang w:val="en-US"/>
        </w:rPr>
        <w:t>“solid, liquid and gaseous fuels. and related products”.</w:t>
      </w:r>
      <w:r w:rsidR="006B75E5" w:rsidRPr="00B22782">
        <w:rPr>
          <w:rStyle w:val="EndnoteReference"/>
          <w:lang w:val="en-US"/>
        </w:rPr>
        <w:endnoteReference w:id="6"/>
      </w:r>
      <w:r w:rsidR="006B75E5" w:rsidRPr="00B22782">
        <w:rPr>
          <w:lang w:val="en-US"/>
        </w:rPr>
        <w:t xml:space="preserve"> </w:t>
      </w:r>
      <w:r w:rsidR="006B75E5" w:rsidRPr="00B22782">
        <w:rPr>
          <w:rStyle w:val="EndnoteReference"/>
          <w:lang w:val="en-US"/>
        </w:rPr>
        <w:endnoteReference w:id="7"/>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B22782" w14:paraId="2D22E59D" w14:textId="77777777" w:rsidTr="00C4312E">
        <w:trPr>
          <w:trHeight w:val="1101"/>
        </w:trPr>
        <w:tc>
          <w:tcPr>
            <w:tcW w:w="8782" w:type="dxa"/>
            <w:vAlign w:val="bottom"/>
          </w:tcPr>
          <w:p w14:paraId="33DE0020" w14:textId="01D09E72" w:rsidR="006B75E5" w:rsidRPr="00B22782" w:rsidRDefault="00DF7A57" w:rsidP="00CF5AE7">
            <w:pPr>
              <w:pStyle w:val="Heading2"/>
              <w:outlineLvl w:val="1"/>
            </w:pPr>
            <w:bookmarkStart w:id="5" w:name="_Toc18408707"/>
            <w:r w:rsidRPr="00B22782">
              <w:t xml:space="preserve">Manufacturing </w:t>
            </w:r>
            <w:r w:rsidR="00B22782">
              <w:t>environment improves but remains constrained</w:t>
            </w:r>
            <w:bookmarkEnd w:id="5"/>
          </w:p>
        </w:tc>
        <w:tc>
          <w:tcPr>
            <w:tcW w:w="1278" w:type="dxa"/>
            <w:vAlign w:val="bottom"/>
          </w:tcPr>
          <w:p w14:paraId="66B79D85" w14:textId="56E5B2B9" w:rsidR="006B75E5" w:rsidRPr="00B22782" w:rsidRDefault="006B75E5" w:rsidP="00C4312E">
            <w:pPr>
              <w:jc w:val="center"/>
              <w:rPr>
                <w:lang w:val="en-US"/>
              </w:rPr>
            </w:pPr>
            <w:r w:rsidRPr="00B22782">
              <w:rPr>
                <w:noProof/>
                <w:lang w:eastAsia="en-ZA"/>
              </w:rPr>
              <w:drawing>
                <wp:inline distT="0" distB="0" distL="0" distR="0" wp14:anchorId="5ECA2043" wp14:editId="29DE7971">
                  <wp:extent cx="612140" cy="61214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2A9F72DF" w14:textId="6D2CB80A" w:rsidR="00DF7A57" w:rsidRPr="00B22782" w:rsidRDefault="006B75E5" w:rsidP="002339D2">
      <w:pPr>
        <w:spacing w:after="0"/>
        <w:jc w:val="both"/>
        <w:rPr>
          <w:lang w:val="en-US"/>
        </w:rPr>
      </w:pPr>
      <w:r w:rsidRPr="00B22782">
        <w:rPr>
          <w:noProof/>
          <w:lang w:val="en-US"/>
        </w:rPr>
        <w:drawing>
          <wp:anchor distT="0" distB="0" distL="114300" distR="114300" simplePos="0" relativeHeight="251979776" behindDoc="0" locked="0" layoutInCell="1" allowOverlap="1" wp14:anchorId="4D0D00AD" wp14:editId="5DC6D330">
            <wp:simplePos x="0" y="0"/>
            <wp:positionH relativeFrom="column">
              <wp:posOffset>-635</wp:posOffset>
            </wp:positionH>
            <wp:positionV relativeFrom="paragraph">
              <wp:posOffset>19989</wp:posOffset>
            </wp:positionV>
            <wp:extent cx="3048000" cy="22923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92350"/>
                    </a:xfrm>
                    <a:prstGeom prst="rect">
                      <a:avLst/>
                    </a:prstGeom>
                    <a:noFill/>
                  </pic:spPr>
                </pic:pic>
              </a:graphicData>
            </a:graphic>
          </wp:anchor>
        </w:drawing>
      </w:r>
      <w:r w:rsidR="00DF7A57" w:rsidRPr="00B22782">
        <w:rPr>
          <w:lang w:val="en-US"/>
        </w:rPr>
        <w:t xml:space="preserve">Manufacturing production volumes declined by 3.2% y-o-y in June after </w:t>
      </w:r>
      <w:r w:rsidR="00B22782" w:rsidRPr="00B22782">
        <w:rPr>
          <w:lang w:val="en-US"/>
        </w:rPr>
        <w:t xml:space="preserve">an increase of </w:t>
      </w:r>
      <w:r w:rsidR="00DF7A57" w:rsidRPr="00B22782">
        <w:rPr>
          <w:lang w:val="en-US"/>
        </w:rPr>
        <w:t>0.4% y-o-y in May</w:t>
      </w:r>
      <w:r w:rsidR="00B22782" w:rsidRPr="00B22782">
        <w:rPr>
          <w:lang w:val="en-US"/>
        </w:rPr>
        <w:t xml:space="preserve">, </w:t>
      </w:r>
      <w:r w:rsidR="00DF7A57" w:rsidRPr="00B22782">
        <w:rPr>
          <w:lang w:val="en-US"/>
        </w:rPr>
        <w:t xml:space="preserve">with an average increase of 0.5% y-o-y during Q2 of 2019. </w:t>
      </w:r>
      <w:r w:rsidR="00B22782" w:rsidRPr="00B22782">
        <w:rPr>
          <w:lang w:val="en-US"/>
        </w:rPr>
        <w:t xml:space="preserve">Factory output </w:t>
      </w:r>
      <w:r w:rsidR="00DF7A57" w:rsidRPr="00B22782">
        <w:rPr>
          <w:lang w:val="en-US"/>
        </w:rPr>
        <w:t xml:space="preserve">contracted by 0.9% q-o-q in Q1 of 2019 </w:t>
      </w:r>
      <w:r w:rsidR="00B22782" w:rsidRPr="00B22782">
        <w:rPr>
          <w:lang w:val="en-US"/>
        </w:rPr>
        <w:t xml:space="preserve">and declined by another </w:t>
      </w:r>
      <w:r w:rsidR="00DF7A57" w:rsidRPr="00B22782">
        <w:rPr>
          <w:lang w:val="en-US"/>
        </w:rPr>
        <w:t>0.2% q-o-q in the following quarter.</w:t>
      </w:r>
      <w:r w:rsidR="00DF7A57" w:rsidRPr="00B22782">
        <w:rPr>
          <w:rStyle w:val="EndnoteReference"/>
          <w:lang w:val="en-US"/>
        </w:rPr>
        <w:endnoteReference w:id="8"/>
      </w:r>
      <w:r w:rsidR="00DF7A57" w:rsidRPr="00B22782">
        <w:rPr>
          <w:lang w:val="en-US"/>
        </w:rPr>
        <w:t xml:space="preserve"> </w:t>
      </w:r>
    </w:p>
    <w:p w14:paraId="4206A81B" w14:textId="2E8CD283" w:rsidR="00DF7A57" w:rsidRPr="007179A7" w:rsidRDefault="00DF7A57" w:rsidP="00C5267D">
      <w:pPr>
        <w:rPr>
          <w:lang w:val="en-US"/>
        </w:rPr>
      </w:pPr>
      <w:r w:rsidRPr="00B22782">
        <w:rPr>
          <w:lang w:val="en-US"/>
        </w:rPr>
        <w:t xml:space="preserve">The improvement in manufacturing </w:t>
      </w:r>
      <w:r w:rsidR="00B22782" w:rsidRPr="00B22782">
        <w:rPr>
          <w:lang w:val="en-US"/>
        </w:rPr>
        <w:t xml:space="preserve">conditions </w:t>
      </w:r>
      <w:r w:rsidRPr="00B22782">
        <w:rPr>
          <w:lang w:val="en-US"/>
        </w:rPr>
        <w:t xml:space="preserve">is </w:t>
      </w:r>
      <w:r w:rsidR="00B22782" w:rsidRPr="00B22782">
        <w:rPr>
          <w:lang w:val="en-US"/>
        </w:rPr>
        <w:t xml:space="preserve">largely </w:t>
      </w:r>
      <w:r w:rsidRPr="00B22782">
        <w:rPr>
          <w:lang w:val="en-US"/>
        </w:rPr>
        <w:t xml:space="preserve">due to </w:t>
      </w:r>
      <w:r w:rsidR="00B22782" w:rsidRPr="00B22782">
        <w:rPr>
          <w:lang w:val="en-US"/>
        </w:rPr>
        <w:t xml:space="preserve">a decline in electricity </w:t>
      </w:r>
      <w:r w:rsidRPr="00B22782">
        <w:rPr>
          <w:lang w:val="en-US"/>
        </w:rPr>
        <w:t>loadshedding</w:t>
      </w:r>
      <w:r w:rsidR="00B22782" w:rsidRPr="00B22782">
        <w:rPr>
          <w:lang w:val="en-US"/>
        </w:rPr>
        <w:t xml:space="preserve"> which enabled more stability in production activity. A stronger improvement in the factory sector was limited by </w:t>
      </w:r>
      <w:r w:rsidR="00F7301C">
        <w:rPr>
          <w:lang w:val="en-US"/>
        </w:rPr>
        <w:t>t</w:t>
      </w:r>
      <w:r w:rsidRPr="00B22782">
        <w:rPr>
          <w:lang w:val="en-US"/>
        </w:rPr>
        <w:t>he lack of sustained demand</w:t>
      </w:r>
      <w:r w:rsidR="00B22782" w:rsidRPr="00B22782">
        <w:rPr>
          <w:lang w:val="en-US"/>
        </w:rPr>
        <w:t xml:space="preserve">. </w:t>
      </w:r>
      <w:r w:rsidR="00F7301C">
        <w:rPr>
          <w:lang w:val="en-US"/>
        </w:rPr>
        <w:t xml:space="preserve">Locally, the </w:t>
      </w:r>
      <w:r w:rsidRPr="00B22782">
        <w:rPr>
          <w:lang w:val="en-US"/>
        </w:rPr>
        <w:t>consumer remains under pressure, with unemployment sitting at 29%, while globally lingering trade war tensions impede export</w:t>
      </w:r>
      <w:r w:rsidR="00B22782" w:rsidRPr="00B22782">
        <w:rPr>
          <w:lang w:val="en-US"/>
        </w:rPr>
        <w:t>s</w:t>
      </w:r>
      <w:r w:rsidRPr="00B22782">
        <w:rPr>
          <w:lang w:val="en-US"/>
        </w:rPr>
        <w:t>.</w:t>
      </w:r>
      <w:r w:rsidRPr="00B22782">
        <w:rPr>
          <w:rStyle w:val="EndnoteReference"/>
          <w:lang w:val="en-US"/>
        </w:rPr>
        <w:t xml:space="preserve"> </w:t>
      </w:r>
      <w:r w:rsidRPr="00B22782">
        <w:rPr>
          <w:rStyle w:val="EndnoteReference"/>
          <w:lang w:val="en-US"/>
        </w:rPr>
        <w:endnoteReference w:id="9"/>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096675" w14:paraId="215C4DD0" w14:textId="77777777" w:rsidTr="00C4312E">
        <w:trPr>
          <w:trHeight w:val="1101"/>
        </w:trPr>
        <w:tc>
          <w:tcPr>
            <w:tcW w:w="8782" w:type="dxa"/>
            <w:vAlign w:val="bottom"/>
          </w:tcPr>
          <w:p w14:paraId="3E75A071" w14:textId="3E8803D2" w:rsidR="006B75E5" w:rsidRPr="00096675" w:rsidRDefault="00CA28BC" w:rsidP="00CF5AE7">
            <w:pPr>
              <w:pStyle w:val="Heading2"/>
              <w:outlineLvl w:val="1"/>
            </w:pPr>
            <w:bookmarkStart w:id="6" w:name="_Toc18408708"/>
            <w:r w:rsidRPr="00096675">
              <w:t>Mining production improve</w:t>
            </w:r>
            <w:r w:rsidR="00096675">
              <w:t>s as iron ore price boost buoys output</w:t>
            </w:r>
            <w:bookmarkEnd w:id="6"/>
          </w:p>
        </w:tc>
        <w:tc>
          <w:tcPr>
            <w:tcW w:w="1278" w:type="dxa"/>
            <w:vAlign w:val="bottom"/>
          </w:tcPr>
          <w:p w14:paraId="4198E37F" w14:textId="0FE15D0E" w:rsidR="006B75E5" w:rsidRPr="00096675" w:rsidRDefault="006B75E5" w:rsidP="00C4312E">
            <w:pPr>
              <w:jc w:val="center"/>
              <w:rPr>
                <w:lang w:val="en-US"/>
              </w:rPr>
            </w:pPr>
            <w:r w:rsidRPr="00096675">
              <w:rPr>
                <w:noProof/>
                <w:lang w:eastAsia="en-ZA"/>
              </w:rPr>
              <w:drawing>
                <wp:inline distT="0" distB="0" distL="0" distR="0" wp14:anchorId="3C98C1E6" wp14:editId="71561E9D">
                  <wp:extent cx="612140" cy="61214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14B45770" w14:textId="47313FE7" w:rsidR="00CA28BC" w:rsidRPr="00096675" w:rsidRDefault="006B75E5" w:rsidP="002339D2">
      <w:pPr>
        <w:jc w:val="both"/>
        <w:rPr>
          <w:rFonts w:asciiTheme="majorHAnsi" w:hAnsiTheme="majorHAnsi"/>
          <w:lang w:val="en-US"/>
        </w:rPr>
      </w:pPr>
      <w:r w:rsidRPr="00096675">
        <w:rPr>
          <w:noProof/>
          <w:lang w:val="en-US"/>
        </w:rPr>
        <w:drawing>
          <wp:anchor distT="0" distB="0" distL="114300" distR="114300" simplePos="0" relativeHeight="251980800" behindDoc="0" locked="0" layoutInCell="1" allowOverlap="1" wp14:anchorId="7889F34C" wp14:editId="4427D55E">
            <wp:simplePos x="0" y="0"/>
            <wp:positionH relativeFrom="column">
              <wp:posOffset>-635</wp:posOffset>
            </wp:positionH>
            <wp:positionV relativeFrom="paragraph">
              <wp:posOffset>65709</wp:posOffset>
            </wp:positionV>
            <wp:extent cx="3042285" cy="22860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anchor>
        </w:drawing>
      </w:r>
      <w:r w:rsidR="00B22782" w:rsidRPr="00096675">
        <w:rPr>
          <w:rFonts w:asciiTheme="majorHAnsi" w:hAnsiTheme="majorHAnsi"/>
          <w:lang w:val="en-US"/>
        </w:rPr>
        <w:t>M</w:t>
      </w:r>
      <w:r w:rsidR="00CA28BC" w:rsidRPr="00096675">
        <w:rPr>
          <w:rFonts w:asciiTheme="majorHAnsi" w:hAnsiTheme="majorHAnsi"/>
          <w:lang w:val="en-US"/>
        </w:rPr>
        <w:t>ining production volume</w:t>
      </w:r>
      <w:r w:rsidR="00B22782" w:rsidRPr="00096675">
        <w:rPr>
          <w:rFonts w:asciiTheme="majorHAnsi" w:hAnsiTheme="majorHAnsi"/>
          <w:lang w:val="en-US"/>
        </w:rPr>
        <w:t>s</w:t>
      </w:r>
      <w:r w:rsidR="00CA28BC" w:rsidRPr="00096675">
        <w:rPr>
          <w:rFonts w:asciiTheme="majorHAnsi" w:hAnsiTheme="majorHAnsi"/>
          <w:lang w:val="en-US"/>
        </w:rPr>
        <w:t xml:space="preserve"> contracted by 4.2% y-o-y in June after decreasing by 1.5% y-o-y in May, </w:t>
      </w:r>
      <w:r w:rsidR="00B22782" w:rsidRPr="00096675">
        <w:rPr>
          <w:rFonts w:asciiTheme="majorHAnsi" w:hAnsiTheme="majorHAnsi"/>
          <w:lang w:val="en-US"/>
        </w:rPr>
        <w:t xml:space="preserve">with the </w:t>
      </w:r>
      <w:r w:rsidR="00CA28BC" w:rsidRPr="00096675">
        <w:rPr>
          <w:rFonts w:asciiTheme="majorHAnsi" w:hAnsiTheme="majorHAnsi"/>
          <w:lang w:val="en-US"/>
        </w:rPr>
        <w:t>second quarter experienc</w:t>
      </w:r>
      <w:r w:rsidR="00B22782" w:rsidRPr="00096675">
        <w:rPr>
          <w:rFonts w:asciiTheme="majorHAnsi" w:hAnsiTheme="majorHAnsi"/>
          <w:lang w:val="en-US"/>
        </w:rPr>
        <w:t xml:space="preserve">ing </w:t>
      </w:r>
      <w:r w:rsidR="00CA28BC" w:rsidRPr="00096675">
        <w:rPr>
          <w:rFonts w:asciiTheme="majorHAnsi" w:hAnsiTheme="majorHAnsi"/>
          <w:lang w:val="en-US"/>
        </w:rPr>
        <w:t xml:space="preserve">an average decrease of 2.3% y-o-y. </w:t>
      </w:r>
      <w:r w:rsidR="00B22782" w:rsidRPr="00096675">
        <w:rPr>
          <w:rFonts w:asciiTheme="majorHAnsi" w:hAnsiTheme="majorHAnsi"/>
          <w:lang w:val="en-US"/>
        </w:rPr>
        <w:t xml:space="preserve">This was however a smaller contraction than seen in Q1 of 2019. </w:t>
      </w:r>
      <w:r w:rsidR="00096675" w:rsidRPr="00096675">
        <w:rPr>
          <w:rFonts w:asciiTheme="majorHAnsi" w:hAnsiTheme="majorHAnsi"/>
          <w:lang w:val="en-US"/>
        </w:rPr>
        <w:t>A 1.9% q-o-q expansion in production enabled this slowdown in the y-o-y decline.</w:t>
      </w:r>
      <w:r w:rsidR="00CA28BC" w:rsidRPr="00096675">
        <w:rPr>
          <w:rStyle w:val="EndnoteReference"/>
          <w:rFonts w:asciiTheme="majorHAnsi" w:hAnsiTheme="majorHAnsi"/>
          <w:lang w:val="en-US"/>
        </w:rPr>
        <w:endnoteReference w:id="10"/>
      </w:r>
      <w:r w:rsidR="00CA28BC" w:rsidRPr="00096675">
        <w:rPr>
          <w:rFonts w:asciiTheme="majorHAnsi" w:hAnsiTheme="majorHAnsi"/>
          <w:lang w:val="en-US"/>
        </w:rPr>
        <w:t xml:space="preserve"> </w:t>
      </w:r>
    </w:p>
    <w:p w14:paraId="658B0E2B" w14:textId="6E4ECE79" w:rsidR="00CA28BC" w:rsidRDefault="00CA28BC" w:rsidP="00C5267D">
      <w:pPr>
        <w:rPr>
          <w:rFonts w:asciiTheme="majorHAnsi" w:hAnsiTheme="majorHAnsi"/>
          <w:lang w:val="en-US"/>
        </w:rPr>
      </w:pPr>
      <w:r w:rsidRPr="00096675">
        <w:rPr>
          <w:rFonts w:asciiTheme="majorHAnsi" w:hAnsiTheme="majorHAnsi"/>
          <w:lang w:val="en-US"/>
        </w:rPr>
        <w:t xml:space="preserve">Mining production </w:t>
      </w:r>
      <w:r w:rsidR="00096675" w:rsidRPr="00096675">
        <w:rPr>
          <w:rFonts w:asciiTheme="majorHAnsi" w:hAnsiTheme="majorHAnsi"/>
          <w:lang w:val="en-US"/>
        </w:rPr>
        <w:t xml:space="preserve">has </w:t>
      </w:r>
      <w:r w:rsidRPr="00096675">
        <w:rPr>
          <w:rFonts w:asciiTheme="majorHAnsi" w:hAnsiTheme="majorHAnsi"/>
          <w:lang w:val="en-US"/>
        </w:rPr>
        <w:t xml:space="preserve">improved from </w:t>
      </w:r>
      <w:r w:rsidR="00096675" w:rsidRPr="00096675">
        <w:rPr>
          <w:rFonts w:asciiTheme="majorHAnsi" w:hAnsiTheme="majorHAnsi"/>
          <w:lang w:val="en-US"/>
        </w:rPr>
        <w:t xml:space="preserve">the </w:t>
      </w:r>
      <w:r w:rsidRPr="00096675">
        <w:rPr>
          <w:rFonts w:asciiTheme="majorHAnsi" w:hAnsiTheme="majorHAnsi"/>
          <w:lang w:val="en-US"/>
        </w:rPr>
        <w:t xml:space="preserve">first quarter’s performance through </w:t>
      </w:r>
      <w:r w:rsidR="00096675" w:rsidRPr="00096675">
        <w:rPr>
          <w:rFonts w:asciiTheme="majorHAnsi" w:hAnsiTheme="majorHAnsi"/>
          <w:lang w:val="en-US"/>
        </w:rPr>
        <w:t xml:space="preserve">greater </w:t>
      </w:r>
      <w:r w:rsidRPr="00096675">
        <w:rPr>
          <w:rFonts w:asciiTheme="majorHAnsi" w:hAnsiTheme="majorHAnsi"/>
          <w:lang w:val="en-US"/>
        </w:rPr>
        <w:t xml:space="preserve">stability in regulatory and operational </w:t>
      </w:r>
      <w:r w:rsidR="00096675" w:rsidRPr="00096675">
        <w:rPr>
          <w:rFonts w:asciiTheme="majorHAnsi" w:hAnsiTheme="majorHAnsi"/>
          <w:lang w:val="en-US"/>
        </w:rPr>
        <w:t xml:space="preserve">aspects. Another key factor has been the </w:t>
      </w:r>
      <w:r w:rsidRPr="00096675">
        <w:rPr>
          <w:rFonts w:asciiTheme="majorHAnsi" w:hAnsiTheme="majorHAnsi" w:cs="Helvetica"/>
          <w:color w:val="000000"/>
          <w:shd w:val="clear" w:color="auto" w:fill="FFFFFF"/>
        </w:rPr>
        <w:t>growth of iron ore production which was helped by the drastic change in the price of the raw material</w:t>
      </w:r>
      <w:r w:rsidR="00096675" w:rsidRPr="00096675">
        <w:rPr>
          <w:rFonts w:asciiTheme="majorHAnsi" w:hAnsiTheme="majorHAnsi" w:cs="Helvetica"/>
          <w:color w:val="000000"/>
          <w:shd w:val="clear" w:color="auto" w:fill="FFFFFF"/>
        </w:rPr>
        <w:t>: iron ore prices have increased by more than 75% over the past year.</w:t>
      </w:r>
      <w:r w:rsidRPr="00096675">
        <w:rPr>
          <w:rStyle w:val="EndnoteReference"/>
          <w:rFonts w:asciiTheme="majorHAnsi" w:hAnsiTheme="majorHAnsi"/>
          <w:lang w:val="en-US"/>
        </w:rPr>
        <w:endnoteReference w:id="11"/>
      </w:r>
      <w:r w:rsidRPr="00CA28BC">
        <w:rPr>
          <w:rFonts w:asciiTheme="majorHAnsi" w:hAnsiTheme="majorHAnsi"/>
          <w:lang w:val="en-US"/>
        </w:rPr>
        <w:t xml:space="preserve">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096675" w14:paraId="283331DB" w14:textId="77777777" w:rsidTr="00C4312E">
        <w:trPr>
          <w:trHeight w:val="1101"/>
        </w:trPr>
        <w:tc>
          <w:tcPr>
            <w:tcW w:w="8782" w:type="dxa"/>
            <w:vAlign w:val="bottom"/>
          </w:tcPr>
          <w:p w14:paraId="5C5FA903" w14:textId="38201642" w:rsidR="006B75E5" w:rsidRPr="00096675" w:rsidRDefault="006B75E5" w:rsidP="00CF5AE7">
            <w:pPr>
              <w:pStyle w:val="Heading2"/>
              <w:outlineLvl w:val="1"/>
            </w:pPr>
            <w:r w:rsidRPr="00096675">
              <w:lastRenderedPageBreak/>
              <w:t xml:space="preserve"> </w:t>
            </w:r>
            <w:bookmarkStart w:id="7" w:name="_Toc18408709"/>
            <w:r w:rsidR="00CA28BC" w:rsidRPr="00096675">
              <w:t xml:space="preserve">Electricity distribution improves </w:t>
            </w:r>
            <w:r w:rsidR="00096675" w:rsidRPr="00096675">
              <w:t xml:space="preserve">after </w:t>
            </w:r>
            <w:r w:rsidR="00096675">
              <w:t xml:space="preserve">end to </w:t>
            </w:r>
            <w:r w:rsidR="00CA28BC" w:rsidRPr="00096675">
              <w:t>loadshedding</w:t>
            </w:r>
            <w:bookmarkEnd w:id="7"/>
          </w:p>
        </w:tc>
        <w:tc>
          <w:tcPr>
            <w:tcW w:w="1278" w:type="dxa"/>
            <w:vAlign w:val="bottom"/>
          </w:tcPr>
          <w:p w14:paraId="5CE3BF6A" w14:textId="3F93A67A" w:rsidR="006B75E5" w:rsidRPr="00096675" w:rsidRDefault="006B75E5" w:rsidP="00C4312E">
            <w:pPr>
              <w:jc w:val="center"/>
              <w:rPr>
                <w:lang w:val="en-US"/>
              </w:rPr>
            </w:pPr>
            <w:r w:rsidRPr="00096675">
              <w:rPr>
                <w:noProof/>
                <w:lang w:eastAsia="en-ZA"/>
              </w:rPr>
              <w:drawing>
                <wp:inline distT="0" distB="0" distL="0" distR="0" wp14:anchorId="78F96D8B" wp14:editId="1E871740">
                  <wp:extent cx="612140" cy="612140"/>
                  <wp:effectExtent l="0" t="0" r="0" b="0"/>
                  <wp:docPr id="51088" name="Picture 5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1EB0F298" w14:textId="622C8949" w:rsidR="00CA28BC" w:rsidRPr="00096675" w:rsidRDefault="006B75E5" w:rsidP="002339D2">
      <w:pPr>
        <w:jc w:val="both"/>
        <w:rPr>
          <w:lang w:val="en-US"/>
        </w:rPr>
      </w:pPr>
      <w:r w:rsidRPr="00096675">
        <w:rPr>
          <w:noProof/>
          <w:lang w:val="en-US"/>
        </w:rPr>
        <w:drawing>
          <wp:anchor distT="0" distB="0" distL="114300" distR="114300" simplePos="0" relativeHeight="251981824" behindDoc="0" locked="0" layoutInCell="1" allowOverlap="1" wp14:anchorId="08F20406" wp14:editId="06CDA20F">
            <wp:simplePos x="0" y="0"/>
            <wp:positionH relativeFrom="column">
              <wp:posOffset>-635</wp:posOffset>
            </wp:positionH>
            <wp:positionV relativeFrom="paragraph">
              <wp:posOffset>7289</wp:posOffset>
            </wp:positionV>
            <wp:extent cx="3048000" cy="22860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anchor>
        </w:drawing>
      </w:r>
      <w:r w:rsidR="00CA28BC" w:rsidRPr="00096675">
        <w:rPr>
          <w:lang w:val="en-US"/>
        </w:rPr>
        <w:t>Electrical distribution (measured in gigawatt hours) i</w:t>
      </w:r>
      <w:r w:rsidR="00096675" w:rsidRPr="00096675">
        <w:rPr>
          <w:lang w:val="en-US"/>
        </w:rPr>
        <w:t xml:space="preserve">ncreased </w:t>
      </w:r>
      <w:r w:rsidR="00CA28BC" w:rsidRPr="00096675">
        <w:rPr>
          <w:lang w:val="en-US"/>
        </w:rPr>
        <w:t>by 0.1% y-o-y in June after declining by 0.6% y-o-y in May, with a</w:t>
      </w:r>
      <w:r w:rsidR="00096675" w:rsidRPr="00096675">
        <w:rPr>
          <w:lang w:val="en-US"/>
        </w:rPr>
        <w:t xml:space="preserve">n average increased of </w:t>
      </w:r>
      <w:r w:rsidR="00CA28BC" w:rsidRPr="00096675">
        <w:rPr>
          <w:lang w:val="en-US"/>
        </w:rPr>
        <w:t>0.4% y-o-y during Q2 of 2019. On a</w:t>
      </w:r>
      <w:r w:rsidR="00096675" w:rsidRPr="00096675">
        <w:rPr>
          <w:lang w:val="en-US"/>
        </w:rPr>
        <w:t xml:space="preserve"> </w:t>
      </w:r>
      <w:r w:rsidR="00CA28BC" w:rsidRPr="00096675">
        <w:rPr>
          <w:lang w:val="en-US"/>
        </w:rPr>
        <w:t>quarter-to-quarter basis, an increase of 0.6% q-o-q was recorded</w:t>
      </w:r>
      <w:r w:rsidR="00096675" w:rsidRPr="00096675">
        <w:rPr>
          <w:lang w:val="en-US"/>
        </w:rPr>
        <w:t xml:space="preserve"> in Q2 of 2019 compared to a decline of 0.9% q-o-q- in the first quarter</w:t>
      </w:r>
      <w:r w:rsidR="00CA28BC" w:rsidRPr="00096675">
        <w:rPr>
          <w:rStyle w:val="EndnoteReference"/>
          <w:lang w:val="en-US"/>
        </w:rPr>
        <w:endnoteReference w:id="12"/>
      </w:r>
    </w:p>
    <w:p w14:paraId="05576A65" w14:textId="7EF5B37E" w:rsidR="00CA28BC" w:rsidRDefault="00CA28BC" w:rsidP="00C5267D">
      <w:pPr>
        <w:rPr>
          <w:lang w:val="en-US"/>
        </w:rPr>
      </w:pPr>
      <w:r w:rsidRPr="00096675">
        <w:rPr>
          <w:lang w:val="en-US"/>
        </w:rPr>
        <w:t xml:space="preserve">The improvement in electrical distribution was mainly due to the lack of loadshedding that has occurred </w:t>
      </w:r>
      <w:r w:rsidR="00096675" w:rsidRPr="00096675">
        <w:rPr>
          <w:lang w:val="en-US"/>
        </w:rPr>
        <w:t xml:space="preserve">during the second quarter. The sector has benefitted from support in the form of the </w:t>
      </w:r>
      <w:r w:rsidRPr="00096675">
        <w:rPr>
          <w:rFonts w:asciiTheme="majorHAnsi" w:hAnsiTheme="majorHAnsi" w:cs="Helvetica"/>
          <w:color w:val="000000"/>
          <w:shd w:val="clear" w:color="auto" w:fill="FFFFFF"/>
        </w:rPr>
        <w:t>government’s nine-point turnaround plan that was implemented</w:t>
      </w:r>
      <w:r w:rsidR="00096675" w:rsidRPr="00096675">
        <w:rPr>
          <w:rFonts w:asciiTheme="majorHAnsi" w:hAnsiTheme="majorHAnsi" w:cs="Helvetica"/>
          <w:color w:val="000000"/>
          <w:shd w:val="clear" w:color="auto" w:fill="FFFFFF"/>
        </w:rPr>
        <w:t xml:space="preserve"> since late-2018.</w:t>
      </w:r>
      <w:r w:rsidRPr="00096675">
        <w:rPr>
          <w:rStyle w:val="EndnoteReference"/>
          <w:lang w:val="en-US"/>
        </w:rPr>
        <w:endnoteReference w:id="13"/>
      </w:r>
      <w:r>
        <w:rPr>
          <w:lang w:val="en-US"/>
        </w:rPr>
        <w:t xml:space="preserve">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D3246B" w14:paraId="5C02F1D6" w14:textId="77777777" w:rsidTr="00C4312E">
        <w:trPr>
          <w:trHeight w:val="1101"/>
        </w:trPr>
        <w:tc>
          <w:tcPr>
            <w:tcW w:w="8782" w:type="dxa"/>
            <w:vAlign w:val="bottom"/>
          </w:tcPr>
          <w:p w14:paraId="777CDEC2" w14:textId="6BBBCE1A" w:rsidR="006B75E5" w:rsidRPr="00D3246B" w:rsidRDefault="006B75E5" w:rsidP="00CF5AE7">
            <w:pPr>
              <w:pStyle w:val="Heading2"/>
              <w:outlineLvl w:val="1"/>
            </w:pPr>
            <w:bookmarkStart w:id="8" w:name="_Toc18408710"/>
            <w:r w:rsidRPr="00D3246B">
              <w:t>Passenger vehicle sales continue recent volatile trend</w:t>
            </w:r>
            <w:bookmarkEnd w:id="8"/>
          </w:p>
        </w:tc>
        <w:tc>
          <w:tcPr>
            <w:tcW w:w="1278" w:type="dxa"/>
            <w:vAlign w:val="bottom"/>
          </w:tcPr>
          <w:p w14:paraId="0C7ABF20" w14:textId="75FAEA2E" w:rsidR="006B75E5" w:rsidRPr="00D3246B" w:rsidRDefault="006B75E5" w:rsidP="00C4312E">
            <w:pPr>
              <w:jc w:val="center"/>
              <w:rPr>
                <w:lang w:val="en-US"/>
              </w:rPr>
            </w:pPr>
            <w:r w:rsidRPr="00D3246B">
              <w:rPr>
                <w:noProof/>
                <w:lang w:eastAsia="en-ZA"/>
              </w:rPr>
              <w:drawing>
                <wp:inline distT="0" distB="0" distL="0" distR="0" wp14:anchorId="4FF6C718" wp14:editId="73895125">
                  <wp:extent cx="612140" cy="612140"/>
                  <wp:effectExtent l="0" t="0" r="0" b="0"/>
                  <wp:docPr id="51092" name="Picture 5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088EE85A" w14:textId="45FFD28E" w:rsidR="006B75E5" w:rsidRPr="00D3246B" w:rsidRDefault="006B75E5" w:rsidP="002339D2">
      <w:pPr>
        <w:jc w:val="both"/>
        <w:rPr>
          <w:lang w:val="en-US"/>
        </w:rPr>
      </w:pPr>
      <w:r w:rsidRPr="00D3246B">
        <w:rPr>
          <w:noProof/>
          <w:lang w:val="en-US"/>
        </w:rPr>
        <w:drawing>
          <wp:anchor distT="0" distB="0" distL="114300" distR="114300" simplePos="0" relativeHeight="251982848" behindDoc="0" locked="0" layoutInCell="1" allowOverlap="1" wp14:anchorId="4ADE4627" wp14:editId="0F3A2DE8">
            <wp:simplePos x="0" y="0"/>
            <wp:positionH relativeFrom="column">
              <wp:posOffset>-635</wp:posOffset>
            </wp:positionH>
            <wp:positionV relativeFrom="paragraph">
              <wp:posOffset>76504</wp:posOffset>
            </wp:positionV>
            <wp:extent cx="3042285" cy="2286000"/>
            <wp:effectExtent l="0" t="0" r="0" b="0"/>
            <wp:wrapSquare wrapText="bothSides"/>
            <wp:docPr id="51072" name="Picture 5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2285" cy="2286000"/>
                    </a:xfrm>
                    <a:prstGeom prst="rect">
                      <a:avLst/>
                    </a:prstGeom>
                    <a:noFill/>
                  </pic:spPr>
                </pic:pic>
              </a:graphicData>
            </a:graphic>
          </wp:anchor>
        </w:drawing>
      </w:r>
      <w:r w:rsidRPr="00D3246B">
        <w:rPr>
          <w:lang w:val="en-US"/>
        </w:rPr>
        <w:t>The number of new vehicles sold increased by 0.3% y-o-y in May and declined by 1.8% y-o-y in June. However, due to a 6.6% y-o-y increase in April, sales were an average of 1.7% y-o-y higher during Q2 of 2019. On a quarter-to-quarter basis, vehicle sales increased by 7.7% q-o-q, compared to a 7.7% q-o-q decline in the first quarter.</w:t>
      </w:r>
      <w:r w:rsidRPr="00D3246B">
        <w:rPr>
          <w:rStyle w:val="EndnoteReference"/>
          <w:lang w:val="en-US"/>
        </w:rPr>
        <w:endnoteReference w:id="14"/>
      </w:r>
      <w:r w:rsidRPr="00D3246B">
        <w:rPr>
          <w:lang w:val="en-US"/>
        </w:rPr>
        <w:t xml:space="preserve"> </w:t>
      </w:r>
    </w:p>
    <w:p w14:paraId="28ECFC62" w14:textId="4F703E0F" w:rsidR="006B75E5" w:rsidRPr="00D3246B" w:rsidRDefault="006B75E5" w:rsidP="00C5267D">
      <w:pPr>
        <w:spacing w:before="240"/>
        <w:rPr>
          <w:lang w:val="en-US"/>
        </w:rPr>
      </w:pPr>
      <w:r w:rsidRPr="00D3246B">
        <w:rPr>
          <w:lang w:val="en-US"/>
        </w:rPr>
        <w:t>Vehicle sales have been volatile in 2019 so far, and the only real discernable trend in the market is the continued financial pressure on both consumers and businesses. For example, both segments were planning for increased electricity and other administered pries during Q3 of 2019.</w:t>
      </w:r>
      <w:r w:rsidRPr="00D3246B">
        <w:rPr>
          <w:rStyle w:val="EndnoteReference"/>
          <w:lang w:val="en-US"/>
        </w:rPr>
        <w:endnoteReference w:id="15"/>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D3246B" w14:paraId="40B89AF6" w14:textId="77777777" w:rsidTr="00C4312E">
        <w:trPr>
          <w:trHeight w:val="1101"/>
        </w:trPr>
        <w:tc>
          <w:tcPr>
            <w:tcW w:w="8782" w:type="dxa"/>
            <w:vAlign w:val="bottom"/>
          </w:tcPr>
          <w:p w14:paraId="2E10968A" w14:textId="4D4B1ACD" w:rsidR="006B75E5" w:rsidRPr="00D3246B" w:rsidRDefault="006B75E5" w:rsidP="00CF5AE7">
            <w:pPr>
              <w:pStyle w:val="Heading2"/>
              <w:outlineLvl w:val="1"/>
            </w:pPr>
            <w:bookmarkStart w:id="9" w:name="_Toc18408711"/>
            <w:r w:rsidRPr="00D3246B">
              <w:t>Private sector credit extension shows continued improvement</w:t>
            </w:r>
            <w:bookmarkEnd w:id="9"/>
          </w:p>
        </w:tc>
        <w:tc>
          <w:tcPr>
            <w:tcW w:w="1278" w:type="dxa"/>
            <w:vAlign w:val="bottom"/>
          </w:tcPr>
          <w:p w14:paraId="4D6BEEE5" w14:textId="22B22128" w:rsidR="006B75E5" w:rsidRPr="00D3246B" w:rsidRDefault="006B75E5" w:rsidP="00C4312E">
            <w:pPr>
              <w:jc w:val="center"/>
              <w:rPr>
                <w:lang w:val="en-US"/>
              </w:rPr>
            </w:pPr>
            <w:r w:rsidRPr="00D3246B">
              <w:rPr>
                <w:noProof/>
                <w:lang w:eastAsia="en-ZA"/>
              </w:rPr>
              <w:drawing>
                <wp:inline distT="0" distB="0" distL="0" distR="0" wp14:anchorId="387A2926" wp14:editId="15741E11">
                  <wp:extent cx="612140" cy="612140"/>
                  <wp:effectExtent l="0" t="0" r="0" b="0"/>
                  <wp:docPr id="51098" name="Picture 5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6AEF690F" w14:textId="1F18FF76" w:rsidR="006B75E5" w:rsidRPr="00D3246B" w:rsidRDefault="006B75E5" w:rsidP="002339D2">
      <w:pPr>
        <w:jc w:val="both"/>
        <w:rPr>
          <w:lang w:val="en-US"/>
        </w:rPr>
      </w:pPr>
      <w:r w:rsidRPr="00D3246B">
        <w:rPr>
          <w:noProof/>
          <w:lang w:val="en-US"/>
        </w:rPr>
        <w:drawing>
          <wp:anchor distT="0" distB="0" distL="114300" distR="114300" simplePos="0" relativeHeight="251983872" behindDoc="0" locked="0" layoutInCell="1" allowOverlap="1" wp14:anchorId="57D79920" wp14:editId="41E591D9">
            <wp:simplePos x="0" y="0"/>
            <wp:positionH relativeFrom="column">
              <wp:posOffset>-635</wp:posOffset>
            </wp:positionH>
            <wp:positionV relativeFrom="paragraph">
              <wp:posOffset>72059</wp:posOffset>
            </wp:positionV>
            <wp:extent cx="3042285" cy="2292350"/>
            <wp:effectExtent l="0" t="0" r="0" b="0"/>
            <wp:wrapSquare wrapText="bothSides"/>
            <wp:docPr id="51073" name="Picture 5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285" cy="2292350"/>
                    </a:xfrm>
                    <a:prstGeom prst="rect">
                      <a:avLst/>
                    </a:prstGeom>
                    <a:noFill/>
                  </pic:spPr>
                </pic:pic>
              </a:graphicData>
            </a:graphic>
          </wp:anchor>
        </w:drawing>
      </w:r>
      <w:r w:rsidRPr="00D3246B">
        <w:rPr>
          <w:lang w:val="en-US"/>
        </w:rPr>
        <w:t>The nominal value of private sector credit expanded by 7.7&amp; y-o-y in May and 6.9% y-o-y in June, with an average increase of 7.5% y-o-y in Q2 of 2019. This was a stronger pace compared to an increase of 6.2% y-o-y in Q1 of 2019. On a quarter-to-quarter basis, private sector credit growth increased from 1.5% q-o-q in Q1 of 2019 to 2.2% q-o-q in the most recent quarter.</w:t>
      </w:r>
      <w:r w:rsidRPr="00D3246B">
        <w:rPr>
          <w:rStyle w:val="EndnoteReference"/>
          <w:lang w:val="en-US"/>
        </w:rPr>
        <w:t xml:space="preserve"> </w:t>
      </w:r>
      <w:r w:rsidRPr="00D3246B">
        <w:rPr>
          <w:rStyle w:val="EndnoteReference"/>
          <w:lang w:val="en-US"/>
        </w:rPr>
        <w:endnoteReference w:id="16"/>
      </w:r>
    </w:p>
    <w:p w14:paraId="61B0CA54" w14:textId="429FA653" w:rsidR="006B75E5" w:rsidRDefault="006B75E5" w:rsidP="00C5267D">
      <w:pPr>
        <w:rPr>
          <w:lang w:val="en-US"/>
        </w:rPr>
      </w:pPr>
      <w:r w:rsidRPr="00D3246B">
        <w:rPr>
          <w:lang w:val="en-US"/>
        </w:rPr>
        <w:t>Private sector credit growth has seen an upward trend in loans to households and companies. From a corporate perspective, credit demand from the construction and real estate sectors have held up well despite challenges in the industry. Credit to the wholesale and retail trade sector has been under pressure,</w:t>
      </w:r>
      <w:r w:rsidRPr="00D3246B">
        <w:rPr>
          <w:rStyle w:val="EndnoteReference"/>
          <w:lang w:val="en-US"/>
        </w:rPr>
        <w:endnoteReference w:id="17"/>
      </w:r>
      <w:r w:rsidRPr="00D3246B">
        <w:rPr>
          <w:lang w:val="en-US"/>
        </w:rPr>
        <w:t xml:space="preserve"> with disappointing company results in this sector released in recent weeks.</w:t>
      </w:r>
      <w:r w:rsidRPr="00D3246B">
        <w:rPr>
          <w:rStyle w:val="EndnoteReference"/>
          <w:lang w:val="en-US"/>
        </w:rPr>
        <w:endnoteReference w:id="18"/>
      </w:r>
    </w:p>
    <w:p w14:paraId="5730AC2F" w14:textId="596F920C" w:rsidR="006B75E5" w:rsidRDefault="006B75E5" w:rsidP="00A4648A">
      <w:pPr>
        <w:jc w:val="both"/>
        <w:rPr>
          <w:rFonts w:cs="Arial"/>
          <w:color w:val="000000"/>
          <w:sz w:val="21"/>
          <w:szCs w:val="21"/>
          <w:shd w:val="clear" w:color="auto" w:fill="FFFFFF"/>
        </w:rPr>
      </w:pP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D3246B" w14:paraId="63C1CC91" w14:textId="77777777" w:rsidTr="00C4312E">
        <w:trPr>
          <w:trHeight w:val="1101"/>
        </w:trPr>
        <w:tc>
          <w:tcPr>
            <w:tcW w:w="8782" w:type="dxa"/>
            <w:vAlign w:val="bottom"/>
          </w:tcPr>
          <w:p w14:paraId="2B8C9C07" w14:textId="5821B9E1" w:rsidR="006B75E5" w:rsidRPr="00D3246B" w:rsidRDefault="00CA28BC" w:rsidP="0012767A">
            <w:pPr>
              <w:pStyle w:val="Heading2"/>
              <w:outlineLvl w:val="1"/>
            </w:pPr>
            <w:bookmarkStart w:id="10" w:name="_Toc18408712"/>
            <w:r w:rsidRPr="00D3246B">
              <w:lastRenderedPageBreak/>
              <w:t xml:space="preserve">Economic transactions no longer hampered by </w:t>
            </w:r>
            <w:r w:rsidR="00D3246B" w:rsidRPr="00D3246B">
              <w:t>l</w:t>
            </w:r>
            <w:r w:rsidRPr="00D3246B">
              <w:t>oadshedding</w:t>
            </w:r>
            <w:bookmarkEnd w:id="10"/>
          </w:p>
        </w:tc>
        <w:tc>
          <w:tcPr>
            <w:tcW w:w="1278" w:type="dxa"/>
            <w:vAlign w:val="bottom"/>
          </w:tcPr>
          <w:p w14:paraId="4C4A91A2" w14:textId="6BD87E02" w:rsidR="006B75E5" w:rsidRPr="00D3246B" w:rsidRDefault="006B75E5" w:rsidP="00C4312E">
            <w:pPr>
              <w:jc w:val="center"/>
              <w:rPr>
                <w:lang w:val="en-US"/>
              </w:rPr>
            </w:pPr>
            <w:r w:rsidRPr="00D3246B">
              <w:rPr>
                <w:noProof/>
                <w:lang w:eastAsia="en-ZA"/>
              </w:rPr>
              <w:drawing>
                <wp:inline distT="0" distB="0" distL="0" distR="0" wp14:anchorId="165FC8D3" wp14:editId="1540A3CC">
                  <wp:extent cx="612140" cy="612140"/>
                  <wp:effectExtent l="0" t="0" r="0" b="0"/>
                  <wp:docPr id="51299" name="Picture 5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0DFC4295" w14:textId="438CBDA1" w:rsidR="00CA28BC" w:rsidRPr="00D06CE5" w:rsidRDefault="006B75E5" w:rsidP="002339D2">
      <w:pPr>
        <w:jc w:val="both"/>
        <w:rPr>
          <w:lang w:val="en-US"/>
        </w:rPr>
      </w:pPr>
      <w:r w:rsidRPr="00D3246B">
        <w:rPr>
          <w:noProof/>
          <w:lang w:val="en-US"/>
        </w:rPr>
        <w:drawing>
          <wp:anchor distT="0" distB="0" distL="114300" distR="114300" simplePos="0" relativeHeight="251984896" behindDoc="0" locked="0" layoutInCell="1" allowOverlap="1" wp14:anchorId="7ABF2DA7" wp14:editId="066DF641">
            <wp:simplePos x="0" y="0"/>
            <wp:positionH relativeFrom="column">
              <wp:posOffset>-635</wp:posOffset>
            </wp:positionH>
            <wp:positionV relativeFrom="paragraph">
              <wp:posOffset>63169</wp:posOffset>
            </wp:positionV>
            <wp:extent cx="3048000" cy="2286000"/>
            <wp:effectExtent l="0" t="0" r="0" b="0"/>
            <wp:wrapSquare wrapText="bothSides"/>
            <wp:docPr id="51074" name="Picture 5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anchor>
        </w:drawing>
      </w:r>
      <w:r w:rsidR="00CA28BC" w:rsidRPr="00D3246B">
        <w:rPr>
          <w:lang w:val="en-US"/>
        </w:rPr>
        <w:t xml:space="preserve">The BankservAfrica Economic Transactions Index </w:t>
      </w:r>
      <w:r w:rsidR="00CA28BC" w:rsidRPr="00D06CE5">
        <w:rPr>
          <w:lang w:val="en-US"/>
        </w:rPr>
        <w:t xml:space="preserve">(BETI) increased by 8.1% y-o-y in June after declining by 1.2% y-o-y in May, with an average increase of 5.5% y-o-y during Q2 of 2019. On a quarterly basis, a </w:t>
      </w:r>
      <w:r w:rsidR="00D3246B" w:rsidRPr="00D06CE5">
        <w:rPr>
          <w:lang w:val="en-US"/>
        </w:rPr>
        <w:t xml:space="preserve">decline of </w:t>
      </w:r>
      <w:r w:rsidR="00CA28BC" w:rsidRPr="00D06CE5">
        <w:rPr>
          <w:lang w:val="en-US"/>
        </w:rPr>
        <w:t>4.5% q-o-q in Q</w:t>
      </w:r>
      <w:r w:rsidR="00D3246B" w:rsidRPr="00D06CE5">
        <w:rPr>
          <w:lang w:val="en-US"/>
        </w:rPr>
        <w:t>1</w:t>
      </w:r>
      <w:r w:rsidR="00CA28BC" w:rsidRPr="00D06CE5">
        <w:rPr>
          <w:lang w:val="en-US"/>
        </w:rPr>
        <w:t xml:space="preserve"> of 2019 </w:t>
      </w:r>
      <w:r w:rsidR="00D3246B" w:rsidRPr="00D06CE5">
        <w:rPr>
          <w:lang w:val="en-US"/>
        </w:rPr>
        <w:t xml:space="preserve">was </w:t>
      </w:r>
      <w:r w:rsidR="00CA28BC" w:rsidRPr="00D06CE5">
        <w:rPr>
          <w:lang w:val="en-US"/>
        </w:rPr>
        <w:t xml:space="preserve">followed by a 1.1% q-o-q increase in </w:t>
      </w:r>
      <w:r w:rsidR="00D3246B" w:rsidRPr="00D06CE5">
        <w:rPr>
          <w:lang w:val="en-US"/>
        </w:rPr>
        <w:t>the second quarter</w:t>
      </w:r>
      <w:r w:rsidR="00CA28BC" w:rsidRPr="00D06CE5">
        <w:rPr>
          <w:lang w:val="en-US"/>
        </w:rPr>
        <w:t>.</w:t>
      </w:r>
      <w:r w:rsidR="00CA28BC" w:rsidRPr="00D06CE5">
        <w:rPr>
          <w:rStyle w:val="EndnoteReference"/>
          <w:lang w:val="en-US"/>
        </w:rPr>
        <w:endnoteReference w:id="19"/>
      </w:r>
    </w:p>
    <w:p w14:paraId="21930115" w14:textId="7407B9D5" w:rsidR="00CA28BC" w:rsidRDefault="00CA28BC" w:rsidP="00C5267D">
      <w:r w:rsidRPr="00D06CE5">
        <w:rPr>
          <w:rFonts w:asciiTheme="majorHAnsi" w:hAnsiTheme="majorHAnsi"/>
          <w:lang w:val="en-US"/>
        </w:rPr>
        <w:t xml:space="preserve">This improvement in </w:t>
      </w:r>
      <w:r w:rsidR="00D06CE5" w:rsidRPr="00D06CE5">
        <w:rPr>
          <w:rFonts w:asciiTheme="majorHAnsi" w:hAnsiTheme="majorHAnsi"/>
          <w:lang w:val="en-US"/>
        </w:rPr>
        <w:t xml:space="preserve">the second quarter </w:t>
      </w:r>
      <w:r w:rsidRPr="00D06CE5">
        <w:rPr>
          <w:rFonts w:asciiTheme="majorHAnsi" w:hAnsiTheme="majorHAnsi"/>
          <w:lang w:val="en-US"/>
        </w:rPr>
        <w:t xml:space="preserve">was largely due to the lack of loadshedding hurting the South African economy and buyers’ ability to conclude electronic transactions. This </w:t>
      </w:r>
      <w:r w:rsidR="00D06CE5" w:rsidRPr="00D06CE5">
        <w:rPr>
          <w:rFonts w:asciiTheme="majorHAnsi" w:hAnsiTheme="majorHAnsi"/>
          <w:lang w:val="en-US"/>
        </w:rPr>
        <w:t xml:space="preserve">period </w:t>
      </w:r>
      <w:r w:rsidRPr="00D06CE5">
        <w:rPr>
          <w:rFonts w:asciiTheme="majorHAnsi" w:hAnsiTheme="majorHAnsi"/>
          <w:lang w:val="en-US"/>
        </w:rPr>
        <w:t xml:space="preserve">showed that the </w:t>
      </w:r>
      <w:r w:rsidR="00D06CE5" w:rsidRPr="00D06CE5">
        <w:rPr>
          <w:rFonts w:asciiTheme="majorHAnsi" w:hAnsiTheme="majorHAnsi"/>
          <w:lang w:val="en-US"/>
        </w:rPr>
        <w:t xml:space="preserve">consumer </w:t>
      </w:r>
      <w:r w:rsidRPr="00D06CE5">
        <w:rPr>
          <w:rFonts w:asciiTheme="majorHAnsi" w:hAnsiTheme="majorHAnsi" w:cs="Arial"/>
          <w:color w:val="000000"/>
          <w:sz w:val="21"/>
          <w:szCs w:val="21"/>
          <w:shd w:val="clear" w:color="auto" w:fill="FFFFFF"/>
        </w:rPr>
        <w:t xml:space="preserve">economy </w:t>
      </w:r>
      <w:r w:rsidR="00D06CE5" w:rsidRPr="00D06CE5">
        <w:rPr>
          <w:rFonts w:asciiTheme="majorHAnsi" w:hAnsiTheme="majorHAnsi" w:cs="Arial"/>
          <w:color w:val="000000"/>
          <w:sz w:val="21"/>
          <w:szCs w:val="21"/>
          <w:shd w:val="clear" w:color="auto" w:fill="FFFFFF"/>
        </w:rPr>
        <w:t>was</w:t>
      </w:r>
      <w:r w:rsidRPr="00D06CE5">
        <w:rPr>
          <w:rFonts w:asciiTheme="majorHAnsi" w:hAnsiTheme="majorHAnsi" w:cs="Arial"/>
          <w:color w:val="000000"/>
          <w:sz w:val="21"/>
          <w:szCs w:val="21"/>
          <w:shd w:val="clear" w:color="auto" w:fill="FFFFFF"/>
        </w:rPr>
        <w:t xml:space="preserve"> still growing, albeit </w:t>
      </w:r>
      <w:r w:rsidR="00D06CE5" w:rsidRPr="00D06CE5">
        <w:rPr>
          <w:rFonts w:asciiTheme="majorHAnsi" w:hAnsiTheme="majorHAnsi" w:cs="Arial"/>
          <w:color w:val="000000"/>
          <w:sz w:val="21"/>
          <w:szCs w:val="21"/>
          <w:shd w:val="clear" w:color="auto" w:fill="FFFFFF"/>
        </w:rPr>
        <w:t>at a slow pace.</w:t>
      </w:r>
      <w:r w:rsidRPr="00D06CE5">
        <w:rPr>
          <w:rStyle w:val="EndnoteReference"/>
        </w:rPr>
        <w:t xml:space="preserve"> </w:t>
      </w:r>
      <w:r w:rsidRPr="00D06CE5">
        <w:rPr>
          <w:rStyle w:val="EndnoteReference"/>
        </w:rPr>
        <w:endnoteReference w:id="20"/>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6B75E5" w:rsidRPr="00D06CE5" w14:paraId="461077A3" w14:textId="77777777" w:rsidTr="00C4312E">
        <w:trPr>
          <w:trHeight w:val="1101"/>
        </w:trPr>
        <w:tc>
          <w:tcPr>
            <w:tcW w:w="8782" w:type="dxa"/>
            <w:vAlign w:val="bottom"/>
          </w:tcPr>
          <w:p w14:paraId="0A287124" w14:textId="1636927D" w:rsidR="006B75E5" w:rsidRPr="00D06CE5" w:rsidRDefault="006B75E5" w:rsidP="0012767A">
            <w:pPr>
              <w:pStyle w:val="Heading2"/>
              <w:outlineLvl w:val="1"/>
            </w:pPr>
            <w:bookmarkStart w:id="11" w:name="_Toc18408713"/>
            <w:r w:rsidRPr="00D06CE5">
              <w:t>Freight transport gains momentum on increased mineral shipments</w:t>
            </w:r>
            <w:bookmarkEnd w:id="11"/>
          </w:p>
        </w:tc>
        <w:tc>
          <w:tcPr>
            <w:tcW w:w="1278" w:type="dxa"/>
            <w:vAlign w:val="bottom"/>
          </w:tcPr>
          <w:p w14:paraId="4C893058" w14:textId="5543EC47" w:rsidR="006B75E5" w:rsidRPr="00D06CE5" w:rsidRDefault="006B75E5" w:rsidP="00C4312E">
            <w:pPr>
              <w:jc w:val="center"/>
              <w:rPr>
                <w:lang w:val="en-US"/>
              </w:rPr>
            </w:pPr>
            <w:r w:rsidRPr="00D06CE5">
              <w:rPr>
                <w:noProof/>
                <w:lang w:eastAsia="en-ZA"/>
              </w:rPr>
              <w:drawing>
                <wp:inline distT="0" distB="0" distL="0" distR="0" wp14:anchorId="74A80FE5" wp14:editId="011672EF">
                  <wp:extent cx="669290" cy="669290"/>
                  <wp:effectExtent l="0" t="0" r="0" b="0"/>
                  <wp:docPr id="51302" name="Picture 5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1C4D5605" w14:textId="766364C4" w:rsidR="006B75E5" w:rsidRPr="00D06CE5" w:rsidRDefault="006B75E5" w:rsidP="002339D2">
      <w:pPr>
        <w:jc w:val="both"/>
        <w:rPr>
          <w:lang w:val="en-US"/>
        </w:rPr>
      </w:pPr>
      <w:r w:rsidRPr="00D06CE5">
        <w:rPr>
          <w:noProof/>
          <w:lang w:val="en-US"/>
        </w:rPr>
        <w:drawing>
          <wp:anchor distT="0" distB="0" distL="114300" distR="114300" simplePos="0" relativeHeight="251985920" behindDoc="0" locked="0" layoutInCell="1" allowOverlap="1" wp14:anchorId="1BEA4D70" wp14:editId="09755C52">
            <wp:simplePos x="0" y="0"/>
            <wp:positionH relativeFrom="column">
              <wp:posOffset>-635</wp:posOffset>
            </wp:positionH>
            <wp:positionV relativeFrom="paragraph">
              <wp:posOffset>86029</wp:posOffset>
            </wp:positionV>
            <wp:extent cx="3048000" cy="2286000"/>
            <wp:effectExtent l="0" t="0" r="0" b="0"/>
            <wp:wrapSquare wrapText="bothSides"/>
            <wp:docPr id="51075" name="Picture 5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anchor>
        </w:drawing>
      </w:r>
      <w:r w:rsidRPr="00D06CE5">
        <w:rPr>
          <w:lang w:val="en-US"/>
        </w:rPr>
        <w:t>Freight transportation tonnage increased by 4.7% y-o-y in May and 5.2% y-o-y in June, with an average increase of 4.8% y-o-y in Q2 of 2019 being stronger than a figure of 1.2% y-o-y seen in the first quarter. On a quarterly basis, the decline in tonnage transported eased from a 1.2% q-o-q fall in Q1 of 2019 to a 0.4% moderation in the second quarter.</w:t>
      </w:r>
      <w:r w:rsidRPr="00D06CE5">
        <w:rPr>
          <w:rStyle w:val="EndnoteReference"/>
          <w:lang w:val="en-US"/>
        </w:rPr>
        <w:endnoteReference w:id="21"/>
      </w:r>
    </w:p>
    <w:p w14:paraId="488CE951" w14:textId="5E1DAF22" w:rsidR="006B75E5" w:rsidRDefault="006B75E5" w:rsidP="00C5267D">
      <w:pPr>
        <w:rPr>
          <w:lang w:val="en-US"/>
        </w:rPr>
      </w:pPr>
      <w:r w:rsidRPr="00D06CE5">
        <w:rPr>
          <w:lang w:val="en-US"/>
        </w:rPr>
        <w:t>A sharp increase in the transport of mining &amp; quarrying goods was a key driver of the improved freight conditions in Q2 of 2019.</w:t>
      </w:r>
      <w:r w:rsidRPr="00D06CE5">
        <w:rPr>
          <w:rStyle w:val="EndnoteReference"/>
          <w:lang w:val="en-US"/>
        </w:rPr>
        <w:t xml:space="preserve"> </w:t>
      </w:r>
      <w:r w:rsidRPr="00D06CE5">
        <w:rPr>
          <w:rStyle w:val="EndnoteReference"/>
          <w:lang w:val="en-US"/>
        </w:rPr>
        <w:endnoteReference w:id="22"/>
      </w:r>
      <w:r w:rsidRPr="00D06CE5">
        <w:rPr>
          <w:lang w:val="en-US"/>
        </w:rPr>
        <w:t xml:space="preserve"> The value of mineral sales increased by 12.5% y-o-y during the second quarter, with iron ore and platinum group metals (PGMs) the largest contributors to recent increases.</w:t>
      </w:r>
      <w:r w:rsidRPr="00D06CE5">
        <w:rPr>
          <w:rStyle w:val="EndnoteReference"/>
          <w:lang w:val="en-US"/>
        </w:rPr>
        <w:endnoteReference w:id="23"/>
      </w:r>
    </w:p>
    <w:p w14:paraId="33D495FA" w14:textId="5679918E" w:rsidR="002339D2" w:rsidRDefault="002339D2" w:rsidP="00C5267D">
      <w:pPr>
        <w:rPr>
          <w:lang w:val="en-US"/>
        </w:rPr>
      </w:pPr>
    </w:p>
    <w:p w14:paraId="10D1E0A3" w14:textId="5EA37DD7" w:rsidR="00FA2342" w:rsidRDefault="00FA2342" w:rsidP="00C5267D">
      <w:pPr>
        <w:rPr>
          <w:lang w:val="en-US"/>
        </w:rPr>
      </w:pPr>
    </w:p>
    <w:p w14:paraId="411F9CE3" w14:textId="37579E55" w:rsidR="00FA2342" w:rsidRDefault="00FA2342" w:rsidP="00C5267D">
      <w:pPr>
        <w:rPr>
          <w:lang w:val="en-US"/>
        </w:rPr>
      </w:pPr>
    </w:p>
    <w:p w14:paraId="3761E62A" w14:textId="03749E2A" w:rsidR="00FA2342" w:rsidRDefault="00FA2342" w:rsidP="00C5267D">
      <w:pPr>
        <w:rPr>
          <w:lang w:val="en-US"/>
        </w:rPr>
      </w:pPr>
    </w:p>
    <w:p w14:paraId="2BE46EDA" w14:textId="34885EA6" w:rsidR="00FA2342" w:rsidRDefault="00FA2342" w:rsidP="00C5267D">
      <w:pPr>
        <w:rPr>
          <w:lang w:val="en-US"/>
        </w:rPr>
      </w:pPr>
    </w:p>
    <w:p w14:paraId="6EA3C2FE" w14:textId="7E098550" w:rsidR="00FA2342" w:rsidRDefault="00FA2342" w:rsidP="00C5267D">
      <w:pPr>
        <w:rPr>
          <w:lang w:val="en-US"/>
        </w:rPr>
      </w:pPr>
    </w:p>
    <w:p w14:paraId="4E4C5741" w14:textId="26E7E527" w:rsidR="00FA2342" w:rsidRDefault="00FA2342" w:rsidP="00C5267D">
      <w:pPr>
        <w:rPr>
          <w:lang w:val="en-US"/>
        </w:rPr>
      </w:pPr>
    </w:p>
    <w:p w14:paraId="294ED4B3" w14:textId="02C763EA" w:rsidR="00FA2342" w:rsidRDefault="00FA2342" w:rsidP="00C5267D">
      <w:pPr>
        <w:rPr>
          <w:lang w:val="en-US"/>
        </w:rPr>
      </w:pPr>
    </w:p>
    <w:p w14:paraId="3650C1DA" w14:textId="77777777" w:rsidR="00FA2342" w:rsidRDefault="00FA2342" w:rsidP="00C5267D">
      <w:pPr>
        <w:rPr>
          <w:lang w:val="en-US"/>
        </w:rPr>
      </w:pPr>
    </w:p>
    <w:p w14:paraId="3D8A9BFE" w14:textId="05BCB8D3" w:rsidR="00C01603" w:rsidRPr="00C01603" w:rsidRDefault="00C4312E" w:rsidP="00C01603">
      <w:pPr>
        <w:pStyle w:val="Heading1"/>
        <w:ind w:left="567" w:hanging="567"/>
      </w:pPr>
      <w:bookmarkStart w:id="12" w:name="_Toc18408714"/>
      <w:r>
        <w:lastRenderedPageBreak/>
        <w:t>Key i</w:t>
      </w:r>
      <w:r w:rsidR="00C01603">
        <w:t>ndices</w:t>
      </w:r>
      <w:bookmarkEnd w:id="12"/>
    </w:p>
    <w:p w14:paraId="73207C88" w14:textId="7E58B11A" w:rsidR="0012767A" w:rsidRPr="00D06CE5" w:rsidRDefault="00A51B45" w:rsidP="00A4648A">
      <w:pPr>
        <w:jc w:val="both"/>
        <w:rPr>
          <w:lang w:val="en-US"/>
        </w:rPr>
      </w:pPr>
      <w:r w:rsidRPr="00D06CE5">
        <w:rPr>
          <w:lang w:val="en-US"/>
        </w:rPr>
        <w:t xml:space="preserve">The following subsections reflect on key indices required to better understand the GDP outcome. These include construction sector confidence, consumer and business sentiment, policy uncertainty, and the overall business climate.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12767A" w:rsidRPr="00D06CE5" w14:paraId="623EA8E6" w14:textId="77777777" w:rsidTr="00C4312E">
        <w:trPr>
          <w:trHeight w:val="1101"/>
        </w:trPr>
        <w:tc>
          <w:tcPr>
            <w:tcW w:w="8782" w:type="dxa"/>
            <w:vAlign w:val="bottom"/>
          </w:tcPr>
          <w:p w14:paraId="246C918B" w14:textId="3CBD4AE4" w:rsidR="0012767A" w:rsidRPr="00D06CE5" w:rsidRDefault="0012767A" w:rsidP="0012767A">
            <w:pPr>
              <w:pStyle w:val="Heading2"/>
              <w:ind w:left="606"/>
              <w:outlineLvl w:val="1"/>
            </w:pPr>
            <w:bookmarkStart w:id="13" w:name="_Toc18408715"/>
            <w:r w:rsidRPr="00D06CE5">
              <w:t>Construction confidence drops as contractors struggle</w:t>
            </w:r>
            <w:bookmarkEnd w:id="13"/>
            <w:r w:rsidRPr="00D06CE5">
              <w:t xml:space="preserve"> </w:t>
            </w:r>
          </w:p>
        </w:tc>
        <w:tc>
          <w:tcPr>
            <w:tcW w:w="1278" w:type="dxa"/>
            <w:vAlign w:val="bottom"/>
          </w:tcPr>
          <w:p w14:paraId="741845E7" w14:textId="3A61AEA6" w:rsidR="0012767A" w:rsidRPr="00D06CE5" w:rsidRDefault="00C01603" w:rsidP="00C4312E">
            <w:pPr>
              <w:jc w:val="center"/>
              <w:rPr>
                <w:lang w:val="en-US"/>
              </w:rPr>
            </w:pPr>
            <w:r w:rsidRPr="00D06CE5">
              <w:rPr>
                <w:noProof/>
                <w:lang w:eastAsia="en-ZA"/>
              </w:rPr>
              <w:drawing>
                <wp:inline distT="0" distB="0" distL="0" distR="0" wp14:anchorId="2A5B6200" wp14:editId="68811078">
                  <wp:extent cx="612140" cy="612140"/>
                  <wp:effectExtent l="0" t="0" r="0" b="0"/>
                  <wp:docPr id="51305" name="Picture 5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39EA7B26" w14:textId="1B19189A" w:rsidR="0012767A" w:rsidRPr="00D06CE5" w:rsidRDefault="00B10DEF" w:rsidP="00A4648A">
      <w:pPr>
        <w:jc w:val="both"/>
        <w:rPr>
          <w:lang w:val="en-US"/>
        </w:rPr>
      </w:pPr>
      <w:r w:rsidRPr="00D06CE5">
        <w:rPr>
          <w:noProof/>
          <w:lang w:val="en-US"/>
        </w:rPr>
        <w:drawing>
          <wp:anchor distT="0" distB="0" distL="114300" distR="114300" simplePos="0" relativeHeight="251973632" behindDoc="0" locked="0" layoutInCell="1" allowOverlap="1" wp14:anchorId="14815850" wp14:editId="271A36A6">
            <wp:simplePos x="0" y="0"/>
            <wp:positionH relativeFrom="column">
              <wp:posOffset>-635</wp:posOffset>
            </wp:positionH>
            <wp:positionV relativeFrom="paragraph">
              <wp:posOffset>212090</wp:posOffset>
            </wp:positionV>
            <wp:extent cx="3005455" cy="1304925"/>
            <wp:effectExtent l="0" t="0" r="0" b="9525"/>
            <wp:wrapSquare wrapText="bothSides"/>
            <wp:docPr id="51076" name="Picture 5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5455" cy="1304925"/>
                    </a:xfrm>
                    <a:prstGeom prst="rect">
                      <a:avLst/>
                    </a:prstGeom>
                    <a:noFill/>
                  </pic:spPr>
                </pic:pic>
              </a:graphicData>
            </a:graphic>
          </wp:anchor>
        </w:drawing>
      </w:r>
    </w:p>
    <w:p w14:paraId="43957E14" w14:textId="2C9B0A8F" w:rsidR="00EE4512" w:rsidRPr="00D06CE5" w:rsidRDefault="00A4648A" w:rsidP="00C5267D">
      <w:pPr>
        <w:rPr>
          <w:lang w:val="en-US"/>
        </w:rPr>
      </w:pPr>
      <w:r w:rsidRPr="00D06CE5">
        <w:rPr>
          <w:lang w:val="en-US"/>
        </w:rPr>
        <w:t xml:space="preserve">The RMB/BER Civil Confidence Index (CCI) </w:t>
      </w:r>
      <w:r w:rsidR="00894F75" w:rsidRPr="00D06CE5">
        <w:rPr>
          <w:lang w:val="en-US"/>
        </w:rPr>
        <w:t>edged highe</w:t>
      </w:r>
      <w:r w:rsidR="00EE4512" w:rsidRPr="00D06CE5">
        <w:rPr>
          <w:lang w:val="en-US"/>
        </w:rPr>
        <w:t>r</w:t>
      </w:r>
      <w:r w:rsidR="00894F75" w:rsidRPr="00D06CE5">
        <w:rPr>
          <w:lang w:val="en-US"/>
        </w:rPr>
        <w:t xml:space="preserve"> in </w:t>
      </w:r>
      <w:r w:rsidR="00EE4512" w:rsidRPr="00D06CE5">
        <w:rPr>
          <w:lang w:val="en-US"/>
        </w:rPr>
        <w:t xml:space="preserve">Q2 of </w:t>
      </w:r>
      <w:r w:rsidR="00894F75" w:rsidRPr="00D06CE5">
        <w:rPr>
          <w:lang w:val="en-US"/>
        </w:rPr>
        <w:t>2019</w:t>
      </w:r>
      <w:r w:rsidR="00EE4512" w:rsidRPr="00D06CE5">
        <w:rPr>
          <w:lang w:val="en-US"/>
        </w:rPr>
        <w:t xml:space="preserve"> to a </w:t>
      </w:r>
      <w:r w:rsidR="00894F75" w:rsidRPr="00D06CE5">
        <w:rPr>
          <w:lang w:val="en-US"/>
        </w:rPr>
        <w:t xml:space="preserve">reading of 11; only one point </w:t>
      </w:r>
      <w:r w:rsidR="00EE4512" w:rsidRPr="00D06CE5">
        <w:rPr>
          <w:lang w:val="en-US"/>
        </w:rPr>
        <w:t>up than</w:t>
      </w:r>
      <w:r w:rsidR="00894F75" w:rsidRPr="00D06CE5">
        <w:rPr>
          <w:lang w:val="en-US"/>
        </w:rPr>
        <w:t xml:space="preserve"> the all-time low of 10 recorded in the first quarter of the year. </w:t>
      </w:r>
      <w:r w:rsidR="00EE4512" w:rsidRPr="00D06CE5">
        <w:rPr>
          <w:lang w:val="en-US"/>
        </w:rPr>
        <w:t xml:space="preserve">(The index ranges on a </w:t>
      </w:r>
      <w:r w:rsidRPr="00D06CE5">
        <w:rPr>
          <w:lang w:val="en-US"/>
        </w:rPr>
        <w:t>scale of 0 to 100</w:t>
      </w:r>
      <w:r w:rsidR="000C1895" w:rsidRPr="00D06CE5">
        <w:rPr>
          <w:lang w:val="en-US"/>
        </w:rPr>
        <w:t>, with a higher score indicating better sentiment</w:t>
      </w:r>
      <w:r w:rsidRPr="00D06CE5">
        <w:rPr>
          <w:lang w:val="en-US"/>
        </w:rPr>
        <w:t>)</w:t>
      </w:r>
      <w:r w:rsidR="00EE4512" w:rsidRPr="00D06CE5">
        <w:rPr>
          <w:lang w:val="en-US"/>
        </w:rPr>
        <w:t xml:space="preserve">. </w:t>
      </w:r>
      <w:r w:rsidR="000C1895" w:rsidRPr="00D06CE5">
        <w:rPr>
          <w:lang w:val="en-US"/>
        </w:rPr>
        <w:t xml:space="preserve">The outcome indicates that about </w:t>
      </w:r>
      <w:r w:rsidR="00EE4512" w:rsidRPr="00D06CE5">
        <w:rPr>
          <w:lang w:val="en-US"/>
        </w:rPr>
        <w:t>89</w:t>
      </w:r>
      <w:r w:rsidRPr="00D06CE5">
        <w:rPr>
          <w:lang w:val="en-US"/>
        </w:rPr>
        <w:t>% of respondents indicated they are not happy with prevailing business conditions.</w:t>
      </w:r>
      <w:r w:rsidR="00EE4512" w:rsidRPr="00D06CE5">
        <w:rPr>
          <w:rStyle w:val="EndnoteReference"/>
          <w:lang w:val="en-US"/>
        </w:rPr>
        <w:endnoteReference w:id="24"/>
      </w:r>
    </w:p>
    <w:p w14:paraId="3C970FBE" w14:textId="3B60AB86" w:rsidR="00EE4512" w:rsidRPr="00D06CE5" w:rsidRDefault="00EE4512" w:rsidP="00C5267D">
      <w:pPr>
        <w:rPr>
          <w:lang w:val="en-US"/>
        </w:rPr>
      </w:pPr>
      <w:r w:rsidRPr="00D06CE5">
        <w:rPr>
          <w:lang w:val="en-US"/>
        </w:rPr>
        <w:t>Respondents to the BER survey highlighted weak activity growth, thin profit margins and a lack of new projects as their main challenges. Nearly nine out of ten respondents considered insufficient demand in new work as a constraint on their business operations.</w:t>
      </w:r>
      <w:r w:rsidRPr="00D06CE5">
        <w:rPr>
          <w:rStyle w:val="EndnoteReference"/>
          <w:lang w:val="en-US"/>
        </w:rPr>
        <w:t xml:space="preserve"> </w:t>
      </w:r>
      <w:r w:rsidRPr="00D06CE5">
        <w:rPr>
          <w:rStyle w:val="EndnoteReference"/>
          <w:lang w:val="en-US"/>
        </w:rPr>
        <w:endnoteReference w:id="25"/>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01603" w:rsidRPr="00D06CE5" w14:paraId="0FD40B46" w14:textId="77777777" w:rsidTr="00C4312E">
        <w:trPr>
          <w:trHeight w:val="1101"/>
        </w:trPr>
        <w:tc>
          <w:tcPr>
            <w:tcW w:w="8782" w:type="dxa"/>
            <w:vAlign w:val="bottom"/>
          </w:tcPr>
          <w:p w14:paraId="2425117D" w14:textId="0A1EDE0B" w:rsidR="00C01603" w:rsidRPr="00D06CE5" w:rsidRDefault="00613CAC" w:rsidP="00C01603">
            <w:pPr>
              <w:pStyle w:val="Heading2"/>
              <w:ind w:left="606"/>
              <w:outlineLvl w:val="1"/>
            </w:pPr>
            <w:r w:rsidRPr="00D06CE5">
              <w:t xml:space="preserve"> </w:t>
            </w:r>
            <w:bookmarkStart w:id="14" w:name="_Toc18408716"/>
            <w:r w:rsidR="00255629" w:rsidRPr="00D06CE5">
              <w:t xml:space="preserve">Consumer confidence improves </w:t>
            </w:r>
            <w:r w:rsidR="00D06CE5">
              <w:t>slightly after peaceful elections</w:t>
            </w:r>
            <w:bookmarkEnd w:id="14"/>
          </w:p>
        </w:tc>
        <w:tc>
          <w:tcPr>
            <w:tcW w:w="1278" w:type="dxa"/>
            <w:vAlign w:val="bottom"/>
          </w:tcPr>
          <w:p w14:paraId="3D1CAADF" w14:textId="1BF6F3E5" w:rsidR="00C01603" w:rsidRPr="00D06CE5" w:rsidRDefault="00C01603" w:rsidP="00C4312E">
            <w:pPr>
              <w:jc w:val="center"/>
              <w:rPr>
                <w:lang w:val="en-US"/>
              </w:rPr>
            </w:pPr>
            <w:r w:rsidRPr="00D06CE5">
              <w:rPr>
                <w:noProof/>
                <w:lang w:eastAsia="en-ZA"/>
              </w:rPr>
              <w:drawing>
                <wp:inline distT="0" distB="0" distL="0" distR="0" wp14:anchorId="0BBA2225" wp14:editId="1A1B14BA">
                  <wp:extent cx="612140" cy="612140"/>
                  <wp:effectExtent l="0" t="0" r="0" b="0"/>
                  <wp:docPr id="51308" name="Picture 5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inline>
              </w:drawing>
            </w:r>
          </w:p>
        </w:tc>
      </w:tr>
    </w:tbl>
    <w:p w14:paraId="535E0DD7" w14:textId="63D5BF81" w:rsidR="0012767A" w:rsidRPr="00D06CE5" w:rsidRDefault="00506BED" w:rsidP="00A4648A">
      <w:pPr>
        <w:jc w:val="both"/>
        <w:rPr>
          <w:rFonts w:cs="Arial"/>
          <w:b/>
          <w:color w:val="000000"/>
          <w:sz w:val="21"/>
          <w:szCs w:val="21"/>
          <w:shd w:val="clear" w:color="auto" w:fill="FFFFFF"/>
        </w:rPr>
      </w:pPr>
      <w:r w:rsidRPr="00D06CE5">
        <w:rPr>
          <w:rFonts w:cs="Arial"/>
          <w:b/>
          <w:noProof/>
          <w:color w:val="000000"/>
          <w:sz w:val="21"/>
          <w:szCs w:val="21"/>
          <w:shd w:val="clear" w:color="auto" w:fill="FFFFFF"/>
        </w:rPr>
        <w:drawing>
          <wp:anchor distT="0" distB="0" distL="114300" distR="114300" simplePos="0" relativeHeight="251974656" behindDoc="0" locked="0" layoutInCell="1" allowOverlap="1" wp14:anchorId="04CB65D8" wp14:editId="4AA4A15B">
            <wp:simplePos x="0" y="0"/>
            <wp:positionH relativeFrom="column">
              <wp:posOffset>-635</wp:posOffset>
            </wp:positionH>
            <wp:positionV relativeFrom="paragraph">
              <wp:posOffset>199694</wp:posOffset>
            </wp:positionV>
            <wp:extent cx="3011805" cy="1310640"/>
            <wp:effectExtent l="0" t="0" r="0" b="3810"/>
            <wp:wrapSquare wrapText="bothSides"/>
            <wp:docPr id="51095" name="Picture 5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1805" cy="1310640"/>
                    </a:xfrm>
                    <a:prstGeom prst="rect">
                      <a:avLst/>
                    </a:prstGeom>
                    <a:noFill/>
                  </pic:spPr>
                </pic:pic>
              </a:graphicData>
            </a:graphic>
          </wp:anchor>
        </w:drawing>
      </w:r>
    </w:p>
    <w:p w14:paraId="43305961" w14:textId="77777777" w:rsidR="006F005A" w:rsidRPr="00D06CE5" w:rsidRDefault="006F005A" w:rsidP="00C5267D">
      <w:pPr>
        <w:rPr>
          <w:color w:val="333333"/>
          <w:shd w:val="clear" w:color="auto" w:fill="FFFFFF"/>
        </w:rPr>
      </w:pPr>
      <w:r w:rsidRPr="00D06CE5">
        <w:rPr>
          <w:lang w:val="en-US"/>
        </w:rPr>
        <w:t>The RMB/BER Consumer Confidence Index (CCI) improved t0 5 index points in the second quarter of 2019 from 2 points in the previous period</w:t>
      </w:r>
      <w:r w:rsidRPr="00D06CE5">
        <w:rPr>
          <w:color w:val="333333"/>
          <w:shd w:val="clear" w:color="auto" w:fill="FFFFFF"/>
        </w:rPr>
        <w:t>.</w:t>
      </w:r>
      <w:r w:rsidRPr="00D06CE5">
        <w:rPr>
          <w:rStyle w:val="EndnoteReference"/>
          <w:color w:val="333333"/>
          <w:shd w:val="clear" w:color="auto" w:fill="FFFFFF"/>
        </w:rPr>
        <w:endnoteReference w:id="26"/>
      </w:r>
      <w:r w:rsidRPr="00D06CE5">
        <w:rPr>
          <w:color w:val="333333"/>
          <w:shd w:val="clear" w:color="auto" w:fill="FFFFFF"/>
        </w:rPr>
        <w:t xml:space="preserve"> A score of zero is considered neutral, with any reading above this level being positive. </w:t>
      </w:r>
    </w:p>
    <w:p w14:paraId="76A5D4F0" w14:textId="2970B256" w:rsidR="00C01603" w:rsidRDefault="006F005A" w:rsidP="00C5267D">
      <w:pPr>
        <w:rPr>
          <w:color w:val="333333"/>
          <w:shd w:val="clear" w:color="auto" w:fill="FFFFFF"/>
        </w:rPr>
      </w:pPr>
      <w:r w:rsidRPr="00D06CE5">
        <w:rPr>
          <w:color w:val="333333"/>
          <w:shd w:val="clear" w:color="auto" w:fill="FFFFFF"/>
        </w:rPr>
        <w:t xml:space="preserve">This improvement in consumer confidence was mainly boosted by recent elections that concluded </w:t>
      </w:r>
      <w:r w:rsidR="00D06CE5" w:rsidRPr="00D06CE5">
        <w:rPr>
          <w:color w:val="333333"/>
          <w:shd w:val="clear" w:color="auto" w:fill="FFFFFF"/>
        </w:rPr>
        <w:t xml:space="preserve">peacefully </w:t>
      </w:r>
      <w:r w:rsidRPr="00D06CE5">
        <w:rPr>
          <w:color w:val="333333"/>
          <w:shd w:val="clear" w:color="auto" w:fill="FFFFFF"/>
        </w:rPr>
        <w:t>and the stabilisation of the country's power supply due to no loadshedding occurrin</w:t>
      </w:r>
      <w:r w:rsidR="00D06CE5" w:rsidRPr="00D06CE5">
        <w:rPr>
          <w:color w:val="333333"/>
          <w:shd w:val="clear" w:color="auto" w:fill="FFFFFF"/>
        </w:rPr>
        <w:t>g during the period.</w:t>
      </w:r>
      <w:r w:rsidRPr="00D06CE5">
        <w:rPr>
          <w:rStyle w:val="EndnoteReference"/>
          <w:color w:val="333333"/>
          <w:shd w:val="clear" w:color="auto" w:fill="FFFFFF"/>
        </w:rPr>
        <w:endnoteReference w:id="27"/>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01603" w:rsidRPr="00D06CE5" w14:paraId="2C5F5944" w14:textId="77777777" w:rsidTr="00C4312E">
        <w:trPr>
          <w:trHeight w:val="1101"/>
        </w:trPr>
        <w:tc>
          <w:tcPr>
            <w:tcW w:w="8782" w:type="dxa"/>
            <w:vAlign w:val="bottom"/>
          </w:tcPr>
          <w:p w14:paraId="063C7F18" w14:textId="507C19E9" w:rsidR="00C01603" w:rsidRPr="00D06CE5" w:rsidRDefault="006F005A" w:rsidP="00C01603">
            <w:pPr>
              <w:pStyle w:val="Heading2"/>
              <w:ind w:left="606"/>
              <w:outlineLvl w:val="1"/>
            </w:pPr>
            <w:bookmarkStart w:id="15" w:name="_Toc18408717"/>
            <w:r w:rsidRPr="00D06CE5">
              <w:t>Business confidence remains stagnant</w:t>
            </w:r>
            <w:bookmarkEnd w:id="15"/>
          </w:p>
        </w:tc>
        <w:tc>
          <w:tcPr>
            <w:tcW w:w="1278" w:type="dxa"/>
            <w:vAlign w:val="bottom"/>
          </w:tcPr>
          <w:p w14:paraId="59E474BD" w14:textId="4AAB2FB2" w:rsidR="00C01603" w:rsidRPr="00D06CE5" w:rsidRDefault="00C4312E" w:rsidP="00C4312E">
            <w:pPr>
              <w:jc w:val="center"/>
              <w:rPr>
                <w:lang w:val="en-US"/>
              </w:rPr>
            </w:pPr>
            <w:r w:rsidRPr="00D06CE5">
              <w:rPr>
                <w:noProof/>
                <w:lang w:eastAsia="en-ZA"/>
              </w:rPr>
              <w:drawing>
                <wp:inline distT="0" distB="0" distL="0" distR="0" wp14:anchorId="176D542A" wp14:editId="5D8ECF15">
                  <wp:extent cx="669290" cy="669290"/>
                  <wp:effectExtent l="0" t="0" r="0" b="0"/>
                  <wp:docPr id="51311" name="Picture 5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9290" cy="669290"/>
                          </a:xfrm>
                          <a:prstGeom prst="rect">
                            <a:avLst/>
                          </a:prstGeom>
                          <a:noFill/>
                          <a:ln>
                            <a:noFill/>
                          </a:ln>
                        </pic:spPr>
                      </pic:pic>
                    </a:graphicData>
                  </a:graphic>
                </wp:inline>
              </w:drawing>
            </w:r>
          </w:p>
        </w:tc>
      </w:tr>
    </w:tbl>
    <w:p w14:paraId="5FDDA837" w14:textId="45F2B091" w:rsidR="00C01603" w:rsidRPr="00D06CE5" w:rsidRDefault="00506BED" w:rsidP="00A4648A">
      <w:pPr>
        <w:jc w:val="both"/>
        <w:rPr>
          <w:color w:val="333333"/>
          <w:shd w:val="clear" w:color="auto" w:fill="FFFFFF"/>
        </w:rPr>
      </w:pPr>
      <w:r w:rsidRPr="00D06CE5">
        <w:rPr>
          <w:noProof/>
          <w:lang w:val="en-US"/>
        </w:rPr>
        <w:drawing>
          <wp:anchor distT="0" distB="0" distL="114300" distR="114300" simplePos="0" relativeHeight="251975680" behindDoc="0" locked="0" layoutInCell="1" allowOverlap="1" wp14:anchorId="733C573B" wp14:editId="391DC9D0">
            <wp:simplePos x="0" y="0"/>
            <wp:positionH relativeFrom="column">
              <wp:posOffset>-635</wp:posOffset>
            </wp:positionH>
            <wp:positionV relativeFrom="paragraph">
              <wp:posOffset>193040</wp:posOffset>
            </wp:positionV>
            <wp:extent cx="3011805" cy="1310640"/>
            <wp:effectExtent l="0" t="0" r="0" b="3810"/>
            <wp:wrapSquare wrapText="bothSides"/>
            <wp:docPr id="51109" name="Picture 5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11805" cy="1310640"/>
                    </a:xfrm>
                    <a:prstGeom prst="rect">
                      <a:avLst/>
                    </a:prstGeom>
                    <a:noFill/>
                  </pic:spPr>
                </pic:pic>
              </a:graphicData>
            </a:graphic>
          </wp:anchor>
        </w:drawing>
      </w:r>
    </w:p>
    <w:p w14:paraId="2F2D06C0" w14:textId="224FC459" w:rsidR="006F005A" w:rsidRPr="00D06CE5" w:rsidRDefault="006F005A" w:rsidP="00C5267D">
      <w:pPr>
        <w:rPr>
          <w:lang w:val="en-US"/>
        </w:rPr>
      </w:pPr>
      <w:r w:rsidRPr="00D06CE5">
        <w:rPr>
          <w:lang w:val="en-US"/>
        </w:rPr>
        <w:t xml:space="preserve">The RMB/BER Business Confidence Index (BCI) remained stagnant at </w:t>
      </w:r>
      <w:r w:rsidR="00D06CE5" w:rsidRPr="00D06CE5">
        <w:rPr>
          <w:lang w:val="en-US"/>
        </w:rPr>
        <w:t xml:space="preserve">a reading of </w:t>
      </w:r>
      <w:r w:rsidRPr="00D06CE5">
        <w:rPr>
          <w:lang w:val="en-US"/>
        </w:rPr>
        <w:t xml:space="preserve">28 (on a scale of 0 to 100) </w:t>
      </w:r>
      <w:r w:rsidR="00D06CE5" w:rsidRPr="00D06CE5">
        <w:rPr>
          <w:lang w:val="en-US"/>
        </w:rPr>
        <w:t xml:space="preserve">during the first half of </w:t>
      </w:r>
      <w:r w:rsidRPr="00D06CE5">
        <w:rPr>
          <w:lang w:val="en-US"/>
        </w:rPr>
        <w:t>2019</w:t>
      </w:r>
      <w:r w:rsidR="00D06CE5" w:rsidRPr="00D06CE5">
        <w:rPr>
          <w:lang w:val="en-US"/>
        </w:rPr>
        <w:t xml:space="preserve">, </w:t>
      </w:r>
      <w:r w:rsidRPr="00D06CE5">
        <w:rPr>
          <w:lang w:val="en-US"/>
        </w:rPr>
        <w:t xml:space="preserve">which is the lowest since Q2 </w:t>
      </w:r>
      <w:r w:rsidR="00D06CE5" w:rsidRPr="00D06CE5">
        <w:rPr>
          <w:lang w:val="en-US"/>
        </w:rPr>
        <w:t xml:space="preserve">of </w:t>
      </w:r>
      <w:r w:rsidRPr="00D06CE5">
        <w:rPr>
          <w:lang w:val="en-US"/>
        </w:rPr>
        <w:t>2017.</w:t>
      </w:r>
      <w:r w:rsidRPr="00D06CE5">
        <w:rPr>
          <w:rStyle w:val="EndnoteReference"/>
          <w:lang w:val="en-US"/>
        </w:rPr>
        <w:endnoteReference w:id="28"/>
      </w:r>
      <w:r w:rsidRPr="00D06CE5">
        <w:rPr>
          <w:lang w:val="en-US"/>
        </w:rPr>
        <w:t xml:space="preserve"> Any reading below 50 is considered pessimistic. </w:t>
      </w:r>
    </w:p>
    <w:p w14:paraId="6D68CE09" w14:textId="4EA96C62" w:rsidR="006F005A" w:rsidRDefault="006F005A" w:rsidP="00C5267D">
      <w:pPr>
        <w:rPr>
          <w:lang w:val="en-US"/>
        </w:rPr>
      </w:pPr>
      <w:r w:rsidRPr="00D06CE5">
        <w:rPr>
          <w:lang w:val="en-US"/>
        </w:rPr>
        <w:t xml:space="preserve">This </w:t>
      </w:r>
      <w:r w:rsidR="00D06CE5" w:rsidRPr="00D06CE5">
        <w:rPr>
          <w:lang w:val="en-US"/>
        </w:rPr>
        <w:t xml:space="preserve">negative sentiment </w:t>
      </w:r>
      <w:r w:rsidRPr="00D06CE5">
        <w:rPr>
          <w:lang w:val="en-US"/>
        </w:rPr>
        <w:t xml:space="preserve">has mainly been due to </w:t>
      </w:r>
      <w:r w:rsidR="00D06CE5" w:rsidRPr="00D06CE5">
        <w:rPr>
          <w:lang w:val="en-US"/>
        </w:rPr>
        <w:t xml:space="preserve">confidence </w:t>
      </w:r>
      <w:r w:rsidRPr="00D06CE5">
        <w:rPr>
          <w:lang w:val="en-US"/>
        </w:rPr>
        <w:t>deteriorating sharply among new vehicle dealers and manufacturers. Meanwhile, slight improvements were seen in building, retail and wholesale trade sectors</w:t>
      </w:r>
      <w:r w:rsidR="00D06CE5" w:rsidRPr="00D06CE5">
        <w:rPr>
          <w:lang w:val="en-US"/>
        </w:rPr>
        <w:t xml:space="preserve"> during the second quarter that countered the </w:t>
      </w:r>
      <w:r w:rsidR="002339D2" w:rsidRPr="00D06CE5">
        <w:rPr>
          <w:lang w:val="en-US"/>
        </w:rPr>
        <w:t>adverse</w:t>
      </w:r>
      <w:r w:rsidR="00D06CE5" w:rsidRPr="00D06CE5">
        <w:rPr>
          <w:lang w:val="en-US"/>
        </w:rPr>
        <w:t xml:space="preserve"> impact of the automotive situation on overall </w:t>
      </w:r>
      <w:r w:rsidRPr="00D06CE5">
        <w:rPr>
          <w:lang w:val="en-US"/>
        </w:rPr>
        <w:t>business confidence.</w:t>
      </w:r>
      <w:r w:rsidRPr="00D06CE5">
        <w:rPr>
          <w:rStyle w:val="EndnoteReference"/>
          <w:lang w:val="en-US"/>
        </w:rPr>
        <w:endnoteReference w:id="29"/>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4312E" w:rsidRPr="00D06CE5" w14:paraId="2ECA0A70" w14:textId="77777777" w:rsidTr="00C4312E">
        <w:trPr>
          <w:trHeight w:val="1101"/>
        </w:trPr>
        <w:tc>
          <w:tcPr>
            <w:tcW w:w="8782" w:type="dxa"/>
            <w:vAlign w:val="bottom"/>
          </w:tcPr>
          <w:p w14:paraId="75B0D6E8" w14:textId="2023EF7B" w:rsidR="00C4312E" w:rsidRPr="00D06CE5" w:rsidRDefault="00C4312E" w:rsidP="00C4312E">
            <w:pPr>
              <w:pStyle w:val="Heading2"/>
              <w:ind w:left="606"/>
              <w:outlineLvl w:val="1"/>
            </w:pPr>
            <w:bookmarkStart w:id="16" w:name="_Toc18408718"/>
            <w:r w:rsidRPr="00D06CE5">
              <w:lastRenderedPageBreak/>
              <w:t xml:space="preserve">Policy uncertainty increases </w:t>
            </w:r>
            <w:r w:rsidR="00496A98" w:rsidRPr="00D06CE5">
              <w:t>due to debate over SARB mandate</w:t>
            </w:r>
            <w:bookmarkEnd w:id="16"/>
          </w:p>
        </w:tc>
        <w:tc>
          <w:tcPr>
            <w:tcW w:w="1278" w:type="dxa"/>
            <w:vAlign w:val="bottom"/>
          </w:tcPr>
          <w:p w14:paraId="1C316A5C" w14:textId="6BF3910A" w:rsidR="00C4312E" w:rsidRPr="00D06CE5" w:rsidRDefault="00C4312E" w:rsidP="00C4312E">
            <w:pPr>
              <w:jc w:val="center"/>
              <w:rPr>
                <w:lang w:val="en-US"/>
              </w:rPr>
            </w:pPr>
            <w:r w:rsidRPr="00D06CE5">
              <w:rPr>
                <w:noProof/>
                <w:lang w:eastAsia="en-ZA"/>
              </w:rPr>
              <w:drawing>
                <wp:inline distT="0" distB="0" distL="0" distR="0" wp14:anchorId="0737C3CE" wp14:editId="68C1C01A">
                  <wp:extent cx="609600" cy="609600"/>
                  <wp:effectExtent l="0" t="0" r="0" b="0"/>
                  <wp:docPr id="51320" name="Picture 5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bl>
    <w:p w14:paraId="18A7D7AF" w14:textId="4AC903BC" w:rsidR="00C01603" w:rsidRPr="00D06CE5" w:rsidRDefault="005602E3" w:rsidP="00A4648A">
      <w:pPr>
        <w:jc w:val="both"/>
        <w:rPr>
          <w:lang w:val="en-US"/>
        </w:rPr>
      </w:pPr>
      <w:r w:rsidRPr="00D06CE5">
        <w:rPr>
          <w:noProof/>
        </w:rPr>
        <w:drawing>
          <wp:anchor distT="0" distB="0" distL="114300" distR="114300" simplePos="0" relativeHeight="251976704" behindDoc="0" locked="0" layoutInCell="1" allowOverlap="1" wp14:anchorId="58E57CEA" wp14:editId="48E349E6">
            <wp:simplePos x="0" y="0"/>
            <wp:positionH relativeFrom="column">
              <wp:posOffset>-635</wp:posOffset>
            </wp:positionH>
            <wp:positionV relativeFrom="paragraph">
              <wp:posOffset>177800</wp:posOffset>
            </wp:positionV>
            <wp:extent cx="3011805" cy="1304925"/>
            <wp:effectExtent l="0" t="0" r="0" b="9525"/>
            <wp:wrapSquare wrapText="bothSides"/>
            <wp:docPr id="51121" name="Picture 5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11805" cy="1304925"/>
                    </a:xfrm>
                    <a:prstGeom prst="rect">
                      <a:avLst/>
                    </a:prstGeom>
                    <a:noFill/>
                  </pic:spPr>
                </pic:pic>
              </a:graphicData>
            </a:graphic>
          </wp:anchor>
        </w:drawing>
      </w:r>
    </w:p>
    <w:p w14:paraId="7CC70BD1" w14:textId="690A25A0" w:rsidR="00A4648A" w:rsidRPr="00D06CE5" w:rsidRDefault="00A4648A" w:rsidP="00C5267D">
      <w:r w:rsidRPr="00D06CE5">
        <w:t xml:space="preserve">The North West University (NWU) Business Schools' Political Uncertainty Index (PUI) </w:t>
      </w:r>
      <w:r w:rsidR="00496A98" w:rsidRPr="00D06CE5">
        <w:t xml:space="preserve">deteriorated from 53 in Q1 of 2019 to 51 in the second quarter, </w:t>
      </w:r>
      <w:r w:rsidRPr="00D06CE5">
        <w:t xml:space="preserve">as negative factors outweighed positive </w:t>
      </w:r>
      <w:r w:rsidR="000C1895" w:rsidRPr="00D06CE5">
        <w:t xml:space="preserve">indicators. </w:t>
      </w:r>
      <w:r w:rsidRPr="00D06CE5">
        <w:t xml:space="preserve">A higher number indicates greater </w:t>
      </w:r>
      <w:r w:rsidR="00496A98" w:rsidRPr="00D06CE5">
        <w:t xml:space="preserve">policy </w:t>
      </w:r>
      <w:r w:rsidRPr="00D06CE5">
        <w:t>uncertainty.</w:t>
      </w:r>
      <w:r w:rsidRPr="00D06CE5">
        <w:rPr>
          <w:rStyle w:val="EndnoteReference"/>
        </w:rPr>
        <w:endnoteReference w:id="30"/>
      </w:r>
    </w:p>
    <w:p w14:paraId="54D82BBD" w14:textId="15A8C904" w:rsidR="00C4312E" w:rsidRDefault="00496A98" w:rsidP="00C5267D">
      <w:r w:rsidRPr="00D06CE5">
        <w:t>The biggest factor behind the deterioration in policy certainty was the growing debate within the African National Congress (ANC) over the constitutional mandate of the South African Reserve Bank (SARB). Some positive impetus was taken from the second State of the Nation Address (SONA) of the year.</w:t>
      </w:r>
      <w:r w:rsidR="00A4648A" w:rsidRPr="00D06CE5">
        <w:rPr>
          <w:rStyle w:val="EndnoteReference"/>
        </w:rPr>
        <w:endnoteReference w:id="31"/>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2"/>
        <w:gridCol w:w="1278"/>
      </w:tblGrid>
      <w:tr w:rsidR="00C4312E" w:rsidRPr="002B115F" w14:paraId="65EAE9AC" w14:textId="77777777" w:rsidTr="00C4312E">
        <w:trPr>
          <w:trHeight w:val="1101"/>
        </w:trPr>
        <w:tc>
          <w:tcPr>
            <w:tcW w:w="8782" w:type="dxa"/>
            <w:vAlign w:val="bottom"/>
          </w:tcPr>
          <w:p w14:paraId="41E309B2" w14:textId="2079FA14" w:rsidR="00C4312E" w:rsidRPr="002B115F" w:rsidRDefault="00B94185" w:rsidP="00C4312E">
            <w:pPr>
              <w:pStyle w:val="Heading2"/>
              <w:ind w:left="606"/>
              <w:outlineLvl w:val="1"/>
            </w:pPr>
            <w:bookmarkStart w:id="17" w:name="_Toc18408719"/>
            <w:r w:rsidRPr="002B115F">
              <w:t xml:space="preserve">Business climate problematic due to </w:t>
            </w:r>
            <w:r w:rsidR="002B115F">
              <w:t>fiscal challenges and structural reforms needs</w:t>
            </w:r>
            <w:bookmarkEnd w:id="17"/>
          </w:p>
        </w:tc>
        <w:tc>
          <w:tcPr>
            <w:tcW w:w="1278" w:type="dxa"/>
            <w:vAlign w:val="bottom"/>
          </w:tcPr>
          <w:p w14:paraId="3DF7C91B" w14:textId="2FC8BD0B" w:rsidR="00C4312E" w:rsidRPr="002B115F" w:rsidRDefault="00C4312E" w:rsidP="00C4312E">
            <w:pPr>
              <w:jc w:val="center"/>
              <w:rPr>
                <w:lang w:val="en-US"/>
              </w:rPr>
            </w:pPr>
            <w:r w:rsidRPr="002B115F">
              <w:rPr>
                <w:noProof/>
                <w:lang w:eastAsia="en-ZA"/>
              </w:rPr>
              <w:drawing>
                <wp:inline distT="0" distB="0" distL="0" distR="0" wp14:anchorId="224875F5" wp14:editId="30F7DC3C">
                  <wp:extent cx="668020" cy="668020"/>
                  <wp:effectExtent l="0" t="0" r="0" b="0"/>
                  <wp:docPr id="51319" name="Picture 5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8020" cy="668020"/>
                          </a:xfrm>
                          <a:prstGeom prst="rect">
                            <a:avLst/>
                          </a:prstGeom>
                          <a:noFill/>
                          <a:ln>
                            <a:noFill/>
                          </a:ln>
                        </pic:spPr>
                      </pic:pic>
                    </a:graphicData>
                  </a:graphic>
                </wp:inline>
              </w:drawing>
            </w:r>
          </w:p>
        </w:tc>
      </w:tr>
    </w:tbl>
    <w:p w14:paraId="4120A4DE" w14:textId="56A46920" w:rsidR="00C4312E" w:rsidRPr="002B115F" w:rsidRDefault="002328F9" w:rsidP="00A4648A">
      <w:pPr>
        <w:jc w:val="both"/>
        <w:rPr>
          <w:lang w:val="en-US"/>
        </w:rPr>
      </w:pPr>
      <w:r w:rsidRPr="002B115F">
        <w:rPr>
          <w:noProof/>
          <w:lang w:val="en-US"/>
        </w:rPr>
        <w:drawing>
          <wp:anchor distT="0" distB="0" distL="114300" distR="114300" simplePos="0" relativeHeight="251977728" behindDoc="0" locked="0" layoutInCell="1" allowOverlap="1" wp14:anchorId="3BB85F0C" wp14:editId="20B2BCD9">
            <wp:simplePos x="0" y="0"/>
            <wp:positionH relativeFrom="column">
              <wp:posOffset>-635</wp:posOffset>
            </wp:positionH>
            <wp:positionV relativeFrom="paragraph">
              <wp:posOffset>195580</wp:posOffset>
            </wp:positionV>
            <wp:extent cx="3011805" cy="1304925"/>
            <wp:effectExtent l="0" t="0" r="0" b="9525"/>
            <wp:wrapSquare wrapText="bothSides"/>
            <wp:docPr id="51133" name="Picture 5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11805" cy="1304925"/>
                    </a:xfrm>
                    <a:prstGeom prst="rect">
                      <a:avLst/>
                    </a:prstGeom>
                    <a:noFill/>
                  </pic:spPr>
                </pic:pic>
              </a:graphicData>
            </a:graphic>
          </wp:anchor>
        </w:drawing>
      </w:r>
    </w:p>
    <w:p w14:paraId="6FE804ED" w14:textId="597C8A4F" w:rsidR="00B94185" w:rsidRPr="00D06CE5" w:rsidRDefault="00B94185" w:rsidP="00C5267D">
      <w:pPr>
        <w:rPr>
          <w:lang w:val="en-US"/>
        </w:rPr>
      </w:pPr>
      <w:r w:rsidRPr="002B115F">
        <w:rPr>
          <w:lang w:val="en-US"/>
        </w:rPr>
        <w:t xml:space="preserve">The South African Chamber of Commerce and Industry (SACCI) BCI increased from 93.0 index points in May 2019 to 93.3 index points in June 2019, with an average of 93.3 index points in Q2 of 2019 in comparison </w:t>
      </w:r>
      <w:r w:rsidR="002B115F">
        <w:rPr>
          <w:lang w:val="en-US"/>
        </w:rPr>
        <w:t xml:space="preserve">to a first quarter mean of </w:t>
      </w:r>
      <w:r w:rsidRPr="002B115F">
        <w:rPr>
          <w:lang w:val="en-US"/>
        </w:rPr>
        <w:t xml:space="preserve">93.4. </w:t>
      </w:r>
    </w:p>
    <w:p w14:paraId="3311E126" w14:textId="6AFC6E90" w:rsidR="00B94185" w:rsidRPr="00D06CE5" w:rsidRDefault="00B94185" w:rsidP="00C5267D">
      <w:pPr>
        <w:rPr>
          <w:color w:val="252524"/>
          <w:shd w:val="clear" w:color="auto" w:fill="FFFFFF"/>
        </w:rPr>
      </w:pPr>
      <w:r w:rsidRPr="00D06CE5">
        <w:rPr>
          <w:lang w:val="en-US"/>
        </w:rPr>
        <w:t xml:space="preserve">The main reasoning for this weaker measurement of the business climate was a depreciation of the rand, </w:t>
      </w:r>
      <w:r w:rsidR="002B115F">
        <w:rPr>
          <w:lang w:val="en-US"/>
        </w:rPr>
        <w:t xml:space="preserve">the </w:t>
      </w:r>
      <w:r w:rsidRPr="00D06CE5">
        <w:rPr>
          <w:lang w:val="en-US"/>
        </w:rPr>
        <w:t>urgent need for structural reforms</w:t>
      </w:r>
      <w:r w:rsidR="002B115F">
        <w:rPr>
          <w:lang w:val="en-US"/>
        </w:rPr>
        <w:t xml:space="preserve"> weighing on the economic outlook, as well as </w:t>
      </w:r>
      <w:r w:rsidRPr="00D06CE5">
        <w:rPr>
          <w:lang w:val="en-US"/>
        </w:rPr>
        <w:t>fiscal deterioration and how SOEs and municipalities are led, managed and operated.</w:t>
      </w:r>
      <w:r w:rsidRPr="00D06CE5">
        <w:rPr>
          <w:rStyle w:val="EndnoteReference"/>
          <w:color w:val="252524"/>
          <w:shd w:val="clear" w:color="auto" w:fill="FFFFFF"/>
        </w:rPr>
        <w:endnoteReference w:id="32"/>
      </w:r>
    </w:p>
    <w:p w14:paraId="2FC3CFC8" w14:textId="40908F9A" w:rsidR="00643FB5" w:rsidRPr="00D06CE5" w:rsidRDefault="00643FB5" w:rsidP="00A4648A">
      <w:pPr>
        <w:jc w:val="both"/>
        <w:rPr>
          <w:color w:val="252524"/>
          <w:shd w:val="clear" w:color="auto" w:fill="FFFFFF"/>
        </w:rPr>
      </w:pPr>
    </w:p>
    <w:p w14:paraId="04E1E0A3" w14:textId="29C34934" w:rsidR="00643FB5" w:rsidRPr="00D06CE5" w:rsidRDefault="00643FB5" w:rsidP="00A4648A">
      <w:pPr>
        <w:jc w:val="both"/>
        <w:rPr>
          <w:color w:val="252524"/>
          <w:shd w:val="clear" w:color="auto" w:fill="FFFFFF"/>
        </w:rPr>
      </w:pPr>
    </w:p>
    <w:p w14:paraId="3B2B7143" w14:textId="20C0206F" w:rsidR="00643FB5" w:rsidRPr="00D06CE5" w:rsidRDefault="002339D2" w:rsidP="002339D2">
      <w:pPr>
        <w:pStyle w:val="Heading1"/>
        <w:ind w:left="567" w:hanging="567"/>
      </w:pPr>
      <w:bookmarkStart w:id="18" w:name="_Toc18408720"/>
      <w:r>
        <w:t>Conclusion: w</w:t>
      </w:r>
      <w:r w:rsidR="00643FB5" w:rsidRPr="00D06CE5">
        <w:t xml:space="preserve">hat is the State of the South African </w:t>
      </w:r>
      <w:r>
        <w:t>economy</w:t>
      </w:r>
      <w:bookmarkEnd w:id="18"/>
    </w:p>
    <w:p w14:paraId="2EA4D21C" w14:textId="65033349" w:rsidR="002339D2" w:rsidRPr="002339D2" w:rsidRDefault="00D70D0C" w:rsidP="00D70D0C">
      <w:pPr>
        <w:rPr>
          <w:color w:val="000000" w:themeColor="text1"/>
          <w:lang w:val="en-US"/>
        </w:rPr>
      </w:pPr>
      <w:r w:rsidRPr="00D70D0C">
        <w:rPr>
          <w:noProof/>
        </w:rPr>
        <w:drawing>
          <wp:anchor distT="0" distB="0" distL="114300" distR="114300" simplePos="0" relativeHeight="251986944" behindDoc="0" locked="0" layoutInCell="1" allowOverlap="1" wp14:anchorId="7509D0FE" wp14:editId="39821ED0">
            <wp:simplePos x="0" y="0"/>
            <wp:positionH relativeFrom="margin">
              <wp:posOffset>-25472</wp:posOffset>
            </wp:positionH>
            <wp:positionV relativeFrom="paragraph">
              <wp:posOffset>-2540</wp:posOffset>
            </wp:positionV>
            <wp:extent cx="2710180" cy="23031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10180"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2199" w:rsidRPr="002339D2">
        <w:rPr>
          <w:color w:val="000000" w:themeColor="text1"/>
          <w:lang w:val="en-US"/>
        </w:rPr>
        <w:t xml:space="preserve">The above sections reflected on 14 economic indicators </w:t>
      </w:r>
      <w:proofErr w:type="gramStart"/>
      <w:r w:rsidR="00452199" w:rsidRPr="002339D2">
        <w:rPr>
          <w:color w:val="000000" w:themeColor="text1"/>
          <w:lang w:val="en-US"/>
        </w:rPr>
        <w:t>in order to</w:t>
      </w:r>
      <w:proofErr w:type="gramEnd"/>
      <w:r w:rsidR="00452199" w:rsidRPr="002339D2">
        <w:rPr>
          <w:color w:val="000000" w:themeColor="text1"/>
          <w:lang w:val="en-US"/>
        </w:rPr>
        <w:t xml:space="preserve"> gauge the health of the South African economy </w:t>
      </w:r>
      <w:r w:rsidR="002339D2" w:rsidRPr="002339D2">
        <w:rPr>
          <w:color w:val="000000" w:themeColor="text1"/>
          <w:lang w:val="en-US"/>
        </w:rPr>
        <w:t xml:space="preserve">alongside the </w:t>
      </w:r>
      <w:r w:rsidR="00452199" w:rsidRPr="002339D2">
        <w:rPr>
          <w:color w:val="000000" w:themeColor="text1"/>
          <w:lang w:val="en-US"/>
        </w:rPr>
        <w:t xml:space="preserve">GDP data release. Out of the 14 indicators, only </w:t>
      </w:r>
      <w:r w:rsidR="002339D2" w:rsidRPr="002339D2">
        <w:rPr>
          <w:color w:val="000000" w:themeColor="text1"/>
          <w:lang w:val="en-US"/>
        </w:rPr>
        <w:t xml:space="preserve">three – business confidence, policy uncertainty and the business climate indicator – has shown no improvement or deterioration during the second quarter of 2019. The other 11 indicators all registered some improvement – and notable gains in some cases. </w:t>
      </w:r>
      <w:r w:rsidR="002339D2">
        <w:rPr>
          <w:color w:val="000000" w:themeColor="text1"/>
          <w:lang w:val="en-US"/>
        </w:rPr>
        <w:t xml:space="preserve">This is also reflected in the improved GDP data outcome. </w:t>
      </w:r>
      <w:bookmarkStart w:id="19" w:name="_GoBack"/>
      <w:bookmarkEnd w:id="19"/>
    </w:p>
    <w:p w14:paraId="33FB39AE" w14:textId="77777777" w:rsidR="00A02ACF" w:rsidRDefault="00A02ACF" w:rsidP="00452199">
      <w:pPr>
        <w:jc w:val="both"/>
        <w:rPr>
          <w:lang w:val="en-US"/>
        </w:rPr>
      </w:pPr>
    </w:p>
    <w:p w14:paraId="741E88CA" w14:textId="77777777" w:rsidR="00A02ACF" w:rsidRDefault="00A02ACF" w:rsidP="00452199">
      <w:pPr>
        <w:jc w:val="both"/>
        <w:rPr>
          <w:lang w:val="en-US"/>
        </w:rPr>
      </w:pPr>
    </w:p>
    <w:p w14:paraId="2EA2767E" w14:textId="14E5311C" w:rsidR="002D56AF" w:rsidRPr="00CE05FE" w:rsidRDefault="002339D2" w:rsidP="00CE05FE">
      <w:pPr>
        <w:pStyle w:val="Heading1"/>
        <w:ind w:left="567" w:hanging="567"/>
      </w:pPr>
      <w:bookmarkStart w:id="20" w:name="_Toc18408721"/>
      <w:r>
        <w:lastRenderedPageBreak/>
        <w:t>Co</w:t>
      </w:r>
      <w:r w:rsidR="00CE05FE">
        <w:t>ntacts</w:t>
      </w:r>
      <w:bookmarkEnd w:id="20"/>
    </w:p>
    <w:tbl>
      <w:tblPr>
        <w:tblStyle w:val="GridTable1Light-Accent211"/>
        <w:tblpPr w:leftFromText="180" w:rightFromText="180" w:vertAnchor="text" w:horzAnchor="margin" w:tblpY="-51"/>
        <w:tblW w:w="0" w:type="auto"/>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Look w:val="04A0" w:firstRow="1" w:lastRow="0" w:firstColumn="1" w:lastColumn="0" w:noHBand="0" w:noVBand="1"/>
      </w:tblPr>
      <w:tblGrid>
        <w:gridCol w:w="2093"/>
        <w:gridCol w:w="6520"/>
      </w:tblGrid>
      <w:tr w:rsidR="002D56AF" w:rsidRPr="00356BDA" w14:paraId="62B990D3" w14:textId="77777777" w:rsidTr="009A0FB2">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8613" w:type="dxa"/>
            <w:gridSpan w:val="2"/>
            <w:tcBorders>
              <w:bottom w:val="none" w:sz="0" w:space="0" w:color="auto"/>
            </w:tcBorders>
          </w:tcPr>
          <w:p w14:paraId="46205DC1" w14:textId="235D9D49" w:rsidR="002D56AF" w:rsidRPr="00CE05FE" w:rsidRDefault="002D56AF" w:rsidP="00CE05FE">
            <w:pPr>
              <w:pStyle w:val="Heading1"/>
              <w:numPr>
                <w:ilvl w:val="0"/>
                <w:numId w:val="0"/>
              </w:numPr>
              <w:ind w:left="432" w:hanging="432"/>
              <w:outlineLvl w:val="0"/>
              <w:rPr>
                <w:b/>
                <w:bCs/>
                <w:sz w:val="18"/>
              </w:rPr>
            </w:pPr>
          </w:p>
        </w:tc>
      </w:tr>
      <w:tr w:rsidR="002D56AF" w:rsidRPr="00356BDA" w14:paraId="4DE301EF" w14:textId="77777777" w:rsidTr="009A0FB2">
        <w:trPr>
          <w:trHeight w:val="2163"/>
        </w:trPr>
        <w:tc>
          <w:tcPr>
            <w:cnfStyle w:val="001000000000" w:firstRow="0" w:lastRow="0" w:firstColumn="1" w:lastColumn="0" w:oddVBand="0" w:evenVBand="0" w:oddHBand="0" w:evenHBand="0" w:firstRowFirstColumn="0" w:firstRowLastColumn="0" w:lastRowFirstColumn="0" w:lastRowLastColumn="0"/>
            <w:tcW w:w="2093" w:type="dxa"/>
          </w:tcPr>
          <w:p w14:paraId="03F5D515" w14:textId="77777777" w:rsidR="002D56AF" w:rsidRPr="002D56AF" w:rsidRDefault="002D56AF" w:rsidP="009A0FB2">
            <w:pPr>
              <w:pStyle w:val="PwCParagraph"/>
              <w:rPr>
                <w:rFonts w:asciiTheme="majorHAnsi" w:hAnsiTheme="majorHAnsi"/>
              </w:rPr>
            </w:pPr>
            <w:r w:rsidRPr="002D56AF">
              <w:rPr>
                <w:noProof/>
                <w:lang w:val="en-ZA" w:eastAsia="en-ZA"/>
              </w:rPr>
              <w:drawing>
                <wp:anchor distT="0" distB="0" distL="114300" distR="114300" simplePos="0" relativeHeight="251962368" behindDoc="0" locked="0" layoutInCell="1" allowOverlap="1" wp14:anchorId="238A866F" wp14:editId="14540321">
                  <wp:simplePos x="0" y="0"/>
                  <wp:positionH relativeFrom="column">
                    <wp:posOffset>192405</wp:posOffset>
                  </wp:positionH>
                  <wp:positionV relativeFrom="paragraph">
                    <wp:posOffset>133985</wp:posOffset>
                  </wp:positionV>
                  <wp:extent cx="869133" cy="1124761"/>
                  <wp:effectExtent l="57150" t="76200" r="64770" b="75565"/>
                  <wp:wrapNone/>
                  <wp:docPr id="5088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44" cstate="print">
                            <a:grayscl/>
                            <a:extLst>
                              <a:ext uri="{28A0092B-C50C-407E-A947-70E740481C1C}">
                                <a14:useLocalDpi xmlns:a14="http://schemas.microsoft.com/office/drawing/2010/main" val="0"/>
                              </a:ext>
                            </a:extLst>
                          </a:blip>
                          <a:srcRect b="13191"/>
                          <a:stretch/>
                        </pic:blipFill>
                        <pic:spPr>
                          <a:xfrm>
                            <a:off x="0" y="0"/>
                            <a:ext cx="869133" cy="1124761"/>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tc>
        <w:tc>
          <w:tcPr>
            <w:tcW w:w="6520" w:type="dxa"/>
            <w:vAlign w:val="center"/>
          </w:tcPr>
          <w:p w14:paraId="08FC45B9"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sz w:val="24"/>
              </w:rPr>
            </w:pPr>
            <w:r w:rsidRPr="002D56AF">
              <w:rPr>
                <w:rFonts w:asciiTheme="majorHAnsi" w:hAnsiTheme="majorHAnsi"/>
                <w:b/>
                <w:bCs/>
                <w:i/>
                <w:iCs/>
                <w:sz w:val="24"/>
              </w:rPr>
              <w:t xml:space="preserve">Lullu Krugel </w:t>
            </w:r>
          </w:p>
          <w:p w14:paraId="510B7B6F"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b/>
                <w:bCs/>
                <w:i/>
                <w:iCs/>
              </w:rPr>
            </w:pPr>
            <w:r w:rsidRPr="002D56AF">
              <w:rPr>
                <w:rFonts w:asciiTheme="majorHAnsi" w:hAnsiTheme="majorHAnsi"/>
                <w:b/>
                <w:bCs/>
                <w:i/>
                <w:iCs/>
              </w:rPr>
              <w:t xml:space="preserve">Chief Economist, Partner </w:t>
            </w:r>
          </w:p>
          <w:p w14:paraId="408B3820" w14:textId="5BC2F061"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rPr>
              <w:t xml:space="preserve">E: lullu.krugel@pwc.com </w:t>
            </w:r>
          </w:p>
          <w:p w14:paraId="37F5058F"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rPr>
              <w:t>T: +27 (0)11 797 4929</w:t>
            </w:r>
          </w:p>
        </w:tc>
      </w:tr>
      <w:tr w:rsidR="002D56AF" w:rsidRPr="00356BDA" w14:paraId="005DA4DE" w14:textId="77777777" w:rsidTr="009A0FB2">
        <w:trPr>
          <w:trHeight w:val="2163"/>
        </w:trPr>
        <w:tc>
          <w:tcPr>
            <w:cnfStyle w:val="001000000000" w:firstRow="0" w:lastRow="0" w:firstColumn="1" w:lastColumn="0" w:oddVBand="0" w:evenVBand="0" w:oddHBand="0" w:evenHBand="0" w:firstRowFirstColumn="0" w:firstRowLastColumn="0" w:lastRowFirstColumn="0" w:lastRowLastColumn="0"/>
            <w:tcW w:w="2093" w:type="dxa"/>
          </w:tcPr>
          <w:p w14:paraId="18CE1680" w14:textId="77777777" w:rsidR="002D56AF" w:rsidRPr="002D56AF" w:rsidRDefault="002D56AF" w:rsidP="009A0FB2">
            <w:pPr>
              <w:pStyle w:val="PwCParagraph"/>
              <w:jc w:val="center"/>
              <w:rPr>
                <w:rFonts w:asciiTheme="majorHAnsi" w:hAnsiTheme="majorHAnsi"/>
              </w:rPr>
            </w:pPr>
            <w:r w:rsidRPr="002D56AF">
              <w:rPr>
                <w:rFonts w:asciiTheme="majorHAnsi" w:hAnsiTheme="majorHAnsi"/>
                <w:noProof/>
                <w:lang w:val="en-ZA" w:eastAsia="en-ZA"/>
              </w:rPr>
              <w:drawing>
                <wp:inline distT="0" distB="0" distL="0" distR="0" wp14:anchorId="7608D0B1" wp14:editId="4B3B0FFC">
                  <wp:extent cx="839459" cy="1048579"/>
                  <wp:effectExtent l="0" t="0" r="0" b="0"/>
                  <wp:docPr id="50881" name="Picture 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45219" cy="1055774"/>
                          </a:xfrm>
                          <a:prstGeom prst="rect">
                            <a:avLst/>
                          </a:prstGeom>
                        </pic:spPr>
                      </pic:pic>
                    </a:graphicData>
                  </a:graphic>
                </wp:inline>
              </w:drawing>
            </w:r>
          </w:p>
        </w:tc>
        <w:tc>
          <w:tcPr>
            <w:tcW w:w="6520" w:type="dxa"/>
            <w:vAlign w:val="center"/>
          </w:tcPr>
          <w:p w14:paraId="3541FCD3"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sz w:val="24"/>
                <w:lang w:val="en-US"/>
              </w:rPr>
            </w:pPr>
            <w:r w:rsidRPr="002D56AF">
              <w:rPr>
                <w:rFonts w:asciiTheme="majorHAnsi" w:hAnsiTheme="majorHAnsi"/>
                <w:b/>
                <w:bCs/>
                <w:i/>
                <w:iCs/>
                <w:sz w:val="24"/>
              </w:rPr>
              <w:t>Christie Viljoen</w:t>
            </w:r>
          </w:p>
          <w:p w14:paraId="3F8CF9B4"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2D56AF">
              <w:rPr>
                <w:rFonts w:asciiTheme="majorHAnsi" w:hAnsiTheme="majorHAnsi"/>
                <w:b/>
                <w:bCs/>
                <w:i/>
                <w:iCs/>
              </w:rPr>
              <w:t>Economist, Manager</w:t>
            </w:r>
          </w:p>
          <w:p w14:paraId="1E543A12"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2D56AF">
              <w:rPr>
                <w:rFonts w:asciiTheme="majorHAnsi" w:hAnsiTheme="majorHAnsi"/>
                <w:b/>
                <w:bCs/>
              </w:rPr>
              <w:t>E</w:t>
            </w:r>
            <w:r w:rsidRPr="002D56AF">
              <w:rPr>
                <w:rFonts w:asciiTheme="majorHAnsi" w:hAnsiTheme="majorHAnsi"/>
              </w:rPr>
              <w:t>: christie.viljoen@pwc.com</w:t>
            </w:r>
          </w:p>
          <w:p w14:paraId="2044898D" w14:textId="77777777" w:rsidR="002D56AF" w:rsidRPr="002D56AF" w:rsidRDefault="002D56AF" w:rsidP="009A0FB2">
            <w:pPr>
              <w:pStyle w:val="PwCParagraph"/>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2D56AF">
              <w:rPr>
                <w:rFonts w:asciiTheme="majorHAnsi" w:hAnsiTheme="majorHAnsi"/>
                <w:b/>
                <w:bCs/>
              </w:rPr>
              <w:t>T</w:t>
            </w:r>
            <w:r w:rsidRPr="002D56AF">
              <w:rPr>
                <w:rFonts w:asciiTheme="majorHAnsi" w:hAnsiTheme="majorHAnsi"/>
              </w:rPr>
              <w:t>: +27 (0)21 529 2595</w:t>
            </w:r>
          </w:p>
        </w:tc>
      </w:tr>
    </w:tbl>
    <w:p w14:paraId="5E67CD19" w14:textId="77777777" w:rsidR="00327EF2" w:rsidRDefault="00327EF2" w:rsidP="00A4648A">
      <w:pPr>
        <w:jc w:val="both"/>
        <w:rPr>
          <w:color w:val="252524"/>
          <w:shd w:val="clear" w:color="auto" w:fill="FFFFFF"/>
        </w:rPr>
      </w:pPr>
    </w:p>
    <w:p w14:paraId="08C16F5D" w14:textId="4DC279B9" w:rsidR="00AC41F5" w:rsidRDefault="00AC41F5" w:rsidP="00DB575E">
      <w:pPr>
        <w:spacing w:after="160" w:line="259" w:lineRule="auto"/>
        <w:rPr>
          <w:rFonts w:asciiTheme="majorHAnsi" w:eastAsiaTheme="minorHAnsi" w:hAnsiTheme="majorHAnsi" w:cstheme="minorBidi"/>
          <w:i/>
          <w:color w:val="000000" w:themeColor="text1"/>
          <w:sz w:val="18"/>
        </w:rPr>
      </w:pPr>
    </w:p>
    <w:p w14:paraId="38C4837A" w14:textId="0303A6B2" w:rsidR="00AC41F5" w:rsidRDefault="00AC41F5" w:rsidP="00DB575E">
      <w:pPr>
        <w:spacing w:after="160" w:line="259" w:lineRule="auto"/>
        <w:rPr>
          <w:rFonts w:asciiTheme="majorHAnsi" w:eastAsiaTheme="minorHAnsi" w:hAnsiTheme="majorHAnsi" w:cstheme="minorBidi"/>
          <w:i/>
          <w:color w:val="000000" w:themeColor="text1"/>
          <w:sz w:val="18"/>
        </w:rPr>
      </w:pPr>
    </w:p>
    <w:p w14:paraId="3E1EB1E3" w14:textId="23E31A8A" w:rsidR="00AC41F5" w:rsidRDefault="00AC41F5" w:rsidP="00DB575E">
      <w:pPr>
        <w:spacing w:after="160" w:line="259" w:lineRule="auto"/>
        <w:rPr>
          <w:rFonts w:asciiTheme="majorHAnsi" w:eastAsiaTheme="minorHAnsi" w:hAnsiTheme="majorHAnsi" w:cstheme="minorBidi"/>
          <w:i/>
          <w:color w:val="000000" w:themeColor="text1"/>
          <w:sz w:val="18"/>
        </w:rPr>
      </w:pPr>
    </w:p>
    <w:p w14:paraId="5A7DE344" w14:textId="16C40BE0" w:rsidR="00AC41F5" w:rsidRDefault="00AC41F5" w:rsidP="00DB575E">
      <w:pPr>
        <w:spacing w:after="160" w:line="259" w:lineRule="auto"/>
        <w:rPr>
          <w:rFonts w:asciiTheme="majorHAnsi" w:eastAsiaTheme="minorHAnsi" w:hAnsiTheme="majorHAnsi" w:cstheme="minorBidi"/>
          <w:i/>
          <w:color w:val="000000" w:themeColor="text1"/>
          <w:sz w:val="18"/>
        </w:rPr>
      </w:pPr>
    </w:p>
    <w:p w14:paraId="7A0852D5" w14:textId="777FC384" w:rsidR="00AC41F5" w:rsidRDefault="00AC41F5" w:rsidP="00DB575E">
      <w:pPr>
        <w:spacing w:after="160" w:line="259" w:lineRule="auto"/>
        <w:rPr>
          <w:rFonts w:asciiTheme="majorHAnsi" w:eastAsiaTheme="minorHAnsi" w:hAnsiTheme="majorHAnsi" w:cstheme="minorBidi"/>
          <w:i/>
          <w:color w:val="000000" w:themeColor="text1"/>
          <w:sz w:val="18"/>
        </w:rPr>
      </w:pPr>
    </w:p>
    <w:p w14:paraId="7B7C9629" w14:textId="1210E1BB" w:rsidR="00AC41F5" w:rsidRDefault="00AC41F5" w:rsidP="00DB575E">
      <w:pPr>
        <w:spacing w:after="160" w:line="259" w:lineRule="auto"/>
        <w:rPr>
          <w:rFonts w:asciiTheme="majorHAnsi" w:eastAsiaTheme="minorHAnsi" w:hAnsiTheme="majorHAnsi" w:cstheme="minorBidi"/>
          <w:i/>
          <w:color w:val="000000" w:themeColor="text1"/>
          <w:sz w:val="18"/>
        </w:rPr>
      </w:pPr>
    </w:p>
    <w:p w14:paraId="2CB06B19" w14:textId="43BB3957" w:rsidR="00AC41F5" w:rsidRDefault="00AC41F5" w:rsidP="00DB575E">
      <w:pPr>
        <w:spacing w:after="160" w:line="259" w:lineRule="auto"/>
        <w:rPr>
          <w:rFonts w:asciiTheme="majorHAnsi" w:eastAsiaTheme="minorHAnsi" w:hAnsiTheme="majorHAnsi" w:cstheme="minorBidi"/>
          <w:i/>
          <w:color w:val="000000" w:themeColor="text1"/>
          <w:sz w:val="18"/>
        </w:rPr>
      </w:pPr>
    </w:p>
    <w:p w14:paraId="0093912E" w14:textId="52C5BDE4" w:rsidR="00AC41F5" w:rsidRDefault="00AC41F5" w:rsidP="00DB575E">
      <w:pPr>
        <w:spacing w:after="160" w:line="259" w:lineRule="auto"/>
        <w:rPr>
          <w:rFonts w:asciiTheme="majorHAnsi" w:eastAsiaTheme="minorHAnsi" w:hAnsiTheme="majorHAnsi" w:cstheme="minorBidi"/>
          <w:i/>
          <w:color w:val="000000" w:themeColor="text1"/>
          <w:sz w:val="18"/>
        </w:rPr>
      </w:pPr>
    </w:p>
    <w:p w14:paraId="0712AB93" w14:textId="198168D4" w:rsidR="00AC41F5" w:rsidRDefault="00AC41F5" w:rsidP="00DB575E">
      <w:pPr>
        <w:spacing w:after="160" w:line="259" w:lineRule="auto"/>
        <w:rPr>
          <w:rFonts w:asciiTheme="majorHAnsi" w:eastAsiaTheme="minorHAnsi" w:hAnsiTheme="majorHAnsi" w:cstheme="minorBidi"/>
          <w:i/>
          <w:color w:val="000000" w:themeColor="text1"/>
          <w:sz w:val="18"/>
        </w:rPr>
      </w:pPr>
    </w:p>
    <w:p w14:paraId="149F39D3" w14:textId="0EA3980E" w:rsidR="00AC41F5" w:rsidRDefault="00AC41F5" w:rsidP="00DB575E">
      <w:pPr>
        <w:spacing w:after="160" w:line="259" w:lineRule="auto"/>
        <w:rPr>
          <w:rFonts w:asciiTheme="majorHAnsi" w:eastAsiaTheme="minorHAnsi" w:hAnsiTheme="majorHAnsi" w:cstheme="minorBidi"/>
          <w:i/>
          <w:color w:val="000000" w:themeColor="text1"/>
          <w:sz w:val="18"/>
        </w:rPr>
      </w:pPr>
    </w:p>
    <w:p w14:paraId="350D18F1" w14:textId="5111B84D" w:rsidR="00AC41F5" w:rsidRDefault="00AC41F5" w:rsidP="00DB575E">
      <w:pPr>
        <w:spacing w:after="160" w:line="259" w:lineRule="auto"/>
        <w:rPr>
          <w:rFonts w:asciiTheme="majorHAnsi" w:eastAsiaTheme="minorHAnsi" w:hAnsiTheme="majorHAnsi" w:cstheme="minorBidi"/>
          <w:i/>
          <w:color w:val="000000" w:themeColor="text1"/>
          <w:sz w:val="18"/>
        </w:rPr>
      </w:pPr>
    </w:p>
    <w:p w14:paraId="2FD84BFF" w14:textId="0E5C2CDD" w:rsidR="00AC41F5" w:rsidRDefault="00AC41F5" w:rsidP="00DB575E">
      <w:pPr>
        <w:spacing w:after="160" w:line="259" w:lineRule="auto"/>
        <w:rPr>
          <w:rFonts w:asciiTheme="majorHAnsi" w:eastAsiaTheme="minorHAnsi" w:hAnsiTheme="majorHAnsi" w:cstheme="minorBidi"/>
          <w:i/>
          <w:color w:val="000000" w:themeColor="text1"/>
          <w:sz w:val="18"/>
        </w:rPr>
      </w:pPr>
    </w:p>
    <w:p w14:paraId="0131DD93" w14:textId="0C3B395A" w:rsidR="00AC41F5" w:rsidRDefault="00AC41F5" w:rsidP="00DB575E">
      <w:pPr>
        <w:spacing w:after="160" w:line="259" w:lineRule="auto"/>
        <w:rPr>
          <w:rFonts w:asciiTheme="majorHAnsi" w:eastAsiaTheme="minorHAnsi" w:hAnsiTheme="majorHAnsi" w:cstheme="minorBidi"/>
          <w:i/>
          <w:color w:val="000000" w:themeColor="text1"/>
          <w:sz w:val="18"/>
        </w:rPr>
      </w:pPr>
    </w:p>
    <w:p w14:paraId="5713F295" w14:textId="79FDB32A" w:rsidR="00AC41F5" w:rsidRDefault="00AC41F5" w:rsidP="00DB575E">
      <w:pPr>
        <w:spacing w:after="160" w:line="259" w:lineRule="auto"/>
        <w:rPr>
          <w:rFonts w:asciiTheme="majorHAnsi" w:eastAsiaTheme="minorHAnsi" w:hAnsiTheme="majorHAnsi" w:cstheme="minorBidi"/>
          <w:i/>
          <w:color w:val="000000" w:themeColor="text1"/>
          <w:sz w:val="18"/>
        </w:rPr>
      </w:pPr>
    </w:p>
    <w:p w14:paraId="3C6216EE" w14:textId="77777777" w:rsidR="00AC41F5" w:rsidRDefault="00AC41F5" w:rsidP="00DB575E">
      <w:pPr>
        <w:spacing w:after="160" w:line="259" w:lineRule="auto"/>
        <w:rPr>
          <w:rFonts w:asciiTheme="majorHAnsi" w:eastAsiaTheme="minorHAnsi" w:hAnsiTheme="majorHAnsi" w:cstheme="minorBidi"/>
          <w:i/>
          <w:color w:val="000000" w:themeColor="text1"/>
          <w:sz w:val="18"/>
        </w:rPr>
      </w:pPr>
    </w:p>
    <w:p w14:paraId="6C31B1A8" w14:textId="5A51D5E0" w:rsidR="0061008E" w:rsidRDefault="0061008E">
      <w:pPr>
        <w:spacing w:after="160" w:line="259" w:lineRule="auto"/>
        <w:rPr>
          <w:b/>
          <w:bCs/>
          <w:i/>
          <w:color w:val="A32020" w:themeColor="accent1"/>
          <w:sz w:val="28"/>
          <w:szCs w:val="26"/>
        </w:rPr>
      </w:pPr>
      <w:r>
        <w:br w:type="page"/>
      </w:r>
    </w:p>
    <w:p w14:paraId="1086CB78" w14:textId="2ECB75A8" w:rsidR="00EA64C8" w:rsidRPr="00B3347B" w:rsidRDefault="0061008E" w:rsidP="00452477">
      <w:pPr>
        <w:pStyle w:val="Normal0"/>
      </w:pPr>
      <w:r w:rsidRPr="0061008E">
        <w:rPr>
          <w:noProof/>
          <w:lang w:eastAsia="en-ZA"/>
        </w:rPr>
        <w:lastRenderedPageBreak/>
        <w:drawing>
          <wp:anchor distT="0" distB="0" distL="114300" distR="114300" simplePos="0" relativeHeight="251919360" behindDoc="0" locked="0" layoutInCell="1" allowOverlap="1" wp14:anchorId="4E6D8133" wp14:editId="780A3007">
            <wp:simplePos x="0" y="0"/>
            <wp:positionH relativeFrom="column">
              <wp:posOffset>-289560</wp:posOffset>
            </wp:positionH>
            <wp:positionV relativeFrom="paragraph">
              <wp:posOffset>8663305</wp:posOffset>
            </wp:positionV>
            <wp:extent cx="984250" cy="699770"/>
            <wp:effectExtent l="0" t="0" r="6350" b="5080"/>
            <wp:wrapNone/>
            <wp:docPr id="51316" name="Picture 5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46" cstate="print">
                      <a:extLst>
                        <a:ext uri="{28A0092B-C50C-407E-A947-70E740481C1C}">
                          <a14:useLocalDpi xmlns:a14="http://schemas.microsoft.com/office/drawing/2010/main" val="0"/>
                        </a:ext>
                      </a:extLst>
                    </a:blip>
                    <a:srcRect r="62667"/>
                    <a:stretch/>
                  </pic:blipFill>
                  <pic:spPr bwMode="auto">
                    <a:xfrm>
                      <a:off x="0" y="0"/>
                      <a:ext cx="984250" cy="699770"/>
                    </a:xfrm>
                    <a:prstGeom prst="rect">
                      <a:avLst/>
                    </a:prstGeom>
                    <a:noFill/>
                    <a:ln>
                      <a:noFill/>
                    </a:ln>
                    <a:extLst>
                      <a:ext uri="{53640926-AAD7-44D8-BBD7-CCE9431645EC}">
                        <a14:shadowObscured xmlns:a14="http://schemas.microsoft.com/office/drawing/2010/main"/>
                      </a:ext>
                    </a:extLst>
                  </pic:spPr>
                </pic:pic>
              </a:graphicData>
            </a:graphic>
          </wp:anchor>
        </w:drawing>
      </w:r>
      <w:r w:rsidRPr="0061008E">
        <w:rPr>
          <w:noProof/>
          <w:lang w:eastAsia="en-ZA"/>
        </w:rPr>
        <w:drawing>
          <wp:anchor distT="0" distB="0" distL="114300" distR="114300" simplePos="0" relativeHeight="251920384" behindDoc="0" locked="0" layoutInCell="1" allowOverlap="1" wp14:anchorId="2B0A0DB2" wp14:editId="39E175ED">
            <wp:simplePos x="0" y="0"/>
            <wp:positionH relativeFrom="column">
              <wp:posOffset>-291465</wp:posOffset>
            </wp:positionH>
            <wp:positionV relativeFrom="paragraph">
              <wp:posOffset>-905510</wp:posOffset>
            </wp:positionV>
            <wp:extent cx="1434465" cy="699135"/>
            <wp:effectExtent l="0" t="0" r="0" b="5715"/>
            <wp:wrapNone/>
            <wp:docPr id="51326" name="Picture 5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47" cstate="print">
                      <a:extLst>
                        <a:ext uri="{28A0092B-C50C-407E-A947-70E740481C1C}">
                          <a14:useLocalDpi xmlns:a14="http://schemas.microsoft.com/office/drawing/2010/main" val="0"/>
                        </a:ext>
                      </a:extLst>
                    </a:blip>
                    <a:srcRect l="45590"/>
                    <a:stretch/>
                  </pic:blipFill>
                  <pic:spPr bwMode="auto">
                    <a:xfrm>
                      <a:off x="0" y="0"/>
                      <a:ext cx="1434465" cy="699135"/>
                    </a:xfrm>
                    <a:prstGeom prst="rect">
                      <a:avLst/>
                    </a:prstGeom>
                    <a:solidFill>
                      <a:schemeClr val="bg2">
                        <a:lumMod val="50000"/>
                      </a:schemeClr>
                    </a:solidFill>
                    <a:ln>
                      <a:noFill/>
                    </a:ln>
                    <a:extLst>
                      <a:ext uri="{53640926-AAD7-44D8-BBD7-CCE9431645EC}">
                        <a14:shadowObscured xmlns:a14="http://schemas.microsoft.com/office/drawing/2010/main"/>
                      </a:ext>
                    </a:extLst>
                  </pic:spPr>
                </pic:pic>
              </a:graphicData>
            </a:graphic>
          </wp:anchor>
        </w:drawing>
      </w:r>
      <w:r w:rsidRPr="0061008E">
        <w:rPr>
          <w:noProof/>
          <w:lang w:eastAsia="en-ZA"/>
        </w:rPr>
        <mc:AlternateContent>
          <mc:Choice Requires="wps">
            <w:drawing>
              <wp:anchor distT="0" distB="0" distL="114300" distR="114300" simplePos="0" relativeHeight="251921408" behindDoc="1" locked="1" layoutInCell="1" allowOverlap="1" wp14:anchorId="3EE014EB" wp14:editId="32F511DB">
                <wp:simplePos x="0" y="0"/>
                <wp:positionH relativeFrom="page">
                  <wp:posOffset>-29210</wp:posOffset>
                </wp:positionH>
                <wp:positionV relativeFrom="page">
                  <wp:posOffset>28575</wp:posOffset>
                </wp:positionV>
                <wp:extent cx="7559675" cy="10691495"/>
                <wp:effectExtent l="0" t="0" r="22225" b="14605"/>
                <wp:wrapNone/>
                <wp:docPr id="513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9675" cy="10691495"/>
                        </a:xfrm>
                        <a:prstGeom prst="rect">
                          <a:avLst/>
                        </a:prstGeom>
                        <a:solidFill>
                          <a:schemeClr val="tx1"/>
                        </a:solidFill>
                        <a:ln>
                          <a:solidFill>
                            <a:schemeClr val="tx1"/>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3F028" id="Rectangle 2" o:spid="_x0000_s1026" style="position:absolute;margin-left:-2.3pt;margin-top:2.25pt;width:595.25pt;height:841.8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" fillcolor="black [3213]" strokecolor="black [3213]">
                <o:lock v:ext="edit" aspectratio="t"/>
                <w10:wrap anchorx="page" anchory="page"/>
                <w10:anchorlock/>
              </v:rect>
            </w:pict>
          </mc:Fallback>
        </mc:AlternateContent>
      </w:r>
    </w:p>
    <w:p w14:paraId="409297E0" w14:textId="00477FCF" w:rsidR="00B3347B" w:rsidRPr="00B3347B" w:rsidRDefault="00F878E1" w:rsidP="00452477">
      <w:pPr>
        <w:pStyle w:val="BodyText"/>
      </w:pPr>
      <w:r w:rsidRPr="00B37A02">
        <w:rPr>
          <w:noProof/>
          <w:lang w:eastAsia="en-ZA"/>
        </w:rPr>
        <mc:AlternateContent>
          <mc:Choice Requires="wps">
            <w:drawing>
              <wp:anchor distT="0" distB="0" distL="114300" distR="114300" simplePos="0" relativeHeight="251928576" behindDoc="0" locked="0" layoutInCell="1" allowOverlap="1" wp14:anchorId="043591A1" wp14:editId="679C19B6">
                <wp:simplePos x="0" y="0"/>
                <wp:positionH relativeFrom="margin">
                  <wp:align>right</wp:align>
                </wp:positionH>
                <wp:positionV relativeFrom="paragraph">
                  <wp:posOffset>7318587</wp:posOffset>
                </wp:positionV>
                <wp:extent cx="5517515" cy="2087033"/>
                <wp:effectExtent l="0" t="0" r="0" b="8890"/>
                <wp:wrapNone/>
                <wp:docPr id="51084" name="Text Box 5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087033"/>
                        </a:xfrm>
                        <a:prstGeom prst="rect">
                          <a:avLst/>
                        </a:prstGeom>
                        <a:noFill/>
                        <a:ln>
                          <a:noFill/>
                        </a:ln>
                        <a:extLst/>
                      </wps:spPr>
                      <wps:txbx>
                        <w:txbxContent>
                          <w:p w14:paraId="65208B0A"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 xml:space="preserve">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is protected under the copyright laws of South Africa and other countries as an unpublished work. 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2C82FE76"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At PwC, our purpose is to build trust in society and solve important problems. We are a network of firms in 158 countries with more than 236,000 people who are committed to delivering quality in assurance, advisory and tax services. Find out more and tell us what matters to you by visiting us at </w:t>
                            </w:r>
                            <w:hyperlink r:id="rId48" w:tgtFrame="_blank" w:history="1">
                              <w:r w:rsidRPr="00CC0FE6">
                                <w:rPr>
                                  <w:rFonts w:asciiTheme="majorHAnsi" w:hAnsiTheme="majorHAnsi" w:cstheme="minorHAnsi"/>
                                  <w:color w:val="FFFFFF" w:themeColor="background1"/>
                                  <w:sz w:val="16"/>
                                  <w:szCs w:val="18"/>
                                </w:rPr>
                                <w:t>www.pwc.com</w:t>
                              </w:r>
                            </w:hyperlink>
                            <w:r w:rsidRPr="00CC0FE6">
                              <w:rPr>
                                <w:rFonts w:asciiTheme="majorHAnsi" w:hAnsiTheme="majorHAnsi" w:cstheme="minorHAnsi"/>
                                <w:color w:val="FFFFFF" w:themeColor="background1"/>
                                <w:sz w:val="16"/>
                                <w:szCs w:val="18"/>
                              </w:rPr>
                              <w:t>.</w:t>
                            </w:r>
                          </w:p>
                          <w:p w14:paraId="3868CA10"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PwC refers to the PwC network and/or one or more of its member firms, each of which is a separate legal entity. Please see </w:t>
                            </w:r>
                            <w:hyperlink r:id="rId49" w:tgtFrame="_blank" w:history="1">
                              <w:r w:rsidRPr="00CC0FE6">
                                <w:rPr>
                                  <w:rFonts w:asciiTheme="majorHAnsi" w:hAnsiTheme="majorHAnsi" w:cstheme="minorHAnsi"/>
                                  <w:color w:val="FFFFFF" w:themeColor="background1"/>
                                  <w:sz w:val="16"/>
                                  <w:szCs w:val="18"/>
                                </w:rPr>
                                <w:t>www.pwc.com/structure</w:t>
                              </w:r>
                            </w:hyperlink>
                            <w:r w:rsidRPr="00CC0FE6">
                              <w:rPr>
                                <w:rFonts w:asciiTheme="majorHAnsi" w:hAnsiTheme="majorHAnsi" w:cstheme="minorHAnsi"/>
                                <w:color w:val="FFFFFF" w:themeColor="background1"/>
                                <w:sz w:val="16"/>
                                <w:szCs w:val="18"/>
                              </w:rPr>
                              <w:t> for further details.</w:t>
                            </w:r>
                          </w:p>
                          <w:p w14:paraId="271C8F72" w14:textId="33F88077" w:rsidR="00B22782" w:rsidRPr="00CC0FE6" w:rsidRDefault="00B22782" w:rsidP="00F878E1">
                            <w:pPr>
                              <w:spacing w:after="140"/>
                              <w:rPr>
                                <w:rFonts w:asciiTheme="majorHAnsi" w:hAnsiTheme="majorHAnsi" w:cstheme="minorHAnsi"/>
                                <w:color w:val="FFFFFF" w:themeColor="background1"/>
                                <w:sz w:val="16"/>
                                <w:szCs w:val="16"/>
                              </w:rPr>
                            </w:pPr>
                            <w:r w:rsidRPr="00CC0FE6">
                              <w:rPr>
                                <w:rFonts w:asciiTheme="majorHAnsi" w:hAnsiTheme="majorHAnsi" w:cstheme="minorHAnsi"/>
                                <w:color w:val="FFFFFF" w:themeColor="background1"/>
                                <w:sz w:val="16"/>
                                <w:szCs w:val="18"/>
                              </w:rPr>
                              <w:t>© 201</w:t>
                            </w:r>
                            <w:r>
                              <w:rPr>
                                <w:rFonts w:asciiTheme="majorHAnsi" w:hAnsiTheme="majorHAnsi" w:cstheme="minorHAnsi"/>
                                <w:color w:val="FFFFFF" w:themeColor="background1"/>
                                <w:sz w:val="16"/>
                                <w:szCs w:val="18"/>
                              </w:rPr>
                              <w:t>9</w:t>
                            </w:r>
                            <w:r w:rsidRPr="00CC0FE6">
                              <w:rPr>
                                <w:rFonts w:asciiTheme="majorHAnsi" w:hAnsiTheme="majorHAnsi" w:cstheme="minorHAnsi"/>
                                <w:color w:val="FFFFFF" w:themeColor="background1"/>
                                <w:sz w:val="16"/>
                                <w:szCs w:val="18"/>
                              </w:rPr>
                              <w:t xml:space="preserve"> PwC. All rights reserved</w:t>
                            </w:r>
                          </w:p>
                          <w:p w14:paraId="0DB7D4C5" w14:textId="77777777" w:rsidR="00B22782" w:rsidRDefault="00B22782" w:rsidP="00F878E1"/>
                          <w:p w14:paraId="606A4090"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73BBA96"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50"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79720A5E"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51"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2704BE59"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7C071C18" w14:textId="77777777" w:rsidR="00B22782" w:rsidRDefault="00B22782" w:rsidP="00F878E1"/>
                          <w:p w14:paraId="37CDB4AA"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989F9E"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52"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1F3063A4"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53"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6B4BFE"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154F18B5" w14:textId="77777777" w:rsidR="00B22782" w:rsidRDefault="00B22782" w:rsidP="00F878E1"/>
                          <w:p w14:paraId="16738B88"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BCA796"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54"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057614C4"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55"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074C91"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591A1" id="_x0000_t202" coordsize="21600,21600" o:spt="202" path="m,l,21600r21600,l21600,xe">
                <v:stroke joinstyle="miter"/>
                <v:path gradientshapeok="t" o:connecttype="rect"/>
              </v:shapetype>
              <v:shape id="Text Box 51084" o:spid="_x0000_s1026" type="#_x0000_t202" style="position:absolute;margin-left:383.25pt;margin-top:576.25pt;width:434.45pt;height:164.35pt;z-index:251928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" filled="f" stroked="f">
                <v:textbox>
                  <w:txbxContent>
                    <w:p w14:paraId="65208B0A"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 xml:space="preserve">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is protected under the copyright laws of South Africa and other countries as an unpublished work. This </w:t>
                      </w:r>
                      <w:r>
                        <w:rPr>
                          <w:rFonts w:asciiTheme="majorHAnsi" w:hAnsiTheme="majorHAnsi" w:cstheme="minorHAnsi"/>
                          <w:color w:val="FFFFFF" w:themeColor="background1"/>
                          <w:sz w:val="16"/>
                          <w:szCs w:val="18"/>
                        </w:rPr>
                        <w:t>report</w:t>
                      </w:r>
                      <w:r w:rsidRPr="00CC0FE6">
                        <w:rPr>
                          <w:rFonts w:asciiTheme="majorHAnsi" w:hAnsiTheme="majorHAnsi" w:cstheme="minorHAnsi"/>
                          <w:color w:val="FFFFFF" w:themeColor="background1"/>
                          <w:sz w:val="16"/>
                          <w:szCs w:val="18"/>
                        </w:rPr>
                        <w:t xml:space="preserve">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2C82FE76"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At PwC, our purpose is to build trust in society and solve important problems. We are a network of firms in 158 countries with more than 236,000 people who are committed to delivering quality in assurance, advisory and tax services. Find out more and tell us what matters to you by visiting us at </w:t>
                      </w:r>
                      <w:hyperlink r:id="rId56" w:tgtFrame="_blank" w:history="1">
                        <w:r w:rsidRPr="00CC0FE6">
                          <w:rPr>
                            <w:rFonts w:asciiTheme="majorHAnsi" w:hAnsiTheme="majorHAnsi" w:cstheme="minorHAnsi"/>
                            <w:color w:val="FFFFFF" w:themeColor="background1"/>
                            <w:sz w:val="16"/>
                            <w:szCs w:val="18"/>
                          </w:rPr>
                          <w:t>www.pwc.com</w:t>
                        </w:r>
                      </w:hyperlink>
                      <w:r w:rsidRPr="00CC0FE6">
                        <w:rPr>
                          <w:rFonts w:asciiTheme="majorHAnsi" w:hAnsiTheme="majorHAnsi" w:cstheme="minorHAnsi"/>
                          <w:color w:val="FFFFFF" w:themeColor="background1"/>
                          <w:sz w:val="16"/>
                          <w:szCs w:val="18"/>
                        </w:rPr>
                        <w:t>.</w:t>
                      </w:r>
                    </w:p>
                    <w:p w14:paraId="3868CA10" w14:textId="77777777" w:rsidR="00B22782" w:rsidRPr="00CC0FE6" w:rsidRDefault="00B22782" w:rsidP="00F878E1">
                      <w:pPr>
                        <w:spacing w:after="140"/>
                        <w:rPr>
                          <w:rFonts w:asciiTheme="majorHAnsi" w:hAnsiTheme="majorHAnsi" w:cstheme="minorHAnsi"/>
                          <w:color w:val="FFFFFF" w:themeColor="background1"/>
                          <w:sz w:val="16"/>
                          <w:szCs w:val="18"/>
                        </w:rPr>
                      </w:pPr>
                      <w:r w:rsidRPr="00CC0FE6">
                        <w:rPr>
                          <w:rFonts w:asciiTheme="majorHAnsi" w:hAnsiTheme="majorHAnsi" w:cstheme="minorHAnsi"/>
                          <w:color w:val="FFFFFF" w:themeColor="background1"/>
                          <w:sz w:val="16"/>
                          <w:szCs w:val="18"/>
                        </w:rPr>
                        <w:t>PwC refers to the PwC network and/or one or more of its member firms, each of which is a separate legal entity. Please see </w:t>
                      </w:r>
                      <w:hyperlink r:id="rId57" w:tgtFrame="_blank" w:history="1">
                        <w:r w:rsidRPr="00CC0FE6">
                          <w:rPr>
                            <w:rFonts w:asciiTheme="majorHAnsi" w:hAnsiTheme="majorHAnsi" w:cstheme="minorHAnsi"/>
                            <w:color w:val="FFFFFF" w:themeColor="background1"/>
                            <w:sz w:val="16"/>
                            <w:szCs w:val="18"/>
                          </w:rPr>
                          <w:t>www.pwc.com/structure</w:t>
                        </w:r>
                      </w:hyperlink>
                      <w:r w:rsidRPr="00CC0FE6">
                        <w:rPr>
                          <w:rFonts w:asciiTheme="majorHAnsi" w:hAnsiTheme="majorHAnsi" w:cstheme="minorHAnsi"/>
                          <w:color w:val="FFFFFF" w:themeColor="background1"/>
                          <w:sz w:val="16"/>
                          <w:szCs w:val="18"/>
                        </w:rPr>
                        <w:t> for further details.</w:t>
                      </w:r>
                    </w:p>
                    <w:p w14:paraId="271C8F72" w14:textId="33F88077" w:rsidR="00B22782" w:rsidRPr="00CC0FE6" w:rsidRDefault="00B22782" w:rsidP="00F878E1">
                      <w:pPr>
                        <w:spacing w:after="140"/>
                        <w:rPr>
                          <w:rFonts w:asciiTheme="majorHAnsi" w:hAnsiTheme="majorHAnsi" w:cstheme="minorHAnsi"/>
                          <w:color w:val="FFFFFF" w:themeColor="background1"/>
                          <w:sz w:val="16"/>
                          <w:szCs w:val="16"/>
                        </w:rPr>
                      </w:pPr>
                      <w:r w:rsidRPr="00CC0FE6">
                        <w:rPr>
                          <w:rFonts w:asciiTheme="majorHAnsi" w:hAnsiTheme="majorHAnsi" w:cstheme="minorHAnsi"/>
                          <w:color w:val="FFFFFF" w:themeColor="background1"/>
                          <w:sz w:val="16"/>
                          <w:szCs w:val="18"/>
                        </w:rPr>
                        <w:t>© 201</w:t>
                      </w:r>
                      <w:r>
                        <w:rPr>
                          <w:rFonts w:asciiTheme="majorHAnsi" w:hAnsiTheme="majorHAnsi" w:cstheme="minorHAnsi"/>
                          <w:color w:val="FFFFFF" w:themeColor="background1"/>
                          <w:sz w:val="16"/>
                          <w:szCs w:val="18"/>
                        </w:rPr>
                        <w:t>9</w:t>
                      </w:r>
                      <w:r w:rsidRPr="00CC0FE6">
                        <w:rPr>
                          <w:rFonts w:asciiTheme="majorHAnsi" w:hAnsiTheme="majorHAnsi" w:cstheme="minorHAnsi"/>
                          <w:color w:val="FFFFFF" w:themeColor="background1"/>
                          <w:sz w:val="16"/>
                          <w:szCs w:val="18"/>
                        </w:rPr>
                        <w:t xml:space="preserve"> PwC. All rights reserved</w:t>
                      </w:r>
                    </w:p>
                    <w:p w14:paraId="0DB7D4C5" w14:textId="77777777" w:rsidR="00B22782" w:rsidRDefault="00B22782" w:rsidP="00F878E1"/>
                    <w:p w14:paraId="606A4090"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73BBA96"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58"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79720A5E"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59"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2704BE59"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7C071C18" w14:textId="77777777" w:rsidR="00B22782" w:rsidRDefault="00B22782" w:rsidP="00F878E1"/>
                    <w:p w14:paraId="37CDB4AA"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989F9E"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0"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1F3063A4"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1"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6B4BFE"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p w14:paraId="154F18B5" w14:textId="77777777" w:rsidR="00B22782" w:rsidRDefault="00B22782" w:rsidP="00F878E1"/>
                    <w:p w14:paraId="16738B88" w14:textId="77777777" w:rsidR="00B22782" w:rsidRDefault="00B22782" w:rsidP="00F878E1">
                      <w:pPr>
                        <w:spacing w:after="140"/>
                        <w:rPr>
                          <w:rFonts w:asciiTheme="minorHAnsi" w:hAnsiTheme="minorHAnsi" w:cstheme="minorHAnsi"/>
                          <w:color w:val="FFFFFF" w:themeColor="background1"/>
                          <w:sz w:val="16"/>
                          <w:szCs w:val="18"/>
                        </w:rPr>
                      </w:pPr>
                      <w:r w:rsidRPr="008F49A2">
                        <w:rPr>
                          <w:rFonts w:asciiTheme="minorHAnsi" w:hAnsiTheme="minorHAnsi" w:cstheme="minorHAnsi"/>
                          <w:color w:val="FFFFFF" w:themeColor="background1"/>
                          <w:sz w:val="16"/>
                          <w:szCs w:val="18"/>
                        </w:rPr>
                        <w:t>This proposal is protected under the copyright laws of South Africa and other countries as an unpublished work. This proposal contains information that is proprietary and confidential to PricewaterhouseCoopers Incorporated, which shall not be disclosed outside the recipient’s company or duplicated, used or disclosed in whole or in part by the recipient for any purpose other than to evaluate this document. Any other use or disclosure in whole or in part of this information without the express written permission of PricewaterhouseCoopers Incorporated is prohibited.</w:t>
                      </w:r>
                    </w:p>
                    <w:p w14:paraId="69BCA796"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At PwC, our purpose is to build trust in society and solve important problems. We’re a network of firms in 158 countries with more than 236,000 people who are committed to delivering quality in assurance, advisory and tax services. Find out more and tell us what matters to you by visiting us at </w:t>
                      </w:r>
                      <w:hyperlink r:id="rId62" w:tgtFrame="_blank" w:history="1">
                        <w:r w:rsidRPr="00DD5753">
                          <w:rPr>
                            <w:rFonts w:asciiTheme="minorHAnsi" w:hAnsiTheme="minorHAnsi" w:cstheme="minorHAnsi"/>
                            <w:color w:val="FFFFFF" w:themeColor="background1"/>
                            <w:sz w:val="16"/>
                            <w:szCs w:val="18"/>
                          </w:rPr>
                          <w:t>www.pwc.com</w:t>
                        </w:r>
                      </w:hyperlink>
                      <w:r w:rsidRPr="00DD5753">
                        <w:rPr>
                          <w:rFonts w:asciiTheme="minorHAnsi" w:hAnsiTheme="minorHAnsi" w:cstheme="minorHAnsi"/>
                          <w:color w:val="FFFFFF" w:themeColor="background1"/>
                          <w:sz w:val="16"/>
                          <w:szCs w:val="18"/>
                        </w:rPr>
                        <w:t>.</w:t>
                      </w:r>
                    </w:p>
                    <w:p w14:paraId="057614C4" w14:textId="77777777" w:rsidR="00B22782" w:rsidRPr="00DD5753" w:rsidRDefault="00B22782" w:rsidP="00F878E1">
                      <w:pPr>
                        <w:spacing w:after="140"/>
                        <w:rPr>
                          <w:rFonts w:asciiTheme="minorHAnsi" w:hAnsiTheme="minorHAnsi" w:cstheme="minorHAnsi"/>
                          <w:color w:val="FFFFFF" w:themeColor="background1"/>
                          <w:sz w:val="16"/>
                          <w:szCs w:val="18"/>
                        </w:rPr>
                      </w:pPr>
                      <w:r w:rsidRPr="00DD5753">
                        <w:rPr>
                          <w:rFonts w:asciiTheme="minorHAnsi" w:hAnsiTheme="minorHAnsi" w:cstheme="minorHAnsi"/>
                          <w:color w:val="FFFFFF" w:themeColor="background1"/>
                          <w:sz w:val="16"/>
                          <w:szCs w:val="18"/>
                        </w:rPr>
                        <w:t>PwC refers to the PwC network and/or one or more of its member firms, each of which is a separate legal entity. Please see </w:t>
                      </w:r>
                      <w:hyperlink r:id="rId63" w:tgtFrame="_blank" w:history="1">
                        <w:r w:rsidRPr="00DD5753">
                          <w:rPr>
                            <w:rFonts w:asciiTheme="minorHAnsi" w:hAnsiTheme="minorHAnsi" w:cstheme="minorHAnsi"/>
                            <w:color w:val="FFFFFF" w:themeColor="background1"/>
                            <w:sz w:val="16"/>
                            <w:szCs w:val="18"/>
                          </w:rPr>
                          <w:t>www.pwc.com/structure</w:t>
                        </w:r>
                      </w:hyperlink>
                      <w:r w:rsidRPr="00DD5753">
                        <w:rPr>
                          <w:rFonts w:asciiTheme="minorHAnsi" w:hAnsiTheme="minorHAnsi" w:cstheme="minorHAnsi"/>
                          <w:color w:val="FFFFFF" w:themeColor="background1"/>
                          <w:sz w:val="16"/>
                          <w:szCs w:val="18"/>
                        </w:rPr>
                        <w:t> for further details.</w:t>
                      </w:r>
                    </w:p>
                    <w:p w14:paraId="1E074C91" w14:textId="77777777" w:rsidR="00B22782" w:rsidRPr="004E4012" w:rsidRDefault="00B22782" w:rsidP="00F878E1">
                      <w:pPr>
                        <w:spacing w:after="140"/>
                        <w:rPr>
                          <w:rFonts w:asciiTheme="minorHAnsi" w:hAnsiTheme="minorHAnsi" w:cstheme="minorHAnsi"/>
                          <w:color w:val="FFFFFF" w:themeColor="background1"/>
                          <w:sz w:val="16"/>
                          <w:szCs w:val="16"/>
                        </w:rPr>
                      </w:pPr>
                      <w:r w:rsidRPr="00DD5753">
                        <w:rPr>
                          <w:rFonts w:asciiTheme="minorHAnsi" w:hAnsiTheme="minorHAnsi" w:cstheme="minorHAnsi"/>
                          <w:color w:val="FFFFFF" w:themeColor="background1"/>
                          <w:sz w:val="16"/>
                          <w:szCs w:val="18"/>
                        </w:rPr>
                        <w:t>© 201</w:t>
                      </w:r>
                      <w:r>
                        <w:rPr>
                          <w:rFonts w:asciiTheme="minorHAnsi" w:hAnsiTheme="minorHAnsi" w:cstheme="minorHAnsi"/>
                          <w:color w:val="FFFFFF" w:themeColor="background1"/>
                          <w:sz w:val="16"/>
                          <w:szCs w:val="18"/>
                        </w:rPr>
                        <w:t>8</w:t>
                      </w:r>
                      <w:r w:rsidRPr="00DD5753">
                        <w:rPr>
                          <w:rFonts w:asciiTheme="minorHAnsi" w:hAnsiTheme="minorHAnsi" w:cstheme="minorHAnsi"/>
                          <w:color w:val="FFFFFF" w:themeColor="background1"/>
                          <w:sz w:val="16"/>
                          <w:szCs w:val="18"/>
                        </w:rPr>
                        <w:t xml:space="preserve"> PwC. All rights reserved</w:t>
                      </w:r>
                    </w:p>
                  </w:txbxContent>
                </v:textbox>
                <w10:wrap anchorx="margin"/>
              </v:shape>
            </w:pict>
          </mc:Fallback>
        </mc:AlternateContent>
      </w:r>
    </w:p>
    <w:sectPr w:rsidR="00B3347B" w:rsidRPr="00B3347B" w:rsidSect="002339D2">
      <w:headerReference w:type="even" r:id="rId64"/>
      <w:headerReference w:type="default" r:id="rId65"/>
      <w:footerReference w:type="default" r:id="rId66"/>
      <w:headerReference w:type="first" r:id="rId67"/>
      <w:footerReference w:type="first" r:id="rId68"/>
      <w:pgSz w:w="11906" w:h="16838" w:code="9"/>
      <w:pgMar w:top="203" w:right="1021" w:bottom="568" w:left="102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7F54F" w14:textId="77777777" w:rsidR="00B22782" w:rsidRDefault="00B22782" w:rsidP="004631E0">
      <w:pPr>
        <w:spacing w:after="0" w:line="240" w:lineRule="auto"/>
      </w:pPr>
      <w:r>
        <w:separator/>
      </w:r>
    </w:p>
  </w:endnote>
  <w:endnote w:type="continuationSeparator" w:id="0">
    <w:p w14:paraId="383E6E6E" w14:textId="77777777" w:rsidR="00B22782" w:rsidRDefault="00B22782" w:rsidP="004631E0">
      <w:pPr>
        <w:spacing w:after="0" w:line="240" w:lineRule="auto"/>
      </w:pPr>
      <w:r>
        <w:continuationSeparator/>
      </w:r>
    </w:p>
  </w:endnote>
  <w:endnote w:id="1">
    <w:p w14:paraId="7A6F5759" w14:textId="52C9C9E8" w:rsidR="00FA2342" w:rsidRPr="00FA2342" w:rsidRDefault="00FA2342" w:rsidP="00FA234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Statistics SA, 2019. </w:t>
      </w:r>
      <w:r w:rsidRPr="00FA2342">
        <w:rPr>
          <w:rFonts w:asciiTheme="majorHAnsi" w:hAnsiTheme="majorHAnsi"/>
          <w:color w:val="FFFFFF" w:themeColor="background1"/>
          <w:sz w:val="16"/>
          <w:szCs w:val="16"/>
          <w:lang w:val="en-US"/>
        </w:rPr>
        <w:t>Gross domestic product</w:t>
      </w:r>
      <w:r w:rsidRPr="00FA2342">
        <w:rPr>
          <w:rFonts w:asciiTheme="majorHAnsi" w:hAnsiTheme="majorHAnsi"/>
          <w:color w:val="FFFFFF" w:themeColor="background1"/>
          <w:sz w:val="16"/>
          <w:szCs w:val="16"/>
          <w:lang w:val="en-US"/>
        </w:rPr>
        <w:t>, s</w:t>
      </w:r>
      <w:r w:rsidRPr="00FA2342">
        <w:rPr>
          <w:rFonts w:asciiTheme="majorHAnsi" w:hAnsiTheme="majorHAnsi"/>
          <w:color w:val="FFFFFF" w:themeColor="background1"/>
          <w:sz w:val="16"/>
          <w:szCs w:val="16"/>
          <w:lang w:val="en-US"/>
        </w:rPr>
        <w:t>econd quarter</w:t>
      </w:r>
      <w:r w:rsidRPr="00FA2342">
        <w:rPr>
          <w:rFonts w:asciiTheme="majorHAnsi" w:hAnsiTheme="majorHAnsi"/>
          <w:color w:val="FFFFFF" w:themeColor="background1"/>
          <w:sz w:val="16"/>
          <w:szCs w:val="16"/>
          <w:lang w:val="en-US"/>
        </w:rPr>
        <w:t xml:space="preserve">. </w:t>
      </w:r>
      <w:r w:rsidRPr="00FA2342">
        <w:rPr>
          <w:rFonts w:asciiTheme="majorHAnsi" w:hAnsiTheme="majorHAnsi"/>
          <w:color w:val="FFFFFF" w:themeColor="background1"/>
          <w:sz w:val="16"/>
          <w:szCs w:val="16"/>
        </w:rPr>
        <w:t>http://www.statssa.gov.za/publications/P0441/P04412ndQuarter2019.pdf</w:t>
      </w:r>
    </w:p>
  </w:endnote>
  <w:endnote w:id="2">
    <w:p w14:paraId="233208C6" w14:textId="4860D9C6" w:rsidR="00B22782" w:rsidRPr="00FA2342" w:rsidRDefault="00B22782" w:rsidP="00A02ACF">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South Africa, 2019. Retail trade sales (preliminary), June. http://www.statssa.gov.za/publications/P62421/P62421June2019.pdf</w:t>
      </w:r>
    </w:p>
  </w:endnote>
  <w:endnote w:id="3">
    <w:p w14:paraId="42A7BC9C" w14:textId="2DC0C6E1"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Business Report, 2019. SA retail sales lift by 2.4%. https://www.iol.co.za/business-report/economy/sa-retail-sales-lift-by-24-30771672</w:t>
      </w:r>
    </w:p>
  </w:endnote>
  <w:endnote w:id="4">
    <w:p w14:paraId="1DA831CB" w14:textId="28CE5BF1"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Business Insider, 2019. This is how much prices increased at Game, Woolworths, Checkers, Spar, and Pick n Pay over the past year. </w:t>
      </w:r>
      <w:r w:rsidRPr="00FA2342">
        <w:rPr>
          <w:rFonts w:asciiTheme="majorHAnsi" w:hAnsiTheme="majorHAnsi"/>
          <w:color w:val="FFFFFF" w:themeColor="background1"/>
          <w:sz w:val="16"/>
          <w:szCs w:val="16"/>
        </w:rPr>
        <w:t>https://www.businessinsider.co.za/food-retails-prices-increases-amid-fierce-competition-2019-8</w:t>
      </w:r>
    </w:p>
  </w:endnote>
  <w:endnote w:id="5">
    <w:p w14:paraId="42D32681" w14:textId="30235898" w:rsidR="00B22782" w:rsidRPr="00FA2342" w:rsidRDefault="00B22782" w:rsidP="002B4BB9">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Statistics South Africa, 2019. Wholesale trade sales (Preliminary), June. http://www.statssa.gov.za/publications/P61412/P61412June2019.pdf</w:t>
      </w:r>
    </w:p>
  </w:endnote>
  <w:endnote w:id="6">
    <w:p w14:paraId="69EA8892" w14:textId="6D5221FE"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The South African, 2019. Stats SA: Wholesale trade sales decreased by 5,4% in June. </w:t>
      </w:r>
      <w:r w:rsidRPr="00FA2342">
        <w:rPr>
          <w:rFonts w:asciiTheme="majorHAnsi" w:hAnsiTheme="majorHAnsi"/>
          <w:color w:val="FFFFFF" w:themeColor="background1"/>
          <w:sz w:val="16"/>
          <w:szCs w:val="16"/>
        </w:rPr>
        <w:t>https://www.thesouthafrican.com/news/stats-sa-wholesale-decreased-in-june/</w:t>
      </w:r>
    </w:p>
  </w:endnote>
  <w:endnote w:id="7">
    <w:p w14:paraId="7862D468" w14:textId="7F761633"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The South African, 2019. Stats SA: Wholesale trade sales decreased by 5,4% in June. https://www.thesouthafrican.com/news/stats-sa-wholesale-decreased-in-june/</w:t>
      </w:r>
    </w:p>
  </w:endnote>
  <w:endnote w:id="8">
    <w:p w14:paraId="146BFE82" w14:textId="15C4A1D6" w:rsidR="00B22782" w:rsidRPr="00FA2342" w:rsidRDefault="00B22782" w:rsidP="00DF7A57">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South Africa, 2019. Manufacturing: Production and Sales (preliminary). http://www.statssa.gov.za/publications/P30412/P30412June2019.pdf</w:t>
      </w:r>
    </w:p>
  </w:endnote>
  <w:endnote w:id="9">
    <w:p w14:paraId="0E0F8DE2" w14:textId="77777777" w:rsidR="00B22782" w:rsidRPr="00FA2342" w:rsidRDefault="00B22782" w:rsidP="00DF7A57">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Fin24, 2019. Manufacturing production for June worse than expected. https://www.fin24.com/Economy/manufacturing-production-for-june-even-worse-than-expected-20190808.</w:t>
      </w:r>
    </w:p>
  </w:endnote>
  <w:endnote w:id="10">
    <w:p w14:paraId="22AB8773" w14:textId="07F53D84"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South Africa, 2019. Mining: production and sales (preliminary). http://www.statssa.gov.za/publications/P2041/P2041June2019.pdf</w:t>
      </w:r>
    </w:p>
  </w:endnote>
  <w:endnote w:id="11">
    <w:p w14:paraId="29781BF9" w14:textId="77777777"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Fin24, 2019. June mining production drops 4.2%. https://www.fin24.com/Companies/Mining/june-mining-production-drops-42-20190808</w:t>
      </w:r>
    </w:p>
  </w:endnote>
  <w:endnote w:id="12">
    <w:p w14:paraId="05994883" w14:textId="1AFDE7E6"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South Africa, 2019. Electricity generated and available for distribution (Preliminary). http://www.statssa.gov.za/publications/P4141/P4141June2019.pdf</w:t>
      </w:r>
    </w:p>
  </w:endnote>
  <w:endnote w:id="13">
    <w:p w14:paraId="647F7652" w14:textId="77777777"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The South African, 2019. Electricity consumption in South Africa drops, production improves slightly. https://www.thesouthafrican.com/news/electricity-in-south-africa-things-may-be-looking-up/</w:t>
      </w:r>
    </w:p>
  </w:endnote>
  <w:endnote w:id="14">
    <w:p w14:paraId="30C4C937" w14:textId="1CDCDB44"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South African Reserve Bank (SARB), 2019. Monthly release of selected data. https://www.resbank.co.za/Research/Statistics/Pages/MonthlyReleaseOfSelectedData.aspx</w:t>
      </w:r>
    </w:p>
  </w:endnote>
  <w:endnote w:id="15">
    <w:p w14:paraId="20099D31" w14:textId="16AD1EC7"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proofErr w:type="spellStart"/>
      <w:r w:rsidRPr="00FA2342">
        <w:rPr>
          <w:rFonts w:asciiTheme="majorHAnsi" w:hAnsiTheme="majorHAnsi"/>
          <w:color w:val="FFFFFF" w:themeColor="background1"/>
          <w:sz w:val="16"/>
          <w:szCs w:val="16"/>
          <w:lang w:val="en-US"/>
        </w:rPr>
        <w:t>Wesbank</w:t>
      </w:r>
      <w:proofErr w:type="spellEnd"/>
      <w:r w:rsidRPr="00FA2342">
        <w:rPr>
          <w:rFonts w:asciiTheme="majorHAnsi" w:hAnsiTheme="majorHAnsi"/>
          <w:color w:val="FFFFFF" w:themeColor="background1"/>
          <w:sz w:val="16"/>
          <w:szCs w:val="16"/>
          <w:lang w:val="en-US"/>
        </w:rPr>
        <w:t xml:space="preserve">, 2019. Volatility presides in new vehicle industry. </w:t>
      </w:r>
      <w:r w:rsidRPr="00FA2342">
        <w:rPr>
          <w:rFonts w:asciiTheme="majorHAnsi" w:hAnsiTheme="majorHAnsi"/>
          <w:color w:val="FFFFFF" w:themeColor="background1"/>
          <w:sz w:val="16"/>
          <w:szCs w:val="16"/>
        </w:rPr>
        <w:t>https://www.wesbank.co.za/wesbankcoza/pressroom/archive/2019/07/01/new-vehicle-sale-commentary/volatility-presides-in-new-vehicle-industry</w:t>
      </w:r>
    </w:p>
  </w:endnote>
  <w:endnote w:id="16">
    <w:p w14:paraId="1D6484AC" w14:textId="77777777" w:rsidR="00B22782" w:rsidRPr="00FA2342" w:rsidRDefault="00B22782" w:rsidP="009420F5">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South African Reserve Bank (SARB), 2019. Monthly release of selected data. https://www.resbank.co.za/Research/Statistics/Pages/MonthlyReleaseOfSelectedData.aspx</w:t>
      </w:r>
    </w:p>
  </w:endnote>
  <w:endnote w:id="17">
    <w:p w14:paraId="684E1381" w14:textId="3873A4A3"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South African Reserve Bank (SARB), 2019. Quarterly Bulletin, June. https://www.resbank.co.za/Lists/News%20and%20Publications/Attachments/9328/01Full%20Quarterly%20Bulletin%20%E2%80%93%20June%202019.pdf</w:t>
      </w:r>
    </w:p>
  </w:endnote>
  <w:endnote w:id="18">
    <w:p w14:paraId="01BC94D9" w14:textId="163F0A9F" w:rsidR="00B22782" w:rsidRPr="00FA2342" w:rsidRDefault="00B2278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Moneyweb, 2019. Long road ahead for SA retailers. https://www.moneyweb.co.za/news/companies-and-deals/long-road-ahead-for-sa-retailers/</w:t>
      </w:r>
    </w:p>
  </w:endnote>
  <w:endnote w:id="19">
    <w:p w14:paraId="1F9D49E3" w14:textId="77777777"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BankservAfrica, 2019, </w:t>
      </w:r>
      <w:r w:rsidRPr="00FA2342">
        <w:rPr>
          <w:rFonts w:asciiTheme="majorHAnsi" w:hAnsiTheme="majorHAnsi"/>
          <w:color w:val="FFFFFF" w:themeColor="background1"/>
          <w:sz w:val="16"/>
          <w:szCs w:val="16"/>
        </w:rPr>
        <w:t>Load shedding stops economy in its tracks. https://www.bankservafrica.com/api/public/blogblob/5cc033283724080042e2397b</w:t>
      </w:r>
    </w:p>
  </w:endnote>
  <w:endnote w:id="20">
    <w:p w14:paraId="70285956" w14:textId="77777777" w:rsidR="00B22782" w:rsidRPr="00FA2342" w:rsidRDefault="00B22782" w:rsidP="00CA28BC">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Fin24, 2019,</w:t>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SA's bank transactions a good sign for growth - maybe</w:t>
      </w:r>
      <w:r w:rsidRPr="00FA2342">
        <w:rPr>
          <w:rFonts w:asciiTheme="majorHAnsi" w:hAnsiTheme="majorHAnsi"/>
          <w:color w:val="FFFFFF" w:themeColor="background1"/>
          <w:sz w:val="16"/>
          <w:szCs w:val="16"/>
        </w:rPr>
        <w:t>. https://www.fin24.com/Economy/sas-bank-transactions-a-good-sign-for-growth-maybe-20190613-2</w:t>
      </w:r>
    </w:p>
  </w:endnote>
  <w:endnote w:id="21">
    <w:p w14:paraId="222EFB7D" w14:textId="74B02C04" w:rsidR="00B22782" w:rsidRPr="00FA2342" w:rsidRDefault="00B22782" w:rsidP="00DF4E39">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SA, 2019.</w:t>
      </w:r>
      <w:r w:rsidRPr="00FA2342">
        <w:rPr>
          <w:rFonts w:asciiTheme="majorHAnsi" w:hAnsiTheme="majorHAnsi"/>
          <w:color w:val="FFFFFF" w:themeColor="background1"/>
          <w:sz w:val="16"/>
          <w:szCs w:val="16"/>
        </w:rPr>
        <w:t xml:space="preserve"> Land transport (Preliminary). http://www.statssa.gov.za/publications/P7162/P7162June2019.pdf</w:t>
      </w:r>
    </w:p>
  </w:endnote>
  <w:endnote w:id="22">
    <w:p w14:paraId="110AF05D" w14:textId="765ED97E" w:rsidR="00B22782" w:rsidRPr="00FA2342" w:rsidRDefault="00B22782" w:rsidP="00DF4E39">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SA, 2019.</w:t>
      </w:r>
      <w:r w:rsidRPr="00FA2342">
        <w:rPr>
          <w:rFonts w:asciiTheme="majorHAnsi" w:hAnsiTheme="majorHAnsi"/>
          <w:color w:val="FFFFFF" w:themeColor="background1"/>
          <w:sz w:val="16"/>
          <w:szCs w:val="16"/>
        </w:rPr>
        <w:t xml:space="preserve"> Land transport (Preliminary). http://www.statssa.gov.za/publications/P7162/P7162June2019.pdf</w:t>
      </w:r>
    </w:p>
  </w:endnote>
  <w:endnote w:id="23">
    <w:p w14:paraId="325D04EA" w14:textId="3D626061" w:rsidR="00B22782" w:rsidRPr="00FA2342" w:rsidRDefault="00B22782" w:rsidP="006B75E5">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Statistics SA, 2019. Mining: Production and sales (Preliminary). http://www.statssa.gov.za/publications/P2041/P2041June2019.pdf</w:t>
      </w:r>
    </w:p>
  </w:endnote>
  <w:endnote w:id="24">
    <w:p w14:paraId="14C76863" w14:textId="7CA23A71" w:rsidR="00B22782" w:rsidRPr="00FA2342" w:rsidRDefault="00B22782" w:rsidP="00EE451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Bureau for Economic Research, 2019. The State of the Civil Construction Industry. </w:t>
      </w:r>
      <w:r w:rsidRPr="00FA2342">
        <w:rPr>
          <w:rFonts w:asciiTheme="majorHAnsi" w:hAnsiTheme="majorHAnsi"/>
          <w:color w:val="FFFFFF" w:themeColor="background1"/>
          <w:sz w:val="16"/>
          <w:szCs w:val="16"/>
        </w:rPr>
        <w:t>https://www.ber.ac.za/BER%20Documents/BER-press-release/?doctypeid=1068</w:t>
      </w:r>
    </w:p>
  </w:endnote>
  <w:endnote w:id="25">
    <w:p w14:paraId="24B7D485" w14:textId="4DF7FD0B" w:rsidR="00B22782" w:rsidRPr="00FA2342" w:rsidRDefault="00B22782" w:rsidP="00EE4512">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Bureau for Economic Research, 2019. The State of the Civil Construction Industry. </w:t>
      </w:r>
      <w:r w:rsidRPr="00FA2342">
        <w:rPr>
          <w:rFonts w:asciiTheme="majorHAnsi" w:hAnsiTheme="majorHAnsi"/>
          <w:color w:val="FFFFFF" w:themeColor="background1"/>
          <w:sz w:val="16"/>
          <w:szCs w:val="16"/>
        </w:rPr>
        <w:t>https://www.ber.ac.za/BER%20Documents/BER-press-release/?doctypeid=1068</w:t>
      </w:r>
    </w:p>
  </w:endnote>
  <w:endnote w:id="26">
    <w:p w14:paraId="60B2AE2A" w14:textId="77777777" w:rsidR="00B22782" w:rsidRPr="00FA2342" w:rsidRDefault="00B22782" w:rsidP="006F005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BER, 2019. FNB/BER Consumer Confidence Index. https://www.ber.ac.za/BER%20Documents/FNB/BER-Consumer-Confidence-Index/?doctypeid=1054</w:t>
      </w:r>
    </w:p>
  </w:endnote>
  <w:endnote w:id="27">
    <w:p w14:paraId="41D077F2" w14:textId="77777777" w:rsidR="00B22782" w:rsidRPr="00FA2342" w:rsidRDefault="00B22782" w:rsidP="006F005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proofErr w:type="spellStart"/>
      <w:r w:rsidRPr="00FA2342">
        <w:rPr>
          <w:rFonts w:asciiTheme="majorHAnsi" w:hAnsiTheme="majorHAnsi"/>
          <w:color w:val="FFFFFF" w:themeColor="background1"/>
          <w:sz w:val="16"/>
          <w:szCs w:val="16"/>
          <w:lang w:val="en-US"/>
        </w:rPr>
        <w:t>Tradingeconomics</w:t>
      </w:r>
      <w:proofErr w:type="spellEnd"/>
      <w:r w:rsidRPr="00FA2342">
        <w:rPr>
          <w:rFonts w:asciiTheme="majorHAnsi" w:hAnsiTheme="majorHAnsi"/>
          <w:color w:val="FFFFFF" w:themeColor="background1"/>
          <w:sz w:val="16"/>
          <w:szCs w:val="16"/>
          <w:lang w:val="en-US"/>
        </w:rPr>
        <w:t xml:space="preserve">, 2019.South Africa Consumer Confidence. https://tradingeconomics.com/south-africa/consumer-confidence </w:t>
      </w:r>
    </w:p>
  </w:endnote>
  <w:endnote w:id="28">
    <w:p w14:paraId="68B52AC0" w14:textId="77777777" w:rsidR="00B22782" w:rsidRPr="00FA2342" w:rsidRDefault="00B22782" w:rsidP="006F005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BER 2019, FNB/BER Business Confidence Index. https://www.ber.ac.za/BER%20Documents/RMB/BER-Business-Confidence-Index/?doctypeid=1050</w:t>
      </w:r>
    </w:p>
  </w:endnote>
  <w:endnote w:id="29">
    <w:p w14:paraId="0935EEC8" w14:textId="77777777" w:rsidR="00B22782" w:rsidRPr="00FA2342" w:rsidRDefault="00B22782" w:rsidP="006F005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BizNews, 2019. Business confidence hits pre-Ramaphoria levels. https://www.biznews.com/briefs/2019/03/13/business-confidence-pre-ramaphoria-levels</w:t>
      </w:r>
    </w:p>
  </w:endnote>
  <w:endnote w:id="30">
    <w:p w14:paraId="6D4126BA" w14:textId="77777777" w:rsidR="00B22782" w:rsidRPr="00FA2342" w:rsidRDefault="00B22782" w:rsidP="00A4648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NWU Business School, 2019.  Policy Uncertainty Index. </w:t>
      </w:r>
      <w:r w:rsidRPr="00FA2342">
        <w:rPr>
          <w:rFonts w:asciiTheme="majorHAnsi" w:hAnsiTheme="majorHAnsi"/>
          <w:color w:val="FFFFFF" w:themeColor="background1"/>
          <w:sz w:val="16"/>
          <w:szCs w:val="16"/>
        </w:rPr>
        <w:t>http://commerce.nwu.ac.za/sites/commerce.nwu.ac.za/files/files/TRADE/Media/Print%20Media/PUI%20-%201Q%202019.pdf</w:t>
      </w:r>
    </w:p>
  </w:endnote>
  <w:endnote w:id="31">
    <w:p w14:paraId="77779AAA" w14:textId="77777777" w:rsidR="00B22782" w:rsidRPr="00FA2342" w:rsidRDefault="00B22782" w:rsidP="00A4648A">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 xml:space="preserve">NWU Business School, 2019.  Policy Uncertainty Index. </w:t>
      </w:r>
      <w:r w:rsidRPr="00FA2342">
        <w:rPr>
          <w:rFonts w:asciiTheme="majorHAnsi" w:hAnsiTheme="majorHAnsi"/>
          <w:color w:val="FFFFFF" w:themeColor="background1"/>
          <w:sz w:val="16"/>
          <w:szCs w:val="16"/>
        </w:rPr>
        <w:t>http://commerce.nwu.ac.za/sites/commerce.nwu.ac.za/files/files/TRADE/Media/Print%20Media/PUI%20-%201Q%202019.pdf</w:t>
      </w:r>
    </w:p>
  </w:endnote>
  <w:endnote w:id="32">
    <w:p w14:paraId="4FF73BC1" w14:textId="77777777" w:rsidR="00B22782" w:rsidRPr="00FA2342" w:rsidRDefault="00B22782" w:rsidP="00B94185">
      <w:pPr>
        <w:pStyle w:val="EndnoteText"/>
        <w:rPr>
          <w:rFonts w:asciiTheme="majorHAnsi" w:hAnsiTheme="majorHAnsi"/>
          <w:color w:val="FFFFFF" w:themeColor="background1"/>
          <w:sz w:val="16"/>
          <w:szCs w:val="16"/>
          <w:lang w:val="en-US"/>
        </w:rPr>
      </w:pPr>
      <w:r w:rsidRPr="00FA2342">
        <w:rPr>
          <w:rStyle w:val="EndnoteReference"/>
          <w:rFonts w:asciiTheme="majorHAnsi" w:hAnsiTheme="majorHAnsi"/>
          <w:color w:val="FFFFFF" w:themeColor="background1"/>
          <w:sz w:val="16"/>
          <w:szCs w:val="16"/>
        </w:rPr>
        <w:endnoteRef/>
      </w:r>
      <w:r w:rsidRPr="00FA2342">
        <w:rPr>
          <w:rFonts w:asciiTheme="majorHAnsi" w:hAnsiTheme="majorHAnsi"/>
          <w:color w:val="FFFFFF" w:themeColor="background1"/>
          <w:sz w:val="16"/>
          <w:szCs w:val="16"/>
        </w:rPr>
        <w:t xml:space="preserve"> </w:t>
      </w:r>
      <w:r w:rsidRPr="00FA2342">
        <w:rPr>
          <w:rFonts w:asciiTheme="majorHAnsi" w:hAnsiTheme="majorHAnsi"/>
          <w:color w:val="FFFFFF" w:themeColor="background1"/>
          <w:sz w:val="16"/>
          <w:szCs w:val="16"/>
          <w:lang w:val="en-US"/>
        </w:rPr>
        <w:t>IOL, 2019.</w:t>
      </w:r>
      <w:r w:rsidRPr="00FA2342">
        <w:rPr>
          <w:rFonts w:asciiTheme="majorHAnsi" w:hAnsiTheme="majorHAnsi"/>
          <w:color w:val="FFFFFF" w:themeColor="background1"/>
          <w:sz w:val="16"/>
          <w:szCs w:val="16"/>
        </w:rPr>
        <w:t xml:space="preserve"> </w:t>
      </w:r>
      <w:proofErr w:type="spellStart"/>
      <w:r w:rsidRPr="00FA2342">
        <w:rPr>
          <w:rFonts w:asciiTheme="majorHAnsi" w:hAnsiTheme="majorHAnsi"/>
          <w:color w:val="FFFFFF" w:themeColor="background1"/>
          <w:sz w:val="16"/>
          <w:szCs w:val="16"/>
          <w:lang w:val="en-US"/>
        </w:rPr>
        <w:t>Sacci</w:t>
      </w:r>
      <w:proofErr w:type="spellEnd"/>
      <w:r w:rsidRPr="00FA2342">
        <w:rPr>
          <w:rFonts w:asciiTheme="majorHAnsi" w:hAnsiTheme="majorHAnsi"/>
          <w:color w:val="FFFFFF" w:themeColor="background1"/>
          <w:sz w:val="16"/>
          <w:szCs w:val="16"/>
          <w:lang w:val="en-US"/>
        </w:rPr>
        <w:t xml:space="preserve"> reiterates call for government to act as SA's July business confidence dips. https://www.iol.co.za/business-report/economy/sacci-reiterates-call-for-government-to-act-as-sas-july-business-confidence-dips-30438633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45 Light">
    <w:altName w:val="Univers 45 Light"/>
    <w:charset w:val="00"/>
    <w:family w:val="auto"/>
    <w:pitch w:val="variable"/>
    <w:sig w:usb0="80000023" w:usb1="00000000" w:usb2="00000000" w:usb3="00000000" w:csb0="00000001" w:csb1="00000000"/>
  </w:font>
  <w:font w:name="Univers for KPMG Light">
    <w:altName w:val="Corbel"/>
    <w:charset w:val="00"/>
    <w:family w:val="swiss"/>
    <w:pitch w:val="variable"/>
    <w:sig w:usb0="00000001" w:usb1="5000204A" w:usb2="00000000" w:usb3="00000000" w:csb0="0000009F" w:csb1="0000000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30617" w14:textId="77777777" w:rsidR="00B22782" w:rsidRDefault="00B22782">
    <w:pPr>
      <w:pStyle w:val="Footer"/>
    </w:pPr>
    <w:r>
      <w:t>Footer text goes here</w:t>
    </w:r>
  </w:p>
  <w:p w14:paraId="202D5914" w14:textId="52B069DE" w:rsidR="00B22782" w:rsidRDefault="00B22782" w:rsidP="0079020C">
    <w:pPr>
      <w:pStyle w:val="Footer"/>
      <w:tabs>
        <w:tab w:val="center" w:pos="3670"/>
        <w:tab w:val="right" w:pos="7341"/>
      </w:tabs>
    </w:pPr>
    <w:r>
      <w:t>PwC</w:t>
    </w:r>
    <w:r>
      <w:tab/>
    </w:r>
    <w:r>
      <w:tab/>
      <w:t xml:space="preserve">Page </w:t>
    </w:r>
    <w:r>
      <w:fldChar w:fldCharType="begin"/>
    </w:r>
    <w:r>
      <w:instrText xml:space="preserve"> PAGE   \* MERGEFORMAT </w:instrText>
    </w:r>
    <w:r>
      <w:fldChar w:fldCharType="separate"/>
    </w:r>
    <w:r>
      <w:rPr>
        <w:noProof/>
      </w:rPr>
      <w:t>6</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41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B9475" w14:textId="40BDA178" w:rsidR="00B22782" w:rsidRDefault="00B22782" w:rsidP="0079020C">
    <w:pPr>
      <w:pStyle w:val="Footer"/>
      <w:tabs>
        <w:tab w:val="center" w:pos="3670"/>
        <w:tab w:val="right" w:pos="7341"/>
      </w:tabs>
    </w:pPr>
    <w:r>
      <w:t>Footer text goes here</w:t>
    </w:r>
    <w:r>
      <w:tab/>
    </w:r>
    <w:r>
      <w:tab/>
      <w:t xml:space="preserve">Page </w:t>
    </w:r>
    <w:r>
      <w:fldChar w:fldCharType="begin"/>
    </w:r>
    <w:r>
      <w:instrText xml:space="preserve"> PAGE   \* MERGEFORMAT </w:instrText>
    </w:r>
    <w:r>
      <w:fldChar w:fldCharType="separate"/>
    </w:r>
    <w:r>
      <w:rPr>
        <w:noProof/>
      </w:rPr>
      <w:t>2</w:t>
    </w:r>
    <w:r>
      <w:fldChar w:fldCharType="end"/>
    </w:r>
    <w:r>
      <w:t xml:space="preserve"> of </w:t>
    </w:r>
    <w:r>
      <w:rPr>
        <w:noProof/>
      </w:rPr>
      <w:fldChar w:fldCharType="begin"/>
    </w:r>
    <w:r>
      <w:rPr>
        <w:noProof/>
      </w:rPr>
      <w:instrText xml:space="preserve"> NUMPAGES   \* MERGEFORMAT </w:instrText>
    </w:r>
    <w:r>
      <w:rPr>
        <w:noProof/>
      </w:rP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DB9F8" w14:textId="7746FB81" w:rsidR="00B22782" w:rsidRDefault="00B22782">
    <w:pPr>
      <w:pStyle w:val="Footer"/>
      <w:tabs>
        <w:tab w:val="left" w:pos="1755"/>
      </w:tabs>
    </w:pPr>
    <w:r w:rsidRPr="00033E6C">
      <w:rPr>
        <w:noProof/>
        <w:lang w:eastAsia="en-ZA"/>
      </w:rPr>
      <w:drawing>
        <wp:anchor distT="0" distB="0" distL="114300" distR="114300" simplePos="0" relativeHeight="251676672" behindDoc="0" locked="0" layoutInCell="1" allowOverlap="1" wp14:anchorId="68574EA4" wp14:editId="59A9D2BD">
          <wp:simplePos x="0" y="0"/>
          <wp:positionH relativeFrom="column">
            <wp:posOffset>-1861820</wp:posOffset>
          </wp:positionH>
          <wp:positionV relativeFrom="paragraph">
            <wp:posOffset>-599440</wp:posOffset>
          </wp:positionV>
          <wp:extent cx="984250" cy="699770"/>
          <wp:effectExtent l="0" t="0" r="6350" b="508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r="62667"/>
                  <a:stretch/>
                </pic:blipFill>
                <pic:spPr bwMode="auto">
                  <a:xfrm>
                    <a:off x="0" y="0"/>
                    <a:ext cx="984250" cy="699770"/>
                  </a:xfrm>
                  <a:prstGeom prst="rect">
                    <a:avLst/>
                  </a:prstGeom>
                  <a:noFill/>
                  <a:ln>
                    <a:noFill/>
                  </a:ln>
                  <a:extLst>
                    <a:ext uri="{53640926-AAD7-44D8-BBD7-CCE9431645EC}">
                      <a14:shadowObscured xmlns:a14="http://schemas.microsoft.com/office/drawing/2010/main"/>
                    </a:ext>
                  </a:extLst>
                </pic:spPr>
              </pic:pic>
            </a:graphicData>
          </a:graphic>
        </wp:anchor>
      </w:drawing>
    </w:r>
    <w:r w:rsidRPr="00033E6C">
      <w:rPr>
        <w:noProof/>
        <w:lang w:eastAsia="en-ZA"/>
      </w:rPr>
      <w:drawing>
        <wp:anchor distT="0" distB="0" distL="114300" distR="114300" simplePos="0" relativeHeight="251677696" behindDoc="0" locked="0" layoutInCell="1" allowOverlap="1" wp14:anchorId="1EBCCFB8" wp14:editId="4C79854F">
          <wp:simplePos x="0" y="0"/>
          <wp:positionH relativeFrom="column">
            <wp:posOffset>-1863725</wp:posOffset>
          </wp:positionH>
          <wp:positionV relativeFrom="paragraph">
            <wp:posOffset>-10168255</wp:posOffset>
          </wp:positionV>
          <wp:extent cx="1434960" cy="699702"/>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 cstate="print">
                    <a:extLst>
                      <a:ext uri="{28A0092B-C50C-407E-A947-70E740481C1C}">
                        <a14:useLocalDpi xmlns:a14="http://schemas.microsoft.com/office/drawing/2010/main" val="0"/>
                      </a:ext>
                    </a:extLst>
                  </a:blip>
                  <a:srcRect l="45590"/>
                  <a:stretch/>
                </pic:blipFill>
                <pic:spPr bwMode="auto">
                  <a:xfrm>
                    <a:off x="0" y="0"/>
                    <a:ext cx="1434960" cy="699702"/>
                  </a:xfrm>
                  <a:prstGeom prst="rect">
                    <a:avLst/>
                  </a:prstGeom>
                  <a:solidFill>
                    <a:schemeClr val="bg2">
                      <a:lumMod val="50000"/>
                    </a:schemeClr>
                  </a:solidFill>
                  <a:ln>
                    <a:noFill/>
                  </a:ln>
                  <a:extLst>
                    <a:ext uri="{53640926-AAD7-44D8-BBD7-CCE9431645EC}">
                      <a14:shadowObscured xmlns:a14="http://schemas.microsoft.com/office/drawing/2010/main"/>
                    </a:ext>
                  </a:extLst>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rPr>
      <w:id w:val="516430392"/>
      <w:docPartObj>
        <w:docPartGallery w:val="Page Numbers (Bottom of Page)"/>
        <w:docPartUnique/>
      </w:docPartObj>
    </w:sdtPr>
    <w:sdtEndPr>
      <w:rPr>
        <w:noProof/>
      </w:rPr>
    </w:sdtEndPr>
    <w:sdtContent>
      <w:p w14:paraId="12A0DE81" w14:textId="5AA9A4D6" w:rsidR="00B22782" w:rsidRPr="009E0A4D" w:rsidRDefault="00B22782">
        <w:pPr>
          <w:pStyle w:val="Footer"/>
          <w:jc w:val="center"/>
          <w:rPr>
            <w:rFonts w:asciiTheme="majorHAnsi" w:hAnsiTheme="majorHAnsi"/>
          </w:rPr>
        </w:pPr>
        <w:r w:rsidRPr="009E0A4D">
          <w:rPr>
            <w:rFonts w:asciiTheme="majorHAnsi" w:hAnsiTheme="majorHAnsi"/>
          </w:rPr>
          <w:fldChar w:fldCharType="begin"/>
        </w:r>
        <w:r w:rsidRPr="009E0A4D">
          <w:rPr>
            <w:rFonts w:asciiTheme="majorHAnsi" w:hAnsiTheme="majorHAnsi"/>
          </w:rPr>
          <w:instrText xml:space="preserve"> PAGE   \* MERGEFORMAT </w:instrText>
        </w:r>
        <w:r w:rsidRPr="009E0A4D">
          <w:rPr>
            <w:rFonts w:asciiTheme="majorHAnsi" w:hAnsiTheme="majorHAnsi"/>
          </w:rPr>
          <w:fldChar w:fldCharType="separate"/>
        </w:r>
        <w:r>
          <w:rPr>
            <w:rFonts w:asciiTheme="majorHAnsi" w:hAnsiTheme="majorHAnsi"/>
            <w:noProof/>
          </w:rPr>
          <w:t>16</w:t>
        </w:r>
        <w:r w:rsidRPr="009E0A4D">
          <w:rPr>
            <w:rFonts w:asciiTheme="majorHAnsi" w:hAnsiTheme="majorHAnsi"/>
            <w:noProof/>
          </w:rPr>
          <w:fldChar w:fldCharType="end"/>
        </w:r>
      </w:p>
    </w:sdtContent>
  </w:sdt>
  <w:p w14:paraId="713B384F" w14:textId="77777777" w:rsidR="00B22782" w:rsidRPr="002339D2" w:rsidRDefault="00B22782">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7EF8C" w14:textId="77777777" w:rsidR="00B22782" w:rsidRDefault="00B22782">
    <w:pPr>
      <w:pStyle w:val="Footer"/>
    </w:pPr>
    <w:r>
      <w:t>Local disclaimer and copyright statements go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984378" w14:textId="77777777" w:rsidR="00B22782" w:rsidRDefault="00B22782" w:rsidP="004631E0">
      <w:pPr>
        <w:spacing w:after="0" w:line="240" w:lineRule="auto"/>
      </w:pPr>
      <w:r>
        <w:separator/>
      </w:r>
    </w:p>
  </w:footnote>
  <w:footnote w:type="continuationSeparator" w:id="0">
    <w:p w14:paraId="5DD3AAF8" w14:textId="77777777" w:rsidR="00B22782" w:rsidRDefault="00B22782" w:rsidP="00463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7568"/>
    </w:tblGrid>
    <w:tr w:rsidR="00B22782" w:rsidRPr="00C02D09" w14:paraId="7DD3EABE" w14:textId="77777777">
      <w:trPr>
        <w:trHeight w:hRule="exact" w:val="227"/>
      </w:trPr>
      <w:tc>
        <w:tcPr>
          <w:tcW w:w="5000" w:type="pct"/>
        </w:tcPr>
        <w:p w14:paraId="4BCC75E7" w14:textId="77777777" w:rsidR="00B22782" w:rsidRPr="00C02D09" w:rsidRDefault="00B22782" w:rsidP="0079020C">
          <w:pPr>
            <w:spacing w:after="0" w:line="240" w:lineRule="auto"/>
            <w:rPr>
              <w:sz w:val="14"/>
              <w:szCs w:val="14"/>
            </w:rPr>
          </w:pPr>
        </w:p>
      </w:tc>
    </w:tr>
  </w:tbl>
  <w:p w14:paraId="45E17455" w14:textId="21D63E91" w:rsidR="00B22782" w:rsidRDefault="00B22782" w:rsidP="0079020C">
    <w:pPr>
      <w:pStyle w:val="Header"/>
      <w:tabs>
        <w:tab w:val="center" w:pos="3670"/>
        <w:tab w:val="right" w:pos="7341"/>
      </w:tabs>
    </w:pPr>
    <w:r>
      <w:t>Header goes here</w:t>
    </w:r>
    <w:r>
      <w:tab/>
    </w:r>
    <w:r>
      <w:tab/>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7333"/>
    </w:tblGrid>
    <w:tr w:rsidR="00B22782" w:rsidRPr="00C02D09" w14:paraId="63818B1E" w14:textId="77777777">
      <w:trPr>
        <w:trHeight w:hRule="exact" w:val="227"/>
      </w:trPr>
      <w:tc>
        <w:tcPr>
          <w:tcW w:w="5000" w:type="pct"/>
        </w:tcPr>
        <w:p w14:paraId="1CD2F158" w14:textId="77777777" w:rsidR="00B22782" w:rsidRPr="00C02D09" w:rsidRDefault="00B22782" w:rsidP="0079020C">
          <w:pPr>
            <w:spacing w:after="0" w:line="240" w:lineRule="auto"/>
            <w:rPr>
              <w:sz w:val="14"/>
              <w:szCs w:val="14"/>
            </w:rPr>
          </w:pPr>
        </w:p>
      </w:tc>
    </w:tr>
  </w:tbl>
  <w:p w14:paraId="7BC2E90B" w14:textId="332B1353" w:rsidR="00B22782" w:rsidRDefault="00B22782" w:rsidP="0079020C">
    <w:pPr>
      <w:pStyle w:val="Header"/>
      <w:tabs>
        <w:tab w:val="center" w:pos="3670"/>
        <w:tab w:val="right" w:pos="7341"/>
      </w:tabs>
    </w:pPr>
    <w:r>
      <w:t>Header goes here</w:t>
    </w:r>
    <w:r>
      <w:tab/>
    </w:r>
    <w:r>
      <w:tab/>
      <w:t>Draft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3AC0E" w14:textId="77777777" w:rsidR="00B22782" w:rsidRDefault="00B22782" w:rsidP="002A76B3">
    <w:pPr>
      <w:pStyle w:val="TableSpacer"/>
      <w:pageBreakBefore/>
    </w:pPr>
  </w:p>
  <w:p w14:paraId="723FA6A3" w14:textId="794D3424" w:rsidR="00B22782" w:rsidRDefault="00B22782" w:rsidP="0079020C">
    <w:pPr>
      <w:pStyle w:val="Header"/>
      <w:tabs>
        <w:tab w:val="right" w:pos="7341"/>
      </w:tabs>
      <w:rPr>
        <w:rFonts w:ascii="Georgia" w:hAnsi="Georgia"/>
      </w:rPr>
    </w:pPr>
    <w:r w:rsidRPr="00886121">
      <w:rPr>
        <w:noProof/>
        <w:color w:val="FFFFFF" w:themeColor="background1"/>
        <w:lang w:eastAsia="en-ZA"/>
      </w:rPr>
      <mc:AlternateContent>
        <mc:Choice Requires="wps">
          <w:drawing>
            <wp:anchor distT="0" distB="0" distL="114300" distR="114300" simplePos="0" relativeHeight="251679744" behindDoc="1" locked="1" layoutInCell="1" allowOverlap="1" wp14:anchorId="2858FD9B" wp14:editId="5BDF4E34">
              <wp:simplePos x="0" y="0"/>
              <wp:positionH relativeFrom="page">
                <wp:align>left</wp:align>
              </wp:positionH>
              <wp:positionV relativeFrom="page">
                <wp:align>top</wp:align>
              </wp:positionV>
              <wp:extent cx="7559675" cy="10691495"/>
              <wp:effectExtent l="0" t="0" r="22225" b="14605"/>
              <wp:wrapNone/>
              <wp:docPr id="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9675" cy="10691495"/>
                      </a:xfrm>
                      <a:prstGeom prst="rect">
                        <a:avLst/>
                      </a:prstGeom>
                      <a:solidFill>
                        <a:schemeClr val="tx1"/>
                      </a:solidFill>
                      <a:ln>
                        <a:solidFill>
                          <a:schemeClr val="tx2"/>
                        </a:solid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25C3D" id="Rectangle 2" o:spid="_x0000_s1026" style="position:absolute;margin-left:0;margin-top:0;width:595.25pt;height:841.8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" fillcolor="black [3213]" strokecolor="#a32020 [3215]">
              <o:lock v:ext="edit" aspectratio="t"/>
              <w10:wrap anchorx="page" anchory="page"/>
              <w10:anchorlock/>
            </v:rect>
          </w:pict>
        </mc:Fallback>
      </mc:AlternateContent>
    </w:r>
    <w:r>
      <w:rPr>
        <w:rFonts w:ascii="Georgia" w:hAnsi="Georgia"/>
      </w:rPr>
      <w:t>www.pwc.com/navigation</w:t>
    </w:r>
    <w:r>
      <w:rPr>
        <w:rFonts w:ascii="Georgia" w:hAnsi="Georgia"/>
      </w:rPr>
      <w:tab/>
      <w:t>Draft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FF889" w14:textId="57541D02" w:rsidR="00B22782" w:rsidRDefault="00B22782">
    <w:pPr>
      <w:pStyle w:val="Header"/>
    </w:pPr>
  </w:p>
  <w:p w14:paraId="72B64606" w14:textId="77777777" w:rsidR="00B22782" w:rsidRDefault="00B2278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2AF49" w14:textId="77777777" w:rsidR="00B22782" w:rsidRPr="002339D2" w:rsidRDefault="00B22782">
    <w:pPr>
      <w:rPr>
        <w:sz w:val="10"/>
        <w:szCs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margin" w:tblpY="1248"/>
      <w:tblOverlap w:val="never"/>
      <w:tblW w:w="5000" w:type="pct"/>
      <w:tblBorders>
        <w:top w:val="single" w:sz="6" w:space="0" w:color="DC6900"/>
        <w:left w:val="single" w:sz="6" w:space="0" w:color="DC6900"/>
      </w:tblBorders>
      <w:tblLayout w:type="fixed"/>
      <w:tblCellMar>
        <w:left w:w="227" w:type="dxa"/>
        <w:right w:w="0" w:type="dxa"/>
      </w:tblCellMar>
      <w:tblLook w:val="04A0" w:firstRow="1" w:lastRow="0" w:firstColumn="1" w:lastColumn="0" w:noHBand="0" w:noVBand="1"/>
    </w:tblPr>
    <w:tblGrid>
      <w:gridCol w:w="10091"/>
    </w:tblGrid>
    <w:tr w:rsidR="00B22782" w:rsidRPr="00C02D09" w14:paraId="4C1FF214" w14:textId="77777777">
      <w:trPr>
        <w:trHeight w:hRule="exact" w:val="227"/>
      </w:trPr>
      <w:tc>
        <w:tcPr>
          <w:tcW w:w="5000" w:type="pct"/>
        </w:tcPr>
        <w:p w14:paraId="3772D9F2" w14:textId="77777777" w:rsidR="00B22782" w:rsidRPr="00C02D09" w:rsidRDefault="00B22782" w:rsidP="0079020C">
          <w:pPr>
            <w:spacing w:after="0" w:line="240" w:lineRule="auto"/>
            <w:rPr>
              <w:sz w:val="14"/>
              <w:szCs w:val="14"/>
            </w:rPr>
          </w:pPr>
        </w:p>
      </w:tc>
    </w:tr>
  </w:tbl>
  <w:p w14:paraId="0096C8F4" w14:textId="1691180B" w:rsidR="00B22782" w:rsidRDefault="00B22782" w:rsidP="0079020C">
    <w:pPr>
      <w:pStyle w:val="Header"/>
      <w:tabs>
        <w:tab w:val="center" w:pos="4932"/>
        <w:tab w:val="right" w:pos="9864"/>
      </w:tabs>
    </w:pPr>
    <w:r>
      <w:t>Header goes here</w:t>
    </w:r>
    <w:r>
      <w:tab/>
    </w:r>
    <w:r>
      <w:tab/>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2E7795"/>
    <w:multiLevelType w:val="multilevel"/>
    <w:tmpl w:val="167E4CBA"/>
    <w:lvl w:ilvl="0">
      <w:start w:val="1"/>
      <w:numFmt w:val="decimal"/>
      <w:pStyle w:val="Heading1"/>
      <w:lvlText w:val="%1."/>
      <w:lvlJc w:val="left"/>
      <w:pPr>
        <w:ind w:left="432" w:hanging="432"/>
      </w:pPr>
      <w:rPr>
        <w:rFonts w:ascii="Georgia" w:eastAsia="Times New Roman" w:hAnsi="Georgia" w:cs="Times New Roman"/>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2B7865C1"/>
    <w:multiLevelType w:val="hybridMultilevel"/>
    <w:tmpl w:val="A1249218"/>
    <w:name w:val="PwCListBullets1432222"/>
    <w:lvl w:ilvl="0" w:tplc="3FAC2408">
      <w:start w:val="1"/>
      <w:numFmt w:val="bullet"/>
      <w:pStyle w:val="PwCBullet1Burgundy"/>
      <w:lvlText w:val=""/>
      <w:lvlJc w:val="left"/>
      <w:pPr>
        <w:ind w:left="720" w:hanging="360"/>
      </w:pPr>
      <w:rPr>
        <w:rFonts w:ascii="Symbol" w:hAnsi="Symbol" w:hint="default"/>
        <w:caps w:val="0"/>
        <w:strike w:val="0"/>
        <w:dstrike w:val="0"/>
        <w:vanish w:val="0"/>
        <w:color w:val="auto"/>
        <w:spacing w:val="0"/>
        <w:w w:val="100"/>
        <w:sz w:val="22"/>
        <w:szCs w:val="20"/>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20E4C56"/>
    <w:multiLevelType w:val="hybridMultilevel"/>
    <w:tmpl w:val="80608B2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6E2E1FAA"/>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0"/>
  </w:num>
  <w:num w:numId="14">
    <w:abstractNumId w:val="2"/>
  </w:num>
  <w:num w:numId="15">
    <w:abstractNumId w:val="0"/>
  </w:num>
  <w:num w:numId="16">
    <w:abstractNumId w:val="0"/>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ZA" w:vendorID="64" w:dllVersion="6" w:nlCheck="1" w:checkStyle="0"/>
  <w:activeWritingStyle w:appName="MSWord" w:lang="en-GB" w:vendorID="64" w:dllVersion="6" w:nlCheck="1" w:checkStyle="1"/>
  <w:activeWritingStyle w:appName="MSWord" w:lang="en-US" w:vendorID="64" w:dllVersion="6" w:nlCheck="1" w:checkStyle="1"/>
  <w:activeWritingStyle w:appName="MSWord" w:lang="en-ZA"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1E0"/>
    <w:rsid w:val="000005CB"/>
    <w:rsid w:val="0000633B"/>
    <w:rsid w:val="00006454"/>
    <w:rsid w:val="00010053"/>
    <w:rsid w:val="0001392F"/>
    <w:rsid w:val="00016E98"/>
    <w:rsid w:val="00017F18"/>
    <w:rsid w:val="00020004"/>
    <w:rsid w:val="0002044E"/>
    <w:rsid w:val="00021DA9"/>
    <w:rsid w:val="00022008"/>
    <w:rsid w:val="00023FB1"/>
    <w:rsid w:val="000272E2"/>
    <w:rsid w:val="00031E57"/>
    <w:rsid w:val="0003296B"/>
    <w:rsid w:val="000330B5"/>
    <w:rsid w:val="00033A4D"/>
    <w:rsid w:val="00033E6C"/>
    <w:rsid w:val="00035462"/>
    <w:rsid w:val="00036AE1"/>
    <w:rsid w:val="000403C9"/>
    <w:rsid w:val="000457B8"/>
    <w:rsid w:val="00052906"/>
    <w:rsid w:val="00061B87"/>
    <w:rsid w:val="000626BF"/>
    <w:rsid w:val="00067F90"/>
    <w:rsid w:val="000705E0"/>
    <w:rsid w:val="00071D5E"/>
    <w:rsid w:val="0008068B"/>
    <w:rsid w:val="000827CC"/>
    <w:rsid w:val="0008301D"/>
    <w:rsid w:val="00084B2A"/>
    <w:rsid w:val="000853DD"/>
    <w:rsid w:val="00092E86"/>
    <w:rsid w:val="0009497C"/>
    <w:rsid w:val="00096675"/>
    <w:rsid w:val="00097748"/>
    <w:rsid w:val="000A173E"/>
    <w:rsid w:val="000A3AF3"/>
    <w:rsid w:val="000A4FF3"/>
    <w:rsid w:val="000A752C"/>
    <w:rsid w:val="000B0581"/>
    <w:rsid w:val="000B1051"/>
    <w:rsid w:val="000B1945"/>
    <w:rsid w:val="000B2F30"/>
    <w:rsid w:val="000B3175"/>
    <w:rsid w:val="000B3F4C"/>
    <w:rsid w:val="000B59FE"/>
    <w:rsid w:val="000B5D8D"/>
    <w:rsid w:val="000B5E8E"/>
    <w:rsid w:val="000C1895"/>
    <w:rsid w:val="000C206D"/>
    <w:rsid w:val="000C5318"/>
    <w:rsid w:val="000C644D"/>
    <w:rsid w:val="000C74EB"/>
    <w:rsid w:val="000C7C57"/>
    <w:rsid w:val="000D4324"/>
    <w:rsid w:val="000D495E"/>
    <w:rsid w:val="000D58C8"/>
    <w:rsid w:val="000D5D2C"/>
    <w:rsid w:val="000D73B1"/>
    <w:rsid w:val="000E28CB"/>
    <w:rsid w:val="000E5E8C"/>
    <w:rsid w:val="000E68A1"/>
    <w:rsid w:val="000E6A74"/>
    <w:rsid w:val="000E6C7B"/>
    <w:rsid w:val="000F16FA"/>
    <w:rsid w:val="000F1A50"/>
    <w:rsid w:val="000F208A"/>
    <w:rsid w:val="000F31DF"/>
    <w:rsid w:val="000F3AF7"/>
    <w:rsid w:val="000F7D28"/>
    <w:rsid w:val="00100C39"/>
    <w:rsid w:val="0010102B"/>
    <w:rsid w:val="0010119F"/>
    <w:rsid w:val="00102919"/>
    <w:rsid w:val="001073B3"/>
    <w:rsid w:val="00111B6C"/>
    <w:rsid w:val="00112D1F"/>
    <w:rsid w:val="00113370"/>
    <w:rsid w:val="0012016F"/>
    <w:rsid w:val="0012075B"/>
    <w:rsid w:val="00120A4F"/>
    <w:rsid w:val="0012238D"/>
    <w:rsid w:val="0012520B"/>
    <w:rsid w:val="001252A7"/>
    <w:rsid w:val="00125F04"/>
    <w:rsid w:val="0012767A"/>
    <w:rsid w:val="001279FD"/>
    <w:rsid w:val="001339B6"/>
    <w:rsid w:val="0013603E"/>
    <w:rsid w:val="001412E0"/>
    <w:rsid w:val="00154862"/>
    <w:rsid w:val="001548CF"/>
    <w:rsid w:val="00157BB3"/>
    <w:rsid w:val="00157CBE"/>
    <w:rsid w:val="00166794"/>
    <w:rsid w:val="00167DEB"/>
    <w:rsid w:val="001720B7"/>
    <w:rsid w:val="001744ED"/>
    <w:rsid w:val="00174E43"/>
    <w:rsid w:val="00176A20"/>
    <w:rsid w:val="00180BA0"/>
    <w:rsid w:val="00181733"/>
    <w:rsid w:val="00182131"/>
    <w:rsid w:val="00182239"/>
    <w:rsid w:val="00184750"/>
    <w:rsid w:val="001854B8"/>
    <w:rsid w:val="001920C3"/>
    <w:rsid w:val="0019292C"/>
    <w:rsid w:val="00194FE7"/>
    <w:rsid w:val="001961C6"/>
    <w:rsid w:val="001A07AD"/>
    <w:rsid w:val="001A0D4B"/>
    <w:rsid w:val="001A1B0D"/>
    <w:rsid w:val="001A1D94"/>
    <w:rsid w:val="001A379B"/>
    <w:rsid w:val="001A7D2E"/>
    <w:rsid w:val="001B6E3D"/>
    <w:rsid w:val="001C0C14"/>
    <w:rsid w:val="001C174C"/>
    <w:rsid w:val="001C4404"/>
    <w:rsid w:val="001C7E15"/>
    <w:rsid w:val="001D651A"/>
    <w:rsid w:val="001D7591"/>
    <w:rsid w:val="001E105D"/>
    <w:rsid w:val="001E1110"/>
    <w:rsid w:val="001E2D9F"/>
    <w:rsid w:val="001E4C94"/>
    <w:rsid w:val="001F1202"/>
    <w:rsid w:val="001F3A32"/>
    <w:rsid w:val="001F6C90"/>
    <w:rsid w:val="002030B4"/>
    <w:rsid w:val="00204136"/>
    <w:rsid w:val="002044A7"/>
    <w:rsid w:val="00205FD8"/>
    <w:rsid w:val="0020686F"/>
    <w:rsid w:val="00211DC5"/>
    <w:rsid w:val="00213D75"/>
    <w:rsid w:val="0021431D"/>
    <w:rsid w:val="00215A4F"/>
    <w:rsid w:val="00224337"/>
    <w:rsid w:val="002243B3"/>
    <w:rsid w:val="00224A32"/>
    <w:rsid w:val="00224E7F"/>
    <w:rsid w:val="00226120"/>
    <w:rsid w:val="002328F9"/>
    <w:rsid w:val="00233018"/>
    <w:rsid w:val="002339D2"/>
    <w:rsid w:val="00235672"/>
    <w:rsid w:val="00240FF5"/>
    <w:rsid w:val="0024175F"/>
    <w:rsid w:val="00246205"/>
    <w:rsid w:val="00250A75"/>
    <w:rsid w:val="0025232A"/>
    <w:rsid w:val="00253699"/>
    <w:rsid w:val="00253EB5"/>
    <w:rsid w:val="00255629"/>
    <w:rsid w:val="00256399"/>
    <w:rsid w:val="00257369"/>
    <w:rsid w:val="00271EE6"/>
    <w:rsid w:val="00273FBF"/>
    <w:rsid w:val="002752F7"/>
    <w:rsid w:val="002753DF"/>
    <w:rsid w:val="0027564F"/>
    <w:rsid w:val="0027576A"/>
    <w:rsid w:val="002759B6"/>
    <w:rsid w:val="00275A79"/>
    <w:rsid w:val="002800A8"/>
    <w:rsid w:val="00282B33"/>
    <w:rsid w:val="00282FFA"/>
    <w:rsid w:val="0028320E"/>
    <w:rsid w:val="00285469"/>
    <w:rsid w:val="002875C5"/>
    <w:rsid w:val="00290B10"/>
    <w:rsid w:val="00292407"/>
    <w:rsid w:val="00293C54"/>
    <w:rsid w:val="00296E97"/>
    <w:rsid w:val="002A234E"/>
    <w:rsid w:val="002A2A7E"/>
    <w:rsid w:val="002A41C4"/>
    <w:rsid w:val="002A5AFD"/>
    <w:rsid w:val="002A76B3"/>
    <w:rsid w:val="002B115F"/>
    <w:rsid w:val="002B2FB0"/>
    <w:rsid w:val="002B3589"/>
    <w:rsid w:val="002B4BB9"/>
    <w:rsid w:val="002C05CC"/>
    <w:rsid w:val="002C2717"/>
    <w:rsid w:val="002C2DCD"/>
    <w:rsid w:val="002C45B8"/>
    <w:rsid w:val="002D07CB"/>
    <w:rsid w:val="002D56AF"/>
    <w:rsid w:val="002E0592"/>
    <w:rsid w:val="002E091B"/>
    <w:rsid w:val="002E54A9"/>
    <w:rsid w:val="002E6435"/>
    <w:rsid w:val="002F1C95"/>
    <w:rsid w:val="002F28FD"/>
    <w:rsid w:val="002F2B5D"/>
    <w:rsid w:val="002F4D86"/>
    <w:rsid w:val="00301E95"/>
    <w:rsid w:val="0030484B"/>
    <w:rsid w:val="00311366"/>
    <w:rsid w:val="0031136A"/>
    <w:rsid w:val="00311702"/>
    <w:rsid w:val="00312AAC"/>
    <w:rsid w:val="00315DB1"/>
    <w:rsid w:val="00327EF2"/>
    <w:rsid w:val="00330580"/>
    <w:rsid w:val="00330D4C"/>
    <w:rsid w:val="00334B42"/>
    <w:rsid w:val="00343542"/>
    <w:rsid w:val="00351D04"/>
    <w:rsid w:val="0035248D"/>
    <w:rsid w:val="003547C6"/>
    <w:rsid w:val="00360AED"/>
    <w:rsid w:val="0036378C"/>
    <w:rsid w:val="00364660"/>
    <w:rsid w:val="00367430"/>
    <w:rsid w:val="00373443"/>
    <w:rsid w:val="00374253"/>
    <w:rsid w:val="00374B5B"/>
    <w:rsid w:val="00377F07"/>
    <w:rsid w:val="003829BE"/>
    <w:rsid w:val="00386DA6"/>
    <w:rsid w:val="0039236F"/>
    <w:rsid w:val="003929C1"/>
    <w:rsid w:val="00393C2A"/>
    <w:rsid w:val="00393F49"/>
    <w:rsid w:val="003949CF"/>
    <w:rsid w:val="003A0DA7"/>
    <w:rsid w:val="003A4B26"/>
    <w:rsid w:val="003B04D1"/>
    <w:rsid w:val="003B3877"/>
    <w:rsid w:val="003B613C"/>
    <w:rsid w:val="003B7C88"/>
    <w:rsid w:val="003C00D4"/>
    <w:rsid w:val="003C7096"/>
    <w:rsid w:val="003C7227"/>
    <w:rsid w:val="003D0728"/>
    <w:rsid w:val="003D286B"/>
    <w:rsid w:val="003D4BEC"/>
    <w:rsid w:val="003D64B1"/>
    <w:rsid w:val="003E0E43"/>
    <w:rsid w:val="003E4094"/>
    <w:rsid w:val="003E4909"/>
    <w:rsid w:val="003E4B02"/>
    <w:rsid w:val="003E4B5B"/>
    <w:rsid w:val="003E6EB6"/>
    <w:rsid w:val="003F23FF"/>
    <w:rsid w:val="003F669F"/>
    <w:rsid w:val="003F6CE3"/>
    <w:rsid w:val="003F6E13"/>
    <w:rsid w:val="003F6F39"/>
    <w:rsid w:val="00401024"/>
    <w:rsid w:val="0040260C"/>
    <w:rsid w:val="00403BBD"/>
    <w:rsid w:val="00414E35"/>
    <w:rsid w:val="0041761A"/>
    <w:rsid w:val="00417990"/>
    <w:rsid w:val="00422280"/>
    <w:rsid w:val="0042296C"/>
    <w:rsid w:val="00422E40"/>
    <w:rsid w:val="0043125F"/>
    <w:rsid w:val="00431433"/>
    <w:rsid w:val="00432EB8"/>
    <w:rsid w:val="004360F5"/>
    <w:rsid w:val="00436195"/>
    <w:rsid w:val="004443CE"/>
    <w:rsid w:val="004506B4"/>
    <w:rsid w:val="00452199"/>
    <w:rsid w:val="0045242F"/>
    <w:rsid w:val="00452477"/>
    <w:rsid w:val="004544BD"/>
    <w:rsid w:val="004566E5"/>
    <w:rsid w:val="004573C9"/>
    <w:rsid w:val="004622FF"/>
    <w:rsid w:val="004631E0"/>
    <w:rsid w:val="00467870"/>
    <w:rsid w:val="00472BB2"/>
    <w:rsid w:val="0047324E"/>
    <w:rsid w:val="00477742"/>
    <w:rsid w:val="004815B0"/>
    <w:rsid w:val="00481B85"/>
    <w:rsid w:val="00483FEA"/>
    <w:rsid w:val="00484A47"/>
    <w:rsid w:val="00485156"/>
    <w:rsid w:val="0048617D"/>
    <w:rsid w:val="0049091E"/>
    <w:rsid w:val="004921B0"/>
    <w:rsid w:val="00493025"/>
    <w:rsid w:val="00493187"/>
    <w:rsid w:val="00493646"/>
    <w:rsid w:val="004943EE"/>
    <w:rsid w:val="00496A98"/>
    <w:rsid w:val="00496D80"/>
    <w:rsid w:val="004A379D"/>
    <w:rsid w:val="004B037E"/>
    <w:rsid w:val="004B30B0"/>
    <w:rsid w:val="004B4BAB"/>
    <w:rsid w:val="004B63F3"/>
    <w:rsid w:val="004C1C74"/>
    <w:rsid w:val="004C292B"/>
    <w:rsid w:val="004C6E41"/>
    <w:rsid w:val="004C7DEB"/>
    <w:rsid w:val="004D1053"/>
    <w:rsid w:val="004D11B5"/>
    <w:rsid w:val="004D48ED"/>
    <w:rsid w:val="004D667C"/>
    <w:rsid w:val="004D7007"/>
    <w:rsid w:val="004D7892"/>
    <w:rsid w:val="004E0333"/>
    <w:rsid w:val="004E589F"/>
    <w:rsid w:val="004E7974"/>
    <w:rsid w:val="004F4465"/>
    <w:rsid w:val="004F684F"/>
    <w:rsid w:val="00500C50"/>
    <w:rsid w:val="005033A4"/>
    <w:rsid w:val="005047D3"/>
    <w:rsid w:val="00506BED"/>
    <w:rsid w:val="005111C2"/>
    <w:rsid w:val="00512F92"/>
    <w:rsid w:val="00513579"/>
    <w:rsid w:val="00514870"/>
    <w:rsid w:val="00514B21"/>
    <w:rsid w:val="00516937"/>
    <w:rsid w:val="00520CE8"/>
    <w:rsid w:val="005245D8"/>
    <w:rsid w:val="00525107"/>
    <w:rsid w:val="00525621"/>
    <w:rsid w:val="00526769"/>
    <w:rsid w:val="0053020F"/>
    <w:rsid w:val="0053284A"/>
    <w:rsid w:val="0053450C"/>
    <w:rsid w:val="00540019"/>
    <w:rsid w:val="00540ED4"/>
    <w:rsid w:val="0054148B"/>
    <w:rsid w:val="0055121C"/>
    <w:rsid w:val="005545CB"/>
    <w:rsid w:val="00554B4F"/>
    <w:rsid w:val="00556F2F"/>
    <w:rsid w:val="005602E3"/>
    <w:rsid w:val="005609F8"/>
    <w:rsid w:val="00560C94"/>
    <w:rsid w:val="00563E13"/>
    <w:rsid w:val="005708BD"/>
    <w:rsid w:val="0057159D"/>
    <w:rsid w:val="00574384"/>
    <w:rsid w:val="00576F68"/>
    <w:rsid w:val="0058581F"/>
    <w:rsid w:val="00585D04"/>
    <w:rsid w:val="005872B0"/>
    <w:rsid w:val="00587E8E"/>
    <w:rsid w:val="00595337"/>
    <w:rsid w:val="00596472"/>
    <w:rsid w:val="005A12BE"/>
    <w:rsid w:val="005A15D4"/>
    <w:rsid w:val="005A27D5"/>
    <w:rsid w:val="005A2AD7"/>
    <w:rsid w:val="005B38FC"/>
    <w:rsid w:val="005B71A0"/>
    <w:rsid w:val="005C0B5F"/>
    <w:rsid w:val="005C22C8"/>
    <w:rsid w:val="005C268D"/>
    <w:rsid w:val="005C2DE9"/>
    <w:rsid w:val="005C6CAC"/>
    <w:rsid w:val="005D229C"/>
    <w:rsid w:val="005D2453"/>
    <w:rsid w:val="005D5B48"/>
    <w:rsid w:val="005D6642"/>
    <w:rsid w:val="005D6E23"/>
    <w:rsid w:val="005E0F64"/>
    <w:rsid w:val="005E5AB6"/>
    <w:rsid w:val="005E684F"/>
    <w:rsid w:val="005E6952"/>
    <w:rsid w:val="005E71A6"/>
    <w:rsid w:val="005F3FF5"/>
    <w:rsid w:val="005F6537"/>
    <w:rsid w:val="005F6575"/>
    <w:rsid w:val="00601146"/>
    <w:rsid w:val="00601CEF"/>
    <w:rsid w:val="00603B5F"/>
    <w:rsid w:val="00606919"/>
    <w:rsid w:val="006072F5"/>
    <w:rsid w:val="0060734D"/>
    <w:rsid w:val="006075FE"/>
    <w:rsid w:val="0061008E"/>
    <w:rsid w:val="006131FC"/>
    <w:rsid w:val="00613CAC"/>
    <w:rsid w:val="00623E18"/>
    <w:rsid w:val="0062411F"/>
    <w:rsid w:val="00625344"/>
    <w:rsid w:val="00625733"/>
    <w:rsid w:val="00625910"/>
    <w:rsid w:val="006261DB"/>
    <w:rsid w:val="00627FA5"/>
    <w:rsid w:val="006325A4"/>
    <w:rsid w:val="00635896"/>
    <w:rsid w:val="0063675B"/>
    <w:rsid w:val="00637FD0"/>
    <w:rsid w:val="00641E84"/>
    <w:rsid w:val="00643FB5"/>
    <w:rsid w:val="006479F7"/>
    <w:rsid w:val="00647B58"/>
    <w:rsid w:val="00650000"/>
    <w:rsid w:val="0065342D"/>
    <w:rsid w:val="00654EA2"/>
    <w:rsid w:val="0066417C"/>
    <w:rsid w:val="00664F46"/>
    <w:rsid w:val="00666E3E"/>
    <w:rsid w:val="0067186F"/>
    <w:rsid w:val="00673F27"/>
    <w:rsid w:val="00674241"/>
    <w:rsid w:val="006744E9"/>
    <w:rsid w:val="006746AE"/>
    <w:rsid w:val="00674C1B"/>
    <w:rsid w:val="0067648C"/>
    <w:rsid w:val="006770B2"/>
    <w:rsid w:val="00677E3D"/>
    <w:rsid w:val="0068512C"/>
    <w:rsid w:val="006856BE"/>
    <w:rsid w:val="00690B41"/>
    <w:rsid w:val="0069303B"/>
    <w:rsid w:val="006942F4"/>
    <w:rsid w:val="00695597"/>
    <w:rsid w:val="006A1483"/>
    <w:rsid w:val="006A159B"/>
    <w:rsid w:val="006A38DA"/>
    <w:rsid w:val="006A57C7"/>
    <w:rsid w:val="006A5B5F"/>
    <w:rsid w:val="006A77C0"/>
    <w:rsid w:val="006B60DB"/>
    <w:rsid w:val="006B75E5"/>
    <w:rsid w:val="006C3756"/>
    <w:rsid w:val="006C7DB9"/>
    <w:rsid w:val="006D2472"/>
    <w:rsid w:val="006D2FDB"/>
    <w:rsid w:val="006D3AC7"/>
    <w:rsid w:val="006D4A9D"/>
    <w:rsid w:val="006D5D6D"/>
    <w:rsid w:val="006D6142"/>
    <w:rsid w:val="006D7016"/>
    <w:rsid w:val="006E28BC"/>
    <w:rsid w:val="006E350A"/>
    <w:rsid w:val="006E4930"/>
    <w:rsid w:val="006E4DAB"/>
    <w:rsid w:val="006E624D"/>
    <w:rsid w:val="006E6737"/>
    <w:rsid w:val="006E7142"/>
    <w:rsid w:val="006F005A"/>
    <w:rsid w:val="006F2C13"/>
    <w:rsid w:val="006F6EC7"/>
    <w:rsid w:val="00700042"/>
    <w:rsid w:val="00712D6A"/>
    <w:rsid w:val="00715AFB"/>
    <w:rsid w:val="007160CE"/>
    <w:rsid w:val="00717F23"/>
    <w:rsid w:val="007209F1"/>
    <w:rsid w:val="00724027"/>
    <w:rsid w:val="00734AD3"/>
    <w:rsid w:val="007355B5"/>
    <w:rsid w:val="00741D3A"/>
    <w:rsid w:val="007422FC"/>
    <w:rsid w:val="00744A9E"/>
    <w:rsid w:val="00747440"/>
    <w:rsid w:val="00747536"/>
    <w:rsid w:val="00751D33"/>
    <w:rsid w:val="00754E53"/>
    <w:rsid w:val="00756638"/>
    <w:rsid w:val="00756741"/>
    <w:rsid w:val="00761734"/>
    <w:rsid w:val="007637B4"/>
    <w:rsid w:val="00763B26"/>
    <w:rsid w:val="00765405"/>
    <w:rsid w:val="00773B5E"/>
    <w:rsid w:val="00773C23"/>
    <w:rsid w:val="00773CC4"/>
    <w:rsid w:val="007749A3"/>
    <w:rsid w:val="00774F46"/>
    <w:rsid w:val="00776830"/>
    <w:rsid w:val="0077799F"/>
    <w:rsid w:val="00783CC0"/>
    <w:rsid w:val="00787867"/>
    <w:rsid w:val="0079020C"/>
    <w:rsid w:val="00790EBD"/>
    <w:rsid w:val="007932B6"/>
    <w:rsid w:val="00793A1F"/>
    <w:rsid w:val="00794A01"/>
    <w:rsid w:val="00795246"/>
    <w:rsid w:val="00795493"/>
    <w:rsid w:val="007A505C"/>
    <w:rsid w:val="007A5916"/>
    <w:rsid w:val="007A69FA"/>
    <w:rsid w:val="007B0456"/>
    <w:rsid w:val="007B1B20"/>
    <w:rsid w:val="007B48FB"/>
    <w:rsid w:val="007C7260"/>
    <w:rsid w:val="007E0257"/>
    <w:rsid w:val="007E067C"/>
    <w:rsid w:val="007E7E51"/>
    <w:rsid w:val="007F0A75"/>
    <w:rsid w:val="007F0C18"/>
    <w:rsid w:val="007F17F8"/>
    <w:rsid w:val="007F1C1A"/>
    <w:rsid w:val="007F2193"/>
    <w:rsid w:val="007F3DED"/>
    <w:rsid w:val="007F51B2"/>
    <w:rsid w:val="007F65DE"/>
    <w:rsid w:val="00801173"/>
    <w:rsid w:val="00802423"/>
    <w:rsid w:val="008026E0"/>
    <w:rsid w:val="008033AD"/>
    <w:rsid w:val="00803B8F"/>
    <w:rsid w:val="008066A5"/>
    <w:rsid w:val="00810224"/>
    <w:rsid w:val="008114C7"/>
    <w:rsid w:val="00813A2E"/>
    <w:rsid w:val="008143BD"/>
    <w:rsid w:val="00815499"/>
    <w:rsid w:val="00815BE4"/>
    <w:rsid w:val="008211B9"/>
    <w:rsid w:val="00821299"/>
    <w:rsid w:val="008219EC"/>
    <w:rsid w:val="00830453"/>
    <w:rsid w:val="00830986"/>
    <w:rsid w:val="0083279F"/>
    <w:rsid w:val="00836068"/>
    <w:rsid w:val="00837AE0"/>
    <w:rsid w:val="00837EEF"/>
    <w:rsid w:val="00841574"/>
    <w:rsid w:val="00845112"/>
    <w:rsid w:val="00850853"/>
    <w:rsid w:val="00852B8B"/>
    <w:rsid w:val="00854493"/>
    <w:rsid w:val="0085640B"/>
    <w:rsid w:val="00860769"/>
    <w:rsid w:val="008618BB"/>
    <w:rsid w:val="008625EC"/>
    <w:rsid w:val="00871FD1"/>
    <w:rsid w:val="00875BDE"/>
    <w:rsid w:val="0087678C"/>
    <w:rsid w:val="00876C4C"/>
    <w:rsid w:val="00882FF3"/>
    <w:rsid w:val="00883F8C"/>
    <w:rsid w:val="008847C0"/>
    <w:rsid w:val="00885040"/>
    <w:rsid w:val="00892A26"/>
    <w:rsid w:val="00894781"/>
    <w:rsid w:val="00894A43"/>
    <w:rsid w:val="00894F75"/>
    <w:rsid w:val="00896D6D"/>
    <w:rsid w:val="008A46B3"/>
    <w:rsid w:val="008A49F1"/>
    <w:rsid w:val="008A50A8"/>
    <w:rsid w:val="008A53D0"/>
    <w:rsid w:val="008A6271"/>
    <w:rsid w:val="008A71BE"/>
    <w:rsid w:val="008A72F5"/>
    <w:rsid w:val="008A7951"/>
    <w:rsid w:val="008B39C2"/>
    <w:rsid w:val="008B5115"/>
    <w:rsid w:val="008C0190"/>
    <w:rsid w:val="008C1C9A"/>
    <w:rsid w:val="008C32A7"/>
    <w:rsid w:val="008D06CF"/>
    <w:rsid w:val="008E0AD8"/>
    <w:rsid w:val="008E51EB"/>
    <w:rsid w:val="008E59C1"/>
    <w:rsid w:val="008E5C76"/>
    <w:rsid w:val="008E74A8"/>
    <w:rsid w:val="008F1134"/>
    <w:rsid w:val="008F3CF4"/>
    <w:rsid w:val="00903028"/>
    <w:rsid w:val="00903908"/>
    <w:rsid w:val="00904A98"/>
    <w:rsid w:val="0090531B"/>
    <w:rsid w:val="00916C51"/>
    <w:rsid w:val="00920424"/>
    <w:rsid w:val="009236EF"/>
    <w:rsid w:val="009273B9"/>
    <w:rsid w:val="00930C8B"/>
    <w:rsid w:val="00935CB4"/>
    <w:rsid w:val="009420F5"/>
    <w:rsid w:val="00942505"/>
    <w:rsid w:val="0094351D"/>
    <w:rsid w:val="00943B7D"/>
    <w:rsid w:val="009452DA"/>
    <w:rsid w:val="009473EA"/>
    <w:rsid w:val="00954311"/>
    <w:rsid w:val="00954B29"/>
    <w:rsid w:val="009571FD"/>
    <w:rsid w:val="00957D86"/>
    <w:rsid w:val="00960B97"/>
    <w:rsid w:val="00961483"/>
    <w:rsid w:val="00961EDE"/>
    <w:rsid w:val="00964D0A"/>
    <w:rsid w:val="0097108C"/>
    <w:rsid w:val="0097155B"/>
    <w:rsid w:val="00972D79"/>
    <w:rsid w:val="00973DEB"/>
    <w:rsid w:val="0097418D"/>
    <w:rsid w:val="009759DF"/>
    <w:rsid w:val="00976C15"/>
    <w:rsid w:val="00986E42"/>
    <w:rsid w:val="009918B1"/>
    <w:rsid w:val="00992729"/>
    <w:rsid w:val="00992943"/>
    <w:rsid w:val="00992FA0"/>
    <w:rsid w:val="00994610"/>
    <w:rsid w:val="00996E29"/>
    <w:rsid w:val="00997F49"/>
    <w:rsid w:val="009A0FB2"/>
    <w:rsid w:val="009A23E9"/>
    <w:rsid w:val="009A62C0"/>
    <w:rsid w:val="009B0D74"/>
    <w:rsid w:val="009B2257"/>
    <w:rsid w:val="009B3073"/>
    <w:rsid w:val="009B3144"/>
    <w:rsid w:val="009B3CCB"/>
    <w:rsid w:val="009B3F2D"/>
    <w:rsid w:val="009C11F3"/>
    <w:rsid w:val="009C189F"/>
    <w:rsid w:val="009C2A44"/>
    <w:rsid w:val="009C32DC"/>
    <w:rsid w:val="009D0C41"/>
    <w:rsid w:val="009D6AB3"/>
    <w:rsid w:val="009E0A4D"/>
    <w:rsid w:val="009E38E3"/>
    <w:rsid w:val="009E394C"/>
    <w:rsid w:val="009E65B4"/>
    <w:rsid w:val="009F212F"/>
    <w:rsid w:val="00A003DE"/>
    <w:rsid w:val="00A02ACF"/>
    <w:rsid w:val="00A06AF0"/>
    <w:rsid w:val="00A10B6B"/>
    <w:rsid w:val="00A20912"/>
    <w:rsid w:val="00A20D6D"/>
    <w:rsid w:val="00A215EA"/>
    <w:rsid w:val="00A257E7"/>
    <w:rsid w:val="00A26191"/>
    <w:rsid w:val="00A27A26"/>
    <w:rsid w:val="00A37513"/>
    <w:rsid w:val="00A3794A"/>
    <w:rsid w:val="00A40DC0"/>
    <w:rsid w:val="00A41589"/>
    <w:rsid w:val="00A4299B"/>
    <w:rsid w:val="00A45151"/>
    <w:rsid w:val="00A45843"/>
    <w:rsid w:val="00A4648A"/>
    <w:rsid w:val="00A4691D"/>
    <w:rsid w:val="00A473EE"/>
    <w:rsid w:val="00A511F6"/>
    <w:rsid w:val="00A51B45"/>
    <w:rsid w:val="00A53538"/>
    <w:rsid w:val="00A57954"/>
    <w:rsid w:val="00A61F9F"/>
    <w:rsid w:val="00A639CB"/>
    <w:rsid w:val="00A66883"/>
    <w:rsid w:val="00A743B7"/>
    <w:rsid w:val="00A74DDD"/>
    <w:rsid w:val="00A76268"/>
    <w:rsid w:val="00A776B8"/>
    <w:rsid w:val="00A81563"/>
    <w:rsid w:val="00A82971"/>
    <w:rsid w:val="00A82FF7"/>
    <w:rsid w:val="00A83250"/>
    <w:rsid w:val="00A90AEC"/>
    <w:rsid w:val="00A92B1D"/>
    <w:rsid w:val="00A9572A"/>
    <w:rsid w:val="00A96F00"/>
    <w:rsid w:val="00AA1E7B"/>
    <w:rsid w:val="00AA3E6D"/>
    <w:rsid w:val="00AA51D5"/>
    <w:rsid w:val="00AA61C7"/>
    <w:rsid w:val="00AB1169"/>
    <w:rsid w:val="00AB3842"/>
    <w:rsid w:val="00AC25BE"/>
    <w:rsid w:val="00AC41F5"/>
    <w:rsid w:val="00AC4407"/>
    <w:rsid w:val="00AC5886"/>
    <w:rsid w:val="00AC5B75"/>
    <w:rsid w:val="00AD1BDF"/>
    <w:rsid w:val="00AD3091"/>
    <w:rsid w:val="00AD33CB"/>
    <w:rsid w:val="00AD4CC8"/>
    <w:rsid w:val="00AD7FBD"/>
    <w:rsid w:val="00AE1BAA"/>
    <w:rsid w:val="00AE2EDD"/>
    <w:rsid w:val="00AF17C2"/>
    <w:rsid w:val="00AF37EF"/>
    <w:rsid w:val="00AF3AF4"/>
    <w:rsid w:val="00AF4107"/>
    <w:rsid w:val="00AF7ACD"/>
    <w:rsid w:val="00B00FE1"/>
    <w:rsid w:val="00B04CD8"/>
    <w:rsid w:val="00B106D3"/>
    <w:rsid w:val="00B10DEF"/>
    <w:rsid w:val="00B12BA7"/>
    <w:rsid w:val="00B1390F"/>
    <w:rsid w:val="00B14291"/>
    <w:rsid w:val="00B14655"/>
    <w:rsid w:val="00B1512D"/>
    <w:rsid w:val="00B1600B"/>
    <w:rsid w:val="00B16061"/>
    <w:rsid w:val="00B22782"/>
    <w:rsid w:val="00B25574"/>
    <w:rsid w:val="00B30743"/>
    <w:rsid w:val="00B3347B"/>
    <w:rsid w:val="00B34439"/>
    <w:rsid w:val="00B35E17"/>
    <w:rsid w:val="00B3738D"/>
    <w:rsid w:val="00B406BA"/>
    <w:rsid w:val="00B42D74"/>
    <w:rsid w:val="00B448F0"/>
    <w:rsid w:val="00B45165"/>
    <w:rsid w:val="00B4584C"/>
    <w:rsid w:val="00B530C0"/>
    <w:rsid w:val="00B5358A"/>
    <w:rsid w:val="00B60A95"/>
    <w:rsid w:val="00B60F10"/>
    <w:rsid w:val="00B61B2A"/>
    <w:rsid w:val="00B62716"/>
    <w:rsid w:val="00B66C03"/>
    <w:rsid w:val="00B67FC5"/>
    <w:rsid w:val="00B72AF0"/>
    <w:rsid w:val="00B732DB"/>
    <w:rsid w:val="00B74C89"/>
    <w:rsid w:val="00B834EE"/>
    <w:rsid w:val="00B85212"/>
    <w:rsid w:val="00B921D8"/>
    <w:rsid w:val="00B94185"/>
    <w:rsid w:val="00B946D1"/>
    <w:rsid w:val="00B97789"/>
    <w:rsid w:val="00BA1B2D"/>
    <w:rsid w:val="00BA7515"/>
    <w:rsid w:val="00BB13C2"/>
    <w:rsid w:val="00BB1EE3"/>
    <w:rsid w:val="00BB2B79"/>
    <w:rsid w:val="00BB62D2"/>
    <w:rsid w:val="00BC161F"/>
    <w:rsid w:val="00BC76B5"/>
    <w:rsid w:val="00BC7EA5"/>
    <w:rsid w:val="00BD1036"/>
    <w:rsid w:val="00BE0CD9"/>
    <w:rsid w:val="00BE0EA9"/>
    <w:rsid w:val="00BE255B"/>
    <w:rsid w:val="00BE339F"/>
    <w:rsid w:val="00BE53A7"/>
    <w:rsid w:val="00BE70E5"/>
    <w:rsid w:val="00BE7754"/>
    <w:rsid w:val="00BE7EEC"/>
    <w:rsid w:val="00BF4B10"/>
    <w:rsid w:val="00C01603"/>
    <w:rsid w:val="00C01ABA"/>
    <w:rsid w:val="00C01E20"/>
    <w:rsid w:val="00C026A5"/>
    <w:rsid w:val="00C02F9F"/>
    <w:rsid w:val="00C04714"/>
    <w:rsid w:val="00C04DCB"/>
    <w:rsid w:val="00C05384"/>
    <w:rsid w:val="00C059E0"/>
    <w:rsid w:val="00C0787E"/>
    <w:rsid w:val="00C10382"/>
    <w:rsid w:val="00C119DE"/>
    <w:rsid w:val="00C13102"/>
    <w:rsid w:val="00C16DED"/>
    <w:rsid w:val="00C20120"/>
    <w:rsid w:val="00C20A54"/>
    <w:rsid w:val="00C24024"/>
    <w:rsid w:val="00C26656"/>
    <w:rsid w:val="00C26D1E"/>
    <w:rsid w:val="00C26E7F"/>
    <w:rsid w:val="00C30256"/>
    <w:rsid w:val="00C3369F"/>
    <w:rsid w:val="00C34568"/>
    <w:rsid w:val="00C35138"/>
    <w:rsid w:val="00C42C9D"/>
    <w:rsid w:val="00C42D0A"/>
    <w:rsid w:val="00C4312E"/>
    <w:rsid w:val="00C44189"/>
    <w:rsid w:val="00C4669A"/>
    <w:rsid w:val="00C474FA"/>
    <w:rsid w:val="00C5267D"/>
    <w:rsid w:val="00C5408B"/>
    <w:rsid w:val="00C5650B"/>
    <w:rsid w:val="00C606A6"/>
    <w:rsid w:val="00C61294"/>
    <w:rsid w:val="00C62A12"/>
    <w:rsid w:val="00C62D43"/>
    <w:rsid w:val="00C642CF"/>
    <w:rsid w:val="00C65B99"/>
    <w:rsid w:val="00C66C6E"/>
    <w:rsid w:val="00C70E2D"/>
    <w:rsid w:val="00C72688"/>
    <w:rsid w:val="00C7330B"/>
    <w:rsid w:val="00C73B54"/>
    <w:rsid w:val="00C75438"/>
    <w:rsid w:val="00C82684"/>
    <w:rsid w:val="00C8373D"/>
    <w:rsid w:val="00C84D0F"/>
    <w:rsid w:val="00C84DB5"/>
    <w:rsid w:val="00C861F3"/>
    <w:rsid w:val="00C8621C"/>
    <w:rsid w:val="00C8695F"/>
    <w:rsid w:val="00C870DB"/>
    <w:rsid w:val="00C872A8"/>
    <w:rsid w:val="00C908FD"/>
    <w:rsid w:val="00C90A92"/>
    <w:rsid w:val="00C91EE2"/>
    <w:rsid w:val="00C922F4"/>
    <w:rsid w:val="00C92534"/>
    <w:rsid w:val="00C93E4D"/>
    <w:rsid w:val="00CA180E"/>
    <w:rsid w:val="00CA28BC"/>
    <w:rsid w:val="00CA3474"/>
    <w:rsid w:val="00CA5DB3"/>
    <w:rsid w:val="00CB12E8"/>
    <w:rsid w:val="00CB4848"/>
    <w:rsid w:val="00CB6E70"/>
    <w:rsid w:val="00CB7E6A"/>
    <w:rsid w:val="00CC2731"/>
    <w:rsid w:val="00CC3B2F"/>
    <w:rsid w:val="00CC71F2"/>
    <w:rsid w:val="00CD2419"/>
    <w:rsid w:val="00CD5E80"/>
    <w:rsid w:val="00CE05FE"/>
    <w:rsid w:val="00CE1BC5"/>
    <w:rsid w:val="00CE4C0C"/>
    <w:rsid w:val="00CE4F34"/>
    <w:rsid w:val="00CE54D7"/>
    <w:rsid w:val="00CF36A9"/>
    <w:rsid w:val="00CF3D3C"/>
    <w:rsid w:val="00CF50FE"/>
    <w:rsid w:val="00CF598B"/>
    <w:rsid w:val="00CF5AE7"/>
    <w:rsid w:val="00CF7731"/>
    <w:rsid w:val="00D01B20"/>
    <w:rsid w:val="00D03950"/>
    <w:rsid w:val="00D03F2F"/>
    <w:rsid w:val="00D0496A"/>
    <w:rsid w:val="00D04A17"/>
    <w:rsid w:val="00D04B87"/>
    <w:rsid w:val="00D05B93"/>
    <w:rsid w:val="00D06CE5"/>
    <w:rsid w:val="00D12AEC"/>
    <w:rsid w:val="00D15B85"/>
    <w:rsid w:val="00D171C5"/>
    <w:rsid w:val="00D17B3A"/>
    <w:rsid w:val="00D17C2A"/>
    <w:rsid w:val="00D270E5"/>
    <w:rsid w:val="00D27DB6"/>
    <w:rsid w:val="00D30411"/>
    <w:rsid w:val="00D3246B"/>
    <w:rsid w:val="00D34B0F"/>
    <w:rsid w:val="00D36625"/>
    <w:rsid w:val="00D37420"/>
    <w:rsid w:val="00D42FA5"/>
    <w:rsid w:val="00D45952"/>
    <w:rsid w:val="00D4721D"/>
    <w:rsid w:val="00D4751E"/>
    <w:rsid w:val="00D5129F"/>
    <w:rsid w:val="00D52467"/>
    <w:rsid w:val="00D55008"/>
    <w:rsid w:val="00D55D52"/>
    <w:rsid w:val="00D55DE4"/>
    <w:rsid w:val="00D57164"/>
    <w:rsid w:val="00D61553"/>
    <w:rsid w:val="00D61D27"/>
    <w:rsid w:val="00D62C27"/>
    <w:rsid w:val="00D634A3"/>
    <w:rsid w:val="00D63D5D"/>
    <w:rsid w:val="00D64DFA"/>
    <w:rsid w:val="00D65EE0"/>
    <w:rsid w:val="00D67F8C"/>
    <w:rsid w:val="00D70D0C"/>
    <w:rsid w:val="00D71DA2"/>
    <w:rsid w:val="00D76179"/>
    <w:rsid w:val="00D7628E"/>
    <w:rsid w:val="00D861AA"/>
    <w:rsid w:val="00D90661"/>
    <w:rsid w:val="00D92B94"/>
    <w:rsid w:val="00D93E45"/>
    <w:rsid w:val="00DA72C9"/>
    <w:rsid w:val="00DA745D"/>
    <w:rsid w:val="00DB404E"/>
    <w:rsid w:val="00DB427B"/>
    <w:rsid w:val="00DB5327"/>
    <w:rsid w:val="00DB575E"/>
    <w:rsid w:val="00DB59C5"/>
    <w:rsid w:val="00DB67F7"/>
    <w:rsid w:val="00DB686A"/>
    <w:rsid w:val="00DC0C02"/>
    <w:rsid w:val="00DC42A5"/>
    <w:rsid w:val="00DC60D9"/>
    <w:rsid w:val="00DC6129"/>
    <w:rsid w:val="00DD0B20"/>
    <w:rsid w:val="00DD1AD4"/>
    <w:rsid w:val="00DD1D46"/>
    <w:rsid w:val="00DD6636"/>
    <w:rsid w:val="00DD7066"/>
    <w:rsid w:val="00DD77D0"/>
    <w:rsid w:val="00DE3D2C"/>
    <w:rsid w:val="00DE4EF1"/>
    <w:rsid w:val="00DE5CED"/>
    <w:rsid w:val="00DE7BD2"/>
    <w:rsid w:val="00DF3B17"/>
    <w:rsid w:val="00DF4E39"/>
    <w:rsid w:val="00DF7095"/>
    <w:rsid w:val="00DF7A57"/>
    <w:rsid w:val="00E01A06"/>
    <w:rsid w:val="00E04750"/>
    <w:rsid w:val="00E06043"/>
    <w:rsid w:val="00E07A17"/>
    <w:rsid w:val="00E07FAD"/>
    <w:rsid w:val="00E10A1F"/>
    <w:rsid w:val="00E10E5F"/>
    <w:rsid w:val="00E164E1"/>
    <w:rsid w:val="00E179B9"/>
    <w:rsid w:val="00E20FB0"/>
    <w:rsid w:val="00E242AF"/>
    <w:rsid w:val="00E25058"/>
    <w:rsid w:val="00E27B60"/>
    <w:rsid w:val="00E303F4"/>
    <w:rsid w:val="00E31E4A"/>
    <w:rsid w:val="00E337F2"/>
    <w:rsid w:val="00E35369"/>
    <w:rsid w:val="00E37A44"/>
    <w:rsid w:val="00E41E2F"/>
    <w:rsid w:val="00E44F1C"/>
    <w:rsid w:val="00E44F58"/>
    <w:rsid w:val="00E45C39"/>
    <w:rsid w:val="00E50FF1"/>
    <w:rsid w:val="00E52A40"/>
    <w:rsid w:val="00E53E5B"/>
    <w:rsid w:val="00E552B5"/>
    <w:rsid w:val="00E618A7"/>
    <w:rsid w:val="00E62785"/>
    <w:rsid w:val="00E64BF1"/>
    <w:rsid w:val="00E650FC"/>
    <w:rsid w:val="00E66361"/>
    <w:rsid w:val="00E6782A"/>
    <w:rsid w:val="00E713B8"/>
    <w:rsid w:val="00E73D9C"/>
    <w:rsid w:val="00E7628B"/>
    <w:rsid w:val="00E77843"/>
    <w:rsid w:val="00E83C55"/>
    <w:rsid w:val="00E855D8"/>
    <w:rsid w:val="00E86369"/>
    <w:rsid w:val="00E905EB"/>
    <w:rsid w:val="00E90EB4"/>
    <w:rsid w:val="00E94469"/>
    <w:rsid w:val="00E94BAA"/>
    <w:rsid w:val="00E960E6"/>
    <w:rsid w:val="00E9799E"/>
    <w:rsid w:val="00EA05BF"/>
    <w:rsid w:val="00EA367D"/>
    <w:rsid w:val="00EA64C8"/>
    <w:rsid w:val="00EB0740"/>
    <w:rsid w:val="00EB201F"/>
    <w:rsid w:val="00EB2728"/>
    <w:rsid w:val="00EB3021"/>
    <w:rsid w:val="00EB353B"/>
    <w:rsid w:val="00EB368F"/>
    <w:rsid w:val="00EB3A2B"/>
    <w:rsid w:val="00EB49EF"/>
    <w:rsid w:val="00EB762F"/>
    <w:rsid w:val="00EC3804"/>
    <w:rsid w:val="00EC5C9E"/>
    <w:rsid w:val="00ED0881"/>
    <w:rsid w:val="00ED1342"/>
    <w:rsid w:val="00ED1C72"/>
    <w:rsid w:val="00ED2DBB"/>
    <w:rsid w:val="00ED7ACA"/>
    <w:rsid w:val="00EE18FC"/>
    <w:rsid w:val="00EE2DE0"/>
    <w:rsid w:val="00EE4512"/>
    <w:rsid w:val="00EE56A4"/>
    <w:rsid w:val="00EE7463"/>
    <w:rsid w:val="00EF20B0"/>
    <w:rsid w:val="00F01C62"/>
    <w:rsid w:val="00F03B01"/>
    <w:rsid w:val="00F043C6"/>
    <w:rsid w:val="00F05FB1"/>
    <w:rsid w:val="00F10B4A"/>
    <w:rsid w:val="00F1149E"/>
    <w:rsid w:val="00F14966"/>
    <w:rsid w:val="00F17D83"/>
    <w:rsid w:val="00F223D6"/>
    <w:rsid w:val="00F3264C"/>
    <w:rsid w:val="00F33802"/>
    <w:rsid w:val="00F52414"/>
    <w:rsid w:val="00F54F10"/>
    <w:rsid w:val="00F5668D"/>
    <w:rsid w:val="00F60574"/>
    <w:rsid w:val="00F61998"/>
    <w:rsid w:val="00F62D86"/>
    <w:rsid w:val="00F65335"/>
    <w:rsid w:val="00F665E3"/>
    <w:rsid w:val="00F7301C"/>
    <w:rsid w:val="00F730AF"/>
    <w:rsid w:val="00F7570F"/>
    <w:rsid w:val="00F7751E"/>
    <w:rsid w:val="00F77E45"/>
    <w:rsid w:val="00F81FE6"/>
    <w:rsid w:val="00F85344"/>
    <w:rsid w:val="00F85981"/>
    <w:rsid w:val="00F878E1"/>
    <w:rsid w:val="00F9586F"/>
    <w:rsid w:val="00F958FF"/>
    <w:rsid w:val="00F97C82"/>
    <w:rsid w:val="00FA0243"/>
    <w:rsid w:val="00FA066C"/>
    <w:rsid w:val="00FA08E5"/>
    <w:rsid w:val="00FA0C08"/>
    <w:rsid w:val="00FA2342"/>
    <w:rsid w:val="00FA3F1E"/>
    <w:rsid w:val="00FA7004"/>
    <w:rsid w:val="00FB26FC"/>
    <w:rsid w:val="00FB335E"/>
    <w:rsid w:val="00FB341F"/>
    <w:rsid w:val="00FB41EB"/>
    <w:rsid w:val="00FB46AF"/>
    <w:rsid w:val="00FB6065"/>
    <w:rsid w:val="00FC1E3C"/>
    <w:rsid w:val="00FC35AF"/>
    <w:rsid w:val="00FC3DD1"/>
    <w:rsid w:val="00FC3FB5"/>
    <w:rsid w:val="00FC7576"/>
    <w:rsid w:val="00FD0B7C"/>
    <w:rsid w:val="00FD38A9"/>
    <w:rsid w:val="00FE0358"/>
    <w:rsid w:val="00FE7D1C"/>
    <w:rsid w:val="00FF0E03"/>
    <w:rsid w:val="00FF0F03"/>
    <w:rsid w:val="00FF135A"/>
    <w:rsid w:val="00FF7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F74B2C4"/>
  <w15:chartTrackingRefBased/>
  <w15:docId w15:val="{01C01750-EE43-4921-AAAC-5D533EEE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4631E0"/>
    <w:pPr>
      <w:spacing w:after="240" w:line="240" w:lineRule="atLeast"/>
    </w:pPr>
    <w:rPr>
      <w:rFonts w:ascii="Georgia" w:eastAsia="Arial" w:hAnsi="Georgia" w:cs="Times New Roman"/>
      <w:sz w:val="20"/>
      <w:szCs w:val="20"/>
      <w:lang w:val="en-ZA"/>
    </w:rPr>
  </w:style>
  <w:style w:type="paragraph" w:styleId="Heading1">
    <w:name w:val="heading 1"/>
    <w:basedOn w:val="Normal"/>
    <w:next w:val="Heading2"/>
    <w:link w:val="Heading1Char"/>
    <w:uiPriority w:val="9"/>
    <w:qFormat/>
    <w:rsid w:val="004B63F3"/>
    <w:pPr>
      <w:keepNext/>
      <w:keepLines/>
      <w:numPr>
        <w:numId w:val="2"/>
      </w:numPr>
      <w:spacing w:after="480" w:line="600" w:lineRule="atLeast"/>
      <w:outlineLvl w:val="0"/>
    </w:pPr>
    <w:rPr>
      <w:rFonts w:eastAsia="Times New Roman"/>
      <w:b/>
      <w:bCs/>
      <w:i/>
      <w:sz w:val="56"/>
      <w:szCs w:val="28"/>
    </w:rPr>
  </w:style>
  <w:style w:type="paragraph" w:styleId="Heading2">
    <w:name w:val="heading 2"/>
    <w:basedOn w:val="Normal"/>
    <w:next w:val="BodyText"/>
    <w:link w:val="Heading2Char"/>
    <w:autoRedefine/>
    <w:uiPriority w:val="9"/>
    <w:qFormat/>
    <w:rsid w:val="00CF5AE7"/>
    <w:pPr>
      <w:keepNext/>
      <w:keepLines/>
      <w:numPr>
        <w:ilvl w:val="1"/>
        <w:numId w:val="2"/>
      </w:numPr>
      <w:spacing w:after="40" w:line="240" w:lineRule="auto"/>
      <w:outlineLvl w:val="1"/>
    </w:pPr>
    <w:rPr>
      <w:b/>
      <w:bCs/>
      <w:i/>
      <w:color w:val="A32020" w:themeColor="accent1"/>
      <w:sz w:val="36"/>
      <w:szCs w:val="26"/>
    </w:rPr>
  </w:style>
  <w:style w:type="paragraph" w:styleId="Heading3">
    <w:name w:val="heading 3"/>
    <w:basedOn w:val="Normal"/>
    <w:next w:val="BodyText"/>
    <w:link w:val="Heading3Char"/>
    <w:uiPriority w:val="9"/>
    <w:qFormat/>
    <w:rsid w:val="00285469"/>
    <w:pPr>
      <w:keepNext/>
      <w:keepLines/>
      <w:numPr>
        <w:ilvl w:val="2"/>
        <w:numId w:val="2"/>
      </w:numPr>
      <w:spacing w:after="40" w:line="240" w:lineRule="auto"/>
      <w:outlineLvl w:val="2"/>
    </w:pPr>
    <w:rPr>
      <w:rFonts w:eastAsia="Times New Roman"/>
      <w:bCs/>
      <w:i/>
      <w:color w:val="A32020" w:themeColor="text2"/>
      <w:sz w:val="32"/>
    </w:rPr>
  </w:style>
  <w:style w:type="paragraph" w:styleId="Heading4">
    <w:name w:val="heading 4"/>
    <w:basedOn w:val="Normal"/>
    <w:next w:val="Normal"/>
    <w:link w:val="Heading4Char"/>
    <w:uiPriority w:val="9"/>
    <w:unhideWhenUsed/>
    <w:qFormat/>
    <w:rsid w:val="00A743B7"/>
    <w:pPr>
      <w:keepNext/>
      <w:keepLines/>
      <w:numPr>
        <w:ilvl w:val="3"/>
        <w:numId w:val="2"/>
      </w:numPr>
      <w:spacing w:before="40" w:after="0"/>
      <w:outlineLvl w:val="3"/>
    </w:pPr>
    <w:rPr>
      <w:rFonts w:asciiTheme="majorHAnsi" w:eastAsiaTheme="majorEastAsia" w:hAnsiTheme="majorHAnsi" w:cstheme="majorBidi"/>
      <w:i/>
      <w:iCs/>
      <w:color w:val="7A1818" w:themeColor="accent1" w:themeShade="BF"/>
    </w:rPr>
  </w:style>
  <w:style w:type="paragraph" w:styleId="Heading5">
    <w:name w:val="heading 5"/>
    <w:basedOn w:val="Normal"/>
    <w:next w:val="BodyText"/>
    <w:link w:val="Heading5Char"/>
    <w:uiPriority w:val="9"/>
    <w:qFormat/>
    <w:rsid w:val="00285469"/>
    <w:pPr>
      <w:keepNext/>
      <w:keepLines/>
      <w:numPr>
        <w:ilvl w:val="4"/>
        <w:numId w:val="2"/>
      </w:numPr>
      <w:spacing w:after="40" w:line="240" w:lineRule="auto"/>
      <w:outlineLvl w:val="4"/>
    </w:pPr>
    <w:rPr>
      <w:rFonts w:eastAsia="Times New Roman"/>
      <w:color w:val="A32020" w:themeColor="text2"/>
    </w:rPr>
  </w:style>
  <w:style w:type="paragraph" w:styleId="Heading6">
    <w:name w:val="heading 6"/>
    <w:basedOn w:val="Normal"/>
    <w:next w:val="Normal"/>
    <w:link w:val="Heading6Char"/>
    <w:uiPriority w:val="9"/>
    <w:semiHidden/>
    <w:unhideWhenUsed/>
    <w:qFormat/>
    <w:rsid w:val="00A743B7"/>
    <w:pPr>
      <w:keepNext/>
      <w:keepLines/>
      <w:numPr>
        <w:ilvl w:val="5"/>
        <w:numId w:val="2"/>
      </w:numPr>
      <w:spacing w:before="40" w:after="0"/>
      <w:outlineLvl w:val="5"/>
    </w:pPr>
    <w:rPr>
      <w:rFonts w:asciiTheme="majorHAnsi" w:eastAsiaTheme="majorEastAsia" w:hAnsiTheme="majorHAnsi" w:cstheme="majorBidi"/>
      <w:color w:val="511010" w:themeColor="accent1" w:themeShade="7F"/>
    </w:rPr>
  </w:style>
  <w:style w:type="paragraph" w:styleId="Heading7">
    <w:name w:val="heading 7"/>
    <w:basedOn w:val="Normal"/>
    <w:next w:val="Normal"/>
    <w:link w:val="Heading7Char"/>
    <w:uiPriority w:val="9"/>
    <w:semiHidden/>
    <w:unhideWhenUsed/>
    <w:qFormat/>
    <w:rsid w:val="00343542"/>
    <w:pPr>
      <w:keepNext/>
      <w:keepLines/>
      <w:numPr>
        <w:ilvl w:val="6"/>
        <w:numId w:val="2"/>
      </w:numPr>
      <w:spacing w:before="40" w:after="0"/>
      <w:outlineLvl w:val="6"/>
    </w:pPr>
    <w:rPr>
      <w:rFonts w:asciiTheme="majorHAnsi" w:eastAsiaTheme="majorEastAsia" w:hAnsiTheme="majorHAnsi" w:cstheme="majorBidi"/>
      <w:i/>
      <w:iCs/>
      <w:color w:val="511010" w:themeColor="accent1" w:themeShade="7F"/>
    </w:rPr>
  </w:style>
  <w:style w:type="paragraph" w:styleId="Heading8">
    <w:name w:val="heading 8"/>
    <w:basedOn w:val="Normal"/>
    <w:next w:val="Normal"/>
    <w:link w:val="Heading8Char"/>
    <w:uiPriority w:val="9"/>
    <w:semiHidden/>
    <w:unhideWhenUsed/>
    <w:qFormat/>
    <w:rsid w:val="0034354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4354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3F3"/>
    <w:rPr>
      <w:rFonts w:ascii="Georgia" w:eastAsia="Times New Roman" w:hAnsi="Georgia" w:cs="Times New Roman"/>
      <w:b/>
      <w:bCs/>
      <w:i/>
      <w:sz w:val="56"/>
      <w:szCs w:val="28"/>
      <w:lang w:val="en-ZA"/>
    </w:rPr>
  </w:style>
  <w:style w:type="character" w:customStyle="1" w:styleId="Heading2Char">
    <w:name w:val="Heading 2 Char"/>
    <w:basedOn w:val="DefaultParagraphFont"/>
    <w:link w:val="Heading2"/>
    <w:uiPriority w:val="9"/>
    <w:rsid w:val="00CF5AE7"/>
    <w:rPr>
      <w:rFonts w:ascii="Georgia" w:eastAsia="Arial" w:hAnsi="Georgia" w:cs="Times New Roman"/>
      <w:b/>
      <w:bCs/>
      <w:i/>
      <w:color w:val="A32020" w:themeColor="accent1"/>
      <w:sz w:val="36"/>
      <w:szCs w:val="26"/>
      <w:lang w:val="en-ZA"/>
    </w:rPr>
  </w:style>
  <w:style w:type="character" w:customStyle="1" w:styleId="Heading3Char">
    <w:name w:val="Heading 3 Char"/>
    <w:basedOn w:val="DefaultParagraphFont"/>
    <w:link w:val="Heading3"/>
    <w:uiPriority w:val="9"/>
    <w:rsid w:val="00285469"/>
    <w:rPr>
      <w:rFonts w:ascii="Georgia" w:eastAsia="Times New Roman" w:hAnsi="Georgia" w:cs="Times New Roman"/>
      <w:bCs/>
      <w:i/>
      <w:color w:val="A32020" w:themeColor="text2"/>
      <w:sz w:val="32"/>
      <w:szCs w:val="20"/>
      <w:lang w:val="en-ZA"/>
    </w:rPr>
  </w:style>
  <w:style w:type="character" w:customStyle="1" w:styleId="Heading5Char">
    <w:name w:val="Heading 5 Char"/>
    <w:basedOn w:val="DefaultParagraphFont"/>
    <w:link w:val="Heading5"/>
    <w:uiPriority w:val="9"/>
    <w:rsid w:val="00285469"/>
    <w:rPr>
      <w:rFonts w:ascii="Georgia" w:eastAsia="Times New Roman" w:hAnsi="Georgia" w:cs="Times New Roman"/>
      <w:color w:val="A32020" w:themeColor="text2"/>
      <w:sz w:val="20"/>
      <w:szCs w:val="20"/>
      <w:lang w:val="en-ZA"/>
    </w:rPr>
  </w:style>
  <w:style w:type="paragraph" w:styleId="BodyText">
    <w:name w:val="Body Text"/>
    <w:basedOn w:val="Normal"/>
    <w:link w:val="BodyTextChar"/>
    <w:unhideWhenUsed/>
    <w:qFormat/>
    <w:rsid w:val="004631E0"/>
  </w:style>
  <w:style w:type="character" w:customStyle="1" w:styleId="BodyTextChar">
    <w:name w:val="Body Text Char"/>
    <w:basedOn w:val="DefaultParagraphFont"/>
    <w:link w:val="BodyText"/>
    <w:rsid w:val="004631E0"/>
    <w:rPr>
      <w:rFonts w:ascii="Georgia" w:eastAsia="Arial" w:hAnsi="Georgia" w:cs="Times New Roman"/>
      <w:sz w:val="20"/>
      <w:szCs w:val="20"/>
      <w:lang w:val="en-GB"/>
    </w:rPr>
  </w:style>
  <w:style w:type="paragraph" w:styleId="Header">
    <w:name w:val="header"/>
    <w:basedOn w:val="Normal"/>
    <w:link w:val="HeaderChar"/>
    <w:uiPriority w:val="99"/>
    <w:unhideWhenUsed/>
    <w:rsid w:val="004631E0"/>
    <w:pPr>
      <w:spacing w:after="0" w:line="240" w:lineRule="auto"/>
    </w:pPr>
    <w:rPr>
      <w:rFonts w:ascii="Arial" w:hAnsi="Arial"/>
      <w:sz w:val="19"/>
    </w:rPr>
  </w:style>
  <w:style w:type="character" w:customStyle="1" w:styleId="HeaderChar">
    <w:name w:val="Header Char"/>
    <w:basedOn w:val="DefaultParagraphFont"/>
    <w:link w:val="Header"/>
    <w:uiPriority w:val="99"/>
    <w:rsid w:val="004631E0"/>
    <w:rPr>
      <w:rFonts w:ascii="Arial" w:eastAsia="Arial" w:hAnsi="Arial" w:cs="Times New Roman"/>
      <w:sz w:val="19"/>
      <w:szCs w:val="20"/>
      <w:lang w:val="en-GB"/>
    </w:rPr>
  </w:style>
  <w:style w:type="paragraph" w:styleId="Footer">
    <w:name w:val="footer"/>
    <w:basedOn w:val="Normal"/>
    <w:link w:val="FooterChar"/>
    <w:uiPriority w:val="99"/>
    <w:unhideWhenUsed/>
    <w:rsid w:val="004631E0"/>
    <w:pPr>
      <w:spacing w:after="0" w:line="240" w:lineRule="auto"/>
    </w:pPr>
    <w:rPr>
      <w:rFonts w:ascii="Arial" w:hAnsi="Arial"/>
      <w:sz w:val="19"/>
    </w:rPr>
  </w:style>
  <w:style w:type="character" w:customStyle="1" w:styleId="FooterChar">
    <w:name w:val="Footer Char"/>
    <w:basedOn w:val="DefaultParagraphFont"/>
    <w:link w:val="Footer"/>
    <w:uiPriority w:val="99"/>
    <w:rsid w:val="004631E0"/>
    <w:rPr>
      <w:rFonts w:ascii="Arial" w:eastAsia="Arial" w:hAnsi="Arial" w:cs="Times New Roman"/>
      <w:sz w:val="19"/>
      <w:szCs w:val="20"/>
      <w:lang w:val="en-GB"/>
    </w:rPr>
  </w:style>
  <w:style w:type="paragraph" w:styleId="Title">
    <w:name w:val="Title"/>
    <w:basedOn w:val="Normal"/>
    <w:next w:val="Subtitle"/>
    <w:link w:val="TitleChar"/>
    <w:uiPriority w:val="10"/>
    <w:qFormat/>
    <w:rsid w:val="004631E0"/>
    <w:pPr>
      <w:spacing w:after="0" w:line="240" w:lineRule="auto"/>
      <w:contextualSpacing/>
    </w:pPr>
    <w:rPr>
      <w:rFonts w:eastAsia="Times New Roman"/>
      <w:b/>
      <w:i/>
      <w:spacing w:val="5"/>
      <w:kern w:val="28"/>
      <w:sz w:val="80"/>
      <w:szCs w:val="52"/>
    </w:rPr>
  </w:style>
  <w:style w:type="character" w:customStyle="1" w:styleId="TitleChar">
    <w:name w:val="Title Char"/>
    <w:basedOn w:val="DefaultParagraphFont"/>
    <w:link w:val="Title"/>
    <w:uiPriority w:val="10"/>
    <w:rsid w:val="004631E0"/>
    <w:rPr>
      <w:rFonts w:ascii="Georgia" w:eastAsia="Times New Roman" w:hAnsi="Georgia" w:cs="Times New Roman"/>
      <w:b/>
      <w:i/>
      <w:spacing w:val="5"/>
      <w:kern w:val="28"/>
      <w:sz w:val="80"/>
      <w:szCs w:val="52"/>
      <w:lang w:val="en-GB"/>
    </w:rPr>
  </w:style>
  <w:style w:type="paragraph" w:styleId="Subtitle">
    <w:name w:val="Subtitle"/>
    <w:basedOn w:val="Normal"/>
    <w:next w:val="Normal"/>
    <w:link w:val="SubtitleChar"/>
    <w:uiPriority w:val="11"/>
    <w:qFormat/>
    <w:rsid w:val="004631E0"/>
    <w:pPr>
      <w:numPr>
        <w:ilvl w:val="1"/>
      </w:numPr>
      <w:spacing w:after="1200" w:line="240" w:lineRule="auto"/>
    </w:pPr>
    <w:rPr>
      <w:rFonts w:eastAsia="Times New Roman"/>
      <w:iCs/>
      <w:spacing w:val="15"/>
      <w:sz w:val="80"/>
      <w:szCs w:val="24"/>
    </w:rPr>
  </w:style>
  <w:style w:type="character" w:customStyle="1" w:styleId="SubtitleChar">
    <w:name w:val="Subtitle Char"/>
    <w:basedOn w:val="DefaultParagraphFont"/>
    <w:link w:val="Subtitle"/>
    <w:uiPriority w:val="11"/>
    <w:rsid w:val="004631E0"/>
    <w:rPr>
      <w:rFonts w:ascii="Georgia" w:eastAsia="Times New Roman" w:hAnsi="Georgia" w:cs="Times New Roman"/>
      <w:iCs/>
      <w:spacing w:val="15"/>
      <w:sz w:val="80"/>
      <w:szCs w:val="24"/>
      <w:lang w:val="en-GB"/>
    </w:rPr>
  </w:style>
  <w:style w:type="paragraph" w:styleId="TOC1">
    <w:name w:val="toc 1"/>
    <w:basedOn w:val="Normal"/>
    <w:next w:val="Normal"/>
    <w:autoRedefine/>
    <w:uiPriority w:val="39"/>
    <w:unhideWhenUsed/>
    <w:rsid w:val="000853DD"/>
    <w:pPr>
      <w:pBdr>
        <w:top w:val="single" w:sz="8" w:space="4" w:color="DC6900"/>
      </w:pBdr>
      <w:tabs>
        <w:tab w:val="right" w:pos="9854"/>
      </w:tabs>
      <w:spacing w:before="120" w:after="120"/>
      <w:ind w:left="284" w:hanging="284"/>
    </w:pPr>
  </w:style>
  <w:style w:type="paragraph" w:styleId="TOC2">
    <w:name w:val="toc 2"/>
    <w:basedOn w:val="Normal"/>
    <w:next w:val="Normal"/>
    <w:autoRedefine/>
    <w:uiPriority w:val="39"/>
    <w:unhideWhenUsed/>
    <w:rsid w:val="004631E0"/>
    <w:pPr>
      <w:pBdr>
        <w:top w:val="dotted" w:sz="8" w:space="4" w:color="DC6900"/>
      </w:pBdr>
      <w:spacing w:before="120" w:after="120"/>
      <w:ind w:left="284" w:hanging="284"/>
    </w:pPr>
  </w:style>
  <w:style w:type="character" w:styleId="Hyperlink">
    <w:name w:val="Hyperlink"/>
    <w:uiPriority w:val="99"/>
    <w:unhideWhenUsed/>
    <w:rsid w:val="004631E0"/>
    <w:rPr>
      <w:color w:val="0000FF"/>
      <w:u w:val="single"/>
    </w:rPr>
  </w:style>
  <w:style w:type="paragraph" w:styleId="TOC5">
    <w:name w:val="toc 5"/>
    <w:basedOn w:val="Normal"/>
    <w:next w:val="Normal"/>
    <w:autoRedefine/>
    <w:uiPriority w:val="39"/>
    <w:unhideWhenUsed/>
    <w:rsid w:val="004631E0"/>
    <w:pPr>
      <w:spacing w:after="120"/>
      <w:ind w:left="1135" w:hanging="284"/>
    </w:pPr>
  </w:style>
  <w:style w:type="character" w:styleId="Emphasis">
    <w:name w:val="Emphasis"/>
    <w:uiPriority w:val="20"/>
    <w:qFormat/>
    <w:rsid w:val="004631E0"/>
    <w:rPr>
      <w:i/>
      <w:iCs/>
    </w:rPr>
  </w:style>
  <w:style w:type="character" w:styleId="CommentReference">
    <w:name w:val="annotation reference"/>
    <w:uiPriority w:val="99"/>
    <w:semiHidden/>
    <w:unhideWhenUsed/>
    <w:rsid w:val="004631E0"/>
    <w:rPr>
      <w:sz w:val="16"/>
      <w:szCs w:val="16"/>
    </w:rPr>
  </w:style>
  <w:style w:type="paragraph" w:styleId="CommentText">
    <w:name w:val="annotation text"/>
    <w:basedOn w:val="Normal"/>
    <w:link w:val="CommentTextChar"/>
    <w:uiPriority w:val="99"/>
    <w:semiHidden/>
    <w:unhideWhenUsed/>
    <w:rsid w:val="004631E0"/>
  </w:style>
  <w:style w:type="character" w:customStyle="1" w:styleId="CommentTextChar">
    <w:name w:val="Comment Text Char"/>
    <w:basedOn w:val="DefaultParagraphFont"/>
    <w:link w:val="CommentText"/>
    <w:uiPriority w:val="99"/>
    <w:semiHidden/>
    <w:rsid w:val="004631E0"/>
    <w:rPr>
      <w:rFonts w:ascii="Georgia" w:eastAsia="Arial" w:hAnsi="Georgia" w:cs="Times New Roman"/>
      <w:sz w:val="20"/>
      <w:szCs w:val="20"/>
      <w:lang w:val="en-GB"/>
    </w:rPr>
  </w:style>
  <w:style w:type="paragraph" w:styleId="FootnoteText">
    <w:name w:val="footnote text"/>
    <w:aliases w:val="Footnote Text Char Char,Footnote Text Char1 Char Char,Footnote Text Char Char Char Char,Footnote Text Char Char1,Footnote Text Riaan,DTE-Voetnoottekst,DTE-Voetnoottekst Char,fn,footnote text,Footnotes,Footnote ak,Footnote,Fußnotentextf"/>
    <w:basedOn w:val="Normal"/>
    <w:link w:val="FootnoteTextChar"/>
    <w:uiPriority w:val="99"/>
    <w:unhideWhenUsed/>
    <w:qFormat/>
    <w:rsid w:val="004631E0"/>
  </w:style>
  <w:style w:type="character" w:customStyle="1" w:styleId="FootnoteTextChar">
    <w:name w:val="Footnote Text Char"/>
    <w:aliases w:val="Footnote Text Char Char Char,Footnote Text Char1 Char Char Char,Footnote Text Char Char Char Char Char,Footnote Text Char Char1 Char,Footnote Text Riaan Char,DTE-Voetnoottekst Char1,DTE-Voetnoottekst Char Char,fn Char,Footnotes Char"/>
    <w:basedOn w:val="DefaultParagraphFont"/>
    <w:link w:val="FootnoteText"/>
    <w:uiPriority w:val="99"/>
    <w:rsid w:val="004631E0"/>
    <w:rPr>
      <w:rFonts w:ascii="Georgia" w:eastAsia="Arial" w:hAnsi="Georgia" w:cs="Times New Roman"/>
      <w:sz w:val="20"/>
      <w:szCs w:val="20"/>
      <w:lang w:val="en-GB"/>
    </w:rPr>
  </w:style>
  <w:style w:type="character" w:styleId="FootnoteReference">
    <w:name w:val="footnote reference"/>
    <w:aliases w:val="SUPERS,Ref,de nota al pie,(NECG) Footnote Reference,Footnotes refss"/>
    <w:uiPriority w:val="99"/>
    <w:unhideWhenUsed/>
    <w:rsid w:val="004631E0"/>
    <w:rPr>
      <w:vertAlign w:val="superscript"/>
    </w:rPr>
  </w:style>
  <w:style w:type="paragraph" w:styleId="Caption">
    <w:name w:val="caption"/>
    <w:basedOn w:val="Normal"/>
    <w:next w:val="Normal"/>
    <w:link w:val="CaptionChar"/>
    <w:uiPriority w:val="35"/>
    <w:unhideWhenUsed/>
    <w:qFormat/>
    <w:rsid w:val="00A66883"/>
    <w:rPr>
      <w:bCs/>
      <w:i/>
    </w:rPr>
  </w:style>
  <w:style w:type="paragraph" w:styleId="BalloonText">
    <w:name w:val="Balloon Text"/>
    <w:basedOn w:val="Normal"/>
    <w:link w:val="BalloonTextChar"/>
    <w:uiPriority w:val="99"/>
    <w:semiHidden/>
    <w:unhideWhenUsed/>
    <w:rsid w:val="004631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1E0"/>
    <w:rPr>
      <w:rFonts w:ascii="Segoe UI" w:eastAsia="Arial" w:hAnsi="Segoe UI" w:cs="Segoe UI"/>
      <w:sz w:val="18"/>
      <w:szCs w:val="18"/>
      <w:lang w:val="en-GB"/>
    </w:rPr>
  </w:style>
  <w:style w:type="table" w:styleId="TableGrid">
    <w:name w:val="Table Grid"/>
    <w:aliases w:val="Header Row,Schedules - Table Grid,Smart Text Table,Bordure,Header Table Grid,Bordure1,Bordure2,REMT"/>
    <w:basedOn w:val="TableNormal"/>
    <w:uiPriority w:val="39"/>
    <w:rsid w:val="00623E18"/>
    <w:pPr>
      <w:spacing w:after="0" w:line="240" w:lineRule="auto"/>
    </w:pPr>
    <w:rPr>
      <w:color w:val="000000" w:themeColor="text1"/>
      <w:sz w:val="21"/>
      <w:szCs w:val="21"/>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textprebullet">
    <w:name w:val="Body text pre bullet"/>
    <w:basedOn w:val="Normal"/>
    <w:link w:val="BodytextprebulletChar"/>
    <w:qFormat/>
    <w:rsid w:val="00623E18"/>
    <w:pPr>
      <w:keepNext/>
      <w:spacing w:before="140" w:after="140" w:line="240" w:lineRule="auto"/>
    </w:pPr>
    <w:rPr>
      <w:rFonts w:eastAsiaTheme="minorHAnsi" w:cstheme="minorBidi"/>
      <w:color w:val="000000" w:themeColor="text1"/>
    </w:rPr>
  </w:style>
  <w:style w:type="character" w:customStyle="1" w:styleId="BodytextprebulletChar">
    <w:name w:val="Body text pre bullet Char"/>
    <w:basedOn w:val="DefaultParagraphFont"/>
    <w:link w:val="Bodytextprebullet"/>
    <w:rsid w:val="00623E18"/>
    <w:rPr>
      <w:rFonts w:ascii="Georgia" w:hAnsi="Georgia"/>
      <w:color w:val="000000" w:themeColor="text1"/>
      <w:sz w:val="20"/>
      <w:szCs w:val="20"/>
      <w:lang w:val="en-GB"/>
    </w:rPr>
  </w:style>
  <w:style w:type="table" w:styleId="ListTable1Light-Accent1">
    <w:name w:val="List Table 1 Light Accent 1"/>
    <w:basedOn w:val="TableNormal"/>
    <w:uiPriority w:val="46"/>
    <w:rsid w:val="00CF3D3C"/>
    <w:pPr>
      <w:spacing w:after="0" w:line="240" w:lineRule="auto"/>
    </w:pPr>
    <w:tblPr>
      <w:tblStyleRowBandSize w:val="1"/>
      <w:tblStyleColBandSize w:val="1"/>
    </w:tblPr>
    <w:tblStylePr w:type="firstRow">
      <w:rPr>
        <w:b/>
        <w:bCs/>
      </w:rPr>
      <w:tblPr/>
      <w:tcPr>
        <w:tcBorders>
          <w:bottom w:val="single" w:sz="4" w:space="0" w:color="E06161" w:themeColor="accent1" w:themeTint="99"/>
        </w:tcBorders>
      </w:tcPr>
    </w:tblStylePr>
    <w:tblStylePr w:type="lastRow">
      <w:rPr>
        <w:b/>
        <w:bCs/>
      </w:rPr>
      <w:tblPr/>
      <w:tcPr>
        <w:tcBorders>
          <w:top w:val="single" w:sz="4" w:space="0" w:color="E06161" w:themeColor="accent1" w:themeTint="99"/>
        </w:tcBorders>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paragraph" w:styleId="CommentSubject">
    <w:name w:val="annotation subject"/>
    <w:basedOn w:val="CommentText"/>
    <w:next w:val="CommentText"/>
    <w:link w:val="CommentSubjectChar"/>
    <w:uiPriority w:val="99"/>
    <w:semiHidden/>
    <w:unhideWhenUsed/>
    <w:rsid w:val="00182131"/>
    <w:pPr>
      <w:spacing w:line="240" w:lineRule="auto"/>
    </w:pPr>
    <w:rPr>
      <w:b/>
      <w:bCs/>
    </w:rPr>
  </w:style>
  <w:style w:type="character" w:customStyle="1" w:styleId="CommentSubjectChar">
    <w:name w:val="Comment Subject Char"/>
    <w:basedOn w:val="CommentTextChar"/>
    <w:link w:val="CommentSubject"/>
    <w:uiPriority w:val="99"/>
    <w:semiHidden/>
    <w:rsid w:val="00182131"/>
    <w:rPr>
      <w:rFonts w:ascii="Georgia" w:eastAsia="Arial" w:hAnsi="Georgia" w:cs="Times New Roman"/>
      <w:b/>
      <w:bCs/>
      <w:sz w:val="20"/>
      <w:szCs w:val="20"/>
      <w:lang w:val="en-GB"/>
    </w:rPr>
  </w:style>
  <w:style w:type="character" w:customStyle="1" w:styleId="Heading6Char">
    <w:name w:val="Heading 6 Char"/>
    <w:basedOn w:val="DefaultParagraphFont"/>
    <w:link w:val="Heading6"/>
    <w:uiPriority w:val="9"/>
    <w:semiHidden/>
    <w:rsid w:val="00A743B7"/>
    <w:rPr>
      <w:rFonts w:asciiTheme="majorHAnsi" w:eastAsiaTheme="majorEastAsia" w:hAnsiTheme="majorHAnsi" w:cstheme="majorBidi"/>
      <w:color w:val="511010" w:themeColor="accent1" w:themeShade="7F"/>
      <w:sz w:val="20"/>
      <w:szCs w:val="20"/>
      <w:lang w:val="en-ZA"/>
    </w:rPr>
  </w:style>
  <w:style w:type="paragraph" w:customStyle="1" w:styleId="BodySingle">
    <w:name w:val="Body Single"/>
    <w:basedOn w:val="BodyText"/>
    <w:link w:val="BodySingleChar"/>
    <w:uiPriority w:val="1"/>
    <w:qFormat/>
    <w:rsid w:val="00A743B7"/>
    <w:pPr>
      <w:spacing w:after="0"/>
    </w:pPr>
  </w:style>
  <w:style w:type="character" w:customStyle="1" w:styleId="BodySingleChar">
    <w:name w:val="Body Single Char"/>
    <w:basedOn w:val="BodyTextChar"/>
    <w:link w:val="BodySingle"/>
    <w:uiPriority w:val="1"/>
    <w:rsid w:val="00A743B7"/>
    <w:rPr>
      <w:rFonts w:ascii="Georgia" w:eastAsia="Arial" w:hAnsi="Georgia" w:cs="Times New Roman"/>
      <w:sz w:val="20"/>
      <w:szCs w:val="20"/>
      <w:lang w:val="en-GB"/>
    </w:rPr>
  </w:style>
  <w:style w:type="character" w:customStyle="1" w:styleId="Heading4Char">
    <w:name w:val="Heading 4 Char"/>
    <w:basedOn w:val="DefaultParagraphFont"/>
    <w:link w:val="Heading4"/>
    <w:uiPriority w:val="9"/>
    <w:rsid w:val="00A743B7"/>
    <w:rPr>
      <w:rFonts w:asciiTheme="majorHAnsi" w:eastAsiaTheme="majorEastAsia" w:hAnsiTheme="majorHAnsi" w:cstheme="majorBidi"/>
      <w:i/>
      <w:iCs/>
      <w:color w:val="7A1818" w:themeColor="accent1" w:themeShade="BF"/>
      <w:sz w:val="20"/>
      <w:szCs w:val="20"/>
      <w:lang w:val="en-ZA"/>
    </w:rPr>
  </w:style>
  <w:style w:type="paragraph" w:styleId="TOC3">
    <w:name w:val="toc 3"/>
    <w:basedOn w:val="Normal"/>
    <w:next w:val="Normal"/>
    <w:autoRedefine/>
    <w:uiPriority w:val="39"/>
    <w:unhideWhenUsed/>
    <w:rsid w:val="008A50A8"/>
    <w:pPr>
      <w:spacing w:after="100"/>
      <w:ind w:left="400"/>
    </w:pPr>
  </w:style>
  <w:style w:type="paragraph" w:styleId="TOC4">
    <w:name w:val="toc 4"/>
    <w:basedOn w:val="Normal"/>
    <w:next w:val="Normal"/>
    <w:autoRedefine/>
    <w:uiPriority w:val="39"/>
    <w:unhideWhenUsed/>
    <w:rsid w:val="008A50A8"/>
    <w:pPr>
      <w:spacing w:after="100"/>
      <w:ind w:left="600"/>
    </w:pPr>
  </w:style>
  <w:style w:type="paragraph" w:styleId="ListParagraph">
    <w:name w:val="List Paragraph"/>
    <w:basedOn w:val="Normal"/>
    <w:uiPriority w:val="34"/>
    <w:qFormat/>
    <w:rsid w:val="00C26E7F"/>
    <w:pPr>
      <w:ind w:left="720"/>
      <w:contextualSpacing/>
    </w:pPr>
  </w:style>
  <w:style w:type="numbering" w:styleId="111111">
    <w:name w:val="Outline List 2"/>
    <w:basedOn w:val="NoList"/>
    <w:semiHidden/>
    <w:rsid w:val="009571FD"/>
    <w:pPr>
      <w:numPr>
        <w:numId w:val="1"/>
      </w:numPr>
    </w:pPr>
  </w:style>
  <w:style w:type="table" w:styleId="GridTable1Light-Accent1">
    <w:name w:val="Grid Table 1 Light Accent 1"/>
    <w:basedOn w:val="TableNormal"/>
    <w:uiPriority w:val="46"/>
    <w:rsid w:val="006746AE"/>
    <w:pPr>
      <w:spacing w:after="0" w:line="240" w:lineRule="auto"/>
    </w:pPr>
    <w:tblPr>
      <w:tblStyleRowBandSize w:val="1"/>
      <w:tblStyleColBandSize w:val="1"/>
      <w:tblBorders>
        <w:top w:val="single" w:sz="4" w:space="0" w:color="EA9595" w:themeColor="accent1" w:themeTint="66"/>
        <w:left w:val="single" w:sz="4" w:space="0" w:color="EA9595" w:themeColor="accent1" w:themeTint="66"/>
        <w:bottom w:val="single" w:sz="4" w:space="0" w:color="EA9595" w:themeColor="accent1" w:themeTint="66"/>
        <w:right w:val="single" w:sz="4" w:space="0" w:color="EA9595" w:themeColor="accent1" w:themeTint="66"/>
        <w:insideH w:val="single" w:sz="4" w:space="0" w:color="EA9595" w:themeColor="accent1" w:themeTint="66"/>
        <w:insideV w:val="single" w:sz="4" w:space="0" w:color="EA9595" w:themeColor="accent1" w:themeTint="66"/>
      </w:tblBorders>
    </w:tblPr>
    <w:tblStylePr w:type="firstRow">
      <w:rPr>
        <w:b/>
        <w:bCs/>
      </w:rPr>
      <w:tblPr/>
      <w:tcPr>
        <w:tcBorders>
          <w:bottom w:val="single" w:sz="12" w:space="0" w:color="E06161" w:themeColor="accent1" w:themeTint="99"/>
        </w:tcBorders>
      </w:tcPr>
    </w:tblStylePr>
    <w:tblStylePr w:type="lastRow">
      <w:rPr>
        <w:b/>
        <w:bCs/>
      </w:rPr>
      <w:tblPr/>
      <w:tcPr>
        <w:tcBorders>
          <w:top w:val="double" w:sz="2" w:space="0" w:color="E06161"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C93E4D"/>
    <w:pPr>
      <w:spacing w:after="0" w:line="240" w:lineRule="auto"/>
    </w:pPr>
    <w:tblPr>
      <w:tblStyleRowBandSize w:val="1"/>
      <w:tblStyleColBandSize w:val="1"/>
      <w:tblBorders>
        <w:top w:val="single" w:sz="2" w:space="0" w:color="E06161" w:themeColor="accent1" w:themeTint="99"/>
        <w:bottom w:val="single" w:sz="2" w:space="0" w:color="E06161" w:themeColor="accent1" w:themeTint="99"/>
        <w:insideH w:val="single" w:sz="2" w:space="0" w:color="E06161" w:themeColor="accent1" w:themeTint="99"/>
        <w:insideV w:val="single" w:sz="2" w:space="0" w:color="E06161" w:themeColor="accent1" w:themeTint="99"/>
      </w:tblBorders>
    </w:tblPr>
    <w:tblStylePr w:type="firstRow">
      <w:rPr>
        <w:b/>
        <w:bCs/>
      </w:rPr>
      <w:tblPr/>
      <w:tcPr>
        <w:tcBorders>
          <w:top w:val="nil"/>
          <w:bottom w:val="single" w:sz="12" w:space="0" w:color="E06161" w:themeColor="accent1" w:themeTint="99"/>
          <w:insideH w:val="nil"/>
          <w:insideV w:val="nil"/>
        </w:tcBorders>
        <w:shd w:val="clear" w:color="auto" w:fill="FFFFFF" w:themeFill="background1"/>
      </w:tcPr>
    </w:tblStylePr>
    <w:tblStylePr w:type="lastRow">
      <w:rPr>
        <w:b/>
        <w:bCs/>
      </w:rPr>
      <w:tblPr/>
      <w:tcPr>
        <w:tcBorders>
          <w:top w:val="double" w:sz="2" w:space="0" w:color="E0616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character" w:customStyle="1" w:styleId="Heading7Char">
    <w:name w:val="Heading 7 Char"/>
    <w:basedOn w:val="DefaultParagraphFont"/>
    <w:link w:val="Heading7"/>
    <w:uiPriority w:val="9"/>
    <w:semiHidden/>
    <w:rsid w:val="00343542"/>
    <w:rPr>
      <w:rFonts w:asciiTheme="majorHAnsi" w:eastAsiaTheme="majorEastAsia" w:hAnsiTheme="majorHAnsi" w:cstheme="majorBidi"/>
      <w:i/>
      <w:iCs/>
      <w:color w:val="511010" w:themeColor="accent1" w:themeShade="7F"/>
      <w:sz w:val="20"/>
      <w:szCs w:val="20"/>
      <w:lang w:val="en-ZA"/>
    </w:rPr>
  </w:style>
  <w:style w:type="character" w:customStyle="1" w:styleId="Heading8Char">
    <w:name w:val="Heading 8 Char"/>
    <w:basedOn w:val="DefaultParagraphFont"/>
    <w:link w:val="Heading8"/>
    <w:uiPriority w:val="9"/>
    <w:semiHidden/>
    <w:rsid w:val="00343542"/>
    <w:rPr>
      <w:rFonts w:asciiTheme="majorHAnsi" w:eastAsiaTheme="majorEastAsia" w:hAnsiTheme="majorHAnsi" w:cstheme="majorBidi"/>
      <w:color w:val="272727" w:themeColor="text1" w:themeTint="D8"/>
      <w:sz w:val="21"/>
      <w:szCs w:val="21"/>
      <w:lang w:val="en-ZA"/>
    </w:rPr>
  </w:style>
  <w:style w:type="character" w:customStyle="1" w:styleId="Heading9Char">
    <w:name w:val="Heading 9 Char"/>
    <w:basedOn w:val="DefaultParagraphFont"/>
    <w:link w:val="Heading9"/>
    <w:uiPriority w:val="9"/>
    <w:semiHidden/>
    <w:rsid w:val="00343542"/>
    <w:rPr>
      <w:rFonts w:asciiTheme="majorHAnsi" w:eastAsiaTheme="majorEastAsia" w:hAnsiTheme="majorHAnsi" w:cstheme="majorBidi"/>
      <w:i/>
      <w:iCs/>
      <w:color w:val="272727" w:themeColor="text1" w:themeTint="D8"/>
      <w:sz w:val="21"/>
      <w:szCs w:val="21"/>
      <w:lang w:val="en-ZA"/>
    </w:rPr>
  </w:style>
  <w:style w:type="paragraph" w:customStyle="1" w:styleId="Sources">
    <w:name w:val="Sources"/>
    <w:basedOn w:val="Bodytextprebullet"/>
    <w:link w:val="SourcesChar"/>
    <w:uiPriority w:val="99"/>
    <w:qFormat/>
    <w:rsid w:val="00A66883"/>
    <w:rPr>
      <w:i/>
      <w:sz w:val="14"/>
      <w:szCs w:val="14"/>
    </w:rPr>
  </w:style>
  <w:style w:type="table" w:styleId="GridTable5Dark-Accent1">
    <w:name w:val="Grid Table 5 Dark Accent 1"/>
    <w:basedOn w:val="TableNormal"/>
    <w:uiPriority w:val="50"/>
    <w:rsid w:val="00A6688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AC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20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20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20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2020" w:themeFill="accent1"/>
      </w:tcPr>
    </w:tblStylePr>
    <w:tblStylePr w:type="band1Vert">
      <w:tblPr/>
      <w:tcPr>
        <w:shd w:val="clear" w:color="auto" w:fill="EA9595" w:themeFill="accent1" w:themeFillTint="66"/>
      </w:tcPr>
    </w:tblStylePr>
    <w:tblStylePr w:type="band1Horz">
      <w:tblPr/>
      <w:tcPr>
        <w:shd w:val="clear" w:color="auto" w:fill="EA9595" w:themeFill="accent1" w:themeFillTint="66"/>
      </w:tcPr>
    </w:tblStylePr>
  </w:style>
  <w:style w:type="character" w:customStyle="1" w:styleId="SourcesChar">
    <w:name w:val="Sources Char"/>
    <w:basedOn w:val="BodytextprebulletChar"/>
    <w:link w:val="Sources"/>
    <w:uiPriority w:val="99"/>
    <w:rsid w:val="00A66883"/>
    <w:rPr>
      <w:rFonts w:ascii="Georgia" w:hAnsi="Georgia"/>
      <w:i/>
      <w:color w:val="000000" w:themeColor="text1"/>
      <w:sz w:val="14"/>
      <w:szCs w:val="14"/>
      <w:lang w:val="en-GB"/>
    </w:rPr>
  </w:style>
  <w:style w:type="table" w:styleId="GridTable4-Accent1">
    <w:name w:val="Grid Table 4 Accent 1"/>
    <w:basedOn w:val="TableNormal"/>
    <w:uiPriority w:val="49"/>
    <w:rsid w:val="00A66883"/>
    <w:pPr>
      <w:spacing w:after="0" w:line="240" w:lineRule="auto"/>
    </w:pPr>
    <w:tblPr>
      <w:tblStyleRowBandSize w:val="1"/>
      <w:tblStyleColBandSize w:val="1"/>
      <w:tblBorders>
        <w:top w:val="single" w:sz="4" w:space="0" w:color="E06161" w:themeColor="accent1" w:themeTint="99"/>
        <w:left w:val="single" w:sz="4" w:space="0" w:color="E06161" w:themeColor="accent1" w:themeTint="99"/>
        <w:bottom w:val="single" w:sz="4" w:space="0" w:color="E06161" w:themeColor="accent1" w:themeTint="99"/>
        <w:right w:val="single" w:sz="4" w:space="0" w:color="E06161" w:themeColor="accent1" w:themeTint="99"/>
        <w:insideH w:val="single" w:sz="4" w:space="0" w:color="E06161" w:themeColor="accent1" w:themeTint="99"/>
        <w:insideV w:val="single" w:sz="4" w:space="0" w:color="E06161" w:themeColor="accent1" w:themeTint="99"/>
      </w:tblBorders>
    </w:tblPr>
    <w:tblStylePr w:type="firstRow">
      <w:rPr>
        <w:b/>
        <w:bCs/>
        <w:color w:val="FFFFFF" w:themeColor="background1"/>
      </w:rPr>
      <w:tblPr/>
      <w:tcPr>
        <w:tcBorders>
          <w:top w:val="single" w:sz="4" w:space="0" w:color="A32020" w:themeColor="accent1"/>
          <w:left w:val="single" w:sz="4" w:space="0" w:color="A32020" w:themeColor="accent1"/>
          <w:bottom w:val="single" w:sz="4" w:space="0" w:color="A32020" w:themeColor="accent1"/>
          <w:right w:val="single" w:sz="4" w:space="0" w:color="A32020" w:themeColor="accent1"/>
          <w:insideH w:val="nil"/>
          <w:insideV w:val="nil"/>
        </w:tcBorders>
        <w:shd w:val="clear" w:color="auto" w:fill="A32020" w:themeFill="accent1"/>
      </w:tcPr>
    </w:tblStylePr>
    <w:tblStylePr w:type="lastRow">
      <w:rPr>
        <w:b/>
        <w:bCs/>
      </w:rPr>
      <w:tblPr/>
      <w:tcPr>
        <w:tcBorders>
          <w:top w:val="double" w:sz="4" w:space="0" w:color="A32020" w:themeColor="accent1"/>
        </w:tcBorders>
      </w:tcPr>
    </w:tblStylePr>
    <w:tblStylePr w:type="firstCol">
      <w:rPr>
        <w:b/>
        <w:bCs/>
      </w:rPr>
    </w:tblStylePr>
    <w:tblStylePr w:type="lastCol">
      <w:rPr>
        <w:b/>
        <w:bCs/>
      </w:rPr>
    </w:tblStylePr>
    <w:tblStylePr w:type="band1Vert">
      <w:tblPr/>
      <w:tcPr>
        <w:shd w:val="clear" w:color="auto" w:fill="F4CACA" w:themeFill="accent1" w:themeFillTint="33"/>
      </w:tcPr>
    </w:tblStylePr>
    <w:tblStylePr w:type="band1Horz">
      <w:tblPr/>
      <w:tcPr>
        <w:shd w:val="clear" w:color="auto" w:fill="F4CACA" w:themeFill="accent1" w:themeFillTint="33"/>
      </w:tcPr>
    </w:tblStylePr>
  </w:style>
  <w:style w:type="paragraph" w:customStyle="1" w:styleId="Default">
    <w:name w:val="Default"/>
    <w:rsid w:val="004C7DEB"/>
    <w:pPr>
      <w:autoSpaceDE w:val="0"/>
      <w:autoSpaceDN w:val="0"/>
      <w:adjustRightInd w:val="0"/>
      <w:spacing w:after="0" w:line="240" w:lineRule="auto"/>
    </w:pPr>
    <w:rPr>
      <w:rFonts w:ascii="Georgia" w:eastAsiaTheme="minorEastAsia" w:hAnsi="Georgia" w:cs="Georgia"/>
      <w:color w:val="000000"/>
      <w:sz w:val="24"/>
      <w:szCs w:val="24"/>
      <w:lang w:val="en-GB" w:eastAsia="ko-KR"/>
    </w:rPr>
  </w:style>
  <w:style w:type="paragraph" w:customStyle="1" w:styleId="BodyText1">
    <w:name w:val="Body Text1"/>
    <w:basedOn w:val="Normal"/>
    <w:link w:val="BodyText1Char"/>
    <w:qFormat/>
    <w:rsid w:val="004C7DEB"/>
    <w:pPr>
      <w:spacing w:before="140" w:after="280" w:line="240" w:lineRule="auto"/>
    </w:pPr>
    <w:rPr>
      <w:rFonts w:asciiTheme="majorHAnsi" w:eastAsiaTheme="minorHAnsi" w:hAnsiTheme="majorHAnsi" w:cstheme="minorBidi"/>
      <w:color w:val="000000" w:themeColor="text1"/>
    </w:rPr>
  </w:style>
  <w:style w:type="paragraph" w:customStyle="1" w:styleId="Sourceing">
    <w:name w:val="Sourceing"/>
    <w:basedOn w:val="BodyText1"/>
    <w:link w:val="SourceingChar"/>
    <w:qFormat/>
    <w:rsid w:val="004C7DEB"/>
    <w:pPr>
      <w:spacing w:before="0"/>
    </w:pPr>
    <w:rPr>
      <w:i/>
      <w:sz w:val="18"/>
    </w:rPr>
  </w:style>
  <w:style w:type="character" w:customStyle="1" w:styleId="BodyText1Char">
    <w:name w:val="Body Text1 Char"/>
    <w:basedOn w:val="DefaultParagraphFont"/>
    <w:link w:val="BodyText1"/>
    <w:rsid w:val="004C7DEB"/>
    <w:rPr>
      <w:rFonts w:asciiTheme="majorHAnsi" w:hAnsiTheme="majorHAnsi"/>
      <w:color w:val="000000" w:themeColor="text1"/>
      <w:sz w:val="20"/>
      <w:szCs w:val="20"/>
      <w:lang w:val="en-GB"/>
    </w:rPr>
  </w:style>
  <w:style w:type="character" w:customStyle="1" w:styleId="SourceingChar">
    <w:name w:val="Sourceing Char"/>
    <w:basedOn w:val="BodyText1Char"/>
    <w:link w:val="Sourceing"/>
    <w:rsid w:val="004C7DEB"/>
    <w:rPr>
      <w:rFonts w:asciiTheme="majorHAnsi" w:hAnsiTheme="majorHAnsi"/>
      <w:i/>
      <w:color w:val="000000" w:themeColor="text1"/>
      <w:sz w:val="18"/>
      <w:szCs w:val="20"/>
      <w:lang w:val="en-GB"/>
    </w:rPr>
  </w:style>
  <w:style w:type="paragraph" w:customStyle="1" w:styleId="Normal0">
    <w:name w:val="___Normal"/>
    <w:basedOn w:val="BodyText"/>
    <w:qFormat/>
    <w:rsid w:val="004C7DEB"/>
    <w:pPr>
      <w:spacing w:after="120" w:line="240" w:lineRule="auto"/>
    </w:pPr>
    <w:rPr>
      <w:rFonts w:asciiTheme="minorHAnsi" w:eastAsiaTheme="minorHAnsi" w:hAnsiTheme="minorHAnsi" w:cstheme="minorBidi"/>
      <w:sz w:val="18"/>
      <w:szCs w:val="22"/>
    </w:rPr>
  </w:style>
  <w:style w:type="table" w:customStyle="1" w:styleId="TableGrid21">
    <w:name w:val="Table Grid21"/>
    <w:basedOn w:val="TableNormal"/>
    <w:next w:val="TableGrid"/>
    <w:uiPriority w:val="39"/>
    <w:rsid w:val="004C7DEB"/>
    <w:pPr>
      <w:spacing w:after="0" w:line="240" w:lineRule="auto"/>
    </w:pPr>
    <w:rPr>
      <w:rFonts w:ascii="Univers 45 Light" w:eastAsia="Times New Roman" w:hAnsi="Univers 45 Light" w:cs="Times New Roman"/>
      <w:sz w:val="20"/>
      <w:szCs w:val="20"/>
    </w:rPr>
    <w:tblPr/>
  </w:style>
  <w:style w:type="table" w:customStyle="1" w:styleId="GridTable1Light11">
    <w:name w:val="Grid Table 1 Light11"/>
    <w:basedOn w:val="TableNormal"/>
    <w:next w:val="GridTable1Light"/>
    <w:uiPriority w:val="46"/>
    <w:rsid w:val="004C7DEB"/>
    <w:pPr>
      <w:spacing w:after="0" w:line="240" w:lineRule="auto"/>
    </w:pPr>
    <w:rPr>
      <w:rFonts w:ascii="Univers 45 Light" w:eastAsia="Times New Roman" w:hAnsi="Univers 45 Light" w:cs="Times New Roman"/>
      <w:sz w:val="20"/>
      <w:szCs w:val="20"/>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1">
    <w:name w:val="Table Grid31"/>
    <w:basedOn w:val="TableNormal"/>
    <w:next w:val="TableGrid"/>
    <w:uiPriority w:val="39"/>
    <w:rsid w:val="004C7DEB"/>
    <w:pPr>
      <w:spacing w:after="0" w:line="240" w:lineRule="auto"/>
    </w:pPr>
    <w:rPr>
      <w:rFonts w:ascii="Univers 45 Light" w:eastAsia="Times New Roman" w:hAnsi="Univers 45 Light" w:cs="Times New Roman"/>
      <w:sz w:val="20"/>
      <w:szCs w:val="20"/>
    </w:rPr>
    <w:tblPr/>
  </w:style>
  <w:style w:type="table" w:styleId="GridTable1Light">
    <w:name w:val="Grid Table 1 Light"/>
    <w:basedOn w:val="TableNormal"/>
    <w:uiPriority w:val="46"/>
    <w:rsid w:val="004C7D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urce">
    <w:name w:val="Source"/>
    <w:basedOn w:val="BodyText1"/>
    <w:qFormat/>
    <w:rsid w:val="00841574"/>
    <w:pPr>
      <w:tabs>
        <w:tab w:val="left" w:pos="1134"/>
      </w:tabs>
      <w:spacing w:before="40"/>
      <w:ind w:left="851" w:hanging="851"/>
    </w:pPr>
    <w:rPr>
      <w:rFonts w:asciiTheme="minorHAnsi" w:hAnsiTheme="minorHAnsi"/>
      <w:sz w:val="12"/>
    </w:rPr>
  </w:style>
  <w:style w:type="table" w:styleId="TableGrid7">
    <w:name w:val="Table Grid 7"/>
    <w:basedOn w:val="TableNormal"/>
    <w:semiHidden/>
    <w:rsid w:val="00ED0881"/>
    <w:pPr>
      <w:spacing w:after="0" w:line="240" w:lineRule="auto"/>
    </w:pPr>
    <w:rPr>
      <w:rFonts w:ascii="Univers for KPMG Light" w:eastAsia="Times New Roman" w:hAnsi="Univers for KPMG Light"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m-7023280805209328884gmail-msolistparagraph">
    <w:name w:val="m_-7023280805209328884gmail-msolistparagraph"/>
    <w:basedOn w:val="Normal"/>
    <w:rsid w:val="00031E57"/>
    <w:pPr>
      <w:spacing w:before="100" w:beforeAutospacing="1" w:after="100" w:afterAutospacing="1" w:line="240" w:lineRule="auto"/>
    </w:pPr>
    <w:rPr>
      <w:rFonts w:ascii="Times New Roman" w:eastAsia="Times New Roman" w:hAnsi="Times New Roman"/>
      <w:sz w:val="24"/>
      <w:szCs w:val="24"/>
      <w:lang w:val="en-US"/>
    </w:rPr>
  </w:style>
  <w:style w:type="table" w:customStyle="1" w:styleId="TableGrid311">
    <w:name w:val="Table Grid311"/>
    <w:basedOn w:val="TableNormal"/>
    <w:uiPriority w:val="39"/>
    <w:rsid w:val="009D0C41"/>
    <w:pPr>
      <w:spacing w:after="0" w:line="240" w:lineRule="auto"/>
    </w:pPr>
    <w:rPr>
      <w:rFonts w:ascii="Univers 45 Light" w:eastAsia="Times New Roman" w:hAnsi="Univers 45 Light" w:cs="Times New Roman"/>
      <w:sz w:val="20"/>
      <w:szCs w:val="20"/>
    </w:rPr>
    <w:tblPr>
      <w:tblInd w:w="0" w:type="nil"/>
    </w:tblPr>
  </w:style>
  <w:style w:type="paragraph" w:styleId="Revision">
    <w:name w:val="Revision"/>
    <w:hidden/>
    <w:uiPriority w:val="99"/>
    <w:semiHidden/>
    <w:rsid w:val="00D01B20"/>
    <w:pPr>
      <w:spacing w:after="0" w:line="240" w:lineRule="auto"/>
    </w:pPr>
    <w:rPr>
      <w:rFonts w:ascii="Georgia" w:eastAsia="Arial" w:hAnsi="Georgia" w:cs="Times New Roman"/>
      <w:sz w:val="20"/>
      <w:szCs w:val="20"/>
      <w:lang w:val="en-ZA"/>
    </w:rPr>
  </w:style>
  <w:style w:type="paragraph" w:customStyle="1" w:styleId="TableSpacer">
    <w:name w:val="TableSpacer"/>
    <w:basedOn w:val="BodyText"/>
    <w:rsid w:val="002A76B3"/>
    <w:pPr>
      <w:spacing w:after="0" w:line="240" w:lineRule="auto"/>
    </w:pPr>
    <w:rPr>
      <w:rFonts w:asciiTheme="majorHAnsi" w:eastAsiaTheme="minorHAnsi" w:hAnsiTheme="majorHAnsi" w:cs="Arial"/>
      <w:sz w:val="4"/>
      <w:lang w:val="en-GB" w:eastAsia="en-GB"/>
    </w:rPr>
  </w:style>
  <w:style w:type="table" w:customStyle="1" w:styleId="FrameLineWhiteNoframe">
    <w:name w:val="Frame Line White (No frame)"/>
    <w:basedOn w:val="TableNormal"/>
    <w:uiPriority w:val="99"/>
    <w:qFormat/>
    <w:rsid w:val="002A76B3"/>
    <w:pPr>
      <w:spacing w:after="0" w:line="240" w:lineRule="auto"/>
    </w:pPr>
    <w:rPr>
      <w:rFonts w:ascii="Georgia" w:hAnsi="Georgia"/>
      <w:sz w:val="20"/>
      <w:szCs w:val="20"/>
      <w:lang w:val="en-GB"/>
    </w:rPr>
    <w:tblPr>
      <w:tblInd w:w="-227" w:type="dxa"/>
      <w:tblBorders>
        <w:top w:val="single" w:sz="8" w:space="0" w:color="FFFFFF" w:themeColor="background1"/>
        <w:left w:val="single" w:sz="8" w:space="0" w:color="FFFFFF" w:themeColor="background1"/>
      </w:tblBorders>
      <w:tblCellMar>
        <w:left w:w="227" w:type="dxa"/>
        <w:right w:w="0" w:type="dxa"/>
      </w:tblCellMar>
    </w:tblPr>
  </w:style>
  <w:style w:type="character" w:styleId="IntenseEmphasis">
    <w:name w:val="Intense Emphasis"/>
    <w:basedOn w:val="DefaultParagraphFont"/>
    <w:uiPriority w:val="21"/>
    <w:qFormat/>
    <w:rsid w:val="00973DEB"/>
    <w:rPr>
      <w:i/>
      <w:iCs/>
      <w:color w:val="A32020" w:themeColor="accent1"/>
    </w:rPr>
  </w:style>
  <w:style w:type="paragraph" w:customStyle="1" w:styleId="PwCParagraph">
    <w:name w:val="PwC Paragraph"/>
    <w:basedOn w:val="Normal"/>
    <w:qFormat/>
    <w:rsid w:val="00F878E1"/>
    <w:pPr>
      <w:keepLines/>
      <w:suppressAutoHyphens/>
      <w:spacing w:before="120" w:after="120" w:line="240" w:lineRule="auto"/>
    </w:pPr>
    <w:rPr>
      <w:rFonts w:eastAsiaTheme="minorHAnsi" w:cstheme="minorBidi"/>
      <w:color w:val="000000" w:themeColor="text1"/>
      <w:szCs w:val="21"/>
      <w:lang w:val="en-GB"/>
    </w:rPr>
  </w:style>
  <w:style w:type="table" w:customStyle="1" w:styleId="GridTable1Light-Accent211">
    <w:name w:val="Grid Table 1 Light - Accent 211"/>
    <w:basedOn w:val="TableNormal"/>
    <w:uiPriority w:val="46"/>
    <w:rsid w:val="00F878E1"/>
    <w:pPr>
      <w:spacing w:after="0" w:line="240" w:lineRule="auto"/>
    </w:pPr>
    <w:rPr>
      <w:lang w:val="en-ZA"/>
    </w:rPr>
    <w:tblPr>
      <w:tblStyleRowBandSize w:val="1"/>
      <w:tblStyleColBandSize w:val="1"/>
      <w:tblBorders>
        <w:top w:val="single" w:sz="4" w:space="0" w:color="F3ABA4" w:themeColor="accent2" w:themeTint="66"/>
        <w:left w:val="single" w:sz="4" w:space="0" w:color="F3ABA4" w:themeColor="accent2" w:themeTint="66"/>
        <w:bottom w:val="single" w:sz="4" w:space="0" w:color="F3ABA4" w:themeColor="accent2" w:themeTint="66"/>
        <w:right w:val="single" w:sz="4" w:space="0" w:color="F3ABA4" w:themeColor="accent2" w:themeTint="66"/>
        <w:insideH w:val="single" w:sz="4" w:space="0" w:color="F3ABA4" w:themeColor="accent2" w:themeTint="66"/>
        <w:insideV w:val="single" w:sz="4" w:space="0" w:color="F3ABA4" w:themeColor="accent2" w:themeTint="66"/>
      </w:tblBorders>
    </w:tblPr>
    <w:tblStylePr w:type="firstRow">
      <w:rPr>
        <w:b/>
        <w:bCs/>
      </w:rPr>
      <w:tblPr/>
      <w:tcPr>
        <w:tcBorders>
          <w:bottom w:val="single" w:sz="12" w:space="0" w:color="EC8277" w:themeColor="accent2" w:themeTint="99"/>
        </w:tcBorders>
      </w:tcPr>
    </w:tblStylePr>
    <w:tblStylePr w:type="lastRow">
      <w:rPr>
        <w:b/>
        <w:bCs/>
      </w:rPr>
      <w:tblPr/>
      <w:tcPr>
        <w:tcBorders>
          <w:top w:val="double" w:sz="2" w:space="0" w:color="EC8277" w:themeColor="accent2" w:themeTint="99"/>
        </w:tcBorders>
      </w:tcPr>
    </w:tblStylePr>
    <w:tblStylePr w:type="firstCol">
      <w:rPr>
        <w:b/>
        <w:bCs/>
      </w:rPr>
    </w:tblStylePr>
    <w:tblStylePr w:type="lastCol">
      <w:rPr>
        <w:b/>
        <w:bCs/>
      </w:rPr>
    </w:tblStylePr>
  </w:style>
  <w:style w:type="paragraph" w:customStyle="1" w:styleId="PwCBullet1Burgundy">
    <w:name w:val="PwC Bullet 1 Burgundy"/>
    <w:basedOn w:val="Normal"/>
    <w:uiPriority w:val="34"/>
    <w:qFormat/>
    <w:rsid w:val="00526769"/>
    <w:pPr>
      <w:numPr>
        <w:numId w:val="3"/>
      </w:numPr>
      <w:tabs>
        <w:tab w:val="left" w:pos="0"/>
        <w:tab w:val="left" w:pos="397"/>
      </w:tabs>
      <w:spacing w:before="60" w:after="60" w:line="240" w:lineRule="auto"/>
    </w:pPr>
    <w:rPr>
      <w:rFonts w:eastAsiaTheme="minorHAnsi" w:cstheme="minorBidi"/>
      <w:color w:val="000000" w:themeColor="text1"/>
      <w:lang w:val="en-GB"/>
    </w:rPr>
  </w:style>
  <w:style w:type="paragraph" w:customStyle="1" w:styleId="BodySubheadline">
    <w:name w:val="Body Subheadline"/>
    <w:basedOn w:val="Normal"/>
    <w:next w:val="Normal"/>
    <w:qFormat/>
    <w:rsid w:val="001252A7"/>
    <w:pPr>
      <w:spacing w:after="0" w:line="230" w:lineRule="exact"/>
    </w:pPr>
    <w:rPr>
      <w:rFonts w:asciiTheme="minorHAnsi" w:eastAsiaTheme="minorHAnsi" w:hAnsiTheme="minorHAnsi" w:cstheme="minorBidi"/>
      <w:b/>
      <w:sz w:val="17"/>
      <w:szCs w:val="17"/>
      <w:lang w:val="en-GB"/>
    </w:rPr>
  </w:style>
  <w:style w:type="table" w:customStyle="1" w:styleId="PWCBasic">
    <w:name w:val="PWC Basic"/>
    <w:basedOn w:val="TableNormal"/>
    <w:uiPriority w:val="99"/>
    <w:rsid w:val="005C2DE9"/>
    <w:pPr>
      <w:spacing w:after="0" w:line="216" w:lineRule="auto"/>
      <w:contextualSpacing/>
    </w:pPr>
    <w:rPr>
      <w:rFonts w:cs="Times New Roman (Body CS)"/>
      <w:sz w:val="17"/>
      <w:szCs w:val="17"/>
      <w:lang w:val="en-GB"/>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CaptionChar">
    <w:name w:val="Caption Char"/>
    <w:link w:val="Caption"/>
    <w:uiPriority w:val="35"/>
    <w:locked/>
    <w:rsid w:val="005C2DE9"/>
    <w:rPr>
      <w:rFonts w:ascii="Georgia" w:eastAsia="Arial" w:hAnsi="Georgia" w:cs="Times New Roman"/>
      <w:bCs/>
      <w:i/>
      <w:sz w:val="20"/>
      <w:szCs w:val="20"/>
      <w:lang w:val="en-ZA"/>
    </w:rPr>
  </w:style>
  <w:style w:type="table" w:customStyle="1" w:styleId="TableGrid1">
    <w:name w:val="Table Grid1"/>
    <w:basedOn w:val="TableNormal"/>
    <w:next w:val="TableGrid"/>
    <w:uiPriority w:val="39"/>
    <w:rsid w:val="006C7DB9"/>
    <w:pPr>
      <w:spacing w:after="0" w:line="240" w:lineRule="auto"/>
    </w:pPr>
    <w:rPr>
      <w:rFonts w:ascii="Univers 45 Light" w:eastAsia="Times New Roman" w:hAnsi="Univers 45 Light" w:cs="Times New Roman"/>
      <w:sz w:val="20"/>
      <w:szCs w:val="20"/>
    </w:rPr>
    <w:tblPr/>
  </w:style>
  <w:style w:type="paragraph" w:styleId="IntenseQuote">
    <w:name w:val="Intense Quote"/>
    <w:basedOn w:val="Normal"/>
    <w:next w:val="Normal"/>
    <w:link w:val="IntenseQuoteChar"/>
    <w:uiPriority w:val="30"/>
    <w:qFormat/>
    <w:rsid w:val="00364660"/>
    <w:pPr>
      <w:pBdr>
        <w:top w:val="single" w:sz="4" w:space="10" w:color="A32020" w:themeColor="accent1"/>
        <w:bottom w:val="single" w:sz="4" w:space="10" w:color="A32020" w:themeColor="accent1"/>
      </w:pBdr>
      <w:spacing w:before="360" w:after="360"/>
      <w:ind w:left="864" w:right="864"/>
      <w:jc w:val="center"/>
    </w:pPr>
    <w:rPr>
      <w:i/>
      <w:iCs/>
      <w:color w:val="A32020" w:themeColor="accent1"/>
    </w:rPr>
  </w:style>
  <w:style w:type="character" w:customStyle="1" w:styleId="IntenseQuoteChar">
    <w:name w:val="Intense Quote Char"/>
    <w:basedOn w:val="DefaultParagraphFont"/>
    <w:link w:val="IntenseQuote"/>
    <w:uiPriority w:val="30"/>
    <w:rsid w:val="00364660"/>
    <w:rPr>
      <w:rFonts w:ascii="Georgia" w:eastAsia="Arial" w:hAnsi="Georgia" w:cs="Times New Roman"/>
      <w:i/>
      <w:iCs/>
      <w:color w:val="A32020" w:themeColor="accent1"/>
      <w:sz w:val="20"/>
      <w:szCs w:val="20"/>
      <w:lang w:val="en-ZA"/>
    </w:rPr>
  </w:style>
  <w:style w:type="character" w:styleId="Strong">
    <w:name w:val="Strong"/>
    <w:basedOn w:val="DefaultParagraphFont"/>
    <w:uiPriority w:val="22"/>
    <w:qFormat/>
    <w:rsid w:val="008C32A7"/>
    <w:rPr>
      <w:b/>
      <w:bCs/>
    </w:rPr>
  </w:style>
  <w:style w:type="paragraph" w:styleId="NormalWeb">
    <w:name w:val="Normal (Web)"/>
    <w:basedOn w:val="Normal"/>
    <w:uiPriority w:val="99"/>
    <w:semiHidden/>
    <w:unhideWhenUsed/>
    <w:rsid w:val="00C73B54"/>
    <w:pPr>
      <w:spacing w:before="100" w:beforeAutospacing="1" w:after="100" w:afterAutospacing="1" w:line="240" w:lineRule="auto"/>
    </w:pPr>
    <w:rPr>
      <w:rFonts w:ascii="Times New Roman" w:eastAsia="Times New Roman" w:hAnsi="Times New Roman"/>
      <w:sz w:val="24"/>
      <w:szCs w:val="24"/>
      <w:lang w:eastAsia="en-ZA"/>
    </w:rPr>
  </w:style>
  <w:style w:type="paragraph" w:styleId="EndnoteText">
    <w:name w:val="endnote text"/>
    <w:basedOn w:val="Normal"/>
    <w:link w:val="EndnoteTextChar"/>
    <w:uiPriority w:val="99"/>
    <w:semiHidden/>
    <w:unhideWhenUsed/>
    <w:rsid w:val="00A4648A"/>
    <w:pPr>
      <w:spacing w:after="0" w:line="240" w:lineRule="auto"/>
    </w:pPr>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A4648A"/>
    <w:rPr>
      <w:sz w:val="20"/>
      <w:szCs w:val="20"/>
      <w:lang w:val="en-ZA"/>
    </w:rPr>
  </w:style>
  <w:style w:type="character" w:styleId="EndnoteReference">
    <w:name w:val="endnote reference"/>
    <w:basedOn w:val="DefaultParagraphFont"/>
    <w:uiPriority w:val="99"/>
    <w:semiHidden/>
    <w:unhideWhenUsed/>
    <w:rsid w:val="00A4648A"/>
    <w:rPr>
      <w:vertAlign w:val="superscript"/>
    </w:rPr>
  </w:style>
  <w:style w:type="character" w:styleId="UnresolvedMention">
    <w:name w:val="Unresolved Mention"/>
    <w:basedOn w:val="DefaultParagraphFont"/>
    <w:uiPriority w:val="99"/>
    <w:semiHidden/>
    <w:unhideWhenUsed/>
    <w:rsid w:val="000E5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411590">
      <w:bodyDiv w:val="1"/>
      <w:marLeft w:val="0"/>
      <w:marRight w:val="0"/>
      <w:marTop w:val="0"/>
      <w:marBottom w:val="0"/>
      <w:divBdr>
        <w:top w:val="none" w:sz="0" w:space="0" w:color="auto"/>
        <w:left w:val="none" w:sz="0" w:space="0" w:color="auto"/>
        <w:bottom w:val="none" w:sz="0" w:space="0" w:color="auto"/>
        <w:right w:val="none" w:sz="0" w:space="0" w:color="auto"/>
      </w:divBdr>
      <w:divsChild>
        <w:div w:id="1206796973">
          <w:marLeft w:val="135"/>
          <w:marRight w:val="135"/>
          <w:marTop w:val="0"/>
          <w:marBottom w:val="90"/>
          <w:divBdr>
            <w:top w:val="none" w:sz="0" w:space="0" w:color="auto"/>
            <w:left w:val="none" w:sz="0" w:space="0" w:color="auto"/>
            <w:bottom w:val="none" w:sz="0" w:space="0" w:color="auto"/>
            <w:right w:val="none" w:sz="0" w:space="0" w:color="auto"/>
          </w:divBdr>
        </w:div>
        <w:div w:id="1635868874">
          <w:marLeft w:val="135"/>
          <w:marRight w:val="135"/>
          <w:marTop w:val="0"/>
          <w:marBottom w:val="90"/>
          <w:divBdr>
            <w:top w:val="none" w:sz="0" w:space="0" w:color="auto"/>
            <w:left w:val="none" w:sz="0" w:space="0" w:color="auto"/>
            <w:bottom w:val="none" w:sz="0" w:space="0" w:color="auto"/>
            <w:right w:val="none" w:sz="0" w:space="0" w:color="auto"/>
          </w:divBdr>
        </w:div>
      </w:divsChild>
    </w:div>
    <w:div w:id="177432503">
      <w:bodyDiv w:val="1"/>
      <w:marLeft w:val="0"/>
      <w:marRight w:val="0"/>
      <w:marTop w:val="0"/>
      <w:marBottom w:val="0"/>
      <w:divBdr>
        <w:top w:val="none" w:sz="0" w:space="0" w:color="auto"/>
        <w:left w:val="none" w:sz="0" w:space="0" w:color="auto"/>
        <w:bottom w:val="none" w:sz="0" w:space="0" w:color="auto"/>
        <w:right w:val="none" w:sz="0" w:space="0" w:color="auto"/>
      </w:divBdr>
    </w:div>
    <w:div w:id="196359287">
      <w:bodyDiv w:val="1"/>
      <w:marLeft w:val="0"/>
      <w:marRight w:val="0"/>
      <w:marTop w:val="0"/>
      <w:marBottom w:val="0"/>
      <w:divBdr>
        <w:top w:val="none" w:sz="0" w:space="0" w:color="auto"/>
        <w:left w:val="none" w:sz="0" w:space="0" w:color="auto"/>
        <w:bottom w:val="none" w:sz="0" w:space="0" w:color="auto"/>
        <w:right w:val="none" w:sz="0" w:space="0" w:color="auto"/>
      </w:divBdr>
    </w:div>
    <w:div w:id="231354642">
      <w:bodyDiv w:val="1"/>
      <w:marLeft w:val="0"/>
      <w:marRight w:val="0"/>
      <w:marTop w:val="0"/>
      <w:marBottom w:val="0"/>
      <w:divBdr>
        <w:top w:val="none" w:sz="0" w:space="0" w:color="auto"/>
        <w:left w:val="none" w:sz="0" w:space="0" w:color="auto"/>
        <w:bottom w:val="none" w:sz="0" w:space="0" w:color="auto"/>
        <w:right w:val="none" w:sz="0" w:space="0" w:color="auto"/>
      </w:divBdr>
    </w:div>
    <w:div w:id="429351856">
      <w:bodyDiv w:val="1"/>
      <w:marLeft w:val="0"/>
      <w:marRight w:val="0"/>
      <w:marTop w:val="0"/>
      <w:marBottom w:val="0"/>
      <w:divBdr>
        <w:top w:val="none" w:sz="0" w:space="0" w:color="auto"/>
        <w:left w:val="none" w:sz="0" w:space="0" w:color="auto"/>
        <w:bottom w:val="none" w:sz="0" w:space="0" w:color="auto"/>
        <w:right w:val="none" w:sz="0" w:space="0" w:color="auto"/>
      </w:divBdr>
    </w:div>
    <w:div w:id="643579460">
      <w:bodyDiv w:val="1"/>
      <w:marLeft w:val="0"/>
      <w:marRight w:val="0"/>
      <w:marTop w:val="0"/>
      <w:marBottom w:val="0"/>
      <w:divBdr>
        <w:top w:val="none" w:sz="0" w:space="0" w:color="auto"/>
        <w:left w:val="none" w:sz="0" w:space="0" w:color="auto"/>
        <w:bottom w:val="none" w:sz="0" w:space="0" w:color="auto"/>
        <w:right w:val="none" w:sz="0" w:space="0" w:color="auto"/>
      </w:divBdr>
    </w:div>
    <w:div w:id="677393416">
      <w:bodyDiv w:val="1"/>
      <w:marLeft w:val="0"/>
      <w:marRight w:val="0"/>
      <w:marTop w:val="0"/>
      <w:marBottom w:val="0"/>
      <w:divBdr>
        <w:top w:val="none" w:sz="0" w:space="0" w:color="auto"/>
        <w:left w:val="none" w:sz="0" w:space="0" w:color="auto"/>
        <w:bottom w:val="none" w:sz="0" w:space="0" w:color="auto"/>
        <w:right w:val="none" w:sz="0" w:space="0" w:color="auto"/>
      </w:divBdr>
    </w:div>
    <w:div w:id="822745435">
      <w:bodyDiv w:val="1"/>
      <w:marLeft w:val="0"/>
      <w:marRight w:val="0"/>
      <w:marTop w:val="0"/>
      <w:marBottom w:val="0"/>
      <w:divBdr>
        <w:top w:val="none" w:sz="0" w:space="0" w:color="auto"/>
        <w:left w:val="none" w:sz="0" w:space="0" w:color="auto"/>
        <w:bottom w:val="none" w:sz="0" w:space="0" w:color="auto"/>
        <w:right w:val="none" w:sz="0" w:space="0" w:color="auto"/>
      </w:divBdr>
    </w:div>
    <w:div w:id="849372668">
      <w:bodyDiv w:val="1"/>
      <w:marLeft w:val="0"/>
      <w:marRight w:val="0"/>
      <w:marTop w:val="0"/>
      <w:marBottom w:val="0"/>
      <w:divBdr>
        <w:top w:val="none" w:sz="0" w:space="0" w:color="auto"/>
        <w:left w:val="none" w:sz="0" w:space="0" w:color="auto"/>
        <w:bottom w:val="none" w:sz="0" w:space="0" w:color="auto"/>
        <w:right w:val="none" w:sz="0" w:space="0" w:color="auto"/>
      </w:divBdr>
    </w:div>
    <w:div w:id="889151466">
      <w:bodyDiv w:val="1"/>
      <w:marLeft w:val="0"/>
      <w:marRight w:val="0"/>
      <w:marTop w:val="0"/>
      <w:marBottom w:val="0"/>
      <w:divBdr>
        <w:top w:val="none" w:sz="0" w:space="0" w:color="auto"/>
        <w:left w:val="none" w:sz="0" w:space="0" w:color="auto"/>
        <w:bottom w:val="none" w:sz="0" w:space="0" w:color="auto"/>
        <w:right w:val="none" w:sz="0" w:space="0" w:color="auto"/>
      </w:divBdr>
    </w:div>
    <w:div w:id="895118977">
      <w:bodyDiv w:val="1"/>
      <w:marLeft w:val="0"/>
      <w:marRight w:val="0"/>
      <w:marTop w:val="0"/>
      <w:marBottom w:val="0"/>
      <w:divBdr>
        <w:top w:val="none" w:sz="0" w:space="0" w:color="auto"/>
        <w:left w:val="none" w:sz="0" w:space="0" w:color="auto"/>
        <w:bottom w:val="none" w:sz="0" w:space="0" w:color="auto"/>
        <w:right w:val="none" w:sz="0" w:space="0" w:color="auto"/>
      </w:divBdr>
    </w:div>
    <w:div w:id="1022169926">
      <w:bodyDiv w:val="1"/>
      <w:marLeft w:val="0"/>
      <w:marRight w:val="0"/>
      <w:marTop w:val="0"/>
      <w:marBottom w:val="0"/>
      <w:divBdr>
        <w:top w:val="none" w:sz="0" w:space="0" w:color="auto"/>
        <w:left w:val="none" w:sz="0" w:space="0" w:color="auto"/>
        <w:bottom w:val="none" w:sz="0" w:space="0" w:color="auto"/>
        <w:right w:val="none" w:sz="0" w:space="0" w:color="auto"/>
      </w:divBdr>
    </w:div>
    <w:div w:id="1024212326">
      <w:bodyDiv w:val="1"/>
      <w:marLeft w:val="0"/>
      <w:marRight w:val="0"/>
      <w:marTop w:val="0"/>
      <w:marBottom w:val="0"/>
      <w:divBdr>
        <w:top w:val="none" w:sz="0" w:space="0" w:color="auto"/>
        <w:left w:val="none" w:sz="0" w:space="0" w:color="auto"/>
        <w:bottom w:val="none" w:sz="0" w:space="0" w:color="auto"/>
        <w:right w:val="none" w:sz="0" w:space="0" w:color="auto"/>
      </w:divBdr>
    </w:div>
    <w:div w:id="1041175339">
      <w:bodyDiv w:val="1"/>
      <w:marLeft w:val="0"/>
      <w:marRight w:val="0"/>
      <w:marTop w:val="0"/>
      <w:marBottom w:val="0"/>
      <w:divBdr>
        <w:top w:val="none" w:sz="0" w:space="0" w:color="auto"/>
        <w:left w:val="none" w:sz="0" w:space="0" w:color="auto"/>
        <w:bottom w:val="none" w:sz="0" w:space="0" w:color="auto"/>
        <w:right w:val="none" w:sz="0" w:space="0" w:color="auto"/>
      </w:divBdr>
    </w:div>
    <w:div w:id="1082068804">
      <w:bodyDiv w:val="1"/>
      <w:marLeft w:val="0"/>
      <w:marRight w:val="0"/>
      <w:marTop w:val="0"/>
      <w:marBottom w:val="0"/>
      <w:divBdr>
        <w:top w:val="none" w:sz="0" w:space="0" w:color="auto"/>
        <w:left w:val="none" w:sz="0" w:space="0" w:color="auto"/>
        <w:bottom w:val="none" w:sz="0" w:space="0" w:color="auto"/>
        <w:right w:val="none" w:sz="0" w:space="0" w:color="auto"/>
      </w:divBdr>
    </w:div>
    <w:div w:id="1083529734">
      <w:bodyDiv w:val="1"/>
      <w:marLeft w:val="0"/>
      <w:marRight w:val="0"/>
      <w:marTop w:val="0"/>
      <w:marBottom w:val="0"/>
      <w:divBdr>
        <w:top w:val="none" w:sz="0" w:space="0" w:color="auto"/>
        <w:left w:val="none" w:sz="0" w:space="0" w:color="auto"/>
        <w:bottom w:val="none" w:sz="0" w:space="0" w:color="auto"/>
        <w:right w:val="none" w:sz="0" w:space="0" w:color="auto"/>
      </w:divBdr>
      <w:divsChild>
        <w:div w:id="1622690426">
          <w:marLeft w:val="60"/>
          <w:marRight w:val="0"/>
          <w:marTop w:val="0"/>
          <w:marBottom w:val="0"/>
          <w:divBdr>
            <w:top w:val="none" w:sz="0" w:space="0" w:color="auto"/>
            <w:left w:val="none" w:sz="0" w:space="0" w:color="auto"/>
            <w:bottom w:val="none" w:sz="0" w:space="0" w:color="auto"/>
            <w:right w:val="none" w:sz="0" w:space="0" w:color="auto"/>
          </w:divBdr>
          <w:divsChild>
            <w:div w:id="1417484606">
              <w:marLeft w:val="0"/>
              <w:marRight w:val="0"/>
              <w:marTop w:val="0"/>
              <w:marBottom w:val="0"/>
              <w:divBdr>
                <w:top w:val="none" w:sz="0" w:space="0" w:color="auto"/>
                <w:left w:val="none" w:sz="0" w:space="0" w:color="auto"/>
                <w:bottom w:val="none" w:sz="0" w:space="0" w:color="auto"/>
                <w:right w:val="none" w:sz="0" w:space="0" w:color="auto"/>
              </w:divBdr>
              <w:divsChild>
                <w:div w:id="2008315087">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836997848">
          <w:marLeft w:val="0"/>
          <w:marRight w:val="0"/>
          <w:marTop w:val="0"/>
          <w:marBottom w:val="0"/>
          <w:divBdr>
            <w:top w:val="none" w:sz="0" w:space="0" w:color="auto"/>
            <w:left w:val="none" w:sz="0" w:space="0" w:color="auto"/>
            <w:bottom w:val="none" w:sz="0" w:space="0" w:color="auto"/>
            <w:right w:val="none" w:sz="0" w:space="0" w:color="auto"/>
          </w:divBdr>
          <w:divsChild>
            <w:div w:id="1528986452">
              <w:marLeft w:val="0"/>
              <w:marRight w:val="0"/>
              <w:marTop w:val="0"/>
              <w:marBottom w:val="0"/>
              <w:divBdr>
                <w:top w:val="none" w:sz="0" w:space="0" w:color="auto"/>
                <w:left w:val="none" w:sz="0" w:space="0" w:color="auto"/>
                <w:bottom w:val="none" w:sz="0" w:space="0" w:color="auto"/>
                <w:right w:val="none" w:sz="0" w:space="0" w:color="auto"/>
              </w:divBdr>
              <w:divsChild>
                <w:div w:id="952784564">
                  <w:marLeft w:val="0"/>
                  <w:marRight w:val="0"/>
                  <w:marTop w:val="0"/>
                  <w:marBottom w:val="0"/>
                  <w:divBdr>
                    <w:top w:val="none" w:sz="0" w:space="0" w:color="auto"/>
                    <w:left w:val="none" w:sz="0" w:space="0" w:color="auto"/>
                    <w:bottom w:val="none" w:sz="0" w:space="0" w:color="auto"/>
                    <w:right w:val="none" w:sz="0" w:space="0" w:color="auto"/>
                  </w:divBdr>
                  <w:divsChild>
                    <w:div w:id="145840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035953">
      <w:bodyDiv w:val="1"/>
      <w:marLeft w:val="0"/>
      <w:marRight w:val="0"/>
      <w:marTop w:val="0"/>
      <w:marBottom w:val="0"/>
      <w:divBdr>
        <w:top w:val="none" w:sz="0" w:space="0" w:color="auto"/>
        <w:left w:val="none" w:sz="0" w:space="0" w:color="auto"/>
        <w:bottom w:val="none" w:sz="0" w:space="0" w:color="auto"/>
        <w:right w:val="none" w:sz="0" w:space="0" w:color="auto"/>
      </w:divBdr>
    </w:div>
    <w:div w:id="1280181663">
      <w:bodyDiv w:val="1"/>
      <w:marLeft w:val="0"/>
      <w:marRight w:val="0"/>
      <w:marTop w:val="0"/>
      <w:marBottom w:val="0"/>
      <w:divBdr>
        <w:top w:val="none" w:sz="0" w:space="0" w:color="auto"/>
        <w:left w:val="none" w:sz="0" w:space="0" w:color="auto"/>
        <w:bottom w:val="none" w:sz="0" w:space="0" w:color="auto"/>
        <w:right w:val="none" w:sz="0" w:space="0" w:color="auto"/>
      </w:divBdr>
    </w:div>
    <w:div w:id="1401249504">
      <w:bodyDiv w:val="1"/>
      <w:marLeft w:val="0"/>
      <w:marRight w:val="0"/>
      <w:marTop w:val="0"/>
      <w:marBottom w:val="0"/>
      <w:divBdr>
        <w:top w:val="none" w:sz="0" w:space="0" w:color="auto"/>
        <w:left w:val="none" w:sz="0" w:space="0" w:color="auto"/>
        <w:bottom w:val="none" w:sz="0" w:space="0" w:color="auto"/>
        <w:right w:val="none" w:sz="0" w:space="0" w:color="auto"/>
      </w:divBdr>
    </w:div>
    <w:div w:id="1476336417">
      <w:bodyDiv w:val="1"/>
      <w:marLeft w:val="0"/>
      <w:marRight w:val="0"/>
      <w:marTop w:val="0"/>
      <w:marBottom w:val="0"/>
      <w:divBdr>
        <w:top w:val="none" w:sz="0" w:space="0" w:color="auto"/>
        <w:left w:val="none" w:sz="0" w:space="0" w:color="auto"/>
        <w:bottom w:val="none" w:sz="0" w:space="0" w:color="auto"/>
        <w:right w:val="none" w:sz="0" w:space="0" w:color="auto"/>
      </w:divBdr>
    </w:div>
    <w:div w:id="1510178363">
      <w:bodyDiv w:val="1"/>
      <w:marLeft w:val="0"/>
      <w:marRight w:val="0"/>
      <w:marTop w:val="0"/>
      <w:marBottom w:val="0"/>
      <w:divBdr>
        <w:top w:val="none" w:sz="0" w:space="0" w:color="auto"/>
        <w:left w:val="none" w:sz="0" w:space="0" w:color="auto"/>
        <w:bottom w:val="none" w:sz="0" w:space="0" w:color="auto"/>
        <w:right w:val="none" w:sz="0" w:space="0" w:color="auto"/>
      </w:divBdr>
    </w:div>
    <w:div w:id="1557935941">
      <w:bodyDiv w:val="1"/>
      <w:marLeft w:val="0"/>
      <w:marRight w:val="0"/>
      <w:marTop w:val="0"/>
      <w:marBottom w:val="0"/>
      <w:divBdr>
        <w:top w:val="none" w:sz="0" w:space="0" w:color="auto"/>
        <w:left w:val="none" w:sz="0" w:space="0" w:color="auto"/>
        <w:bottom w:val="none" w:sz="0" w:space="0" w:color="auto"/>
        <w:right w:val="none" w:sz="0" w:space="0" w:color="auto"/>
      </w:divBdr>
    </w:div>
    <w:div w:id="1562014777">
      <w:bodyDiv w:val="1"/>
      <w:marLeft w:val="0"/>
      <w:marRight w:val="0"/>
      <w:marTop w:val="0"/>
      <w:marBottom w:val="0"/>
      <w:divBdr>
        <w:top w:val="none" w:sz="0" w:space="0" w:color="auto"/>
        <w:left w:val="none" w:sz="0" w:space="0" w:color="auto"/>
        <w:bottom w:val="none" w:sz="0" w:space="0" w:color="auto"/>
        <w:right w:val="none" w:sz="0" w:space="0" w:color="auto"/>
      </w:divBdr>
    </w:div>
    <w:div w:id="1689943694">
      <w:bodyDiv w:val="1"/>
      <w:marLeft w:val="0"/>
      <w:marRight w:val="0"/>
      <w:marTop w:val="0"/>
      <w:marBottom w:val="0"/>
      <w:divBdr>
        <w:top w:val="none" w:sz="0" w:space="0" w:color="auto"/>
        <w:left w:val="none" w:sz="0" w:space="0" w:color="auto"/>
        <w:bottom w:val="none" w:sz="0" w:space="0" w:color="auto"/>
        <w:right w:val="none" w:sz="0" w:space="0" w:color="auto"/>
      </w:divBdr>
    </w:div>
    <w:div w:id="1748379180">
      <w:bodyDiv w:val="1"/>
      <w:marLeft w:val="0"/>
      <w:marRight w:val="0"/>
      <w:marTop w:val="0"/>
      <w:marBottom w:val="0"/>
      <w:divBdr>
        <w:top w:val="none" w:sz="0" w:space="0" w:color="auto"/>
        <w:left w:val="none" w:sz="0" w:space="0" w:color="auto"/>
        <w:bottom w:val="none" w:sz="0" w:space="0" w:color="auto"/>
        <w:right w:val="none" w:sz="0" w:space="0" w:color="auto"/>
      </w:divBdr>
    </w:div>
    <w:div w:id="1804539382">
      <w:bodyDiv w:val="1"/>
      <w:marLeft w:val="0"/>
      <w:marRight w:val="0"/>
      <w:marTop w:val="0"/>
      <w:marBottom w:val="0"/>
      <w:divBdr>
        <w:top w:val="none" w:sz="0" w:space="0" w:color="auto"/>
        <w:left w:val="none" w:sz="0" w:space="0" w:color="auto"/>
        <w:bottom w:val="none" w:sz="0" w:space="0" w:color="auto"/>
        <w:right w:val="none" w:sz="0" w:space="0" w:color="auto"/>
      </w:divBdr>
    </w:div>
    <w:div w:id="1823891542">
      <w:bodyDiv w:val="1"/>
      <w:marLeft w:val="0"/>
      <w:marRight w:val="0"/>
      <w:marTop w:val="0"/>
      <w:marBottom w:val="0"/>
      <w:divBdr>
        <w:top w:val="none" w:sz="0" w:space="0" w:color="auto"/>
        <w:left w:val="none" w:sz="0" w:space="0" w:color="auto"/>
        <w:bottom w:val="none" w:sz="0" w:space="0" w:color="auto"/>
        <w:right w:val="none" w:sz="0" w:space="0" w:color="auto"/>
      </w:divBdr>
    </w:div>
    <w:div w:id="1906138078">
      <w:bodyDiv w:val="1"/>
      <w:marLeft w:val="0"/>
      <w:marRight w:val="0"/>
      <w:marTop w:val="0"/>
      <w:marBottom w:val="0"/>
      <w:divBdr>
        <w:top w:val="none" w:sz="0" w:space="0" w:color="auto"/>
        <w:left w:val="none" w:sz="0" w:space="0" w:color="auto"/>
        <w:bottom w:val="none" w:sz="0" w:space="0" w:color="auto"/>
        <w:right w:val="none" w:sz="0" w:space="0" w:color="auto"/>
      </w:divBdr>
    </w:div>
    <w:div w:id="2043819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hyperlink" Target="http://www.pwc.com/structure" TargetMode="External"/><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www.pwc.com/structure" TargetMode="External"/><Relationship Id="rId58" Type="http://schemas.openxmlformats.org/officeDocument/2006/relationships/hyperlink" Target="http://www.pwc.com/" TargetMode="External"/><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ww.pwc.com/structure" TargetMode="External"/><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hyperlink" Target="http://www.pwc.com/" TargetMode="External"/><Relationship Id="rId56" Type="http://schemas.openxmlformats.org/officeDocument/2006/relationships/hyperlink" Target="http://www.pwc.com/" TargetMode="External"/><Relationship Id="rId64" Type="http://schemas.openxmlformats.org/officeDocument/2006/relationships/header" Target="header4.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pwc.com/structur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hyperlink" Target="http://www.pwc.com/structure" TargetMode="External"/><Relationship Id="rId67" Type="http://schemas.openxmlformats.org/officeDocument/2006/relationships/header" Target="header6.xml"/><Relationship Id="rId20" Type="http://schemas.openxmlformats.org/officeDocument/2006/relationships/image" Target="media/image7.png"/><Relationship Id="rId41" Type="http://schemas.openxmlformats.org/officeDocument/2006/relationships/image" Target="media/image28.emf"/><Relationship Id="rId54" Type="http://schemas.openxmlformats.org/officeDocument/2006/relationships/hyperlink" Target="http://www.pwc.com/" TargetMode="External"/><Relationship Id="rId62" Type="http://schemas.openxmlformats.org/officeDocument/2006/relationships/hyperlink" Target="http://www.pwc.com/"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pwc.com/structure" TargetMode="External"/><Relationship Id="rId57" Type="http://schemas.openxmlformats.org/officeDocument/2006/relationships/hyperlink" Target="http://www.pwc.com/structure" TargetMode="Externa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jpeg"/><Relationship Id="rId52" Type="http://schemas.openxmlformats.org/officeDocument/2006/relationships/hyperlink" Target="http://www.pwc.com/" TargetMode="External"/><Relationship Id="rId60" Type="http://schemas.openxmlformats.org/officeDocument/2006/relationships/hyperlink" Target="http://www.pwc.com/"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emf"/><Relationship Id="rId34" Type="http://schemas.openxmlformats.org/officeDocument/2006/relationships/image" Target="media/image21.png"/><Relationship Id="rId50" Type="http://schemas.openxmlformats.org/officeDocument/2006/relationships/hyperlink" Target="http://www.pwc.com/" TargetMode="External"/><Relationship Id="rId55" Type="http://schemas.openxmlformats.org/officeDocument/2006/relationships/hyperlink" Target="http://www.pwc.com/structur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zatjhbfprpwn001\Common$\Consulting\Strategy&amp;\06_The%20News\Media%20articles\Ad-hoc\Temperature%20of%20the%20economy\Temperature%20of%20the%20economy.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185585067586633"/>
          <c:y val="0.15437428985993484"/>
          <c:w val="0.51572034732980898"/>
          <c:h val="0.7155256976555229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67-43E8-9298-30692F72E9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067-43E8-9298-30692F72E9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67-43E8-9298-30692F72E9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67-43E8-9298-30692F72E9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067-43E8-9298-30692F72E9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067-43E8-9298-30692F72E9B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067-43E8-9298-30692F72E9B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067-43E8-9298-30692F72E9B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067-43E8-9298-30692F72E9B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067-43E8-9298-30692F72E9B5}"/>
              </c:ext>
            </c:extLst>
          </c:dPt>
          <c:dLbls>
            <c:dLbl>
              <c:idx val="0"/>
              <c:layout>
                <c:manualLayout>
                  <c:x val="6.761325219743008E-3"/>
                  <c:y val="0"/>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472291876294367"/>
                      <c:h val="0.16990811638591119"/>
                    </c:manualLayout>
                  </c15:layout>
                </c:ext>
                <c:ext xmlns:c16="http://schemas.microsoft.com/office/drawing/2014/chart" uri="{C3380CC4-5D6E-409C-BE32-E72D297353CC}">
                  <c16:uniqueId val="{00000001-4067-43E8-9298-30692F72E9B5}"/>
                </c:ext>
              </c:extLst>
            </c:dLbl>
            <c:dLbl>
              <c:idx val="1"/>
              <c:layout>
                <c:manualLayout>
                  <c:x val="8.1135902636916835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067-43E8-9298-30692F72E9B5}"/>
                </c:ext>
              </c:extLst>
            </c:dLbl>
            <c:dLbl>
              <c:idx val="2"/>
              <c:layout>
                <c:manualLayout>
                  <c:x val="0"/>
                  <c:y val="-3.46693851784236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56304270282645"/>
                      <c:h val="0.14749746205884609"/>
                    </c:manualLayout>
                  </c15:layout>
                </c:ext>
                <c:ext xmlns:c16="http://schemas.microsoft.com/office/drawing/2014/chart" uri="{C3380CC4-5D6E-409C-BE32-E72D297353CC}">
                  <c16:uniqueId val="{00000005-4067-43E8-9298-30692F72E9B5}"/>
                </c:ext>
              </c:extLst>
            </c:dLbl>
            <c:dLbl>
              <c:idx val="3"/>
              <c:layout>
                <c:manualLayout>
                  <c:x val="4.3948613928329952E-2"/>
                  <c:y val="-3.79927288951055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067-43E8-9298-30692F72E9B5}"/>
                </c:ext>
              </c:extLst>
            </c:dLbl>
            <c:dLbl>
              <c:idx val="4"/>
              <c:layout>
                <c:manualLayout>
                  <c:x val="2.3664638269100743E-2"/>
                  <c:y val="6.50055467798531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067-43E8-9298-30692F72E9B5}"/>
                </c:ext>
              </c:extLst>
            </c:dLbl>
            <c:dLbl>
              <c:idx val="5"/>
              <c:layout>
                <c:manualLayout>
                  <c:x val="6.7613252197430695E-2"/>
                  <c:y val="1.14854517611026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067-43E8-9298-30692F72E9B5}"/>
                </c:ext>
              </c:extLst>
            </c:dLbl>
            <c:dLbl>
              <c:idx val="6"/>
              <c:layout>
                <c:manualLayout>
                  <c:x val="4.2258415720347331E-2"/>
                  <c:y val="2.4885081076094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612576064908715"/>
                      <c:h val="0.17425570655122932"/>
                    </c:manualLayout>
                  </c15:layout>
                </c:ext>
                <c:ext xmlns:c16="http://schemas.microsoft.com/office/drawing/2014/chart" uri="{C3380CC4-5D6E-409C-BE32-E72D297353CC}">
                  <c16:uniqueId val="{0000000D-4067-43E8-9298-30692F72E9B5}"/>
                </c:ext>
              </c:extLst>
            </c:dLbl>
            <c:dLbl>
              <c:idx val="7"/>
              <c:layout>
                <c:manualLayout>
                  <c:x val="-1.0141987829614604E-2"/>
                  <c:y val="5.63380281690139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067-43E8-9298-30692F72E9B5}"/>
                </c:ext>
              </c:extLst>
            </c:dLbl>
            <c:dLbl>
              <c:idx val="8"/>
              <c:layout>
                <c:manualLayout>
                  <c:x val="-4.0567951318458417E-2"/>
                  <c:y val="8.667388949079089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067-43E8-9298-30692F72E9B5}"/>
                </c:ext>
              </c:extLst>
            </c:dLbl>
            <c:dLbl>
              <c:idx val="9"/>
              <c:layout>
                <c:manualLayout>
                  <c:x val="-6.085192697768766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067-43E8-9298-30692F72E9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Data!$A$66:$A$75</c:f>
              <c:strCache>
                <c:ptCount val="10"/>
                <c:pt idx="0">
                  <c:v>Agriculture, forestry and fishing</c:v>
                </c:pt>
                <c:pt idx="1">
                  <c:v>Mining</c:v>
                </c:pt>
                <c:pt idx="2">
                  <c:v>Manufacturing</c:v>
                </c:pt>
                <c:pt idx="3">
                  <c:v>Electricity, gas and water</c:v>
                </c:pt>
                <c:pt idx="4">
                  <c:v>Construction</c:v>
                </c:pt>
                <c:pt idx="5">
                  <c:v>Trade, catering and accommodation</c:v>
                </c:pt>
                <c:pt idx="6">
                  <c:v>Transport, storage and communication</c:v>
                </c:pt>
                <c:pt idx="7">
                  <c:v>Finance, real estate and business services</c:v>
                </c:pt>
                <c:pt idx="8">
                  <c:v>General government services</c:v>
                </c:pt>
                <c:pt idx="9">
                  <c:v>Personal services</c:v>
                </c:pt>
              </c:strCache>
            </c:strRef>
          </c:cat>
          <c:val>
            <c:numRef>
              <c:f>Data!$C$66:$C$75</c:f>
              <c:numCache>
                <c:formatCode>0.0</c:formatCode>
                <c:ptCount val="10"/>
                <c:pt idx="0">
                  <c:v>1.4697351134636052</c:v>
                </c:pt>
                <c:pt idx="1">
                  <c:v>7.9494491550177901</c:v>
                </c:pt>
                <c:pt idx="2">
                  <c:v>13.855833359373197</c:v>
                </c:pt>
                <c:pt idx="3">
                  <c:v>2.3191327774841688</c:v>
                </c:pt>
                <c:pt idx="4">
                  <c:v>3.7006946529520373</c:v>
                </c:pt>
                <c:pt idx="5">
                  <c:v>16.774924563651162</c:v>
                </c:pt>
                <c:pt idx="6">
                  <c:v>9.7964679077944332</c:v>
                </c:pt>
                <c:pt idx="7">
                  <c:v>22.169795299510493</c:v>
                </c:pt>
                <c:pt idx="8">
                  <c:v>16.326314345065761</c:v>
                </c:pt>
                <c:pt idx="9">
                  <c:v>5.6376528256873506</c:v>
                </c:pt>
              </c:numCache>
            </c:numRef>
          </c:val>
          <c:extLst>
            <c:ext xmlns:c16="http://schemas.microsoft.com/office/drawing/2014/chart" uri="{C3380CC4-5D6E-409C-BE32-E72D297353CC}">
              <c16:uniqueId val="{00000014-4067-43E8-9298-30692F72E9B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Strategyand">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Strategyand">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rgbClr val="000000"/>
          </a:solidFill>
        </a:ln>
      </a:spPr>
      <a:bodyPr rtlCol="0" anchor="ctr"/>
      <a:lstStyle>
        <a:defPPr algn="ctr">
          <a:defRPr sz="12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defRPr sz="1200" dirty="0" err="1" smtClean="0"/>
        </a:defPPr>
      </a:lstStyle>
    </a:txDef>
  </a:objectDefaults>
  <a:extraClrSchemeLst/>
  <a:custClrLst>
    <a:custClr name="Maroon Tint 1 (70%)">
      <a:srgbClr val="A85B62"/>
    </a:custClr>
    <a:custClr name="Maroon Tint 1 (40%)">
      <a:srgbClr val="CDA1A5"/>
    </a:custClr>
    <a:custClr name="Maroon Tint 1 (20%)">
      <a:srgbClr val="E6D0D2"/>
    </a:custClr>
    <a:custClr name="Burgundy Tint 1 (70%)">
      <a:srgbClr val="BF6363"/>
    </a:custClr>
    <a:custClr name="Burgundy Tint 1 (40%)">
      <a:srgbClr val="DAA6A6"/>
    </a:custClr>
    <a:custClr name="Burgundy Tint 1 (20%)">
      <a:srgbClr val="EDD2D2"/>
    </a:custClr>
    <a:custClr name="Grey Tint 1 (70%)">
      <a:srgbClr val="B6AF99"/>
    </a:custClr>
    <a:custClr name="Grey Tint 1 (40%)">
      <a:srgbClr val="D5D1C5"/>
    </a:custClr>
    <a:custClr name="Grey Tint 1 (20%)">
      <a:srgbClr val="EAE8E2"/>
    </a:custClr>
    <a:custClr name="Solid Yellow">
      <a:srgbClr val="FFB600"/>
    </a:custClr>
    <a:custClr name="Blue Pantone 7461">
      <a:srgbClr val="5571B4"/>
    </a:custClr>
    <a:custClr name="Pantone 369">
      <a:srgbClr val="489A1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06D4-56B4-413C-B165-4684D1BDC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10</Pages>
  <Words>2114</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Ntsibande</dc:creator>
  <cp:keywords/>
  <dc:description/>
  <cp:lastModifiedBy>Christie Viljoen</cp:lastModifiedBy>
  <cp:revision>8</cp:revision>
  <cp:lastPrinted>2019-05-31T13:45:00Z</cp:lastPrinted>
  <dcterms:created xsi:type="dcterms:W3CDTF">2019-09-03T07:59:00Z</dcterms:created>
  <dcterms:modified xsi:type="dcterms:W3CDTF">2019-09-03T11:12:00Z</dcterms:modified>
</cp:coreProperties>
</file>