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9" w:type="dxa"/>
        <w:tblLook w:val="04A0" w:firstRow="1" w:lastRow="0" w:firstColumn="1" w:lastColumn="0" w:noHBand="0" w:noVBand="1"/>
      </w:tblPr>
      <w:tblGrid>
        <w:gridCol w:w="7620"/>
      </w:tblGrid>
      <w:tr w:rsidR="009B2257" w14:paraId="4183365E" w14:textId="77777777" w:rsidTr="009B2257">
        <w:trPr>
          <w:trHeight w:val="20"/>
        </w:trPr>
        <w:tc>
          <w:tcPr>
            <w:tcW w:w="7620" w:type="dxa"/>
            <w:tcBorders>
              <w:top w:val="single" w:sz="4" w:space="0" w:color="FFFFFF" w:themeColor="background1"/>
              <w:left w:val="single" w:sz="4" w:space="0" w:color="FFFFFF" w:themeColor="background1"/>
              <w:bottom w:val="nil"/>
              <w:right w:val="nil"/>
            </w:tcBorders>
          </w:tcPr>
          <w:p w14:paraId="0F4ABEB7" w14:textId="77777777" w:rsidR="009B2257" w:rsidRDefault="009B2257" w:rsidP="009B2257">
            <w:pPr>
              <w:pStyle w:val="Subtitle"/>
              <w:spacing w:after="0" w:line="120" w:lineRule="auto"/>
              <w:rPr>
                <w:b/>
                <w:i/>
                <w:iCs w:val="0"/>
                <w:color w:val="FFFFFF" w:themeColor="background1"/>
                <w:spacing w:val="5"/>
                <w:kern w:val="28"/>
                <w:szCs w:val="52"/>
              </w:rPr>
            </w:pPr>
            <w:bookmarkStart w:id="0" w:name="_GoBack"/>
            <w:bookmarkEnd w:id="0"/>
          </w:p>
        </w:tc>
      </w:tr>
    </w:tbl>
    <w:p w14:paraId="73EBB5D9" w14:textId="3C4C6CA3" w:rsidR="00AC41F5" w:rsidRDefault="00643FB5" w:rsidP="004631E0">
      <w:pPr>
        <w:pStyle w:val="Subtitle"/>
        <w:rPr>
          <w:b/>
          <w:i/>
          <w:iCs w:val="0"/>
          <w:color w:val="FFFFFF" w:themeColor="background1"/>
          <w:spacing w:val="5"/>
          <w:kern w:val="28"/>
          <w:szCs w:val="52"/>
        </w:rPr>
      </w:pPr>
      <w:r>
        <w:rPr>
          <w:b/>
          <w:i/>
          <w:iCs w:val="0"/>
          <w:color w:val="FFFFFF" w:themeColor="background1"/>
          <w:spacing w:val="5"/>
          <w:kern w:val="28"/>
          <w:szCs w:val="52"/>
        </w:rPr>
        <w:t xml:space="preserve">State of </w:t>
      </w:r>
      <w:r w:rsidR="00AC41F5">
        <w:rPr>
          <w:b/>
          <w:i/>
          <w:iCs w:val="0"/>
          <w:color w:val="FFFFFF" w:themeColor="background1"/>
          <w:spacing w:val="5"/>
          <w:kern w:val="28"/>
          <w:szCs w:val="52"/>
        </w:rPr>
        <w:t>the South African Economy</w:t>
      </w:r>
    </w:p>
    <w:p w14:paraId="098730C1" w14:textId="458B294B" w:rsidR="004631E0" w:rsidRPr="002A76B3" w:rsidRDefault="00AC41F5" w:rsidP="004631E0">
      <w:pPr>
        <w:pStyle w:val="Subtitle"/>
        <w:rPr>
          <w:b/>
          <w:i/>
          <w:iCs w:val="0"/>
          <w:color w:val="FFFFFF" w:themeColor="background1"/>
          <w:spacing w:val="5"/>
          <w:kern w:val="28"/>
          <w:szCs w:val="52"/>
        </w:rPr>
      </w:pPr>
      <w:r>
        <w:rPr>
          <w:color w:val="FFFFFF" w:themeColor="background1"/>
          <w:sz w:val="44"/>
        </w:rPr>
        <w:t>Sectoral i</w:t>
      </w:r>
      <w:r w:rsidR="00196C0B">
        <w:rPr>
          <w:color w:val="FFFFFF" w:themeColor="background1"/>
          <w:sz w:val="44"/>
        </w:rPr>
        <w:t xml:space="preserve">nformation </w:t>
      </w:r>
      <w:r w:rsidR="00B1264D">
        <w:rPr>
          <w:color w:val="FFFFFF" w:themeColor="background1"/>
          <w:sz w:val="44"/>
        </w:rPr>
        <w:t xml:space="preserve">accompanying </w:t>
      </w:r>
      <w:r>
        <w:rPr>
          <w:color w:val="FFFFFF" w:themeColor="background1"/>
          <w:sz w:val="44"/>
        </w:rPr>
        <w:t>the GDP data release</w:t>
      </w:r>
    </w:p>
    <w:tbl>
      <w:tblPr>
        <w:tblpPr w:leftFromText="181" w:rightFromText="181" w:vertAnchor="page" w:horzAnchor="page" w:tblpX="1022" w:tblpY="6680"/>
        <w:tblOverlap w:val="never"/>
        <w:tblW w:w="1525" w:type="pct"/>
        <w:tblBorders>
          <w:top w:val="single" w:sz="4" w:space="0" w:color="FFFFFF" w:themeColor="background1"/>
          <w:left w:val="single" w:sz="4" w:space="0" w:color="FFFFFF" w:themeColor="background1"/>
        </w:tblBorders>
        <w:tblCellMar>
          <w:left w:w="227" w:type="dxa"/>
        </w:tblCellMar>
        <w:tblLook w:val="04A0" w:firstRow="1" w:lastRow="0" w:firstColumn="1" w:lastColumn="0" w:noHBand="0" w:noVBand="1"/>
      </w:tblPr>
      <w:tblGrid>
        <w:gridCol w:w="2237"/>
      </w:tblGrid>
      <w:tr w:rsidR="004631E0" w:rsidRPr="007F0A75" w14:paraId="3F15152D" w14:textId="77777777" w:rsidTr="009B2257">
        <w:tc>
          <w:tcPr>
            <w:tcW w:w="7557" w:type="dxa"/>
            <w:tcBorders>
              <w:top w:val="dashSmallGap" w:sz="4" w:space="0" w:color="FFFFFF" w:themeColor="background1"/>
              <w:left w:val="dashSmallGap" w:sz="4" w:space="0" w:color="FFFFFF" w:themeColor="background1"/>
            </w:tcBorders>
          </w:tcPr>
          <w:p w14:paraId="22660686" w14:textId="77777777" w:rsidR="004631E0" w:rsidRPr="007F0A75" w:rsidRDefault="004631E0" w:rsidP="0079020C">
            <w:pPr>
              <w:spacing w:after="0" w:line="240" w:lineRule="auto"/>
            </w:pPr>
          </w:p>
        </w:tc>
      </w:tr>
      <w:tr w:rsidR="004631E0" w:rsidRPr="007F0A75" w14:paraId="1CBC9904" w14:textId="77777777" w:rsidTr="00452477">
        <w:trPr>
          <w:trHeight w:val="87"/>
        </w:trPr>
        <w:tc>
          <w:tcPr>
            <w:tcW w:w="7557" w:type="dxa"/>
          </w:tcPr>
          <w:p w14:paraId="26DA38AA" w14:textId="37C4806A" w:rsidR="004631E0" w:rsidRPr="007F0A75" w:rsidRDefault="00B1264D" w:rsidP="00B1264D">
            <w:pPr>
              <w:pStyle w:val="BodyText"/>
              <w:spacing w:after="0" w:line="240" w:lineRule="auto"/>
            </w:pPr>
            <w:r>
              <w:rPr>
                <w:rStyle w:val="Emphasis"/>
                <w:color w:val="FFFFFF" w:themeColor="background1"/>
                <w:sz w:val="19"/>
                <w:szCs w:val="19"/>
              </w:rPr>
              <w:t>4</w:t>
            </w:r>
            <w:r w:rsidR="00AC41F5">
              <w:rPr>
                <w:rStyle w:val="Emphasis"/>
                <w:color w:val="FFFFFF" w:themeColor="background1"/>
                <w:sz w:val="19"/>
                <w:szCs w:val="19"/>
              </w:rPr>
              <w:t xml:space="preserve"> June </w:t>
            </w:r>
            <w:r w:rsidR="004631E0" w:rsidRPr="007F0A75">
              <w:rPr>
                <w:rStyle w:val="Emphasis"/>
                <w:color w:val="FFFFFF" w:themeColor="background1"/>
                <w:sz w:val="19"/>
                <w:szCs w:val="19"/>
              </w:rPr>
              <w:t>201</w:t>
            </w:r>
            <w:r w:rsidR="00F665E3">
              <w:rPr>
                <w:rStyle w:val="Emphasis"/>
                <w:color w:val="FFFFFF" w:themeColor="background1"/>
                <w:sz w:val="19"/>
                <w:szCs w:val="19"/>
              </w:rPr>
              <w:t>9</w:t>
            </w:r>
          </w:p>
        </w:tc>
      </w:tr>
    </w:tbl>
    <w:p w14:paraId="0A46FE55" w14:textId="5126CE9C" w:rsidR="004631E0" w:rsidRPr="007F0A75" w:rsidRDefault="004631E0" w:rsidP="004631E0">
      <w:pPr>
        <w:pStyle w:val="BodyText"/>
      </w:pPr>
    </w:p>
    <w:p w14:paraId="6097A81E" w14:textId="25996371" w:rsidR="00765405" w:rsidRPr="007F0A75" w:rsidRDefault="00765405" w:rsidP="004631E0"/>
    <w:p w14:paraId="3680D327" w14:textId="77777777" w:rsidR="00765405" w:rsidRPr="007F0A75" w:rsidRDefault="00765405" w:rsidP="00765405"/>
    <w:p w14:paraId="0B5E7155" w14:textId="77777777" w:rsidR="00765405" w:rsidRPr="007F0A75" w:rsidRDefault="00765405" w:rsidP="00765405"/>
    <w:p w14:paraId="31188BE2" w14:textId="77777777" w:rsidR="00765405" w:rsidRPr="007F0A75" w:rsidRDefault="00765405" w:rsidP="00765405"/>
    <w:p w14:paraId="4B29025C" w14:textId="77777777" w:rsidR="00765405" w:rsidRPr="007F0A75" w:rsidRDefault="00765405" w:rsidP="00765405"/>
    <w:p w14:paraId="2F6EE757" w14:textId="77777777" w:rsidR="00765405" w:rsidRPr="007F0A75" w:rsidRDefault="00765405" w:rsidP="00765405"/>
    <w:p w14:paraId="4262C242" w14:textId="77777777" w:rsidR="00765405" w:rsidRPr="007F0A75" w:rsidRDefault="00765405" w:rsidP="00765405"/>
    <w:p w14:paraId="08889C14" w14:textId="61C342C1" w:rsidR="00765405" w:rsidRPr="007F0A75" w:rsidRDefault="00765405" w:rsidP="00765405"/>
    <w:p w14:paraId="1AE4CBB8" w14:textId="077445E9" w:rsidR="00765405" w:rsidRPr="007F0A75" w:rsidRDefault="00765405" w:rsidP="00765405"/>
    <w:p w14:paraId="12AAC215" w14:textId="77777777" w:rsidR="004631E0" w:rsidRPr="007F0A75" w:rsidRDefault="004631E0" w:rsidP="00765405">
      <w:pPr>
        <w:sectPr w:rsidR="004631E0" w:rsidRPr="007F0A75">
          <w:headerReference w:type="even" r:id="rId8"/>
          <w:headerReference w:type="default" r:id="rId9"/>
          <w:footerReference w:type="even" r:id="rId10"/>
          <w:footerReference w:type="default" r:id="rId11"/>
          <w:headerReference w:type="first" r:id="rId12"/>
          <w:footerReference w:type="first" r:id="rId13"/>
          <w:pgSz w:w="11906" w:h="16838" w:code="9"/>
          <w:pgMar w:top="2313" w:right="1021" w:bottom="1474" w:left="3544" w:header="567" w:footer="567" w:gutter="0"/>
          <w:cols w:space="708"/>
          <w:titlePg/>
          <w:docGrid w:linePitch="360"/>
        </w:sectPr>
      </w:pPr>
    </w:p>
    <w:p w14:paraId="35196B4E" w14:textId="77777777" w:rsidR="004631E0" w:rsidRPr="007F0A75" w:rsidRDefault="004631E0" w:rsidP="00067F90">
      <w:pPr>
        <w:pStyle w:val="Heading1"/>
        <w:numPr>
          <w:ilvl w:val="0"/>
          <w:numId w:val="0"/>
        </w:numPr>
      </w:pPr>
      <w:bookmarkStart w:id="1" w:name="_Toc10545923"/>
      <w:r w:rsidRPr="007F0A75">
        <w:lastRenderedPageBreak/>
        <w:t>Table of Contents</w:t>
      </w:r>
      <w:bookmarkEnd w:id="1"/>
    </w:p>
    <w:p w14:paraId="31D6CAC5" w14:textId="10D1DCF7" w:rsidR="00196C0B" w:rsidRDefault="004631E0">
      <w:pPr>
        <w:pStyle w:val="TOC1"/>
        <w:rPr>
          <w:rFonts w:asciiTheme="minorHAnsi" w:eastAsiaTheme="minorEastAsia" w:hAnsiTheme="minorHAnsi" w:cstheme="minorBidi"/>
          <w:noProof/>
          <w:sz w:val="22"/>
          <w:szCs w:val="22"/>
          <w:lang w:eastAsia="en-ZA"/>
        </w:rPr>
      </w:pPr>
      <w:r w:rsidRPr="007F0A75">
        <w:fldChar w:fldCharType="begin"/>
      </w:r>
      <w:r w:rsidRPr="007F0A75">
        <w:instrText xml:space="preserve"> TOC \o "2-5" \h \z \t "Heading 1,1,Heading 1 No Spacing,1" </w:instrText>
      </w:r>
      <w:r w:rsidRPr="007F0A75">
        <w:fldChar w:fldCharType="separate"/>
      </w:r>
      <w:hyperlink w:anchor="_Toc10545923" w:history="1">
        <w:r w:rsidR="00196C0B" w:rsidRPr="00B923B5">
          <w:rPr>
            <w:rStyle w:val="Hyperlink"/>
            <w:noProof/>
          </w:rPr>
          <w:t>Table of Contents</w:t>
        </w:r>
        <w:r w:rsidR="00196C0B">
          <w:rPr>
            <w:noProof/>
            <w:webHidden/>
          </w:rPr>
          <w:tab/>
        </w:r>
        <w:r w:rsidR="00196C0B">
          <w:rPr>
            <w:noProof/>
            <w:webHidden/>
          </w:rPr>
          <w:fldChar w:fldCharType="begin"/>
        </w:r>
        <w:r w:rsidR="00196C0B">
          <w:rPr>
            <w:noProof/>
            <w:webHidden/>
          </w:rPr>
          <w:instrText xml:space="preserve"> PAGEREF _Toc10545923 \h </w:instrText>
        </w:r>
        <w:r w:rsidR="00196C0B">
          <w:rPr>
            <w:noProof/>
            <w:webHidden/>
          </w:rPr>
        </w:r>
        <w:r w:rsidR="00196C0B">
          <w:rPr>
            <w:noProof/>
            <w:webHidden/>
          </w:rPr>
          <w:fldChar w:fldCharType="separate"/>
        </w:r>
        <w:r w:rsidR="00196C0B">
          <w:rPr>
            <w:noProof/>
            <w:webHidden/>
          </w:rPr>
          <w:t>2</w:t>
        </w:r>
        <w:r w:rsidR="00196C0B">
          <w:rPr>
            <w:noProof/>
            <w:webHidden/>
          </w:rPr>
          <w:fldChar w:fldCharType="end"/>
        </w:r>
      </w:hyperlink>
    </w:p>
    <w:p w14:paraId="182DAC94" w14:textId="78C8FCA1" w:rsidR="00196C0B" w:rsidRDefault="00312330">
      <w:pPr>
        <w:pStyle w:val="TOC1"/>
        <w:rPr>
          <w:rFonts w:asciiTheme="minorHAnsi" w:eastAsiaTheme="minorEastAsia" w:hAnsiTheme="minorHAnsi" w:cstheme="minorBidi"/>
          <w:noProof/>
          <w:sz w:val="22"/>
          <w:szCs w:val="22"/>
          <w:lang w:eastAsia="en-ZA"/>
        </w:rPr>
      </w:pPr>
      <w:hyperlink w:anchor="_Toc10545924" w:history="1">
        <w:r w:rsidR="00196C0B" w:rsidRPr="00B923B5">
          <w:rPr>
            <w:rStyle w:val="Hyperlink"/>
            <w:noProof/>
          </w:rPr>
          <w:t>1.</w:t>
        </w:r>
        <w:r w:rsidR="00196C0B">
          <w:rPr>
            <w:rFonts w:asciiTheme="minorHAnsi" w:eastAsiaTheme="minorEastAsia" w:hAnsiTheme="minorHAnsi" w:cstheme="minorBidi"/>
            <w:noProof/>
            <w:sz w:val="22"/>
            <w:szCs w:val="22"/>
            <w:lang w:eastAsia="en-ZA"/>
          </w:rPr>
          <w:tab/>
        </w:r>
        <w:r w:rsidR="00196C0B" w:rsidRPr="00B923B5">
          <w:rPr>
            <w:rStyle w:val="Hyperlink"/>
            <w:noProof/>
          </w:rPr>
          <w:t>State of the South African Economy</w:t>
        </w:r>
        <w:r w:rsidR="00196C0B">
          <w:rPr>
            <w:noProof/>
            <w:webHidden/>
          </w:rPr>
          <w:tab/>
        </w:r>
        <w:r w:rsidR="00196C0B">
          <w:rPr>
            <w:noProof/>
            <w:webHidden/>
          </w:rPr>
          <w:fldChar w:fldCharType="begin"/>
        </w:r>
        <w:r w:rsidR="00196C0B">
          <w:rPr>
            <w:noProof/>
            <w:webHidden/>
          </w:rPr>
          <w:instrText xml:space="preserve"> PAGEREF _Toc10545924 \h </w:instrText>
        </w:r>
        <w:r w:rsidR="00196C0B">
          <w:rPr>
            <w:noProof/>
            <w:webHidden/>
          </w:rPr>
        </w:r>
        <w:r w:rsidR="00196C0B">
          <w:rPr>
            <w:noProof/>
            <w:webHidden/>
          </w:rPr>
          <w:fldChar w:fldCharType="separate"/>
        </w:r>
        <w:r w:rsidR="00196C0B">
          <w:rPr>
            <w:noProof/>
            <w:webHidden/>
          </w:rPr>
          <w:t>3</w:t>
        </w:r>
        <w:r w:rsidR="00196C0B">
          <w:rPr>
            <w:noProof/>
            <w:webHidden/>
          </w:rPr>
          <w:fldChar w:fldCharType="end"/>
        </w:r>
      </w:hyperlink>
    </w:p>
    <w:p w14:paraId="2B426868" w14:textId="26C7D896" w:rsidR="00196C0B" w:rsidRDefault="00312330">
      <w:pPr>
        <w:pStyle w:val="TOC1"/>
        <w:rPr>
          <w:rFonts w:asciiTheme="minorHAnsi" w:eastAsiaTheme="minorEastAsia" w:hAnsiTheme="minorHAnsi" w:cstheme="minorBidi"/>
          <w:noProof/>
          <w:sz w:val="22"/>
          <w:szCs w:val="22"/>
          <w:lang w:eastAsia="en-ZA"/>
        </w:rPr>
      </w:pPr>
      <w:hyperlink w:anchor="_Toc10545925" w:history="1">
        <w:r w:rsidR="00196C0B" w:rsidRPr="00B923B5">
          <w:rPr>
            <w:rStyle w:val="Hyperlink"/>
            <w:noProof/>
          </w:rPr>
          <w:t>2.</w:t>
        </w:r>
        <w:r w:rsidR="00196C0B">
          <w:rPr>
            <w:rFonts w:asciiTheme="minorHAnsi" w:eastAsiaTheme="minorEastAsia" w:hAnsiTheme="minorHAnsi" w:cstheme="minorBidi"/>
            <w:noProof/>
            <w:sz w:val="22"/>
            <w:szCs w:val="22"/>
            <w:lang w:eastAsia="en-ZA"/>
          </w:rPr>
          <w:tab/>
        </w:r>
        <w:r w:rsidR="00196C0B" w:rsidRPr="00B923B5">
          <w:rPr>
            <w:rStyle w:val="Hyperlink"/>
            <w:noProof/>
          </w:rPr>
          <w:t>Key economic data</w:t>
        </w:r>
        <w:r w:rsidR="00196C0B">
          <w:rPr>
            <w:noProof/>
            <w:webHidden/>
          </w:rPr>
          <w:tab/>
        </w:r>
        <w:r w:rsidR="00196C0B">
          <w:rPr>
            <w:noProof/>
            <w:webHidden/>
          </w:rPr>
          <w:fldChar w:fldCharType="begin"/>
        </w:r>
        <w:r w:rsidR="00196C0B">
          <w:rPr>
            <w:noProof/>
            <w:webHidden/>
          </w:rPr>
          <w:instrText xml:space="preserve"> PAGEREF _Toc10545925 \h </w:instrText>
        </w:r>
        <w:r w:rsidR="00196C0B">
          <w:rPr>
            <w:noProof/>
            <w:webHidden/>
          </w:rPr>
        </w:r>
        <w:r w:rsidR="00196C0B">
          <w:rPr>
            <w:noProof/>
            <w:webHidden/>
          </w:rPr>
          <w:fldChar w:fldCharType="separate"/>
        </w:r>
        <w:r w:rsidR="00196C0B">
          <w:rPr>
            <w:noProof/>
            <w:webHidden/>
          </w:rPr>
          <w:t>4</w:t>
        </w:r>
        <w:r w:rsidR="00196C0B">
          <w:rPr>
            <w:noProof/>
            <w:webHidden/>
          </w:rPr>
          <w:fldChar w:fldCharType="end"/>
        </w:r>
      </w:hyperlink>
    </w:p>
    <w:p w14:paraId="2DAC31ED" w14:textId="6E31D3BA"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26" w:history="1">
        <w:r w:rsidR="00196C0B" w:rsidRPr="00B923B5">
          <w:rPr>
            <w:rStyle w:val="Hyperlink"/>
            <w:noProof/>
          </w:rPr>
          <w:t>2.1</w:t>
        </w:r>
        <w:r w:rsidR="00196C0B">
          <w:rPr>
            <w:rFonts w:asciiTheme="minorHAnsi" w:eastAsiaTheme="minorEastAsia" w:hAnsiTheme="minorHAnsi" w:cstheme="minorBidi"/>
            <w:noProof/>
            <w:sz w:val="22"/>
            <w:szCs w:val="22"/>
            <w:lang w:eastAsia="en-ZA"/>
          </w:rPr>
          <w:tab/>
        </w:r>
        <w:r w:rsidR="00196C0B" w:rsidRPr="00B923B5">
          <w:rPr>
            <w:rStyle w:val="Hyperlink"/>
            <w:noProof/>
          </w:rPr>
          <w:t>Retail sales curbed due to subdued consumer demand</w:t>
        </w:r>
        <w:r w:rsidR="00196C0B">
          <w:rPr>
            <w:noProof/>
            <w:webHidden/>
          </w:rPr>
          <w:tab/>
        </w:r>
        <w:r w:rsidR="00196C0B">
          <w:rPr>
            <w:noProof/>
            <w:webHidden/>
          </w:rPr>
          <w:fldChar w:fldCharType="begin"/>
        </w:r>
        <w:r w:rsidR="00196C0B">
          <w:rPr>
            <w:noProof/>
            <w:webHidden/>
          </w:rPr>
          <w:instrText xml:space="preserve"> PAGEREF _Toc10545926 \h </w:instrText>
        </w:r>
        <w:r w:rsidR="00196C0B">
          <w:rPr>
            <w:noProof/>
            <w:webHidden/>
          </w:rPr>
        </w:r>
        <w:r w:rsidR="00196C0B">
          <w:rPr>
            <w:noProof/>
            <w:webHidden/>
          </w:rPr>
          <w:fldChar w:fldCharType="separate"/>
        </w:r>
        <w:r w:rsidR="00196C0B">
          <w:rPr>
            <w:noProof/>
            <w:webHidden/>
          </w:rPr>
          <w:t>4</w:t>
        </w:r>
        <w:r w:rsidR="00196C0B">
          <w:rPr>
            <w:noProof/>
            <w:webHidden/>
          </w:rPr>
          <w:fldChar w:fldCharType="end"/>
        </w:r>
      </w:hyperlink>
    </w:p>
    <w:p w14:paraId="42042A43" w14:textId="3B1C6082"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27" w:history="1">
        <w:r w:rsidR="00196C0B" w:rsidRPr="00B923B5">
          <w:rPr>
            <w:rStyle w:val="Hyperlink"/>
            <w:noProof/>
          </w:rPr>
          <w:t>2.2</w:t>
        </w:r>
        <w:r w:rsidR="00196C0B">
          <w:rPr>
            <w:rFonts w:asciiTheme="minorHAnsi" w:eastAsiaTheme="minorEastAsia" w:hAnsiTheme="minorHAnsi" w:cstheme="minorBidi"/>
            <w:noProof/>
            <w:sz w:val="22"/>
            <w:szCs w:val="22"/>
            <w:lang w:eastAsia="en-ZA"/>
          </w:rPr>
          <w:tab/>
        </w:r>
        <w:r w:rsidR="00196C0B" w:rsidRPr="00B923B5">
          <w:rPr>
            <w:rStyle w:val="Hyperlink"/>
            <w:noProof/>
          </w:rPr>
          <w:t>Wholesale trade tracks weaker retail conditions</w:t>
        </w:r>
        <w:r w:rsidR="00196C0B">
          <w:rPr>
            <w:noProof/>
            <w:webHidden/>
          </w:rPr>
          <w:tab/>
        </w:r>
        <w:r w:rsidR="00196C0B">
          <w:rPr>
            <w:noProof/>
            <w:webHidden/>
          </w:rPr>
          <w:fldChar w:fldCharType="begin"/>
        </w:r>
        <w:r w:rsidR="00196C0B">
          <w:rPr>
            <w:noProof/>
            <w:webHidden/>
          </w:rPr>
          <w:instrText xml:space="preserve"> PAGEREF _Toc10545927 \h </w:instrText>
        </w:r>
        <w:r w:rsidR="00196C0B">
          <w:rPr>
            <w:noProof/>
            <w:webHidden/>
          </w:rPr>
        </w:r>
        <w:r w:rsidR="00196C0B">
          <w:rPr>
            <w:noProof/>
            <w:webHidden/>
          </w:rPr>
          <w:fldChar w:fldCharType="separate"/>
        </w:r>
        <w:r w:rsidR="00196C0B">
          <w:rPr>
            <w:noProof/>
            <w:webHidden/>
          </w:rPr>
          <w:t>4</w:t>
        </w:r>
        <w:r w:rsidR="00196C0B">
          <w:rPr>
            <w:noProof/>
            <w:webHidden/>
          </w:rPr>
          <w:fldChar w:fldCharType="end"/>
        </w:r>
      </w:hyperlink>
    </w:p>
    <w:p w14:paraId="34D62C06" w14:textId="76C7E505"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28" w:history="1">
        <w:r w:rsidR="00196C0B" w:rsidRPr="00B923B5">
          <w:rPr>
            <w:rStyle w:val="Hyperlink"/>
            <w:noProof/>
          </w:rPr>
          <w:t>2.3</w:t>
        </w:r>
        <w:r w:rsidR="00196C0B">
          <w:rPr>
            <w:rFonts w:asciiTheme="minorHAnsi" w:eastAsiaTheme="minorEastAsia" w:hAnsiTheme="minorHAnsi" w:cstheme="minorBidi"/>
            <w:noProof/>
            <w:sz w:val="22"/>
            <w:szCs w:val="22"/>
            <w:lang w:eastAsia="en-ZA"/>
          </w:rPr>
          <w:tab/>
        </w:r>
        <w:r w:rsidR="00196C0B" w:rsidRPr="00B923B5">
          <w:rPr>
            <w:rStyle w:val="Hyperlink"/>
            <w:noProof/>
          </w:rPr>
          <w:t>Manufacturing output pressured by weak demand</w:t>
        </w:r>
        <w:r w:rsidR="00196C0B">
          <w:rPr>
            <w:noProof/>
            <w:webHidden/>
          </w:rPr>
          <w:tab/>
        </w:r>
        <w:r w:rsidR="00196C0B">
          <w:rPr>
            <w:noProof/>
            <w:webHidden/>
          </w:rPr>
          <w:fldChar w:fldCharType="begin"/>
        </w:r>
        <w:r w:rsidR="00196C0B">
          <w:rPr>
            <w:noProof/>
            <w:webHidden/>
          </w:rPr>
          <w:instrText xml:space="preserve"> PAGEREF _Toc10545928 \h </w:instrText>
        </w:r>
        <w:r w:rsidR="00196C0B">
          <w:rPr>
            <w:noProof/>
            <w:webHidden/>
          </w:rPr>
        </w:r>
        <w:r w:rsidR="00196C0B">
          <w:rPr>
            <w:noProof/>
            <w:webHidden/>
          </w:rPr>
          <w:fldChar w:fldCharType="separate"/>
        </w:r>
        <w:r w:rsidR="00196C0B">
          <w:rPr>
            <w:noProof/>
            <w:webHidden/>
          </w:rPr>
          <w:t>5</w:t>
        </w:r>
        <w:r w:rsidR="00196C0B">
          <w:rPr>
            <w:noProof/>
            <w:webHidden/>
          </w:rPr>
          <w:fldChar w:fldCharType="end"/>
        </w:r>
      </w:hyperlink>
    </w:p>
    <w:p w14:paraId="1763BA4C" w14:textId="1D58963E"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29" w:history="1">
        <w:r w:rsidR="00196C0B" w:rsidRPr="00B923B5">
          <w:rPr>
            <w:rStyle w:val="Hyperlink"/>
            <w:noProof/>
          </w:rPr>
          <w:t>2.4</w:t>
        </w:r>
        <w:r w:rsidR="00196C0B">
          <w:rPr>
            <w:rFonts w:asciiTheme="minorHAnsi" w:eastAsiaTheme="minorEastAsia" w:hAnsiTheme="minorHAnsi" w:cstheme="minorBidi"/>
            <w:noProof/>
            <w:sz w:val="22"/>
            <w:szCs w:val="22"/>
            <w:lang w:eastAsia="en-ZA"/>
          </w:rPr>
          <w:tab/>
        </w:r>
        <w:r w:rsidR="00196C0B" w:rsidRPr="00B923B5">
          <w:rPr>
            <w:rStyle w:val="Hyperlink"/>
            <w:noProof/>
          </w:rPr>
          <w:t>Mining production weighed down by gold strike</w:t>
        </w:r>
        <w:r w:rsidR="00196C0B">
          <w:rPr>
            <w:noProof/>
            <w:webHidden/>
          </w:rPr>
          <w:tab/>
        </w:r>
        <w:r w:rsidR="00196C0B">
          <w:rPr>
            <w:noProof/>
            <w:webHidden/>
          </w:rPr>
          <w:fldChar w:fldCharType="begin"/>
        </w:r>
        <w:r w:rsidR="00196C0B">
          <w:rPr>
            <w:noProof/>
            <w:webHidden/>
          </w:rPr>
          <w:instrText xml:space="preserve"> PAGEREF _Toc10545929 \h </w:instrText>
        </w:r>
        <w:r w:rsidR="00196C0B">
          <w:rPr>
            <w:noProof/>
            <w:webHidden/>
          </w:rPr>
        </w:r>
        <w:r w:rsidR="00196C0B">
          <w:rPr>
            <w:noProof/>
            <w:webHidden/>
          </w:rPr>
          <w:fldChar w:fldCharType="separate"/>
        </w:r>
        <w:r w:rsidR="00196C0B">
          <w:rPr>
            <w:noProof/>
            <w:webHidden/>
          </w:rPr>
          <w:t>5</w:t>
        </w:r>
        <w:r w:rsidR="00196C0B">
          <w:rPr>
            <w:noProof/>
            <w:webHidden/>
          </w:rPr>
          <w:fldChar w:fldCharType="end"/>
        </w:r>
      </w:hyperlink>
    </w:p>
    <w:p w14:paraId="67EEC076" w14:textId="1D6B4664"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0" w:history="1">
        <w:r w:rsidR="00196C0B" w:rsidRPr="00B923B5">
          <w:rPr>
            <w:rStyle w:val="Hyperlink"/>
            <w:noProof/>
          </w:rPr>
          <w:t>2.5</w:t>
        </w:r>
        <w:r w:rsidR="00196C0B">
          <w:rPr>
            <w:rFonts w:asciiTheme="minorHAnsi" w:eastAsiaTheme="minorEastAsia" w:hAnsiTheme="minorHAnsi" w:cstheme="minorBidi"/>
            <w:noProof/>
            <w:sz w:val="22"/>
            <w:szCs w:val="22"/>
            <w:lang w:eastAsia="en-ZA"/>
          </w:rPr>
          <w:tab/>
        </w:r>
        <w:r w:rsidR="00196C0B" w:rsidRPr="00B923B5">
          <w:rPr>
            <w:rStyle w:val="Hyperlink"/>
            <w:noProof/>
          </w:rPr>
          <w:t>Electricity distribution declines amidst loadshedding</w:t>
        </w:r>
        <w:r w:rsidR="00196C0B">
          <w:rPr>
            <w:noProof/>
            <w:webHidden/>
          </w:rPr>
          <w:tab/>
        </w:r>
        <w:r w:rsidR="00196C0B">
          <w:rPr>
            <w:noProof/>
            <w:webHidden/>
          </w:rPr>
          <w:fldChar w:fldCharType="begin"/>
        </w:r>
        <w:r w:rsidR="00196C0B">
          <w:rPr>
            <w:noProof/>
            <w:webHidden/>
          </w:rPr>
          <w:instrText xml:space="preserve"> PAGEREF _Toc10545930 \h </w:instrText>
        </w:r>
        <w:r w:rsidR="00196C0B">
          <w:rPr>
            <w:noProof/>
            <w:webHidden/>
          </w:rPr>
        </w:r>
        <w:r w:rsidR="00196C0B">
          <w:rPr>
            <w:noProof/>
            <w:webHidden/>
          </w:rPr>
          <w:fldChar w:fldCharType="separate"/>
        </w:r>
        <w:r w:rsidR="00196C0B">
          <w:rPr>
            <w:noProof/>
            <w:webHidden/>
          </w:rPr>
          <w:t>6</w:t>
        </w:r>
        <w:r w:rsidR="00196C0B">
          <w:rPr>
            <w:noProof/>
            <w:webHidden/>
          </w:rPr>
          <w:fldChar w:fldCharType="end"/>
        </w:r>
      </w:hyperlink>
    </w:p>
    <w:p w14:paraId="4D5A5A50" w14:textId="28873A55"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1" w:history="1">
        <w:r w:rsidR="00196C0B" w:rsidRPr="00B923B5">
          <w:rPr>
            <w:rStyle w:val="Hyperlink"/>
            <w:noProof/>
          </w:rPr>
          <w:t>2.6</w:t>
        </w:r>
        <w:r w:rsidR="00196C0B">
          <w:rPr>
            <w:rFonts w:asciiTheme="minorHAnsi" w:eastAsiaTheme="minorEastAsia" w:hAnsiTheme="minorHAnsi" w:cstheme="minorBidi"/>
            <w:noProof/>
            <w:sz w:val="22"/>
            <w:szCs w:val="22"/>
            <w:lang w:eastAsia="en-ZA"/>
          </w:rPr>
          <w:tab/>
        </w:r>
        <w:r w:rsidR="00196C0B" w:rsidRPr="00B923B5">
          <w:rPr>
            <w:rStyle w:val="Hyperlink"/>
            <w:noProof/>
          </w:rPr>
          <w:t>Passenger vehicle sales slowed by declining sentiment</w:t>
        </w:r>
        <w:r w:rsidR="00196C0B">
          <w:rPr>
            <w:noProof/>
            <w:webHidden/>
          </w:rPr>
          <w:tab/>
        </w:r>
        <w:r w:rsidR="00196C0B">
          <w:rPr>
            <w:noProof/>
            <w:webHidden/>
          </w:rPr>
          <w:fldChar w:fldCharType="begin"/>
        </w:r>
        <w:r w:rsidR="00196C0B">
          <w:rPr>
            <w:noProof/>
            <w:webHidden/>
          </w:rPr>
          <w:instrText xml:space="preserve"> PAGEREF _Toc10545931 \h </w:instrText>
        </w:r>
        <w:r w:rsidR="00196C0B">
          <w:rPr>
            <w:noProof/>
            <w:webHidden/>
          </w:rPr>
        </w:r>
        <w:r w:rsidR="00196C0B">
          <w:rPr>
            <w:noProof/>
            <w:webHidden/>
          </w:rPr>
          <w:fldChar w:fldCharType="separate"/>
        </w:r>
        <w:r w:rsidR="00196C0B">
          <w:rPr>
            <w:noProof/>
            <w:webHidden/>
          </w:rPr>
          <w:t>6</w:t>
        </w:r>
        <w:r w:rsidR="00196C0B">
          <w:rPr>
            <w:noProof/>
            <w:webHidden/>
          </w:rPr>
          <w:fldChar w:fldCharType="end"/>
        </w:r>
      </w:hyperlink>
    </w:p>
    <w:p w14:paraId="1E479B09" w14:textId="007CB335"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2" w:history="1">
        <w:r w:rsidR="00196C0B" w:rsidRPr="00B923B5">
          <w:rPr>
            <w:rStyle w:val="Hyperlink"/>
            <w:noProof/>
          </w:rPr>
          <w:t>2.7</w:t>
        </w:r>
        <w:r w:rsidR="00196C0B">
          <w:rPr>
            <w:rFonts w:asciiTheme="minorHAnsi" w:eastAsiaTheme="minorEastAsia" w:hAnsiTheme="minorHAnsi" w:cstheme="minorBidi"/>
            <w:noProof/>
            <w:sz w:val="22"/>
            <w:szCs w:val="22"/>
            <w:lang w:eastAsia="en-ZA"/>
          </w:rPr>
          <w:tab/>
        </w:r>
        <w:r w:rsidR="00196C0B" w:rsidRPr="00B923B5">
          <w:rPr>
            <w:rStyle w:val="Hyperlink"/>
            <w:noProof/>
          </w:rPr>
          <w:t>Private sector credit shows rare sign of improvement</w:t>
        </w:r>
        <w:r w:rsidR="00196C0B">
          <w:rPr>
            <w:noProof/>
            <w:webHidden/>
          </w:rPr>
          <w:tab/>
        </w:r>
        <w:r w:rsidR="00196C0B">
          <w:rPr>
            <w:noProof/>
            <w:webHidden/>
          </w:rPr>
          <w:fldChar w:fldCharType="begin"/>
        </w:r>
        <w:r w:rsidR="00196C0B">
          <w:rPr>
            <w:noProof/>
            <w:webHidden/>
          </w:rPr>
          <w:instrText xml:space="preserve"> PAGEREF _Toc10545932 \h </w:instrText>
        </w:r>
        <w:r w:rsidR="00196C0B">
          <w:rPr>
            <w:noProof/>
            <w:webHidden/>
          </w:rPr>
        </w:r>
        <w:r w:rsidR="00196C0B">
          <w:rPr>
            <w:noProof/>
            <w:webHidden/>
          </w:rPr>
          <w:fldChar w:fldCharType="separate"/>
        </w:r>
        <w:r w:rsidR="00196C0B">
          <w:rPr>
            <w:noProof/>
            <w:webHidden/>
          </w:rPr>
          <w:t>7</w:t>
        </w:r>
        <w:r w:rsidR="00196C0B">
          <w:rPr>
            <w:noProof/>
            <w:webHidden/>
          </w:rPr>
          <w:fldChar w:fldCharType="end"/>
        </w:r>
      </w:hyperlink>
    </w:p>
    <w:p w14:paraId="3C13784B" w14:textId="3165E8F9" w:rsidR="00196C0B" w:rsidRDefault="00312330">
      <w:pPr>
        <w:pStyle w:val="TOC2"/>
        <w:tabs>
          <w:tab w:val="left" w:pos="600"/>
          <w:tab w:val="right" w:pos="9854"/>
        </w:tabs>
        <w:rPr>
          <w:rFonts w:asciiTheme="minorHAnsi" w:eastAsiaTheme="minorEastAsia" w:hAnsiTheme="minorHAnsi" w:cstheme="minorBidi"/>
          <w:noProof/>
          <w:sz w:val="22"/>
          <w:szCs w:val="22"/>
          <w:lang w:eastAsia="en-ZA"/>
        </w:rPr>
      </w:pPr>
      <w:hyperlink w:anchor="_Toc10545933" w:history="1">
        <w:r w:rsidR="00196C0B" w:rsidRPr="00B923B5">
          <w:rPr>
            <w:rStyle w:val="Hyperlink"/>
            <w:noProof/>
          </w:rPr>
          <w:t>2.8</w:t>
        </w:r>
        <w:r w:rsidR="00196C0B">
          <w:rPr>
            <w:rFonts w:asciiTheme="minorHAnsi" w:eastAsiaTheme="minorEastAsia" w:hAnsiTheme="minorHAnsi" w:cstheme="minorBidi"/>
            <w:noProof/>
            <w:sz w:val="22"/>
            <w:szCs w:val="22"/>
            <w:lang w:eastAsia="en-ZA"/>
          </w:rPr>
          <w:tab/>
        </w:r>
        <w:r w:rsidR="00196C0B" w:rsidRPr="00B923B5">
          <w:rPr>
            <w:rStyle w:val="Hyperlink"/>
            <w:noProof/>
          </w:rPr>
          <w:t>Economic transactions hampered by loadshedding</w:t>
        </w:r>
        <w:r w:rsidR="00196C0B">
          <w:rPr>
            <w:noProof/>
            <w:webHidden/>
          </w:rPr>
          <w:tab/>
        </w:r>
        <w:r w:rsidR="00196C0B">
          <w:rPr>
            <w:noProof/>
            <w:webHidden/>
          </w:rPr>
          <w:fldChar w:fldCharType="begin"/>
        </w:r>
        <w:r w:rsidR="00196C0B">
          <w:rPr>
            <w:noProof/>
            <w:webHidden/>
          </w:rPr>
          <w:instrText xml:space="preserve"> PAGEREF _Toc10545933 \h </w:instrText>
        </w:r>
        <w:r w:rsidR="00196C0B">
          <w:rPr>
            <w:noProof/>
            <w:webHidden/>
          </w:rPr>
        </w:r>
        <w:r w:rsidR="00196C0B">
          <w:rPr>
            <w:noProof/>
            <w:webHidden/>
          </w:rPr>
          <w:fldChar w:fldCharType="separate"/>
        </w:r>
        <w:r w:rsidR="00196C0B">
          <w:rPr>
            <w:noProof/>
            <w:webHidden/>
          </w:rPr>
          <w:t>7</w:t>
        </w:r>
        <w:r w:rsidR="00196C0B">
          <w:rPr>
            <w:noProof/>
            <w:webHidden/>
          </w:rPr>
          <w:fldChar w:fldCharType="end"/>
        </w:r>
      </w:hyperlink>
    </w:p>
    <w:p w14:paraId="51FAAEC9" w14:textId="3F504A6F"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4" w:history="1">
        <w:r w:rsidR="00196C0B" w:rsidRPr="00B923B5">
          <w:rPr>
            <w:rStyle w:val="Hyperlink"/>
            <w:noProof/>
          </w:rPr>
          <w:t>2.9</w:t>
        </w:r>
        <w:r w:rsidR="00196C0B">
          <w:rPr>
            <w:rFonts w:asciiTheme="minorHAnsi" w:eastAsiaTheme="minorEastAsia" w:hAnsiTheme="minorHAnsi" w:cstheme="minorBidi"/>
            <w:noProof/>
            <w:sz w:val="22"/>
            <w:szCs w:val="22"/>
            <w:lang w:eastAsia="en-ZA"/>
          </w:rPr>
          <w:tab/>
        </w:r>
        <w:r w:rsidR="00196C0B" w:rsidRPr="00B923B5">
          <w:rPr>
            <w:rStyle w:val="Hyperlink"/>
            <w:noProof/>
          </w:rPr>
          <w:t>Freight transport loses momentum on weak economy</w:t>
        </w:r>
        <w:r w:rsidR="00196C0B">
          <w:rPr>
            <w:noProof/>
            <w:webHidden/>
          </w:rPr>
          <w:tab/>
        </w:r>
        <w:r w:rsidR="00196C0B">
          <w:rPr>
            <w:noProof/>
            <w:webHidden/>
          </w:rPr>
          <w:fldChar w:fldCharType="begin"/>
        </w:r>
        <w:r w:rsidR="00196C0B">
          <w:rPr>
            <w:noProof/>
            <w:webHidden/>
          </w:rPr>
          <w:instrText xml:space="preserve"> PAGEREF _Toc10545934 \h </w:instrText>
        </w:r>
        <w:r w:rsidR="00196C0B">
          <w:rPr>
            <w:noProof/>
            <w:webHidden/>
          </w:rPr>
        </w:r>
        <w:r w:rsidR="00196C0B">
          <w:rPr>
            <w:noProof/>
            <w:webHidden/>
          </w:rPr>
          <w:fldChar w:fldCharType="separate"/>
        </w:r>
        <w:r w:rsidR="00196C0B">
          <w:rPr>
            <w:noProof/>
            <w:webHidden/>
          </w:rPr>
          <w:t>8</w:t>
        </w:r>
        <w:r w:rsidR="00196C0B">
          <w:rPr>
            <w:noProof/>
            <w:webHidden/>
          </w:rPr>
          <w:fldChar w:fldCharType="end"/>
        </w:r>
      </w:hyperlink>
    </w:p>
    <w:p w14:paraId="1910312F" w14:textId="2809E3A4" w:rsidR="00196C0B" w:rsidRDefault="00312330">
      <w:pPr>
        <w:pStyle w:val="TOC1"/>
        <w:rPr>
          <w:rFonts w:asciiTheme="minorHAnsi" w:eastAsiaTheme="minorEastAsia" w:hAnsiTheme="minorHAnsi" w:cstheme="minorBidi"/>
          <w:noProof/>
          <w:sz w:val="22"/>
          <w:szCs w:val="22"/>
          <w:lang w:eastAsia="en-ZA"/>
        </w:rPr>
      </w:pPr>
      <w:hyperlink w:anchor="_Toc10545935" w:history="1">
        <w:r w:rsidR="00196C0B" w:rsidRPr="00B923B5">
          <w:rPr>
            <w:rStyle w:val="Hyperlink"/>
            <w:noProof/>
          </w:rPr>
          <w:t>3.</w:t>
        </w:r>
        <w:r w:rsidR="00196C0B">
          <w:rPr>
            <w:rFonts w:asciiTheme="minorHAnsi" w:eastAsiaTheme="minorEastAsia" w:hAnsiTheme="minorHAnsi" w:cstheme="minorBidi"/>
            <w:noProof/>
            <w:sz w:val="22"/>
            <w:szCs w:val="22"/>
            <w:lang w:eastAsia="en-ZA"/>
          </w:rPr>
          <w:tab/>
        </w:r>
        <w:r w:rsidR="00196C0B" w:rsidRPr="00B923B5">
          <w:rPr>
            <w:rStyle w:val="Hyperlink"/>
            <w:noProof/>
          </w:rPr>
          <w:t>Key indices</w:t>
        </w:r>
        <w:r w:rsidR="00196C0B">
          <w:rPr>
            <w:noProof/>
            <w:webHidden/>
          </w:rPr>
          <w:tab/>
        </w:r>
        <w:r w:rsidR="00196C0B">
          <w:rPr>
            <w:noProof/>
            <w:webHidden/>
          </w:rPr>
          <w:fldChar w:fldCharType="begin"/>
        </w:r>
        <w:r w:rsidR="00196C0B">
          <w:rPr>
            <w:noProof/>
            <w:webHidden/>
          </w:rPr>
          <w:instrText xml:space="preserve"> PAGEREF _Toc10545935 \h </w:instrText>
        </w:r>
        <w:r w:rsidR="00196C0B">
          <w:rPr>
            <w:noProof/>
            <w:webHidden/>
          </w:rPr>
        </w:r>
        <w:r w:rsidR="00196C0B">
          <w:rPr>
            <w:noProof/>
            <w:webHidden/>
          </w:rPr>
          <w:fldChar w:fldCharType="separate"/>
        </w:r>
        <w:r w:rsidR="00196C0B">
          <w:rPr>
            <w:noProof/>
            <w:webHidden/>
          </w:rPr>
          <w:t>9</w:t>
        </w:r>
        <w:r w:rsidR="00196C0B">
          <w:rPr>
            <w:noProof/>
            <w:webHidden/>
          </w:rPr>
          <w:fldChar w:fldCharType="end"/>
        </w:r>
      </w:hyperlink>
    </w:p>
    <w:p w14:paraId="1D3B9B96" w14:textId="57ED6FDF"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6" w:history="1">
        <w:r w:rsidR="00196C0B" w:rsidRPr="00B923B5">
          <w:rPr>
            <w:rStyle w:val="Hyperlink"/>
            <w:noProof/>
          </w:rPr>
          <w:t>3.1</w:t>
        </w:r>
        <w:r w:rsidR="00196C0B">
          <w:rPr>
            <w:rFonts w:asciiTheme="minorHAnsi" w:eastAsiaTheme="minorEastAsia" w:hAnsiTheme="minorHAnsi" w:cstheme="minorBidi"/>
            <w:noProof/>
            <w:sz w:val="22"/>
            <w:szCs w:val="22"/>
            <w:lang w:eastAsia="en-ZA"/>
          </w:rPr>
          <w:tab/>
        </w:r>
        <w:r w:rsidR="00196C0B" w:rsidRPr="00B923B5">
          <w:rPr>
            <w:rStyle w:val="Hyperlink"/>
            <w:noProof/>
          </w:rPr>
          <w:t>Construction confidence drops as contractors struggle</w:t>
        </w:r>
        <w:r w:rsidR="00196C0B">
          <w:rPr>
            <w:noProof/>
            <w:webHidden/>
          </w:rPr>
          <w:tab/>
        </w:r>
        <w:r w:rsidR="00196C0B">
          <w:rPr>
            <w:noProof/>
            <w:webHidden/>
          </w:rPr>
          <w:fldChar w:fldCharType="begin"/>
        </w:r>
        <w:r w:rsidR="00196C0B">
          <w:rPr>
            <w:noProof/>
            <w:webHidden/>
          </w:rPr>
          <w:instrText xml:space="preserve"> PAGEREF _Toc10545936 \h </w:instrText>
        </w:r>
        <w:r w:rsidR="00196C0B">
          <w:rPr>
            <w:noProof/>
            <w:webHidden/>
          </w:rPr>
        </w:r>
        <w:r w:rsidR="00196C0B">
          <w:rPr>
            <w:noProof/>
            <w:webHidden/>
          </w:rPr>
          <w:fldChar w:fldCharType="separate"/>
        </w:r>
        <w:r w:rsidR="00196C0B">
          <w:rPr>
            <w:noProof/>
            <w:webHidden/>
          </w:rPr>
          <w:t>9</w:t>
        </w:r>
        <w:r w:rsidR="00196C0B">
          <w:rPr>
            <w:noProof/>
            <w:webHidden/>
          </w:rPr>
          <w:fldChar w:fldCharType="end"/>
        </w:r>
      </w:hyperlink>
    </w:p>
    <w:p w14:paraId="12CC9639" w14:textId="534D2F4D"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7" w:history="1">
        <w:r w:rsidR="00196C0B" w:rsidRPr="00B923B5">
          <w:rPr>
            <w:rStyle w:val="Hyperlink"/>
            <w:noProof/>
          </w:rPr>
          <w:t>3.2</w:t>
        </w:r>
        <w:r w:rsidR="00196C0B">
          <w:rPr>
            <w:rFonts w:asciiTheme="minorHAnsi" w:eastAsiaTheme="minorEastAsia" w:hAnsiTheme="minorHAnsi" w:cstheme="minorBidi"/>
            <w:noProof/>
            <w:sz w:val="22"/>
            <w:szCs w:val="22"/>
            <w:lang w:eastAsia="en-ZA"/>
          </w:rPr>
          <w:tab/>
        </w:r>
        <w:r w:rsidR="00196C0B" w:rsidRPr="00B923B5">
          <w:rPr>
            <w:rStyle w:val="Hyperlink"/>
            <w:noProof/>
          </w:rPr>
          <w:t>Consumer confidence lower as cost-of-living increases</w:t>
        </w:r>
        <w:r w:rsidR="00196C0B">
          <w:rPr>
            <w:noProof/>
            <w:webHidden/>
          </w:rPr>
          <w:tab/>
        </w:r>
        <w:r w:rsidR="00196C0B">
          <w:rPr>
            <w:noProof/>
            <w:webHidden/>
          </w:rPr>
          <w:fldChar w:fldCharType="begin"/>
        </w:r>
        <w:r w:rsidR="00196C0B">
          <w:rPr>
            <w:noProof/>
            <w:webHidden/>
          </w:rPr>
          <w:instrText xml:space="preserve"> PAGEREF _Toc10545937 \h </w:instrText>
        </w:r>
        <w:r w:rsidR="00196C0B">
          <w:rPr>
            <w:noProof/>
            <w:webHidden/>
          </w:rPr>
        </w:r>
        <w:r w:rsidR="00196C0B">
          <w:rPr>
            <w:noProof/>
            <w:webHidden/>
          </w:rPr>
          <w:fldChar w:fldCharType="separate"/>
        </w:r>
        <w:r w:rsidR="00196C0B">
          <w:rPr>
            <w:noProof/>
            <w:webHidden/>
          </w:rPr>
          <w:t>9</w:t>
        </w:r>
        <w:r w:rsidR="00196C0B">
          <w:rPr>
            <w:noProof/>
            <w:webHidden/>
          </w:rPr>
          <w:fldChar w:fldCharType="end"/>
        </w:r>
      </w:hyperlink>
    </w:p>
    <w:p w14:paraId="4DABBC2F" w14:textId="41C0B53A"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8" w:history="1">
        <w:r w:rsidR="00196C0B" w:rsidRPr="00B923B5">
          <w:rPr>
            <w:rStyle w:val="Hyperlink"/>
            <w:noProof/>
          </w:rPr>
          <w:t>3.3</w:t>
        </w:r>
        <w:r w:rsidR="00196C0B">
          <w:rPr>
            <w:rFonts w:asciiTheme="minorHAnsi" w:eastAsiaTheme="minorEastAsia" w:hAnsiTheme="minorHAnsi" w:cstheme="minorBidi"/>
            <w:noProof/>
            <w:sz w:val="22"/>
            <w:szCs w:val="22"/>
            <w:lang w:eastAsia="en-ZA"/>
          </w:rPr>
          <w:tab/>
        </w:r>
        <w:r w:rsidR="00196C0B" w:rsidRPr="00B923B5">
          <w:rPr>
            <w:rStyle w:val="Hyperlink"/>
            <w:noProof/>
          </w:rPr>
          <w:t>Business confidence hit by local and offshore factors</w:t>
        </w:r>
        <w:r w:rsidR="00196C0B">
          <w:rPr>
            <w:noProof/>
            <w:webHidden/>
          </w:rPr>
          <w:tab/>
        </w:r>
        <w:r w:rsidR="00196C0B">
          <w:rPr>
            <w:noProof/>
            <w:webHidden/>
          </w:rPr>
          <w:fldChar w:fldCharType="begin"/>
        </w:r>
        <w:r w:rsidR="00196C0B">
          <w:rPr>
            <w:noProof/>
            <w:webHidden/>
          </w:rPr>
          <w:instrText xml:space="preserve"> PAGEREF _Toc10545938 \h </w:instrText>
        </w:r>
        <w:r w:rsidR="00196C0B">
          <w:rPr>
            <w:noProof/>
            <w:webHidden/>
          </w:rPr>
        </w:r>
        <w:r w:rsidR="00196C0B">
          <w:rPr>
            <w:noProof/>
            <w:webHidden/>
          </w:rPr>
          <w:fldChar w:fldCharType="separate"/>
        </w:r>
        <w:r w:rsidR="00196C0B">
          <w:rPr>
            <w:noProof/>
            <w:webHidden/>
          </w:rPr>
          <w:t>10</w:t>
        </w:r>
        <w:r w:rsidR="00196C0B">
          <w:rPr>
            <w:noProof/>
            <w:webHidden/>
          </w:rPr>
          <w:fldChar w:fldCharType="end"/>
        </w:r>
      </w:hyperlink>
    </w:p>
    <w:p w14:paraId="505F28BF" w14:textId="25971720"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39" w:history="1">
        <w:r w:rsidR="00196C0B" w:rsidRPr="00B923B5">
          <w:rPr>
            <w:rStyle w:val="Hyperlink"/>
            <w:noProof/>
          </w:rPr>
          <w:t>3.4</w:t>
        </w:r>
        <w:r w:rsidR="00196C0B">
          <w:rPr>
            <w:rFonts w:asciiTheme="minorHAnsi" w:eastAsiaTheme="minorEastAsia" w:hAnsiTheme="minorHAnsi" w:cstheme="minorBidi"/>
            <w:noProof/>
            <w:sz w:val="22"/>
            <w:szCs w:val="22"/>
            <w:lang w:eastAsia="en-ZA"/>
          </w:rPr>
          <w:tab/>
        </w:r>
        <w:r w:rsidR="00196C0B" w:rsidRPr="00B923B5">
          <w:rPr>
            <w:rStyle w:val="Hyperlink"/>
            <w:noProof/>
          </w:rPr>
          <w:t>Policy uncertainty increases as result of slower growth</w:t>
        </w:r>
        <w:r w:rsidR="00196C0B">
          <w:rPr>
            <w:noProof/>
            <w:webHidden/>
          </w:rPr>
          <w:tab/>
        </w:r>
        <w:r w:rsidR="00196C0B">
          <w:rPr>
            <w:noProof/>
            <w:webHidden/>
          </w:rPr>
          <w:fldChar w:fldCharType="begin"/>
        </w:r>
        <w:r w:rsidR="00196C0B">
          <w:rPr>
            <w:noProof/>
            <w:webHidden/>
          </w:rPr>
          <w:instrText xml:space="preserve"> PAGEREF _Toc10545939 \h </w:instrText>
        </w:r>
        <w:r w:rsidR="00196C0B">
          <w:rPr>
            <w:noProof/>
            <w:webHidden/>
          </w:rPr>
        </w:r>
        <w:r w:rsidR="00196C0B">
          <w:rPr>
            <w:noProof/>
            <w:webHidden/>
          </w:rPr>
          <w:fldChar w:fldCharType="separate"/>
        </w:r>
        <w:r w:rsidR="00196C0B">
          <w:rPr>
            <w:noProof/>
            <w:webHidden/>
          </w:rPr>
          <w:t>10</w:t>
        </w:r>
        <w:r w:rsidR="00196C0B">
          <w:rPr>
            <w:noProof/>
            <w:webHidden/>
          </w:rPr>
          <w:fldChar w:fldCharType="end"/>
        </w:r>
      </w:hyperlink>
    </w:p>
    <w:p w14:paraId="6DAB00C6" w14:textId="43905B44"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40" w:history="1">
        <w:r w:rsidR="00196C0B" w:rsidRPr="00B923B5">
          <w:rPr>
            <w:rStyle w:val="Hyperlink"/>
            <w:noProof/>
          </w:rPr>
          <w:t>3.5</w:t>
        </w:r>
        <w:r w:rsidR="00196C0B">
          <w:rPr>
            <w:rFonts w:asciiTheme="minorHAnsi" w:eastAsiaTheme="minorEastAsia" w:hAnsiTheme="minorHAnsi" w:cstheme="minorBidi"/>
            <w:noProof/>
            <w:sz w:val="22"/>
            <w:szCs w:val="22"/>
            <w:lang w:eastAsia="en-ZA"/>
          </w:rPr>
          <w:tab/>
        </w:r>
        <w:r w:rsidR="00196C0B" w:rsidRPr="00B923B5">
          <w:rPr>
            <w:rStyle w:val="Hyperlink"/>
            <w:noProof/>
          </w:rPr>
          <w:t>Business climate deteriorates ahead of elections</w:t>
        </w:r>
        <w:r w:rsidR="00196C0B">
          <w:rPr>
            <w:noProof/>
            <w:webHidden/>
          </w:rPr>
          <w:tab/>
        </w:r>
        <w:r w:rsidR="00196C0B">
          <w:rPr>
            <w:noProof/>
            <w:webHidden/>
          </w:rPr>
          <w:fldChar w:fldCharType="begin"/>
        </w:r>
        <w:r w:rsidR="00196C0B">
          <w:rPr>
            <w:noProof/>
            <w:webHidden/>
          </w:rPr>
          <w:instrText xml:space="preserve"> PAGEREF _Toc10545940 \h </w:instrText>
        </w:r>
        <w:r w:rsidR="00196C0B">
          <w:rPr>
            <w:noProof/>
            <w:webHidden/>
          </w:rPr>
        </w:r>
        <w:r w:rsidR="00196C0B">
          <w:rPr>
            <w:noProof/>
            <w:webHidden/>
          </w:rPr>
          <w:fldChar w:fldCharType="separate"/>
        </w:r>
        <w:r w:rsidR="00196C0B">
          <w:rPr>
            <w:noProof/>
            <w:webHidden/>
          </w:rPr>
          <w:t>11</w:t>
        </w:r>
        <w:r w:rsidR="00196C0B">
          <w:rPr>
            <w:noProof/>
            <w:webHidden/>
          </w:rPr>
          <w:fldChar w:fldCharType="end"/>
        </w:r>
      </w:hyperlink>
    </w:p>
    <w:p w14:paraId="5449A084" w14:textId="6C351A11" w:rsidR="00196C0B" w:rsidRDefault="00312330">
      <w:pPr>
        <w:pStyle w:val="TOC2"/>
        <w:tabs>
          <w:tab w:val="right" w:pos="9854"/>
        </w:tabs>
        <w:rPr>
          <w:rFonts w:asciiTheme="minorHAnsi" w:eastAsiaTheme="minorEastAsia" w:hAnsiTheme="minorHAnsi" w:cstheme="minorBidi"/>
          <w:noProof/>
          <w:sz w:val="22"/>
          <w:szCs w:val="22"/>
          <w:lang w:eastAsia="en-ZA"/>
        </w:rPr>
      </w:pPr>
      <w:hyperlink w:anchor="_Toc10545941" w:history="1">
        <w:r w:rsidR="00196C0B" w:rsidRPr="00B923B5">
          <w:rPr>
            <w:rStyle w:val="Hyperlink"/>
            <w:noProof/>
          </w:rPr>
          <w:t>3.6</w:t>
        </w:r>
        <w:r w:rsidR="00196C0B">
          <w:rPr>
            <w:rFonts w:asciiTheme="minorHAnsi" w:eastAsiaTheme="minorEastAsia" w:hAnsiTheme="minorHAnsi" w:cstheme="minorBidi"/>
            <w:noProof/>
            <w:sz w:val="22"/>
            <w:szCs w:val="22"/>
            <w:lang w:eastAsia="en-ZA"/>
          </w:rPr>
          <w:tab/>
        </w:r>
        <w:r w:rsidR="00196C0B" w:rsidRPr="00B923B5">
          <w:rPr>
            <w:rStyle w:val="Hyperlink"/>
            <w:noProof/>
          </w:rPr>
          <w:t>What is the State of the South African Economy?</w:t>
        </w:r>
        <w:r w:rsidR="00196C0B">
          <w:rPr>
            <w:noProof/>
            <w:webHidden/>
          </w:rPr>
          <w:tab/>
        </w:r>
        <w:r w:rsidR="00196C0B">
          <w:rPr>
            <w:noProof/>
            <w:webHidden/>
          </w:rPr>
          <w:fldChar w:fldCharType="begin"/>
        </w:r>
        <w:r w:rsidR="00196C0B">
          <w:rPr>
            <w:noProof/>
            <w:webHidden/>
          </w:rPr>
          <w:instrText xml:space="preserve"> PAGEREF _Toc10545941 \h </w:instrText>
        </w:r>
        <w:r w:rsidR="00196C0B">
          <w:rPr>
            <w:noProof/>
            <w:webHidden/>
          </w:rPr>
        </w:r>
        <w:r w:rsidR="00196C0B">
          <w:rPr>
            <w:noProof/>
            <w:webHidden/>
          </w:rPr>
          <w:fldChar w:fldCharType="separate"/>
        </w:r>
        <w:r w:rsidR="00196C0B">
          <w:rPr>
            <w:noProof/>
            <w:webHidden/>
          </w:rPr>
          <w:t>11</w:t>
        </w:r>
        <w:r w:rsidR="00196C0B">
          <w:rPr>
            <w:noProof/>
            <w:webHidden/>
          </w:rPr>
          <w:fldChar w:fldCharType="end"/>
        </w:r>
      </w:hyperlink>
    </w:p>
    <w:p w14:paraId="279FDA12" w14:textId="456DFCC8" w:rsidR="00196C0B" w:rsidRDefault="00312330">
      <w:pPr>
        <w:pStyle w:val="TOC1"/>
        <w:rPr>
          <w:rFonts w:asciiTheme="minorHAnsi" w:eastAsiaTheme="minorEastAsia" w:hAnsiTheme="minorHAnsi" w:cstheme="minorBidi"/>
          <w:noProof/>
          <w:sz w:val="22"/>
          <w:szCs w:val="22"/>
          <w:lang w:eastAsia="en-ZA"/>
        </w:rPr>
      </w:pPr>
      <w:hyperlink w:anchor="_Toc10545942" w:history="1">
        <w:r w:rsidR="00196C0B" w:rsidRPr="00B923B5">
          <w:rPr>
            <w:rStyle w:val="Hyperlink"/>
            <w:noProof/>
          </w:rPr>
          <w:t>4.</w:t>
        </w:r>
        <w:r w:rsidR="00196C0B">
          <w:rPr>
            <w:rFonts w:asciiTheme="minorHAnsi" w:eastAsiaTheme="minorEastAsia" w:hAnsiTheme="minorHAnsi" w:cstheme="minorBidi"/>
            <w:noProof/>
            <w:sz w:val="22"/>
            <w:szCs w:val="22"/>
            <w:lang w:eastAsia="en-ZA"/>
          </w:rPr>
          <w:tab/>
        </w:r>
        <w:r w:rsidR="00196C0B" w:rsidRPr="00B923B5">
          <w:rPr>
            <w:rStyle w:val="Hyperlink"/>
            <w:noProof/>
          </w:rPr>
          <w:t>What happened to the economic stimulus?</w:t>
        </w:r>
        <w:r w:rsidR="00196C0B">
          <w:rPr>
            <w:noProof/>
            <w:webHidden/>
          </w:rPr>
          <w:tab/>
        </w:r>
        <w:r w:rsidR="00196C0B">
          <w:rPr>
            <w:noProof/>
            <w:webHidden/>
          </w:rPr>
          <w:fldChar w:fldCharType="begin"/>
        </w:r>
        <w:r w:rsidR="00196C0B">
          <w:rPr>
            <w:noProof/>
            <w:webHidden/>
          </w:rPr>
          <w:instrText xml:space="preserve"> PAGEREF _Toc10545942 \h </w:instrText>
        </w:r>
        <w:r w:rsidR="00196C0B">
          <w:rPr>
            <w:noProof/>
            <w:webHidden/>
          </w:rPr>
        </w:r>
        <w:r w:rsidR="00196C0B">
          <w:rPr>
            <w:noProof/>
            <w:webHidden/>
          </w:rPr>
          <w:fldChar w:fldCharType="separate"/>
        </w:r>
        <w:r w:rsidR="00196C0B">
          <w:rPr>
            <w:noProof/>
            <w:webHidden/>
          </w:rPr>
          <w:t>12</w:t>
        </w:r>
        <w:r w:rsidR="00196C0B">
          <w:rPr>
            <w:noProof/>
            <w:webHidden/>
          </w:rPr>
          <w:fldChar w:fldCharType="end"/>
        </w:r>
      </w:hyperlink>
    </w:p>
    <w:p w14:paraId="3A7DB084" w14:textId="2CE94C92" w:rsidR="00196C0B" w:rsidRDefault="00312330">
      <w:pPr>
        <w:pStyle w:val="TOC1"/>
        <w:rPr>
          <w:rFonts w:asciiTheme="minorHAnsi" w:eastAsiaTheme="minorEastAsia" w:hAnsiTheme="minorHAnsi" w:cstheme="minorBidi"/>
          <w:noProof/>
          <w:sz w:val="22"/>
          <w:szCs w:val="22"/>
          <w:lang w:eastAsia="en-ZA"/>
        </w:rPr>
      </w:pPr>
      <w:hyperlink w:anchor="_Toc10545943" w:history="1">
        <w:r w:rsidR="00196C0B" w:rsidRPr="00B923B5">
          <w:rPr>
            <w:rStyle w:val="Hyperlink"/>
            <w:noProof/>
          </w:rPr>
          <w:t>5.</w:t>
        </w:r>
        <w:r w:rsidR="00196C0B">
          <w:rPr>
            <w:rFonts w:asciiTheme="minorHAnsi" w:eastAsiaTheme="minorEastAsia" w:hAnsiTheme="minorHAnsi" w:cstheme="minorBidi"/>
            <w:noProof/>
            <w:sz w:val="22"/>
            <w:szCs w:val="22"/>
            <w:lang w:eastAsia="en-ZA"/>
          </w:rPr>
          <w:tab/>
        </w:r>
        <w:r w:rsidR="00196C0B" w:rsidRPr="00B923B5">
          <w:rPr>
            <w:rStyle w:val="Hyperlink"/>
            <w:noProof/>
          </w:rPr>
          <w:t>Conclusion</w:t>
        </w:r>
        <w:r w:rsidR="00196C0B">
          <w:rPr>
            <w:noProof/>
            <w:webHidden/>
          </w:rPr>
          <w:tab/>
        </w:r>
        <w:r w:rsidR="00196C0B">
          <w:rPr>
            <w:noProof/>
            <w:webHidden/>
          </w:rPr>
          <w:fldChar w:fldCharType="begin"/>
        </w:r>
        <w:r w:rsidR="00196C0B">
          <w:rPr>
            <w:noProof/>
            <w:webHidden/>
          </w:rPr>
          <w:instrText xml:space="preserve"> PAGEREF _Toc10545943 \h </w:instrText>
        </w:r>
        <w:r w:rsidR="00196C0B">
          <w:rPr>
            <w:noProof/>
            <w:webHidden/>
          </w:rPr>
        </w:r>
        <w:r w:rsidR="00196C0B">
          <w:rPr>
            <w:noProof/>
            <w:webHidden/>
          </w:rPr>
          <w:fldChar w:fldCharType="separate"/>
        </w:r>
        <w:r w:rsidR="00196C0B">
          <w:rPr>
            <w:noProof/>
            <w:webHidden/>
          </w:rPr>
          <w:t>14</w:t>
        </w:r>
        <w:r w:rsidR="00196C0B">
          <w:rPr>
            <w:noProof/>
            <w:webHidden/>
          </w:rPr>
          <w:fldChar w:fldCharType="end"/>
        </w:r>
      </w:hyperlink>
    </w:p>
    <w:p w14:paraId="02E998D7" w14:textId="59AD6968" w:rsidR="00196C0B" w:rsidRDefault="00312330">
      <w:pPr>
        <w:pStyle w:val="TOC1"/>
        <w:rPr>
          <w:rFonts w:asciiTheme="minorHAnsi" w:eastAsiaTheme="minorEastAsia" w:hAnsiTheme="minorHAnsi" w:cstheme="minorBidi"/>
          <w:noProof/>
          <w:sz w:val="22"/>
          <w:szCs w:val="22"/>
          <w:lang w:eastAsia="en-ZA"/>
        </w:rPr>
      </w:pPr>
      <w:hyperlink w:anchor="_Toc10545944" w:history="1">
        <w:r w:rsidR="00196C0B" w:rsidRPr="00B923B5">
          <w:rPr>
            <w:rStyle w:val="Hyperlink"/>
            <w:noProof/>
          </w:rPr>
          <w:t>6.</w:t>
        </w:r>
        <w:r w:rsidR="00196C0B">
          <w:rPr>
            <w:rFonts w:asciiTheme="minorHAnsi" w:eastAsiaTheme="minorEastAsia" w:hAnsiTheme="minorHAnsi" w:cstheme="minorBidi"/>
            <w:noProof/>
            <w:sz w:val="22"/>
            <w:szCs w:val="22"/>
            <w:lang w:eastAsia="en-ZA"/>
          </w:rPr>
          <w:tab/>
        </w:r>
        <w:r w:rsidR="00196C0B" w:rsidRPr="00B923B5">
          <w:rPr>
            <w:rStyle w:val="Hyperlink"/>
            <w:noProof/>
          </w:rPr>
          <w:t>Contacts</w:t>
        </w:r>
        <w:r w:rsidR="00196C0B">
          <w:rPr>
            <w:noProof/>
            <w:webHidden/>
          </w:rPr>
          <w:tab/>
        </w:r>
        <w:r w:rsidR="00196C0B">
          <w:rPr>
            <w:noProof/>
            <w:webHidden/>
          </w:rPr>
          <w:fldChar w:fldCharType="begin"/>
        </w:r>
        <w:r w:rsidR="00196C0B">
          <w:rPr>
            <w:noProof/>
            <w:webHidden/>
          </w:rPr>
          <w:instrText xml:space="preserve"> PAGEREF _Toc10545944 \h </w:instrText>
        </w:r>
        <w:r w:rsidR="00196C0B">
          <w:rPr>
            <w:noProof/>
            <w:webHidden/>
          </w:rPr>
        </w:r>
        <w:r w:rsidR="00196C0B">
          <w:rPr>
            <w:noProof/>
            <w:webHidden/>
          </w:rPr>
          <w:fldChar w:fldCharType="separate"/>
        </w:r>
        <w:r w:rsidR="00196C0B">
          <w:rPr>
            <w:noProof/>
            <w:webHidden/>
          </w:rPr>
          <w:t>15</w:t>
        </w:r>
        <w:r w:rsidR="00196C0B">
          <w:rPr>
            <w:noProof/>
            <w:webHidden/>
          </w:rPr>
          <w:fldChar w:fldCharType="end"/>
        </w:r>
      </w:hyperlink>
    </w:p>
    <w:p w14:paraId="19B48DFA" w14:textId="228B656E" w:rsidR="004631E0" w:rsidRPr="007F0A75" w:rsidRDefault="004631E0" w:rsidP="004631E0">
      <w:r w:rsidRPr="007F0A75">
        <w:fldChar w:fldCharType="end"/>
      </w:r>
    </w:p>
    <w:p w14:paraId="435C3F05" w14:textId="630F655A" w:rsidR="00CF3D3C" w:rsidRPr="007F0A75" w:rsidRDefault="004631E0" w:rsidP="004631E0">
      <w:pPr>
        <w:keepNext/>
        <w:keepLines/>
        <w:spacing w:after="480" w:line="600" w:lineRule="atLeast"/>
        <w:rPr>
          <w:rFonts w:eastAsia="Times New Roman"/>
          <w:b/>
          <w:bCs/>
          <w:i/>
          <w:sz w:val="56"/>
          <w:szCs w:val="28"/>
        </w:rPr>
      </w:pPr>
      <w:r w:rsidRPr="007F0A75">
        <w:br w:type="page"/>
      </w:r>
    </w:p>
    <w:p w14:paraId="5B45FC0F" w14:textId="1D02EF1E" w:rsidR="00A4648A" w:rsidRPr="00A4648A" w:rsidRDefault="005D6E23" w:rsidP="00A4648A">
      <w:pPr>
        <w:pStyle w:val="Heading1"/>
        <w:ind w:left="567" w:hanging="567"/>
      </w:pPr>
      <w:bookmarkStart w:id="2" w:name="_Toc10545924"/>
      <w:r w:rsidRPr="007F0A75">
        <w:rPr>
          <w:noProof/>
          <w:lang w:val="en-US"/>
        </w:rPr>
        <w:lastRenderedPageBreak/>
        <w:drawing>
          <wp:anchor distT="0" distB="0" distL="114300" distR="114300" simplePos="0" relativeHeight="251701248" behindDoc="1" locked="0" layoutInCell="1" allowOverlap="1" wp14:anchorId="221CC094" wp14:editId="12028091">
            <wp:simplePos x="0" y="0"/>
            <wp:positionH relativeFrom="page">
              <wp:align>right</wp:align>
            </wp:positionH>
            <wp:positionV relativeFrom="paragraph">
              <wp:posOffset>9846310</wp:posOffset>
            </wp:positionV>
            <wp:extent cx="16157864" cy="1077190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_Client WIP\2018\Multichoice Africa-EIA\Pictures\PWC 3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157864" cy="1077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8A" w:rsidRPr="00A4648A">
        <w:t xml:space="preserve">State of the South African </w:t>
      </w:r>
      <w:r w:rsidR="00CE05FE">
        <w:t>E</w:t>
      </w:r>
      <w:r w:rsidR="00A4648A" w:rsidRPr="00A4648A">
        <w:t>conomy</w:t>
      </w:r>
      <w:bookmarkEnd w:id="2"/>
      <w:r w:rsidR="00A4648A" w:rsidRPr="00A4648A">
        <w:t xml:space="preserve"> </w:t>
      </w:r>
    </w:p>
    <w:p w14:paraId="3ECA030E" w14:textId="77777777" w:rsidR="00196C0B" w:rsidRDefault="00196C0B" w:rsidP="00B41CE1">
      <w:pPr>
        <w:rPr>
          <w:lang w:val="en-US"/>
        </w:rPr>
      </w:pPr>
    </w:p>
    <w:p w14:paraId="46CA4F94" w14:textId="36A865F2" w:rsidR="00196C0B" w:rsidRPr="00196C0B" w:rsidRDefault="00196C0B" w:rsidP="00B41CE1">
      <w:pPr>
        <w:rPr>
          <w:b/>
          <w:lang w:val="en-US"/>
        </w:rPr>
      </w:pPr>
      <w:r w:rsidRPr="00196C0B">
        <w:rPr>
          <w:b/>
          <w:lang w:val="en-US"/>
        </w:rPr>
        <w:t>Figure 1: Breakdown of South African GDP</w:t>
      </w:r>
    </w:p>
    <w:p w14:paraId="651E0ACD" w14:textId="755BC41C" w:rsidR="00196C0B" w:rsidRDefault="00196C0B" w:rsidP="00B41CE1">
      <w:pPr>
        <w:rPr>
          <w:lang w:val="en-US"/>
        </w:rPr>
      </w:pPr>
      <w:r w:rsidRPr="00196C0B">
        <w:rPr>
          <w:b/>
          <w:noProof/>
          <w:lang w:val="en-US"/>
        </w:rPr>
        <w:drawing>
          <wp:anchor distT="0" distB="0" distL="114300" distR="114300" simplePos="0" relativeHeight="251960320" behindDoc="0" locked="0" layoutInCell="1" allowOverlap="1" wp14:anchorId="1319D6EB" wp14:editId="4EA4FD0A">
            <wp:simplePos x="0" y="0"/>
            <wp:positionH relativeFrom="margin">
              <wp:align>left</wp:align>
            </wp:positionH>
            <wp:positionV relativeFrom="paragraph">
              <wp:posOffset>6350</wp:posOffset>
            </wp:positionV>
            <wp:extent cx="3756660" cy="360235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B1264D" w:rsidRPr="00B1264D">
        <w:rPr>
          <w:lang w:val="en-US"/>
        </w:rPr>
        <w:t>Statistics South Africa (StatsSA) reported on June 4 that the South African economy contracted by 3.2% quarter-on-quarter (q-o-q) during the first quarter of 2019 – the biggest decline in 10- years.</w:t>
      </w:r>
      <w:r w:rsidR="00B41CE1">
        <w:rPr>
          <w:lang w:val="en-US"/>
        </w:rPr>
        <w:t xml:space="preserve"> </w:t>
      </w:r>
      <w:r w:rsidR="00B41CE1" w:rsidRPr="00B41CE1">
        <w:rPr>
          <w:lang w:val="en-US"/>
        </w:rPr>
        <w:t>Due to the q-o-q contraction</w:t>
      </w:r>
      <w:r w:rsidR="00B41CE1">
        <w:rPr>
          <w:lang w:val="en-US"/>
        </w:rPr>
        <w:t xml:space="preserve">, </w:t>
      </w:r>
      <w:r w:rsidR="00B41CE1" w:rsidRPr="00B41CE1">
        <w:rPr>
          <w:lang w:val="en-US"/>
        </w:rPr>
        <w:t>the South African economy was no larger during the period than it was a year earlier: annual growth dropped from 1.1% y-o-y in 2018Q4 to 0.0% y-o-y in 2019Q1.</w:t>
      </w:r>
      <w:r>
        <w:rPr>
          <w:rStyle w:val="EndnoteReference"/>
          <w:lang w:val="en-US"/>
        </w:rPr>
        <w:endnoteReference w:id="1"/>
      </w:r>
    </w:p>
    <w:p w14:paraId="082BC3D5" w14:textId="5E0E61BC" w:rsidR="00196C0B" w:rsidRDefault="00196C0B" w:rsidP="00A4648A">
      <w:pPr>
        <w:rPr>
          <w:lang w:val="en-US"/>
        </w:rPr>
      </w:pPr>
      <w:r>
        <w:rPr>
          <w:lang w:val="en-US"/>
        </w:rPr>
        <w:t xml:space="preserve">Why was the GDP so disappointing? There are many sectors in the South African economy running very slowly, instead of finding traction under the Ramaphosa administration. The following subsections consider recent q-o-q and y-o-y growth data for industries covering around 70% of the South African economy. This information gives a perspective on the state of the South African economy alongside the GDP numbers, and will provide some context for the disappointing data release. </w:t>
      </w:r>
    </w:p>
    <w:p w14:paraId="1204739C" w14:textId="6B6FC03B" w:rsidR="00196C0B" w:rsidRDefault="00196C0B" w:rsidP="00A4648A">
      <w:pPr>
        <w:rPr>
          <w:lang w:val="en-US"/>
        </w:rPr>
      </w:pPr>
      <w:r>
        <w:rPr>
          <w:lang w:val="en-US"/>
        </w:rPr>
        <w:t>The document ends with a view on progress (or the lack thereof) made under President Cyril Ramaphosa’s ‘economic stimulus and recovery plan’. The weak GDP data and lackluster performance of the recovery plan should be front-of-mind for President Ramaphosa when he delivers his third State of the Nation Address (SONA) on June 20</w:t>
      </w:r>
      <w:r w:rsidRPr="00B41CE1">
        <w:rPr>
          <w:vertAlign w:val="superscript"/>
          <w:lang w:val="en-US"/>
        </w:rPr>
        <w:t>th</w:t>
      </w:r>
      <w:r>
        <w:rPr>
          <w:lang w:val="en-US"/>
        </w:rPr>
        <w:t>.</w:t>
      </w:r>
      <w:r>
        <w:rPr>
          <w:rStyle w:val="EndnoteReference"/>
          <w:lang w:val="en-US"/>
        </w:rPr>
        <w:endnoteReference w:id="2"/>
      </w:r>
    </w:p>
    <w:p w14:paraId="4FD3E81C" w14:textId="01BF8BC0" w:rsidR="00A4648A" w:rsidRDefault="00A4648A" w:rsidP="00A4648A">
      <w:pPr>
        <w:rPr>
          <w:lang w:val="en-US"/>
        </w:rPr>
      </w:pPr>
    </w:p>
    <w:p w14:paraId="2C60EC3D" w14:textId="4B0635D0" w:rsidR="00452199" w:rsidRDefault="00452199" w:rsidP="00A4648A">
      <w:pPr>
        <w:rPr>
          <w:lang w:val="en-US"/>
        </w:rPr>
      </w:pPr>
    </w:p>
    <w:p w14:paraId="484B3B03" w14:textId="124E7A70" w:rsidR="00452199" w:rsidRDefault="00452199" w:rsidP="00A4648A">
      <w:pPr>
        <w:rPr>
          <w:lang w:val="en-US"/>
        </w:rPr>
      </w:pPr>
    </w:p>
    <w:p w14:paraId="67BBD235" w14:textId="26D81E3B" w:rsidR="00452199" w:rsidRDefault="00452199" w:rsidP="00A4648A">
      <w:pPr>
        <w:rPr>
          <w:lang w:val="en-US"/>
        </w:rPr>
      </w:pPr>
    </w:p>
    <w:p w14:paraId="4C0C7674" w14:textId="38A8C2C2" w:rsidR="00452199" w:rsidRDefault="00452199" w:rsidP="00A4648A">
      <w:pPr>
        <w:rPr>
          <w:lang w:val="en-US"/>
        </w:rPr>
      </w:pPr>
    </w:p>
    <w:p w14:paraId="3D44560F" w14:textId="3E4E0BBE" w:rsidR="00452199" w:rsidRDefault="00452199" w:rsidP="00A4648A">
      <w:pPr>
        <w:rPr>
          <w:lang w:val="en-US"/>
        </w:rPr>
      </w:pPr>
    </w:p>
    <w:p w14:paraId="53254F50" w14:textId="3CFCEC48" w:rsidR="00452199" w:rsidRDefault="00452199" w:rsidP="00A4648A">
      <w:pPr>
        <w:rPr>
          <w:lang w:val="en-US"/>
        </w:rPr>
      </w:pPr>
    </w:p>
    <w:p w14:paraId="4E015C40" w14:textId="0419CBAA" w:rsidR="00452199" w:rsidRDefault="00452199" w:rsidP="00A4648A">
      <w:pPr>
        <w:rPr>
          <w:lang w:val="en-US"/>
        </w:rPr>
      </w:pPr>
    </w:p>
    <w:p w14:paraId="41DB2A16" w14:textId="62520B81" w:rsidR="00CF5AE7" w:rsidRPr="00C01603" w:rsidRDefault="00C4312E" w:rsidP="00C01603">
      <w:pPr>
        <w:pStyle w:val="Heading1"/>
        <w:ind w:left="567" w:hanging="567"/>
      </w:pPr>
      <w:bookmarkStart w:id="3" w:name="_Toc10545925"/>
      <w:r>
        <w:lastRenderedPageBreak/>
        <w:t>Key economic data</w:t>
      </w:r>
      <w:bookmarkEnd w:id="3"/>
    </w:p>
    <w:p w14:paraId="23C9B1F0" w14:textId="42AC4F02" w:rsidR="00CF5AE7" w:rsidRDefault="00C82684" w:rsidP="00A4648A">
      <w:pPr>
        <w:rPr>
          <w:lang w:val="en-US"/>
        </w:rPr>
      </w:pPr>
      <w:r>
        <w:rPr>
          <w:lang w:val="en-US"/>
        </w:rPr>
        <w:t>The following subsections consider key economic data required to better understand the GDP outcome. These include retail and wholesale sales, manufacturing and mining production, electricity distribution, passenger vehicle sales, private sector credit, economic transactions and freight transport.</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700042" w14:paraId="02093A94" w14:textId="77777777" w:rsidTr="00452199">
        <w:trPr>
          <w:trHeight w:val="1101"/>
        </w:trPr>
        <w:tc>
          <w:tcPr>
            <w:tcW w:w="8782" w:type="dxa"/>
            <w:vAlign w:val="bottom"/>
          </w:tcPr>
          <w:p w14:paraId="377C761E" w14:textId="35E6A3AB" w:rsidR="00700042" w:rsidRPr="00CF5AE7" w:rsidRDefault="00700042" w:rsidP="00CF5AE7">
            <w:pPr>
              <w:pStyle w:val="Heading2"/>
              <w:outlineLvl w:val="1"/>
            </w:pPr>
            <w:bookmarkStart w:id="4" w:name="_Toc10545926"/>
            <w:r w:rsidRPr="00CF5AE7">
              <w:t>Retail sales curbed due to subdued consumer demand</w:t>
            </w:r>
            <w:bookmarkEnd w:id="4"/>
          </w:p>
        </w:tc>
        <w:tc>
          <w:tcPr>
            <w:tcW w:w="1278" w:type="dxa"/>
            <w:vAlign w:val="bottom"/>
          </w:tcPr>
          <w:p w14:paraId="3CCC3B3C" w14:textId="4857F71D" w:rsidR="00700042" w:rsidRDefault="00700042" w:rsidP="00700042">
            <w:pPr>
              <w:jc w:val="center"/>
              <w:rPr>
                <w:lang w:val="en-US"/>
              </w:rPr>
            </w:pPr>
            <w:r w:rsidRPr="00700042">
              <w:rPr>
                <w:noProof/>
                <w:lang w:val="en-US"/>
              </w:rPr>
              <w:drawing>
                <wp:inline distT="0" distB="0" distL="0" distR="0" wp14:anchorId="4075E121" wp14:editId="1813BD75">
                  <wp:extent cx="674370" cy="6680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 cy="668020"/>
                          </a:xfrm>
                          <a:prstGeom prst="rect">
                            <a:avLst/>
                          </a:prstGeom>
                          <a:noFill/>
                          <a:ln>
                            <a:noFill/>
                          </a:ln>
                        </pic:spPr>
                      </pic:pic>
                    </a:graphicData>
                  </a:graphic>
                </wp:inline>
              </w:drawing>
            </w:r>
          </w:p>
        </w:tc>
      </w:tr>
    </w:tbl>
    <w:p w14:paraId="696966A3" w14:textId="77777777" w:rsidR="00700042" w:rsidRPr="00700042" w:rsidRDefault="00700042" w:rsidP="00A4648A">
      <w:pPr>
        <w:jc w:val="both"/>
        <w:rPr>
          <w:sz w:val="2"/>
          <w:szCs w:val="2"/>
          <w:lang w:val="en-US"/>
        </w:rPr>
      </w:pPr>
    </w:p>
    <w:p w14:paraId="30E63ACC" w14:textId="7334A26E" w:rsidR="00A4648A" w:rsidRDefault="00700042" w:rsidP="00B567DA">
      <w:pPr>
        <w:rPr>
          <w:lang w:val="en-US"/>
        </w:rPr>
      </w:pPr>
      <w:r w:rsidRPr="00700042">
        <w:rPr>
          <w:noProof/>
          <w:lang w:val="en-US"/>
        </w:rPr>
        <w:drawing>
          <wp:anchor distT="0" distB="0" distL="114300" distR="114300" simplePos="0" relativeHeight="251944960" behindDoc="0" locked="0" layoutInCell="1" allowOverlap="1" wp14:anchorId="591CA2B5" wp14:editId="64129917">
            <wp:simplePos x="0" y="0"/>
            <wp:positionH relativeFrom="column">
              <wp:posOffset>2296</wp:posOffset>
            </wp:positionH>
            <wp:positionV relativeFrom="paragraph">
              <wp:posOffset>-2198</wp:posOffset>
            </wp:positionV>
            <wp:extent cx="2995295" cy="226822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29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South African real </w:t>
      </w:r>
      <w:r w:rsidR="00A51B45">
        <w:rPr>
          <w:lang w:val="en-US"/>
        </w:rPr>
        <w:t xml:space="preserve">(i.e. inflation adjusted) </w:t>
      </w:r>
      <w:r w:rsidR="00A4648A">
        <w:rPr>
          <w:lang w:val="en-US"/>
        </w:rPr>
        <w:t xml:space="preserve">retail sales increased by just </w:t>
      </w:r>
      <w:r w:rsidR="00A4648A" w:rsidRPr="00D31BD3">
        <w:rPr>
          <w:lang w:val="en-US"/>
        </w:rPr>
        <w:t xml:space="preserve">0.2% </w:t>
      </w:r>
      <w:r w:rsidR="00A4648A">
        <w:rPr>
          <w:lang w:val="en-US"/>
        </w:rPr>
        <w:t xml:space="preserve">y-o-y </w:t>
      </w:r>
      <w:r w:rsidR="00A4648A" w:rsidRPr="00D31BD3">
        <w:rPr>
          <w:lang w:val="en-US"/>
        </w:rPr>
        <w:t xml:space="preserve">in March after rising by 1.4% </w:t>
      </w:r>
      <w:r w:rsidR="00A4648A">
        <w:rPr>
          <w:lang w:val="en-US"/>
        </w:rPr>
        <w:t xml:space="preserve">y-o-y </w:t>
      </w:r>
      <w:r w:rsidR="00A4648A" w:rsidRPr="00D31BD3">
        <w:rPr>
          <w:lang w:val="en-US"/>
        </w:rPr>
        <w:t>in February</w:t>
      </w:r>
      <w:r w:rsidR="00A4648A">
        <w:rPr>
          <w:lang w:val="en-US"/>
        </w:rPr>
        <w:t>, with an average increase of 1% y-o-y during Q1 of 2019.</w:t>
      </w:r>
      <w:r w:rsidR="00A4648A">
        <w:rPr>
          <w:rStyle w:val="EndnoteReference"/>
          <w:lang w:val="en-US"/>
        </w:rPr>
        <w:endnoteReference w:id="3"/>
      </w:r>
      <w:r w:rsidR="00A4648A">
        <w:rPr>
          <w:lang w:val="en-US"/>
        </w:rPr>
        <w:t xml:space="preserve"> On a quarter-to-quarter basis, a deterioration from 0.8% q-o-q growth to a 0.7% q-o-q contraction was seen.</w:t>
      </w:r>
      <w:r w:rsidR="00A4648A">
        <w:rPr>
          <w:rStyle w:val="EndnoteReference"/>
          <w:lang w:val="en-US"/>
        </w:rPr>
        <w:endnoteReference w:id="4"/>
      </w:r>
      <w:r w:rsidR="00A4648A">
        <w:rPr>
          <w:lang w:val="en-US"/>
        </w:rPr>
        <w:t xml:space="preserve"> </w:t>
      </w:r>
    </w:p>
    <w:p w14:paraId="0B6A666D" w14:textId="77777777" w:rsidR="00A4648A" w:rsidRDefault="00A4648A" w:rsidP="00B567DA">
      <w:pPr>
        <w:rPr>
          <w:lang w:val="en-US"/>
        </w:rPr>
      </w:pPr>
      <w:r w:rsidRPr="001F05C0">
        <w:rPr>
          <w:lang w:val="en-US"/>
        </w:rPr>
        <w:t xml:space="preserve">The </w:t>
      </w:r>
      <w:r>
        <w:rPr>
          <w:lang w:val="en-US"/>
        </w:rPr>
        <w:t xml:space="preserve">main </w:t>
      </w:r>
      <w:r w:rsidRPr="001F05C0">
        <w:rPr>
          <w:lang w:val="en-US"/>
        </w:rPr>
        <w:t xml:space="preserve">reason for the </w:t>
      </w:r>
      <w:r>
        <w:rPr>
          <w:lang w:val="en-US"/>
        </w:rPr>
        <w:t>weakening in r</w:t>
      </w:r>
      <w:r w:rsidRPr="001F05C0">
        <w:rPr>
          <w:lang w:val="en-US"/>
        </w:rPr>
        <w:t xml:space="preserve">etail sales </w:t>
      </w:r>
      <w:r>
        <w:rPr>
          <w:lang w:val="en-US"/>
        </w:rPr>
        <w:t xml:space="preserve">momentum </w:t>
      </w:r>
      <w:r w:rsidRPr="001F05C0">
        <w:rPr>
          <w:lang w:val="en-US"/>
        </w:rPr>
        <w:t xml:space="preserve">was </w:t>
      </w:r>
      <w:r>
        <w:rPr>
          <w:lang w:val="en-US"/>
        </w:rPr>
        <w:t>the</w:t>
      </w:r>
      <w:r w:rsidRPr="001F05C0">
        <w:rPr>
          <w:lang w:val="en-US"/>
        </w:rPr>
        <w:t xml:space="preserve"> extensive periods of loadshedding which resulted in a loss of </w:t>
      </w:r>
      <w:r>
        <w:rPr>
          <w:lang w:val="en-US"/>
        </w:rPr>
        <w:t xml:space="preserve">shop </w:t>
      </w:r>
      <w:r w:rsidRPr="001F05C0">
        <w:rPr>
          <w:lang w:val="en-US"/>
        </w:rPr>
        <w:t xml:space="preserve">tradeable hours. This </w:t>
      </w:r>
      <w:r>
        <w:rPr>
          <w:lang w:val="en-US"/>
        </w:rPr>
        <w:t xml:space="preserve">compounded </w:t>
      </w:r>
      <w:r w:rsidRPr="001F05C0">
        <w:rPr>
          <w:lang w:val="en-US"/>
        </w:rPr>
        <w:t xml:space="preserve">subdued consumer demand </w:t>
      </w:r>
      <w:r>
        <w:rPr>
          <w:lang w:val="en-US"/>
        </w:rPr>
        <w:t xml:space="preserve">that was already </w:t>
      </w:r>
      <w:r w:rsidRPr="001F05C0">
        <w:rPr>
          <w:lang w:val="en-US"/>
        </w:rPr>
        <w:t>undermined by weak economic</w:t>
      </w:r>
      <w:r>
        <w:rPr>
          <w:lang w:val="en-US"/>
        </w:rPr>
        <w:t xml:space="preserve"> growth.</w:t>
      </w:r>
      <w:r>
        <w:rPr>
          <w:rStyle w:val="EndnoteReference"/>
          <w:lang w:val="en-US"/>
        </w:rPr>
        <w:endnoteReference w:id="5"/>
      </w:r>
    </w:p>
    <w:p w14:paraId="0BE80D90" w14:textId="01EA8EF2" w:rsidR="00A4648A" w:rsidRDefault="00A4648A" w:rsidP="00A4648A">
      <w:pPr>
        <w:jc w:val="both"/>
        <w:rPr>
          <w:lang w:val="en-US"/>
        </w:rPr>
      </w:pPr>
    </w:p>
    <w:p w14:paraId="1E7A8C75" w14:textId="13CF4668" w:rsidR="00A4648A" w:rsidRDefault="00A4648A" w:rsidP="00A4648A">
      <w:pPr>
        <w:jc w:val="both"/>
        <w:rPr>
          <w:lang w:val="en-US"/>
        </w:rPr>
      </w:pPr>
    </w:p>
    <w:p w14:paraId="11CCB40A" w14:textId="415CF526" w:rsidR="00700042" w:rsidRDefault="00700042"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700042" w14:paraId="0ABF625E" w14:textId="77777777" w:rsidTr="00700042">
        <w:trPr>
          <w:trHeight w:val="1101"/>
        </w:trPr>
        <w:tc>
          <w:tcPr>
            <w:tcW w:w="8782" w:type="dxa"/>
            <w:vAlign w:val="bottom"/>
          </w:tcPr>
          <w:p w14:paraId="2B8D4F0B" w14:textId="0475DB05" w:rsidR="00700042" w:rsidRPr="00700042" w:rsidRDefault="00C82684" w:rsidP="00CF5AE7">
            <w:pPr>
              <w:pStyle w:val="Heading2"/>
              <w:outlineLvl w:val="1"/>
            </w:pPr>
            <w:bookmarkStart w:id="5" w:name="_Toc10545927"/>
            <w:r>
              <w:t>W</w:t>
            </w:r>
            <w:r w:rsidR="00CF5AE7" w:rsidRPr="00A4648A">
              <w:t>holesale trade tracks weaker retail conditions</w:t>
            </w:r>
            <w:bookmarkEnd w:id="5"/>
            <w:r w:rsidR="00CF5AE7">
              <w:t xml:space="preserve"> </w:t>
            </w:r>
          </w:p>
        </w:tc>
        <w:tc>
          <w:tcPr>
            <w:tcW w:w="1278" w:type="dxa"/>
            <w:vAlign w:val="bottom"/>
          </w:tcPr>
          <w:p w14:paraId="671E26B2" w14:textId="4BB9097C" w:rsidR="00700042" w:rsidRDefault="00CF5AE7" w:rsidP="00C4312E">
            <w:pPr>
              <w:jc w:val="center"/>
              <w:rPr>
                <w:lang w:val="en-US"/>
              </w:rPr>
            </w:pPr>
            <w:r w:rsidRPr="00CF5AE7">
              <w:rPr>
                <w:noProof/>
                <w:lang w:val="en-US"/>
              </w:rPr>
              <w:drawing>
                <wp:inline distT="0" distB="0" distL="0" distR="0" wp14:anchorId="0ABFA266" wp14:editId="5141286F">
                  <wp:extent cx="669290" cy="6692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6B2D729C" w14:textId="77777777" w:rsidR="00700042" w:rsidRPr="00700042" w:rsidRDefault="00700042" w:rsidP="00700042">
      <w:pPr>
        <w:jc w:val="both"/>
        <w:rPr>
          <w:sz w:val="2"/>
          <w:szCs w:val="2"/>
          <w:lang w:val="en-US"/>
        </w:rPr>
      </w:pPr>
    </w:p>
    <w:p w14:paraId="695629AD" w14:textId="1B1963CC" w:rsidR="00A4648A" w:rsidRPr="00452199" w:rsidRDefault="00CF5AE7" w:rsidP="00B567DA">
      <w:pPr>
        <w:rPr>
          <w:lang w:val="en-US"/>
        </w:rPr>
      </w:pPr>
      <w:r w:rsidRPr="00CF5AE7">
        <w:rPr>
          <w:noProof/>
          <w:lang w:val="en-US"/>
        </w:rPr>
        <w:drawing>
          <wp:anchor distT="0" distB="0" distL="114300" distR="114300" simplePos="0" relativeHeight="251945984" behindDoc="0" locked="0" layoutInCell="1" allowOverlap="1" wp14:anchorId="3E674AF2" wp14:editId="3BE52DFA">
            <wp:simplePos x="0" y="0"/>
            <wp:positionH relativeFrom="column">
              <wp:posOffset>-335</wp:posOffset>
            </wp:positionH>
            <wp:positionV relativeFrom="paragraph">
              <wp:posOffset>-3280</wp:posOffset>
            </wp:positionV>
            <wp:extent cx="2995295" cy="226822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29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As retail trade growth slowed, wholesalers suffered even more. </w:t>
      </w:r>
      <w:r w:rsidR="00A51B45">
        <w:rPr>
          <w:lang w:val="en-US"/>
        </w:rPr>
        <w:t>Real w</w:t>
      </w:r>
      <w:r w:rsidR="00A4648A" w:rsidRPr="00F44D97">
        <w:rPr>
          <w:lang w:val="en-US"/>
        </w:rPr>
        <w:t xml:space="preserve">holesale </w:t>
      </w:r>
      <w:r w:rsidR="00A4648A">
        <w:rPr>
          <w:lang w:val="en-US"/>
        </w:rPr>
        <w:t>trade</w:t>
      </w:r>
      <w:r w:rsidR="00A4648A" w:rsidRPr="00F44D97">
        <w:rPr>
          <w:lang w:val="en-US"/>
        </w:rPr>
        <w:t xml:space="preserve"> decreased</w:t>
      </w:r>
      <w:r w:rsidR="00A4648A">
        <w:rPr>
          <w:lang w:val="en-US"/>
        </w:rPr>
        <w:t xml:space="preserve"> by a</w:t>
      </w:r>
      <w:r w:rsidR="00A4648A" w:rsidRPr="00F44D97">
        <w:rPr>
          <w:lang w:val="en-US"/>
        </w:rPr>
        <w:t xml:space="preserve"> significantly </w:t>
      </w:r>
      <w:r w:rsidR="00A4648A">
        <w:rPr>
          <w:lang w:val="en-US"/>
        </w:rPr>
        <w:t>2.</w:t>
      </w:r>
      <w:r w:rsidR="00A4648A" w:rsidRPr="00F44D97">
        <w:rPr>
          <w:lang w:val="en-US"/>
        </w:rPr>
        <w:t>5%</w:t>
      </w:r>
      <w:r w:rsidR="00A4648A">
        <w:rPr>
          <w:lang w:val="en-US"/>
        </w:rPr>
        <w:t xml:space="preserve"> y-o-y</w:t>
      </w:r>
      <w:r w:rsidR="00A4648A" w:rsidRPr="00F44D97">
        <w:rPr>
          <w:lang w:val="en-US"/>
        </w:rPr>
        <w:t xml:space="preserve"> in March 2019</w:t>
      </w:r>
      <w:r w:rsidR="00A4648A">
        <w:rPr>
          <w:lang w:val="en-US"/>
        </w:rPr>
        <w:t xml:space="preserve"> after rising by a mere 0.6% y-o-y in February, with an average decrease of 0.7% y-o-y seen during Q1 of 2019. </w:t>
      </w:r>
      <w:r w:rsidR="00A4648A">
        <w:rPr>
          <w:rStyle w:val="EndnoteReference"/>
          <w:lang w:val="en-US"/>
        </w:rPr>
        <w:endnoteReference w:id="6"/>
      </w:r>
      <w:r w:rsidR="00A4648A">
        <w:rPr>
          <w:lang w:val="en-US"/>
        </w:rPr>
        <w:t xml:space="preserve"> On a quarter-to-quarter basis, wholesale trade contracted by 2.7% q-o-q in Q4 of 2018 and another 1.3% q-o-q in Q1 of 2019. This takes into account seasonal </w:t>
      </w:r>
      <w:r w:rsidR="00A4648A" w:rsidRPr="00452199">
        <w:rPr>
          <w:lang w:val="en-US"/>
        </w:rPr>
        <w:t xml:space="preserve">factors. </w:t>
      </w:r>
    </w:p>
    <w:p w14:paraId="2989BD39" w14:textId="3EB64A75" w:rsidR="00A4648A" w:rsidRPr="00452199" w:rsidRDefault="00452199" w:rsidP="00B567DA">
      <w:pPr>
        <w:rPr>
          <w:lang w:val="en-US"/>
        </w:rPr>
      </w:pPr>
      <w:r w:rsidRPr="00452199">
        <w:rPr>
          <w:lang w:val="en-US"/>
        </w:rPr>
        <w:t xml:space="preserve">Retail and wholesale trade, along with catering and accommodation, account for nearly 17% of South Africa’s GDP. </w:t>
      </w:r>
    </w:p>
    <w:p w14:paraId="242CF259" w14:textId="1780F882" w:rsidR="00A4648A" w:rsidRDefault="00A4648A" w:rsidP="00A4648A">
      <w:pPr>
        <w:jc w:val="both"/>
        <w:rPr>
          <w:b/>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F5AE7" w14:paraId="2D22E59D" w14:textId="77777777" w:rsidTr="00C4312E">
        <w:trPr>
          <w:trHeight w:val="1101"/>
        </w:trPr>
        <w:tc>
          <w:tcPr>
            <w:tcW w:w="8782" w:type="dxa"/>
            <w:vAlign w:val="bottom"/>
          </w:tcPr>
          <w:p w14:paraId="33DE0020" w14:textId="3C480170" w:rsidR="00CF5AE7" w:rsidRPr="00700042" w:rsidRDefault="00CF5AE7" w:rsidP="00CF5AE7">
            <w:pPr>
              <w:pStyle w:val="Heading2"/>
              <w:outlineLvl w:val="1"/>
            </w:pPr>
            <w:bookmarkStart w:id="6" w:name="_Toc10545928"/>
            <w:r w:rsidRPr="00A4648A">
              <w:lastRenderedPageBreak/>
              <w:t xml:space="preserve">Manufacturing </w:t>
            </w:r>
            <w:r>
              <w:t xml:space="preserve">output </w:t>
            </w:r>
            <w:r w:rsidRPr="00A4648A">
              <w:t>pressured by weak demand</w:t>
            </w:r>
            <w:bookmarkEnd w:id="6"/>
            <w:r>
              <w:t xml:space="preserve"> </w:t>
            </w:r>
          </w:p>
        </w:tc>
        <w:tc>
          <w:tcPr>
            <w:tcW w:w="1278" w:type="dxa"/>
            <w:vAlign w:val="bottom"/>
          </w:tcPr>
          <w:p w14:paraId="66B79D85" w14:textId="56E5B2B9" w:rsidR="00CF5AE7" w:rsidRDefault="00CF5AE7" w:rsidP="00C4312E">
            <w:pPr>
              <w:jc w:val="center"/>
              <w:rPr>
                <w:lang w:val="en-US"/>
              </w:rPr>
            </w:pPr>
            <w:r w:rsidRPr="00CF5AE7">
              <w:rPr>
                <w:noProof/>
                <w:lang w:val="en-US"/>
              </w:rPr>
              <w:drawing>
                <wp:inline distT="0" distB="0" distL="0" distR="0" wp14:anchorId="5ECA2043" wp14:editId="29DE7971">
                  <wp:extent cx="612140" cy="6121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190A9032" w14:textId="07234E05" w:rsidR="00A4648A" w:rsidRDefault="00A4648A" w:rsidP="00A4648A">
      <w:pPr>
        <w:jc w:val="both"/>
        <w:rPr>
          <w:b/>
          <w:lang w:val="en-US"/>
        </w:rPr>
      </w:pPr>
    </w:p>
    <w:p w14:paraId="79D0657B" w14:textId="0906A295" w:rsidR="00A4648A" w:rsidRDefault="00CF5AE7" w:rsidP="00B567DA">
      <w:pPr>
        <w:rPr>
          <w:lang w:val="en-US"/>
        </w:rPr>
      </w:pPr>
      <w:r w:rsidRPr="00CF5AE7">
        <w:rPr>
          <w:noProof/>
          <w:lang w:val="en-US"/>
        </w:rPr>
        <w:drawing>
          <wp:anchor distT="0" distB="0" distL="114300" distR="114300" simplePos="0" relativeHeight="251947008" behindDoc="0" locked="0" layoutInCell="1" allowOverlap="1" wp14:anchorId="25DC6FBB" wp14:editId="4D6C896E">
            <wp:simplePos x="0" y="0"/>
            <wp:positionH relativeFrom="column">
              <wp:posOffset>-335</wp:posOffset>
            </wp:positionH>
            <wp:positionV relativeFrom="paragraph">
              <wp:posOffset>-1020</wp:posOffset>
            </wp:positionV>
            <wp:extent cx="2995295" cy="227520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29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sidRPr="0055460C">
        <w:rPr>
          <w:lang w:val="en-US"/>
        </w:rPr>
        <w:t xml:space="preserve">Manufacturing production </w:t>
      </w:r>
      <w:r w:rsidR="00A51B45">
        <w:rPr>
          <w:lang w:val="en-US"/>
        </w:rPr>
        <w:t xml:space="preserve">volumes </w:t>
      </w:r>
      <w:r w:rsidR="00A4648A">
        <w:rPr>
          <w:lang w:val="en-US"/>
        </w:rPr>
        <w:t>increased by 1.2% y-o-y in March after a decline of 0.5% y-o-y in February, with an average increase of only 0.8% y-o-y during Q1 of 2019. Factory production expanded by 1.1% q-o-q in Q4 of 2018, but then contracted by 2.4% q-o-q in the following quarter.</w:t>
      </w:r>
      <w:r w:rsidR="00A4648A">
        <w:rPr>
          <w:rStyle w:val="EndnoteReference"/>
          <w:lang w:val="en-US"/>
        </w:rPr>
        <w:endnoteReference w:id="7"/>
      </w:r>
      <w:r w:rsidR="00452199">
        <w:rPr>
          <w:lang w:val="en-US"/>
        </w:rPr>
        <w:t xml:space="preserve"> Factory activity contributes nearly 14% of South Africa’s GDP. </w:t>
      </w:r>
    </w:p>
    <w:p w14:paraId="4AD225E1" w14:textId="5DC324C9" w:rsidR="00A4648A" w:rsidRPr="0003272E" w:rsidRDefault="00A4648A" w:rsidP="00B567DA">
      <w:pPr>
        <w:rPr>
          <w:lang w:val="en-US"/>
        </w:rPr>
      </w:pPr>
      <w:r>
        <w:rPr>
          <w:lang w:val="en-US"/>
        </w:rPr>
        <w:t xml:space="preserve">The main reasons behind this disappointing outturn was low domestic demand, increases in </w:t>
      </w:r>
      <w:r w:rsidR="00C8373D">
        <w:rPr>
          <w:lang w:val="en-US"/>
        </w:rPr>
        <w:t xml:space="preserve">the </w:t>
      </w:r>
      <w:r>
        <w:rPr>
          <w:lang w:val="en-US"/>
        </w:rPr>
        <w:t xml:space="preserve">cost for additional energy supply </w:t>
      </w:r>
      <w:r w:rsidR="00C8373D">
        <w:rPr>
          <w:lang w:val="en-US"/>
        </w:rPr>
        <w:t xml:space="preserve">(to cope with loadshedding), and higher fuel prices. </w:t>
      </w:r>
      <w:r>
        <w:rPr>
          <w:lang w:val="en-US"/>
        </w:rPr>
        <w:t xml:space="preserve">This caused an increase in logistics </w:t>
      </w:r>
      <w:r w:rsidR="00C8373D">
        <w:rPr>
          <w:lang w:val="en-US"/>
        </w:rPr>
        <w:t xml:space="preserve">and operational </w:t>
      </w:r>
      <w:r>
        <w:rPr>
          <w:lang w:val="en-US"/>
        </w:rPr>
        <w:t>costs for companies alongside pressure on revenues.</w:t>
      </w:r>
      <w:r>
        <w:rPr>
          <w:rStyle w:val="EndnoteReference"/>
          <w:lang w:val="en-US"/>
        </w:rPr>
        <w:endnoteReference w:id="8"/>
      </w:r>
    </w:p>
    <w:p w14:paraId="14C5F834" w14:textId="10469620" w:rsidR="00CF5AE7" w:rsidRDefault="00CF5AE7" w:rsidP="00A4648A">
      <w:pPr>
        <w:jc w:val="both"/>
        <w:rPr>
          <w:lang w:val="en-US"/>
        </w:rPr>
      </w:pPr>
    </w:p>
    <w:p w14:paraId="7EFA13E0" w14:textId="0E58D534" w:rsidR="00CF5AE7" w:rsidRDefault="00CF5AE7"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F5AE7" w14:paraId="215C4DD0" w14:textId="77777777" w:rsidTr="00C4312E">
        <w:trPr>
          <w:trHeight w:val="1101"/>
        </w:trPr>
        <w:tc>
          <w:tcPr>
            <w:tcW w:w="8782" w:type="dxa"/>
            <w:vAlign w:val="bottom"/>
          </w:tcPr>
          <w:p w14:paraId="3E75A071" w14:textId="72629ECC" w:rsidR="00CF5AE7" w:rsidRPr="00700042" w:rsidRDefault="00CF5AE7" w:rsidP="00CF5AE7">
            <w:pPr>
              <w:pStyle w:val="Heading2"/>
              <w:outlineLvl w:val="1"/>
            </w:pPr>
            <w:bookmarkStart w:id="7" w:name="_Toc10545929"/>
            <w:r w:rsidRPr="00CF5AE7">
              <w:t>Mining production weighed down by gold strike</w:t>
            </w:r>
            <w:bookmarkEnd w:id="7"/>
            <w:r w:rsidRPr="00CF5AE7">
              <w:t xml:space="preserve"> </w:t>
            </w:r>
          </w:p>
        </w:tc>
        <w:tc>
          <w:tcPr>
            <w:tcW w:w="1278" w:type="dxa"/>
            <w:vAlign w:val="bottom"/>
          </w:tcPr>
          <w:p w14:paraId="4198E37F" w14:textId="0FE15D0E" w:rsidR="00CF5AE7" w:rsidRDefault="00CF5AE7" w:rsidP="00C4312E">
            <w:pPr>
              <w:jc w:val="center"/>
              <w:rPr>
                <w:lang w:val="en-US"/>
              </w:rPr>
            </w:pPr>
            <w:r w:rsidRPr="00CF5AE7">
              <w:rPr>
                <w:noProof/>
                <w:lang w:val="en-US"/>
              </w:rPr>
              <w:drawing>
                <wp:inline distT="0" distB="0" distL="0" distR="0" wp14:anchorId="3C98C1E6" wp14:editId="71561E9D">
                  <wp:extent cx="612140" cy="6121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00F7DBA0" w14:textId="1847E047" w:rsidR="00CF5AE7" w:rsidRDefault="00CF5AE7" w:rsidP="00A4648A">
      <w:pPr>
        <w:jc w:val="both"/>
        <w:rPr>
          <w:lang w:val="en-US"/>
        </w:rPr>
      </w:pPr>
    </w:p>
    <w:p w14:paraId="5769AD4B" w14:textId="2BD36C34" w:rsidR="00A4648A" w:rsidRDefault="00CF5AE7" w:rsidP="00B567DA">
      <w:pPr>
        <w:rPr>
          <w:lang w:val="en-US"/>
        </w:rPr>
      </w:pPr>
      <w:r w:rsidRPr="00CF5AE7">
        <w:rPr>
          <w:noProof/>
          <w:lang w:val="en-US"/>
        </w:rPr>
        <w:drawing>
          <wp:anchor distT="0" distB="0" distL="114300" distR="114300" simplePos="0" relativeHeight="251948032" behindDoc="0" locked="0" layoutInCell="1" allowOverlap="1" wp14:anchorId="3C0AC7C7" wp14:editId="61C94188">
            <wp:simplePos x="0" y="0"/>
            <wp:positionH relativeFrom="column">
              <wp:posOffset>-3356</wp:posOffset>
            </wp:positionH>
            <wp:positionV relativeFrom="paragraph">
              <wp:posOffset>3084</wp:posOffset>
            </wp:positionV>
            <wp:extent cx="2996565" cy="2269490"/>
            <wp:effectExtent l="0" t="0" r="0" b="0"/>
            <wp:wrapSquare wrapText="bothSides"/>
            <wp:docPr id="51085" name="Picture 5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South Africa’s mining production </w:t>
      </w:r>
      <w:r w:rsidR="00A51B45">
        <w:rPr>
          <w:lang w:val="en-US"/>
        </w:rPr>
        <w:t xml:space="preserve">volume </w:t>
      </w:r>
      <w:r w:rsidR="00A4648A">
        <w:rPr>
          <w:lang w:val="en-US"/>
        </w:rPr>
        <w:t>contracted by 1.1</w:t>
      </w:r>
      <w:r w:rsidR="00A4648A" w:rsidRPr="000B2C98">
        <w:rPr>
          <w:lang w:val="en-US"/>
        </w:rPr>
        <w:t xml:space="preserve">% y-o-y in March after </w:t>
      </w:r>
      <w:r w:rsidR="00A4648A">
        <w:rPr>
          <w:lang w:val="en-US"/>
        </w:rPr>
        <w:t>decreasing by a much larger 8.1</w:t>
      </w:r>
      <w:r w:rsidR="00A4648A" w:rsidRPr="000B2C98">
        <w:rPr>
          <w:lang w:val="en-US"/>
        </w:rPr>
        <w:t>% y-o-y in Fe</w:t>
      </w:r>
      <w:r w:rsidR="00A4648A">
        <w:rPr>
          <w:lang w:val="en-US"/>
        </w:rPr>
        <w:t>bruary, thought the first quarter still experienced an average decrease</w:t>
      </w:r>
      <w:r w:rsidR="00A4648A" w:rsidRPr="000B2C98">
        <w:rPr>
          <w:lang w:val="en-US"/>
        </w:rPr>
        <w:t xml:space="preserve"> of </w:t>
      </w:r>
      <w:r w:rsidR="00A4648A">
        <w:rPr>
          <w:lang w:val="en-US"/>
        </w:rPr>
        <w:t>4.1% y-o-y. A decline of 3.4% q-o-q was also seen.</w:t>
      </w:r>
      <w:r w:rsidR="00A4648A">
        <w:rPr>
          <w:rStyle w:val="EndnoteReference"/>
          <w:lang w:val="en-US"/>
        </w:rPr>
        <w:endnoteReference w:id="9"/>
      </w:r>
      <w:r w:rsidR="00A4648A">
        <w:rPr>
          <w:lang w:val="en-US"/>
        </w:rPr>
        <w:t xml:space="preserve"> </w:t>
      </w:r>
    </w:p>
    <w:p w14:paraId="0C2A097D" w14:textId="01B618AD" w:rsidR="00A4648A" w:rsidRDefault="00A4648A" w:rsidP="00B567DA">
      <w:pPr>
        <w:rPr>
          <w:lang w:val="en-US"/>
        </w:rPr>
      </w:pPr>
      <w:r>
        <w:rPr>
          <w:lang w:val="en-US"/>
        </w:rPr>
        <w:t xml:space="preserve">The continuous negative trend in </w:t>
      </w:r>
      <w:r w:rsidR="00D4721D">
        <w:rPr>
          <w:lang w:val="en-US"/>
        </w:rPr>
        <w:t xml:space="preserve">mining – which accounts for almost 8% of GDP - </w:t>
      </w:r>
      <w:r>
        <w:rPr>
          <w:rFonts w:cs="Arial"/>
          <w:color w:val="000000"/>
          <w:sz w:val="21"/>
          <w:szCs w:val="21"/>
          <w:shd w:val="clear" w:color="auto" w:fill="FFFFFF"/>
        </w:rPr>
        <w:t xml:space="preserve">was partly as a result of the </w:t>
      </w:r>
      <w:r w:rsidRPr="0003272E">
        <w:rPr>
          <w:rFonts w:cs="Arial"/>
          <w:color w:val="000000"/>
          <w:sz w:val="21"/>
          <w:szCs w:val="21"/>
          <w:shd w:val="clear" w:color="auto" w:fill="FFFFFF"/>
        </w:rPr>
        <w:t xml:space="preserve">Association of Mineworkers and Construction Union </w:t>
      </w:r>
      <w:r>
        <w:rPr>
          <w:rFonts w:cs="Arial"/>
          <w:color w:val="000000"/>
          <w:sz w:val="21"/>
          <w:szCs w:val="21"/>
          <w:shd w:val="clear" w:color="auto" w:fill="FFFFFF"/>
        </w:rPr>
        <w:t xml:space="preserve">(AMCU) </w:t>
      </w:r>
      <w:r w:rsidRPr="0003272E">
        <w:rPr>
          <w:rFonts w:cs="Arial"/>
          <w:color w:val="000000"/>
          <w:sz w:val="21"/>
          <w:szCs w:val="21"/>
          <w:shd w:val="clear" w:color="auto" w:fill="FFFFFF"/>
        </w:rPr>
        <w:t>strike at Sibanye-Stillwater’s gold operations</w:t>
      </w:r>
      <w:r>
        <w:rPr>
          <w:rFonts w:cs="Arial"/>
          <w:color w:val="000000"/>
          <w:sz w:val="21"/>
          <w:szCs w:val="21"/>
          <w:shd w:val="clear" w:color="auto" w:fill="FFFFFF"/>
        </w:rPr>
        <w:t xml:space="preserve">. Weak production of </w:t>
      </w:r>
      <w:r w:rsidRPr="007D6C60">
        <w:rPr>
          <w:rFonts w:cs="Arial"/>
          <w:color w:val="000000"/>
          <w:sz w:val="21"/>
          <w:szCs w:val="21"/>
          <w:shd w:val="clear" w:color="auto" w:fill="FFFFFF"/>
        </w:rPr>
        <w:t>iron ore</w:t>
      </w:r>
      <w:r>
        <w:rPr>
          <w:rFonts w:cs="Arial"/>
          <w:color w:val="000000"/>
          <w:sz w:val="21"/>
          <w:szCs w:val="21"/>
          <w:shd w:val="clear" w:color="auto" w:fill="FFFFFF"/>
        </w:rPr>
        <w:t xml:space="preserve">, which together with gold </w:t>
      </w:r>
      <w:r w:rsidRPr="007D6C60">
        <w:rPr>
          <w:lang w:val="en-US"/>
        </w:rPr>
        <w:t>constitute 28.4% of the total mining basket</w:t>
      </w:r>
      <w:r>
        <w:rPr>
          <w:lang w:val="en-US"/>
        </w:rPr>
        <w:t>, weighed on the overall industry numbers as well.</w:t>
      </w:r>
      <w:r>
        <w:rPr>
          <w:rStyle w:val="EndnoteReference"/>
          <w:lang w:val="en-US"/>
        </w:rPr>
        <w:endnoteReference w:id="10"/>
      </w:r>
      <w:r>
        <w:rPr>
          <w:lang w:val="en-US"/>
        </w:rPr>
        <w:t xml:space="preserve"> </w:t>
      </w:r>
    </w:p>
    <w:p w14:paraId="1E6640EC" w14:textId="5F23A15D" w:rsidR="00A4648A" w:rsidRDefault="00A4648A" w:rsidP="00A4648A">
      <w:pPr>
        <w:jc w:val="both"/>
        <w:rPr>
          <w:b/>
          <w:lang w:val="en-US"/>
        </w:rPr>
      </w:pPr>
    </w:p>
    <w:p w14:paraId="74F25DC6" w14:textId="1923BFF1" w:rsidR="00CF5AE7" w:rsidRDefault="00CF5AE7" w:rsidP="00A4648A">
      <w:pPr>
        <w:jc w:val="both"/>
        <w:rPr>
          <w:b/>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F5AE7" w14:paraId="283331DB" w14:textId="77777777" w:rsidTr="00C4312E">
        <w:trPr>
          <w:trHeight w:val="1101"/>
        </w:trPr>
        <w:tc>
          <w:tcPr>
            <w:tcW w:w="8782" w:type="dxa"/>
            <w:vAlign w:val="bottom"/>
          </w:tcPr>
          <w:p w14:paraId="5C5FA903" w14:textId="78E7A381" w:rsidR="00CF5AE7" w:rsidRPr="00700042" w:rsidRDefault="00CF5AE7" w:rsidP="00CF5AE7">
            <w:pPr>
              <w:pStyle w:val="Heading2"/>
              <w:outlineLvl w:val="1"/>
            </w:pPr>
            <w:bookmarkStart w:id="8" w:name="_Toc10545930"/>
            <w:r w:rsidRPr="00CF5AE7">
              <w:lastRenderedPageBreak/>
              <w:t>Electricity distribution declines amidst loadshedding</w:t>
            </w:r>
            <w:bookmarkEnd w:id="8"/>
          </w:p>
        </w:tc>
        <w:tc>
          <w:tcPr>
            <w:tcW w:w="1278" w:type="dxa"/>
            <w:vAlign w:val="bottom"/>
          </w:tcPr>
          <w:p w14:paraId="5CE3BF6A" w14:textId="3F93A67A" w:rsidR="00CF5AE7" w:rsidRDefault="00CF5AE7" w:rsidP="00C4312E">
            <w:pPr>
              <w:jc w:val="center"/>
              <w:rPr>
                <w:lang w:val="en-US"/>
              </w:rPr>
            </w:pPr>
            <w:r w:rsidRPr="00CF5AE7">
              <w:rPr>
                <w:noProof/>
                <w:lang w:val="en-US"/>
              </w:rPr>
              <w:drawing>
                <wp:inline distT="0" distB="0" distL="0" distR="0" wp14:anchorId="78F96D8B" wp14:editId="1E871740">
                  <wp:extent cx="612140" cy="612140"/>
                  <wp:effectExtent l="0" t="0" r="0" b="0"/>
                  <wp:docPr id="51088" name="Picture 5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0B874C3B" w14:textId="77777777" w:rsidR="00CF5AE7" w:rsidRDefault="00CF5AE7" w:rsidP="00A4648A">
      <w:pPr>
        <w:jc w:val="both"/>
        <w:rPr>
          <w:b/>
          <w:lang w:val="en-US"/>
        </w:rPr>
      </w:pPr>
    </w:p>
    <w:p w14:paraId="1EC050C5" w14:textId="3AF122DF" w:rsidR="00A4648A" w:rsidRDefault="00CF5AE7" w:rsidP="00B567DA">
      <w:pPr>
        <w:rPr>
          <w:lang w:val="en-US"/>
        </w:rPr>
      </w:pPr>
      <w:r w:rsidRPr="00CF5AE7">
        <w:rPr>
          <w:noProof/>
          <w:lang w:val="en-US"/>
        </w:rPr>
        <w:drawing>
          <wp:anchor distT="0" distB="0" distL="114300" distR="114300" simplePos="0" relativeHeight="251949056" behindDoc="0" locked="0" layoutInCell="1" allowOverlap="1" wp14:anchorId="3A0E0881" wp14:editId="26AF9C85">
            <wp:simplePos x="0" y="0"/>
            <wp:positionH relativeFrom="column">
              <wp:posOffset>-3356</wp:posOffset>
            </wp:positionH>
            <wp:positionV relativeFrom="paragraph">
              <wp:posOffset>635</wp:posOffset>
            </wp:positionV>
            <wp:extent cx="2996565" cy="2269490"/>
            <wp:effectExtent l="0" t="0" r="0" b="0"/>
            <wp:wrapSquare wrapText="bothSides"/>
            <wp:docPr id="51087" name="Picture 5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Electrical distribution </w:t>
      </w:r>
      <w:r w:rsidR="00A51B45">
        <w:rPr>
          <w:lang w:val="en-US"/>
        </w:rPr>
        <w:t xml:space="preserve">(measured in gigawatt hours) </w:t>
      </w:r>
      <w:r w:rsidR="00A4648A">
        <w:rPr>
          <w:lang w:val="en-US"/>
        </w:rPr>
        <w:t>decreased by 2.8</w:t>
      </w:r>
      <w:r w:rsidR="00A4648A" w:rsidRPr="00401F46">
        <w:rPr>
          <w:lang w:val="en-US"/>
        </w:rPr>
        <w:t xml:space="preserve">% </w:t>
      </w:r>
      <w:r w:rsidR="00A4648A">
        <w:rPr>
          <w:lang w:val="en-US"/>
        </w:rPr>
        <w:t>y-o-y in March after declining by 1.0</w:t>
      </w:r>
      <w:r w:rsidR="00A4648A" w:rsidRPr="00401F46">
        <w:rPr>
          <w:lang w:val="en-US"/>
        </w:rPr>
        <w:t>% y-o-y in F</w:t>
      </w:r>
      <w:r w:rsidR="00A4648A">
        <w:rPr>
          <w:lang w:val="en-US"/>
        </w:rPr>
        <w:t>ebruary, with an average decrease of 1.2% y-o-y during Q1 of 2019. O</w:t>
      </w:r>
      <w:r w:rsidR="00A4648A" w:rsidRPr="00401F46">
        <w:rPr>
          <w:lang w:val="en-US"/>
        </w:rPr>
        <w:t>n</w:t>
      </w:r>
      <w:r w:rsidR="00A4648A">
        <w:rPr>
          <w:lang w:val="en-US"/>
        </w:rPr>
        <w:t xml:space="preserve"> a quarter-to-quarter basis, a mean decline of 1.7% q-o-q was recorded.</w:t>
      </w:r>
      <w:r w:rsidR="00A4648A">
        <w:rPr>
          <w:rStyle w:val="EndnoteReference"/>
          <w:lang w:val="en-US"/>
        </w:rPr>
        <w:endnoteReference w:id="11"/>
      </w:r>
    </w:p>
    <w:p w14:paraId="52E75CD3" w14:textId="1869D4C5" w:rsidR="00A4648A" w:rsidRDefault="00A4648A" w:rsidP="00B567DA">
      <w:pPr>
        <w:rPr>
          <w:lang w:val="en-US"/>
        </w:rPr>
      </w:pPr>
      <w:r>
        <w:rPr>
          <w:lang w:val="en-US"/>
        </w:rPr>
        <w:t xml:space="preserve">The decline in power consumption was mainly due to the large amounts (and poor implementation </w:t>
      </w:r>
      <w:r>
        <w:rPr>
          <w:rFonts w:ascii="Arial" w:hAnsi="Arial" w:cs="Arial"/>
          <w:color w:val="000000"/>
          <w:sz w:val="21"/>
          <w:szCs w:val="21"/>
          <w:shd w:val="clear" w:color="auto" w:fill="FFFFFF"/>
        </w:rPr>
        <w:t xml:space="preserve">of) </w:t>
      </w:r>
      <w:r>
        <w:rPr>
          <w:lang w:val="en-US"/>
        </w:rPr>
        <w:t>load</w:t>
      </w:r>
      <w:r w:rsidRPr="005C2098">
        <w:rPr>
          <w:lang w:val="en-US"/>
        </w:rPr>
        <w:t>shedding in the first quarter of this year</w:t>
      </w:r>
      <w:r>
        <w:rPr>
          <w:lang w:val="en-US"/>
        </w:rPr>
        <w:t xml:space="preserve"> which negatively impacted the sale of power to the nation.</w:t>
      </w:r>
      <w:r>
        <w:rPr>
          <w:rStyle w:val="EndnoteReference"/>
          <w:lang w:val="en-US"/>
        </w:rPr>
        <w:endnoteReference w:id="12"/>
      </w:r>
      <w:r w:rsidR="00D4721D">
        <w:rPr>
          <w:lang w:val="en-US"/>
        </w:rPr>
        <w:t xml:space="preserve"> Utilities like power, water and gas account for 2.3% of local GDP. </w:t>
      </w:r>
    </w:p>
    <w:p w14:paraId="10E0DA87" w14:textId="7D54EE9F" w:rsidR="00A4648A" w:rsidRDefault="00A4648A" w:rsidP="00A4648A">
      <w:pPr>
        <w:jc w:val="both"/>
        <w:rPr>
          <w:lang w:val="en-US"/>
        </w:rPr>
      </w:pPr>
    </w:p>
    <w:p w14:paraId="5AB288F6" w14:textId="62B76616" w:rsidR="00CF5AE7" w:rsidRDefault="00CF5AE7" w:rsidP="00A4648A">
      <w:pPr>
        <w:jc w:val="both"/>
        <w:rPr>
          <w:lang w:val="en-US"/>
        </w:rPr>
      </w:pPr>
    </w:p>
    <w:p w14:paraId="30D436D4" w14:textId="4ED4947C" w:rsidR="00CF5AE7" w:rsidRDefault="00CF5AE7"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F5AE7" w14:paraId="5C02F1D6" w14:textId="77777777" w:rsidTr="00C4312E">
        <w:trPr>
          <w:trHeight w:val="1101"/>
        </w:trPr>
        <w:tc>
          <w:tcPr>
            <w:tcW w:w="8782" w:type="dxa"/>
            <w:vAlign w:val="bottom"/>
          </w:tcPr>
          <w:p w14:paraId="777CDEC2" w14:textId="76C664CB" w:rsidR="00CF5AE7" w:rsidRPr="00700042" w:rsidRDefault="00CF5AE7" w:rsidP="00CF5AE7">
            <w:pPr>
              <w:pStyle w:val="Heading2"/>
              <w:outlineLvl w:val="1"/>
            </w:pPr>
            <w:bookmarkStart w:id="9" w:name="_Toc10545931"/>
            <w:r w:rsidRPr="00CF5AE7">
              <w:t>Passenger vehicle sales slowed by declining sentiment</w:t>
            </w:r>
            <w:bookmarkEnd w:id="9"/>
          </w:p>
        </w:tc>
        <w:tc>
          <w:tcPr>
            <w:tcW w:w="1278" w:type="dxa"/>
            <w:vAlign w:val="bottom"/>
          </w:tcPr>
          <w:p w14:paraId="0C7ABF20" w14:textId="75FAEA2E" w:rsidR="00CF5AE7" w:rsidRDefault="00CF5AE7" w:rsidP="00C4312E">
            <w:pPr>
              <w:jc w:val="center"/>
              <w:rPr>
                <w:lang w:val="en-US"/>
              </w:rPr>
            </w:pPr>
            <w:r w:rsidRPr="00CF5AE7">
              <w:rPr>
                <w:noProof/>
                <w:lang w:val="en-US"/>
              </w:rPr>
              <w:drawing>
                <wp:inline distT="0" distB="0" distL="0" distR="0" wp14:anchorId="4FF6C718" wp14:editId="73895125">
                  <wp:extent cx="612140" cy="612140"/>
                  <wp:effectExtent l="0" t="0" r="0" b="0"/>
                  <wp:docPr id="51092" name="Picture 5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4C512A45" w14:textId="2C3A0CAE" w:rsidR="00CF5AE7" w:rsidRDefault="00CF5AE7" w:rsidP="00A4648A">
      <w:pPr>
        <w:jc w:val="both"/>
        <w:rPr>
          <w:lang w:val="en-US"/>
        </w:rPr>
      </w:pPr>
    </w:p>
    <w:p w14:paraId="4485F658" w14:textId="3652C916" w:rsidR="00A4648A" w:rsidRDefault="00CF5AE7" w:rsidP="00B567DA">
      <w:pPr>
        <w:rPr>
          <w:lang w:val="en-US"/>
        </w:rPr>
      </w:pPr>
      <w:r w:rsidRPr="00CF5AE7">
        <w:rPr>
          <w:noProof/>
          <w:lang w:val="en-US"/>
        </w:rPr>
        <w:drawing>
          <wp:anchor distT="0" distB="0" distL="114300" distR="114300" simplePos="0" relativeHeight="251950080" behindDoc="0" locked="0" layoutInCell="1" allowOverlap="1" wp14:anchorId="5194133B" wp14:editId="39EF7FEB">
            <wp:simplePos x="0" y="0"/>
            <wp:positionH relativeFrom="column">
              <wp:posOffset>-3356</wp:posOffset>
            </wp:positionH>
            <wp:positionV relativeFrom="paragraph">
              <wp:posOffset>3084</wp:posOffset>
            </wp:positionV>
            <wp:extent cx="2996565" cy="2269490"/>
            <wp:effectExtent l="0" t="0" r="0" b="0"/>
            <wp:wrapSquare wrapText="bothSides"/>
            <wp:docPr id="51093" name="Picture 5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895">
        <w:rPr>
          <w:lang w:val="en-US"/>
        </w:rPr>
        <w:t>The number of n</w:t>
      </w:r>
      <w:r w:rsidR="00A4648A">
        <w:rPr>
          <w:lang w:val="en-US"/>
        </w:rPr>
        <w:t>ew vehicle</w:t>
      </w:r>
      <w:r w:rsidR="000C1895">
        <w:rPr>
          <w:lang w:val="en-US"/>
        </w:rPr>
        <w:t xml:space="preserve">s sold </w:t>
      </w:r>
      <w:r w:rsidR="00A4648A">
        <w:rPr>
          <w:lang w:val="en-US"/>
        </w:rPr>
        <w:t>decreased by 6.7</w:t>
      </w:r>
      <w:r w:rsidR="00A4648A" w:rsidRPr="00401F46">
        <w:rPr>
          <w:lang w:val="en-US"/>
        </w:rPr>
        <w:t xml:space="preserve">% </w:t>
      </w:r>
      <w:r w:rsidR="00A4648A">
        <w:rPr>
          <w:lang w:val="en-US"/>
        </w:rPr>
        <w:t>y-o-y in March after declining by 12.0</w:t>
      </w:r>
      <w:r w:rsidR="00A4648A" w:rsidRPr="00401F46">
        <w:rPr>
          <w:lang w:val="en-US"/>
        </w:rPr>
        <w:t>% y-o-y in F</w:t>
      </w:r>
      <w:r w:rsidR="00A4648A">
        <w:rPr>
          <w:lang w:val="en-US"/>
        </w:rPr>
        <w:t>ebruary, with an average decrease of 9.8% y-o-y during Q1 of 2019. O</w:t>
      </w:r>
      <w:r w:rsidR="00A4648A" w:rsidRPr="00401F46">
        <w:rPr>
          <w:lang w:val="en-US"/>
        </w:rPr>
        <w:t>n</w:t>
      </w:r>
      <w:r w:rsidR="00A4648A">
        <w:rPr>
          <w:lang w:val="en-US"/>
        </w:rPr>
        <w:t xml:space="preserve"> a quarter-to-quarter basis, sales went from a decline of 2.6% q-o-q in Q4 of 2018 to 7.6% q-o-q most recently.</w:t>
      </w:r>
    </w:p>
    <w:p w14:paraId="62487717" w14:textId="77777777" w:rsidR="00A4648A" w:rsidRDefault="00A4648A" w:rsidP="00B567DA">
      <w:pPr>
        <w:spacing w:before="240"/>
        <w:rPr>
          <w:lang w:val="en-US"/>
        </w:rPr>
      </w:pPr>
      <w:r>
        <w:rPr>
          <w:lang w:val="en-US"/>
        </w:rPr>
        <w:t xml:space="preserve">The new car market was under pressure from several factors, including a </w:t>
      </w:r>
      <w:r w:rsidRPr="004B2EE8">
        <w:rPr>
          <w:lang w:val="en-US"/>
        </w:rPr>
        <w:t>poor</w:t>
      </w:r>
      <w:r>
        <w:rPr>
          <w:lang w:val="en-US"/>
        </w:rPr>
        <w:t>ly</w:t>
      </w:r>
      <w:r w:rsidRPr="004B2EE8">
        <w:rPr>
          <w:lang w:val="en-US"/>
        </w:rPr>
        <w:t xml:space="preserve"> performing </w:t>
      </w:r>
      <w:r>
        <w:rPr>
          <w:lang w:val="en-US"/>
        </w:rPr>
        <w:t>r</w:t>
      </w:r>
      <w:r w:rsidRPr="004B2EE8">
        <w:rPr>
          <w:lang w:val="en-US"/>
        </w:rPr>
        <w:t>and</w:t>
      </w:r>
      <w:r>
        <w:rPr>
          <w:lang w:val="en-US"/>
        </w:rPr>
        <w:t xml:space="preserve">, </w:t>
      </w:r>
      <w:r w:rsidRPr="004B2EE8">
        <w:rPr>
          <w:lang w:val="en-US"/>
        </w:rPr>
        <w:t xml:space="preserve">declining consumer and business confidence in anticipation of </w:t>
      </w:r>
      <w:r>
        <w:rPr>
          <w:lang w:val="en-US"/>
        </w:rPr>
        <w:t xml:space="preserve">a </w:t>
      </w:r>
      <w:r w:rsidRPr="004B2EE8">
        <w:rPr>
          <w:lang w:val="en-US"/>
        </w:rPr>
        <w:t xml:space="preserve">possible </w:t>
      </w:r>
      <w:r>
        <w:rPr>
          <w:lang w:val="en-US"/>
        </w:rPr>
        <w:t xml:space="preserve">sovereign </w:t>
      </w:r>
      <w:r w:rsidRPr="004B2EE8">
        <w:rPr>
          <w:lang w:val="en-US"/>
        </w:rPr>
        <w:t>rating</w:t>
      </w:r>
      <w:r>
        <w:rPr>
          <w:lang w:val="en-US"/>
        </w:rPr>
        <w:t>s</w:t>
      </w:r>
      <w:r w:rsidRPr="004B2EE8">
        <w:rPr>
          <w:lang w:val="en-US"/>
        </w:rPr>
        <w:t xml:space="preserve"> downgrades</w:t>
      </w:r>
      <w:r>
        <w:rPr>
          <w:lang w:val="en-US"/>
        </w:rPr>
        <w:t xml:space="preserve">, as well as </w:t>
      </w:r>
      <w:r w:rsidRPr="004B2EE8">
        <w:rPr>
          <w:lang w:val="en-US"/>
        </w:rPr>
        <w:t>rising fuel prices</w:t>
      </w:r>
      <w:r>
        <w:rPr>
          <w:lang w:val="en-US"/>
        </w:rPr>
        <w:t>.</w:t>
      </w:r>
      <w:r>
        <w:rPr>
          <w:rStyle w:val="EndnoteReference"/>
          <w:lang w:val="en-US"/>
        </w:rPr>
        <w:endnoteReference w:id="13"/>
      </w:r>
    </w:p>
    <w:p w14:paraId="110DA77E" w14:textId="03C1F93E" w:rsidR="00A4648A" w:rsidRDefault="00A4648A" w:rsidP="00A4648A">
      <w:pPr>
        <w:jc w:val="both"/>
        <w:rPr>
          <w:b/>
          <w:lang w:val="en-US"/>
        </w:rPr>
      </w:pPr>
    </w:p>
    <w:p w14:paraId="43837300" w14:textId="11428C6B" w:rsidR="00CF5AE7" w:rsidRDefault="00CF5AE7" w:rsidP="00A4648A">
      <w:pPr>
        <w:jc w:val="both"/>
        <w:rPr>
          <w:b/>
          <w:lang w:val="en-US"/>
        </w:rPr>
      </w:pPr>
    </w:p>
    <w:p w14:paraId="41119487" w14:textId="0D74A911" w:rsidR="00CF5AE7" w:rsidRDefault="00CF5AE7" w:rsidP="00A4648A">
      <w:pPr>
        <w:jc w:val="both"/>
        <w:rPr>
          <w:b/>
          <w:lang w:val="en-US"/>
        </w:rPr>
      </w:pPr>
    </w:p>
    <w:p w14:paraId="4F86B06A" w14:textId="367B44F7" w:rsidR="00CF5AE7" w:rsidRDefault="00CF5AE7" w:rsidP="00A4648A">
      <w:pPr>
        <w:jc w:val="both"/>
        <w:rPr>
          <w:b/>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F5AE7" w14:paraId="40B89AF6" w14:textId="77777777" w:rsidTr="00C4312E">
        <w:trPr>
          <w:trHeight w:val="1101"/>
        </w:trPr>
        <w:tc>
          <w:tcPr>
            <w:tcW w:w="8782" w:type="dxa"/>
            <w:vAlign w:val="bottom"/>
          </w:tcPr>
          <w:p w14:paraId="2E10968A" w14:textId="58C14E12" w:rsidR="00CF5AE7" w:rsidRPr="00700042" w:rsidRDefault="00CF5AE7" w:rsidP="00CF5AE7">
            <w:pPr>
              <w:pStyle w:val="Heading2"/>
              <w:outlineLvl w:val="1"/>
            </w:pPr>
            <w:bookmarkStart w:id="10" w:name="_Toc10545932"/>
            <w:r w:rsidRPr="00CF5AE7">
              <w:lastRenderedPageBreak/>
              <w:t>Private sector credit shows rare sign of improvement</w:t>
            </w:r>
            <w:bookmarkEnd w:id="10"/>
          </w:p>
        </w:tc>
        <w:tc>
          <w:tcPr>
            <w:tcW w:w="1278" w:type="dxa"/>
            <w:vAlign w:val="bottom"/>
          </w:tcPr>
          <w:p w14:paraId="4D6BEEE5" w14:textId="22B22128" w:rsidR="00CF5AE7" w:rsidRDefault="00CF5AE7" w:rsidP="00C4312E">
            <w:pPr>
              <w:jc w:val="center"/>
              <w:rPr>
                <w:lang w:val="en-US"/>
              </w:rPr>
            </w:pPr>
            <w:r w:rsidRPr="00CF5AE7">
              <w:rPr>
                <w:noProof/>
                <w:lang w:val="en-US"/>
              </w:rPr>
              <w:drawing>
                <wp:inline distT="0" distB="0" distL="0" distR="0" wp14:anchorId="387A2926" wp14:editId="15741E11">
                  <wp:extent cx="612140" cy="612140"/>
                  <wp:effectExtent l="0" t="0" r="0" b="0"/>
                  <wp:docPr id="51098" name="Picture 5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3211832F" w14:textId="77777777" w:rsidR="00CF5AE7" w:rsidRDefault="00CF5AE7" w:rsidP="00A4648A">
      <w:pPr>
        <w:jc w:val="both"/>
        <w:rPr>
          <w:b/>
          <w:lang w:val="en-US"/>
        </w:rPr>
      </w:pPr>
    </w:p>
    <w:p w14:paraId="371DE402" w14:textId="375F3903" w:rsidR="00A4648A" w:rsidRDefault="0012767A" w:rsidP="00B567DA">
      <w:pPr>
        <w:rPr>
          <w:lang w:val="en-US"/>
        </w:rPr>
      </w:pPr>
      <w:r w:rsidRPr="0012767A">
        <w:rPr>
          <w:noProof/>
          <w:lang w:val="en-US"/>
        </w:rPr>
        <w:drawing>
          <wp:anchor distT="0" distB="0" distL="114300" distR="114300" simplePos="0" relativeHeight="251951104" behindDoc="0" locked="0" layoutInCell="1" allowOverlap="1" wp14:anchorId="226DC652" wp14:editId="764B1F0B">
            <wp:simplePos x="0" y="0"/>
            <wp:positionH relativeFrom="column">
              <wp:posOffset>-3356</wp:posOffset>
            </wp:positionH>
            <wp:positionV relativeFrom="paragraph">
              <wp:posOffset>544</wp:posOffset>
            </wp:positionV>
            <wp:extent cx="2996565" cy="2269490"/>
            <wp:effectExtent l="0" t="0" r="0" b="0"/>
            <wp:wrapSquare wrapText="bothSides"/>
            <wp:docPr id="51099" name="Picture 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895">
        <w:rPr>
          <w:lang w:val="en-US"/>
        </w:rPr>
        <w:t>The nominal value of p</w:t>
      </w:r>
      <w:r w:rsidR="00A4648A">
        <w:rPr>
          <w:lang w:val="en-US"/>
        </w:rPr>
        <w:t>rivate sector credit increased by 6.1</w:t>
      </w:r>
      <w:r w:rsidR="00A4648A" w:rsidRPr="00A8469F">
        <w:rPr>
          <w:lang w:val="en-US"/>
        </w:rPr>
        <w:t xml:space="preserve">% </w:t>
      </w:r>
      <w:r w:rsidR="00A4648A">
        <w:rPr>
          <w:lang w:val="en-US"/>
        </w:rPr>
        <w:t>y-o-y in March after rising by 6.0</w:t>
      </w:r>
      <w:r w:rsidR="00A4648A" w:rsidRPr="00A8469F">
        <w:rPr>
          <w:lang w:val="en-US"/>
        </w:rPr>
        <w:t>% y-o-y in Februar</w:t>
      </w:r>
      <w:r w:rsidR="00A4648A">
        <w:rPr>
          <w:lang w:val="en-US"/>
        </w:rPr>
        <w:t>y, with an average increase of 6.2</w:t>
      </w:r>
      <w:r w:rsidR="00A4648A" w:rsidRPr="00A8469F">
        <w:rPr>
          <w:lang w:val="en-US"/>
        </w:rPr>
        <w:t>% y-o-y during Q1 of 2019</w:t>
      </w:r>
      <w:r w:rsidR="00A4648A">
        <w:rPr>
          <w:lang w:val="en-US"/>
        </w:rPr>
        <w:t>. O</w:t>
      </w:r>
      <w:r w:rsidR="00A4648A" w:rsidRPr="00A8469F">
        <w:rPr>
          <w:lang w:val="en-US"/>
        </w:rPr>
        <w:t>n a quarter-to-quarter</w:t>
      </w:r>
      <w:r w:rsidR="00A4648A">
        <w:rPr>
          <w:lang w:val="en-US"/>
        </w:rPr>
        <w:t xml:space="preserve"> basis, an improvement in growth from 1.0% q-o-q to 1.9% q-o-q was seen.</w:t>
      </w:r>
      <w:r w:rsidR="00A4648A">
        <w:rPr>
          <w:rStyle w:val="EndnoteReference"/>
          <w:lang w:val="en-US"/>
        </w:rPr>
        <w:endnoteReference w:id="14"/>
      </w:r>
    </w:p>
    <w:p w14:paraId="10C0F6F9" w14:textId="6FD5A63B" w:rsidR="00A4648A" w:rsidRDefault="00A4648A" w:rsidP="00B567DA">
      <w:pPr>
        <w:rPr>
          <w:rFonts w:cs="Arial"/>
          <w:color w:val="000000"/>
          <w:sz w:val="21"/>
          <w:szCs w:val="21"/>
          <w:shd w:val="clear" w:color="auto" w:fill="FFFFFF"/>
        </w:rPr>
      </w:pPr>
      <w:r>
        <w:rPr>
          <w:lang w:val="en-US"/>
        </w:rPr>
        <w:t xml:space="preserve">Behind this improvement in private sector credit growth was the gradual improvement in consumer credit demand, based </w:t>
      </w:r>
      <w:r w:rsidRPr="00BF69C4">
        <w:rPr>
          <w:lang w:val="en-US"/>
        </w:rPr>
        <w:t xml:space="preserve">upon </w:t>
      </w:r>
      <w:r w:rsidRPr="00BF69C4">
        <w:rPr>
          <w:rFonts w:cs="Arial"/>
          <w:color w:val="000000"/>
          <w:sz w:val="21"/>
          <w:szCs w:val="21"/>
          <w:shd w:val="clear" w:color="auto" w:fill="FFFFFF"/>
        </w:rPr>
        <w:t xml:space="preserve">modestly lower interest rates and </w:t>
      </w:r>
      <w:r>
        <w:rPr>
          <w:rFonts w:cs="Arial"/>
          <w:color w:val="000000"/>
          <w:sz w:val="21"/>
          <w:szCs w:val="21"/>
          <w:shd w:val="clear" w:color="auto" w:fill="FFFFFF"/>
        </w:rPr>
        <w:t>subdued inflation helping</w:t>
      </w:r>
      <w:r w:rsidRPr="00BF69C4">
        <w:rPr>
          <w:rFonts w:cs="Arial"/>
          <w:color w:val="000000"/>
          <w:sz w:val="21"/>
          <w:szCs w:val="21"/>
          <w:shd w:val="clear" w:color="auto" w:fill="FFFFFF"/>
        </w:rPr>
        <w:t xml:space="preserve"> affordability</w:t>
      </w:r>
      <w:r>
        <w:rPr>
          <w:rFonts w:cs="Arial"/>
          <w:color w:val="000000"/>
          <w:sz w:val="21"/>
          <w:szCs w:val="21"/>
          <w:shd w:val="clear" w:color="auto" w:fill="FFFFFF"/>
        </w:rPr>
        <w:t>.</w:t>
      </w:r>
      <w:r>
        <w:rPr>
          <w:rStyle w:val="EndnoteReference"/>
          <w:rFonts w:cs="Arial"/>
          <w:color w:val="000000"/>
          <w:sz w:val="21"/>
          <w:szCs w:val="21"/>
          <w:shd w:val="clear" w:color="auto" w:fill="FFFFFF"/>
        </w:rPr>
        <w:endnoteReference w:id="15"/>
      </w:r>
      <w:r w:rsidR="00D4721D">
        <w:rPr>
          <w:rFonts w:cs="Arial"/>
          <w:color w:val="000000"/>
          <w:sz w:val="21"/>
          <w:szCs w:val="21"/>
          <w:shd w:val="clear" w:color="auto" w:fill="FFFFFF"/>
        </w:rPr>
        <w:t xml:space="preserve"> Financial and other services companies account for more than 22% of GDP, suggesting a little bit of good news amongst a significant volume of disappointing economic data. </w:t>
      </w:r>
    </w:p>
    <w:p w14:paraId="46600085" w14:textId="26D1BC47" w:rsidR="0012767A" w:rsidRDefault="0012767A" w:rsidP="00A4648A">
      <w:pPr>
        <w:jc w:val="both"/>
        <w:rPr>
          <w:rFonts w:cs="Arial"/>
          <w:color w:val="000000"/>
          <w:sz w:val="21"/>
          <w:szCs w:val="21"/>
          <w:shd w:val="clear" w:color="auto" w:fill="FFFFFF"/>
        </w:rPr>
      </w:pPr>
    </w:p>
    <w:p w14:paraId="5730AC2F" w14:textId="16189ACA" w:rsidR="0012767A" w:rsidRDefault="0012767A" w:rsidP="00A4648A">
      <w:pPr>
        <w:jc w:val="both"/>
        <w:rPr>
          <w:rFonts w:cs="Arial"/>
          <w:color w:val="000000"/>
          <w:sz w:val="21"/>
          <w:szCs w:val="21"/>
          <w:shd w:val="clear" w:color="auto" w:fill="FFFFFF"/>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12767A" w14:paraId="63C1CC91" w14:textId="77777777" w:rsidTr="00C4312E">
        <w:trPr>
          <w:trHeight w:val="1101"/>
        </w:trPr>
        <w:tc>
          <w:tcPr>
            <w:tcW w:w="8782" w:type="dxa"/>
            <w:vAlign w:val="bottom"/>
          </w:tcPr>
          <w:p w14:paraId="2B8C9C07" w14:textId="681084C3" w:rsidR="0012767A" w:rsidRPr="00700042" w:rsidRDefault="0012767A" w:rsidP="0012767A">
            <w:pPr>
              <w:pStyle w:val="Heading2"/>
              <w:outlineLvl w:val="1"/>
            </w:pPr>
            <w:bookmarkStart w:id="11" w:name="_Toc10545933"/>
            <w:r w:rsidRPr="0012767A">
              <w:t>Economic transactions hampered by loadshedding</w:t>
            </w:r>
            <w:bookmarkEnd w:id="11"/>
          </w:p>
        </w:tc>
        <w:tc>
          <w:tcPr>
            <w:tcW w:w="1278" w:type="dxa"/>
            <w:vAlign w:val="bottom"/>
          </w:tcPr>
          <w:p w14:paraId="4C4A91A2" w14:textId="6BD87E02" w:rsidR="0012767A" w:rsidRDefault="0012767A" w:rsidP="00C4312E">
            <w:pPr>
              <w:jc w:val="center"/>
              <w:rPr>
                <w:lang w:val="en-US"/>
              </w:rPr>
            </w:pPr>
            <w:r w:rsidRPr="0012767A">
              <w:rPr>
                <w:noProof/>
                <w:lang w:val="en-US"/>
              </w:rPr>
              <w:drawing>
                <wp:inline distT="0" distB="0" distL="0" distR="0" wp14:anchorId="165FC8D3" wp14:editId="1540A3CC">
                  <wp:extent cx="612140" cy="612140"/>
                  <wp:effectExtent l="0" t="0" r="0" b="0"/>
                  <wp:docPr id="51299" name="Picture 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48F6EC5B" w14:textId="20F28847" w:rsidR="0012767A" w:rsidRDefault="0012767A" w:rsidP="00A4648A">
      <w:pPr>
        <w:jc w:val="both"/>
        <w:rPr>
          <w:rFonts w:cs="Arial"/>
          <w:color w:val="000000"/>
          <w:sz w:val="21"/>
          <w:szCs w:val="21"/>
          <w:shd w:val="clear" w:color="auto" w:fill="FFFFFF"/>
        </w:rPr>
      </w:pPr>
    </w:p>
    <w:p w14:paraId="6728D45D" w14:textId="170F979A" w:rsidR="00A4648A" w:rsidRDefault="0012767A" w:rsidP="00B567DA">
      <w:pPr>
        <w:rPr>
          <w:lang w:val="en-US"/>
        </w:rPr>
      </w:pPr>
      <w:r w:rsidRPr="0012767A">
        <w:rPr>
          <w:noProof/>
          <w:lang w:val="en-US"/>
        </w:rPr>
        <w:drawing>
          <wp:anchor distT="0" distB="0" distL="114300" distR="114300" simplePos="0" relativeHeight="251952128" behindDoc="0" locked="0" layoutInCell="1" allowOverlap="1" wp14:anchorId="22637B79" wp14:editId="440997C2">
            <wp:simplePos x="0" y="0"/>
            <wp:positionH relativeFrom="column">
              <wp:posOffset>-3356</wp:posOffset>
            </wp:positionH>
            <wp:positionV relativeFrom="paragraph">
              <wp:posOffset>3175</wp:posOffset>
            </wp:positionV>
            <wp:extent cx="2996565" cy="2269490"/>
            <wp:effectExtent l="0" t="0" r="0" b="0"/>
            <wp:wrapSquare wrapText="bothSides"/>
            <wp:docPr id="51298" name="Picture 5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The </w:t>
      </w:r>
      <w:r w:rsidR="00A4648A" w:rsidRPr="0096278E">
        <w:rPr>
          <w:lang w:val="en-US"/>
        </w:rPr>
        <w:t xml:space="preserve">BankservAfrica Economic Transactions Index </w:t>
      </w:r>
      <w:r w:rsidR="00A4648A">
        <w:rPr>
          <w:lang w:val="en-US"/>
        </w:rPr>
        <w:t>(BETI) decreased by 1.4</w:t>
      </w:r>
      <w:r w:rsidR="00A4648A" w:rsidRPr="00A8469F">
        <w:rPr>
          <w:lang w:val="en-US"/>
        </w:rPr>
        <w:t xml:space="preserve">% </w:t>
      </w:r>
      <w:r w:rsidR="00A4648A">
        <w:rPr>
          <w:lang w:val="en-US"/>
        </w:rPr>
        <w:t>y-o-y in March after rising by 2.4</w:t>
      </w:r>
      <w:r w:rsidR="00A4648A" w:rsidRPr="00A8469F">
        <w:rPr>
          <w:lang w:val="en-US"/>
        </w:rPr>
        <w:t>% y-o-y in Februar</w:t>
      </w:r>
      <w:r w:rsidR="00A4648A">
        <w:rPr>
          <w:lang w:val="en-US"/>
        </w:rPr>
        <w:t>y, with an average increase of 1.5% y-o-y during Q1 of 2019.</w:t>
      </w:r>
      <w:r w:rsidR="00A4648A">
        <w:rPr>
          <w:rStyle w:val="EndnoteReference"/>
          <w:lang w:val="en-US"/>
        </w:rPr>
        <w:endnoteReference w:id="16"/>
      </w:r>
      <w:r w:rsidR="00A4648A">
        <w:rPr>
          <w:lang w:val="en-US"/>
        </w:rPr>
        <w:t xml:space="preserve"> O</w:t>
      </w:r>
      <w:r w:rsidR="00A4648A" w:rsidRPr="00A8469F">
        <w:rPr>
          <w:lang w:val="en-US"/>
        </w:rPr>
        <w:t>n a quarter</w:t>
      </w:r>
      <w:r w:rsidR="00A4648A">
        <w:rPr>
          <w:lang w:val="en-US"/>
        </w:rPr>
        <w:t>ly basis, a huge deterioration was measured, with a growth rate of 4.9% q-o-q in Q4 of 2018 followed by a 7.8% q-o-q decline in Q1 of 2019.</w:t>
      </w:r>
      <w:r w:rsidR="00A4648A">
        <w:rPr>
          <w:rStyle w:val="EndnoteReference"/>
          <w:lang w:val="en-US"/>
        </w:rPr>
        <w:endnoteReference w:id="17"/>
      </w:r>
    </w:p>
    <w:p w14:paraId="2467DDBC" w14:textId="76FCBB42" w:rsidR="00A4648A" w:rsidRDefault="00A4648A" w:rsidP="00B567DA">
      <w:r>
        <w:rPr>
          <w:lang w:val="en-US"/>
        </w:rPr>
        <w:t xml:space="preserve">This deterioration from Q4 of 2018 was largely due to loadshedding hurting the South African economy and buyers’ ability to conclude electronic transactions. </w:t>
      </w:r>
      <w:r w:rsidRPr="00CB2250">
        <w:rPr>
          <w:lang w:val="en-US"/>
        </w:rPr>
        <w:t xml:space="preserve">This brought </w:t>
      </w:r>
      <w:r w:rsidRPr="00CB2250">
        <w:t>the real value of economic transactions down</w:t>
      </w:r>
      <w:r>
        <w:t>:</w:t>
      </w:r>
      <w:r w:rsidRPr="00CB2250">
        <w:t xml:space="preserve"> </w:t>
      </w:r>
      <w:r>
        <w:t>the</w:t>
      </w:r>
      <w:r w:rsidRPr="00CB2250">
        <w:t xml:space="preserve"> actual number of transactions declined </w:t>
      </w:r>
      <w:r>
        <w:t xml:space="preserve">this year </w:t>
      </w:r>
      <w:r w:rsidRPr="00CB2250">
        <w:t xml:space="preserve">for </w:t>
      </w:r>
      <w:r>
        <w:t>the first time since April 2017.</w:t>
      </w:r>
      <w:r>
        <w:rPr>
          <w:rStyle w:val="EndnoteReference"/>
        </w:rPr>
        <w:endnoteReference w:id="18"/>
      </w:r>
    </w:p>
    <w:p w14:paraId="433920F2" w14:textId="52A4E441" w:rsidR="0012767A" w:rsidRDefault="0012767A" w:rsidP="00A4648A">
      <w:pPr>
        <w:jc w:val="both"/>
      </w:pPr>
    </w:p>
    <w:p w14:paraId="1AD581A2" w14:textId="638B7638" w:rsidR="0012767A" w:rsidRDefault="0012767A" w:rsidP="00A4648A">
      <w:pPr>
        <w:jc w:val="both"/>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12767A" w14:paraId="461077A3" w14:textId="77777777" w:rsidTr="00C4312E">
        <w:trPr>
          <w:trHeight w:val="1101"/>
        </w:trPr>
        <w:tc>
          <w:tcPr>
            <w:tcW w:w="8782" w:type="dxa"/>
            <w:vAlign w:val="bottom"/>
          </w:tcPr>
          <w:p w14:paraId="0A287124" w14:textId="2CAC542C" w:rsidR="0012767A" w:rsidRPr="00700042" w:rsidRDefault="0012767A" w:rsidP="0012767A">
            <w:pPr>
              <w:pStyle w:val="Heading2"/>
              <w:outlineLvl w:val="1"/>
            </w:pPr>
            <w:bookmarkStart w:id="12" w:name="_Toc10545934"/>
            <w:r w:rsidRPr="0012767A">
              <w:lastRenderedPageBreak/>
              <w:t>Freight transport loses momentum on weak economy</w:t>
            </w:r>
            <w:bookmarkEnd w:id="12"/>
          </w:p>
        </w:tc>
        <w:tc>
          <w:tcPr>
            <w:tcW w:w="1278" w:type="dxa"/>
            <w:vAlign w:val="bottom"/>
          </w:tcPr>
          <w:p w14:paraId="4C893058" w14:textId="5543EC47" w:rsidR="0012767A" w:rsidRDefault="0012767A" w:rsidP="00C4312E">
            <w:pPr>
              <w:jc w:val="center"/>
              <w:rPr>
                <w:lang w:val="en-US"/>
              </w:rPr>
            </w:pPr>
            <w:r w:rsidRPr="0012767A">
              <w:rPr>
                <w:noProof/>
                <w:lang w:val="en-US"/>
              </w:rPr>
              <w:drawing>
                <wp:inline distT="0" distB="0" distL="0" distR="0" wp14:anchorId="74A80FE5" wp14:editId="011672EF">
                  <wp:extent cx="669290" cy="669290"/>
                  <wp:effectExtent l="0" t="0" r="0" b="0"/>
                  <wp:docPr id="51302" name="Picture 5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78433701" w14:textId="77777777" w:rsidR="0012767A" w:rsidRDefault="0012767A" w:rsidP="00A4648A">
      <w:pPr>
        <w:jc w:val="both"/>
      </w:pPr>
    </w:p>
    <w:p w14:paraId="35A70DFE" w14:textId="636A6F3E" w:rsidR="00A4648A" w:rsidRPr="007B49BC" w:rsidRDefault="0012767A" w:rsidP="00B567DA">
      <w:pPr>
        <w:rPr>
          <w:lang w:val="en-US"/>
        </w:rPr>
      </w:pPr>
      <w:r w:rsidRPr="0012767A">
        <w:rPr>
          <w:noProof/>
          <w:lang w:val="en-US"/>
        </w:rPr>
        <w:drawing>
          <wp:anchor distT="0" distB="0" distL="114300" distR="114300" simplePos="0" relativeHeight="251953152" behindDoc="0" locked="0" layoutInCell="1" allowOverlap="1" wp14:anchorId="21FFAA74" wp14:editId="34ADD73A">
            <wp:simplePos x="0" y="0"/>
            <wp:positionH relativeFrom="column">
              <wp:posOffset>-3356</wp:posOffset>
            </wp:positionH>
            <wp:positionV relativeFrom="paragraph">
              <wp:posOffset>3356</wp:posOffset>
            </wp:positionV>
            <wp:extent cx="2996565" cy="2269490"/>
            <wp:effectExtent l="0" t="0" r="0" b="0"/>
            <wp:wrapSquare wrapText="bothSides"/>
            <wp:docPr id="51301" name="Picture 5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656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Freight transportation tonnage increased by </w:t>
      </w:r>
      <w:r w:rsidR="00A4648A" w:rsidRPr="007B49BC">
        <w:rPr>
          <w:lang w:val="en-US"/>
        </w:rPr>
        <w:t>1.4% y-o-y</w:t>
      </w:r>
      <w:r w:rsidR="00A4648A">
        <w:rPr>
          <w:lang w:val="en-US"/>
        </w:rPr>
        <w:t xml:space="preserve"> in March after declining by 1.9</w:t>
      </w:r>
      <w:r w:rsidR="00A4648A" w:rsidRPr="007B49BC">
        <w:rPr>
          <w:lang w:val="en-US"/>
        </w:rPr>
        <w:t>% y-o-y in February,</w:t>
      </w:r>
      <w:r w:rsidR="00A4648A">
        <w:rPr>
          <w:lang w:val="en-US"/>
        </w:rPr>
        <w:t xml:space="preserve"> with an average increase of 1.2</w:t>
      </w:r>
      <w:r w:rsidR="00A4648A" w:rsidRPr="007B49BC">
        <w:rPr>
          <w:lang w:val="en-US"/>
        </w:rPr>
        <w:t>% y-o-y during Q1 of 2019</w:t>
      </w:r>
      <w:r w:rsidR="00A4648A">
        <w:rPr>
          <w:lang w:val="en-US"/>
        </w:rPr>
        <w:t>. This was much weaker than a growth rate of 8.5% y-o-y seen in Q4 of 2018.</w:t>
      </w:r>
      <w:r w:rsidR="00A4648A">
        <w:rPr>
          <w:rStyle w:val="EndnoteReference"/>
          <w:lang w:val="en-US"/>
        </w:rPr>
        <w:endnoteReference w:id="19"/>
      </w:r>
      <w:r w:rsidR="00A4648A">
        <w:rPr>
          <w:lang w:val="en-US"/>
        </w:rPr>
        <w:t xml:space="preserve"> O</w:t>
      </w:r>
      <w:r w:rsidR="00A4648A" w:rsidRPr="007B49BC">
        <w:rPr>
          <w:lang w:val="en-US"/>
        </w:rPr>
        <w:t>n a quarter</w:t>
      </w:r>
      <w:r w:rsidR="00A4648A">
        <w:rPr>
          <w:lang w:val="en-US"/>
        </w:rPr>
        <w:t>ly basis, a huge deterioration was experienced, from 0.4% q-o-q growth in Q4 of 2018 to a 9.2% q-o-q contraction in tonnage moved in following three-month period.</w:t>
      </w:r>
      <w:r w:rsidR="00A4648A">
        <w:rPr>
          <w:rStyle w:val="EndnoteReference"/>
          <w:lang w:val="en-US"/>
        </w:rPr>
        <w:endnoteReference w:id="20"/>
      </w:r>
      <w:r w:rsidR="00A4648A">
        <w:rPr>
          <w:lang w:val="en-US"/>
        </w:rPr>
        <w:t xml:space="preserve"> </w:t>
      </w:r>
    </w:p>
    <w:p w14:paraId="64D09B51" w14:textId="77777777" w:rsidR="00A4648A" w:rsidRDefault="00A4648A" w:rsidP="00B567DA">
      <w:pPr>
        <w:rPr>
          <w:lang w:val="en-US"/>
        </w:rPr>
      </w:pPr>
      <w:r>
        <w:rPr>
          <w:lang w:val="en-US"/>
        </w:rPr>
        <w:t>The weak trends in South Africa’s freight industry is due to an overall weak economy, increasing fuel prices, safety and security concerns, shortage of skilled workers, and deteriorating roads.</w:t>
      </w:r>
      <w:r>
        <w:rPr>
          <w:rStyle w:val="EndnoteReference"/>
          <w:lang w:val="en-US"/>
        </w:rPr>
        <w:endnoteReference w:id="21"/>
      </w:r>
    </w:p>
    <w:p w14:paraId="31E36EA8" w14:textId="44CC3577" w:rsidR="00A4648A" w:rsidRDefault="00A4648A" w:rsidP="00A4648A">
      <w:pPr>
        <w:jc w:val="both"/>
        <w:rPr>
          <w:lang w:val="en-US"/>
        </w:rPr>
      </w:pPr>
    </w:p>
    <w:p w14:paraId="3EFE6798" w14:textId="5172BAC8" w:rsidR="00C4312E" w:rsidRDefault="00C4312E" w:rsidP="00A4648A">
      <w:pPr>
        <w:jc w:val="both"/>
        <w:rPr>
          <w:lang w:val="en-US"/>
        </w:rPr>
      </w:pPr>
    </w:p>
    <w:p w14:paraId="397459B5" w14:textId="5BB6A00D" w:rsidR="00C4312E" w:rsidRDefault="00C4312E" w:rsidP="00A4648A">
      <w:pPr>
        <w:jc w:val="both"/>
        <w:rPr>
          <w:lang w:val="en-US"/>
        </w:rPr>
      </w:pPr>
    </w:p>
    <w:p w14:paraId="0826F269" w14:textId="5AF242CF" w:rsidR="00C4312E" w:rsidRDefault="00C4312E" w:rsidP="00A4648A">
      <w:pPr>
        <w:jc w:val="both"/>
        <w:rPr>
          <w:lang w:val="en-US"/>
        </w:rPr>
      </w:pPr>
    </w:p>
    <w:p w14:paraId="1AF9EB06" w14:textId="4272A0E5" w:rsidR="00C4312E" w:rsidRDefault="00C4312E" w:rsidP="00A4648A">
      <w:pPr>
        <w:jc w:val="both"/>
        <w:rPr>
          <w:lang w:val="en-US"/>
        </w:rPr>
      </w:pPr>
    </w:p>
    <w:p w14:paraId="42933DFE" w14:textId="6124C0D7" w:rsidR="00C4312E" w:rsidRDefault="00C4312E" w:rsidP="00A4648A">
      <w:pPr>
        <w:jc w:val="both"/>
        <w:rPr>
          <w:lang w:val="en-US"/>
        </w:rPr>
      </w:pPr>
    </w:p>
    <w:p w14:paraId="5A06E307" w14:textId="379CD60F" w:rsidR="00452199" w:rsidRDefault="00452199" w:rsidP="00A4648A">
      <w:pPr>
        <w:jc w:val="both"/>
        <w:rPr>
          <w:lang w:val="en-US"/>
        </w:rPr>
      </w:pPr>
    </w:p>
    <w:p w14:paraId="16CCCC94" w14:textId="2618B18B" w:rsidR="00452199" w:rsidRDefault="00452199" w:rsidP="00A4648A">
      <w:pPr>
        <w:jc w:val="both"/>
        <w:rPr>
          <w:lang w:val="en-US"/>
        </w:rPr>
      </w:pPr>
    </w:p>
    <w:p w14:paraId="1C5FE6CF" w14:textId="66984087" w:rsidR="00452199" w:rsidRDefault="00452199" w:rsidP="00A4648A">
      <w:pPr>
        <w:jc w:val="both"/>
        <w:rPr>
          <w:lang w:val="en-US"/>
        </w:rPr>
      </w:pPr>
    </w:p>
    <w:p w14:paraId="79F070E7" w14:textId="50BF832F" w:rsidR="00452199" w:rsidRDefault="00452199" w:rsidP="00A4648A">
      <w:pPr>
        <w:jc w:val="both"/>
        <w:rPr>
          <w:lang w:val="en-US"/>
        </w:rPr>
      </w:pPr>
    </w:p>
    <w:p w14:paraId="5E188EF2" w14:textId="36E2E223" w:rsidR="00452199" w:rsidRDefault="00452199" w:rsidP="00A4648A">
      <w:pPr>
        <w:jc w:val="both"/>
        <w:rPr>
          <w:lang w:val="en-US"/>
        </w:rPr>
      </w:pPr>
    </w:p>
    <w:p w14:paraId="390A31F5" w14:textId="238AE9EA" w:rsidR="00452199" w:rsidRDefault="00452199" w:rsidP="00A4648A">
      <w:pPr>
        <w:jc w:val="both"/>
        <w:rPr>
          <w:lang w:val="en-US"/>
        </w:rPr>
      </w:pPr>
    </w:p>
    <w:p w14:paraId="233C795F" w14:textId="77777777" w:rsidR="00452199" w:rsidRDefault="00452199" w:rsidP="00A4648A">
      <w:pPr>
        <w:jc w:val="both"/>
        <w:rPr>
          <w:lang w:val="en-US"/>
        </w:rPr>
      </w:pPr>
    </w:p>
    <w:p w14:paraId="1E6B7A41" w14:textId="037E5BA0" w:rsidR="00C4312E" w:rsidRDefault="00C4312E" w:rsidP="00A4648A">
      <w:pPr>
        <w:jc w:val="both"/>
        <w:rPr>
          <w:lang w:val="en-US"/>
        </w:rPr>
      </w:pPr>
    </w:p>
    <w:p w14:paraId="218DBEB3" w14:textId="7C77392E" w:rsidR="00C4312E" w:rsidRDefault="00C4312E" w:rsidP="00A4648A">
      <w:pPr>
        <w:jc w:val="both"/>
        <w:rPr>
          <w:lang w:val="en-US"/>
        </w:rPr>
      </w:pPr>
    </w:p>
    <w:p w14:paraId="04D9902D" w14:textId="73171B39" w:rsidR="00C4312E" w:rsidRDefault="00C4312E" w:rsidP="00A4648A">
      <w:pPr>
        <w:jc w:val="both"/>
        <w:rPr>
          <w:lang w:val="en-US"/>
        </w:rPr>
      </w:pPr>
    </w:p>
    <w:p w14:paraId="3D8A9BFE" w14:textId="05BCB8D3" w:rsidR="00C01603" w:rsidRPr="00C01603" w:rsidRDefault="00C4312E" w:rsidP="00C01603">
      <w:pPr>
        <w:pStyle w:val="Heading1"/>
        <w:ind w:left="567" w:hanging="567"/>
      </w:pPr>
      <w:bookmarkStart w:id="13" w:name="_Toc10545935"/>
      <w:r>
        <w:lastRenderedPageBreak/>
        <w:t>Key i</w:t>
      </w:r>
      <w:r w:rsidR="00C01603">
        <w:t>ndices</w:t>
      </w:r>
      <w:bookmarkEnd w:id="13"/>
    </w:p>
    <w:p w14:paraId="1504B824" w14:textId="0999480A" w:rsidR="0012767A" w:rsidRPr="00A51B45" w:rsidRDefault="00A51B45" w:rsidP="00A51B45">
      <w:pPr>
        <w:jc w:val="both"/>
        <w:rPr>
          <w:lang w:val="en-US"/>
        </w:rPr>
      </w:pPr>
      <w:r>
        <w:rPr>
          <w:lang w:val="en-US"/>
        </w:rPr>
        <w:t xml:space="preserve">The following subsections reflect on key indices </w:t>
      </w:r>
      <w:r w:rsidRPr="00A51B45">
        <w:rPr>
          <w:lang w:val="en-US"/>
        </w:rPr>
        <w:t>required to better understand the GDP outcome. These include</w:t>
      </w:r>
      <w:r>
        <w:rPr>
          <w:lang w:val="en-US"/>
        </w:rPr>
        <w:t xml:space="preserve"> construction sector confidence, consumer and business sentiment, policy uncertainty, and the overall business climate. </w:t>
      </w:r>
    </w:p>
    <w:p w14:paraId="73207C88" w14:textId="3112D10C" w:rsidR="0012767A" w:rsidRDefault="0012767A"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12767A" w14:paraId="623EA8E6" w14:textId="77777777" w:rsidTr="00C4312E">
        <w:trPr>
          <w:trHeight w:val="1101"/>
        </w:trPr>
        <w:tc>
          <w:tcPr>
            <w:tcW w:w="8782" w:type="dxa"/>
            <w:vAlign w:val="bottom"/>
          </w:tcPr>
          <w:p w14:paraId="246C918B" w14:textId="3CBD4AE4" w:rsidR="0012767A" w:rsidRPr="00700042" w:rsidRDefault="0012767A" w:rsidP="0012767A">
            <w:pPr>
              <w:pStyle w:val="Heading2"/>
              <w:ind w:left="606"/>
              <w:outlineLvl w:val="1"/>
            </w:pPr>
            <w:bookmarkStart w:id="14" w:name="_Toc10545936"/>
            <w:r w:rsidRPr="0012767A">
              <w:t>Construction confidence drops as contractors struggle</w:t>
            </w:r>
            <w:bookmarkEnd w:id="14"/>
            <w:r w:rsidRPr="0012767A">
              <w:t xml:space="preserve"> </w:t>
            </w:r>
          </w:p>
        </w:tc>
        <w:tc>
          <w:tcPr>
            <w:tcW w:w="1278" w:type="dxa"/>
            <w:vAlign w:val="bottom"/>
          </w:tcPr>
          <w:p w14:paraId="741845E7" w14:textId="3A61AEA6" w:rsidR="0012767A" w:rsidRDefault="00C01603" w:rsidP="00C4312E">
            <w:pPr>
              <w:jc w:val="center"/>
              <w:rPr>
                <w:lang w:val="en-US"/>
              </w:rPr>
            </w:pPr>
            <w:r w:rsidRPr="00C01603">
              <w:rPr>
                <w:noProof/>
                <w:lang w:val="en-US"/>
              </w:rPr>
              <w:drawing>
                <wp:inline distT="0" distB="0" distL="0" distR="0" wp14:anchorId="2A5B6200" wp14:editId="68811078">
                  <wp:extent cx="612140" cy="612140"/>
                  <wp:effectExtent l="0" t="0" r="0" b="0"/>
                  <wp:docPr id="51305" name="Picture 5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39EA7B26" w14:textId="77777777" w:rsidR="0012767A" w:rsidRDefault="0012767A" w:rsidP="00A4648A">
      <w:pPr>
        <w:jc w:val="both"/>
        <w:rPr>
          <w:lang w:val="en-US"/>
        </w:rPr>
      </w:pPr>
    </w:p>
    <w:p w14:paraId="43957E14" w14:textId="46583D67" w:rsidR="00A4648A" w:rsidRDefault="0012767A" w:rsidP="00B567DA">
      <w:pPr>
        <w:rPr>
          <w:lang w:val="en-US"/>
        </w:rPr>
      </w:pPr>
      <w:r w:rsidRPr="0012767A">
        <w:rPr>
          <w:noProof/>
          <w:lang w:val="en-US"/>
        </w:rPr>
        <w:drawing>
          <wp:anchor distT="0" distB="0" distL="114300" distR="114300" simplePos="0" relativeHeight="251954176" behindDoc="0" locked="0" layoutInCell="1" allowOverlap="1" wp14:anchorId="516488EF" wp14:editId="50DF0D78">
            <wp:simplePos x="0" y="0"/>
            <wp:positionH relativeFrom="column">
              <wp:posOffset>-3356</wp:posOffset>
            </wp:positionH>
            <wp:positionV relativeFrom="paragraph">
              <wp:posOffset>3175</wp:posOffset>
            </wp:positionV>
            <wp:extent cx="2955290" cy="1297940"/>
            <wp:effectExtent l="0" t="0" r="0" b="0"/>
            <wp:wrapSquare wrapText="bothSides"/>
            <wp:docPr id="51304" name="Picture 5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529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The RMB/BER Civil Confidence Index (CCI) fell to its lowest level on record in early 2019, dropping to 10 points (on a scale of 0 to 100</w:t>
      </w:r>
      <w:r w:rsidR="000C1895">
        <w:rPr>
          <w:lang w:val="en-US"/>
        </w:rPr>
        <w:t>, with a higher score indicating better sentiment</w:t>
      </w:r>
      <w:r w:rsidR="00A4648A">
        <w:rPr>
          <w:lang w:val="en-US"/>
        </w:rPr>
        <w:t xml:space="preserve">) after it remained predominately unchanged in the latter half of 2018. </w:t>
      </w:r>
      <w:r w:rsidR="000C1895">
        <w:rPr>
          <w:lang w:val="en-US"/>
        </w:rPr>
        <w:t xml:space="preserve">The outcome indicates that about </w:t>
      </w:r>
      <w:r w:rsidR="00A4648A" w:rsidRPr="00723958">
        <w:rPr>
          <w:lang w:val="en-US"/>
        </w:rPr>
        <w:t>90% of respondents indicated they are not happy with prevailing busi</w:t>
      </w:r>
      <w:r w:rsidR="00A4648A">
        <w:rPr>
          <w:lang w:val="en-US"/>
        </w:rPr>
        <w:t>ness conditions.</w:t>
      </w:r>
      <w:r w:rsidR="00A4648A">
        <w:rPr>
          <w:rStyle w:val="EndnoteReference"/>
          <w:lang w:val="en-US"/>
        </w:rPr>
        <w:endnoteReference w:id="22"/>
      </w:r>
    </w:p>
    <w:p w14:paraId="5912A5FF" w14:textId="58753199" w:rsidR="00A4648A" w:rsidRDefault="00A4648A" w:rsidP="00B567DA">
      <w:pPr>
        <w:rPr>
          <w:rFonts w:cs="Arial"/>
          <w:color w:val="000000"/>
          <w:sz w:val="21"/>
          <w:szCs w:val="21"/>
          <w:shd w:val="clear" w:color="auto" w:fill="FFFFFF"/>
        </w:rPr>
      </w:pPr>
      <w:r>
        <w:rPr>
          <w:lang w:val="en-US"/>
        </w:rPr>
        <w:t xml:space="preserve">This lack in confidence stems from the growing struggle that civil contractors are experiencing in the economy, </w:t>
      </w:r>
      <w:r w:rsidRPr="00AB5AFA">
        <w:rPr>
          <w:rFonts w:cs="Arial"/>
          <w:color w:val="000000"/>
          <w:sz w:val="21"/>
          <w:szCs w:val="21"/>
          <w:shd w:val="clear" w:color="auto" w:fill="FFFFFF"/>
        </w:rPr>
        <w:t>slowdown in activity growth</w:t>
      </w:r>
      <w:r>
        <w:rPr>
          <w:rFonts w:cs="Arial"/>
          <w:color w:val="000000"/>
          <w:sz w:val="21"/>
          <w:szCs w:val="21"/>
          <w:shd w:val="clear" w:color="auto" w:fill="FFFFFF"/>
        </w:rPr>
        <w:t xml:space="preserve"> and weak demand. This, in turn, has had crippling effects on construction companies’ profitability.</w:t>
      </w:r>
      <w:r>
        <w:rPr>
          <w:rStyle w:val="EndnoteReference"/>
          <w:rFonts w:cs="Arial"/>
          <w:color w:val="000000"/>
          <w:sz w:val="21"/>
          <w:szCs w:val="21"/>
          <w:shd w:val="clear" w:color="auto" w:fill="FFFFFF"/>
        </w:rPr>
        <w:endnoteReference w:id="23"/>
      </w:r>
      <w:r w:rsidR="00D4721D">
        <w:rPr>
          <w:rFonts w:cs="Arial"/>
          <w:color w:val="000000"/>
          <w:sz w:val="21"/>
          <w:szCs w:val="21"/>
          <w:shd w:val="clear" w:color="auto" w:fill="FFFFFF"/>
        </w:rPr>
        <w:t xml:space="preserve"> While construction accounts for less than 4% of GDP, its influence is felt throughout the economy where fixed investment occurs. </w:t>
      </w:r>
    </w:p>
    <w:p w14:paraId="760AC649" w14:textId="0FFC0BD1" w:rsidR="0012767A" w:rsidRDefault="0012767A" w:rsidP="00A4648A">
      <w:pPr>
        <w:jc w:val="both"/>
        <w:rPr>
          <w:rFonts w:cs="Arial"/>
          <w:b/>
          <w:color w:val="000000"/>
          <w:sz w:val="21"/>
          <w:szCs w:val="21"/>
          <w:shd w:val="clear" w:color="auto" w:fill="FFFFFF"/>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01603" w14:paraId="0FD40B46" w14:textId="77777777" w:rsidTr="00C4312E">
        <w:trPr>
          <w:trHeight w:val="1101"/>
        </w:trPr>
        <w:tc>
          <w:tcPr>
            <w:tcW w:w="8782" w:type="dxa"/>
            <w:vAlign w:val="bottom"/>
          </w:tcPr>
          <w:p w14:paraId="2425117D" w14:textId="31B98049" w:rsidR="00C01603" w:rsidRPr="00700042" w:rsidRDefault="00C01603" w:rsidP="00C01603">
            <w:pPr>
              <w:pStyle w:val="Heading2"/>
              <w:ind w:left="606"/>
              <w:outlineLvl w:val="1"/>
            </w:pPr>
            <w:bookmarkStart w:id="15" w:name="_Toc10545937"/>
            <w:r w:rsidRPr="00C01603">
              <w:t>Consumer confidence lower as cost-of-living increases</w:t>
            </w:r>
            <w:bookmarkEnd w:id="15"/>
          </w:p>
        </w:tc>
        <w:tc>
          <w:tcPr>
            <w:tcW w:w="1278" w:type="dxa"/>
            <w:vAlign w:val="bottom"/>
          </w:tcPr>
          <w:p w14:paraId="3D1CAADF" w14:textId="1BF6F3E5" w:rsidR="00C01603" w:rsidRDefault="00C01603" w:rsidP="00C4312E">
            <w:pPr>
              <w:jc w:val="center"/>
              <w:rPr>
                <w:lang w:val="en-US"/>
              </w:rPr>
            </w:pPr>
            <w:r w:rsidRPr="00C01603">
              <w:rPr>
                <w:noProof/>
                <w:lang w:val="en-US"/>
              </w:rPr>
              <w:drawing>
                <wp:inline distT="0" distB="0" distL="0" distR="0" wp14:anchorId="0BBA2225" wp14:editId="1A1B14BA">
                  <wp:extent cx="612140" cy="612140"/>
                  <wp:effectExtent l="0" t="0" r="0" b="0"/>
                  <wp:docPr id="51308" name="Picture 5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535E0DD7" w14:textId="5DF89AA5" w:rsidR="0012767A" w:rsidRDefault="0012767A" w:rsidP="00A4648A">
      <w:pPr>
        <w:jc w:val="both"/>
        <w:rPr>
          <w:rFonts w:cs="Arial"/>
          <w:b/>
          <w:color w:val="000000"/>
          <w:sz w:val="21"/>
          <w:szCs w:val="21"/>
          <w:shd w:val="clear" w:color="auto" w:fill="FFFFFF"/>
        </w:rPr>
      </w:pPr>
    </w:p>
    <w:p w14:paraId="368541C8" w14:textId="742FCBA8" w:rsidR="00A4648A" w:rsidRDefault="00C01603" w:rsidP="00B567DA">
      <w:pPr>
        <w:rPr>
          <w:color w:val="333333"/>
          <w:shd w:val="clear" w:color="auto" w:fill="FFFFFF"/>
        </w:rPr>
      </w:pPr>
      <w:r w:rsidRPr="00C01603">
        <w:rPr>
          <w:noProof/>
          <w:lang w:val="en-US"/>
        </w:rPr>
        <w:drawing>
          <wp:anchor distT="0" distB="0" distL="114300" distR="114300" simplePos="0" relativeHeight="251955200" behindDoc="0" locked="0" layoutInCell="1" allowOverlap="1" wp14:anchorId="030AE899" wp14:editId="4B11E6DD">
            <wp:simplePos x="0" y="0"/>
            <wp:positionH relativeFrom="column">
              <wp:posOffset>-3356</wp:posOffset>
            </wp:positionH>
            <wp:positionV relativeFrom="paragraph">
              <wp:posOffset>-2086</wp:posOffset>
            </wp:positionV>
            <wp:extent cx="2955290" cy="1297940"/>
            <wp:effectExtent l="0" t="0" r="0" b="0"/>
            <wp:wrapSquare wrapText="bothSides"/>
            <wp:docPr id="51307" name="Picture 5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529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Pr>
          <w:lang w:val="en-US"/>
        </w:rPr>
        <w:t xml:space="preserve">The RMB/BER Consumer Confidence Index (CCI) fell t0 2 index points in the first quarter of 2019 from 7 </w:t>
      </w:r>
      <w:r w:rsidR="00A4648A" w:rsidRPr="00D229F2">
        <w:rPr>
          <w:lang w:val="en-US"/>
        </w:rPr>
        <w:t xml:space="preserve">points </w:t>
      </w:r>
      <w:r w:rsidR="00A4648A">
        <w:rPr>
          <w:lang w:val="en-US"/>
        </w:rPr>
        <w:t xml:space="preserve">in the previous period, </w:t>
      </w:r>
      <w:r w:rsidR="00A4648A" w:rsidRPr="00D229F2">
        <w:rPr>
          <w:color w:val="333333"/>
          <w:shd w:val="clear" w:color="auto" w:fill="FFFFFF"/>
        </w:rPr>
        <w:t xml:space="preserve">recording its lowest level </w:t>
      </w:r>
      <w:r w:rsidR="00A4648A">
        <w:rPr>
          <w:color w:val="333333"/>
          <w:shd w:val="clear" w:color="auto" w:fill="FFFFFF"/>
        </w:rPr>
        <w:t>since the appointment of President Ramaphosa in early 2018.</w:t>
      </w:r>
      <w:r w:rsidR="00A4648A">
        <w:rPr>
          <w:rStyle w:val="EndnoteReference"/>
          <w:color w:val="333333"/>
          <w:shd w:val="clear" w:color="auto" w:fill="FFFFFF"/>
        </w:rPr>
        <w:endnoteReference w:id="24"/>
      </w:r>
      <w:r w:rsidR="000C1895">
        <w:rPr>
          <w:color w:val="333333"/>
          <w:shd w:val="clear" w:color="auto" w:fill="FFFFFF"/>
        </w:rPr>
        <w:t xml:space="preserve"> A score of zero is considered neutral, with any reading above this level being positive. </w:t>
      </w:r>
    </w:p>
    <w:p w14:paraId="313976B1" w14:textId="77777777" w:rsidR="00A4648A" w:rsidRDefault="00A4648A" w:rsidP="00B567DA">
      <w:pPr>
        <w:rPr>
          <w:color w:val="333333"/>
          <w:shd w:val="clear" w:color="auto" w:fill="FFFFFF"/>
        </w:rPr>
      </w:pPr>
      <w:r>
        <w:rPr>
          <w:color w:val="333333"/>
          <w:shd w:val="clear" w:color="auto" w:fill="FFFFFF"/>
        </w:rPr>
        <w:t xml:space="preserve">This weakening in sentiment was mainly due to </w:t>
      </w:r>
      <w:r w:rsidRPr="00B850C5">
        <w:rPr>
          <w:color w:val="333333"/>
          <w:shd w:val="clear" w:color="auto" w:fill="FFFFFF"/>
        </w:rPr>
        <w:t xml:space="preserve">the implementation of stage four </w:t>
      </w:r>
      <w:r>
        <w:rPr>
          <w:color w:val="333333"/>
          <w:shd w:val="clear" w:color="auto" w:fill="FFFFFF"/>
        </w:rPr>
        <w:t>loadshedding</w:t>
      </w:r>
      <w:r w:rsidRPr="00B850C5">
        <w:rPr>
          <w:color w:val="333333"/>
          <w:shd w:val="clear" w:color="auto" w:fill="FFFFFF"/>
        </w:rPr>
        <w:t xml:space="preserve"> by Eskom in February and March</w:t>
      </w:r>
      <w:r>
        <w:rPr>
          <w:color w:val="333333"/>
          <w:shd w:val="clear" w:color="auto" w:fill="FFFFFF"/>
        </w:rPr>
        <w:t>, which</w:t>
      </w:r>
      <w:r w:rsidRPr="00B850C5">
        <w:rPr>
          <w:color w:val="333333"/>
          <w:shd w:val="clear" w:color="auto" w:fill="FFFFFF"/>
        </w:rPr>
        <w:t xml:space="preserve"> had a detrimental impact on </w:t>
      </w:r>
      <w:r>
        <w:rPr>
          <w:color w:val="333333"/>
          <w:shd w:val="clear" w:color="auto" w:fill="FFFFFF"/>
        </w:rPr>
        <w:t xml:space="preserve">the </w:t>
      </w:r>
      <w:r w:rsidRPr="00B850C5">
        <w:rPr>
          <w:color w:val="333333"/>
          <w:shd w:val="clear" w:color="auto" w:fill="FFFFFF"/>
        </w:rPr>
        <w:t xml:space="preserve">consumer </w:t>
      </w:r>
      <w:r>
        <w:rPr>
          <w:color w:val="333333"/>
          <w:shd w:val="clear" w:color="auto" w:fill="FFFFFF"/>
        </w:rPr>
        <w:t>mood. Other factors that have led to the decline in consumer confidence are labour strikes, the depreciation of the rand, fuel price hikes, and increases in personal income taxes.</w:t>
      </w:r>
      <w:r>
        <w:rPr>
          <w:rStyle w:val="EndnoteReference"/>
          <w:color w:val="333333"/>
          <w:shd w:val="clear" w:color="auto" w:fill="FFFFFF"/>
        </w:rPr>
        <w:endnoteReference w:id="25"/>
      </w:r>
      <w:r>
        <w:rPr>
          <w:rStyle w:val="EndnoteReference"/>
          <w:color w:val="333333"/>
          <w:shd w:val="clear" w:color="auto" w:fill="FFFFFF"/>
        </w:rPr>
        <w:endnoteReference w:id="26"/>
      </w:r>
    </w:p>
    <w:p w14:paraId="048B2066" w14:textId="62B5E1D7" w:rsidR="00A4648A" w:rsidRDefault="00A4648A" w:rsidP="00A4648A">
      <w:pPr>
        <w:jc w:val="both"/>
        <w:rPr>
          <w:color w:val="333333"/>
          <w:shd w:val="clear" w:color="auto" w:fill="FFFFFF"/>
        </w:rPr>
      </w:pPr>
    </w:p>
    <w:p w14:paraId="76A5D4F0" w14:textId="07B20554" w:rsidR="00C01603" w:rsidRDefault="00C01603" w:rsidP="00A4648A">
      <w:pPr>
        <w:jc w:val="both"/>
        <w:rPr>
          <w:color w:val="333333"/>
          <w:shd w:val="clear" w:color="auto" w:fill="FFFFFF"/>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01603" w14:paraId="2C5F5944" w14:textId="77777777" w:rsidTr="00C4312E">
        <w:trPr>
          <w:trHeight w:val="1101"/>
        </w:trPr>
        <w:tc>
          <w:tcPr>
            <w:tcW w:w="8782" w:type="dxa"/>
            <w:vAlign w:val="bottom"/>
          </w:tcPr>
          <w:p w14:paraId="063C7F18" w14:textId="5B7E337D" w:rsidR="00C01603" w:rsidRPr="00700042" w:rsidRDefault="00C01603" w:rsidP="00C01603">
            <w:pPr>
              <w:pStyle w:val="Heading2"/>
              <w:ind w:left="606"/>
              <w:outlineLvl w:val="1"/>
            </w:pPr>
            <w:bookmarkStart w:id="16" w:name="_Toc10545938"/>
            <w:r w:rsidRPr="00C01603">
              <w:lastRenderedPageBreak/>
              <w:t>Business confidence hit by local and offshore factors</w:t>
            </w:r>
            <w:bookmarkEnd w:id="16"/>
            <w:r w:rsidRPr="00C01603">
              <w:t xml:space="preserve"> </w:t>
            </w:r>
          </w:p>
        </w:tc>
        <w:tc>
          <w:tcPr>
            <w:tcW w:w="1278" w:type="dxa"/>
            <w:vAlign w:val="bottom"/>
          </w:tcPr>
          <w:p w14:paraId="59E474BD" w14:textId="4AAB2FB2" w:rsidR="00C01603" w:rsidRDefault="00C4312E" w:rsidP="00C4312E">
            <w:pPr>
              <w:jc w:val="center"/>
              <w:rPr>
                <w:lang w:val="en-US"/>
              </w:rPr>
            </w:pPr>
            <w:r w:rsidRPr="00C4312E">
              <w:rPr>
                <w:noProof/>
                <w:lang w:val="en-US"/>
              </w:rPr>
              <w:drawing>
                <wp:inline distT="0" distB="0" distL="0" distR="0" wp14:anchorId="176D542A" wp14:editId="5D8ECF15">
                  <wp:extent cx="669290" cy="669290"/>
                  <wp:effectExtent l="0" t="0" r="0" b="0"/>
                  <wp:docPr id="51311" name="Picture 5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5FDDA837" w14:textId="17848C76" w:rsidR="00C01603" w:rsidRDefault="00C01603" w:rsidP="00A4648A">
      <w:pPr>
        <w:jc w:val="both"/>
        <w:rPr>
          <w:color w:val="333333"/>
          <w:shd w:val="clear" w:color="auto" w:fill="FFFFFF"/>
        </w:rPr>
      </w:pPr>
    </w:p>
    <w:p w14:paraId="7FC531CD" w14:textId="3BAA5EFD" w:rsidR="00A4648A" w:rsidRDefault="00C01603" w:rsidP="00B567DA">
      <w:pPr>
        <w:rPr>
          <w:lang w:val="en-US"/>
        </w:rPr>
      </w:pPr>
      <w:r w:rsidRPr="00C01603">
        <w:rPr>
          <w:noProof/>
          <w:lang w:val="en-US"/>
        </w:rPr>
        <w:drawing>
          <wp:anchor distT="0" distB="0" distL="114300" distR="114300" simplePos="0" relativeHeight="251956224" behindDoc="0" locked="0" layoutInCell="1" allowOverlap="1" wp14:anchorId="58FDC56A" wp14:editId="6C59EA0E">
            <wp:simplePos x="0" y="0"/>
            <wp:positionH relativeFrom="column">
              <wp:posOffset>-3356</wp:posOffset>
            </wp:positionH>
            <wp:positionV relativeFrom="paragraph">
              <wp:posOffset>3175</wp:posOffset>
            </wp:positionV>
            <wp:extent cx="2955290" cy="1297940"/>
            <wp:effectExtent l="0" t="0" r="0" b="0"/>
            <wp:wrapSquare wrapText="bothSides"/>
            <wp:docPr id="51310" name="Picture 5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529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w:t>
      </w:r>
      <w:r w:rsidR="00A4648A" w:rsidRPr="00025E42">
        <w:rPr>
          <w:lang w:val="en-US"/>
        </w:rPr>
        <w:t xml:space="preserve">he RMB/BER Business Confidence Index (BCI) declined by a further three points to 28 </w:t>
      </w:r>
      <w:r w:rsidR="000C1895">
        <w:rPr>
          <w:lang w:val="en-US"/>
        </w:rPr>
        <w:t xml:space="preserve">(on a scale of 0 to 100) </w:t>
      </w:r>
      <w:r w:rsidR="00A4648A" w:rsidRPr="00025E42">
        <w:rPr>
          <w:lang w:val="en-US"/>
        </w:rPr>
        <w:t>in the first quarter o</w:t>
      </w:r>
      <w:r w:rsidR="00A4648A">
        <w:rPr>
          <w:lang w:val="en-US"/>
        </w:rPr>
        <w:t xml:space="preserve">f 2019. This is the lowest reading </w:t>
      </w:r>
      <w:r w:rsidR="00A4648A" w:rsidRPr="00025E42">
        <w:rPr>
          <w:lang w:val="en-US"/>
        </w:rPr>
        <w:t xml:space="preserve">since the 27 index points </w:t>
      </w:r>
      <w:r w:rsidR="00A4648A">
        <w:rPr>
          <w:lang w:val="en-US"/>
        </w:rPr>
        <w:t>measured in the second quarter of 2017.</w:t>
      </w:r>
      <w:r w:rsidR="00A4648A">
        <w:rPr>
          <w:rStyle w:val="EndnoteReference"/>
          <w:lang w:val="en-US"/>
        </w:rPr>
        <w:endnoteReference w:id="27"/>
      </w:r>
      <w:r w:rsidR="000C1895">
        <w:rPr>
          <w:lang w:val="en-US"/>
        </w:rPr>
        <w:t xml:space="preserve"> Any reading below 50 is considered pessimistic. </w:t>
      </w:r>
    </w:p>
    <w:p w14:paraId="4B148899" w14:textId="77777777" w:rsidR="00A4648A" w:rsidRDefault="00A4648A" w:rsidP="00B567DA">
      <w:pPr>
        <w:rPr>
          <w:lang w:val="en-US"/>
        </w:rPr>
      </w:pPr>
      <w:r>
        <w:rPr>
          <w:lang w:val="en-US"/>
        </w:rPr>
        <w:t xml:space="preserve">This has mainly been due to disruptive effects like loadshedding, prolonged labor strikes, slower growth in South Africa’s key trading partners (e.g. European Union and China), the extent of state capture and corruption revelations, and </w:t>
      </w:r>
      <w:r w:rsidRPr="006C5133">
        <w:rPr>
          <w:lang w:val="en-US"/>
        </w:rPr>
        <w:t>the adverse impact of the “</w:t>
      </w:r>
      <w:r>
        <w:rPr>
          <w:lang w:val="en-US"/>
        </w:rPr>
        <w:t xml:space="preserve">land </w:t>
      </w:r>
      <w:r w:rsidRPr="006C5133">
        <w:rPr>
          <w:lang w:val="en-US"/>
        </w:rPr>
        <w:t>expropriation without compensation” discourse on many investors’ privat</w:t>
      </w:r>
      <w:r>
        <w:rPr>
          <w:lang w:val="en-US"/>
        </w:rPr>
        <w:t>e property security perceptions.</w:t>
      </w:r>
      <w:r>
        <w:rPr>
          <w:rStyle w:val="EndnoteReference"/>
          <w:lang w:val="en-US"/>
        </w:rPr>
        <w:endnoteReference w:id="28"/>
      </w:r>
    </w:p>
    <w:p w14:paraId="3A8A993B" w14:textId="353A4CFA" w:rsidR="00C01603" w:rsidRDefault="00C01603"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4312E" w14:paraId="2ECA0A70" w14:textId="77777777" w:rsidTr="00C4312E">
        <w:trPr>
          <w:trHeight w:val="1101"/>
        </w:trPr>
        <w:tc>
          <w:tcPr>
            <w:tcW w:w="8782" w:type="dxa"/>
            <w:vAlign w:val="bottom"/>
          </w:tcPr>
          <w:p w14:paraId="75B0D6E8" w14:textId="5BE2999E" w:rsidR="00C4312E" w:rsidRPr="00700042" w:rsidRDefault="00C4312E" w:rsidP="00C4312E">
            <w:pPr>
              <w:pStyle w:val="Heading2"/>
              <w:ind w:left="606"/>
              <w:outlineLvl w:val="1"/>
            </w:pPr>
            <w:bookmarkStart w:id="17" w:name="_Toc10545939"/>
            <w:r w:rsidRPr="00C4312E">
              <w:t>Policy uncertainty increases as result of slower growth</w:t>
            </w:r>
            <w:bookmarkEnd w:id="17"/>
            <w:r w:rsidRPr="00C4312E">
              <w:t xml:space="preserve">  </w:t>
            </w:r>
          </w:p>
        </w:tc>
        <w:tc>
          <w:tcPr>
            <w:tcW w:w="1278" w:type="dxa"/>
            <w:vAlign w:val="bottom"/>
          </w:tcPr>
          <w:p w14:paraId="1C316A5C" w14:textId="6BF3910A" w:rsidR="00C4312E" w:rsidRDefault="00C4312E" w:rsidP="00C4312E">
            <w:pPr>
              <w:jc w:val="center"/>
              <w:rPr>
                <w:lang w:val="en-US"/>
              </w:rPr>
            </w:pPr>
            <w:r w:rsidRPr="00C4312E">
              <w:rPr>
                <w:noProof/>
                <w:lang w:val="en-US"/>
              </w:rPr>
              <w:drawing>
                <wp:inline distT="0" distB="0" distL="0" distR="0" wp14:anchorId="0737C3CE" wp14:editId="68C1C01A">
                  <wp:extent cx="609600" cy="609600"/>
                  <wp:effectExtent l="0" t="0" r="0" b="0"/>
                  <wp:docPr id="51320" name="Picture 5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14:paraId="18A7D7AF" w14:textId="7B8DC2F7" w:rsidR="00C01603" w:rsidRDefault="00C01603" w:rsidP="00A4648A">
      <w:pPr>
        <w:jc w:val="both"/>
        <w:rPr>
          <w:lang w:val="en-US"/>
        </w:rPr>
      </w:pPr>
    </w:p>
    <w:p w14:paraId="7CC70BD1" w14:textId="077A2DD4" w:rsidR="00A4648A" w:rsidRDefault="00C4312E" w:rsidP="00B567DA">
      <w:r w:rsidRPr="00C4312E">
        <w:rPr>
          <w:noProof/>
          <w:lang w:val="en-US"/>
        </w:rPr>
        <w:drawing>
          <wp:anchor distT="0" distB="0" distL="114300" distR="114300" simplePos="0" relativeHeight="251957248" behindDoc="0" locked="0" layoutInCell="1" allowOverlap="1" wp14:anchorId="1979D1F8" wp14:editId="432267A6">
            <wp:simplePos x="0" y="0"/>
            <wp:positionH relativeFrom="column">
              <wp:posOffset>-3356</wp:posOffset>
            </wp:positionH>
            <wp:positionV relativeFrom="paragraph">
              <wp:posOffset>-2177</wp:posOffset>
            </wp:positionV>
            <wp:extent cx="2963545" cy="1297940"/>
            <wp:effectExtent l="0" t="0" r="0" b="0"/>
            <wp:wrapSquare wrapText="bothSides"/>
            <wp:docPr id="51314" name="Picture 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354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t xml:space="preserve">The </w:t>
      </w:r>
      <w:r w:rsidR="00A4648A" w:rsidRPr="00C61EC9">
        <w:t xml:space="preserve">North West University (NWU) Business Schools' </w:t>
      </w:r>
      <w:r w:rsidR="00A4648A" w:rsidRPr="00D507D6">
        <w:t xml:space="preserve">Political Uncertainty Index (PUI) rose to 53.4 </w:t>
      </w:r>
      <w:r w:rsidR="00A4648A">
        <w:t xml:space="preserve">in the first three months of 2019 </w:t>
      </w:r>
      <w:r w:rsidR="00A4648A" w:rsidRPr="00D507D6">
        <w:t xml:space="preserve">from 51.1 in </w:t>
      </w:r>
      <w:r w:rsidR="00A4648A">
        <w:t xml:space="preserve">Q4 of </w:t>
      </w:r>
      <w:r w:rsidR="00A4648A" w:rsidRPr="00D507D6">
        <w:t xml:space="preserve">2018, </w:t>
      </w:r>
      <w:r w:rsidR="00A4648A">
        <w:t xml:space="preserve">as negative factors </w:t>
      </w:r>
      <w:r w:rsidR="00A4648A" w:rsidRPr="00D507D6">
        <w:t xml:space="preserve">outweighed positive </w:t>
      </w:r>
      <w:r w:rsidR="000C1895">
        <w:t xml:space="preserve">indicators. </w:t>
      </w:r>
      <w:r w:rsidR="00A4648A">
        <w:t>A higher number indicates greater uncertainty.</w:t>
      </w:r>
      <w:r w:rsidR="00A4648A">
        <w:rPr>
          <w:rStyle w:val="EndnoteReference"/>
        </w:rPr>
        <w:endnoteReference w:id="29"/>
      </w:r>
    </w:p>
    <w:p w14:paraId="7B1D3B78" w14:textId="77777777" w:rsidR="00A4648A" w:rsidRDefault="00A4648A" w:rsidP="00B567DA">
      <w:r>
        <w:t>This negative outlook is due to a slowdown in world economic growth in 2019 so far, the danger of the United Kingdom (UK) crashing out of the EU (this would affect trade links between South Africa and the UK), the resurrection of loadshedding, and a slowdown in domestic economic growth.</w:t>
      </w:r>
      <w:r>
        <w:rPr>
          <w:rStyle w:val="EndnoteReference"/>
        </w:rPr>
        <w:endnoteReference w:id="30"/>
      </w:r>
    </w:p>
    <w:p w14:paraId="2B7F7630" w14:textId="7588B207" w:rsidR="00A4648A" w:rsidRDefault="00A4648A" w:rsidP="00A4648A">
      <w:pPr>
        <w:jc w:val="both"/>
        <w:rPr>
          <w:lang w:val="en-US"/>
        </w:rPr>
      </w:pPr>
    </w:p>
    <w:p w14:paraId="1822B540" w14:textId="1F8959C5" w:rsidR="00C4312E" w:rsidRDefault="00C4312E" w:rsidP="00A4648A">
      <w:pPr>
        <w:jc w:val="both"/>
        <w:rPr>
          <w:lang w:val="en-US"/>
        </w:rPr>
      </w:pPr>
    </w:p>
    <w:p w14:paraId="73459382" w14:textId="2C1F357E" w:rsidR="00C4312E" w:rsidRDefault="00C4312E" w:rsidP="00A4648A">
      <w:pPr>
        <w:jc w:val="both"/>
        <w:rPr>
          <w:lang w:val="en-US"/>
        </w:rPr>
      </w:pPr>
    </w:p>
    <w:p w14:paraId="4453F8F1" w14:textId="78949041" w:rsidR="00C4312E" w:rsidRDefault="00C4312E" w:rsidP="00A4648A">
      <w:pPr>
        <w:jc w:val="both"/>
        <w:rPr>
          <w:lang w:val="en-US"/>
        </w:rPr>
      </w:pPr>
    </w:p>
    <w:p w14:paraId="766F01E6" w14:textId="59A9741C" w:rsidR="00C4312E" w:rsidRDefault="00C4312E" w:rsidP="00A4648A">
      <w:pPr>
        <w:jc w:val="both"/>
        <w:rPr>
          <w:lang w:val="en-US"/>
        </w:rPr>
      </w:pPr>
    </w:p>
    <w:p w14:paraId="54D82BBD" w14:textId="77777777" w:rsidR="00C4312E" w:rsidRDefault="00C4312E"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4312E" w14:paraId="65EAE9AC" w14:textId="77777777" w:rsidTr="00C4312E">
        <w:trPr>
          <w:trHeight w:val="1101"/>
        </w:trPr>
        <w:tc>
          <w:tcPr>
            <w:tcW w:w="8782" w:type="dxa"/>
            <w:vAlign w:val="bottom"/>
          </w:tcPr>
          <w:p w14:paraId="41E309B2" w14:textId="20BB0403" w:rsidR="00C4312E" w:rsidRPr="00700042" w:rsidRDefault="00C4312E" w:rsidP="00C4312E">
            <w:pPr>
              <w:pStyle w:val="Heading2"/>
              <w:ind w:left="606"/>
              <w:outlineLvl w:val="1"/>
            </w:pPr>
            <w:bookmarkStart w:id="18" w:name="_Toc10545940"/>
            <w:r w:rsidRPr="00C4312E">
              <w:lastRenderedPageBreak/>
              <w:t>Business climate deteriorates ahead of elections</w:t>
            </w:r>
            <w:bookmarkEnd w:id="18"/>
            <w:r w:rsidRPr="00C4312E">
              <w:t xml:space="preserve">  </w:t>
            </w:r>
          </w:p>
        </w:tc>
        <w:tc>
          <w:tcPr>
            <w:tcW w:w="1278" w:type="dxa"/>
            <w:vAlign w:val="bottom"/>
          </w:tcPr>
          <w:p w14:paraId="3DF7C91B" w14:textId="2FC8BD0B" w:rsidR="00C4312E" w:rsidRDefault="00C4312E" w:rsidP="00C4312E">
            <w:pPr>
              <w:jc w:val="center"/>
              <w:rPr>
                <w:lang w:val="en-US"/>
              </w:rPr>
            </w:pPr>
            <w:r w:rsidRPr="00C4312E">
              <w:rPr>
                <w:noProof/>
                <w:lang w:val="en-US"/>
              </w:rPr>
              <w:drawing>
                <wp:inline distT="0" distB="0" distL="0" distR="0" wp14:anchorId="224875F5" wp14:editId="30F7DC3C">
                  <wp:extent cx="668020" cy="668020"/>
                  <wp:effectExtent l="0" t="0" r="0" b="0"/>
                  <wp:docPr id="51319" name="Picture 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bl>
    <w:p w14:paraId="4120A4DE" w14:textId="77572285" w:rsidR="00C4312E" w:rsidRDefault="00C4312E" w:rsidP="00A4648A">
      <w:pPr>
        <w:jc w:val="both"/>
        <w:rPr>
          <w:lang w:val="en-US"/>
        </w:rPr>
      </w:pPr>
    </w:p>
    <w:p w14:paraId="32BDC24C" w14:textId="5EBB773F" w:rsidR="00A4648A" w:rsidRDefault="00C4312E" w:rsidP="00B567DA">
      <w:pPr>
        <w:rPr>
          <w:lang w:val="en-US"/>
        </w:rPr>
      </w:pPr>
      <w:r w:rsidRPr="00C4312E">
        <w:rPr>
          <w:noProof/>
          <w:lang w:val="en-US"/>
        </w:rPr>
        <w:drawing>
          <wp:anchor distT="0" distB="0" distL="114300" distR="114300" simplePos="0" relativeHeight="251958272" behindDoc="0" locked="0" layoutInCell="1" allowOverlap="1" wp14:anchorId="72D5699F" wp14:editId="7E57C922">
            <wp:simplePos x="0" y="0"/>
            <wp:positionH relativeFrom="column">
              <wp:posOffset>-2540</wp:posOffset>
            </wp:positionH>
            <wp:positionV relativeFrom="paragraph">
              <wp:posOffset>0</wp:posOffset>
            </wp:positionV>
            <wp:extent cx="2957195" cy="1297305"/>
            <wp:effectExtent l="0" t="0" r="0" b="0"/>
            <wp:wrapSquare wrapText="bothSides"/>
            <wp:docPr id="51318" name="Picture 5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719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48A" w:rsidRPr="00F43A5D">
        <w:rPr>
          <w:lang w:val="en-US"/>
        </w:rPr>
        <w:t>The S</w:t>
      </w:r>
      <w:r w:rsidR="00A4648A">
        <w:rPr>
          <w:lang w:val="en-US"/>
        </w:rPr>
        <w:t xml:space="preserve">outh African Chamber of Commerce and Industry (SACCI) BCI </w:t>
      </w:r>
      <w:r w:rsidR="00A4648A" w:rsidRPr="00F43A5D">
        <w:rPr>
          <w:lang w:val="en-US"/>
        </w:rPr>
        <w:t xml:space="preserve">declined </w:t>
      </w:r>
      <w:r w:rsidR="00A4648A">
        <w:rPr>
          <w:lang w:val="en-US"/>
        </w:rPr>
        <w:t>from 93.4</w:t>
      </w:r>
      <w:r w:rsidR="00A4648A" w:rsidRPr="00F43A5D">
        <w:rPr>
          <w:lang w:val="en-US"/>
        </w:rPr>
        <w:t xml:space="preserve"> index points in February</w:t>
      </w:r>
      <w:r w:rsidR="00A4648A">
        <w:rPr>
          <w:lang w:val="en-US"/>
        </w:rPr>
        <w:t xml:space="preserve"> 2019</w:t>
      </w:r>
      <w:r w:rsidR="00A4648A" w:rsidRPr="00F43A5D">
        <w:rPr>
          <w:lang w:val="en-US"/>
        </w:rPr>
        <w:t xml:space="preserve"> to</w:t>
      </w:r>
      <w:r w:rsidR="00A4648A">
        <w:rPr>
          <w:lang w:val="en-US"/>
        </w:rPr>
        <w:t xml:space="preserve"> 91.8 in March 2019, with an average of 93.4 index points in Q1 of 2019 in comparison with the Q4 of 2018 reading at 95.7. </w:t>
      </w:r>
      <w:r w:rsidR="000C1895">
        <w:rPr>
          <w:lang w:val="en-US"/>
        </w:rPr>
        <w:t>The SACCI BCI is not a true business confidence indicator and is more representative of a business climate indicator.</w:t>
      </w:r>
    </w:p>
    <w:p w14:paraId="34D3BA4C" w14:textId="4F97E0F8" w:rsidR="00A4648A" w:rsidRDefault="00A4648A" w:rsidP="00B567DA">
      <w:pPr>
        <w:rPr>
          <w:color w:val="252524"/>
          <w:shd w:val="clear" w:color="auto" w:fill="FFFFFF"/>
        </w:rPr>
      </w:pPr>
      <w:r w:rsidRPr="00F43A5D">
        <w:rPr>
          <w:lang w:val="en-US"/>
        </w:rPr>
        <w:t xml:space="preserve">The main reasoning for this </w:t>
      </w:r>
      <w:r w:rsidR="000C1895">
        <w:rPr>
          <w:lang w:val="en-US"/>
        </w:rPr>
        <w:t xml:space="preserve">weaker measurement of the business climate </w:t>
      </w:r>
      <w:r w:rsidRPr="00F43A5D">
        <w:rPr>
          <w:lang w:val="en-US"/>
        </w:rPr>
        <w:t xml:space="preserve">was a depreciation of the rand, electricity restrictions and </w:t>
      </w:r>
      <w:r w:rsidRPr="00F43A5D">
        <w:rPr>
          <w:color w:val="252524"/>
          <w:shd w:val="clear" w:color="auto" w:fill="FFFFFF"/>
        </w:rPr>
        <w:t>upcoming elections</w:t>
      </w:r>
      <w:r>
        <w:rPr>
          <w:color w:val="252524"/>
          <w:shd w:val="clear" w:color="auto" w:fill="FFFFFF"/>
        </w:rPr>
        <w:t>,</w:t>
      </w:r>
      <w:r w:rsidRPr="00F43A5D">
        <w:rPr>
          <w:color w:val="252524"/>
          <w:shd w:val="clear" w:color="auto" w:fill="FFFFFF"/>
        </w:rPr>
        <w:t xml:space="preserve"> which added to uncertainty and </w:t>
      </w:r>
      <w:r>
        <w:rPr>
          <w:color w:val="252524"/>
          <w:shd w:val="clear" w:color="auto" w:fill="FFFFFF"/>
        </w:rPr>
        <w:t>decreased the supportiveness of the business climate for private enterprises.</w:t>
      </w:r>
      <w:r>
        <w:rPr>
          <w:rStyle w:val="EndnoteReference"/>
          <w:color w:val="252524"/>
          <w:shd w:val="clear" w:color="auto" w:fill="FFFFFF"/>
        </w:rPr>
        <w:endnoteReference w:id="31"/>
      </w:r>
    </w:p>
    <w:p w14:paraId="74C5A95E" w14:textId="77EBE52C" w:rsidR="00B97789" w:rsidRDefault="00B97789" w:rsidP="00A4648A">
      <w:pPr>
        <w:jc w:val="both"/>
        <w:rPr>
          <w:color w:val="252524"/>
          <w:shd w:val="clear" w:color="auto" w:fill="FFFFFF"/>
        </w:rPr>
      </w:pPr>
    </w:p>
    <w:p w14:paraId="2FC3CFC8" w14:textId="40908F9A" w:rsidR="00643FB5" w:rsidRDefault="00643FB5" w:rsidP="00A4648A">
      <w:pPr>
        <w:jc w:val="both"/>
        <w:rPr>
          <w:color w:val="252524"/>
          <w:shd w:val="clear" w:color="auto" w:fill="FFFFFF"/>
        </w:rPr>
      </w:pPr>
    </w:p>
    <w:p w14:paraId="04E1E0A3" w14:textId="29C34934" w:rsidR="00643FB5" w:rsidRDefault="00643FB5" w:rsidP="00A4648A">
      <w:pPr>
        <w:jc w:val="both"/>
        <w:rPr>
          <w:color w:val="252524"/>
          <w:shd w:val="clear" w:color="auto" w:fill="FFFFFF"/>
        </w:rPr>
      </w:pPr>
    </w:p>
    <w:p w14:paraId="3B2B7143" w14:textId="013BA1B2" w:rsidR="00643FB5" w:rsidRPr="00C4312E" w:rsidRDefault="00643FB5" w:rsidP="00643FB5">
      <w:pPr>
        <w:pStyle w:val="Heading2"/>
      </w:pPr>
      <w:bookmarkStart w:id="19" w:name="_Toc10545941"/>
      <w:r>
        <w:t>What is the State of the South African Economy?</w:t>
      </w:r>
      <w:bookmarkEnd w:id="19"/>
      <w:r w:rsidRPr="00C4312E">
        <w:t xml:space="preserve"> </w:t>
      </w:r>
    </w:p>
    <w:p w14:paraId="4E4AFA1A" w14:textId="1C4C3F3C" w:rsidR="00643FB5" w:rsidRDefault="00643FB5" w:rsidP="00A4648A">
      <w:pPr>
        <w:jc w:val="both"/>
        <w:rPr>
          <w:color w:val="252524"/>
          <w:shd w:val="clear" w:color="auto" w:fill="FFFFFF"/>
        </w:rPr>
      </w:pPr>
    </w:p>
    <w:p w14:paraId="01AF9BEA" w14:textId="24BC47A4" w:rsidR="00452199" w:rsidRDefault="00452199" w:rsidP="00B567DA">
      <w:pPr>
        <w:rPr>
          <w:lang w:val="en-US"/>
        </w:rPr>
      </w:pPr>
      <w:r w:rsidRPr="00452199">
        <w:rPr>
          <w:noProof/>
          <w:lang w:val="en-US"/>
        </w:rPr>
        <w:drawing>
          <wp:anchor distT="0" distB="0" distL="114300" distR="114300" simplePos="0" relativeHeight="251963392" behindDoc="0" locked="0" layoutInCell="1" allowOverlap="1" wp14:anchorId="6A1C10F0" wp14:editId="38459A8D">
            <wp:simplePos x="0" y="0"/>
            <wp:positionH relativeFrom="column">
              <wp:posOffset>176</wp:posOffset>
            </wp:positionH>
            <wp:positionV relativeFrom="paragraph">
              <wp:posOffset>-1905</wp:posOffset>
            </wp:positionV>
            <wp:extent cx="2187948" cy="2035702"/>
            <wp:effectExtent l="0" t="0" r="3175" b="3175"/>
            <wp:wrapSquare wrapText="bothSides"/>
            <wp:docPr id="50884" name="Picture 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7948" cy="203570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The above sections reflected on 14 economic indicators in order to gauge the health of the South African economy </w:t>
      </w:r>
      <w:r w:rsidR="00B41CE1">
        <w:rPr>
          <w:lang w:val="en-US"/>
        </w:rPr>
        <w:t xml:space="preserve">alongside the </w:t>
      </w:r>
      <w:r>
        <w:rPr>
          <w:lang w:val="en-US"/>
        </w:rPr>
        <w:t>GDP data release. Out of the 14 indicators</w:t>
      </w:r>
      <w:r w:rsidR="00B41CE1">
        <w:rPr>
          <w:lang w:val="en-US"/>
        </w:rPr>
        <w:t xml:space="preserve"> considered here, </w:t>
      </w:r>
      <w:r>
        <w:rPr>
          <w:lang w:val="en-US"/>
        </w:rPr>
        <w:t xml:space="preserve">only 2 – wholesale trade and private sector credit – displayed a better </w:t>
      </w:r>
      <w:r w:rsidR="00CE05FE">
        <w:rPr>
          <w:lang w:val="en-US"/>
        </w:rPr>
        <w:t xml:space="preserve">q-o-q </w:t>
      </w:r>
      <w:r>
        <w:rPr>
          <w:lang w:val="en-US"/>
        </w:rPr>
        <w:t>performance in Q1 of 2019 compared to th</w:t>
      </w:r>
      <w:r w:rsidR="00CE05FE">
        <w:rPr>
          <w:lang w:val="en-US"/>
        </w:rPr>
        <w:t>e preceding three-month period.</w:t>
      </w:r>
    </w:p>
    <w:p w14:paraId="5D36F1D4" w14:textId="2FFF63BA" w:rsidR="00452199" w:rsidRDefault="00452199" w:rsidP="00B567DA">
      <w:pPr>
        <w:rPr>
          <w:lang w:val="en-US"/>
        </w:rPr>
      </w:pPr>
      <w:r>
        <w:rPr>
          <w:lang w:val="en-US"/>
        </w:rPr>
        <w:t xml:space="preserve">In other words, South Africa’s economic momentum is in the red, like a fuel tank running on empty. This highlights a great challenge for the new Ramaphosa administration: kick starting an economy that has in recent years often expanded by a rate below the population growth rate. As the unemployment rate nears 15-year highs, there is much work to do for the new, leaner Cabinet. </w:t>
      </w:r>
    </w:p>
    <w:p w14:paraId="3AE25ED6" w14:textId="77777777" w:rsidR="00452199" w:rsidRDefault="00452199" w:rsidP="00A4648A">
      <w:pPr>
        <w:jc w:val="both"/>
        <w:rPr>
          <w:color w:val="252524"/>
          <w:shd w:val="clear" w:color="auto" w:fill="FFFFFF"/>
        </w:rPr>
      </w:pPr>
    </w:p>
    <w:p w14:paraId="56ABCC8D" w14:textId="60F24D3E" w:rsidR="00C4312E" w:rsidRDefault="00C4312E" w:rsidP="00A4648A">
      <w:pPr>
        <w:jc w:val="both"/>
        <w:rPr>
          <w:color w:val="252524"/>
          <w:shd w:val="clear" w:color="auto" w:fill="FFFFFF"/>
        </w:rPr>
      </w:pPr>
    </w:p>
    <w:p w14:paraId="4A8A3663" w14:textId="64862E06" w:rsidR="00452199" w:rsidRDefault="00452199" w:rsidP="00A4648A">
      <w:pPr>
        <w:jc w:val="both"/>
        <w:rPr>
          <w:color w:val="252524"/>
          <w:shd w:val="clear" w:color="auto" w:fill="FFFFFF"/>
        </w:rPr>
      </w:pPr>
    </w:p>
    <w:p w14:paraId="0AA09A83" w14:textId="77777777" w:rsidR="00452199" w:rsidRDefault="00452199" w:rsidP="00A4648A">
      <w:pPr>
        <w:jc w:val="both"/>
        <w:rPr>
          <w:color w:val="252524"/>
          <w:shd w:val="clear" w:color="auto" w:fill="FFFFFF"/>
        </w:rPr>
      </w:pPr>
    </w:p>
    <w:p w14:paraId="1160E859" w14:textId="08E7DFC3" w:rsidR="00A4648A" w:rsidRPr="00A4648A" w:rsidRDefault="00452199" w:rsidP="00A4648A">
      <w:pPr>
        <w:pStyle w:val="Heading1"/>
        <w:ind w:left="567" w:hanging="567"/>
      </w:pPr>
      <w:bookmarkStart w:id="20" w:name="_Toc10545942"/>
      <w:r>
        <w:lastRenderedPageBreak/>
        <w:t>What happened to the e</w:t>
      </w:r>
      <w:r w:rsidR="00A4648A" w:rsidRPr="00A4648A">
        <w:t>conomic stimulus?</w:t>
      </w:r>
      <w:bookmarkEnd w:id="20"/>
    </w:p>
    <w:p w14:paraId="4DBE61EB" w14:textId="77AE81C0" w:rsidR="00A4648A" w:rsidRDefault="00A4648A" w:rsidP="00B567DA">
      <w:pPr>
        <w:rPr>
          <w:color w:val="252524"/>
          <w:shd w:val="clear" w:color="auto" w:fill="FFFFFF"/>
        </w:rPr>
      </w:pPr>
      <w:r>
        <w:rPr>
          <w:color w:val="252524"/>
          <w:shd w:val="clear" w:color="auto" w:fill="FFFFFF"/>
        </w:rPr>
        <w:t xml:space="preserve">Quite clearly, the South African economy experienced a marked deterioration from Q4 of 2018 to Q1 of 2019. A year earlier, the country was looking at a new economic paradigm under the leadership of President Ramaphosa. The country’s new leader made quick progress </w:t>
      </w:r>
      <w:r w:rsidR="000C1895">
        <w:rPr>
          <w:color w:val="252524"/>
          <w:shd w:val="clear" w:color="auto" w:fill="FFFFFF"/>
        </w:rPr>
        <w:t>concerning</w:t>
      </w:r>
      <w:r>
        <w:rPr>
          <w:color w:val="252524"/>
          <w:shd w:val="clear" w:color="auto" w:fill="FFFFFF"/>
        </w:rPr>
        <w:t xml:space="preserve"> key governance issues and inspired optimism about where South Africa was heading. This included the organising of the </w:t>
      </w:r>
      <w:r w:rsidRPr="005C52A8">
        <w:rPr>
          <w:color w:val="252524"/>
          <w:shd w:val="clear" w:color="auto" w:fill="FFFFFF"/>
        </w:rPr>
        <w:t>Presidential Jobs Summit</w:t>
      </w:r>
      <w:r>
        <w:rPr>
          <w:color w:val="252524"/>
          <w:shd w:val="clear" w:color="auto" w:fill="FFFFFF"/>
        </w:rPr>
        <w:t xml:space="preserve"> and Investment Conference (October 2018). </w:t>
      </w:r>
    </w:p>
    <w:p w14:paraId="30B11040" w14:textId="77777777" w:rsidR="00B41CE1" w:rsidRDefault="00A4648A" w:rsidP="00B567DA">
      <w:pPr>
        <w:rPr>
          <w:color w:val="252524"/>
          <w:shd w:val="clear" w:color="auto" w:fill="FFFFFF"/>
        </w:rPr>
      </w:pPr>
      <w:r>
        <w:rPr>
          <w:color w:val="252524"/>
          <w:shd w:val="clear" w:color="auto" w:fill="FFFFFF"/>
        </w:rPr>
        <w:t xml:space="preserve">PwC estimated last year that investment pledges made at the Investment Conference could </w:t>
      </w:r>
      <w:r w:rsidRPr="00134E04">
        <w:rPr>
          <w:color w:val="252524"/>
          <w:shd w:val="clear" w:color="auto" w:fill="FFFFFF"/>
        </w:rPr>
        <w:t>an estimated</w:t>
      </w:r>
      <w:r>
        <w:rPr>
          <w:color w:val="252524"/>
          <w:shd w:val="clear" w:color="auto" w:fill="FFFFFF"/>
        </w:rPr>
        <w:t xml:space="preserve"> </w:t>
      </w:r>
      <w:r w:rsidRPr="00134E04">
        <w:rPr>
          <w:color w:val="252524"/>
          <w:shd w:val="clear" w:color="auto" w:fill="FFFFFF"/>
        </w:rPr>
        <w:t>R338 billion to South Africa’s GDP over the 2019–2024</w:t>
      </w:r>
      <w:r>
        <w:rPr>
          <w:color w:val="252524"/>
          <w:shd w:val="clear" w:color="auto" w:fill="FFFFFF"/>
        </w:rPr>
        <w:t xml:space="preserve"> </w:t>
      </w:r>
      <w:r w:rsidRPr="00134E04">
        <w:rPr>
          <w:color w:val="252524"/>
          <w:shd w:val="clear" w:color="auto" w:fill="FFFFFF"/>
        </w:rPr>
        <w:t>period, create or sustain an estimated 165 000 direct</w:t>
      </w:r>
      <w:r>
        <w:rPr>
          <w:color w:val="252524"/>
          <w:shd w:val="clear" w:color="auto" w:fill="FFFFFF"/>
        </w:rPr>
        <w:t xml:space="preserve"> </w:t>
      </w:r>
      <w:r w:rsidRPr="00134E04">
        <w:rPr>
          <w:color w:val="252524"/>
          <w:shd w:val="clear" w:color="auto" w:fill="FFFFFF"/>
        </w:rPr>
        <w:t>and indirect jobs (on average per year) and generate</w:t>
      </w:r>
      <w:r>
        <w:rPr>
          <w:color w:val="252524"/>
          <w:shd w:val="clear" w:color="auto" w:fill="FFFFFF"/>
        </w:rPr>
        <w:t xml:space="preserve"> </w:t>
      </w:r>
      <w:r w:rsidRPr="00134E04">
        <w:rPr>
          <w:color w:val="252524"/>
          <w:shd w:val="clear" w:color="auto" w:fill="FFFFFF"/>
        </w:rPr>
        <w:t>an estimated R59 billion in additional government</w:t>
      </w:r>
      <w:r>
        <w:rPr>
          <w:color w:val="252524"/>
          <w:shd w:val="clear" w:color="auto" w:fill="FFFFFF"/>
        </w:rPr>
        <w:t xml:space="preserve"> </w:t>
      </w:r>
      <w:r w:rsidRPr="00134E04">
        <w:rPr>
          <w:color w:val="252524"/>
          <w:shd w:val="clear" w:color="auto" w:fill="FFFFFF"/>
        </w:rPr>
        <w:t>revenue.</w:t>
      </w:r>
      <w:r>
        <w:rPr>
          <w:color w:val="252524"/>
          <w:shd w:val="clear" w:color="auto" w:fill="FFFFFF"/>
        </w:rPr>
        <w:t xml:space="preserve"> To add momentum to the economy, </w:t>
      </w:r>
    </w:p>
    <w:p w14:paraId="1BBF4812" w14:textId="360D20D3" w:rsidR="00A4648A" w:rsidRDefault="00A4648A" w:rsidP="00B567DA">
      <w:pPr>
        <w:rPr>
          <w:color w:val="252524"/>
          <w:shd w:val="clear" w:color="auto" w:fill="FFFFFF"/>
        </w:rPr>
      </w:pPr>
      <w:r>
        <w:rPr>
          <w:color w:val="252524"/>
          <w:shd w:val="clear" w:color="auto" w:fill="FFFFFF"/>
        </w:rPr>
        <w:t xml:space="preserve">President Ramaphosa announced his ‘economic stimulus and recovery’ plan in September last year, with around 14 ideas to get the economy going. Unfortunately, by the start of June this year, the (delayed) introduction of the national minimum wage and (limited) expansion in the VAT-exempt basket were the only notable achievements. </w:t>
      </w:r>
    </w:p>
    <w:p w14:paraId="5FD82E0A" w14:textId="6A96D23C" w:rsidR="000C1895" w:rsidRDefault="000C1895" w:rsidP="00B567DA">
      <w:pPr>
        <w:rPr>
          <w:color w:val="252524"/>
          <w:shd w:val="clear" w:color="auto" w:fill="FFFFFF"/>
        </w:rPr>
      </w:pPr>
      <w:r>
        <w:rPr>
          <w:color w:val="252524"/>
          <w:shd w:val="clear" w:color="auto" w:fill="FFFFFF"/>
        </w:rPr>
        <w:t xml:space="preserve">The following table considers information compiled by Fin24 at the end of May 2019 about individual progress on the 14 ideas. </w:t>
      </w:r>
    </w:p>
    <w:p w14:paraId="52AD3112" w14:textId="77777777" w:rsidR="00CE05FE" w:rsidRPr="00B97789" w:rsidRDefault="00CE05FE" w:rsidP="00CE05FE">
      <w:pPr>
        <w:spacing w:after="0" w:line="240" w:lineRule="auto"/>
        <w:contextualSpacing/>
        <w:jc w:val="both"/>
        <w:rPr>
          <w:i/>
          <w:color w:val="252524"/>
          <w:shd w:val="clear" w:color="auto" w:fill="FFFFFF"/>
        </w:rPr>
      </w:pPr>
      <w:r w:rsidRPr="00B97789">
        <w:rPr>
          <w:i/>
          <w:color w:val="252524"/>
          <w:shd w:val="clear" w:color="auto" w:fill="FFFFFF"/>
        </w:rPr>
        <w:t>Legend:</w:t>
      </w:r>
    </w:p>
    <w:p w14:paraId="59406A76" w14:textId="77777777" w:rsidR="00CE05FE" w:rsidRDefault="00CE05FE" w:rsidP="00CE05FE">
      <w:pPr>
        <w:spacing w:after="0" w:line="240" w:lineRule="auto"/>
        <w:contextualSpacing/>
        <w:jc w:val="both"/>
        <w:rPr>
          <w:color w:val="252524"/>
          <w:shd w:val="clear" w:color="auto" w:fill="FFFFFF"/>
        </w:rPr>
      </w:pPr>
    </w:p>
    <w:p w14:paraId="1741126D" w14:textId="77777777" w:rsidR="00CE05FE" w:rsidRPr="00B97789" w:rsidRDefault="00CE05FE" w:rsidP="00CE05FE">
      <w:pPr>
        <w:spacing w:after="0" w:line="240" w:lineRule="auto"/>
        <w:contextualSpacing/>
        <w:jc w:val="both"/>
        <w:rPr>
          <w:color w:val="252524"/>
          <w:sz w:val="22"/>
          <w:szCs w:val="22"/>
          <w:shd w:val="clear" w:color="auto" w:fill="FFFFFF"/>
        </w:rPr>
      </w:pPr>
      <w:r w:rsidRPr="00B97789">
        <w:rPr>
          <w:noProof/>
          <w:lang w:val="en-US"/>
        </w:rPr>
        <w:drawing>
          <wp:anchor distT="0" distB="0" distL="114300" distR="114300" simplePos="0" relativeHeight="251965440" behindDoc="0" locked="0" layoutInCell="1" allowOverlap="1" wp14:anchorId="5553037A" wp14:editId="6CB94A64">
            <wp:simplePos x="0" y="0"/>
            <wp:positionH relativeFrom="column">
              <wp:posOffset>-3356</wp:posOffset>
            </wp:positionH>
            <wp:positionV relativeFrom="paragraph">
              <wp:posOffset>-1905</wp:posOffset>
            </wp:positionV>
            <wp:extent cx="571500" cy="1388110"/>
            <wp:effectExtent l="0" t="0" r="0"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CA61B" w14:textId="77777777" w:rsidR="00CE05FE" w:rsidRPr="00B97789" w:rsidRDefault="00CE05FE" w:rsidP="00CE05FE">
      <w:pPr>
        <w:spacing w:after="0" w:line="240" w:lineRule="auto"/>
        <w:contextualSpacing/>
        <w:jc w:val="both"/>
        <w:rPr>
          <w:color w:val="252524"/>
          <w:sz w:val="22"/>
          <w:szCs w:val="22"/>
          <w:shd w:val="clear" w:color="auto" w:fill="FFFFFF"/>
        </w:rPr>
      </w:pPr>
      <w:r w:rsidRPr="00B97789">
        <w:rPr>
          <w:color w:val="252524"/>
          <w:sz w:val="22"/>
          <w:szCs w:val="22"/>
          <w:shd w:val="clear" w:color="auto" w:fill="FFFFFF"/>
        </w:rPr>
        <w:t>Not started/not achieved/no information</w:t>
      </w:r>
    </w:p>
    <w:p w14:paraId="012D30BB" w14:textId="77777777" w:rsidR="00CE05FE" w:rsidRPr="00B97789" w:rsidRDefault="00CE05FE" w:rsidP="00CE05FE">
      <w:pPr>
        <w:spacing w:after="0" w:line="240" w:lineRule="auto"/>
        <w:contextualSpacing/>
        <w:jc w:val="both"/>
        <w:rPr>
          <w:color w:val="252524"/>
          <w:sz w:val="22"/>
          <w:szCs w:val="22"/>
          <w:shd w:val="clear" w:color="auto" w:fill="FFFFFF"/>
        </w:rPr>
      </w:pPr>
    </w:p>
    <w:p w14:paraId="3DB31E05" w14:textId="77777777" w:rsidR="00CE05FE" w:rsidRPr="00B97789" w:rsidRDefault="00CE05FE" w:rsidP="00CE05FE">
      <w:pPr>
        <w:spacing w:after="0" w:line="240" w:lineRule="auto"/>
        <w:contextualSpacing/>
        <w:jc w:val="both"/>
        <w:rPr>
          <w:color w:val="252524"/>
          <w:sz w:val="22"/>
          <w:szCs w:val="22"/>
          <w:shd w:val="clear" w:color="auto" w:fill="FFFFFF"/>
        </w:rPr>
      </w:pPr>
    </w:p>
    <w:p w14:paraId="1B93867A" w14:textId="77777777" w:rsidR="00CE05FE" w:rsidRPr="00B97789" w:rsidRDefault="00CE05FE" w:rsidP="00CE05FE">
      <w:pPr>
        <w:spacing w:after="0" w:line="240" w:lineRule="auto"/>
        <w:contextualSpacing/>
        <w:jc w:val="both"/>
        <w:rPr>
          <w:color w:val="252524"/>
          <w:sz w:val="22"/>
          <w:szCs w:val="22"/>
          <w:shd w:val="clear" w:color="auto" w:fill="FFFFFF"/>
        </w:rPr>
      </w:pPr>
      <w:r w:rsidRPr="00B97789">
        <w:rPr>
          <w:color w:val="252524"/>
          <w:sz w:val="22"/>
          <w:szCs w:val="22"/>
          <w:shd w:val="clear" w:color="auto" w:fill="FFFFFF"/>
        </w:rPr>
        <w:t>Started/partly achieved</w:t>
      </w:r>
    </w:p>
    <w:p w14:paraId="059AC167" w14:textId="77777777" w:rsidR="00CE05FE" w:rsidRPr="00B97789" w:rsidRDefault="00CE05FE" w:rsidP="00CE05FE">
      <w:pPr>
        <w:spacing w:after="0" w:line="240" w:lineRule="auto"/>
        <w:contextualSpacing/>
        <w:jc w:val="both"/>
        <w:rPr>
          <w:color w:val="252524"/>
          <w:sz w:val="22"/>
          <w:szCs w:val="22"/>
          <w:shd w:val="clear" w:color="auto" w:fill="FFFFFF"/>
        </w:rPr>
      </w:pPr>
    </w:p>
    <w:p w14:paraId="1CFA400C" w14:textId="77777777" w:rsidR="00CE05FE" w:rsidRPr="00B97789" w:rsidRDefault="00CE05FE" w:rsidP="00CE05FE">
      <w:pPr>
        <w:spacing w:after="0" w:line="240" w:lineRule="auto"/>
        <w:contextualSpacing/>
        <w:jc w:val="both"/>
        <w:rPr>
          <w:color w:val="252524"/>
          <w:sz w:val="22"/>
          <w:szCs w:val="22"/>
          <w:shd w:val="clear" w:color="auto" w:fill="FFFFFF"/>
        </w:rPr>
      </w:pPr>
    </w:p>
    <w:p w14:paraId="4777C59B" w14:textId="77777777" w:rsidR="00CE05FE" w:rsidRPr="00B97789" w:rsidRDefault="00CE05FE" w:rsidP="00CE05FE">
      <w:pPr>
        <w:spacing w:after="0" w:line="240" w:lineRule="auto"/>
        <w:contextualSpacing/>
        <w:jc w:val="both"/>
        <w:rPr>
          <w:color w:val="252524"/>
          <w:sz w:val="22"/>
          <w:szCs w:val="22"/>
          <w:shd w:val="clear" w:color="auto" w:fill="FFFFFF"/>
        </w:rPr>
      </w:pPr>
      <w:r w:rsidRPr="00B97789">
        <w:rPr>
          <w:color w:val="252524"/>
          <w:sz w:val="22"/>
          <w:szCs w:val="22"/>
          <w:shd w:val="clear" w:color="auto" w:fill="FFFFFF"/>
        </w:rPr>
        <w:t>Achieved/done</w:t>
      </w:r>
    </w:p>
    <w:p w14:paraId="58E49C74" w14:textId="77777777" w:rsidR="00CE05FE" w:rsidRPr="00B97789" w:rsidRDefault="00CE05FE" w:rsidP="00CE05FE">
      <w:pPr>
        <w:spacing w:after="0" w:line="240" w:lineRule="auto"/>
        <w:contextualSpacing/>
        <w:jc w:val="both"/>
        <w:rPr>
          <w:color w:val="252524"/>
          <w:sz w:val="22"/>
          <w:szCs w:val="22"/>
          <w:shd w:val="clear" w:color="auto" w:fill="FFFFFF"/>
        </w:rPr>
      </w:pPr>
    </w:p>
    <w:p w14:paraId="143C89E6" w14:textId="77777777" w:rsidR="00A4648A" w:rsidRDefault="00A4648A" w:rsidP="00A4648A">
      <w:pPr>
        <w:jc w:val="both"/>
        <w:rPr>
          <w:color w:val="252524"/>
          <w:shd w:val="clear" w:color="auto" w:fill="FFFFFF"/>
        </w:rPr>
      </w:pPr>
    </w:p>
    <w:p w14:paraId="7182E83C" w14:textId="45B99A76" w:rsidR="00A4648A" w:rsidRDefault="00A4648A" w:rsidP="00A4648A">
      <w:pPr>
        <w:jc w:val="both"/>
        <w:rPr>
          <w:color w:val="252524"/>
          <w:shd w:val="clear" w:color="auto" w:fill="FFFFFF"/>
        </w:rPr>
      </w:pPr>
    </w:p>
    <w:p w14:paraId="7C678724" w14:textId="559AEB6D" w:rsidR="00D4721D" w:rsidRDefault="00D4721D" w:rsidP="00A4648A">
      <w:pPr>
        <w:jc w:val="both"/>
        <w:rPr>
          <w:color w:val="252524"/>
          <w:shd w:val="clear" w:color="auto" w:fill="FFFFFF"/>
        </w:rPr>
      </w:pPr>
    </w:p>
    <w:p w14:paraId="334694BB" w14:textId="27F606D6" w:rsidR="00D4721D" w:rsidRDefault="00D4721D" w:rsidP="00A4648A">
      <w:pPr>
        <w:jc w:val="both"/>
        <w:rPr>
          <w:color w:val="252524"/>
          <w:shd w:val="clear" w:color="auto" w:fill="FFFFFF"/>
        </w:rPr>
      </w:pPr>
    </w:p>
    <w:p w14:paraId="2470FE29" w14:textId="7B3BDC4C" w:rsidR="00D4721D" w:rsidRDefault="00D4721D" w:rsidP="00A4648A">
      <w:pPr>
        <w:jc w:val="both"/>
        <w:rPr>
          <w:color w:val="252524"/>
          <w:shd w:val="clear" w:color="auto" w:fill="FFFFFF"/>
        </w:rPr>
      </w:pPr>
    </w:p>
    <w:p w14:paraId="427F549B" w14:textId="1B6729F3" w:rsidR="00D4721D" w:rsidRDefault="00D4721D" w:rsidP="00A4648A">
      <w:pPr>
        <w:jc w:val="both"/>
        <w:rPr>
          <w:color w:val="252524"/>
          <w:shd w:val="clear" w:color="auto" w:fill="FFFFFF"/>
        </w:rPr>
      </w:pPr>
    </w:p>
    <w:p w14:paraId="5FC12059" w14:textId="7799B7F8" w:rsidR="00D4721D" w:rsidRDefault="00D4721D" w:rsidP="00A4648A">
      <w:pPr>
        <w:jc w:val="both"/>
        <w:rPr>
          <w:color w:val="252524"/>
          <w:shd w:val="clear" w:color="auto" w:fill="FFFFFF"/>
        </w:rPr>
      </w:pPr>
    </w:p>
    <w:p w14:paraId="5F339A0E" w14:textId="2DED6FC5" w:rsidR="00D4721D" w:rsidRDefault="00D4721D" w:rsidP="00A4648A">
      <w:pPr>
        <w:jc w:val="both"/>
        <w:rPr>
          <w:color w:val="252524"/>
          <w:shd w:val="clear" w:color="auto" w:fill="FFFFFF"/>
        </w:rPr>
      </w:pPr>
    </w:p>
    <w:p w14:paraId="08E59869" w14:textId="2DA6A289" w:rsidR="00D4721D" w:rsidRDefault="00D4721D" w:rsidP="00A4648A">
      <w:pPr>
        <w:jc w:val="both"/>
        <w:rPr>
          <w:color w:val="252524"/>
          <w:shd w:val="clear" w:color="auto" w:fill="FFFFFF"/>
        </w:rPr>
      </w:pPr>
    </w:p>
    <w:p w14:paraId="6CB61F35" w14:textId="49CCB6D4" w:rsidR="00D4721D" w:rsidRDefault="00D4721D" w:rsidP="00A4648A">
      <w:pPr>
        <w:jc w:val="both"/>
        <w:rPr>
          <w:color w:val="252524"/>
          <w:shd w:val="clear" w:color="auto" w:fill="FFFFFF"/>
        </w:rPr>
      </w:pPr>
    </w:p>
    <w:p w14:paraId="6E1BE95C" w14:textId="0B8BE318" w:rsidR="00C4312E" w:rsidRPr="000C1895" w:rsidRDefault="000C1895" w:rsidP="00A4648A">
      <w:pPr>
        <w:jc w:val="both"/>
        <w:rPr>
          <w:b/>
          <w:color w:val="252524"/>
          <w:shd w:val="clear" w:color="auto" w:fill="FFFFFF"/>
        </w:rPr>
      </w:pPr>
      <w:r w:rsidRPr="000C1895">
        <w:rPr>
          <w:b/>
          <w:color w:val="252524"/>
          <w:shd w:val="clear" w:color="auto" w:fill="FFFFFF"/>
        </w:rPr>
        <w:lastRenderedPageBreak/>
        <w:t xml:space="preserve">Table 1: Only 2 out of 14 plans set in the </w:t>
      </w:r>
      <w:r>
        <w:rPr>
          <w:b/>
          <w:color w:val="252524"/>
          <w:shd w:val="clear" w:color="auto" w:fill="FFFFFF"/>
        </w:rPr>
        <w:t>‘</w:t>
      </w:r>
      <w:r w:rsidRPr="000C1895">
        <w:rPr>
          <w:b/>
          <w:color w:val="252524"/>
          <w:shd w:val="clear" w:color="auto" w:fill="FFFFFF"/>
        </w:rPr>
        <w:t xml:space="preserve">economic stimulus and recovery plan’ achieved. </w:t>
      </w:r>
    </w:p>
    <w:tbl>
      <w:tblPr>
        <w:tblStyle w:val="TableGrid"/>
        <w:tblW w:w="0" w:type="auto"/>
        <w:tblLook w:val="04A0" w:firstRow="1" w:lastRow="0" w:firstColumn="1" w:lastColumn="0" w:noHBand="0" w:noVBand="1"/>
      </w:tblPr>
      <w:tblGrid>
        <w:gridCol w:w="2903"/>
        <w:gridCol w:w="2053"/>
        <w:gridCol w:w="2837"/>
        <w:gridCol w:w="2061"/>
      </w:tblGrid>
      <w:tr w:rsidR="00C4312E" w:rsidRPr="00B97789" w14:paraId="38BCEBC3" w14:textId="77777777" w:rsidTr="00B97789">
        <w:tc>
          <w:tcPr>
            <w:tcW w:w="9854" w:type="dxa"/>
            <w:gridSpan w:val="4"/>
            <w:shd w:val="clear" w:color="auto" w:fill="602320" w:themeFill="accent3"/>
          </w:tcPr>
          <w:p w14:paraId="18275A39" w14:textId="39E97564" w:rsidR="00B97789" w:rsidRPr="00B97789" w:rsidRDefault="00B97789" w:rsidP="00B97789">
            <w:pPr>
              <w:rPr>
                <w:b/>
                <w:color w:val="252524"/>
                <w:sz w:val="36"/>
                <w:szCs w:val="36"/>
                <w:shd w:val="clear" w:color="auto" w:fill="FFFFFF"/>
              </w:rPr>
            </w:pPr>
            <w:r w:rsidRPr="00B97789">
              <w:rPr>
                <w:color w:val="FFFFFF" w:themeColor="background1"/>
                <w:sz w:val="36"/>
                <w:szCs w:val="36"/>
              </w:rPr>
              <w:t>Evaluating President Cyril Ramaphosa’s ‘economic stimulus and recovery’ plan, launched in September 2018.</w:t>
            </w:r>
            <w:r w:rsidRPr="00B97789">
              <w:rPr>
                <w:b/>
                <w:color w:val="FFFFFF" w:themeColor="background1"/>
                <w:sz w:val="36"/>
                <w:szCs w:val="36"/>
                <w:shd w:val="clear" w:color="auto" w:fill="FFFFFF"/>
              </w:rPr>
              <w:t xml:space="preserve"> </w:t>
            </w:r>
          </w:p>
        </w:tc>
      </w:tr>
      <w:tr w:rsidR="00C4312E" w14:paraId="2409690A" w14:textId="77777777" w:rsidTr="00B97789">
        <w:tc>
          <w:tcPr>
            <w:tcW w:w="2972" w:type="dxa"/>
          </w:tcPr>
          <w:p w14:paraId="42AD7460" w14:textId="0915A619" w:rsidR="00C4312E" w:rsidRDefault="00C4312E" w:rsidP="00B97789">
            <w:pPr>
              <w:spacing w:after="0" w:line="240" w:lineRule="auto"/>
              <w:contextualSpacing/>
              <w:rPr>
                <w:color w:val="252524"/>
                <w:shd w:val="clear" w:color="auto" w:fill="FFFFFF"/>
              </w:rPr>
            </w:pPr>
            <w:r w:rsidRPr="0086666C">
              <w:t>Centralised R400bn infrastructure fund run out of the Presidency</w:t>
            </w:r>
          </w:p>
        </w:tc>
        <w:tc>
          <w:tcPr>
            <w:tcW w:w="1899" w:type="dxa"/>
          </w:tcPr>
          <w:p w14:paraId="13566D3B" w14:textId="68086AD4"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723B7962" wp14:editId="1C90548D">
                  <wp:extent cx="1166495" cy="480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75A9288D" w14:textId="7E366A96" w:rsidR="00C4312E" w:rsidRDefault="00C4312E" w:rsidP="00B97789">
            <w:pPr>
              <w:spacing w:after="0" w:line="240" w:lineRule="auto"/>
              <w:contextualSpacing/>
              <w:rPr>
                <w:color w:val="252524"/>
                <w:shd w:val="clear" w:color="auto" w:fill="FFFFFF"/>
              </w:rPr>
            </w:pPr>
            <w:r w:rsidRPr="00954CF5">
              <w:t>Spectrum allocation to bring down the cost of broadband</w:t>
            </w:r>
          </w:p>
        </w:tc>
        <w:tc>
          <w:tcPr>
            <w:tcW w:w="2062" w:type="dxa"/>
          </w:tcPr>
          <w:p w14:paraId="7585AB4C" w14:textId="7FF15529"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685D0F89" wp14:editId="5529EE88">
                  <wp:extent cx="1166495" cy="4806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r>
      <w:tr w:rsidR="00C4312E" w14:paraId="2CD1BF1F" w14:textId="77777777" w:rsidTr="00B97789">
        <w:tc>
          <w:tcPr>
            <w:tcW w:w="2972" w:type="dxa"/>
          </w:tcPr>
          <w:p w14:paraId="180F63CD" w14:textId="1E91CAD3" w:rsidR="00C4312E" w:rsidRDefault="00C4312E" w:rsidP="00B97789">
            <w:pPr>
              <w:spacing w:after="0" w:line="240" w:lineRule="auto"/>
              <w:contextualSpacing/>
              <w:rPr>
                <w:color w:val="252524"/>
                <w:shd w:val="clear" w:color="auto" w:fill="FFFFFF"/>
              </w:rPr>
            </w:pPr>
            <w:r w:rsidRPr="0086666C">
              <w:t>Infrastructure execution team across 57 pilot municipalities</w:t>
            </w:r>
          </w:p>
        </w:tc>
        <w:tc>
          <w:tcPr>
            <w:tcW w:w="1899" w:type="dxa"/>
          </w:tcPr>
          <w:p w14:paraId="217467AC" w14:textId="55DDF2F6"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3EBEA5ED" wp14:editId="32F057C8">
                  <wp:extent cx="1166495" cy="480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09B9EDCE" w14:textId="08A403D1" w:rsidR="00C4312E" w:rsidRDefault="00C4312E" w:rsidP="00B97789">
            <w:pPr>
              <w:spacing w:after="0" w:line="240" w:lineRule="auto"/>
              <w:contextualSpacing/>
              <w:rPr>
                <w:color w:val="252524"/>
                <w:shd w:val="clear" w:color="auto" w:fill="FFFFFF"/>
              </w:rPr>
            </w:pPr>
            <w:r w:rsidRPr="00954CF5">
              <w:t>Simpler, better and faster visa regulations, including e-visas</w:t>
            </w:r>
          </w:p>
        </w:tc>
        <w:tc>
          <w:tcPr>
            <w:tcW w:w="2062" w:type="dxa"/>
          </w:tcPr>
          <w:p w14:paraId="3CE4B3C7" w14:textId="66C406FA"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094CA134" wp14:editId="5BD10F72">
                  <wp:extent cx="1166495" cy="4806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r>
      <w:tr w:rsidR="00C4312E" w14:paraId="7E119482" w14:textId="77777777" w:rsidTr="00B97789">
        <w:tc>
          <w:tcPr>
            <w:tcW w:w="2972" w:type="dxa"/>
          </w:tcPr>
          <w:p w14:paraId="059DDC56" w14:textId="5A1ECDE7" w:rsidR="00C4312E" w:rsidRDefault="00C4312E" w:rsidP="00B97789">
            <w:pPr>
              <w:spacing w:after="0" w:line="240" w:lineRule="auto"/>
              <w:contextualSpacing/>
              <w:rPr>
                <w:color w:val="252524"/>
                <w:shd w:val="clear" w:color="auto" w:fill="FFFFFF"/>
              </w:rPr>
            </w:pPr>
            <w:r w:rsidRPr="0086666C">
              <w:t>Budget reprioritisation</w:t>
            </w:r>
          </w:p>
        </w:tc>
        <w:tc>
          <w:tcPr>
            <w:tcW w:w="1899" w:type="dxa"/>
          </w:tcPr>
          <w:p w14:paraId="141A7B14" w14:textId="6246C929"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50A014BE" wp14:editId="2848979D">
                  <wp:extent cx="1166495" cy="4806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56F06BB5" w14:textId="17331E34" w:rsidR="00C4312E" w:rsidRDefault="00C4312E" w:rsidP="00B97789">
            <w:pPr>
              <w:spacing w:after="0" w:line="240" w:lineRule="auto"/>
              <w:contextualSpacing/>
              <w:rPr>
                <w:color w:val="252524"/>
                <w:shd w:val="clear" w:color="auto" w:fill="FFFFFF"/>
              </w:rPr>
            </w:pPr>
            <w:r w:rsidRPr="00954CF5">
              <w:t>Finalise mining charter</w:t>
            </w:r>
          </w:p>
        </w:tc>
        <w:tc>
          <w:tcPr>
            <w:tcW w:w="2062" w:type="dxa"/>
          </w:tcPr>
          <w:p w14:paraId="6060D67E" w14:textId="26A6E43A"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19A630CE" wp14:editId="5BF6D06E">
                  <wp:extent cx="1160780" cy="48069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0780" cy="480695"/>
                          </a:xfrm>
                          <a:prstGeom prst="rect">
                            <a:avLst/>
                          </a:prstGeom>
                          <a:noFill/>
                          <a:ln>
                            <a:noFill/>
                          </a:ln>
                        </pic:spPr>
                      </pic:pic>
                    </a:graphicData>
                  </a:graphic>
                </wp:inline>
              </w:drawing>
            </w:r>
          </w:p>
        </w:tc>
      </w:tr>
      <w:tr w:rsidR="00C4312E" w14:paraId="7942FAF7" w14:textId="77777777" w:rsidTr="00B97789">
        <w:tc>
          <w:tcPr>
            <w:tcW w:w="2972" w:type="dxa"/>
          </w:tcPr>
          <w:p w14:paraId="037B3F48" w14:textId="6ACDFB2B" w:rsidR="00C4312E" w:rsidRDefault="00C4312E" w:rsidP="00B97789">
            <w:pPr>
              <w:spacing w:after="0" w:line="240" w:lineRule="auto"/>
              <w:contextualSpacing/>
              <w:rPr>
                <w:color w:val="252524"/>
                <w:shd w:val="clear" w:color="auto" w:fill="FFFFFF"/>
              </w:rPr>
            </w:pPr>
            <w:r w:rsidRPr="0086666C">
              <w:t>Review administered prices</w:t>
            </w:r>
          </w:p>
        </w:tc>
        <w:tc>
          <w:tcPr>
            <w:tcW w:w="1899" w:type="dxa"/>
          </w:tcPr>
          <w:p w14:paraId="2A3770F8" w14:textId="33D4337A"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6EC7A3B0" wp14:editId="7BDF8501">
                  <wp:extent cx="1166495" cy="4806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2BF59C55" w14:textId="1F1A69FD" w:rsidR="00C4312E" w:rsidRDefault="00C4312E" w:rsidP="00B97789">
            <w:pPr>
              <w:spacing w:after="0" w:line="240" w:lineRule="auto"/>
              <w:contextualSpacing/>
              <w:rPr>
                <w:color w:val="252524"/>
                <w:shd w:val="clear" w:color="auto" w:fill="FFFFFF"/>
              </w:rPr>
            </w:pPr>
            <w:r w:rsidRPr="00954CF5">
              <w:t>Resolve land expropriation without compensation</w:t>
            </w:r>
          </w:p>
        </w:tc>
        <w:tc>
          <w:tcPr>
            <w:tcW w:w="2062" w:type="dxa"/>
          </w:tcPr>
          <w:p w14:paraId="087B323D" w14:textId="7F99C51A"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4888668F" wp14:editId="1190EB26">
                  <wp:extent cx="1160780" cy="48069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0780" cy="480695"/>
                          </a:xfrm>
                          <a:prstGeom prst="rect">
                            <a:avLst/>
                          </a:prstGeom>
                          <a:noFill/>
                          <a:ln>
                            <a:noFill/>
                          </a:ln>
                        </pic:spPr>
                      </pic:pic>
                    </a:graphicData>
                  </a:graphic>
                </wp:inline>
              </w:drawing>
            </w:r>
          </w:p>
        </w:tc>
      </w:tr>
      <w:tr w:rsidR="00C4312E" w14:paraId="2D213A70" w14:textId="77777777" w:rsidTr="00B97789">
        <w:tc>
          <w:tcPr>
            <w:tcW w:w="2972" w:type="dxa"/>
          </w:tcPr>
          <w:p w14:paraId="19A2C766" w14:textId="7B29A22B" w:rsidR="00C4312E" w:rsidRDefault="00C4312E" w:rsidP="00B97789">
            <w:pPr>
              <w:spacing w:after="0" w:line="240" w:lineRule="auto"/>
              <w:contextualSpacing/>
              <w:rPr>
                <w:color w:val="252524"/>
                <w:shd w:val="clear" w:color="auto" w:fill="FFFFFF"/>
              </w:rPr>
            </w:pPr>
            <w:r w:rsidRPr="0086666C">
              <w:t>Township and rural entrepreneurship fund</w:t>
            </w:r>
          </w:p>
        </w:tc>
        <w:tc>
          <w:tcPr>
            <w:tcW w:w="1899" w:type="dxa"/>
          </w:tcPr>
          <w:p w14:paraId="14C85CAA" w14:textId="51B16DF2"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1ED3D04E" wp14:editId="3EEB0FAF">
                  <wp:extent cx="1166495" cy="4806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6597999B" w14:textId="5360D21F" w:rsidR="00C4312E" w:rsidRDefault="00C4312E" w:rsidP="00B97789">
            <w:pPr>
              <w:spacing w:after="0" w:line="240" w:lineRule="auto"/>
              <w:contextualSpacing/>
              <w:rPr>
                <w:color w:val="252524"/>
                <w:shd w:val="clear" w:color="auto" w:fill="FFFFFF"/>
              </w:rPr>
            </w:pPr>
            <w:r w:rsidRPr="00954CF5">
              <w:t>Advisory panel on land reform </w:t>
            </w:r>
          </w:p>
        </w:tc>
        <w:tc>
          <w:tcPr>
            <w:tcW w:w="2062" w:type="dxa"/>
          </w:tcPr>
          <w:p w14:paraId="03ECC3D3" w14:textId="09FB27C2"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6C0DF7DD" wp14:editId="0A5C176B">
                  <wp:extent cx="1160780" cy="48069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0780" cy="480695"/>
                          </a:xfrm>
                          <a:prstGeom prst="rect">
                            <a:avLst/>
                          </a:prstGeom>
                          <a:noFill/>
                          <a:ln>
                            <a:noFill/>
                          </a:ln>
                        </pic:spPr>
                      </pic:pic>
                    </a:graphicData>
                  </a:graphic>
                </wp:inline>
              </w:drawing>
            </w:r>
          </w:p>
        </w:tc>
      </w:tr>
      <w:tr w:rsidR="00C4312E" w14:paraId="28F7A3F2" w14:textId="77777777" w:rsidTr="00B97789">
        <w:tc>
          <w:tcPr>
            <w:tcW w:w="2972" w:type="dxa"/>
          </w:tcPr>
          <w:p w14:paraId="6ECBAAC9" w14:textId="073F4E13" w:rsidR="00C4312E" w:rsidRDefault="00C4312E" w:rsidP="00B97789">
            <w:pPr>
              <w:spacing w:after="0" w:line="240" w:lineRule="auto"/>
              <w:contextualSpacing/>
              <w:rPr>
                <w:color w:val="252524"/>
                <w:shd w:val="clear" w:color="auto" w:fill="FFFFFF"/>
              </w:rPr>
            </w:pPr>
            <w:r w:rsidRPr="0086666C">
              <w:t>2 200 critical health posts to be filled</w:t>
            </w:r>
          </w:p>
        </w:tc>
        <w:tc>
          <w:tcPr>
            <w:tcW w:w="1899" w:type="dxa"/>
          </w:tcPr>
          <w:p w14:paraId="1663C188" w14:textId="4B17A152"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6494AC64" wp14:editId="36A65DDB">
                  <wp:extent cx="1166495" cy="4806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0C043016" w14:textId="4469C67A" w:rsidR="00C4312E" w:rsidRDefault="00C4312E" w:rsidP="00B97789">
            <w:pPr>
              <w:spacing w:after="0" w:line="240" w:lineRule="auto"/>
              <w:contextualSpacing/>
              <w:rPr>
                <w:color w:val="252524"/>
                <w:shd w:val="clear" w:color="auto" w:fill="FFFFFF"/>
              </w:rPr>
            </w:pPr>
            <w:r w:rsidRPr="00954CF5">
              <w:t>New national minimum wage</w:t>
            </w:r>
          </w:p>
        </w:tc>
        <w:tc>
          <w:tcPr>
            <w:tcW w:w="2062" w:type="dxa"/>
          </w:tcPr>
          <w:p w14:paraId="17B57FE1" w14:textId="76D109E6"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399DB914" wp14:editId="745EE055">
                  <wp:extent cx="1160780" cy="48069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0780" cy="480695"/>
                          </a:xfrm>
                          <a:prstGeom prst="rect">
                            <a:avLst/>
                          </a:prstGeom>
                          <a:noFill/>
                          <a:ln>
                            <a:noFill/>
                          </a:ln>
                        </pic:spPr>
                      </pic:pic>
                    </a:graphicData>
                  </a:graphic>
                </wp:inline>
              </w:drawing>
            </w:r>
          </w:p>
        </w:tc>
      </w:tr>
      <w:tr w:rsidR="00C4312E" w14:paraId="3B34CCCB" w14:textId="77777777" w:rsidTr="00B97789">
        <w:tc>
          <w:tcPr>
            <w:tcW w:w="2972" w:type="dxa"/>
          </w:tcPr>
          <w:p w14:paraId="3F594026" w14:textId="22A2EB85" w:rsidR="00C4312E" w:rsidRDefault="00C4312E" w:rsidP="00B97789">
            <w:pPr>
              <w:spacing w:after="0" w:line="240" w:lineRule="auto"/>
              <w:contextualSpacing/>
              <w:jc w:val="both"/>
              <w:rPr>
                <w:color w:val="252524"/>
                <w:shd w:val="clear" w:color="auto" w:fill="FFFFFF"/>
              </w:rPr>
            </w:pPr>
            <w:r w:rsidRPr="0086666C">
              <w:t>30-year leases to farmers</w:t>
            </w:r>
          </w:p>
        </w:tc>
        <w:tc>
          <w:tcPr>
            <w:tcW w:w="1899" w:type="dxa"/>
          </w:tcPr>
          <w:p w14:paraId="5DFEC559" w14:textId="2FB1868C"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488377E9" wp14:editId="769BF152">
                  <wp:extent cx="1166495" cy="480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480695"/>
                          </a:xfrm>
                          <a:prstGeom prst="rect">
                            <a:avLst/>
                          </a:prstGeom>
                          <a:noFill/>
                          <a:ln>
                            <a:noFill/>
                          </a:ln>
                        </pic:spPr>
                      </pic:pic>
                    </a:graphicData>
                  </a:graphic>
                </wp:inline>
              </w:drawing>
            </w:r>
          </w:p>
        </w:tc>
        <w:tc>
          <w:tcPr>
            <w:tcW w:w="2921" w:type="dxa"/>
          </w:tcPr>
          <w:p w14:paraId="11E5D57B" w14:textId="28F020A5" w:rsidR="00C4312E" w:rsidRDefault="00C4312E" w:rsidP="00B97789">
            <w:pPr>
              <w:spacing w:after="0" w:line="240" w:lineRule="auto"/>
              <w:contextualSpacing/>
              <w:rPr>
                <w:color w:val="252524"/>
                <w:shd w:val="clear" w:color="auto" w:fill="FFFFFF"/>
              </w:rPr>
            </w:pPr>
            <w:r w:rsidRPr="00954CF5">
              <w:t>Expand VAT exempt basket</w:t>
            </w:r>
          </w:p>
        </w:tc>
        <w:tc>
          <w:tcPr>
            <w:tcW w:w="2062" w:type="dxa"/>
          </w:tcPr>
          <w:p w14:paraId="393B839C" w14:textId="344A214F" w:rsidR="00C4312E" w:rsidRDefault="00C4312E" w:rsidP="00B97789">
            <w:pPr>
              <w:spacing w:after="0" w:line="240" w:lineRule="auto"/>
              <w:contextualSpacing/>
              <w:jc w:val="center"/>
              <w:rPr>
                <w:color w:val="252524"/>
                <w:shd w:val="clear" w:color="auto" w:fill="FFFFFF"/>
              </w:rPr>
            </w:pPr>
            <w:r w:rsidRPr="00C4312E">
              <w:rPr>
                <w:noProof/>
                <w:color w:val="252524"/>
                <w:shd w:val="clear" w:color="auto" w:fill="FFFFFF"/>
                <w:lang w:val="en-US"/>
              </w:rPr>
              <w:drawing>
                <wp:inline distT="0" distB="0" distL="0" distR="0" wp14:anchorId="71A01174" wp14:editId="7517FCCC">
                  <wp:extent cx="1160780" cy="48069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0780" cy="480695"/>
                          </a:xfrm>
                          <a:prstGeom prst="rect">
                            <a:avLst/>
                          </a:prstGeom>
                          <a:noFill/>
                          <a:ln>
                            <a:noFill/>
                          </a:ln>
                        </pic:spPr>
                      </pic:pic>
                    </a:graphicData>
                  </a:graphic>
                </wp:inline>
              </w:drawing>
            </w:r>
          </w:p>
        </w:tc>
      </w:tr>
    </w:tbl>
    <w:p w14:paraId="314B8F2E" w14:textId="5214BFFD" w:rsidR="00C4312E" w:rsidRDefault="00C4312E" w:rsidP="00A4648A">
      <w:pPr>
        <w:jc w:val="both"/>
        <w:rPr>
          <w:color w:val="252524"/>
          <w:shd w:val="clear" w:color="auto" w:fill="FFFFFF"/>
        </w:rPr>
      </w:pPr>
      <w:r>
        <w:rPr>
          <w:color w:val="252524"/>
          <w:shd w:val="clear" w:color="auto" w:fill="FFFFFF"/>
        </w:rPr>
        <w:t>Sources: Fin24, PwC Strategy&amp;</w:t>
      </w:r>
    </w:p>
    <w:p w14:paraId="7E843729" w14:textId="77777777" w:rsidR="00B97789" w:rsidRPr="00B97789" w:rsidRDefault="00B97789" w:rsidP="00B97789">
      <w:pPr>
        <w:spacing w:after="0" w:line="240" w:lineRule="auto"/>
        <w:contextualSpacing/>
        <w:jc w:val="both"/>
        <w:rPr>
          <w:color w:val="252524"/>
          <w:sz w:val="22"/>
          <w:szCs w:val="22"/>
          <w:shd w:val="clear" w:color="auto" w:fill="FFFFFF"/>
        </w:rPr>
      </w:pPr>
    </w:p>
    <w:p w14:paraId="076E6FA2" w14:textId="4C43A798" w:rsidR="00B97789" w:rsidRDefault="00B97789" w:rsidP="00B97789">
      <w:pPr>
        <w:spacing w:after="0" w:line="240" w:lineRule="auto"/>
        <w:contextualSpacing/>
        <w:jc w:val="both"/>
        <w:rPr>
          <w:color w:val="252524"/>
          <w:shd w:val="clear" w:color="auto" w:fill="FFFFFF"/>
        </w:rPr>
      </w:pPr>
    </w:p>
    <w:p w14:paraId="5A81592B" w14:textId="4D72A3B7" w:rsidR="00B97789" w:rsidRDefault="00B97789" w:rsidP="00B97789">
      <w:pPr>
        <w:spacing w:after="0" w:line="240" w:lineRule="auto"/>
        <w:contextualSpacing/>
        <w:jc w:val="both"/>
        <w:rPr>
          <w:color w:val="252524"/>
          <w:shd w:val="clear" w:color="auto" w:fill="FFFFFF"/>
        </w:rPr>
      </w:pPr>
    </w:p>
    <w:p w14:paraId="41FF7E4B" w14:textId="0992A1E5" w:rsidR="00B97789" w:rsidRDefault="00B97789" w:rsidP="00B97789">
      <w:pPr>
        <w:spacing w:after="0" w:line="240" w:lineRule="auto"/>
        <w:contextualSpacing/>
        <w:jc w:val="both"/>
        <w:rPr>
          <w:color w:val="252524"/>
          <w:shd w:val="clear" w:color="auto" w:fill="FFFFFF"/>
        </w:rPr>
      </w:pPr>
    </w:p>
    <w:p w14:paraId="595981F7" w14:textId="77777777" w:rsidR="00B97789" w:rsidRDefault="00B97789" w:rsidP="00B97789">
      <w:pPr>
        <w:spacing w:after="0" w:line="240" w:lineRule="auto"/>
        <w:contextualSpacing/>
        <w:jc w:val="both"/>
        <w:rPr>
          <w:color w:val="252524"/>
          <w:shd w:val="clear" w:color="auto" w:fill="FFFFFF"/>
        </w:rPr>
      </w:pPr>
    </w:p>
    <w:p w14:paraId="7CC9D77C" w14:textId="025A5DCB" w:rsidR="00B97789" w:rsidRDefault="00B97789" w:rsidP="00A4648A">
      <w:pPr>
        <w:jc w:val="both"/>
        <w:rPr>
          <w:color w:val="252524"/>
          <w:shd w:val="clear" w:color="auto" w:fill="FFFFFF"/>
        </w:rPr>
      </w:pPr>
    </w:p>
    <w:p w14:paraId="5FCCF389" w14:textId="5556836C" w:rsidR="00B97789" w:rsidRDefault="00B97789" w:rsidP="00A4648A">
      <w:pPr>
        <w:jc w:val="both"/>
        <w:rPr>
          <w:color w:val="252524"/>
          <w:shd w:val="clear" w:color="auto" w:fill="FFFFFF"/>
        </w:rPr>
      </w:pPr>
    </w:p>
    <w:p w14:paraId="72FCB8B9" w14:textId="056C6706" w:rsidR="00CE05FE" w:rsidRDefault="00CE05FE" w:rsidP="00A4648A">
      <w:pPr>
        <w:jc w:val="both"/>
        <w:rPr>
          <w:color w:val="252524"/>
          <w:shd w:val="clear" w:color="auto" w:fill="FFFFFF"/>
        </w:rPr>
      </w:pPr>
    </w:p>
    <w:p w14:paraId="2AB8FB5E" w14:textId="0AB83C24" w:rsidR="00CE05FE" w:rsidRDefault="00CE05FE" w:rsidP="00A4648A">
      <w:pPr>
        <w:jc w:val="both"/>
        <w:rPr>
          <w:color w:val="252524"/>
          <w:shd w:val="clear" w:color="auto" w:fill="FFFFFF"/>
        </w:rPr>
      </w:pPr>
    </w:p>
    <w:p w14:paraId="58E7E97F" w14:textId="0B4F15F6" w:rsidR="00CE05FE" w:rsidRDefault="00CE05FE" w:rsidP="00A4648A">
      <w:pPr>
        <w:jc w:val="both"/>
        <w:rPr>
          <w:color w:val="252524"/>
          <w:shd w:val="clear" w:color="auto" w:fill="FFFFFF"/>
        </w:rPr>
      </w:pPr>
    </w:p>
    <w:p w14:paraId="740A3703" w14:textId="77777777" w:rsidR="00CE05FE" w:rsidRDefault="00CE05FE" w:rsidP="00A4648A">
      <w:pPr>
        <w:jc w:val="both"/>
        <w:rPr>
          <w:color w:val="252524"/>
          <w:shd w:val="clear" w:color="auto" w:fill="FFFFFF"/>
        </w:rPr>
      </w:pPr>
    </w:p>
    <w:p w14:paraId="34063D73" w14:textId="3F169AA2" w:rsidR="00B97789" w:rsidRDefault="00B97789" w:rsidP="00A4648A">
      <w:pPr>
        <w:jc w:val="both"/>
        <w:rPr>
          <w:color w:val="252524"/>
          <w:shd w:val="clear" w:color="auto" w:fill="FFFFFF"/>
        </w:rPr>
      </w:pPr>
    </w:p>
    <w:p w14:paraId="613715E9" w14:textId="77777777" w:rsidR="00B97789" w:rsidRDefault="00B97789" w:rsidP="00A4648A">
      <w:pPr>
        <w:jc w:val="both"/>
        <w:rPr>
          <w:color w:val="252524"/>
          <w:shd w:val="clear" w:color="auto" w:fill="FFFFFF"/>
        </w:rPr>
      </w:pPr>
    </w:p>
    <w:p w14:paraId="66577E8B" w14:textId="77777777" w:rsidR="00A4648A" w:rsidRDefault="00A4648A" w:rsidP="00A4648A">
      <w:pPr>
        <w:jc w:val="both"/>
        <w:rPr>
          <w:color w:val="252524"/>
          <w:shd w:val="clear" w:color="auto" w:fill="FFFFFF"/>
        </w:rPr>
      </w:pPr>
    </w:p>
    <w:p w14:paraId="27123D58" w14:textId="77777777" w:rsidR="00C4312E" w:rsidRDefault="00C4312E" w:rsidP="00C4312E">
      <w:pPr>
        <w:pStyle w:val="Heading1"/>
        <w:ind w:left="567" w:hanging="567"/>
      </w:pPr>
      <w:bookmarkStart w:id="21" w:name="_Toc10545943"/>
      <w:r>
        <w:lastRenderedPageBreak/>
        <w:t>Conclusion</w:t>
      </w:r>
      <w:bookmarkEnd w:id="21"/>
    </w:p>
    <w:p w14:paraId="6FD0852A" w14:textId="77777777" w:rsidR="00B41CE1" w:rsidRDefault="0012075B" w:rsidP="00B567DA">
      <w:pPr>
        <w:rPr>
          <w:color w:val="252524"/>
          <w:shd w:val="clear" w:color="auto" w:fill="FFFFFF"/>
        </w:rPr>
      </w:pPr>
      <w:r>
        <w:rPr>
          <w:color w:val="252524"/>
          <w:shd w:val="clear" w:color="auto" w:fill="FFFFFF"/>
        </w:rPr>
        <w:t>The previous four sections summarised key information about the South African economy</w:t>
      </w:r>
      <w:r w:rsidR="00B41CE1">
        <w:rPr>
          <w:color w:val="252524"/>
          <w:shd w:val="clear" w:color="auto" w:fill="FFFFFF"/>
        </w:rPr>
        <w:t>:</w:t>
      </w:r>
    </w:p>
    <w:p w14:paraId="721CF90C" w14:textId="64DF8631" w:rsidR="00B41CE1" w:rsidRDefault="00B41CE1" w:rsidP="00B567DA">
      <w:pPr>
        <w:pStyle w:val="ListParagraph"/>
        <w:numPr>
          <w:ilvl w:val="0"/>
          <w:numId w:val="14"/>
        </w:numPr>
        <w:rPr>
          <w:color w:val="252524"/>
          <w:shd w:val="clear" w:color="auto" w:fill="FFFFFF"/>
        </w:rPr>
      </w:pPr>
      <w:r>
        <w:rPr>
          <w:color w:val="252524"/>
          <w:shd w:val="clear" w:color="auto" w:fill="FFFFFF"/>
        </w:rPr>
        <w:t xml:space="preserve">GDP contracted on a quarterly basis during Q1 of 2019 and left the South African economy no larger than it was a year earlier. </w:t>
      </w:r>
    </w:p>
    <w:p w14:paraId="7831FCC5" w14:textId="446DECF4" w:rsidR="0012075B" w:rsidRPr="0012075B" w:rsidRDefault="00B41CE1" w:rsidP="00B567DA">
      <w:pPr>
        <w:pStyle w:val="ListParagraph"/>
        <w:numPr>
          <w:ilvl w:val="0"/>
          <w:numId w:val="14"/>
        </w:numPr>
        <w:rPr>
          <w:color w:val="252524"/>
          <w:shd w:val="clear" w:color="auto" w:fill="FFFFFF"/>
        </w:rPr>
      </w:pPr>
      <w:r>
        <w:rPr>
          <w:color w:val="252524"/>
          <w:shd w:val="clear" w:color="auto" w:fill="FFFFFF"/>
        </w:rPr>
        <w:t>T</w:t>
      </w:r>
      <w:r w:rsidR="0012075B">
        <w:rPr>
          <w:color w:val="252524"/>
          <w:shd w:val="clear" w:color="auto" w:fill="FFFFFF"/>
        </w:rPr>
        <w:t xml:space="preserve">he majority of high-frequency economic data have deteriorated since Q4 of 2018, both when measuring q-o-q and y-o-y changes. </w:t>
      </w:r>
    </w:p>
    <w:p w14:paraId="155E76B8" w14:textId="58FC3120" w:rsidR="00452199" w:rsidRDefault="00196C0B" w:rsidP="00B567DA">
      <w:pPr>
        <w:pStyle w:val="ListParagraph"/>
        <w:numPr>
          <w:ilvl w:val="0"/>
          <w:numId w:val="14"/>
        </w:numPr>
        <w:rPr>
          <w:color w:val="252524"/>
          <w:shd w:val="clear" w:color="auto" w:fill="FFFFFF"/>
        </w:rPr>
      </w:pPr>
      <w:r>
        <w:rPr>
          <w:color w:val="252524"/>
          <w:shd w:val="clear" w:color="auto" w:fill="FFFFFF"/>
        </w:rPr>
        <w:t>O</w:t>
      </w:r>
      <w:r w:rsidR="00452199">
        <w:rPr>
          <w:color w:val="252524"/>
          <w:shd w:val="clear" w:color="auto" w:fill="FFFFFF"/>
        </w:rPr>
        <w:t>nly 2 out of the 14 economic indicators reviewed in this report showed an improvement in q-o-q performance between Q4 of 2018 an</w:t>
      </w:r>
      <w:r w:rsidR="00D4721D">
        <w:rPr>
          <w:color w:val="252524"/>
          <w:shd w:val="clear" w:color="auto" w:fill="FFFFFF"/>
        </w:rPr>
        <w:t>d</w:t>
      </w:r>
      <w:r w:rsidR="00B41CE1">
        <w:rPr>
          <w:color w:val="252524"/>
          <w:shd w:val="clear" w:color="auto" w:fill="FFFFFF"/>
        </w:rPr>
        <w:t xml:space="preserve"> </w:t>
      </w:r>
      <w:r w:rsidR="00452199">
        <w:rPr>
          <w:color w:val="252524"/>
          <w:shd w:val="clear" w:color="auto" w:fill="FFFFFF"/>
        </w:rPr>
        <w:t xml:space="preserve">Q1 of 2019. </w:t>
      </w:r>
    </w:p>
    <w:p w14:paraId="0B139697" w14:textId="66F8DC1E" w:rsidR="0012075B" w:rsidRDefault="0012075B" w:rsidP="00B567DA">
      <w:pPr>
        <w:pStyle w:val="ListParagraph"/>
        <w:numPr>
          <w:ilvl w:val="0"/>
          <w:numId w:val="14"/>
        </w:numPr>
        <w:rPr>
          <w:color w:val="252524"/>
          <w:shd w:val="clear" w:color="auto" w:fill="FFFFFF"/>
        </w:rPr>
      </w:pPr>
      <w:r>
        <w:rPr>
          <w:color w:val="252524"/>
          <w:shd w:val="clear" w:color="auto" w:fill="FFFFFF"/>
        </w:rPr>
        <w:t>Key i</w:t>
      </w:r>
      <w:r w:rsidRPr="0012075B">
        <w:rPr>
          <w:color w:val="252524"/>
          <w:shd w:val="clear" w:color="auto" w:fill="FFFFFF"/>
        </w:rPr>
        <w:t>ndices have</w:t>
      </w:r>
      <w:r>
        <w:rPr>
          <w:color w:val="252524"/>
          <w:shd w:val="clear" w:color="auto" w:fill="FFFFFF"/>
        </w:rPr>
        <w:t xml:space="preserve"> </w:t>
      </w:r>
      <w:r w:rsidRPr="0012075B">
        <w:rPr>
          <w:color w:val="252524"/>
          <w:shd w:val="clear" w:color="auto" w:fill="FFFFFF"/>
        </w:rPr>
        <w:t>deteriorated</w:t>
      </w:r>
      <w:r w:rsidR="00B41CE1">
        <w:rPr>
          <w:color w:val="252524"/>
          <w:shd w:val="clear" w:color="auto" w:fill="FFFFFF"/>
        </w:rPr>
        <w:t xml:space="preserve">: </w:t>
      </w:r>
      <w:r>
        <w:rPr>
          <w:color w:val="252524"/>
          <w:shd w:val="clear" w:color="auto" w:fill="FFFFFF"/>
        </w:rPr>
        <w:t>surveyed and measure</w:t>
      </w:r>
      <w:r w:rsidR="00D4721D">
        <w:rPr>
          <w:color w:val="252524"/>
          <w:shd w:val="clear" w:color="auto" w:fill="FFFFFF"/>
        </w:rPr>
        <w:t>d</w:t>
      </w:r>
      <w:r>
        <w:rPr>
          <w:color w:val="252524"/>
          <w:shd w:val="clear" w:color="auto" w:fill="FFFFFF"/>
        </w:rPr>
        <w:t xml:space="preserve"> indices have largely deteriorated</w:t>
      </w:r>
      <w:r w:rsidR="00D4721D">
        <w:rPr>
          <w:color w:val="252524"/>
          <w:shd w:val="clear" w:color="auto" w:fill="FFFFFF"/>
        </w:rPr>
        <w:t xml:space="preserve"> from Q4 of 2018</w:t>
      </w:r>
      <w:r>
        <w:rPr>
          <w:color w:val="252524"/>
          <w:shd w:val="clear" w:color="auto" w:fill="FFFFFF"/>
        </w:rPr>
        <w:t>, highlight</w:t>
      </w:r>
      <w:r w:rsidR="00D4721D">
        <w:rPr>
          <w:color w:val="252524"/>
          <w:shd w:val="clear" w:color="auto" w:fill="FFFFFF"/>
        </w:rPr>
        <w:t>ing</w:t>
      </w:r>
      <w:r>
        <w:rPr>
          <w:color w:val="252524"/>
          <w:shd w:val="clear" w:color="auto" w:fill="FFFFFF"/>
        </w:rPr>
        <w:t xml:space="preserve"> weaker conditions from a broader perspective than sector-specific data would suggest. </w:t>
      </w:r>
    </w:p>
    <w:p w14:paraId="617E2FA7" w14:textId="65926942" w:rsidR="0012075B" w:rsidRDefault="0012075B" w:rsidP="00B567DA">
      <w:pPr>
        <w:pStyle w:val="ListParagraph"/>
        <w:numPr>
          <w:ilvl w:val="0"/>
          <w:numId w:val="14"/>
        </w:numPr>
        <w:rPr>
          <w:color w:val="252524"/>
          <w:shd w:val="clear" w:color="auto" w:fill="FFFFFF"/>
        </w:rPr>
      </w:pPr>
      <w:r>
        <w:rPr>
          <w:color w:val="252524"/>
          <w:shd w:val="clear" w:color="auto" w:fill="FFFFFF"/>
        </w:rPr>
        <w:t>President Ramaphosa’s ‘economic stimulus and recovery plan’ ha</w:t>
      </w:r>
      <w:r w:rsidR="00D4721D">
        <w:rPr>
          <w:color w:val="252524"/>
          <w:shd w:val="clear" w:color="auto" w:fill="FFFFFF"/>
        </w:rPr>
        <w:t>s</w:t>
      </w:r>
      <w:r>
        <w:rPr>
          <w:color w:val="252524"/>
          <w:shd w:val="clear" w:color="auto" w:fill="FFFFFF"/>
        </w:rPr>
        <w:t xml:space="preserve"> seen very few positive results</w:t>
      </w:r>
      <w:r w:rsidR="00D4721D">
        <w:rPr>
          <w:color w:val="252524"/>
          <w:shd w:val="clear" w:color="auto" w:fill="FFFFFF"/>
        </w:rPr>
        <w:t>,</w:t>
      </w:r>
      <w:r>
        <w:rPr>
          <w:color w:val="252524"/>
          <w:shd w:val="clear" w:color="auto" w:fill="FFFFFF"/>
        </w:rPr>
        <w:t xml:space="preserve"> with the majority of endeavours still stuck in neutral or first gear. </w:t>
      </w:r>
    </w:p>
    <w:p w14:paraId="00A65305" w14:textId="5A973928" w:rsidR="00327EF2" w:rsidRDefault="00B41CE1" w:rsidP="00A4648A">
      <w:pPr>
        <w:jc w:val="both"/>
        <w:rPr>
          <w:color w:val="252524"/>
          <w:shd w:val="clear" w:color="auto" w:fill="FFFFFF"/>
        </w:rPr>
      </w:pPr>
      <w:r>
        <w:rPr>
          <w:color w:val="252524"/>
          <w:shd w:val="clear" w:color="auto" w:fill="FFFFFF"/>
        </w:rPr>
        <w:t xml:space="preserve">President Ramaphosa will need to consider this economic crisis when he delivers his SONA on June 20. There are enough suggestions – most recently from the International Monetary Fund (IMF) and South African Reserve Bank (SARB) – on the structural reforms needed to get the South African economy into a higher gear. The president and his new Cabinet will need to act soon. </w:t>
      </w:r>
    </w:p>
    <w:p w14:paraId="1CC8FB86" w14:textId="756CF8AC" w:rsidR="002D56AF" w:rsidRDefault="002D56AF" w:rsidP="00A4648A">
      <w:pPr>
        <w:jc w:val="both"/>
        <w:rPr>
          <w:color w:val="252524"/>
          <w:shd w:val="clear" w:color="auto" w:fill="FFFFFF"/>
        </w:rPr>
      </w:pPr>
    </w:p>
    <w:p w14:paraId="708CC343" w14:textId="16A8DDC2" w:rsidR="00CE05FE" w:rsidRDefault="00CE05FE" w:rsidP="00A4648A">
      <w:pPr>
        <w:jc w:val="both"/>
        <w:rPr>
          <w:color w:val="252524"/>
          <w:shd w:val="clear" w:color="auto" w:fill="FFFFFF"/>
        </w:rPr>
      </w:pPr>
    </w:p>
    <w:p w14:paraId="6750292D" w14:textId="671C7626" w:rsidR="00CE05FE" w:rsidRDefault="00CE05FE" w:rsidP="00A4648A">
      <w:pPr>
        <w:jc w:val="both"/>
        <w:rPr>
          <w:color w:val="252524"/>
          <w:shd w:val="clear" w:color="auto" w:fill="FFFFFF"/>
        </w:rPr>
      </w:pPr>
    </w:p>
    <w:p w14:paraId="49ED7422" w14:textId="205EFE8A" w:rsidR="00CE05FE" w:rsidRDefault="00CE05FE" w:rsidP="00A4648A">
      <w:pPr>
        <w:jc w:val="both"/>
        <w:rPr>
          <w:color w:val="252524"/>
          <w:shd w:val="clear" w:color="auto" w:fill="FFFFFF"/>
        </w:rPr>
      </w:pPr>
    </w:p>
    <w:p w14:paraId="7757A9B4" w14:textId="20AF0C41" w:rsidR="00CE05FE" w:rsidRDefault="00CE05FE" w:rsidP="00A4648A">
      <w:pPr>
        <w:jc w:val="both"/>
        <w:rPr>
          <w:color w:val="252524"/>
          <w:shd w:val="clear" w:color="auto" w:fill="FFFFFF"/>
        </w:rPr>
      </w:pPr>
    </w:p>
    <w:p w14:paraId="7675E97C" w14:textId="6A6C63A2" w:rsidR="00CE05FE" w:rsidRDefault="00CE05FE" w:rsidP="00A4648A">
      <w:pPr>
        <w:jc w:val="both"/>
        <w:rPr>
          <w:color w:val="252524"/>
          <w:shd w:val="clear" w:color="auto" w:fill="FFFFFF"/>
        </w:rPr>
      </w:pPr>
    </w:p>
    <w:p w14:paraId="5B372A1F" w14:textId="7F271F14" w:rsidR="00CE05FE" w:rsidRDefault="00CE05FE" w:rsidP="00A4648A">
      <w:pPr>
        <w:jc w:val="both"/>
        <w:rPr>
          <w:color w:val="252524"/>
          <w:shd w:val="clear" w:color="auto" w:fill="FFFFFF"/>
        </w:rPr>
      </w:pPr>
    </w:p>
    <w:p w14:paraId="1AE04C36" w14:textId="5335495A" w:rsidR="00CE05FE" w:rsidRDefault="00CE05FE" w:rsidP="00A4648A">
      <w:pPr>
        <w:jc w:val="both"/>
        <w:rPr>
          <w:color w:val="252524"/>
          <w:shd w:val="clear" w:color="auto" w:fill="FFFFFF"/>
        </w:rPr>
      </w:pPr>
    </w:p>
    <w:p w14:paraId="3E4BDBAF" w14:textId="2C8AA49D" w:rsidR="00CE05FE" w:rsidRDefault="00CE05FE" w:rsidP="00A4648A">
      <w:pPr>
        <w:jc w:val="both"/>
        <w:rPr>
          <w:color w:val="252524"/>
          <w:shd w:val="clear" w:color="auto" w:fill="FFFFFF"/>
        </w:rPr>
      </w:pPr>
    </w:p>
    <w:p w14:paraId="5DD9F147" w14:textId="3F598F3B" w:rsidR="00CE05FE" w:rsidRDefault="00CE05FE" w:rsidP="00A4648A">
      <w:pPr>
        <w:jc w:val="both"/>
        <w:rPr>
          <w:color w:val="252524"/>
          <w:shd w:val="clear" w:color="auto" w:fill="FFFFFF"/>
        </w:rPr>
      </w:pPr>
    </w:p>
    <w:p w14:paraId="69D8AA6A" w14:textId="476CA4D8" w:rsidR="00CE05FE" w:rsidRDefault="00CE05FE" w:rsidP="00A4648A">
      <w:pPr>
        <w:jc w:val="both"/>
        <w:rPr>
          <w:color w:val="252524"/>
          <w:shd w:val="clear" w:color="auto" w:fill="FFFFFF"/>
        </w:rPr>
      </w:pPr>
    </w:p>
    <w:p w14:paraId="2DFCBFDF" w14:textId="450F2FA7" w:rsidR="00CE05FE" w:rsidRDefault="00CE05FE" w:rsidP="00A4648A">
      <w:pPr>
        <w:jc w:val="both"/>
        <w:rPr>
          <w:color w:val="252524"/>
          <w:shd w:val="clear" w:color="auto" w:fill="FFFFFF"/>
        </w:rPr>
      </w:pPr>
    </w:p>
    <w:p w14:paraId="72A3E7AA" w14:textId="0724D4FC" w:rsidR="00CE05FE" w:rsidRDefault="00CE05FE" w:rsidP="00A4648A">
      <w:pPr>
        <w:jc w:val="both"/>
        <w:rPr>
          <w:color w:val="252524"/>
          <w:shd w:val="clear" w:color="auto" w:fill="FFFFFF"/>
        </w:rPr>
      </w:pPr>
    </w:p>
    <w:p w14:paraId="2B0B7F38" w14:textId="57E6C9F6" w:rsidR="00CE05FE" w:rsidRDefault="00CE05FE" w:rsidP="00A4648A">
      <w:pPr>
        <w:jc w:val="both"/>
        <w:rPr>
          <w:color w:val="252524"/>
          <w:shd w:val="clear" w:color="auto" w:fill="FFFFFF"/>
        </w:rPr>
      </w:pPr>
    </w:p>
    <w:p w14:paraId="4BDEBAC8" w14:textId="54A02337" w:rsidR="00CE05FE" w:rsidRDefault="00CE05FE" w:rsidP="00A4648A">
      <w:pPr>
        <w:jc w:val="both"/>
        <w:rPr>
          <w:color w:val="252524"/>
          <w:shd w:val="clear" w:color="auto" w:fill="FFFFFF"/>
        </w:rPr>
      </w:pPr>
    </w:p>
    <w:p w14:paraId="1E73CBAD" w14:textId="50B093DD" w:rsidR="00CE05FE" w:rsidRDefault="00CE05FE" w:rsidP="00A4648A">
      <w:pPr>
        <w:jc w:val="both"/>
        <w:rPr>
          <w:color w:val="252524"/>
          <w:shd w:val="clear" w:color="auto" w:fill="FFFFFF"/>
        </w:rPr>
      </w:pPr>
    </w:p>
    <w:p w14:paraId="212552FD" w14:textId="38B9B753" w:rsidR="00CE05FE" w:rsidRDefault="00CE05FE" w:rsidP="00A4648A">
      <w:pPr>
        <w:jc w:val="both"/>
        <w:rPr>
          <w:color w:val="252524"/>
          <w:shd w:val="clear" w:color="auto" w:fill="FFFFFF"/>
        </w:rPr>
      </w:pPr>
    </w:p>
    <w:p w14:paraId="47BAC644" w14:textId="65E4D721" w:rsidR="00CE05FE" w:rsidRDefault="00CE05FE" w:rsidP="00A4648A">
      <w:pPr>
        <w:jc w:val="both"/>
        <w:rPr>
          <w:color w:val="252524"/>
          <w:shd w:val="clear" w:color="auto" w:fill="FFFFFF"/>
        </w:rPr>
      </w:pPr>
    </w:p>
    <w:p w14:paraId="2EA2767E" w14:textId="2E01ED0C" w:rsidR="002D56AF" w:rsidRPr="00CE05FE" w:rsidRDefault="00CE05FE" w:rsidP="00CE05FE">
      <w:pPr>
        <w:pStyle w:val="Heading1"/>
        <w:ind w:left="567" w:hanging="567"/>
      </w:pPr>
      <w:bookmarkStart w:id="22" w:name="_Toc10545944"/>
      <w:r>
        <w:t>Contacts</w:t>
      </w:r>
      <w:bookmarkEnd w:id="22"/>
    </w:p>
    <w:tbl>
      <w:tblPr>
        <w:tblStyle w:val="GridTable1Light-Accent211"/>
        <w:tblpPr w:leftFromText="180" w:rightFromText="180" w:vertAnchor="text" w:horzAnchor="margin" w:tblpY="-51"/>
        <w:tblW w:w="0" w:type="auto"/>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2093"/>
        <w:gridCol w:w="6520"/>
      </w:tblGrid>
      <w:tr w:rsidR="002D56AF" w:rsidRPr="00356BDA" w14:paraId="62B990D3" w14:textId="77777777" w:rsidTr="00A5042E">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none" w:sz="0" w:space="0" w:color="auto"/>
            </w:tcBorders>
          </w:tcPr>
          <w:p w14:paraId="46205DC1" w14:textId="235D9D49" w:rsidR="002D56AF" w:rsidRPr="00CE05FE" w:rsidRDefault="002D56AF" w:rsidP="00CE05FE">
            <w:pPr>
              <w:pStyle w:val="Heading1"/>
              <w:numPr>
                <w:ilvl w:val="0"/>
                <w:numId w:val="0"/>
              </w:numPr>
              <w:ind w:left="432" w:hanging="432"/>
              <w:outlineLvl w:val="0"/>
              <w:rPr>
                <w:b/>
                <w:bCs/>
                <w:sz w:val="18"/>
              </w:rPr>
            </w:pPr>
          </w:p>
        </w:tc>
      </w:tr>
      <w:tr w:rsidR="002D56AF" w:rsidRPr="00356BDA" w14:paraId="4DE301EF" w14:textId="77777777" w:rsidTr="00A5042E">
        <w:trPr>
          <w:trHeight w:val="2163"/>
        </w:trPr>
        <w:tc>
          <w:tcPr>
            <w:cnfStyle w:val="001000000000" w:firstRow="0" w:lastRow="0" w:firstColumn="1" w:lastColumn="0" w:oddVBand="0" w:evenVBand="0" w:oddHBand="0" w:evenHBand="0" w:firstRowFirstColumn="0" w:firstRowLastColumn="0" w:lastRowFirstColumn="0" w:lastRowLastColumn="0"/>
            <w:tcW w:w="2093" w:type="dxa"/>
          </w:tcPr>
          <w:p w14:paraId="03F5D515" w14:textId="77777777" w:rsidR="002D56AF" w:rsidRPr="002D56AF" w:rsidRDefault="002D56AF" w:rsidP="00A5042E">
            <w:pPr>
              <w:pStyle w:val="PwCParagraph"/>
              <w:rPr>
                <w:rFonts w:asciiTheme="majorHAnsi" w:hAnsiTheme="majorHAnsi"/>
              </w:rPr>
            </w:pPr>
            <w:r w:rsidRPr="002D56AF">
              <w:rPr>
                <w:noProof/>
                <w:lang w:val="en-US"/>
              </w:rPr>
              <w:drawing>
                <wp:anchor distT="0" distB="0" distL="114300" distR="114300" simplePos="0" relativeHeight="251962368" behindDoc="0" locked="0" layoutInCell="1" allowOverlap="1" wp14:anchorId="238A866F" wp14:editId="14540321">
                  <wp:simplePos x="0" y="0"/>
                  <wp:positionH relativeFrom="column">
                    <wp:posOffset>192405</wp:posOffset>
                  </wp:positionH>
                  <wp:positionV relativeFrom="paragraph">
                    <wp:posOffset>133985</wp:posOffset>
                  </wp:positionV>
                  <wp:extent cx="869133" cy="1124761"/>
                  <wp:effectExtent l="57150" t="76200" r="64770" b="75565"/>
                  <wp:wrapNone/>
                  <wp:docPr id="5088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2" cstate="print">
                            <a:grayscl/>
                            <a:extLst>
                              <a:ext uri="{28A0092B-C50C-407E-A947-70E740481C1C}">
                                <a14:useLocalDpi xmlns:a14="http://schemas.microsoft.com/office/drawing/2010/main" val="0"/>
                              </a:ext>
                            </a:extLst>
                          </a:blip>
                          <a:srcRect b="13191"/>
                          <a:stretch/>
                        </pic:blipFill>
                        <pic:spPr>
                          <a:xfrm>
                            <a:off x="0" y="0"/>
                            <a:ext cx="869133" cy="1124761"/>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6520" w:type="dxa"/>
            <w:vAlign w:val="center"/>
          </w:tcPr>
          <w:p w14:paraId="08FC45B9"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sz w:val="24"/>
              </w:rPr>
            </w:pPr>
            <w:r w:rsidRPr="002D56AF">
              <w:rPr>
                <w:rFonts w:asciiTheme="majorHAnsi" w:hAnsiTheme="majorHAnsi"/>
                <w:b/>
                <w:bCs/>
                <w:i/>
                <w:iCs/>
                <w:sz w:val="24"/>
              </w:rPr>
              <w:t xml:space="preserve">Lullu Krugel </w:t>
            </w:r>
          </w:p>
          <w:p w14:paraId="510B7B6F"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rPr>
            </w:pPr>
            <w:r w:rsidRPr="002D56AF">
              <w:rPr>
                <w:rFonts w:asciiTheme="majorHAnsi" w:hAnsiTheme="majorHAnsi"/>
                <w:b/>
                <w:bCs/>
                <w:i/>
                <w:iCs/>
              </w:rPr>
              <w:t xml:space="preserve">Chief Economist, Partner </w:t>
            </w:r>
          </w:p>
          <w:p w14:paraId="408B3820" w14:textId="5BC2F061"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rPr>
              <w:t xml:space="preserve">E: lullu.krugel@pwc.com </w:t>
            </w:r>
          </w:p>
          <w:p w14:paraId="37F5058F"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rPr>
              <w:t>T: +27 (0)11 797 4929</w:t>
            </w:r>
          </w:p>
        </w:tc>
      </w:tr>
      <w:tr w:rsidR="002D56AF" w:rsidRPr="00356BDA" w14:paraId="005DA4DE" w14:textId="77777777" w:rsidTr="00A5042E">
        <w:trPr>
          <w:trHeight w:val="2163"/>
        </w:trPr>
        <w:tc>
          <w:tcPr>
            <w:cnfStyle w:val="001000000000" w:firstRow="0" w:lastRow="0" w:firstColumn="1" w:lastColumn="0" w:oddVBand="0" w:evenVBand="0" w:oddHBand="0" w:evenHBand="0" w:firstRowFirstColumn="0" w:firstRowLastColumn="0" w:lastRowFirstColumn="0" w:lastRowLastColumn="0"/>
            <w:tcW w:w="2093" w:type="dxa"/>
          </w:tcPr>
          <w:p w14:paraId="18CE1680" w14:textId="77777777" w:rsidR="002D56AF" w:rsidRPr="002D56AF" w:rsidRDefault="002D56AF" w:rsidP="00A5042E">
            <w:pPr>
              <w:pStyle w:val="PwCParagraph"/>
              <w:jc w:val="center"/>
              <w:rPr>
                <w:rFonts w:asciiTheme="majorHAnsi" w:hAnsiTheme="majorHAnsi"/>
              </w:rPr>
            </w:pPr>
            <w:r w:rsidRPr="002D56AF">
              <w:rPr>
                <w:rFonts w:asciiTheme="majorHAnsi" w:hAnsiTheme="majorHAnsi"/>
                <w:noProof/>
                <w:lang w:val="en-US"/>
              </w:rPr>
              <w:drawing>
                <wp:inline distT="0" distB="0" distL="0" distR="0" wp14:anchorId="7608D0B1" wp14:editId="4B3B0FFC">
                  <wp:extent cx="839459" cy="1048579"/>
                  <wp:effectExtent l="0" t="0" r="0" b="0"/>
                  <wp:docPr id="50881" name="Picture 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5219" cy="1055774"/>
                          </a:xfrm>
                          <a:prstGeom prst="rect">
                            <a:avLst/>
                          </a:prstGeom>
                        </pic:spPr>
                      </pic:pic>
                    </a:graphicData>
                  </a:graphic>
                </wp:inline>
              </w:drawing>
            </w:r>
          </w:p>
        </w:tc>
        <w:tc>
          <w:tcPr>
            <w:tcW w:w="6520" w:type="dxa"/>
            <w:vAlign w:val="center"/>
          </w:tcPr>
          <w:p w14:paraId="3541FCD3"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lang w:val="en-US"/>
              </w:rPr>
            </w:pPr>
            <w:r w:rsidRPr="002D56AF">
              <w:rPr>
                <w:rFonts w:asciiTheme="majorHAnsi" w:hAnsiTheme="majorHAnsi"/>
                <w:b/>
                <w:bCs/>
                <w:i/>
                <w:iCs/>
                <w:sz w:val="24"/>
              </w:rPr>
              <w:t>Christie Viljoen</w:t>
            </w:r>
          </w:p>
          <w:p w14:paraId="3F8CF9B4"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2D56AF">
              <w:rPr>
                <w:rFonts w:asciiTheme="majorHAnsi" w:hAnsiTheme="majorHAnsi"/>
                <w:b/>
                <w:bCs/>
                <w:i/>
                <w:iCs/>
              </w:rPr>
              <w:t>Economist, Manager</w:t>
            </w:r>
          </w:p>
          <w:p w14:paraId="1E543A12"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2D56AF">
              <w:rPr>
                <w:rFonts w:asciiTheme="majorHAnsi" w:hAnsiTheme="majorHAnsi"/>
                <w:b/>
                <w:bCs/>
              </w:rPr>
              <w:t>E</w:t>
            </w:r>
            <w:r w:rsidRPr="002D56AF">
              <w:rPr>
                <w:rFonts w:asciiTheme="majorHAnsi" w:hAnsiTheme="majorHAnsi"/>
              </w:rPr>
              <w:t>: christie.viljoen@pwc.com</w:t>
            </w:r>
          </w:p>
          <w:p w14:paraId="2044898D" w14:textId="77777777" w:rsidR="002D56AF" w:rsidRPr="002D56AF" w:rsidRDefault="002D56AF" w:rsidP="00A5042E">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b/>
                <w:bCs/>
              </w:rPr>
              <w:t>T</w:t>
            </w:r>
            <w:r w:rsidRPr="002D56AF">
              <w:rPr>
                <w:rFonts w:asciiTheme="majorHAnsi" w:hAnsiTheme="majorHAnsi"/>
              </w:rPr>
              <w:t>: +27 (0)21 529 2595</w:t>
            </w:r>
          </w:p>
        </w:tc>
      </w:tr>
    </w:tbl>
    <w:p w14:paraId="5E67CD19" w14:textId="77777777" w:rsidR="00327EF2" w:rsidRDefault="00327EF2" w:rsidP="00A4648A">
      <w:pPr>
        <w:jc w:val="both"/>
        <w:rPr>
          <w:color w:val="252524"/>
          <w:shd w:val="clear" w:color="auto" w:fill="FFFFFF"/>
        </w:rPr>
      </w:pPr>
    </w:p>
    <w:p w14:paraId="08C16F5D" w14:textId="4DC279B9" w:rsidR="00AC41F5" w:rsidRDefault="00AC41F5" w:rsidP="00DB575E">
      <w:pPr>
        <w:spacing w:after="160" w:line="259" w:lineRule="auto"/>
        <w:rPr>
          <w:rFonts w:asciiTheme="majorHAnsi" w:eastAsiaTheme="minorHAnsi" w:hAnsiTheme="majorHAnsi" w:cstheme="minorBidi"/>
          <w:i/>
          <w:color w:val="000000" w:themeColor="text1"/>
          <w:sz w:val="18"/>
        </w:rPr>
      </w:pPr>
    </w:p>
    <w:p w14:paraId="38C4837A" w14:textId="0303A6B2" w:rsidR="00AC41F5" w:rsidRDefault="00AC41F5" w:rsidP="00DB575E">
      <w:pPr>
        <w:spacing w:after="160" w:line="259" w:lineRule="auto"/>
        <w:rPr>
          <w:rFonts w:asciiTheme="majorHAnsi" w:eastAsiaTheme="minorHAnsi" w:hAnsiTheme="majorHAnsi" w:cstheme="minorBidi"/>
          <w:i/>
          <w:color w:val="000000" w:themeColor="text1"/>
          <w:sz w:val="18"/>
        </w:rPr>
      </w:pPr>
    </w:p>
    <w:p w14:paraId="3E1EB1E3" w14:textId="23E31A8A" w:rsidR="00AC41F5" w:rsidRDefault="00AC41F5" w:rsidP="00DB575E">
      <w:pPr>
        <w:spacing w:after="160" w:line="259" w:lineRule="auto"/>
        <w:rPr>
          <w:rFonts w:asciiTheme="majorHAnsi" w:eastAsiaTheme="minorHAnsi" w:hAnsiTheme="majorHAnsi" w:cstheme="minorBidi"/>
          <w:i/>
          <w:color w:val="000000" w:themeColor="text1"/>
          <w:sz w:val="18"/>
        </w:rPr>
      </w:pPr>
    </w:p>
    <w:p w14:paraId="5A7DE344" w14:textId="16C40BE0" w:rsidR="00AC41F5" w:rsidRDefault="00AC41F5" w:rsidP="00DB575E">
      <w:pPr>
        <w:spacing w:after="160" w:line="259" w:lineRule="auto"/>
        <w:rPr>
          <w:rFonts w:asciiTheme="majorHAnsi" w:eastAsiaTheme="minorHAnsi" w:hAnsiTheme="majorHAnsi" w:cstheme="minorBidi"/>
          <w:i/>
          <w:color w:val="000000" w:themeColor="text1"/>
          <w:sz w:val="18"/>
        </w:rPr>
      </w:pPr>
    </w:p>
    <w:p w14:paraId="7A0852D5" w14:textId="777FC384" w:rsidR="00AC41F5" w:rsidRDefault="00AC41F5" w:rsidP="00DB575E">
      <w:pPr>
        <w:spacing w:after="160" w:line="259" w:lineRule="auto"/>
        <w:rPr>
          <w:rFonts w:asciiTheme="majorHAnsi" w:eastAsiaTheme="minorHAnsi" w:hAnsiTheme="majorHAnsi" w:cstheme="minorBidi"/>
          <w:i/>
          <w:color w:val="000000" w:themeColor="text1"/>
          <w:sz w:val="18"/>
        </w:rPr>
      </w:pPr>
    </w:p>
    <w:p w14:paraId="7B7C9629" w14:textId="1210E1BB" w:rsidR="00AC41F5" w:rsidRDefault="00AC41F5" w:rsidP="00DB575E">
      <w:pPr>
        <w:spacing w:after="160" w:line="259" w:lineRule="auto"/>
        <w:rPr>
          <w:rFonts w:asciiTheme="majorHAnsi" w:eastAsiaTheme="minorHAnsi" w:hAnsiTheme="majorHAnsi" w:cstheme="minorBidi"/>
          <w:i/>
          <w:color w:val="000000" w:themeColor="text1"/>
          <w:sz w:val="18"/>
        </w:rPr>
      </w:pPr>
    </w:p>
    <w:p w14:paraId="2CB06B19" w14:textId="43BB3957" w:rsidR="00AC41F5" w:rsidRDefault="00AC41F5" w:rsidP="00DB575E">
      <w:pPr>
        <w:spacing w:after="160" w:line="259" w:lineRule="auto"/>
        <w:rPr>
          <w:rFonts w:asciiTheme="majorHAnsi" w:eastAsiaTheme="minorHAnsi" w:hAnsiTheme="majorHAnsi" w:cstheme="minorBidi"/>
          <w:i/>
          <w:color w:val="000000" w:themeColor="text1"/>
          <w:sz w:val="18"/>
        </w:rPr>
      </w:pPr>
    </w:p>
    <w:p w14:paraId="0093912E" w14:textId="52C5BDE4" w:rsidR="00AC41F5" w:rsidRDefault="00AC41F5" w:rsidP="00DB575E">
      <w:pPr>
        <w:spacing w:after="160" w:line="259" w:lineRule="auto"/>
        <w:rPr>
          <w:rFonts w:asciiTheme="majorHAnsi" w:eastAsiaTheme="minorHAnsi" w:hAnsiTheme="majorHAnsi" w:cstheme="minorBidi"/>
          <w:i/>
          <w:color w:val="000000" w:themeColor="text1"/>
          <w:sz w:val="18"/>
        </w:rPr>
      </w:pPr>
    </w:p>
    <w:p w14:paraId="0712AB93" w14:textId="198168D4" w:rsidR="00AC41F5" w:rsidRDefault="00AC41F5" w:rsidP="00DB575E">
      <w:pPr>
        <w:spacing w:after="160" w:line="259" w:lineRule="auto"/>
        <w:rPr>
          <w:rFonts w:asciiTheme="majorHAnsi" w:eastAsiaTheme="minorHAnsi" w:hAnsiTheme="majorHAnsi" w:cstheme="minorBidi"/>
          <w:i/>
          <w:color w:val="000000" w:themeColor="text1"/>
          <w:sz w:val="18"/>
        </w:rPr>
      </w:pPr>
    </w:p>
    <w:p w14:paraId="149F39D3" w14:textId="0EA3980E" w:rsidR="00AC41F5" w:rsidRDefault="00AC41F5" w:rsidP="00DB575E">
      <w:pPr>
        <w:spacing w:after="160" w:line="259" w:lineRule="auto"/>
        <w:rPr>
          <w:rFonts w:asciiTheme="majorHAnsi" w:eastAsiaTheme="minorHAnsi" w:hAnsiTheme="majorHAnsi" w:cstheme="minorBidi"/>
          <w:i/>
          <w:color w:val="000000" w:themeColor="text1"/>
          <w:sz w:val="18"/>
        </w:rPr>
      </w:pPr>
    </w:p>
    <w:p w14:paraId="350D18F1" w14:textId="5111B84D" w:rsidR="00AC41F5" w:rsidRDefault="00AC41F5" w:rsidP="00DB575E">
      <w:pPr>
        <w:spacing w:after="160" w:line="259" w:lineRule="auto"/>
        <w:rPr>
          <w:rFonts w:asciiTheme="majorHAnsi" w:eastAsiaTheme="minorHAnsi" w:hAnsiTheme="majorHAnsi" w:cstheme="minorBidi"/>
          <w:i/>
          <w:color w:val="000000" w:themeColor="text1"/>
          <w:sz w:val="18"/>
        </w:rPr>
      </w:pPr>
    </w:p>
    <w:p w14:paraId="2FD84BFF" w14:textId="0E5C2CDD" w:rsidR="00AC41F5" w:rsidRDefault="00AC41F5" w:rsidP="00DB575E">
      <w:pPr>
        <w:spacing w:after="160" w:line="259" w:lineRule="auto"/>
        <w:rPr>
          <w:rFonts w:asciiTheme="majorHAnsi" w:eastAsiaTheme="minorHAnsi" w:hAnsiTheme="majorHAnsi" w:cstheme="minorBidi"/>
          <w:i/>
          <w:color w:val="000000" w:themeColor="text1"/>
          <w:sz w:val="18"/>
        </w:rPr>
      </w:pPr>
    </w:p>
    <w:p w14:paraId="0131DD93" w14:textId="0C3B395A" w:rsidR="00AC41F5" w:rsidRDefault="00AC41F5" w:rsidP="00DB575E">
      <w:pPr>
        <w:spacing w:after="160" w:line="259" w:lineRule="auto"/>
        <w:rPr>
          <w:rFonts w:asciiTheme="majorHAnsi" w:eastAsiaTheme="minorHAnsi" w:hAnsiTheme="majorHAnsi" w:cstheme="minorBidi"/>
          <w:i/>
          <w:color w:val="000000" w:themeColor="text1"/>
          <w:sz w:val="18"/>
        </w:rPr>
      </w:pPr>
    </w:p>
    <w:p w14:paraId="5713F295" w14:textId="79FDB32A" w:rsidR="00AC41F5" w:rsidRDefault="00AC41F5" w:rsidP="00DB575E">
      <w:pPr>
        <w:spacing w:after="160" w:line="259" w:lineRule="auto"/>
        <w:rPr>
          <w:rFonts w:asciiTheme="majorHAnsi" w:eastAsiaTheme="minorHAnsi" w:hAnsiTheme="majorHAnsi" w:cstheme="minorBidi"/>
          <w:i/>
          <w:color w:val="000000" w:themeColor="text1"/>
          <w:sz w:val="18"/>
        </w:rPr>
      </w:pPr>
    </w:p>
    <w:p w14:paraId="3C6216EE" w14:textId="77777777" w:rsidR="00AC41F5" w:rsidRDefault="00AC41F5" w:rsidP="00DB575E">
      <w:pPr>
        <w:spacing w:after="160" w:line="259" w:lineRule="auto"/>
        <w:rPr>
          <w:rFonts w:asciiTheme="majorHAnsi" w:eastAsiaTheme="minorHAnsi" w:hAnsiTheme="majorHAnsi" w:cstheme="minorBidi"/>
          <w:i/>
          <w:color w:val="000000" w:themeColor="text1"/>
          <w:sz w:val="18"/>
        </w:rPr>
      </w:pPr>
    </w:p>
    <w:p w14:paraId="6C31B1A8" w14:textId="5A51D5E0" w:rsidR="0061008E" w:rsidRDefault="0061008E">
      <w:pPr>
        <w:spacing w:after="160" w:line="259" w:lineRule="auto"/>
        <w:rPr>
          <w:b/>
          <w:bCs/>
          <w:i/>
          <w:color w:val="A32020" w:themeColor="accent1"/>
          <w:sz w:val="28"/>
          <w:szCs w:val="26"/>
        </w:rPr>
      </w:pPr>
      <w:r>
        <w:br w:type="page"/>
      </w:r>
    </w:p>
    <w:p w14:paraId="1086CB78" w14:textId="2ECB75A8" w:rsidR="00EA64C8" w:rsidRPr="00B3347B" w:rsidRDefault="0061008E" w:rsidP="00452477">
      <w:pPr>
        <w:pStyle w:val="Normal0"/>
      </w:pPr>
      <w:r w:rsidRPr="0061008E">
        <w:rPr>
          <w:noProof/>
          <w:lang w:val="en-US"/>
        </w:rPr>
        <w:lastRenderedPageBreak/>
        <w:drawing>
          <wp:anchor distT="0" distB="0" distL="114300" distR="114300" simplePos="0" relativeHeight="251919360" behindDoc="0" locked="0" layoutInCell="1" allowOverlap="1" wp14:anchorId="4E6D8133" wp14:editId="780A3007">
            <wp:simplePos x="0" y="0"/>
            <wp:positionH relativeFrom="column">
              <wp:posOffset>-289560</wp:posOffset>
            </wp:positionH>
            <wp:positionV relativeFrom="paragraph">
              <wp:posOffset>8663305</wp:posOffset>
            </wp:positionV>
            <wp:extent cx="984250" cy="699770"/>
            <wp:effectExtent l="0" t="0" r="6350" b="5080"/>
            <wp:wrapNone/>
            <wp:docPr id="51316" name="Picture 5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54" cstate="print">
                      <a:extLst>
                        <a:ext uri="{28A0092B-C50C-407E-A947-70E740481C1C}">
                          <a14:useLocalDpi xmlns:a14="http://schemas.microsoft.com/office/drawing/2010/main" val="0"/>
                        </a:ext>
                      </a:extLst>
                    </a:blip>
                    <a:srcRect r="62667"/>
                    <a:stretch/>
                  </pic:blipFill>
                  <pic:spPr bwMode="auto">
                    <a:xfrm>
                      <a:off x="0" y="0"/>
                      <a:ext cx="984250" cy="699770"/>
                    </a:xfrm>
                    <a:prstGeom prst="rect">
                      <a:avLst/>
                    </a:prstGeom>
                    <a:noFill/>
                    <a:ln>
                      <a:noFill/>
                    </a:ln>
                    <a:extLst>
                      <a:ext uri="{53640926-AAD7-44D8-BBD7-CCE9431645EC}">
                        <a14:shadowObscured xmlns:a14="http://schemas.microsoft.com/office/drawing/2010/main"/>
                      </a:ext>
                    </a:extLst>
                  </pic:spPr>
                </pic:pic>
              </a:graphicData>
            </a:graphic>
          </wp:anchor>
        </w:drawing>
      </w:r>
      <w:r w:rsidRPr="0061008E">
        <w:rPr>
          <w:noProof/>
          <w:lang w:val="en-US"/>
        </w:rPr>
        <w:drawing>
          <wp:anchor distT="0" distB="0" distL="114300" distR="114300" simplePos="0" relativeHeight="251920384" behindDoc="0" locked="0" layoutInCell="1" allowOverlap="1" wp14:anchorId="2B0A0DB2" wp14:editId="39E175ED">
            <wp:simplePos x="0" y="0"/>
            <wp:positionH relativeFrom="column">
              <wp:posOffset>-291465</wp:posOffset>
            </wp:positionH>
            <wp:positionV relativeFrom="paragraph">
              <wp:posOffset>-905510</wp:posOffset>
            </wp:positionV>
            <wp:extent cx="1434465" cy="699135"/>
            <wp:effectExtent l="0" t="0" r="0" b="5715"/>
            <wp:wrapNone/>
            <wp:docPr id="51326" name="Picture 5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55" cstate="print">
                      <a:extLst>
                        <a:ext uri="{28A0092B-C50C-407E-A947-70E740481C1C}">
                          <a14:useLocalDpi xmlns:a14="http://schemas.microsoft.com/office/drawing/2010/main" val="0"/>
                        </a:ext>
                      </a:extLst>
                    </a:blip>
                    <a:srcRect l="45590"/>
                    <a:stretch/>
                  </pic:blipFill>
                  <pic:spPr bwMode="auto">
                    <a:xfrm>
                      <a:off x="0" y="0"/>
                      <a:ext cx="1434465" cy="699135"/>
                    </a:xfrm>
                    <a:prstGeom prst="rect">
                      <a:avLst/>
                    </a:prstGeom>
                    <a:solidFill>
                      <a:schemeClr val="bg2">
                        <a:lumMod val="50000"/>
                      </a:schemeClr>
                    </a:solidFill>
                    <a:ln>
                      <a:noFill/>
                    </a:ln>
                    <a:extLst>
                      <a:ext uri="{53640926-AAD7-44D8-BBD7-CCE9431645EC}">
                        <a14:shadowObscured xmlns:a14="http://schemas.microsoft.com/office/drawing/2010/main"/>
                      </a:ext>
                    </a:extLst>
                  </pic:spPr>
                </pic:pic>
              </a:graphicData>
            </a:graphic>
          </wp:anchor>
        </w:drawing>
      </w:r>
      <w:r w:rsidRPr="0061008E">
        <w:rPr>
          <w:noProof/>
          <w:lang w:val="en-US"/>
        </w:rPr>
        <mc:AlternateContent>
          <mc:Choice Requires="wps">
            <w:drawing>
              <wp:anchor distT="0" distB="0" distL="114300" distR="114300" simplePos="0" relativeHeight="251921408" behindDoc="1" locked="1" layoutInCell="1" allowOverlap="1" wp14:anchorId="3EE014EB" wp14:editId="32F511DB">
                <wp:simplePos x="0" y="0"/>
                <wp:positionH relativeFrom="page">
                  <wp:posOffset>-29210</wp:posOffset>
                </wp:positionH>
                <wp:positionV relativeFrom="page">
                  <wp:posOffset>28575</wp:posOffset>
                </wp:positionV>
                <wp:extent cx="7559675" cy="10691495"/>
                <wp:effectExtent l="0" t="0" r="22225" b="14605"/>
                <wp:wrapNone/>
                <wp:docPr id="513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9675" cy="10691495"/>
                        </a:xfrm>
                        <a:prstGeom prst="rect">
                          <a:avLst/>
                        </a:prstGeom>
                        <a:solidFill>
                          <a:schemeClr val="tx1"/>
                        </a:solidFill>
                        <a:ln>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3F028" id="Rectangle 2" o:spid="_x0000_s1026" style="position:absolute;margin-left:-2.3pt;margin-top:2.25pt;width:595.25pt;height:841.8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z6CQIAACYEAAAOAAAAZHJzL2Uyb0RvYy54bWysU8GO2jAQvVfqP1i+lxBKoESE1YrVVpW2&#10;7aq7/QDjOMSq43HHhkC/vmMHKN3eVr1YHnv85r034+XNoTNsr9BrsBXPR2POlJVQa7ut+Pfn+3cf&#10;OPNB2FoYsKriR+X5zertm2XvSjWBFkytkBGI9WXvKt6G4Mos87JVnfAjcMrSZQPYiUAhbrMaRU/o&#10;nckm4/Es6wFrhyCV93R6N1zyVcJvGiXD16bxKjBTceIW0opp3cQ1Wy1FuUXhWi1PNMQrWHRCWyp6&#10;gboTQbAd6n+gOi0RPDRhJKHLoGm0VEkDqcnHL9Q8tcKppIXM8e5ik/9/sPLL/hGZrite5O/zgjMr&#10;OmrTNzJO2K1RbBIt6p0vKfPJPWIU6d0DyB+eWVi3lKVuvaN8aj89Px8hQt8qURPXPEJkf2HEwBMa&#10;2/SfoaaCYhcgGXhosIs1yBp2SH06XvqkDoFJOpwXxWI2J7KS7vLxbJFPF0UqIsrze4c+fFTQsbip&#10;OBLBhC/2Dz5EPqI8pyRJYHR9r41JQZw+tTbI9oLmJhwGBST8OsvYVz2kwsNLUnOicnZjMHoD9ZGc&#10;QRiGlT4XbVrAX5z1NKgV9z93AhVn5pMld0n8NE52CqbFfEIBXt9srm+ElQRFmjgbtusw/IadQ71t&#10;UxOjLAu31JFGJ6siv4HVqY80jMnB08eJ034dp6w/33v1GwAA//8DAFBLAwQUAAYACAAAACEA7dUk&#10;3N8AAAAKAQAADwAAAGRycy9kb3ducmV2LnhtbEyPQU+DQBCF7yb+h82YeGuXYksQWRpj1YMnxXrf&#10;wgjY3VnCboH+e6cnvc3kvbz3vXw7WyNGHHznSMFqGYFAqlzdUaNg//mySEH4oKnWxhEqOKOHbXF9&#10;leusdhN94FiGRnAI+UwraEPoMyl91aLVful6JNa+3WB14HdoZD3oicOtkXEUJdLqjrih1T0+tVgd&#10;y5Pl3p94Kt9e7+LkvPvaP7/vzHiMjFK3N/PjA4iAc/gzwwWf0aFgpoM7Ue2FUbBYJ+xUsN6AuMir&#10;dHMP4sBXkqYxyCKX/ycUvwAAAP//AwBQSwECLQAUAAYACAAAACEAtoM4kv4AAADhAQAAEwAAAAAA&#10;AAAAAAAAAAAAAAAAW0NvbnRlbnRfVHlwZXNdLnhtbFBLAQItABQABgAIAAAAIQA4/SH/1gAAAJQB&#10;AAALAAAAAAAAAAAAAAAAAC8BAABfcmVscy8ucmVsc1BLAQItABQABgAIAAAAIQBcvpz6CQIAACYE&#10;AAAOAAAAAAAAAAAAAAAAAC4CAABkcnMvZTJvRG9jLnhtbFBLAQItABQABgAIAAAAIQDt1STc3wAA&#10;AAoBAAAPAAAAAAAAAAAAAAAAAGMEAABkcnMvZG93bnJldi54bWxQSwUGAAAAAAQABADzAAAAbwUA&#10;AAAA&#10;" fillcolor="black [3213]" strokecolor="black [3213]">
                <o:lock v:ext="edit" aspectratio="t"/>
                <w10:wrap anchorx="page" anchory="page"/>
                <w10:anchorlock/>
              </v:rect>
            </w:pict>
          </mc:Fallback>
        </mc:AlternateContent>
      </w:r>
    </w:p>
    <w:p w14:paraId="409297E0" w14:textId="00477FCF" w:rsidR="00B3347B" w:rsidRPr="00B3347B" w:rsidRDefault="00F878E1" w:rsidP="00452477">
      <w:pPr>
        <w:pStyle w:val="BodyText"/>
      </w:pPr>
      <w:r w:rsidRPr="00B37A02">
        <w:rPr>
          <w:noProof/>
          <w:lang w:val="en-US"/>
        </w:rPr>
        <mc:AlternateContent>
          <mc:Choice Requires="wps">
            <w:drawing>
              <wp:anchor distT="0" distB="0" distL="114300" distR="114300" simplePos="0" relativeHeight="251928576" behindDoc="0" locked="0" layoutInCell="1" allowOverlap="1" wp14:anchorId="043591A1" wp14:editId="2A74B694">
                <wp:simplePos x="0" y="0"/>
                <wp:positionH relativeFrom="margin">
                  <wp:align>right</wp:align>
                </wp:positionH>
                <wp:positionV relativeFrom="paragraph">
                  <wp:posOffset>7021114</wp:posOffset>
                </wp:positionV>
                <wp:extent cx="5175114" cy="2245900"/>
                <wp:effectExtent l="0" t="0" r="0" b="2540"/>
                <wp:wrapNone/>
                <wp:docPr id="51084" name="Text Box 5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114" cy="2245900"/>
                        </a:xfrm>
                        <a:prstGeom prst="rect">
                          <a:avLst/>
                        </a:prstGeom>
                        <a:noFill/>
                        <a:ln>
                          <a:noFill/>
                        </a:ln>
                        <a:extLst/>
                      </wps:spPr>
                      <wps:txbx>
                        <w:txbxContent>
                          <w:p w14:paraId="65208B0A"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 xml:space="preserve">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is protected under the copyright laws of South Africa and other countries as an unpublished work. 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2C82FE76"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At PwC, our purpose is to build trust in society and solve important problems. We are a network of firms in 158 countries with more than 236,000 people who are committed to delivering quality in assurance, advisory and tax services. Find out more and tell us what matters to you by visiting us at </w:t>
                            </w:r>
                            <w:hyperlink r:id="rId56" w:tgtFrame="_blank" w:history="1">
                              <w:r w:rsidRPr="00CC0FE6">
                                <w:rPr>
                                  <w:rFonts w:asciiTheme="majorHAnsi" w:hAnsiTheme="majorHAnsi" w:cstheme="minorHAnsi"/>
                                  <w:color w:val="FFFFFF" w:themeColor="background1"/>
                                  <w:sz w:val="16"/>
                                  <w:szCs w:val="18"/>
                                </w:rPr>
                                <w:t>www.pwc.com</w:t>
                              </w:r>
                            </w:hyperlink>
                            <w:r w:rsidRPr="00CC0FE6">
                              <w:rPr>
                                <w:rFonts w:asciiTheme="majorHAnsi" w:hAnsiTheme="majorHAnsi" w:cstheme="minorHAnsi"/>
                                <w:color w:val="FFFFFF" w:themeColor="background1"/>
                                <w:sz w:val="16"/>
                                <w:szCs w:val="18"/>
                              </w:rPr>
                              <w:t>.</w:t>
                            </w:r>
                          </w:p>
                          <w:p w14:paraId="3868CA10"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PwC refers to the PwC network and/or one or more of its member firms, each of which is a separate legal entity. Please see </w:t>
                            </w:r>
                            <w:hyperlink r:id="rId57" w:tgtFrame="_blank" w:history="1">
                              <w:r w:rsidRPr="00CC0FE6">
                                <w:rPr>
                                  <w:rFonts w:asciiTheme="majorHAnsi" w:hAnsiTheme="majorHAnsi" w:cstheme="minorHAnsi"/>
                                  <w:color w:val="FFFFFF" w:themeColor="background1"/>
                                  <w:sz w:val="16"/>
                                  <w:szCs w:val="18"/>
                                </w:rPr>
                                <w:t>www.pwc.com/structure</w:t>
                              </w:r>
                            </w:hyperlink>
                            <w:r w:rsidRPr="00CC0FE6">
                              <w:rPr>
                                <w:rFonts w:asciiTheme="majorHAnsi" w:hAnsiTheme="majorHAnsi" w:cstheme="minorHAnsi"/>
                                <w:color w:val="FFFFFF" w:themeColor="background1"/>
                                <w:sz w:val="16"/>
                                <w:szCs w:val="18"/>
                              </w:rPr>
                              <w:t> for further details.</w:t>
                            </w:r>
                          </w:p>
                          <w:p w14:paraId="271C8F72" w14:textId="33F88077" w:rsidR="00A5042E" w:rsidRPr="00CC0FE6" w:rsidRDefault="00A5042E" w:rsidP="00F878E1">
                            <w:pPr>
                              <w:spacing w:after="140"/>
                              <w:rPr>
                                <w:rFonts w:asciiTheme="majorHAnsi" w:hAnsiTheme="majorHAnsi" w:cstheme="minorHAnsi"/>
                                <w:color w:val="FFFFFF" w:themeColor="background1"/>
                                <w:sz w:val="16"/>
                                <w:szCs w:val="16"/>
                              </w:rPr>
                            </w:pPr>
                            <w:r w:rsidRPr="00CC0FE6">
                              <w:rPr>
                                <w:rFonts w:asciiTheme="majorHAnsi" w:hAnsiTheme="majorHAnsi" w:cstheme="minorHAnsi"/>
                                <w:color w:val="FFFFFF" w:themeColor="background1"/>
                                <w:sz w:val="16"/>
                                <w:szCs w:val="18"/>
                              </w:rPr>
                              <w:t>© 201</w:t>
                            </w:r>
                            <w:r>
                              <w:rPr>
                                <w:rFonts w:asciiTheme="majorHAnsi" w:hAnsiTheme="majorHAnsi" w:cstheme="minorHAnsi"/>
                                <w:color w:val="FFFFFF" w:themeColor="background1"/>
                                <w:sz w:val="16"/>
                                <w:szCs w:val="18"/>
                              </w:rPr>
                              <w:t>9</w:t>
                            </w:r>
                            <w:r w:rsidRPr="00CC0FE6">
                              <w:rPr>
                                <w:rFonts w:asciiTheme="majorHAnsi" w:hAnsiTheme="majorHAnsi" w:cstheme="minorHAnsi"/>
                                <w:color w:val="FFFFFF" w:themeColor="background1"/>
                                <w:sz w:val="16"/>
                                <w:szCs w:val="18"/>
                              </w:rPr>
                              <w:t xml:space="preserve"> PwC. All rights reserved</w:t>
                            </w:r>
                          </w:p>
                          <w:p w14:paraId="0DB7D4C5" w14:textId="77777777" w:rsidR="00A5042E" w:rsidRDefault="00A5042E" w:rsidP="00F878E1"/>
                          <w:p w14:paraId="606A4090"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73BBA96"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58"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79720A5E"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59"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2704BE59"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7C071C18" w14:textId="77777777" w:rsidR="00A5042E" w:rsidRDefault="00A5042E" w:rsidP="00F878E1"/>
                          <w:p w14:paraId="37CDB4AA"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989F9E"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0"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1F3063A4"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1"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6B4BFE"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154F18B5" w14:textId="77777777" w:rsidR="00A5042E" w:rsidRDefault="00A5042E" w:rsidP="00F878E1"/>
                          <w:p w14:paraId="16738B88"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BCA796"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2"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057614C4"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3"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074C91"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91A1" id="_x0000_t202" coordsize="21600,21600" o:spt="202" path="m,l,21600r21600,l21600,xe">
                <v:stroke joinstyle="miter"/>
                <v:path gradientshapeok="t" o:connecttype="rect"/>
              </v:shapetype>
              <v:shape id="Text Box 51084" o:spid="_x0000_s1026" type="#_x0000_t202" style="position:absolute;margin-left:356.3pt;margin-top:552.85pt;width:407.5pt;height:176.8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NP+wEAANoDAAAOAAAAZHJzL2Uyb0RvYy54bWysU9tu2zAMfR+wfxD0vtgOkrU14hRdiw4D&#10;ugvQ7gMYWY6F2aJGKbGzrx8lp1m2vhV7EcSLDs8hqdX12Hdir8kbtJUsZrkU2iqsjd1W8vvT/btL&#10;KXwAW0OHVlfyoL28Xr99sxpcqefYYldrEgxifTm4SrYhuDLLvGp1D36GTlsONkg9BDZpm9UEA6P3&#10;XTbP8/fZgFQ7QqW9Z+/dFJTrhN80WoWvTeN1EF0lmVtIJ6VzE89svYJyS+Bao4404BUsejCWi56g&#10;7iCA2JF5AdUbReixCTOFfYZNY5ROGlhNkf+j5rEFp5MWbo53pzb5/wervuy/kTB1JZdFfrmQwkLP&#10;Y3rSYxAfcBSTl7s0OF9y8qPj9DByiKedFHv3gOqHFxZvW7BbfUOEQ6uhZpZF7G929nTC8RFkM3zG&#10;mkvBLmACGhvqYwu5KYLReVqH04QiHcXOZXGxLAqmqTg2ny+WV3maYQbl83NHPnzU2It4qSTxCiR4&#10;2D/4EOlA+ZwSq1m8N12X1qCzfzk4cfJw8ePTqCSSn2SEcTMeO7PB+sCaCKcF4w/BlxbplxQDL1cl&#10;/c8dkJai+2S5L1fFYhG3MRmL5cWcDTqPbM4jYBVDVTJIMV1vw7TBO0dm23KlaRIWb7iXjUkqI9WJ&#10;1XECvEBJ/HHZ44ae2ynrz5dc/wYAAP//AwBQSwMEFAAGAAgAAAAhAIQJfbjdAAAACgEAAA8AAABk&#10;cnMvZG93bnJldi54bWxMj8FOwzAQRO9I/IO1SNyoHZRAm8apEIgriNJW6s2Nt0nUeB3FbhP+nuVE&#10;j/tmNDtTrCbXiQsOofWkIZkpEEiVty3VGjbf7w9zECEasqbzhBp+MMCqvL0pTG79SF94WcdacAiF&#10;3GhoYuxzKUPVoDNh5nsk1o5+cCbyOdTSDmbkcNfJR6WepDMt8YfG9PjaYHVan52G7cdxv0vVZ/3m&#10;sn70k5LkFlLr+7vpZQki4hT/zfBXn6tDyZ0O/kw2iE4DD4lME5U9g2B9nmSMDozSbJGCLAt5PaH8&#10;BQAA//8DAFBLAQItABQABgAIAAAAIQC2gziS/gAAAOEBAAATAAAAAAAAAAAAAAAAAAAAAABbQ29u&#10;dGVudF9UeXBlc10ueG1sUEsBAi0AFAAGAAgAAAAhADj9If/WAAAAlAEAAAsAAAAAAAAAAAAAAAAA&#10;LwEAAF9yZWxzLy5yZWxzUEsBAi0AFAAGAAgAAAAhANLh80/7AQAA2gMAAA4AAAAAAAAAAAAAAAAA&#10;LgIAAGRycy9lMm9Eb2MueG1sUEsBAi0AFAAGAAgAAAAhAIQJfbjdAAAACgEAAA8AAAAAAAAAAAAA&#10;AAAAVQQAAGRycy9kb3ducmV2LnhtbFBLBQYAAAAABAAEAPMAAABfBQAAAAA=&#10;" filled="f" stroked="f">
                <v:textbox>
                  <w:txbxContent>
                    <w:p w14:paraId="65208B0A"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 xml:space="preserve">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is protected under the copyright laws of South Africa and other countries as an unpublished work. 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2C82FE76"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At PwC, our purpose is to build trust in society and solve important problems. We are a network of firms in 158 countries with more than 236,000 people who are committed to delivering quality in assurance, advisory and tax services. Find out more and tell us what matters to you by visiting us at </w:t>
                      </w:r>
                      <w:hyperlink r:id="rId64" w:tgtFrame="_blank" w:history="1">
                        <w:r w:rsidRPr="00CC0FE6">
                          <w:rPr>
                            <w:rFonts w:asciiTheme="majorHAnsi" w:hAnsiTheme="majorHAnsi" w:cstheme="minorHAnsi"/>
                            <w:color w:val="FFFFFF" w:themeColor="background1"/>
                            <w:sz w:val="16"/>
                            <w:szCs w:val="18"/>
                          </w:rPr>
                          <w:t>www.pwc.com</w:t>
                        </w:r>
                      </w:hyperlink>
                      <w:r w:rsidRPr="00CC0FE6">
                        <w:rPr>
                          <w:rFonts w:asciiTheme="majorHAnsi" w:hAnsiTheme="majorHAnsi" w:cstheme="minorHAnsi"/>
                          <w:color w:val="FFFFFF" w:themeColor="background1"/>
                          <w:sz w:val="16"/>
                          <w:szCs w:val="18"/>
                        </w:rPr>
                        <w:t>.</w:t>
                      </w:r>
                    </w:p>
                    <w:p w14:paraId="3868CA10" w14:textId="77777777" w:rsidR="00A5042E" w:rsidRPr="00CC0FE6" w:rsidRDefault="00A5042E"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PwC refers to the PwC network and/or one or more of its member firms, each of which is a separate legal entity. Please see </w:t>
                      </w:r>
                      <w:hyperlink r:id="rId65" w:tgtFrame="_blank" w:history="1">
                        <w:r w:rsidRPr="00CC0FE6">
                          <w:rPr>
                            <w:rFonts w:asciiTheme="majorHAnsi" w:hAnsiTheme="majorHAnsi" w:cstheme="minorHAnsi"/>
                            <w:color w:val="FFFFFF" w:themeColor="background1"/>
                            <w:sz w:val="16"/>
                            <w:szCs w:val="18"/>
                          </w:rPr>
                          <w:t>www.pwc.com/structure</w:t>
                        </w:r>
                      </w:hyperlink>
                      <w:r w:rsidRPr="00CC0FE6">
                        <w:rPr>
                          <w:rFonts w:asciiTheme="majorHAnsi" w:hAnsiTheme="majorHAnsi" w:cstheme="minorHAnsi"/>
                          <w:color w:val="FFFFFF" w:themeColor="background1"/>
                          <w:sz w:val="16"/>
                          <w:szCs w:val="18"/>
                        </w:rPr>
                        <w:t> for further details.</w:t>
                      </w:r>
                    </w:p>
                    <w:p w14:paraId="271C8F72" w14:textId="33F88077" w:rsidR="00A5042E" w:rsidRPr="00CC0FE6" w:rsidRDefault="00A5042E" w:rsidP="00F878E1">
                      <w:pPr>
                        <w:spacing w:after="140"/>
                        <w:rPr>
                          <w:rFonts w:asciiTheme="majorHAnsi" w:hAnsiTheme="majorHAnsi" w:cstheme="minorHAnsi"/>
                          <w:color w:val="FFFFFF" w:themeColor="background1"/>
                          <w:sz w:val="16"/>
                          <w:szCs w:val="16"/>
                        </w:rPr>
                      </w:pPr>
                      <w:r w:rsidRPr="00CC0FE6">
                        <w:rPr>
                          <w:rFonts w:asciiTheme="majorHAnsi" w:hAnsiTheme="majorHAnsi" w:cstheme="minorHAnsi"/>
                          <w:color w:val="FFFFFF" w:themeColor="background1"/>
                          <w:sz w:val="16"/>
                          <w:szCs w:val="18"/>
                        </w:rPr>
                        <w:t>© 201</w:t>
                      </w:r>
                      <w:r>
                        <w:rPr>
                          <w:rFonts w:asciiTheme="majorHAnsi" w:hAnsiTheme="majorHAnsi" w:cstheme="minorHAnsi"/>
                          <w:color w:val="FFFFFF" w:themeColor="background1"/>
                          <w:sz w:val="16"/>
                          <w:szCs w:val="18"/>
                        </w:rPr>
                        <w:t>9</w:t>
                      </w:r>
                      <w:r w:rsidRPr="00CC0FE6">
                        <w:rPr>
                          <w:rFonts w:asciiTheme="majorHAnsi" w:hAnsiTheme="majorHAnsi" w:cstheme="minorHAnsi"/>
                          <w:color w:val="FFFFFF" w:themeColor="background1"/>
                          <w:sz w:val="16"/>
                          <w:szCs w:val="18"/>
                        </w:rPr>
                        <w:t xml:space="preserve"> PwC. All rights reserved</w:t>
                      </w:r>
                    </w:p>
                    <w:p w14:paraId="0DB7D4C5" w14:textId="77777777" w:rsidR="00A5042E" w:rsidRDefault="00A5042E" w:rsidP="00F878E1"/>
                    <w:p w14:paraId="606A4090"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73BBA96"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6"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79720A5E"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7"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2704BE59"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7C071C18" w14:textId="77777777" w:rsidR="00A5042E" w:rsidRDefault="00A5042E" w:rsidP="00F878E1"/>
                    <w:p w14:paraId="37CDB4AA"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989F9E"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8"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1F3063A4"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9"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6B4BFE"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154F18B5" w14:textId="77777777" w:rsidR="00A5042E" w:rsidRDefault="00A5042E" w:rsidP="00F878E1"/>
                    <w:p w14:paraId="16738B88" w14:textId="77777777" w:rsidR="00A5042E" w:rsidRDefault="00A5042E"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BCA796"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70"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057614C4" w14:textId="77777777" w:rsidR="00A5042E" w:rsidRPr="00DD5753" w:rsidRDefault="00A5042E"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71"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074C91" w14:textId="77777777" w:rsidR="00A5042E" w:rsidRPr="004E4012" w:rsidRDefault="00A5042E"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txbxContent>
                </v:textbox>
                <w10:wrap anchorx="margin"/>
              </v:shape>
            </w:pict>
          </mc:Fallback>
        </mc:AlternateContent>
      </w:r>
    </w:p>
    <w:sectPr w:rsidR="00B3347B" w:rsidRPr="00B3347B" w:rsidSect="00A37513">
      <w:headerReference w:type="even" r:id="rId72"/>
      <w:headerReference w:type="default" r:id="rId73"/>
      <w:footerReference w:type="default" r:id="rId74"/>
      <w:headerReference w:type="first" r:id="rId75"/>
      <w:footerReference w:type="first" r:id="rId76"/>
      <w:pgSz w:w="11906" w:h="16838" w:code="9"/>
      <w:pgMar w:top="1474" w:right="1021" w:bottom="1474"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99DE0" w14:textId="77777777" w:rsidR="00312330" w:rsidRDefault="00312330" w:rsidP="004631E0">
      <w:pPr>
        <w:spacing w:after="0" w:line="240" w:lineRule="auto"/>
      </w:pPr>
      <w:r>
        <w:separator/>
      </w:r>
    </w:p>
  </w:endnote>
  <w:endnote w:type="continuationSeparator" w:id="0">
    <w:p w14:paraId="5AF1B228" w14:textId="77777777" w:rsidR="00312330" w:rsidRDefault="00312330" w:rsidP="004631E0">
      <w:pPr>
        <w:spacing w:after="0" w:line="240" w:lineRule="auto"/>
      </w:pPr>
      <w:r>
        <w:continuationSeparator/>
      </w:r>
    </w:p>
  </w:endnote>
  <w:endnote w:id="1">
    <w:p w14:paraId="2C3477BE" w14:textId="4D95B289" w:rsidR="00196C0B" w:rsidRPr="00196C0B" w:rsidRDefault="00196C0B" w:rsidP="00196C0B">
      <w:pPr>
        <w:pStyle w:val="EndnoteText"/>
        <w:rPr>
          <w:sz w:val="16"/>
          <w:szCs w:val="16"/>
          <w:lang w:val="en-US"/>
        </w:rPr>
      </w:pPr>
      <w:r w:rsidRPr="00196C0B">
        <w:rPr>
          <w:rStyle w:val="EndnoteReference"/>
          <w:sz w:val="16"/>
          <w:szCs w:val="16"/>
        </w:rPr>
        <w:endnoteRef/>
      </w:r>
      <w:r w:rsidRPr="00196C0B">
        <w:rPr>
          <w:sz w:val="16"/>
          <w:szCs w:val="16"/>
        </w:rPr>
        <w:t xml:space="preserve"> http://www.statssa.gov.za/publications/P0441/P04414thQuarter2018.pdf</w:t>
      </w:r>
    </w:p>
  </w:endnote>
  <w:endnote w:id="2">
    <w:p w14:paraId="392E97F0" w14:textId="67B79C70" w:rsidR="00196C0B" w:rsidRPr="00196C0B" w:rsidRDefault="00196C0B" w:rsidP="00196C0B">
      <w:pPr>
        <w:pStyle w:val="EndnoteText"/>
        <w:rPr>
          <w:sz w:val="16"/>
          <w:szCs w:val="16"/>
          <w:lang w:val="en-US"/>
        </w:rPr>
      </w:pPr>
      <w:r w:rsidRPr="00196C0B">
        <w:rPr>
          <w:rStyle w:val="EndnoteReference"/>
          <w:sz w:val="16"/>
          <w:szCs w:val="16"/>
        </w:rPr>
        <w:endnoteRef/>
      </w:r>
      <w:r w:rsidRPr="00196C0B">
        <w:rPr>
          <w:sz w:val="16"/>
          <w:szCs w:val="16"/>
        </w:rPr>
        <w:t xml:space="preserve"> https://www.news24.com/SouthAfrica/News/ramaphosa-proposes-date-for-sona-20190529</w:t>
      </w:r>
    </w:p>
  </w:endnote>
  <w:endnote w:id="3">
    <w:p w14:paraId="4E7740D7"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Retail trade sales (preliminary). http://www.statssa.gov.za/publications/P62421/P62421March2019.pdf</w:t>
      </w:r>
    </w:p>
  </w:endnote>
  <w:endnote w:id="4">
    <w:p w14:paraId="4FFF5CF5"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Retail trade sales (preliminary). http://www.statssa.gov.za/publications/P62421/P62421March2019.pdf</w:t>
      </w:r>
    </w:p>
  </w:endnote>
  <w:endnote w:id="5">
    <w:p w14:paraId="129E0F94"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IOL, 2018. Retail data adds to first-quarter bad news. https://www.iol.co.za/business-report/economy/retail-data-adds-to-first-quarter-bad-news-23321759</w:t>
      </w:r>
    </w:p>
  </w:endnote>
  <w:endnote w:id="6">
    <w:p w14:paraId="54C85BCF"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Wholesale trade sales (preliminary). http://www.statssa.gov.za/publications/P61412/P61412March2019.pdf</w:t>
      </w:r>
    </w:p>
  </w:endnote>
  <w:endnote w:id="7">
    <w:p w14:paraId="2576F323"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Manufacturing: Production and Sales (preliminary). http://www.statssa.gov.za/publications/P30412/P30412March2019.pdf</w:t>
      </w:r>
    </w:p>
  </w:endnote>
  <w:endnote w:id="8">
    <w:p w14:paraId="5F5A3E82"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Engineering News, 2019. Seifsa ‘disappointed’ by slower Feb manufacturing output growth. https://www.engineeringnews.co.za/article/seifsa-disappointed-by-slower-feb-manufacturing-output-growth-2019-04-11/rep_id:4136</w:t>
      </w:r>
    </w:p>
  </w:endnote>
  <w:endnote w:id="9">
    <w:p w14:paraId="241CF54B"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Mining: production and sales (preliminary). http://www.statssa.gov.za/publications/P2041/P2041March2019.pdf</w:t>
      </w:r>
    </w:p>
  </w:endnote>
  <w:endnote w:id="10">
    <w:p w14:paraId="05FAFF96"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Daily Maverick, 2019. South Africa’s economy may be recovering in Q2 2019, but Q1 was not a hard act to follow. https://www.dailymaverick.co.za/article/2019-05-17-south-africas-economy-may-be-recovering-in-q2-2019-but-q1-was-not-a-hard-act-to-follow/</w:t>
      </w:r>
    </w:p>
  </w:endnote>
  <w:endnote w:id="11">
    <w:p w14:paraId="092BDFF5"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Electricity generated and available for distribution (Preliminary). http://www.statssa.gov.za/publications/P2041/P2041March2019.pdf</w:t>
      </w:r>
    </w:p>
  </w:endnote>
  <w:endnote w:id="12">
    <w:p w14:paraId="733B71E6"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The Citizen, 2019. Load shedding leads to less power output, less consumption. https://citizen.co.za/news/south-africa/load-shedding/2125786/load-shedding-leads-to-less-power-output-less-consumption/</w:t>
      </w:r>
    </w:p>
  </w:endnote>
  <w:endnote w:id="13">
    <w:p w14:paraId="2F50B913"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Cars.co.za, 2019. New Car Sales in SA: March 2019. </w:t>
      </w:r>
      <w:r w:rsidRPr="002D56AF">
        <w:rPr>
          <w:rFonts w:ascii="Georgia" w:hAnsi="Georgia"/>
          <w:color w:val="FFFFFF" w:themeColor="background1"/>
          <w:sz w:val="16"/>
          <w:szCs w:val="16"/>
        </w:rPr>
        <w:t>https://www.cars.co.za/motoring_news/new-car-sales-in-sa-march-2019/46439/</w:t>
      </w:r>
    </w:p>
  </w:endnote>
  <w:endnote w:id="14">
    <w:p w14:paraId="46D8D2D6"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Fin24, 2019. Growth in private sector credit extension declines sharply. https://www.fin24.com/Economy/growth-in-private-sector-credit-extension-declines-sharply-20180530</w:t>
      </w:r>
    </w:p>
  </w:endnote>
  <w:endnote w:id="15">
    <w:p w14:paraId="071D39C8"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Fin24, 2019. Growth in private sector credit extension declines sharply. https://www.fin24.com/Economy/growth-in-private-sector-credit-extension-declines-sharply-20180530</w:t>
      </w:r>
    </w:p>
  </w:endnote>
  <w:endnote w:id="16">
    <w:p w14:paraId="073E5F90"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BankservAfrica, 2019, </w:t>
      </w:r>
      <w:r w:rsidRPr="002D56AF">
        <w:rPr>
          <w:rFonts w:ascii="Georgia" w:hAnsi="Georgia"/>
          <w:color w:val="FFFFFF" w:themeColor="background1"/>
          <w:sz w:val="16"/>
          <w:szCs w:val="16"/>
        </w:rPr>
        <w:t>Load shedding stops economy in its tracks. https://www.bankservafrica.com/api/public/blogblob/5cc033283724080042e2397b</w:t>
      </w:r>
    </w:p>
  </w:endnote>
  <w:endnote w:id="17">
    <w:p w14:paraId="7EE4C9BC"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BankservAfrica, 2019, </w:t>
      </w:r>
      <w:r w:rsidRPr="002D56AF">
        <w:rPr>
          <w:rFonts w:ascii="Georgia" w:hAnsi="Georgia"/>
          <w:color w:val="FFFFFF" w:themeColor="background1"/>
          <w:sz w:val="16"/>
          <w:szCs w:val="16"/>
        </w:rPr>
        <w:t>Load shedding stops economy in its tracks. https://www.bankservafrica.com/api/public/blogblob/5cc033283724080042e2397b</w:t>
      </w:r>
    </w:p>
  </w:endnote>
  <w:endnote w:id="18">
    <w:p w14:paraId="2A1C3ADE"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BankservAfrica, 2019, </w:t>
      </w:r>
      <w:r w:rsidRPr="002D56AF">
        <w:rPr>
          <w:rFonts w:ascii="Georgia" w:hAnsi="Georgia"/>
          <w:color w:val="FFFFFF" w:themeColor="background1"/>
          <w:sz w:val="16"/>
          <w:szCs w:val="16"/>
        </w:rPr>
        <w:t>Load shedding stops economy in its tracks. https://www.bankservafrica.com/api/public/blogblob/5cc033283724080042e2397b</w:t>
      </w:r>
    </w:p>
  </w:endnote>
  <w:endnote w:id="19">
    <w:p w14:paraId="180B1D02"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Land transport (preliminary). http://www.statssa.gov.za/publications/P7162/P7162March2019.pdf</w:t>
      </w:r>
    </w:p>
  </w:endnote>
  <w:endnote w:id="20">
    <w:p w14:paraId="7D649EB4"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Statistics South Africa, 2019. Land transport (preliminary). http://www.statssa.gov.za/publications/P7162/P7162March2019.pdf</w:t>
      </w:r>
    </w:p>
  </w:endnote>
  <w:endnote w:id="21">
    <w:p w14:paraId="18295C73"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New horizon freight solution, 2019. 5 challenges in the South African freight industry. https://www.nhfs.co.za/5-challenges-in-the-south-african-freight-industry/</w:t>
      </w:r>
    </w:p>
  </w:endnote>
  <w:endnote w:id="22">
    <w:p w14:paraId="05CC6167"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IOL, 2019. Confidence in construction sector hits an all-time low. https://www.iol.co.za/business-report/economy/confidence-in-construction-sector-hits-an-all-time-low-20109116</w:t>
      </w:r>
    </w:p>
  </w:endnote>
  <w:endnote w:id="23">
    <w:p w14:paraId="0CC153AF"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Fin24, 2019. Civil construction goes from bad to worse as confidence hits record low. https://www.fin24.com/Economy/civil-construction-goes-from-bad-to-worse-as-confidence-hits-record-low-20190326</w:t>
      </w:r>
    </w:p>
  </w:endnote>
  <w:endnote w:id="24">
    <w:p w14:paraId="6FB41AF1"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BER, 2019. FNB/BER Consumer Confidence Index. https://www.ber.ac.za/knowledge/pkviewdocument.aspx?docid=9482</w:t>
      </w:r>
    </w:p>
  </w:endnote>
  <w:endnote w:id="25">
    <w:p w14:paraId="6B7A7C7F"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IOL, 2019. Consumer confidence at its lowest since last quarter of 2017. https://www.iol.co.za/business-report/economy/consumer-confidence-at-its-lowest-since-last-quarter-of-2017-21906065</w:t>
      </w:r>
    </w:p>
  </w:endnote>
  <w:endnote w:id="26">
    <w:p w14:paraId="5506F22C"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Business Day, 2019. WATCH: Why SA’s consumer confidence has dropped. https://www.businesslive.co.za/bd/economy/2019-04-25-watch-why-sas-consumer-confidence-has-dropped/</w:t>
      </w:r>
    </w:p>
  </w:endnote>
  <w:endnote w:id="27">
    <w:p w14:paraId="06855A54"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BER 2019, FNB/BER Business Confidence Index. https://www.ber.ac.za/knowledge/pkviewdocument.aspx?docid=9427</w:t>
      </w:r>
    </w:p>
  </w:endnote>
  <w:endnote w:id="28">
    <w:p w14:paraId="44E701E9"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BizNews, 2019. Business confidence hits pre-Ramaphoria levels. https://www.biznews.com/briefs/2019/03/13/business-confidence-pre-ramaphoria-levels</w:t>
      </w:r>
    </w:p>
  </w:endnote>
  <w:endnote w:id="29">
    <w:p w14:paraId="6D4126BA"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NWU Business School, 2019.  Policy Uncertainty Index. </w:t>
      </w:r>
      <w:r w:rsidRPr="002D56AF">
        <w:rPr>
          <w:rFonts w:ascii="Georgia" w:hAnsi="Georgia"/>
          <w:color w:val="FFFFFF" w:themeColor="background1"/>
          <w:sz w:val="16"/>
          <w:szCs w:val="16"/>
        </w:rPr>
        <w:t>http://commerce.nwu.ac.za/sites/commerce.nwu.ac.za/files/files/TRADE/Media/Print%20Media/PUI%20-%201Q%202019.pdf</w:t>
      </w:r>
    </w:p>
  </w:endnote>
  <w:endnote w:id="30">
    <w:p w14:paraId="77779AAA" w14:textId="77777777" w:rsidR="00A5042E" w:rsidRPr="002D56AF" w:rsidRDefault="00A5042E" w:rsidP="00A4648A">
      <w:pPr>
        <w:pStyle w:val="EndnoteText"/>
        <w:rPr>
          <w:rFonts w:ascii="Georgia" w:hAnsi="Georgia"/>
          <w:color w:val="FFFFFF" w:themeColor="background1"/>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 xml:space="preserve">NWU Business School, 2019.  Policy Uncertainty Index. </w:t>
      </w:r>
      <w:r w:rsidRPr="002D56AF">
        <w:rPr>
          <w:rFonts w:ascii="Georgia" w:hAnsi="Georgia"/>
          <w:color w:val="FFFFFF" w:themeColor="background1"/>
          <w:sz w:val="16"/>
          <w:szCs w:val="16"/>
        </w:rPr>
        <w:t>http://commerce.nwu.ac.za/sites/commerce.nwu.ac.za/files/files/TRADE/Media/Print%20Media/PUI%20-%201Q%202019.pdf</w:t>
      </w:r>
    </w:p>
  </w:endnote>
  <w:endnote w:id="31">
    <w:p w14:paraId="42755794" w14:textId="77777777" w:rsidR="00A5042E" w:rsidRPr="0096278E" w:rsidRDefault="00A5042E" w:rsidP="00A4648A">
      <w:pPr>
        <w:pStyle w:val="EndnoteText"/>
        <w:rPr>
          <w:rFonts w:ascii="Georgia" w:hAnsi="Georgia"/>
          <w:sz w:val="16"/>
          <w:szCs w:val="16"/>
          <w:lang w:val="en-US"/>
        </w:rPr>
      </w:pPr>
      <w:r w:rsidRPr="002D56AF">
        <w:rPr>
          <w:rStyle w:val="EndnoteReference"/>
          <w:rFonts w:ascii="Georgia" w:hAnsi="Georgia"/>
          <w:color w:val="FFFFFF" w:themeColor="background1"/>
          <w:sz w:val="16"/>
          <w:szCs w:val="16"/>
        </w:rPr>
        <w:endnoteRef/>
      </w:r>
      <w:r w:rsidRPr="002D56AF">
        <w:rPr>
          <w:rFonts w:ascii="Georgia" w:hAnsi="Georgia"/>
          <w:color w:val="FFFFFF" w:themeColor="background1"/>
          <w:sz w:val="16"/>
          <w:szCs w:val="16"/>
        </w:rPr>
        <w:t xml:space="preserve"> </w:t>
      </w:r>
      <w:r w:rsidRPr="002D56AF">
        <w:rPr>
          <w:rFonts w:ascii="Georgia" w:hAnsi="Georgia"/>
          <w:color w:val="FFFFFF" w:themeColor="background1"/>
          <w:sz w:val="16"/>
          <w:szCs w:val="16"/>
          <w:lang w:val="en-US"/>
        </w:rPr>
        <w:t>Business Day, 2019. ECONOMIC WEEK AHEAD: Mining data to lag, manufacturing likely to hit 2008 lows. https://www.businesslive.co.za/bd/economy/2019-05-05-economic-week-ahead-mining-data-to-lag-manufacturing-likely-to-hit-2008-lows/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Univers 45 Light"/>
    <w:charset w:val="00"/>
    <w:family w:val="auto"/>
    <w:pitch w:val="variable"/>
    <w:sig w:usb0="80000023" w:usb1="00000000" w:usb2="00000000" w:usb3="00000000" w:csb0="00000001" w:csb1="00000000"/>
  </w:font>
  <w:font w:name="Univers for KPMG Light">
    <w:altName w:val="Corbel"/>
    <w:charset w:val="00"/>
    <w:family w:val="swiss"/>
    <w:pitch w:val="variable"/>
    <w:sig w:usb0="00000001" w:usb1="5000204A" w:usb2="00000000" w:usb3="00000000" w:csb0="0000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0617" w14:textId="77777777" w:rsidR="00A5042E" w:rsidRDefault="00A5042E">
    <w:pPr>
      <w:pStyle w:val="Footer"/>
    </w:pPr>
    <w:r>
      <w:t>Footer text goes here</w:t>
    </w:r>
  </w:p>
  <w:p w14:paraId="202D5914" w14:textId="52B069DE" w:rsidR="00A5042E" w:rsidRDefault="00A5042E" w:rsidP="0079020C">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9475" w14:textId="40BDA178" w:rsidR="00A5042E" w:rsidRDefault="00A5042E" w:rsidP="0079020C">
    <w:pPr>
      <w:pStyle w:val="Footer"/>
      <w:tabs>
        <w:tab w:val="center" w:pos="3670"/>
        <w:tab w:val="right" w:pos="7341"/>
      </w:tabs>
    </w:pPr>
    <w:r>
      <w:t>Footer text goes here</w:t>
    </w:r>
    <w:r>
      <w:tab/>
    </w:r>
    <w:r>
      <w:tab/>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DB9F8" w14:textId="7746FB81" w:rsidR="00A5042E" w:rsidRDefault="00A5042E">
    <w:pPr>
      <w:pStyle w:val="Footer"/>
      <w:tabs>
        <w:tab w:val="left" w:pos="1755"/>
      </w:tabs>
    </w:pPr>
    <w:r w:rsidRPr="00033E6C">
      <w:rPr>
        <w:noProof/>
        <w:lang w:val="en-US"/>
      </w:rPr>
      <w:drawing>
        <wp:anchor distT="0" distB="0" distL="114300" distR="114300" simplePos="0" relativeHeight="251676672" behindDoc="0" locked="0" layoutInCell="1" allowOverlap="1" wp14:anchorId="68574EA4" wp14:editId="59A9D2BD">
          <wp:simplePos x="0" y="0"/>
          <wp:positionH relativeFrom="column">
            <wp:posOffset>-1861820</wp:posOffset>
          </wp:positionH>
          <wp:positionV relativeFrom="paragraph">
            <wp:posOffset>-599440</wp:posOffset>
          </wp:positionV>
          <wp:extent cx="984250" cy="699770"/>
          <wp:effectExtent l="0" t="0" r="635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r="62667"/>
                  <a:stretch/>
                </pic:blipFill>
                <pic:spPr bwMode="auto">
                  <a:xfrm>
                    <a:off x="0" y="0"/>
                    <a:ext cx="984250" cy="699770"/>
                  </a:xfrm>
                  <a:prstGeom prst="rect">
                    <a:avLst/>
                  </a:prstGeom>
                  <a:noFill/>
                  <a:ln>
                    <a:noFill/>
                  </a:ln>
                  <a:extLst>
                    <a:ext uri="{53640926-AAD7-44D8-BBD7-CCE9431645EC}">
                      <a14:shadowObscured xmlns:a14="http://schemas.microsoft.com/office/drawing/2010/main"/>
                    </a:ext>
                  </a:extLst>
                </pic:spPr>
              </pic:pic>
            </a:graphicData>
          </a:graphic>
        </wp:anchor>
      </w:drawing>
    </w:r>
    <w:r w:rsidRPr="00033E6C">
      <w:rPr>
        <w:noProof/>
        <w:lang w:val="en-US"/>
      </w:rPr>
      <w:drawing>
        <wp:anchor distT="0" distB="0" distL="114300" distR="114300" simplePos="0" relativeHeight="251677696" behindDoc="0" locked="0" layoutInCell="1" allowOverlap="1" wp14:anchorId="1EBCCFB8" wp14:editId="4C79854F">
          <wp:simplePos x="0" y="0"/>
          <wp:positionH relativeFrom="column">
            <wp:posOffset>-1863725</wp:posOffset>
          </wp:positionH>
          <wp:positionV relativeFrom="paragraph">
            <wp:posOffset>-10168255</wp:posOffset>
          </wp:positionV>
          <wp:extent cx="1434960" cy="699702"/>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 cstate="print">
                    <a:extLst>
                      <a:ext uri="{28A0092B-C50C-407E-A947-70E740481C1C}">
                        <a14:useLocalDpi xmlns:a14="http://schemas.microsoft.com/office/drawing/2010/main" val="0"/>
                      </a:ext>
                    </a:extLst>
                  </a:blip>
                  <a:srcRect l="45590"/>
                  <a:stretch/>
                </pic:blipFill>
                <pic:spPr bwMode="auto">
                  <a:xfrm>
                    <a:off x="0" y="0"/>
                    <a:ext cx="1434960" cy="699702"/>
                  </a:xfrm>
                  <a:prstGeom prst="rect">
                    <a:avLst/>
                  </a:prstGeom>
                  <a:solidFill>
                    <a:schemeClr val="bg2">
                      <a:lumMod val="50000"/>
                    </a:schemeClr>
                  </a:solidFill>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656657022"/>
      <w:docPartObj>
        <w:docPartGallery w:val="Page Numbers (Bottom of Page)"/>
        <w:docPartUnique/>
      </w:docPartObj>
    </w:sdtPr>
    <w:sdtEndPr>
      <w:rPr>
        <w:noProof/>
      </w:rPr>
    </w:sdtEndPr>
    <w:sdtContent>
      <w:p w14:paraId="12A0DE81" w14:textId="405C645D" w:rsidR="00A5042E" w:rsidRPr="009E0A4D" w:rsidRDefault="00A5042E">
        <w:pPr>
          <w:pStyle w:val="Footer"/>
          <w:jc w:val="center"/>
          <w:rPr>
            <w:rFonts w:asciiTheme="majorHAnsi" w:hAnsiTheme="majorHAnsi"/>
          </w:rPr>
        </w:pPr>
        <w:r w:rsidRPr="009E0A4D">
          <w:rPr>
            <w:rFonts w:asciiTheme="majorHAnsi" w:hAnsiTheme="majorHAnsi"/>
          </w:rPr>
          <w:fldChar w:fldCharType="begin"/>
        </w:r>
        <w:r w:rsidRPr="009E0A4D">
          <w:rPr>
            <w:rFonts w:asciiTheme="majorHAnsi" w:hAnsiTheme="majorHAnsi"/>
          </w:rPr>
          <w:instrText xml:space="preserve"> PAGE   \* MERGEFORMAT </w:instrText>
        </w:r>
        <w:r w:rsidRPr="009E0A4D">
          <w:rPr>
            <w:rFonts w:asciiTheme="majorHAnsi" w:hAnsiTheme="majorHAnsi"/>
          </w:rPr>
          <w:fldChar w:fldCharType="separate"/>
        </w:r>
        <w:r w:rsidR="00441790">
          <w:rPr>
            <w:rFonts w:asciiTheme="majorHAnsi" w:hAnsiTheme="majorHAnsi"/>
            <w:noProof/>
          </w:rPr>
          <w:t>12</w:t>
        </w:r>
        <w:r w:rsidRPr="009E0A4D">
          <w:rPr>
            <w:rFonts w:asciiTheme="majorHAnsi" w:hAnsiTheme="majorHAnsi"/>
            <w:noProof/>
          </w:rPr>
          <w:fldChar w:fldCharType="end"/>
        </w:r>
      </w:p>
    </w:sdtContent>
  </w:sdt>
  <w:p w14:paraId="4D79B2F0" w14:textId="5C931BDD" w:rsidR="00A5042E" w:rsidRDefault="00A5042E">
    <w:pPr>
      <w:pStyle w:val="Footer"/>
    </w:pPr>
  </w:p>
  <w:p w14:paraId="713B384F" w14:textId="77777777" w:rsidR="00A5042E" w:rsidRDefault="00A5042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7EF8C" w14:textId="77777777" w:rsidR="00A5042E" w:rsidRDefault="00A5042E">
    <w:pPr>
      <w:pStyle w:val="Footer"/>
    </w:pPr>
    <w:r>
      <w:t>Local disclaimer and copyright statements go here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94506" w14:textId="77777777" w:rsidR="00312330" w:rsidRDefault="00312330" w:rsidP="004631E0">
      <w:pPr>
        <w:spacing w:after="0" w:line="240" w:lineRule="auto"/>
      </w:pPr>
      <w:r>
        <w:separator/>
      </w:r>
    </w:p>
  </w:footnote>
  <w:footnote w:type="continuationSeparator" w:id="0">
    <w:p w14:paraId="137FCE36" w14:textId="77777777" w:rsidR="00312330" w:rsidRDefault="00312330" w:rsidP="00463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7568"/>
    </w:tblGrid>
    <w:tr w:rsidR="00A5042E" w:rsidRPr="00C02D09" w14:paraId="7DD3EABE" w14:textId="77777777">
      <w:trPr>
        <w:trHeight w:hRule="exact" w:val="227"/>
      </w:trPr>
      <w:tc>
        <w:tcPr>
          <w:tcW w:w="5000" w:type="pct"/>
        </w:tcPr>
        <w:p w14:paraId="4BCC75E7" w14:textId="77777777" w:rsidR="00A5042E" w:rsidRPr="00C02D09" w:rsidRDefault="00A5042E" w:rsidP="0079020C">
          <w:pPr>
            <w:spacing w:after="0" w:line="240" w:lineRule="auto"/>
            <w:rPr>
              <w:sz w:val="14"/>
              <w:szCs w:val="14"/>
            </w:rPr>
          </w:pPr>
        </w:p>
      </w:tc>
    </w:tr>
  </w:tbl>
  <w:p w14:paraId="45E17455" w14:textId="21D63E91" w:rsidR="00A5042E" w:rsidRDefault="00A5042E" w:rsidP="0079020C">
    <w:pPr>
      <w:pStyle w:val="Header"/>
      <w:tabs>
        <w:tab w:val="center" w:pos="3670"/>
        <w:tab w:val="right" w:pos="7341"/>
      </w:tabs>
    </w:pPr>
    <w:r>
      <w:t>Header goes here</w:t>
    </w:r>
    <w:r>
      <w:tab/>
    </w:r>
    <w:r>
      <w:tab/>
      <w:t>Draft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7333"/>
    </w:tblGrid>
    <w:tr w:rsidR="00A5042E" w:rsidRPr="00C02D09" w14:paraId="63818B1E" w14:textId="77777777">
      <w:trPr>
        <w:trHeight w:hRule="exact" w:val="227"/>
      </w:trPr>
      <w:tc>
        <w:tcPr>
          <w:tcW w:w="5000" w:type="pct"/>
        </w:tcPr>
        <w:p w14:paraId="1CD2F158" w14:textId="77777777" w:rsidR="00A5042E" w:rsidRPr="00C02D09" w:rsidRDefault="00A5042E" w:rsidP="0079020C">
          <w:pPr>
            <w:spacing w:after="0" w:line="240" w:lineRule="auto"/>
            <w:rPr>
              <w:sz w:val="14"/>
              <w:szCs w:val="14"/>
            </w:rPr>
          </w:pPr>
        </w:p>
      </w:tc>
    </w:tr>
  </w:tbl>
  <w:p w14:paraId="7BC2E90B" w14:textId="332B1353" w:rsidR="00A5042E" w:rsidRDefault="00A5042E" w:rsidP="0079020C">
    <w:pPr>
      <w:pStyle w:val="Header"/>
      <w:tabs>
        <w:tab w:val="center" w:pos="3670"/>
        <w:tab w:val="right" w:pos="7341"/>
      </w:tabs>
    </w:pPr>
    <w:r>
      <w:t>Header goes here</w:t>
    </w:r>
    <w:r>
      <w:tab/>
    </w:r>
    <w:r>
      <w:tab/>
      <w:t>Draft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AC0E" w14:textId="77777777" w:rsidR="00A5042E" w:rsidRDefault="00A5042E" w:rsidP="002A76B3">
    <w:pPr>
      <w:pStyle w:val="TableSpacer"/>
      <w:pageBreakBefore/>
    </w:pPr>
  </w:p>
  <w:p w14:paraId="723FA6A3" w14:textId="794D3424" w:rsidR="00A5042E" w:rsidRDefault="00A5042E" w:rsidP="0079020C">
    <w:pPr>
      <w:pStyle w:val="Header"/>
      <w:tabs>
        <w:tab w:val="right" w:pos="7341"/>
      </w:tabs>
      <w:rPr>
        <w:rFonts w:ascii="Georgia" w:hAnsi="Georgia"/>
      </w:rPr>
    </w:pPr>
    <w:r w:rsidRPr="00886121">
      <w:rPr>
        <w:noProof/>
        <w:color w:val="FFFFFF" w:themeColor="background1"/>
        <w:lang w:val="en-US"/>
      </w:rPr>
      <mc:AlternateContent>
        <mc:Choice Requires="wps">
          <w:drawing>
            <wp:anchor distT="0" distB="0" distL="114300" distR="114300" simplePos="0" relativeHeight="251679744" behindDoc="1" locked="1" layoutInCell="1" allowOverlap="1" wp14:anchorId="2858FD9B" wp14:editId="5BDF4E34">
              <wp:simplePos x="0" y="0"/>
              <wp:positionH relativeFrom="page">
                <wp:align>left</wp:align>
              </wp:positionH>
              <wp:positionV relativeFrom="page">
                <wp:align>top</wp:align>
              </wp:positionV>
              <wp:extent cx="7559675" cy="10691495"/>
              <wp:effectExtent l="0" t="0" r="22225" b="14605"/>
              <wp:wrapNone/>
              <wp:docPr id="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9675" cy="10691495"/>
                      </a:xfrm>
                      <a:prstGeom prst="rect">
                        <a:avLst/>
                      </a:prstGeom>
                      <a:solidFill>
                        <a:schemeClr val="tx1"/>
                      </a:solidFill>
                      <a:ln>
                        <a:solidFill>
                          <a:schemeClr val="tx2"/>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25C3D" id="Rectangle 2" o:spid="_x0000_s1026" style="position:absolute;margin-left:0;margin-top:0;width:595.25pt;height:841.8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TsDAIAACIEAAAOAAAAZHJzL2Uyb0RvYy54bWysU8GOEzEMvSPxD1HudNrSdtlRp6tVV4uQ&#10;Flix8AFuJtOJyMTBSTstX4+TaZcCByTEJYpj+9nv2VneHDor9pqCQVfJyWgshXYKa+O2lfzy+f7V&#10;GylCBFeDRacredRB3qxevlj2vtRTbNHWmgSDuFD2vpJtjL4siqBa3UEYodeOnQ1SB5FN2hY1Qc/o&#10;nS2m4/Gi6JFqT6h0CPx6NzjlKuM3jVbxY9MEHYWtJPcW80n53KSzWC2h3BL41qhTG/APXXRgHBd9&#10;hrqDCGJH5g+ozijCgE0cKewKbBqjdObAbCbj39g8teB15sLiBP8sU/h/sOrD/pGEqSv5WgoHHY/o&#10;E4sGbmu1mCZ5eh9Kjnryj5QIBv+A6msQDtctR+nb4DmeR8/p5yci7FsNNfc5SRDFLxjJCIwmNv17&#10;rLkg7CJm8Q4NdakGyyIOeUbH5xnpQxSKH6/m8+vF1VwKxb7JeHE9mV3PcxEoz/meQnyrsRPpUkni&#10;BjM+7B9CTP1AeQ7JlNCa+t5Ym420eXptSeyBdyYeBgZM/DLKur8nZvW41EUiW0Mmszm1clZjEHqD&#10;9ZGVIRwWlT8WX1qk71L0vKSVDN92QFoK+86xukx+lrY6G7P51ZQNuvRsLj3gFEMxJymG6zoOP2Hn&#10;yWzbPMREy+EtT6QxWarU39DVaY68iFnB06dJm35p56ifX3v1AwAA//8DAFBLAwQUAAYACAAAACEA&#10;l+bz0d0AAAAHAQAADwAAAGRycy9kb3ducmV2LnhtbEyPwU7DMBBE70j8g7VIXCpqtyilpHEqhKjg&#10;SksERzfexhH2OoqdNvw9Lhd6Wc1qVjNvi/XoLDtiH1pPEmZTAQyp9rqlRsLHbnO3BBaiIq2sJ5Tw&#10;gwHW5fVVoXLtT/SOx21sWAqhkCsJJsYu5zzUBp0KU98hJe/ge6diWvuG616dUrizfC7EgjvVUmow&#10;qsNng/X3dnASsmxTVXM3ZNVEcPtlXofPl7eJlLc349MKWMQx/h/DGT+hQ5mY9n4gHZiVkB6Jf/Ps&#10;zR5FBmyf1GJ5/wC8LPglf/kLAAD//wMAUEsBAi0AFAAGAAgAAAAhALaDOJL+AAAA4QEAABMAAAAA&#10;AAAAAAAAAAAAAAAAAFtDb250ZW50X1R5cGVzXS54bWxQSwECLQAUAAYACAAAACEAOP0h/9YAAACU&#10;AQAACwAAAAAAAAAAAAAAAAAvAQAAX3JlbHMvLnJlbHNQSwECLQAUAAYACAAAACEAa1zE7AwCAAAi&#10;BAAADgAAAAAAAAAAAAAAAAAuAgAAZHJzL2Uyb0RvYy54bWxQSwECLQAUAAYACAAAACEAl+bz0d0A&#10;AAAHAQAADwAAAAAAAAAAAAAAAABmBAAAZHJzL2Rvd25yZXYueG1sUEsFBgAAAAAEAAQA8wAAAHAF&#10;AAAAAA==&#10;" fillcolor="black [3213]" strokecolor="#a32020 [3215]">
              <o:lock v:ext="edit" aspectratio="t"/>
              <w10:wrap anchorx="page" anchory="page"/>
              <w10:anchorlock/>
            </v:rect>
          </w:pict>
        </mc:Fallback>
      </mc:AlternateContent>
    </w:r>
    <w:r>
      <w:rPr>
        <w:rFonts w:ascii="Georgia" w:hAnsi="Georgia"/>
      </w:rPr>
      <w:t>www.pwc.com/navigation</w:t>
    </w:r>
    <w:r>
      <w:rPr>
        <w:rFonts w:ascii="Georgia" w:hAnsi="Georgia"/>
      </w:rPr>
      <w:tab/>
      <w:t>Draft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FF889" w14:textId="57541D02" w:rsidR="00A5042E" w:rsidRDefault="00A5042E">
    <w:pPr>
      <w:pStyle w:val="Header"/>
    </w:pPr>
  </w:p>
  <w:p w14:paraId="72B64606" w14:textId="77777777" w:rsidR="00A5042E" w:rsidRDefault="00A504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C7C51" w14:textId="50E9CCB6" w:rsidR="00A5042E" w:rsidRDefault="00A5042E">
    <w:pPr>
      <w:pStyle w:val="Header"/>
    </w:pPr>
  </w:p>
  <w:p w14:paraId="6722AF49" w14:textId="77777777" w:rsidR="00A5042E" w:rsidRDefault="00A5042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10091"/>
    </w:tblGrid>
    <w:tr w:rsidR="00A5042E" w:rsidRPr="00C02D09" w14:paraId="4C1FF214" w14:textId="77777777">
      <w:trPr>
        <w:trHeight w:hRule="exact" w:val="227"/>
      </w:trPr>
      <w:tc>
        <w:tcPr>
          <w:tcW w:w="5000" w:type="pct"/>
        </w:tcPr>
        <w:p w14:paraId="3772D9F2" w14:textId="77777777" w:rsidR="00A5042E" w:rsidRPr="00C02D09" w:rsidRDefault="00A5042E" w:rsidP="0079020C">
          <w:pPr>
            <w:spacing w:after="0" w:line="240" w:lineRule="auto"/>
            <w:rPr>
              <w:sz w:val="14"/>
              <w:szCs w:val="14"/>
            </w:rPr>
          </w:pPr>
        </w:p>
      </w:tc>
    </w:tr>
  </w:tbl>
  <w:p w14:paraId="0096C8F4" w14:textId="1691180B" w:rsidR="00A5042E" w:rsidRDefault="00A5042E" w:rsidP="0079020C">
    <w:pPr>
      <w:pStyle w:val="Header"/>
      <w:tabs>
        <w:tab w:val="center" w:pos="4932"/>
        <w:tab w:val="right" w:pos="9864"/>
      </w:tabs>
    </w:pPr>
    <w:r>
      <w:t>Header goes here</w:t>
    </w:r>
    <w:r>
      <w:tab/>
    </w:r>
    <w:r>
      <w:tab/>
      <w:t>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E7795"/>
    <w:multiLevelType w:val="multilevel"/>
    <w:tmpl w:val="167E4CBA"/>
    <w:lvl w:ilvl="0">
      <w:start w:val="1"/>
      <w:numFmt w:val="decimal"/>
      <w:pStyle w:val="Heading1"/>
      <w:lvlText w:val="%1."/>
      <w:lvlJc w:val="left"/>
      <w:pPr>
        <w:ind w:left="432" w:hanging="432"/>
      </w:pPr>
      <w:rPr>
        <w:rFonts w:ascii="Georgia" w:eastAsia="Times New Roman" w:hAnsi="Georgia" w:cs="Times New Roman"/>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B7865C1"/>
    <w:multiLevelType w:val="hybridMultilevel"/>
    <w:tmpl w:val="A1249218"/>
    <w:name w:val="PwCListBullets1432222"/>
    <w:lvl w:ilvl="0" w:tplc="3FAC2408">
      <w:start w:val="1"/>
      <w:numFmt w:val="bullet"/>
      <w:pStyle w:val="PwCBullet1Burgundy"/>
      <w:lvlText w:val=""/>
      <w:lvlJc w:val="left"/>
      <w:pPr>
        <w:ind w:left="720" w:hanging="360"/>
      </w:pPr>
      <w:rPr>
        <w:rFonts w:ascii="Symbol" w:hAnsi="Symbol" w:hint="default"/>
        <w:caps w:val="0"/>
        <w:strike w:val="0"/>
        <w:dstrike w:val="0"/>
        <w:vanish w:val="0"/>
        <w:color w:val="auto"/>
        <w:spacing w:val="0"/>
        <w:w w:val="100"/>
        <w:sz w:val="22"/>
        <w:szCs w:val="20"/>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20E4C56"/>
    <w:multiLevelType w:val="hybridMultilevel"/>
    <w:tmpl w:val="80608B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6E2E1F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2"/>
  </w:num>
  <w:num w:numId="15">
    <w:abstractNumId w:val="0"/>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ZA"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1E0"/>
    <w:rsid w:val="000005CB"/>
    <w:rsid w:val="0000633B"/>
    <w:rsid w:val="00006454"/>
    <w:rsid w:val="00010053"/>
    <w:rsid w:val="0001392F"/>
    <w:rsid w:val="00016E98"/>
    <w:rsid w:val="00017F18"/>
    <w:rsid w:val="00020004"/>
    <w:rsid w:val="0002044E"/>
    <w:rsid w:val="00021DA9"/>
    <w:rsid w:val="00022008"/>
    <w:rsid w:val="00023FB1"/>
    <w:rsid w:val="000272E2"/>
    <w:rsid w:val="00031E57"/>
    <w:rsid w:val="0003296B"/>
    <w:rsid w:val="000330B5"/>
    <w:rsid w:val="00033A4D"/>
    <w:rsid w:val="00033E6C"/>
    <w:rsid w:val="00035462"/>
    <w:rsid w:val="00036AE1"/>
    <w:rsid w:val="000403C9"/>
    <w:rsid w:val="000457B8"/>
    <w:rsid w:val="00052906"/>
    <w:rsid w:val="00061B87"/>
    <w:rsid w:val="000626BF"/>
    <w:rsid w:val="00067F90"/>
    <w:rsid w:val="000705E0"/>
    <w:rsid w:val="00071D5E"/>
    <w:rsid w:val="0008068B"/>
    <w:rsid w:val="000827CC"/>
    <w:rsid w:val="0008301D"/>
    <w:rsid w:val="00084B2A"/>
    <w:rsid w:val="000853DD"/>
    <w:rsid w:val="00092E86"/>
    <w:rsid w:val="0009497C"/>
    <w:rsid w:val="00097748"/>
    <w:rsid w:val="000A173E"/>
    <w:rsid w:val="000A3AF3"/>
    <w:rsid w:val="000A4FF3"/>
    <w:rsid w:val="000A752C"/>
    <w:rsid w:val="000B0581"/>
    <w:rsid w:val="000B1051"/>
    <w:rsid w:val="000B1945"/>
    <w:rsid w:val="000B2F30"/>
    <w:rsid w:val="000B3175"/>
    <w:rsid w:val="000B3F4C"/>
    <w:rsid w:val="000B59FE"/>
    <w:rsid w:val="000B5D8D"/>
    <w:rsid w:val="000B5E8E"/>
    <w:rsid w:val="000C1895"/>
    <w:rsid w:val="000C206D"/>
    <w:rsid w:val="000C644D"/>
    <w:rsid w:val="000C74EB"/>
    <w:rsid w:val="000C7C57"/>
    <w:rsid w:val="000D4324"/>
    <w:rsid w:val="000D495E"/>
    <w:rsid w:val="000D58C8"/>
    <w:rsid w:val="000D5D2C"/>
    <w:rsid w:val="000D73B1"/>
    <w:rsid w:val="000E28CB"/>
    <w:rsid w:val="000E68A1"/>
    <w:rsid w:val="000E6A74"/>
    <w:rsid w:val="000E6C7B"/>
    <w:rsid w:val="000F16FA"/>
    <w:rsid w:val="000F1A50"/>
    <w:rsid w:val="000F208A"/>
    <w:rsid w:val="000F31DF"/>
    <w:rsid w:val="000F3AF7"/>
    <w:rsid w:val="000F7D28"/>
    <w:rsid w:val="00100C39"/>
    <w:rsid w:val="0010102B"/>
    <w:rsid w:val="0010119F"/>
    <w:rsid w:val="00102919"/>
    <w:rsid w:val="001073B3"/>
    <w:rsid w:val="00111B6C"/>
    <w:rsid w:val="00112D1F"/>
    <w:rsid w:val="00113370"/>
    <w:rsid w:val="0012016F"/>
    <w:rsid w:val="0012075B"/>
    <w:rsid w:val="00120A4F"/>
    <w:rsid w:val="0012238D"/>
    <w:rsid w:val="0012520B"/>
    <w:rsid w:val="001252A7"/>
    <w:rsid w:val="00125F04"/>
    <w:rsid w:val="0012767A"/>
    <w:rsid w:val="001279FD"/>
    <w:rsid w:val="001339B6"/>
    <w:rsid w:val="0013603E"/>
    <w:rsid w:val="001412E0"/>
    <w:rsid w:val="00154862"/>
    <w:rsid w:val="001548CF"/>
    <w:rsid w:val="00157BB3"/>
    <w:rsid w:val="00157CBE"/>
    <w:rsid w:val="00166794"/>
    <w:rsid w:val="001720B7"/>
    <w:rsid w:val="001744ED"/>
    <w:rsid w:val="00174E43"/>
    <w:rsid w:val="00176A20"/>
    <w:rsid w:val="00180BA0"/>
    <w:rsid w:val="00181733"/>
    <w:rsid w:val="00182131"/>
    <w:rsid w:val="00182239"/>
    <w:rsid w:val="00184750"/>
    <w:rsid w:val="001854B8"/>
    <w:rsid w:val="001920C3"/>
    <w:rsid w:val="0019292C"/>
    <w:rsid w:val="00194FE7"/>
    <w:rsid w:val="001961C6"/>
    <w:rsid w:val="00196C0B"/>
    <w:rsid w:val="001A07AD"/>
    <w:rsid w:val="001A0D4B"/>
    <w:rsid w:val="001A1B0D"/>
    <w:rsid w:val="001A1D94"/>
    <w:rsid w:val="001A379B"/>
    <w:rsid w:val="001A7D2E"/>
    <w:rsid w:val="001B6E3D"/>
    <w:rsid w:val="001C0C14"/>
    <w:rsid w:val="001C174C"/>
    <w:rsid w:val="001C7E15"/>
    <w:rsid w:val="001D651A"/>
    <w:rsid w:val="001D7591"/>
    <w:rsid w:val="001E105D"/>
    <w:rsid w:val="001E1110"/>
    <w:rsid w:val="001E2D9F"/>
    <w:rsid w:val="001F1202"/>
    <w:rsid w:val="001F3A32"/>
    <w:rsid w:val="001F6C90"/>
    <w:rsid w:val="002030B4"/>
    <w:rsid w:val="00204136"/>
    <w:rsid w:val="002044A7"/>
    <w:rsid w:val="00205FD8"/>
    <w:rsid w:val="0020686F"/>
    <w:rsid w:val="00211DC5"/>
    <w:rsid w:val="00213D75"/>
    <w:rsid w:val="0021431D"/>
    <w:rsid w:val="00215A4F"/>
    <w:rsid w:val="00224337"/>
    <w:rsid w:val="002243B3"/>
    <w:rsid w:val="00224A32"/>
    <w:rsid w:val="00224E7F"/>
    <w:rsid w:val="00226120"/>
    <w:rsid w:val="00233018"/>
    <w:rsid w:val="00235672"/>
    <w:rsid w:val="00240FF5"/>
    <w:rsid w:val="0024175F"/>
    <w:rsid w:val="00246205"/>
    <w:rsid w:val="00250A75"/>
    <w:rsid w:val="0025232A"/>
    <w:rsid w:val="00253699"/>
    <w:rsid w:val="00253EB5"/>
    <w:rsid w:val="00256399"/>
    <w:rsid w:val="00257369"/>
    <w:rsid w:val="00271EE6"/>
    <w:rsid w:val="00273FBF"/>
    <w:rsid w:val="002752F7"/>
    <w:rsid w:val="002753DF"/>
    <w:rsid w:val="0027564F"/>
    <w:rsid w:val="0027576A"/>
    <w:rsid w:val="002759B6"/>
    <w:rsid w:val="00275A79"/>
    <w:rsid w:val="002800A8"/>
    <w:rsid w:val="00282B33"/>
    <w:rsid w:val="00282FFA"/>
    <w:rsid w:val="0028320E"/>
    <w:rsid w:val="00285469"/>
    <w:rsid w:val="002875C5"/>
    <w:rsid w:val="00290B10"/>
    <w:rsid w:val="00292407"/>
    <w:rsid w:val="00293C54"/>
    <w:rsid w:val="00296E97"/>
    <w:rsid w:val="002A234E"/>
    <w:rsid w:val="002A2A7E"/>
    <w:rsid w:val="002A41C4"/>
    <w:rsid w:val="002A5AFD"/>
    <w:rsid w:val="002A76B3"/>
    <w:rsid w:val="002B2FB0"/>
    <w:rsid w:val="002B3589"/>
    <w:rsid w:val="002C05CC"/>
    <w:rsid w:val="002C2717"/>
    <w:rsid w:val="002C2DCD"/>
    <w:rsid w:val="002C45B8"/>
    <w:rsid w:val="002D07CB"/>
    <w:rsid w:val="002D56AF"/>
    <w:rsid w:val="002E0592"/>
    <w:rsid w:val="002E091B"/>
    <w:rsid w:val="002E54A9"/>
    <w:rsid w:val="002E6435"/>
    <w:rsid w:val="002F1C95"/>
    <w:rsid w:val="002F28FD"/>
    <w:rsid w:val="002F2B5D"/>
    <w:rsid w:val="002F4D86"/>
    <w:rsid w:val="00301E95"/>
    <w:rsid w:val="0030484B"/>
    <w:rsid w:val="00311366"/>
    <w:rsid w:val="0031136A"/>
    <w:rsid w:val="00311702"/>
    <w:rsid w:val="00312330"/>
    <w:rsid w:val="00312AAC"/>
    <w:rsid w:val="00315DB1"/>
    <w:rsid w:val="00327EF2"/>
    <w:rsid w:val="00330580"/>
    <w:rsid w:val="00330D4C"/>
    <w:rsid w:val="00334B42"/>
    <w:rsid w:val="00343542"/>
    <w:rsid w:val="00351D04"/>
    <w:rsid w:val="0035248D"/>
    <w:rsid w:val="003547C6"/>
    <w:rsid w:val="00360AED"/>
    <w:rsid w:val="0036378C"/>
    <w:rsid w:val="00364660"/>
    <w:rsid w:val="00367430"/>
    <w:rsid w:val="00373443"/>
    <w:rsid w:val="00374253"/>
    <w:rsid w:val="00374B5B"/>
    <w:rsid w:val="00377F07"/>
    <w:rsid w:val="003829BE"/>
    <w:rsid w:val="00386DA6"/>
    <w:rsid w:val="0039236F"/>
    <w:rsid w:val="003929C1"/>
    <w:rsid w:val="00393C2A"/>
    <w:rsid w:val="00393F49"/>
    <w:rsid w:val="003949CF"/>
    <w:rsid w:val="003A0DA7"/>
    <w:rsid w:val="003A4B26"/>
    <w:rsid w:val="003B04D1"/>
    <w:rsid w:val="003B3877"/>
    <w:rsid w:val="003B613C"/>
    <w:rsid w:val="003B7C88"/>
    <w:rsid w:val="003C00D4"/>
    <w:rsid w:val="003C7096"/>
    <w:rsid w:val="003C7227"/>
    <w:rsid w:val="003D0728"/>
    <w:rsid w:val="003D286B"/>
    <w:rsid w:val="003D4BEC"/>
    <w:rsid w:val="003D64B1"/>
    <w:rsid w:val="003E0E43"/>
    <w:rsid w:val="003E4094"/>
    <w:rsid w:val="003E4909"/>
    <w:rsid w:val="003E4B02"/>
    <w:rsid w:val="003E4B5B"/>
    <w:rsid w:val="003E6EB6"/>
    <w:rsid w:val="003F23FF"/>
    <w:rsid w:val="003F669F"/>
    <w:rsid w:val="003F6CE3"/>
    <w:rsid w:val="003F6E13"/>
    <w:rsid w:val="003F6F39"/>
    <w:rsid w:val="00401024"/>
    <w:rsid w:val="0040260C"/>
    <w:rsid w:val="00403BBD"/>
    <w:rsid w:val="00414E35"/>
    <w:rsid w:val="00417990"/>
    <w:rsid w:val="00422280"/>
    <w:rsid w:val="0042296C"/>
    <w:rsid w:val="00422E40"/>
    <w:rsid w:val="0043125F"/>
    <w:rsid w:val="00431433"/>
    <w:rsid w:val="00432EB8"/>
    <w:rsid w:val="004360F5"/>
    <w:rsid w:val="00436195"/>
    <w:rsid w:val="00441790"/>
    <w:rsid w:val="004443CE"/>
    <w:rsid w:val="004506B4"/>
    <w:rsid w:val="00452199"/>
    <w:rsid w:val="0045242F"/>
    <w:rsid w:val="00452477"/>
    <w:rsid w:val="004544BD"/>
    <w:rsid w:val="004566E5"/>
    <w:rsid w:val="004573C9"/>
    <w:rsid w:val="004622FF"/>
    <w:rsid w:val="004631E0"/>
    <w:rsid w:val="00467870"/>
    <w:rsid w:val="00472BB2"/>
    <w:rsid w:val="0047324E"/>
    <w:rsid w:val="00477742"/>
    <w:rsid w:val="004815B0"/>
    <w:rsid w:val="00481B85"/>
    <w:rsid w:val="00483FEA"/>
    <w:rsid w:val="00484A47"/>
    <w:rsid w:val="00485156"/>
    <w:rsid w:val="0048617D"/>
    <w:rsid w:val="0049091E"/>
    <w:rsid w:val="004921B0"/>
    <w:rsid w:val="00493025"/>
    <w:rsid w:val="00493187"/>
    <w:rsid w:val="00493646"/>
    <w:rsid w:val="004943EE"/>
    <w:rsid w:val="00496D80"/>
    <w:rsid w:val="004A379D"/>
    <w:rsid w:val="004B037E"/>
    <w:rsid w:val="004B30B0"/>
    <w:rsid w:val="004B4BAB"/>
    <w:rsid w:val="004B63F3"/>
    <w:rsid w:val="004C1C74"/>
    <w:rsid w:val="004C292B"/>
    <w:rsid w:val="004C6E41"/>
    <w:rsid w:val="004C7DEB"/>
    <w:rsid w:val="004D1053"/>
    <w:rsid w:val="004D11B5"/>
    <w:rsid w:val="004D48ED"/>
    <w:rsid w:val="004D667C"/>
    <w:rsid w:val="004D7007"/>
    <w:rsid w:val="004D7892"/>
    <w:rsid w:val="004E0333"/>
    <w:rsid w:val="004E589F"/>
    <w:rsid w:val="004E7974"/>
    <w:rsid w:val="004F4465"/>
    <w:rsid w:val="004F684F"/>
    <w:rsid w:val="00500C50"/>
    <w:rsid w:val="005033A4"/>
    <w:rsid w:val="005047D3"/>
    <w:rsid w:val="005111C2"/>
    <w:rsid w:val="00512F92"/>
    <w:rsid w:val="00513579"/>
    <w:rsid w:val="00514870"/>
    <w:rsid w:val="00516937"/>
    <w:rsid w:val="00520CE8"/>
    <w:rsid w:val="005245D8"/>
    <w:rsid w:val="00525107"/>
    <w:rsid w:val="00526769"/>
    <w:rsid w:val="0053020F"/>
    <w:rsid w:val="0053284A"/>
    <w:rsid w:val="0053450C"/>
    <w:rsid w:val="00540019"/>
    <w:rsid w:val="00540ED4"/>
    <w:rsid w:val="0054148B"/>
    <w:rsid w:val="0055121C"/>
    <w:rsid w:val="005545CB"/>
    <w:rsid w:val="00554B4F"/>
    <w:rsid w:val="00556F2F"/>
    <w:rsid w:val="005609F8"/>
    <w:rsid w:val="00560C94"/>
    <w:rsid w:val="00563E13"/>
    <w:rsid w:val="005708BD"/>
    <w:rsid w:val="0057159D"/>
    <w:rsid w:val="00574384"/>
    <w:rsid w:val="00576F68"/>
    <w:rsid w:val="0058581F"/>
    <w:rsid w:val="00585D04"/>
    <w:rsid w:val="005872B0"/>
    <w:rsid w:val="00587E8E"/>
    <w:rsid w:val="00595337"/>
    <w:rsid w:val="00596472"/>
    <w:rsid w:val="005A12BE"/>
    <w:rsid w:val="005A15D4"/>
    <w:rsid w:val="005A27D5"/>
    <w:rsid w:val="005A2AD7"/>
    <w:rsid w:val="005B38FC"/>
    <w:rsid w:val="005B71A0"/>
    <w:rsid w:val="005C0B5F"/>
    <w:rsid w:val="005C22C8"/>
    <w:rsid w:val="005C268D"/>
    <w:rsid w:val="005C2DE9"/>
    <w:rsid w:val="005C6CAC"/>
    <w:rsid w:val="005D229C"/>
    <w:rsid w:val="005D2453"/>
    <w:rsid w:val="005D5B48"/>
    <w:rsid w:val="005D6642"/>
    <w:rsid w:val="005D6E23"/>
    <w:rsid w:val="005E0F64"/>
    <w:rsid w:val="005E5AB6"/>
    <w:rsid w:val="005E684F"/>
    <w:rsid w:val="005E6952"/>
    <w:rsid w:val="005E71A6"/>
    <w:rsid w:val="005F3FF5"/>
    <w:rsid w:val="005F6537"/>
    <w:rsid w:val="005F6575"/>
    <w:rsid w:val="00601146"/>
    <w:rsid w:val="00601CEF"/>
    <w:rsid w:val="00603B5F"/>
    <w:rsid w:val="006072F5"/>
    <w:rsid w:val="0060734D"/>
    <w:rsid w:val="006075FE"/>
    <w:rsid w:val="0061008E"/>
    <w:rsid w:val="006131FC"/>
    <w:rsid w:val="00623E18"/>
    <w:rsid w:val="0062411F"/>
    <w:rsid w:val="00625344"/>
    <w:rsid w:val="00625733"/>
    <w:rsid w:val="00625910"/>
    <w:rsid w:val="006261DB"/>
    <w:rsid w:val="00627FA5"/>
    <w:rsid w:val="006325A4"/>
    <w:rsid w:val="00635896"/>
    <w:rsid w:val="0063675B"/>
    <w:rsid w:val="00637FD0"/>
    <w:rsid w:val="00641E84"/>
    <w:rsid w:val="00643FB5"/>
    <w:rsid w:val="006479F7"/>
    <w:rsid w:val="00647B58"/>
    <w:rsid w:val="00650000"/>
    <w:rsid w:val="0065342D"/>
    <w:rsid w:val="00654EA2"/>
    <w:rsid w:val="0066417C"/>
    <w:rsid w:val="00664F46"/>
    <w:rsid w:val="00666E3E"/>
    <w:rsid w:val="0067186F"/>
    <w:rsid w:val="00673F27"/>
    <w:rsid w:val="00674241"/>
    <w:rsid w:val="006744E9"/>
    <w:rsid w:val="006746AE"/>
    <w:rsid w:val="00674C1B"/>
    <w:rsid w:val="0067648C"/>
    <w:rsid w:val="006770B2"/>
    <w:rsid w:val="00677E3D"/>
    <w:rsid w:val="0068512C"/>
    <w:rsid w:val="006856BE"/>
    <w:rsid w:val="00690B41"/>
    <w:rsid w:val="0069303B"/>
    <w:rsid w:val="006942F4"/>
    <w:rsid w:val="00695597"/>
    <w:rsid w:val="006A1483"/>
    <w:rsid w:val="006A159B"/>
    <w:rsid w:val="006A38DA"/>
    <w:rsid w:val="006A57C7"/>
    <w:rsid w:val="006A5B5F"/>
    <w:rsid w:val="006A77C0"/>
    <w:rsid w:val="006B60DB"/>
    <w:rsid w:val="006C3756"/>
    <w:rsid w:val="006C7DB9"/>
    <w:rsid w:val="006D2472"/>
    <w:rsid w:val="006D2FDB"/>
    <w:rsid w:val="006D3AC7"/>
    <w:rsid w:val="006D4A9D"/>
    <w:rsid w:val="006D5D6D"/>
    <w:rsid w:val="006D6142"/>
    <w:rsid w:val="006D7016"/>
    <w:rsid w:val="006E28BC"/>
    <w:rsid w:val="006E350A"/>
    <w:rsid w:val="006E4930"/>
    <w:rsid w:val="006E4DAB"/>
    <w:rsid w:val="006E624D"/>
    <w:rsid w:val="006E6737"/>
    <w:rsid w:val="006E7142"/>
    <w:rsid w:val="006F2C13"/>
    <w:rsid w:val="006F6EC7"/>
    <w:rsid w:val="00700042"/>
    <w:rsid w:val="00712D6A"/>
    <w:rsid w:val="00715AFB"/>
    <w:rsid w:val="007160CE"/>
    <w:rsid w:val="00717F23"/>
    <w:rsid w:val="007209F1"/>
    <w:rsid w:val="00724027"/>
    <w:rsid w:val="00734AD3"/>
    <w:rsid w:val="007355B5"/>
    <w:rsid w:val="00741D3A"/>
    <w:rsid w:val="007422FC"/>
    <w:rsid w:val="00744A9E"/>
    <w:rsid w:val="00747440"/>
    <w:rsid w:val="00747536"/>
    <w:rsid w:val="00751D33"/>
    <w:rsid w:val="00754E53"/>
    <w:rsid w:val="00756638"/>
    <w:rsid w:val="00756741"/>
    <w:rsid w:val="00761734"/>
    <w:rsid w:val="007637B4"/>
    <w:rsid w:val="00763B26"/>
    <w:rsid w:val="00765405"/>
    <w:rsid w:val="00773B5E"/>
    <w:rsid w:val="00773C23"/>
    <w:rsid w:val="00773CC4"/>
    <w:rsid w:val="007749A3"/>
    <w:rsid w:val="00774F46"/>
    <w:rsid w:val="0077799F"/>
    <w:rsid w:val="00783CC0"/>
    <w:rsid w:val="00787867"/>
    <w:rsid w:val="0079020C"/>
    <w:rsid w:val="00790EBD"/>
    <w:rsid w:val="007932B6"/>
    <w:rsid w:val="00793A1F"/>
    <w:rsid w:val="00794A01"/>
    <w:rsid w:val="00795246"/>
    <w:rsid w:val="00795493"/>
    <w:rsid w:val="007A505C"/>
    <w:rsid w:val="007A5916"/>
    <w:rsid w:val="007A69FA"/>
    <w:rsid w:val="007B0456"/>
    <w:rsid w:val="007B1B20"/>
    <w:rsid w:val="007B48FB"/>
    <w:rsid w:val="007C7260"/>
    <w:rsid w:val="007E0257"/>
    <w:rsid w:val="007E067C"/>
    <w:rsid w:val="007E7E51"/>
    <w:rsid w:val="007F0A75"/>
    <w:rsid w:val="007F0C18"/>
    <w:rsid w:val="007F17F8"/>
    <w:rsid w:val="007F1C1A"/>
    <w:rsid w:val="007F2193"/>
    <w:rsid w:val="007F3DED"/>
    <w:rsid w:val="007F51B2"/>
    <w:rsid w:val="007F65DE"/>
    <w:rsid w:val="00801173"/>
    <w:rsid w:val="00802423"/>
    <w:rsid w:val="008026E0"/>
    <w:rsid w:val="008033AD"/>
    <w:rsid w:val="00803B8F"/>
    <w:rsid w:val="008066A5"/>
    <w:rsid w:val="00810224"/>
    <w:rsid w:val="008114C7"/>
    <w:rsid w:val="00813A2E"/>
    <w:rsid w:val="008143BD"/>
    <w:rsid w:val="00815499"/>
    <w:rsid w:val="00815BE4"/>
    <w:rsid w:val="008211B9"/>
    <w:rsid w:val="00821299"/>
    <w:rsid w:val="008219EC"/>
    <w:rsid w:val="00830453"/>
    <w:rsid w:val="00830986"/>
    <w:rsid w:val="0083279F"/>
    <w:rsid w:val="00836068"/>
    <w:rsid w:val="00837AE0"/>
    <w:rsid w:val="00837EEF"/>
    <w:rsid w:val="00841574"/>
    <w:rsid w:val="00845112"/>
    <w:rsid w:val="00850853"/>
    <w:rsid w:val="00852B8B"/>
    <w:rsid w:val="00854493"/>
    <w:rsid w:val="0085640B"/>
    <w:rsid w:val="00860769"/>
    <w:rsid w:val="008618BB"/>
    <w:rsid w:val="008625EC"/>
    <w:rsid w:val="00871FD1"/>
    <w:rsid w:val="00875BDE"/>
    <w:rsid w:val="0087678C"/>
    <w:rsid w:val="00876C4C"/>
    <w:rsid w:val="00882FF3"/>
    <w:rsid w:val="00883F8C"/>
    <w:rsid w:val="008847C0"/>
    <w:rsid w:val="00885040"/>
    <w:rsid w:val="00892A26"/>
    <w:rsid w:val="00894781"/>
    <w:rsid w:val="00894A43"/>
    <w:rsid w:val="00896D6D"/>
    <w:rsid w:val="008A46B3"/>
    <w:rsid w:val="008A49F1"/>
    <w:rsid w:val="008A50A8"/>
    <w:rsid w:val="008A53D0"/>
    <w:rsid w:val="008A6271"/>
    <w:rsid w:val="008A71BE"/>
    <w:rsid w:val="008A72F5"/>
    <w:rsid w:val="008A7951"/>
    <w:rsid w:val="008B39C2"/>
    <w:rsid w:val="008B5115"/>
    <w:rsid w:val="008C0190"/>
    <w:rsid w:val="008C1C9A"/>
    <w:rsid w:val="008C32A7"/>
    <w:rsid w:val="008D06CF"/>
    <w:rsid w:val="008E0AD8"/>
    <w:rsid w:val="008E51EB"/>
    <w:rsid w:val="008E59C1"/>
    <w:rsid w:val="008E5C76"/>
    <w:rsid w:val="008E74A8"/>
    <w:rsid w:val="008F1134"/>
    <w:rsid w:val="008F3CF4"/>
    <w:rsid w:val="00903028"/>
    <w:rsid w:val="00903908"/>
    <w:rsid w:val="00904A98"/>
    <w:rsid w:val="0090531B"/>
    <w:rsid w:val="00916C51"/>
    <w:rsid w:val="00920424"/>
    <w:rsid w:val="009236EF"/>
    <w:rsid w:val="009273B9"/>
    <w:rsid w:val="00930C8B"/>
    <w:rsid w:val="00935CB4"/>
    <w:rsid w:val="00942505"/>
    <w:rsid w:val="0094351D"/>
    <w:rsid w:val="00943B7D"/>
    <w:rsid w:val="009452DA"/>
    <w:rsid w:val="009473EA"/>
    <w:rsid w:val="00954311"/>
    <w:rsid w:val="00954B29"/>
    <w:rsid w:val="009571FD"/>
    <w:rsid w:val="00957D86"/>
    <w:rsid w:val="00960B97"/>
    <w:rsid w:val="00961483"/>
    <w:rsid w:val="00961EDE"/>
    <w:rsid w:val="00964D0A"/>
    <w:rsid w:val="0097108C"/>
    <w:rsid w:val="0097155B"/>
    <w:rsid w:val="00972D79"/>
    <w:rsid w:val="00973DEB"/>
    <w:rsid w:val="0097418D"/>
    <w:rsid w:val="009759DF"/>
    <w:rsid w:val="00986E42"/>
    <w:rsid w:val="009918B1"/>
    <w:rsid w:val="00992729"/>
    <w:rsid w:val="00992943"/>
    <w:rsid w:val="00992FA0"/>
    <w:rsid w:val="00994610"/>
    <w:rsid w:val="00996E29"/>
    <w:rsid w:val="00997F49"/>
    <w:rsid w:val="009A23E9"/>
    <w:rsid w:val="009A62C0"/>
    <w:rsid w:val="009B0D74"/>
    <w:rsid w:val="009B2257"/>
    <w:rsid w:val="009B3073"/>
    <w:rsid w:val="009B3144"/>
    <w:rsid w:val="009B3CCB"/>
    <w:rsid w:val="009B3F2D"/>
    <w:rsid w:val="009C11F3"/>
    <w:rsid w:val="009C189F"/>
    <w:rsid w:val="009C2A44"/>
    <w:rsid w:val="009C32DC"/>
    <w:rsid w:val="009D0C41"/>
    <w:rsid w:val="009D6AB3"/>
    <w:rsid w:val="009E0A4D"/>
    <w:rsid w:val="009E38E3"/>
    <w:rsid w:val="009E394C"/>
    <w:rsid w:val="009E65B4"/>
    <w:rsid w:val="009F212F"/>
    <w:rsid w:val="00A003DE"/>
    <w:rsid w:val="00A06AF0"/>
    <w:rsid w:val="00A20912"/>
    <w:rsid w:val="00A20D6D"/>
    <w:rsid w:val="00A215EA"/>
    <w:rsid w:val="00A257E7"/>
    <w:rsid w:val="00A26191"/>
    <w:rsid w:val="00A27A26"/>
    <w:rsid w:val="00A37513"/>
    <w:rsid w:val="00A3794A"/>
    <w:rsid w:val="00A40DC0"/>
    <w:rsid w:val="00A41589"/>
    <w:rsid w:val="00A4299B"/>
    <w:rsid w:val="00A45151"/>
    <w:rsid w:val="00A45843"/>
    <w:rsid w:val="00A4648A"/>
    <w:rsid w:val="00A4691D"/>
    <w:rsid w:val="00A473EE"/>
    <w:rsid w:val="00A5042E"/>
    <w:rsid w:val="00A511F6"/>
    <w:rsid w:val="00A51B45"/>
    <w:rsid w:val="00A53538"/>
    <w:rsid w:val="00A57954"/>
    <w:rsid w:val="00A61F9F"/>
    <w:rsid w:val="00A639CB"/>
    <w:rsid w:val="00A66883"/>
    <w:rsid w:val="00A743B7"/>
    <w:rsid w:val="00A74DDD"/>
    <w:rsid w:val="00A76268"/>
    <w:rsid w:val="00A776B8"/>
    <w:rsid w:val="00A81563"/>
    <w:rsid w:val="00A82971"/>
    <w:rsid w:val="00A82FF7"/>
    <w:rsid w:val="00A83250"/>
    <w:rsid w:val="00A90AEC"/>
    <w:rsid w:val="00A92B1D"/>
    <w:rsid w:val="00A9572A"/>
    <w:rsid w:val="00A96F00"/>
    <w:rsid w:val="00AA1E7B"/>
    <w:rsid w:val="00AA3E6D"/>
    <w:rsid w:val="00AA51D5"/>
    <w:rsid w:val="00AA61C7"/>
    <w:rsid w:val="00AB1169"/>
    <w:rsid w:val="00AB3842"/>
    <w:rsid w:val="00AC25BE"/>
    <w:rsid w:val="00AC41F5"/>
    <w:rsid w:val="00AC4407"/>
    <w:rsid w:val="00AC5886"/>
    <w:rsid w:val="00AD1BDF"/>
    <w:rsid w:val="00AD3091"/>
    <w:rsid w:val="00AD33CB"/>
    <w:rsid w:val="00AD4CC8"/>
    <w:rsid w:val="00AD7FBD"/>
    <w:rsid w:val="00AE1BAA"/>
    <w:rsid w:val="00AE2EDD"/>
    <w:rsid w:val="00AF17C2"/>
    <w:rsid w:val="00AF37EF"/>
    <w:rsid w:val="00AF3AF4"/>
    <w:rsid w:val="00AF4107"/>
    <w:rsid w:val="00AF7ACD"/>
    <w:rsid w:val="00B00FE1"/>
    <w:rsid w:val="00B04CD8"/>
    <w:rsid w:val="00B106D3"/>
    <w:rsid w:val="00B1264D"/>
    <w:rsid w:val="00B12BA7"/>
    <w:rsid w:val="00B1390F"/>
    <w:rsid w:val="00B14291"/>
    <w:rsid w:val="00B14655"/>
    <w:rsid w:val="00B1512D"/>
    <w:rsid w:val="00B1600B"/>
    <w:rsid w:val="00B16061"/>
    <w:rsid w:val="00B25574"/>
    <w:rsid w:val="00B30743"/>
    <w:rsid w:val="00B3347B"/>
    <w:rsid w:val="00B34439"/>
    <w:rsid w:val="00B35E17"/>
    <w:rsid w:val="00B3738D"/>
    <w:rsid w:val="00B406BA"/>
    <w:rsid w:val="00B41CE1"/>
    <w:rsid w:val="00B42D74"/>
    <w:rsid w:val="00B448F0"/>
    <w:rsid w:val="00B45165"/>
    <w:rsid w:val="00B4584C"/>
    <w:rsid w:val="00B530C0"/>
    <w:rsid w:val="00B5358A"/>
    <w:rsid w:val="00B567DA"/>
    <w:rsid w:val="00B60A95"/>
    <w:rsid w:val="00B60F10"/>
    <w:rsid w:val="00B61B2A"/>
    <w:rsid w:val="00B62716"/>
    <w:rsid w:val="00B66C03"/>
    <w:rsid w:val="00B67FC5"/>
    <w:rsid w:val="00B72AF0"/>
    <w:rsid w:val="00B732DB"/>
    <w:rsid w:val="00B74C89"/>
    <w:rsid w:val="00B834EE"/>
    <w:rsid w:val="00B85212"/>
    <w:rsid w:val="00B921D8"/>
    <w:rsid w:val="00B946D1"/>
    <w:rsid w:val="00B97789"/>
    <w:rsid w:val="00BA1B2D"/>
    <w:rsid w:val="00BA7515"/>
    <w:rsid w:val="00BB13C2"/>
    <w:rsid w:val="00BB1EE3"/>
    <w:rsid w:val="00BB2B79"/>
    <w:rsid w:val="00BB62D2"/>
    <w:rsid w:val="00BC161F"/>
    <w:rsid w:val="00BC76B5"/>
    <w:rsid w:val="00BC7EA5"/>
    <w:rsid w:val="00BD1036"/>
    <w:rsid w:val="00BE0CD9"/>
    <w:rsid w:val="00BE0EA9"/>
    <w:rsid w:val="00BE255B"/>
    <w:rsid w:val="00BE339F"/>
    <w:rsid w:val="00BE53A7"/>
    <w:rsid w:val="00BE70E5"/>
    <w:rsid w:val="00BE7754"/>
    <w:rsid w:val="00BE7EEC"/>
    <w:rsid w:val="00BF4B10"/>
    <w:rsid w:val="00C01603"/>
    <w:rsid w:val="00C01ABA"/>
    <w:rsid w:val="00C01E20"/>
    <w:rsid w:val="00C026A5"/>
    <w:rsid w:val="00C02F9F"/>
    <w:rsid w:val="00C04714"/>
    <w:rsid w:val="00C04DCB"/>
    <w:rsid w:val="00C05384"/>
    <w:rsid w:val="00C059E0"/>
    <w:rsid w:val="00C0787E"/>
    <w:rsid w:val="00C10382"/>
    <w:rsid w:val="00C119DE"/>
    <w:rsid w:val="00C16DED"/>
    <w:rsid w:val="00C20120"/>
    <w:rsid w:val="00C20A54"/>
    <w:rsid w:val="00C24024"/>
    <w:rsid w:val="00C26656"/>
    <w:rsid w:val="00C26D1E"/>
    <w:rsid w:val="00C26E7F"/>
    <w:rsid w:val="00C30256"/>
    <w:rsid w:val="00C3369F"/>
    <w:rsid w:val="00C34568"/>
    <w:rsid w:val="00C35138"/>
    <w:rsid w:val="00C42C9D"/>
    <w:rsid w:val="00C42D0A"/>
    <w:rsid w:val="00C4312E"/>
    <w:rsid w:val="00C44189"/>
    <w:rsid w:val="00C4669A"/>
    <w:rsid w:val="00C474FA"/>
    <w:rsid w:val="00C5408B"/>
    <w:rsid w:val="00C5650B"/>
    <w:rsid w:val="00C606A6"/>
    <w:rsid w:val="00C61294"/>
    <w:rsid w:val="00C62A12"/>
    <w:rsid w:val="00C62D43"/>
    <w:rsid w:val="00C642CF"/>
    <w:rsid w:val="00C65B99"/>
    <w:rsid w:val="00C66C6E"/>
    <w:rsid w:val="00C70E2D"/>
    <w:rsid w:val="00C72688"/>
    <w:rsid w:val="00C7330B"/>
    <w:rsid w:val="00C73B54"/>
    <w:rsid w:val="00C75438"/>
    <w:rsid w:val="00C82684"/>
    <w:rsid w:val="00C8373D"/>
    <w:rsid w:val="00C84D0F"/>
    <w:rsid w:val="00C84DB5"/>
    <w:rsid w:val="00C861F3"/>
    <w:rsid w:val="00C8621C"/>
    <w:rsid w:val="00C8695F"/>
    <w:rsid w:val="00C870DB"/>
    <w:rsid w:val="00C872A8"/>
    <w:rsid w:val="00C908FD"/>
    <w:rsid w:val="00C90A92"/>
    <w:rsid w:val="00C91EE2"/>
    <w:rsid w:val="00C922F4"/>
    <w:rsid w:val="00C92534"/>
    <w:rsid w:val="00C93E4D"/>
    <w:rsid w:val="00CA180E"/>
    <w:rsid w:val="00CA3474"/>
    <w:rsid w:val="00CA5DB3"/>
    <w:rsid w:val="00CB12E8"/>
    <w:rsid w:val="00CB4848"/>
    <w:rsid w:val="00CB6E70"/>
    <w:rsid w:val="00CB7E6A"/>
    <w:rsid w:val="00CC2731"/>
    <w:rsid w:val="00CC3B2F"/>
    <w:rsid w:val="00CC71F2"/>
    <w:rsid w:val="00CD2419"/>
    <w:rsid w:val="00CD5E80"/>
    <w:rsid w:val="00CE05FE"/>
    <w:rsid w:val="00CE1BC5"/>
    <w:rsid w:val="00CE4C0C"/>
    <w:rsid w:val="00CE4F34"/>
    <w:rsid w:val="00CF36A9"/>
    <w:rsid w:val="00CF3D3C"/>
    <w:rsid w:val="00CF50FE"/>
    <w:rsid w:val="00CF598B"/>
    <w:rsid w:val="00CF5AE7"/>
    <w:rsid w:val="00CF7731"/>
    <w:rsid w:val="00D01B20"/>
    <w:rsid w:val="00D03950"/>
    <w:rsid w:val="00D03F2F"/>
    <w:rsid w:val="00D0496A"/>
    <w:rsid w:val="00D04A17"/>
    <w:rsid w:val="00D04B87"/>
    <w:rsid w:val="00D05B93"/>
    <w:rsid w:val="00D12AEC"/>
    <w:rsid w:val="00D15B85"/>
    <w:rsid w:val="00D171C5"/>
    <w:rsid w:val="00D17B3A"/>
    <w:rsid w:val="00D17C2A"/>
    <w:rsid w:val="00D270E5"/>
    <w:rsid w:val="00D27DB6"/>
    <w:rsid w:val="00D30411"/>
    <w:rsid w:val="00D34B0F"/>
    <w:rsid w:val="00D36625"/>
    <w:rsid w:val="00D37420"/>
    <w:rsid w:val="00D42FA5"/>
    <w:rsid w:val="00D45952"/>
    <w:rsid w:val="00D4721D"/>
    <w:rsid w:val="00D4751E"/>
    <w:rsid w:val="00D5129F"/>
    <w:rsid w:val="00D52467"/>
    <w:rsid w:val="00D55008"/>
    <w:rsid w:val="00D55D52"/>
    <w:rsid w:val="00D55DE4"/>
    <w:rsid w:val="00D57164"/>
    <w:rsid w:val="00D61553"/>
    <w:rsid w:val="00D61D27"/>
    <w:rsid w:val="00D62C27"/>
    <w:rsid w:val="00D634A3"/>
    <w:rsid w:val="00D63D5D"/>
    <w:rsid w:val="00D64DFA"/>
    <w:rsid w:val="00D65EE0"/>
    <w:rsid w:val="00D67F8C"/>
    <w:rsid w:val="00D71DA2"/>
    <w:rsid w:val="00D76179"/>
    <w:rsid w:val="00D7628E"/>
    <w:rsid w:val="00D861AA"/>
    <w:rsid w:val="00D90661"/>
    <w:rsid w:val="00D92B94"/>
    <w:rsid w:val="00D93E45"/>
    <w:rsid w:val="00DA72C9"/>
    <w:rsid w:val="00DA745D"/>
    <w:rsid w:val="00DB404E"/>
    <w:rsid w:val="00DB427B"/>
    <w:rsid w:val="00DB5327"/>
    <w:rsid w:val="00DB575E"/>
    <w:rsid w:val="00DB59C5"/>
    <w:rsid w:val="00DB67F7"/>
    <w:rsid w:val="00DB686A"/>
    <w:rsid w:val="00DC0C02"/>
    <w:rsid w:val="00DC42A5"/>
    <w:rsid w:val="00DC60D9"/>
    <w:rsid w:val="00DC6129"/>
    <w:rsid w:val="00DD0B20"/>
    <w:rsid w:val="00DD1AD4"/>
    <w:rsid w:val="00DD1D46"/>
    <w:rsid w:val="00DD6636"/>
    <w:rsid w:val="00DD7066"/>
    <w:rsid w:val="00DE3D2C"/>
    <w:rsid w:val="00DE4EF1"/>
    <w:rsid w:val="00DE5CED"/>
    <w:rsid w:val="00DE7BD2"/>
    <w:rsid w:val="00DF3B17"/>
    <w:rsid w:val="00DF7095"/>
    <w:rsid w:val="00E01A06"/>
    <w:rsid w:val="00E04750"/>
    <w:rsid w:val="00E06043"/>
    <w:rsid w:val="00E07A17"/>
    <w:rsid w:val="00E07FAD"/>
    <w:rsid w:val="00E10A1F"/>
    <w:rsid w:val="00E10E5F"/>
    <w:rsid w:val="00E164E1"/>
    <w:rsid w:val="00E179B9"/>
    <w:rsid w:val="00E20FB0"/>
    <w:rsid w:val="00E25058"/>
    <w:rsid w:val="00E27B60"/>
    <w:rsid w:val="00E303F4"/>
    <w:rsid w:val="00E31E4A"/>
    <w:rsid w:val="00E337F2"/>
    <w:rsid w:val="00E35369"/>
    <w:rsid w:val="00E37A44"/>
    <w:rsid w:val="00E41E2F"/>
    <w:rsid w:val="00E44F1C"/>
    <w:rsid w:val="00E44F58"/>
    <w:rsid w:val="00E45C39"/>
    <w:rsid w:val="00E50FF1"/>
    <w:rsid w:val="00E52A40"/>
    <w:rsid w:val="00E53E5B"/>
    <w:rsid w:val="00E552B5"/>
    <w:rsid w:val="00E618A7"/>
    <w:rsid w:val="00E62785"/>
    <w:rsid w:val="00E64BF1"/>
    <w:rsid w:val="00E650FC"/>
    <w:rsid w:val="00E66361"/>
    <w:rsid w:val="00E6782A"/>
    <w:rsid w:val="00E713B8"/>
    <w:rsid w:val="00E73D9C"/>
    <w:rsid w:val="00E7628B"/>
    <w:rsid w:val="00E77843"/>
    <w:rsid w:val="00E855D8"/>
    <w:rsid w:val="00E905EB"/>
    <w:rsid w:val="00E90EB4"/>
    <w:rsid w:val="00E94469"/>
    <w:rsid w:val="00E94BAA"/>
    <w:rsid w:val="00E960E6"/>
    <w:rsid w:val="00E9799E"/>
    <w:rsid w:val="00EA05BF"/>
    <w:rsid w:val="00EA367D"/>
    <w:rsid w:val="00EA64C8"/>
    <w:rsid w:val="00EB0740"/>
    <w:rsid w:val="00EB201F"/>
    <w:rsid w:val="00EB2728"/>
    <w:rsid w:val="00EB3021"/>
    <w:rsid w:val="00EB353B"/>
    <w:rsid w:val="00EB368F"/>
    <w:rsid w:val="00EB3A2B"/>
    <w:rsid w:val="00EB49EF"/>
    <w:rsid w:val="00EB762F"/>
    <w:rsid w:val="00EC3804"/>
    <w:rsid w:val="00EC5C9E"/>
    <w:rsid w:val="00ED0881"/>
    <w:rsid w:val="00ED1342"/>
    <w:rsid w:val="00ED2DBB"/>
    <w:rsid w:val="00ED7ACA"/>
    <w:rsid w:val="00EE18FC"/>
    <w:rsid w:val="00EE2DE0"/>
    <w:rsid w:val="00EE56A4"/>
    <w:rsid w:val="00EE7463"/>
    <w:rsid w:val="00EF20B0"/>
    <w:rsid w:val="00F01C62"/>
    <w:rsid w:val="00F03B01"/>
    <w:rsid w:val="00F043C6"/>
    <w:rsid w:val="00F05FB1"/>
    <w:rsid w:val="00F10B4A"/>
    <w:rsid w:val="00F1149E"/>
    <w:rsid w:val="00F14966"/>
    <w:rsid w:val="00F17D83"/>
    <w:rsid w:val="00F223D6"/>
    <w:rsid w:val="00F3264C"/>
    <w:rsid w:val="00F33802"/>
    <w:rsid w:val="00F52414"/>
    <w:rsid w:val="00F54F10"/>
    <w:rsid w:val="00F5668D"/>
    <w:rsid w:val="00F60574"/>
    <w:rsid w:val="00F61998"/>
    <w:rsid w:val="00F62D86"/>
    <w:rsid w:val="00F65335"/>
    <w:rsid w:val="00F665E3"/>
    <w:rsid w:val="00F730AF"/>
    <w:rsid w:val="00F7570F"/>
    <w:rsid w:val="00F7751E"/>
    <w:rsid w:val="00F77E45"/>
    <w:rsid w:val="00F81FE6"/>
    <w:rsid w:val="00F85344"/>
    <w:rsid w:val="00F878E1"/>
    <w:rsid w:val="00F9586F"/>
    <w:rsid w:val="00F958FF"/>
    <w:rsid w:val="00F97C82"/>
    <w:rsid w:val="00FA0243"/>
    <w:rsid w:val="00FA066C"/>
    <w:rsid w:val="00FA08E5"/>
    <w:rsid w:val="00FA0C08"/>
    <w:rsid w:val="00FA3F1E"/>
    <w:rsid w:val="00FA7004"/>
    <w:rsid w:val="00FB26FC"/>
    <w:rsid w:val="00FB335E"/>
    <w:rsid w:val="00FB341F"/>
    <w:rsid w:val="00FB41EB"/>
    <w:rsid w:val="00FB46AF"/>
    <w:rsid w:val="00FB6065"/>
    <w:rsid w:val="00FC1E3C"/>
    <w:rsid w:val="00FC35AF"/>
    <w:rsid w:val="00FC3DD1"/>
    <w:rsid w:val="00FC7576"/>
    <w:rsid w:val="00FD0B7C"/>
    <w:rsid w:val="00FD38A9"/>
    <w:rsid w:val="00FE0358"/>
    <w:rsid w:val="00FE7D1C"/>
    <w:rsid w:val="00FF0E03"/>
    <w:rsid w:val="00FF0F03"/>
    <w:rsid w:val="00FF135A"/>
    <w:rsid w:val="00FF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4B2C4"/>
  <w15:chartTrackingRefBased/>
  <w15:docId w15:val="{01C01750-EE43-4921-AAAC-5D533EEE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4631E0"/>
    <w:pPr>
      <w:spacing w:after="240" w:line="240" w:lineRule="atLeast"/>
    </w:pPr>
    <w:rPr>
      <w:rFonts w:ascii="Georgia" w:eastAsia="Arial" w:hAnsi="Georgia" w:cs="Times New Roman"/>
      <w:sz w:val="20"/>
      <w:szCs w:val="20"/>
      <w:lang w:val="en-ZA"/>
    </w:rPr>
  </w:style>
  <w:style w:type="paragraph" w:styleId="Heading1">
    <w:name w:val="heading 1"/>
    <w:basedOn w:val="Normal"/>
    <w:next w:val="Heading2"/>
    <w:link w:val="Heading1Char"/>
    <w:uiPriority w:val="9"/>
    <w:qFormat/>
    <w:rsid w:val="004B63F3"/>
    <w:pPr>
      <w:keepNext/>
      <w:keepLines/>
      <w:numPr>
        <w:numId w:val="2"/>
      </w:numPr>
      <w:spacing w:after="480" w:line="600" w:lineRule="atLeast"/>
      <w:outlineLvl w:val="0"/>
    </w:pPr>
    <w:rPr>
      <w:rFonts w:eastAsia="Times New Roman"/>
      <w:b/>
      <w:bCs/>
      <w:i/>
      <w:sz w:val="56"/>
      <w:szCs w:val="28"/>
    </w:rPr>
  </w:style>
  <w:style w:type="paragraph" w:styleId="Heading2">
    <w:name w:val="heading 2"/>
    <w:basedOn w:val="Normal"/>
    <w:next w:val="BodyText"/>
    <w:link w:val="Heading2Char"/>
    <w:autoRedefine/>
    <w:uiPriority w:val="9"/>
    <w:qFormat/>
    <w:rsid w:val="00CF5AE7"/>
    <w:pPr>
      <w:keepNext/>
      <w:keepLines/>
      <w:numPr>
        <w:ilvl w:val="1"/>
        <w:numId w:val="2"/>
      </w:numPr>
      <w:spacing w:after="40" w:line="240" w:lineRule="auto"/>
      <w:outlineLvl w:val="1"/>
    </w:pPr>
    <w:rPr>
      <w:b/>
      <w:bCs/>
      <w:i/>
      <w:color w:val="A32020" w:themeColor="accent1"/>
      <w:sz w:val="36"/>
      <w:szCs w:val="26"/>
    </w:rPr>
  </w:style>
  <w:style w:type="paragraph" w:styleId="Heading3">
    <w:name w:val="heading 3"/>
    <w:basedOn w:val="Normal"/>
    <w:next w:val="BodyText"/>
    <w:link w:val="Heading3Char"/>
    <w:uiPriority w:val="9"/>
    <w:qFormat/>
    <w:rsid w:val="00285469"/>
    <w:pPr>
      <w:keepNext/>
      <w:keepLines/>
      <w:numPr>
        <w:ilvl w:val="2"/>
        <w:numId w:val="2"/>
      </w:numPr>
      <w:spacing w:after="40" w:line="240" w:lineRule="auto"/>
      <w:outlineLvl w:val="2"/>
    </w:pPr>
    <w:rPr>
      <w:rFonts w:eastAsia="Times New Roman"/>
      <w:bCs/>
      <w:i/>
      <w:color w:val="A32020" w:themeColor="text2"/>
      <w:sz w:val="32"/>
    </w:rPr>
  </w:style>
  <w:style w:type="paragraph" w:styleId="Heading4">
    <w:name w:val="heading 4"/>
    <w:basedOn w:val="Normal"/>
    <w:next w:val="Normal"/>
    <w:link w:val="Heading4Char"/>
    <w:uiPriority w:val="9"/>
    <w:unhideWhenUsed/>
    <w:qFormat/>
    <w:rsid w:val="00A743B7"/>
    <w:pPr>
      <w:keepNext/>
      <w:keepLines/>
      <w:numPr>
        <w:ilvl w:val="3"/>
        <w:numId w:val="2"/>
      </w:numPr>
      <w:spacing w:before="40" w:after="0"/>
      <w:outlineLvl w:val="3"/>
    </w:pPr>
    <w:rPr>
      <w:rFonts w:asciiTheme="majorHAnsi" w:eastAsiaTheme="majorEastAsia" w:hAnsiTheme="majorHAnsi" w:cstheme="majorBidi"/>
      <w:i/>
      <w:iCs/>
      <w:color w:val="7A1818" w:themeColor="accent1" w:themeShade="BF"/>
    </w:rPr>
  </w:style>
  <w:style w:type="paragraph" w:styleId="Heading5">
    <w:name w:val="heading 5"/>
    <w:basedOn w:val="Normal"/>
    <w:next w:val="BodyText"/>
    <w:link w:val="Heading5Char"/>
    <w:uiPriority w:val="9"/>
    <w:qFormat/>
    <w:rsid w:val="00285469"/>
    <w:pPr>
      <w:keepNext/>
      <w:keepLines/>
      <w:numPr>
        <w:ilvl w:val="4"/>
        <w:numId w:val="2"/>
      </w:numPr>
      <w:spacing w:after="40" w:line="240" w:lineRule="auto"/>
      <w:outlineLvl w:val="4"/>
    </w:pPr>
    <w:rPr>
      <w:rFonts w:eastAsia="Times New Roman"/>
      <w:color w:val="A32020" w:themeColor="text2"/>
    </w:rPr>
  </w:style>
  <w:style w:type="paragraph" w:styleId="Heading6">
    <w:name w:val="heading 6"/>
    <w:basedOn w:val="Normal"/>
    <w:next w:val="Normal"/>
    <w:link w:val="Heading6Char"/>
    <w:uiPriority w:val="9"/>
    <w:semiHidden/>
    <w:unhideWhenUsed/>
    <w:qFormat/>
    <w:rsid w:val="00A743B7"/>
    <w:pPr>
      <w:keepNext/>
      <w:keepLines/>
      <w:numPr>
        <w:ilvl w:val="5"/>
        <w:numId w:val="2"/>
      </w:numPr>
      <w:spacing w:before="40" w:after="0"/>
      <w:outlineLvl w:val="5"/>
    </w:pPr>
    <w:rPr>
      <w:rFonts w:asciiTheme="majorHAnsi" w:eastAsiaTheme="majorEastAsia" w:hAnsiTheme="majorHAnsi" w:cstheme="majorBidi"/>
      <w:color w:val="511010" w:themeColor="accent1" w:themeShade="7F"/>
    </w:rPr>
  </w:style>
  <w:style w:type="paragraph" w:styleId="Heading7">
    <w:name w:val="heading 7"/>
    <w:basedOn w:val="Normal"/>
    <w:next w:val="Normal"/>
    <w:link w:val="Heading7Char"/>
    <w:uiPriority w:val="9"/>
    <w:semiHidden/>
    <w:unhideWhenUsed/>
    <w:qFormat/>
    <w:rsid w:val="00343542"/>
    <w:pPr>
      <w:keepNext/>
      <w:keepLines/>
      <w:numPr>
        <w:ilvl w:val="6"/>
        <w:numId w:val="2"/>
      </w:numPr>
      <w:spacing w:before="40" w:after="0"/>
      <w:outlineLvl w:val="6"/>
    </w:pPr>
    <w:rPr>
      <w:rFonts w:asciiTheme="majorHAnsi" w:eastAsiaTheme="majorEastAsia" w:hAnsiTheme="majorHAnsi" w:cstheme="majorBidi"/>
      <w:i/>
      <w:iCs/>
      <w:color w:val="511010" w:themeColor="accent1" w:themeShade="7F"/>
    </w:rPr>
  </w:style>
  <w:style w:type="paragraph" w:styleId="Heading8">
    <w:name w:val="heading 8"/>
    <w:basedOn w:val="Normal"/>
    <w:next w:val="Normal"/>
    <w:link w:val="Heading8Char"/>
    <w:uiPriority w:val="9"/>
    <w:semiHidden/>
    <w:unhideWhenUsed/>
    <w:qFormat/>
    <w:rsid w:val="0034354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354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3F3"/>
    <w:rPr>
      <w:rFonts w:ascii="Georgia" w:eastAsia="Times New Roman" w:hAnsi="Georgia" w:cs="Times New Roman"/>
      <w:b/>
      <w:bCs/>
      <w:i/>
      <w:sz w:val="56"/>
      <w:szCs w:val="28"/>
      <w:lang w:val="en-ZA"/>
    </w:rPr>
  </w:style>
  <w:style w:type="character" w:customStyle="1" w:styleId="Heading2Char">
    <w:name w:val="Heading 2 Char"/>
    <w:basedOn w:val="DefaultParagraphFont"/>
    <w:link w:val="Heading2"/>
    <w:uiPriority w:val="9"/>
    <w:rsid w:val="00CF5AE7"/>
    <w:rPr>
      <w:rFonts w:ascii="Georgia" w:eastAsia="Arial" w:hAnsi="Georgia" w:cs="Times New Roman"/>
      <w:b/>
      <w:bCs/>
      <w:i/>
      <w:color w:val="A32020" w:themeColor="accent1"/>
      <w:sz w:val="36"/>
      <w:szCs w:val="26"/>
      <w:lang w:val="en-ZA"/>
    </w:rPr>
  </w:style>
  <w:style w:type="character" w:customStyle="1" w:styleId="Heading3Char">
    <w:name w:val="Heading 3 Char"/>
    <w:basedOn w:val="DefaultParagraphFont"/>
    <w:link w:val="Heading3"/>
    <w:uiPriority w:val="9"/>
    <w:rsid w:val="00285469"/>
    <w:rPr>
      <w:rFonts w:ascii="Georgia" w:eastAsia="Times New Roman" w:hAnsi="Georgia" w:cs="Times New Roman"/>
      <w:bCs/>
      <w:i/>
      <w:color w:val="A32020" w:themeColor="text2"/>
      <w:sz w:val="32"/>
      <w:szCs w:val="20"/>
      <w:lang w:val="en-ZA"/>
    </w:rPr>
  </w:style>
  <w:style w:type="character" w:customStyle="1" w:styleId="Heading5Char">
    <w:name w:val="Heading 5 Char"/>
    <w:basedOn w:val="DefaultParagraphFont"/>
    <w:link w:val="Heading5"/>
    <w:uiPriority w:val="9"/>
    <w:rsid w:val="00285469"/>
    <w:rPr>
      <w:rFonts w:ascii="Georgia" w:eastAsia="Times New Roman" w:hAnsi="Georgia" w:cs="Times New Roman"/>
      <w:color w:val="A32020" w:themeColor="text2"/>
      <w:sz w:val="20"/>
      <w:szCs w:val="20"/>
      <w:lang w:val="en-ZA"/>
    </w:rPr>
  </w:style>
  <w:style w:type="paragraph" w:styleId="BodyText">
    <w:name w:val="Body Text"/>
    <w:basedOn w:val="Normal"/>
    <w:link w:val="BodyTextChar"/>
    <w:unhideWhenUsed/>
    <w:qFormat/>
    <w:rsid w:val="004631E0"/>
  </w:style>
  <w:style w:type="character" w:customStyle="1" w:styleId="BodyTextChar">
    <w:name w:val="Body Text Char"/>
    <w:basedOn w:val="DefaultParagraphFont"/>
    <w:link w:val="BodyText"/>
    <w:rsid w:val="004631E0"/>
    <w:rPr>
      <w:rFonts w:ascii="Georgia" w:eastAsia="Arial" w:hAnsi="Georgia" w:cs="Times New Roman"/>
      <w:sz w:val="20"/>
      <w:szCs w:val="20"/>
      <w:lang w:val="en-GB"/>
    </w:rPr>
  </w:style>
  <w:style w:type="paragraph" w:styleId="Header">
    <w:name w:val="header"/>
    <w:basedOn w:val="Normal"/>
    <w:link w:val="HeaderChar"/>
    <w:uiPriority w:val="99"/>
    <w:unhideWhenUsed/>
    <w:rsid w:val="004631E0"/>
    <w:pPr>
      <w:spacing w:after="0" w:line="240" w:lineRule="auto"/>
    </w:pPr>
    <w:rPr>
      <w:rFonts w:ascii="Arial" w:hAnsi="Arial"/>
      <w:sz w:val="19"/>
    </w:rPr>
  </w:style>
  <w:style w:type="character" w:customStyle="1" w:styleId="HeaderChar">
    <w:name w:val="Header Char"/>
    <w:basedOn w:val="DefaultParagraphFont"/>
    <w:link w:val="Header"/>
    <w:uiPriority w:val="99"/>
    <w:rsid w:val="004631E0"/>
    <w:rPr>
      <w:rFonts w:ascii="Arial" w:eastAsia="Arial" w:hAnsi="Arial" w:cs="Times New Roman"/>
      <w:sz w:val="19"/>
      <w:szCs w:val="20"/>
      <w:lang w:val="en-GB"/>
    </w:rPr>
  </w:style>
  <w:style w:type="paragraph" w:styleId="Footer">
    <w:name w:val="footer"/>
    <w:basedOn w:val="Normal"/>
    <w:link w:val="FooterChar"/>
    <w:uiPriority w:val="99"/>
    <w:unhideWhenUsed/>
    <w:rsid w:val="004631E0"/>
    <w:pPr>
      <w:spacing w:after="0" w:line="240" w:lineRule="auto"/>
    </w:pPr>
    <w:rPr>
      <w:rFonts w:ascii="Arial" w:hAnsi="Arial"/>
      <w:sz w:val="19"/>
    </w:rPr>
  </w:style>
  <w:style w:type="character" w:customStyle="1" w:styleId="FooterChar">
    <w:name w:val="Footer Char"/>
    <w:basedOn w:val="DefaultParagraphFont"/>
    <w:link w:val="Footer"/>
    <w:uiPriority w:val="99"/>
    <w:rsid w:val="004631E0"/>
    <w:rPr>
      <w:rFonts w:ascii="Arial" w:eastAsia="Arial" w:hAnsi="Arial" w:cs="Times New Roman"/>
      <w:sz w:val="19"/>
      <w:szCs w:val="20"/>
      <w:lang w:val="en-GB"/>
    </w:rPr>
  </w:style>
  <w:style w:type="paragraph" w:styleId="Title">
    <w:name w:val="Title"/>
    <w:basedOn w:val="Normal"/>
    <w:next w:val="Subtitle"/>
    <w:link w:val="TitleChar"/>
    <w:uiPriority w:val="10"/>
    <w:qFormat/>
    <w:rsid w:val="004631E0"/>
    <w:pPr>
      <w:spacing w:after="0" w:line="240" w:lineRule="auto"/>
      <w:contextualSpacing/>
    </w:pPr>
    <w:rPr>
      <w:rFonts w:eastAsia="Times New Roman"/>
      <w:b/>
      <w:i/>
      <w:spacing w:val="5"/>
      <w:kern w:val="28"/>
      <w:sz w:val="80"/>
      <w:szCs w:val="52"/>
    </w:rPr>
  </w:style>
  <w:style w:type="character" w:customStyle="1" w:styleId="TitleChar">
    <w:name w:val="Title Char"/>
    <w:basedOn w:val="DefaultParagraphFont"/>
    <w:link w:val="Title"/>
    <w:uiPriority w:val="10"/>
    <w:rsid w:val="004631E0"/>
    <w:rPr>
      <w:rFonts w:ascii="Georgia" w:eastAsia="Times New Roman" w:hAnsi="Georgia" w:cs="Times New Roman"/>
      <w:b/>
      <w:i/>
      <w:spacing w:val="5"/>
      <w:kern w:val="28"/>
      <w:sz w:val="80"/>
      <w:szCs w:val="52"/>
      <w:lang w:val="en-GB"/>
    </w:rPr>
  </w:style>
  <w:style w:type="paragraph" w:styleId="Subtitle">
    <w:name w:val="Subtitle"/>
    <w:basedOn w:val="Normal"/>
    <w:next w:val="Normal"/>
    <w:link w:val="SubtitleChar"/>
    <w:uiPriority w:val="11"/>
    <w:qFormat/>
    <w:rsid w:val="004631E0"/>
    <w:pPr>
      <w:numPr>
        <w:ilvl w:val="1"/>
      </w:numPr>
      <w:spacing w:after="1200" w:line="240" w:lineRule="auto"/>
    </w:pPr>
    <w:rPr>
      <w:rFonts w:eastAsia="Times New Roman"/>
      <w:iCs/>
      <w:spacing w:val="15"/>
      <w:sz w:val="80"/>
      <w:szCs w:val="24"/>
    </w:rPr>
  </w:style>
  <w:style w:type="character" w:customStyle="1" w:styleId="SubtitleChar">
    <w:name w:val="Subtitle Char"/>
    <w:basedOn w:val="DefaultParagraphFont"/>
    <w:link w:val="Subtitle"/>
    <w:uiPriority w:val="11"/>
    <w:rsid w:val="004631E0"/>
    <w:rPr>
      <w:rFonts w:ascii="Georgia" w:eastAsia="Times New Roman" w:hAnsi="Georgia" w:cs="Times New Roman"/>
      <w:iCs/>
      <w:spacing w:val="15"/>
      <w:sz w:val="80"/>
      <w:szCs w:val="24"/>
      <w:lang w:val="en-GB"/>
    </w:rPr>
  </w:style>
  <w:style w:type="paragraph" w:styleId="TOC1">
    <w:name w:val="toc 1"/>
    <w:basedOn w:val="Normal"/>
    <w:next w:val="Normal"/>
    <w:autoRedefine/>
    <w:uiPriority w:val="39"/>
    <w:unhideWhenUsed/>
    <w:rsid w:val="000853DD"/>
    <w:pPr>
      <w:pBdr>
        <w:top w:val="single" w:sz="8" w:space="4" w:color="DC6900"/>
      </w:pBdr>
      <w:tabs>
        <w:tab w:val="right" w:pos="9854"/>
      </w:tabs>
      <w:spacing w:before="120" w:after="120"/>
      <w:ind w:left="284" w:hanging="284"/>
    </w:pPr>
  </w:style>
  <w:style w:type="paragraph" w:styleId="TOC2">
    <w:name w:val="toc 2"/>
    <w:basedOn w:val="Normal"/>
    <w:next w:val="Normal"/>
    <w:autoRedefine/>
    <w:uiPriority w:val="39"/>
    <w:unhideWhenUsed/>
    <w:rsid w:val="004631E0"/>
    <w:pPr>
      <w:pBdr>
        <w:top w:val="dotted" w:sz="8" w:space="4" w:color="DC6900"/>
      </w:pBdr>
      <w:spacing w:before="120" w:after="120"/>
      <w:ind w:left="284" w:hanging="284"/>
    </w:pPr>
  </w:style>
  <w:style w:type="character" w:styleId="Hyperlink">
    <w:name w:val="Hyperlink"/>
    <w:uiPriority w:val="99"/>
    <w:unhideWhenUsed/>
    <w:rsid w:val="004631E0"/>
    <w:rPr>
      <w:color w:val="0000FF"/>
      <w:u w:val="single"/>
    </w:rPr>
  </w:style>
  <w:style w:type="paragraph" w:styleId="TOC5">
    <w:name w:val="toc 5"/>
    <w:basedOn w:val="Normal"/>
    <w:next w:val="Normal"/>
    <w:autoRedefine/>
    <w:uiPriority w:val="39"/>
    <w:unhideWhenUsed/>
    <w:rsid w:val="004631E0"/>
    <w:pPr>
      <w:spacing w:after="120"/>
      <w:ind w:left="1135" w:hanging="284"/>
    </w:pPr>
  </w:style>
  <w:style w:type="character" w:styleId="Emphasis">
    <w:name w:val="Emphasis"/>
    <w:uiPriority w:val="20"/>
    <w:qFormat/>
    <w:rsid w:val="004631E0"/>
    <w:rPr>
      <w:i/>
      <w:iCs/>
    </w:rPr>
  </w:style>
  <w:style w:type="character" w:styleId="CommentReference">
    <w:name w:val="annotation reference"/>
    <w:uiPriority w:val="99"/>
    <w:semiHidden/>
    <w:unhideWhenUsed/>
    <w:rsid w:val="004631E0"/>
    <w:rPr>
      <w:sz w:val="16"/>
      <w:szCs w:val="16"/>
    </w:rPr>
  </w:style>
  <w:style w:type="paragraph" w:styleId="CommentText">
    <w:name w:val="annotation text"/>
    <w:basedOn w:val="Normal"/>
    <w:link w:val="CommentTextChar"/>
    <w:uiPriority w:val="99"/>
    <w:semiHidden/>
    <w:unhideWhenUsed/>
    <w:rsid w:val="004631E0"/>
  </w:style>
  <w:style w:type="character" w:customStyle="1" w:styleId="CommentTextChar">
    <w:name w:val="Comment Text Char"/>
    <w:basedOn w:val="DefaultParagraphFont"/>
    <w:link w:val="CommentText"/>
    <w:uiPriority w:val="99"/>
    <w:semiHidden/>
    <w:rsid w:val="004631E0"/>
    <w:rPr>
      <w:rFonts w:ascii="Georgia" w:eastAsia="Arial" w:hAnsi="Georgia" w:cs="Times New Roman"/>
      <w:sz w:val="20"/>
      <w:szCs w:val="20"/>
      <w:lang w:val="en-GB"/>
    </w:rPr>
  </w:style>
  <w:style w:type="paragraph" w:styleId="FootnoteText">
    <w:name w:val="footnote text"/>
    <w:aliases w:val="Footnote Text Char Char,Footnote Text Char1 Char Char,Footnote Text Char Char Char Char,Footnote Text Char Char1,Footnote Text Riaan,DTE-Voetnoottekst,DTE-Voetnoottekst Char,fn,footnote text,Footnotes,Footnote ak,Footnote,Fußnotentextf"/>
    <w:basedOn w:val="Normal"/>
    <w:link w:val="FootnoteTextChar"/>
    <w:uiPriority w:val="99"/>
    <w:unhideWhenUsed/>
    <w:qFormat/>
    <w:rsid w:val="004631E0"/>
  </w:style>
  <w:style w:type="character" w:customStyle="1" w:styleId="FootnoteTextChar">
    <w:name w:val="Footnote Text Char"/>
    <w:aliases w:val="Footnote Text Char Char Char,Footnote Text Char1 Char Char Char,Footnote Text Char Char Char Char Char,Footnote Text Char Char1 Char,Footnote Text Riaan Char,DTE-Voetnoottekst Char1,DTE-Voetnoottekst Char Char,fn Char,Footnotes Char"/>
    <w:basedOn w:val="DefaultParagraphFont"/>
    <w:link w:val="FootnoteText"/>
    <w:uiPriority w:val="99"/>
    <w:rsid w:val="004631E0"/>
    <w:rPr>
      <w:rFonts w:ascii="Georgia" w:eastAsia="Arial" w:hAnsi="Georgia" w:cs="Times New Roman"/>
      <w:sz w:val="20"/>
      <w:szCs w:val="20"/>
      <w:lang w:val="en-GB"/>
    </w:rPr>
  </w:style>
  <w:style w:type="character" w:styleId="FootnoteReference">
    <w:name w:val="footnote reference"/>
    <w:aliases w:val="SUPERS,Ref,de nota al pie,(NECG) Footnote Reference,Footnotes refss"/>
    <w:uiPriority w:val="99"/>
    <w:unhideWhenUsed/>
    <w:rsid w:val="004631E0"/>
    <w:rPr>
      <w:vertAlign w:val="superscript"/>
    </w:rPr>
  </w:style>
  <w:style w:type="paragraph" w:styleId="Caption">
    <w:name w:val="caption"/>
    <w:basedOn w:val="Normal"/>
    <w:next w:val="Normal"/>
    <w:link w:val="CaptionChar"/>
    <w:uiPriority w:val="35"/>
    <w:unhideWhenUsed/>
    <w:qFormat/>
    <w:rsid w:val="00A66883"/>
    <w:rPr>
      <w:bCs/>
      <w:i/>
    </w:rPr>
  </w:style>
  <w:style w:type="paragraph" w:styleId="BalloonText">
    <w:name w:val="Balloon Text"/>
    <w:basedOn w:val="Normal"/>
    <w:link w:val="BalloonTextChar"/>
    <w:uiPriority w:val="99"/>
    <w:semiHidden/>
    <w:unhideWhenUsed/>
    <w:rsid w:val="00463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1E0"/>
    <w:rPr>
      <w:rFonts w:ascii="Segoe UI" w:eastAsia="Arial" w:hAnsi="Segoe UI" w:cs="Segoe UI"/>
      <w:sz w:val="18"/>
      <w:szCs w:val="18"/>
      <w:lang w:val="en-GB"/>
    </w:rPr>
  </w:style>
  <w:style w:type="table" w:styleId="TableGrid">
    <w:name w:val="Table Grid"/>
    <w:aliases w:val="Header Row,Schedules - Table Grid,Smart Text Table,Bordure,Header Table Grid,Bordure1,Bordure2,REMT"/>
    <w:basedOn w:val="TableNormal"/>
    <w:uiPriority w:val="39"/>
    <w:rsid w:val="00623E18"/>
    <w:pPr>
      <w:spacing w:after="0" w:line="240" w:lineRule="auto"/>
    </w:pPr>
    <w:rPr>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prebullet">
    <w:name w:val="Body text pre bullet"/>
    <w:basedOn w:val="Normal"/>
    <w:link w:val="BodytextprebulletChar"/>
    <w:qFormat/>
    <w:rsid w:val="00623E18"/>
    <w:pPr>
      <w:keepNext/>
      <w:spacing w:before="140" w:after="140" w:line="240" w:lineRule="auto"/>
    </w:pPr>
    <w:rPr>
      <w:rFonts w:eastAsiaTheme="minorHAnsi" w:cstheme="minorBidi"/>
      <w:color w:val="000000" w:themeColor="text1"/>
    </w:rPr>
  </w:style>
  <w:style w:type="character" w:customStyle="1" w:styleId="BodytextprebulletChar">
    <w:name w:val="Body text pre bullet Char"/>
    <w:basedOn w:val="DefaultParagraphFont"/>
    <w:link w:val="Bodytextprebullet"/>
    <w:rsid w:val="00623E18"/>
    <w:rPr>
      <w:rFonts w:ascii="Georgia" w:hAnsi="Georgia"/>
      <w:color w:val="000000" w:themeColor="text1"/>
      <w:sz w:val="20"/>
      <w:szCs w:val="20"/>
      <w:lang w:val="en-GB"/>
    </w:rPr>
  </w:style>
  <w:style w:type="table" w:styleId="ListTable1Light-Accent1">
    <w:name w:val="List Table 1 Light Accent 1"/>
    <w:basedOn w:val="TableNormal"/>
    <w:uiPriority w:val="46"/>
    <w:rsid w:val="00CF3D3C"/>
    <w:pPr>
      <w:spacing w:after="0" w:line="240" w:lineRule="auto"/>
    </w:pPr>
    <w:tblPr>
      <w:tblStyleRowBandSize w:val="1"/>
      <w:tblStyleColBandSize w:val="1"/>
    </w:tblPr>
    <w:tblStylePr w:type="firstRow">
      <w:rPr>
        <w:b/>
        <w:bCs/>
      </w:rPr>
      <w:tblPr/>
      <w:tcPr>
        <w:tcBorders>
          <w:bottom w:val="single" w:sz="4" w:space="0" w:color="E06161" w:themeColor="accent1" w:themeTint="99"/>
        </w:tcBorders>
      </w:tcPr>
    </w:tblStylePr>
    <w:tblStylePr w:type="lastRow">
      <w:rPr>
        <w:b/>
        <w:bCs/>
      </w:rPr>
      <w:tblPr/>
      <w:tcPr>
        <w:tcBorders>
          <w:top w:val="single" w:sz="4" w:space="0" w:color="E06161" w:themeColor="accent1" w:themeTint="99"/>
        </w:tcBorders>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paragraph" w:styleId="CommentSubject">
    <w:name w:val="annotation subject"/>
    <w:basedOn w:val="CommentText"/>
    <w:next w:val="CommentText"/>
    <w:link w:val="CommentSubjectChar"/>
    <w:uiPriority w:val="99"/>
    <w:semiHidden/>
    <w:unhideWhenUsed/>
    <w:rsid w:val="00182131"/>
    <w:pPr>
      <w:spacing w:line="240" w:lineRule="auto"/>
    </w:pPr>
    <w:rPr>
      <w:b/>
      <w:bCs/>
    </w:rPr>
  </w:style>
  <w:style w:type="character" w:customStyle="1" w:styleId="CommentSubjectChar">
    <w:name w:val="Comment Subject Char"/>
    <w:basedOn w:val="CommentTextChar"/>
    <w:link w:val="CommentSubject"/>
    <w:uiPriority w:val="99"/>
    <w:semiHidden/>
    <w:rsid w:val="00182131"/>
    <w:rPr>
      <w:rFonts w:ascii="Georgia" w:eastAsia="Arial" w:hAnsi="Georgia" w:cs="Times New Roman"/>
      <w:b/>
      <w:bCs/>
      <w:sz w:val="20"/>
      <w:szCs w:val="20"/>
      <w:lang w:val="en-GB"/>
    </w:rPr>
  </w:style>
  <w:style w:type="character" w:customStyle="1" w:styleId="Heading6Char">
    <w:name w:val="Heading 6 Char"/>
    <w:basedOn w:val="DefaultParagraphFont"/>
    <w:link w:val="Heading6"/>
    <w:uiPriority w:val="9"/>
    <w:semiHidden/>
    <w:rsid w:val="00A743B7"/>
    <w:rPr>
      <w:rFonts w:asciiTheme="majorHAnsi" w:eastAsiaTheme="majorEastAsia" w:hAnsiTheme="majorHAnsi" w:cstheme="majorBidi"/>
      <w:color w:val="511010" w:themeColor="accent1" w:themeShade="7F"/>
      <w:sz w:val="20"/>
      <w:szCs w:val="20"/>
      <w:lang w:val="en-ZA"/>
    </w:rPr>
  </w:style>
  <w:style w:type="paragraph" w:customStyle="1" w:styleId="BodySingle">
    <w:name w:val="Body Single"/>
    <w:basedOn w:val="BodyText"/>
    <w:link w:val="BodySingleChar"/>
    <w:uiPriority w:val="1"/>
    <w:qFormat/>
    <w:rsid w:val="00A743B7"/>
    <w:pPr>
      <w:spacing w:after="0"/>
    </w:pPr>
  </w:style>
  <w:style w:type="character" w:customStyle="1" w:styleId="BodySingleChar">
    <w:name w:val="Body Single Char"/>
    <w:basedOn w:val="BodyTextChar"/>
    <w:link w:val="BodySingle"/>
    <w:uiPriority w:val="1"/>
    <w:rsid w:val="00A743B7"/>
    <w:rPr>
      <w:rFonts w:ascii="Georgia" w:eastAsia="Arial" w:hAnsi="Georgia" w:cs="Times New Roman"/>
      <w:sz w:val="20"/>
      <w:szCs w:val="20"/>
      <w:lang w:val="en-GB"/>
    </w:rPr>
  </w:style>
  <w:style w:type="character" w:customStyle="1" w:styleId="Heading4Char">
    <w:name w:val="Heading 4 Char"/>
    <w:basedOn w:val="DefaultParagraphFont"/>
    <w:link w:val="Heading4"/>
    <w:uiPriority w:val="9"/>
    <w:rsid w:val="00A743B7"/>
    <w:rPr>
      <w:rFonts w:asciiTheme="majorHAnsi" w:eastAsiaTheme="majorEastAsia" w:hAnsiTheme="majorHAnsi" w:cstheme="majorBidi"/>
      <w:i/>
      <w:iCs/>
      <w:color w:val="7A1818" w:themeColor="accent1" w:themeShade="BF"/>
      <w:sz w:val="20"/>
      <w:szCs w:val="20"/>
      <w:lang w:val="en-ZA"/>
    </w:rPr>
  </w:style>
  <w:style w:type="paragraph" w:styleId="TOC3">
    <w:name w:val="toc 3"/>
    <w:basedOn w:val="Normal"/>
    <w:next w:val="Normal"/>
    <w:autoRedefine/>
    <w:uiPriority w:val="39"/>
    <w:unhideWhenUsed/>
    <w:rsid w:val="008A50A8"/>
    <w:pPr>
      <w:spacing w:after="100"/>
      <w:ind w:left="400"/>
    </w:pPr>
  </w:style>
  <w:style w:type="paragraph" w:styleId="TOC4">
    <w:name w:val="toc 4"/>
    <w:basedOn w:val="Normal"/>
    <w:next w:val="Normal"/>
    <w:autoRedefine/>
    <w:uiPriority w:val="39"/>
    <w:unhideWhenUsed/>
    <w:rsid w:val="008A50A8"/>
    <w:pPr>
      <w:spacing w:after="100"/>
      <w:ind w:left="600"/>
    </w:pPr>
  </w:style>
  <w:style w:type="paragraph" w:styleId="ListParagraph">
    <w:name w:val="List Paragraph"/>
    <w:basedOn w:val="Normal"/>
    <w:uiPriority w:val="34"/>
    <w:qFormat/>
    <w:rsid w:val="00C26E7F"/>
    <w:pPr>
      <w:ind w:left="720"/>
      <w:contextualSpacing/>
    </w:pPr>
  </w:style>
  <w:style w:type="numbering" w:styleId="111111">
    <w:name w:val="Outline List 2"/>
    <w:basedOn w:val="NoList"/>
    <w:semiHidden/>
    <w:rsid w:val="009571FD"/>
    <w:pPr>
      <w:numPr>
        <w:numId w:val="1"/>
      </w:numPr>
    </w:pPr>
  </w:style>
  <w:style w:type="table" w:styleId="GridTable1Light-Accent1">
    <w:name w:val="Grid Table 1 Light Accent 1"/>
    <w:basedOn w:val="TableNormal"/>
    <w:uiPriority w:val="46"/>
    <w:rsid w:val="006746AE"/>
    <w:pPr>
      <w:spacing w:after="0" w:line="240" w:lineRule="auto"/>
    </w:pPr>
    <w:tblPr>
      <w:tblStyleRowBandSize w:val="1"/>
      <w:tblStyleColBandSize w:val="1"/>
      <w:tblBorders>
        <w:top w:val="single" w:sz="4" w:space="0" w:color="EA9595" w:themeColor="accent1" w:themeTint="66"/>
        <w:left w:val="single" w:sz="4" w:space="0" w:color="EA9595" w:themeColor="accent1" w:themeTint="66"/>
        <w:bottom w:val="single" w:sz="4" w:space="0" w:color="EA9595" w:themeColor="accent1" w:themeTint="66"/>
        <w:right w:val="single" w:sz="4" w:space="0" w:color="EA9595" w:themeColor="accent1" w:themeTint="66"/>
        <w:insideH w:val="single" w:sz="4" w:space="0" w:color="EA9595" w:themeColor="accent1" w:themeTint="66"/>
        <w:insideV w:val="single" w:sz="4" w:space="0" w:color="EA9595" w:themeColor="accent1" w:themeTint="66"/>
      </w:tblBorders>
    </w:tblPr>
    <w:tblStylePr w:type="firstRow">
      <w:rPr>
        <w:b/>
        <w:bCs/>
      </w:rPr>
      <w:tblPr/>
      <w:tcPr>
        <w:tcBorders>
          <w:bottom w:val="single" w:sz="12" w:space="0" w:color="E06161" w:themeColor="accent1" w:themeTint="99"/>
        </w:tcBorders>
      </w:tcPr>
    </w:tblStylePr>
    <w:tblStylePr w:type="lastRow">
      <w:rPr>
        <w:b/>
        <w:bCs/>
      </w:rPr>
      <w:tblPr/>
      <w:tcPr>
        <w:tcBorders>
          <w:top w:val="double" w:sz="2" w:space="0" w:color="E06161"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93E4D"/>
    <w:pPr>
      <w:spacing w:after="0" w:line="240" w:lineRule="auto"/>
    </w:pPr>
    <w:tblPr>
      <w:tblStyleRowBandSize w:val="1"/>
      <w:tblStyleColBandSize w:val="1"/>
      <w:tblBorders>
        <w:top w:val="single" w:sz="2" w:space="0" w:color="E06161" w:themeColor="accent1" w:themeTint="99"/>
        <w:bottom w:val="single" w:sz="2" w:space="0" w:color="E06161" w:themeColor="accent1" w:themeTint="99"/>
        <w:insideH w:val="single" w:sz="2" w:space="0" w:color="E06161" w:themeColor="accent1" w:themeTint="99"/>
        <w:insideV w:val="single" w:sz="2" w:space="0" w:color="E06161" w:themeColor="accent1" w:themeTint="99"/>
      </w:tblBorders>
    </w:tblPr>
    <w:tblStylePr w:type="firstRow">
      <w:rPr>
        <w:b/>
        <w:bCs/>
      </w:rPr>
      <w:tblPr/>
      <w:tcPr>
        <w:tcBorders>
          <w:top w:val="nil"/>
          <w:bottom w:val="single" w:sz="12" w:space="0" w:color="E06161" w:themeColor="accent1" w:themeTint="99"/>
          <w:insideH w:val="nil"/>
          <w:insideV w:val="nil"/>
        </w:tcBorders>
        <w:shd w:val="clear" w:color="auto" w:fill="FFFFFF" w:themeFill="background1"/>
      </w:tcPr>
    </w:tblStylePr>
    <w:tblStylePr w:type="lastRow">
      <w:rPr>
        <w:b/>
        <w:bCs/>
      </w:rPr>
      <w:tblPr/>
      <w:tcPr>
        <w:tcBorders>
          <w:top w:val="double" w:sz="2" w:space="0" w:color="E061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character" w:customStyle="1" w:styleId="Heading7Char">
    <w:name w:val="Heading 7 Char"/>
    <w:basedOn w:val="DefaultParagraphFont"/>
    <w:link w:val="Heading7"/>
    <w:uiPriority w:val="9"/>
    <w:semiHidden/>
    <w:rsid w:val="00343542"/>
    <w:rPr>
      <w:rFonts w:asciiTheme="majorHAnsi" w:eastAsiaTheme="majorEastAsia" w:hAnsiTheme="majorHAnsi" w:cstheme="majorBidi"/>
      <w:i/>
      <w:iCs/>
      <w:color w:val="511010" w:themeColor="accent1" w:themeShade="7F"/>
      <w:sz w:val="20"/>
      <w:szCs w:val="20"/>
      <w:lang w:val="en-ZA"/>
    </w:rPr>
  </w:style>
  <w:style w:type="character" w:customStyle="1" w:styleId="Heading8Char">
    <w:name w:val="Heading 8 Char"/>
    <w:basedOn w:val="DefaultParagraphFont"/>
    <w:link w:val="Heading8"/>
    <w:uiPriority w:val="9"/>
    <w:semiHidden/>
    <w:rsid w:val="00343542"/>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343542"/>
    <w:rPr>
      <w:rFonts w:asciiTheme="majorHAnsi" w:eastAsiaTheme="majorEastAsia" w:hAnsiTheme="majorHAnsi" w:cstheme="majorBidi"/>
      <w:i/>
      <w:iCs/>
      <w:color w:val="272727" w:themeColor="text1" w:themeTint="D8"/>
      <w:sz w:val="21"/>
      <w:szCs w:val="21"/>
      <w:lang w:val="en-ZA"/>
    </w:rPr>
  </w:style>
  <w:style w:type="paragraph" w:customStyle="1" w:styleId="Sources">
    <w:name w:val="Sources"/>
    <w:basedOn w:val="Bodytextprebullet"/>
    <w:link w:val="SourcesChar"/>
    <w:uiPriority w:val="99"/>
    <w:qFormat/>
    <w:rsid w:val="00A66883"/>
    <w:rPr>
      <w:i/>
      <w:sz w:val="14"/>
      <w:szCs w:val="14"/>
    </w:rPr>
  </w:style>
  <w:style w:type="table" w:styleId="GridTable5Dark-Accent1">
    <w:name w:val="Grid Table 5 Dark Accent 1"/>
    <w:basedOn w:val="TableNormal"/>
    <w:uiPriority w:val="50"/>
    <w:rsid w:val="00A668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A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20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20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20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2020" w:themeFill="accent1"/>
      </w:tcPr>
    </w:tblStylePr>
    <w:tblStylePr w:type="band1Vert">
      <w:tblPr/>
      <w:tcPr>
        <w:shd w:val="clear" w:color="auto" w:fill="EA9595" w:themeFill="accent1" w:themeFillTint="66"/>
      </w:tcPr>
    </w:tblStylePr>
    <w:tblStylePr w:type="band1Horz">
      <w:tblPr/>
      <w:tcPr>
        <w:shd w:val="clear" w:color="auto" w:fill="EA9595" w:themeFill="accent1" w:themeFillTint="66"/>
      </w:tcPr>
    </w:tblStylePr>
  </w:style>
  <w:style w:type="character" w:customStyle="1" w:styleId="SourcesChar">
    <w:name w:val="Sources Char"/>
    <w:basedOn w:val="BodytextprebulletChar"/>
    <w:link w:val="Sources"/>
    <w:uiPriority w:val="99"/>
    <w:rsid w:val="00A66883"/>
    <w:rPr>
      <w:rFonts w:ascii="Georgia" w:hAnsi="Georgia"/>
      <w:i/>
      <w:color w:val="000000" w:themeColor="text1"/>
      <w:sz w:val="14"/>
      <w:szCs w:val="14"/>
      <w:lang w:val="en-GB"/>
    </w:rPr>
  </w:style>
  <w:style w:type="table" w:styleId="GridTable4-Accent1">
    <w:name w:val="Grid Table 4 Accent 1"/>
    <w:basedOn w:val="TableNormal"/>
    <w:uiPriority w:val="49"/>
    <w:rsid w:val="00A66883"/>
    <w:pPr>
      <w:spacing w:after="0" w:line="240" w:lineRule="auto"/>
    </w:pPr>
    <w:tblPr>
      <w:tblStyleRowBandSize w:val="1"/>
      <w:tblStyleColBandSize w:val="1"/>
      <w:tblBorders>
        <w:top w:val="single" w:sz="4" w:space="0" w:color="E06161" w:themeColor="accent1" w:themeTint="99"/>
        <w:left w:val="single" w:sz="4" w:space="0" w:color="E06161" w:themeColor="accent1" w:themeTint="99"/>
        <w:bottom w:val="single" w:sz="4" w:space="0" w:color="E06161" w:themeColor="accent1" w:themeTint="99"/>
        <w:right w:val="single" w:sz="4" w:space="0" w:color="E06161" w:themeColor="accent1" w:themeTint="99"/>
        <w:insideH w:val="single" w:sz="4" w:space="0" w:color="E06161" w:themeColor="accent1" w:themeTint="99"/>
        <w:insideV w:val="single" w:sz="4" w:space="0" w:color="E06161" w:themeColor="accent1" w:themeTint="99"/>
      </w:tblBorders>
    </w:tblPr>
    <w:tblStylePr w:type="firstRow">
      <w:rPr>
        <w:b/>
        <w:bCs/>
        <w:color w:val="FFFFFF" w:themeColor="background1"/>
      </w:rPr>
      <w:tblPr/>
      <w:tcPr>
        <w:tcBorders>
          <w:top w:val="single" w:sz="4" w:space="0" w:color="A32020" w:themeColor="accent1"/>
          <w:left w:val="single" w:sz="4" w:space="0" w:color="A32020" w:themeColor="accent1"/>
          <w:bottom w:val="single" w:sz="4" w:space="0" w:color="A32020" w:themeColor="accent1"/>
          <w:right w:val="single" w:sz="4" w:space="0" w:color="A32020" w:themeColor="accent1"/>
          <w:insideH w:val="nil"/>
          <w:insideV w:val="nil"/>
        </w:tcBorders>
        <w:shd w:val="clear" w:color="auto" w:fill="A32020" w:themeFill="accent1"/>
      </w:tcPr>
    </w:tblStylePr>
    <w:tblStylePr w:type="lastRow">
      <w:rPr>
        <w:b/>
        <w:bCs/>
      </w:rPr>
      <w:tblPr/>
      <w:tcPr>
        <w:tcBorders>
          <w:top w:val="double" w:sz="4" w:space="0" w:color="A32020" w:themeColor="accent1"/>
        </w:tcBorders>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paragraph" w:customStyle="1" w:styleId="Default">
    <w:name w:val="Default"/>
    <w:rsid w:val="004C7DEB"/>
    <w:pPr>
      <w:autoSpaceDE w:val="0"/>
      <w:autoSpaceDN w:val="0"/>
      <w:adjustRightInd w:val="0"/>
      <w:spacing w:after="0" w:line="240" w:lineRule="auto"/>
    </w:pPr>
    <w:rPr>
      <w:rFonts w:ascii="Georgia" w:eastAsiaTheme="minorEastAsia" w:hAnsi="Georgia" w:cs="Georgia"/>
      <w:color w:val="000000"/>
      <w:sz w:val="24"/>
      <w:szCs w:val="24"/>
      <w:lang w:val="en-GB" w:eastAsia="ko-KR"/>
    </w:rPr>
  </w:style>
  <w:style w:type="paragraph" w:customStyle="1" w:styleId="BodyText1">
    <w:name w:val="Body Text1"/>
    <w:basedOn w:val="Normal"/>
    <w:link w:val="BodyText1Char"/>
    <w:qFormat/>
    <w:rsid w:val="004C7DEB"/>
    <w:pPr>
      <w:spacing w:before="140" w:after="280" w:line="240" w:lineRule="auto"/>
    </w:pPr>
    <w:rPr>
      <w:rFonts w:asciiTheme="majorHAnsi" w:eastAsiaTheme="minorHAnsi" w:hAnsiTheme="majorHAnsi" w:cstheme="minorBidi"/>
      <w:color w:val="000000" w:themeColor="text1"/>
    </w:rPr>
  </w:style>
  <w:style w:type="paragraph" w:customStyle="1" w:styleId="Sourceing">
    <w:name w:val="Sourceing"/>
    <w:basedOn w:val="BodyText1"/>
    <w:link w:val="SourceingChar"/>
    <w:qFormat/>
    <w:rsid w:val="004C7DEB"/>
    <w:pPr>
      <w:spacing w:before="0"/>
    </w:pPr>
    <w:rPr>
      <w:i/>
      <w:sz w:val="18"/>
    </w:rPr>
  </w:style>
  <w:style w:type="character" w:customStyle="1" w:styleId="BodyText1Char">
    <w:name w:val="Body Text1 Char"/>
    <w:basedOn w:val="DefaultParagraphFont"/>
    <w:link w:val="BodyText1"/>
    <w:rsid w:val="004C7DEB"/>
    <w:rPr>
      <w:rFonts w:asciiTheme="majorHAnsi" w:hAnsiTheme="majorHAnsi"/>
      <w:color w:val="000000" w:themeColor="text1"/>
      <w:sz w:val="20"/>
      <w:szCs w:val="20"/>
      <w:lang w:val="en-GB"/>
    </w:rPr>
  </w:style>
  <w:style w:type="character" w:customStyle="1" w:styleId="SourceingChar">
    <w:name w:val="Sourceing Char"/>
    <w:basedOn w:val="BodyText1Char"/>
    <w:link w:val="Sourceing"/>
    <w:rsid w:val="004C7DEB"/>
    <w:rPr>
      <w:rFonts w:asciiTheme="majorHAnsi" w:hAnsiTheme="majorHAnsi"/>
      <w:i/>
      <w:color w:val="000000" w:themeColor="text1"/>
      <w:sz w:val="18"/>
      <w:szCs w:val="20"/>
      <w:lang w:val="en-GB"/>
    </w:rPr>
  </w:style>
  <w:style w:type="paragraph" w:customStyle="1" w:styleId="Normal0">
    <w:name w:val="___Normal"/>
    <w:basedOn w:val="BodyText"/>
    <w:qFormat/>
    <w:rsid w:val="004C7DEB"/>
    <w:pPr>
      <w:spacing w:after="120" w:line="240" w:lineRule="auto"/>
    </w:pPr>
    <w:rPr>
      <w:rFonts w:asciiTheme="minorHAnsi" w:eastAsiaTheme="minorHAnsi" w:hAnsiTheme="minorHAnsi" w:cstheme="minorBidi"/>
      <w:sz w:val="18"/>
      <w:szCs w:val="22"/>
    </w:rPr>
  </w:style>
  <w:style w:type="table" w:customStyle="1" w:styleId="TableGrid21">
    <w:name w:val="Table Grid21"/>
    <w:basedOn w:val="TableNormal"/>
    <w:next w:val="TableGrid"/>
    <w:uiPriority w:val="39"/>
    <w:rsid w:val="004C7DEB"/>
    <w:pPr>
      <w:spacing w:after="0" w:line="240" w:lineRule="auto"/>
    </w:pPr>
    <w:rPr>
      <w:rFonts w:ascii="Univers 45 Light" w:eastAsia="Times New Roman" w:hAnsi="Univers 45 Light" w:cs="Times New Roman"/>
      <w:sz w:val="20"/>
      <w:szCs w:val="20"/>
    </w:rPr>
    <w:tblPr/>
  </w:style>
  <w:style w:type="table" w:customStyle="1" w:styleId="GridTable1Light11">
    <w:name w:val="Grid Table 1 Light11"/>
    <w:basedOn w:val="TableNormal"/>
    <w:next w:val="GridTable1Light"/>
    <w:uiPriority w:val="46"/>
    <w:rsid w:val="004C7DEB"/>
    <w:pPr>
      <w:spacing w:after="0" w:line="240" w:lineRule="auto"/>
    </w:pPr>
    <w:rPr>
      <w:rFonts w:ascii="Univers 45 Light" w:eastAsia="Times New Roman" w:hAnsi="Univers 45 Light"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39"/>
    <w:rsid w:val="004C7DEB"/>
    <w:pPr>
      <w:spacing w:after="0" w:line="240" w:lineRule="auto"/>
    </w:pPr>
    <w:rPr>
      <w:rFonts w:ascii="Univers 45 Light" w:eastAsia="Times New Roman" w:hAnsi="Univers 45 Light" w:cs="Times New Roman"/>
      <w:sz w:val="20"/>
      <w:szCs w:val="20"/>
    </w:rPr>
    <w:tblPr/>
  </w:style>
  <w:style w:type="table" w:styleId="GridTable1Light">
    <w:name w:val="Grid Table 1 Light"/>
    <w:basedOn w:val="TableNormal"/>
    <w:uiPriority w:val="46"/>
    <w:rsid w:val="004C7D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urce">
    <w:name w:val="Source"/>
    <w:basedOn w:val="BodyText1"/>
    <w:qFormat/>
    <w:rsid w:val="00841574"/>
    <w:pPr>
      <w:tabs>
        <w:tab w:val="left" w:pos="1134"/>
      </w:tabs>
      <w:spacing w:before="40"/>
      <w:ind w:left="851" w:hanging="851"/>
    </w:pPr>
    <w:rPr>
      <w:rFonts w:asciiTheme="minorHAnsi" w:hAnsiTheme="minorHAnsi"/>
      <w:sz w:val="12"/>
    </w:rPr>
  </w:style>
  <w:style w:type="table" w:styleId="TableGrid7">
    <w:name w:val="Table Grid 7"/>
    <w:basedOn w:val="TableNormal"/>
    <w:semiHidden/>
    <w:rsid w:val="00ED0881"/>
    <w:pPr>
      <w:spacing w:after="0" w:line="240" w:lineRule="auto"/>
    </w:pPr>
    <w:rPr>
      <w:rFonts w:ascii="Univers for KPMG Light" w:eastAsia="Times New Roman" w:hAnsi="Univers for KPMG Light"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m-7023280805209328884gmail-msolistparagraph">
    <w:name w:val="m_-7023280805209328884gmail-msolistparagraph"/>
    <w:basedOn w:val="Normal"/>
    <w:rsid w:val="00031E57"/>
    <w:pPr>
      <w:spacing w:before="100" w:beforeAutospacing="1" w:after="100" w:afterAutospacing="1" w:line="240" w:lineRule="auto"/>
    </w:pPr>
    <w:rPr>
      <w:rFonts w:ascii="Times New Roman" w:eastAsia="Times New Roman" w:hAnsi="Times New Roman"/>
      <w:sz w:val="24"/>
      <w:szCs w:val="24"/>
      <w:lang w:val="en-US"/>
    </w:rPr>
  </w:style>
  <w:style w:type="table" w:customStyle="1" w:styleId="TableGrid311">
    <w:name w:val="Table Grid311"/>
    <w:basedOn w:val="TableNormal"/>
    <w:uiPriority w:val="39"/>
    <w:rsid w:val="009D0C41"/>
    <w:pPr>
      <w:spacing w:after="0" w:line="240" w:lineRule="auto"/>
    </w:pPr>
    <w:rPr>
      <w:rFonts w:ascii="Univers 45 Light" w:eastAsia="Times New Roman" w:hAnsi="Univers 45 Light" w:cs="Times New Roman"/>
      <w:sz w:val="20"/>
      <w:szCs w:val="20"/>
    </w:rPr>
    <w:tblPr>
      <w:tblInd w:w="0" w:type="nil"/>
    </w:tblPr>
  </w:style>
  <w:style w:type="paragraph" w:styleId="Revision">
    <w:name w:val="Revision"/>
    <w:hidden/>
    <w:uiPriority w:val="99"/>
    <w:semiHidden/>
    <w:rsid w:val="00D01B20"/>
    <w:pPr>
      <w:spacing w:after="0" w:line="240" w:lineRule="auto"/>
    </w:pPr>
    <w:rPr>
      <w:rFonts w:ascii="Georgia" w:eastAsia="Arial" w:hAnsi="Georgia" w:cs="Times New Roman"/>
      <w:sz w:val="20"/>
      <w:szCs w:val="20"/>
      <w:lang w:val="en-ZA"/>
    </w:rPr>
  </w:style>
  <w:style w:type="paragraph" w:customStyle="1" w:styleId="TableSpacer">
    <w:name w:val="TableSpacer"/>
    <w:basedOn w:val="BodyText"/>
    <w:rsid w:val="002A76B3"/>
    <w:pPr>
      <w:spacing w:after="0" w:line="240" w:lineRule="auto"/>
    </w:pPr>
    <w:rPr>
      <w:rFonts w:asciiTheme="majorHAnsi" w:eastAsiaTheme="minorHAnsi" w:hAnsiTheme="majorHAnsi" w:cs="Arial"/>
      <w:sz w:val="4"/>
      <w:lang w:val="en-GB" w:eastAsia="en-GB"/>
    </w:rPr>
  </w:style>
  <w:style w:type="table" w:customStyle="1" w:styleId="FrameLineWhiteNoframe">
    <w:name w:val="Frame Line White (No frame)"/>
    <w:basedOn w:val="TableNormal"/>
    <w:uiPriority w:val="99"/>
    <w:qFormat/>
    <w:rsid w:val="002A76B3"/>
    <w:pPr>
      <w:spacing w:after="0" w:line="240" w:lineRule="auto"/>
    </w:pPr>
    <w:rPr>
      <w:rFonts w:ascii="Georgia" w:hAnsi="Georgia"/>
      <w:sz w:val="20"/>
      <w:szCs w:val="20"/>
      <w:lang w:val="en-GB"/>
    </w:rPr>
    <w:tblPr>
      <w:tblInd w:w="-227" w:type="dxa"/>
      <w:tblBorders>
        <w:top w:val="single" w:sz="8" w:space="0" w:color="FFFFFF" w:themeColor="background1"/>
        <w:left w:val="single" w:sz="8" w:space="0" w:color="FFFFFF" w:themeColor="background1"/>
      </w:tblBorders>
      <w:tblCellMar>
        <w:left w:w="227" w:type="dxa"/>
        <w:right w:w="0" w:type="dxa"/>
      </w:tblCellMar>
    </w:tblPr>
  </w:style>
  <w:style w:type="character" w:styleId="IntenseEmphasis">
    <w:name w:val="Intense Emphasis"/>
    <w:basedOn w:val="DefaultParagraphFont"/>
    <w:uiPriority w:val="21"/>
    <w:qFormat/>
    <w:rsid w:val="00973DEB"/>
    <w:rPr>
      <w:i/>
      <w:iCs/>
      <w:color w:val="A32020" w:themeColor="accent1"/>
    </w:rPr>
  </w:style>
  <w:style w:type="paragraph" w:customStyle="1" w:styleId="PwCParagraph">
    <w:name w:val="PwC Paragraph"/>
    <w:basedOn w:val="Normal"/>
    <w:qFormat/>
    <w:rsid w:val="00F878E1"/>
    <w:pPr>
      <w:keepLines/>
      <w:suppressAutoHyphens/>
      <w:spacing w:before="120" w:after="120" w:line="240" w:lineRule="auto"/>
    </w:pPr>
    <w:rPr>
      <w:rFonts w:eastAsiaTheme="minorHAnsi" w:cstheme="minorBidi"/>
      <w:color w:val="000000" w:themeColor="text1"/>
      <w:szCs w:val="21"/>
      <w:lang w:val="en-GB"/>
    </w:rPr>
  </w:style>
  <w:style w:type="table" w:customStyle="1" w:styleId="GridTable1Light-Accent211">
    <w:name w:val="Grid Table 1 Light - Accent 211"/>
    <w:basedOn w:val="TableNormal"/>
    <w:uiPriority w:val="46"/>
    <w:rsid w:val="00F878E1"/>
    <w:pPr>
      <w:spacing w:after="0" w:line="240" w:lineRule="auto"/>
    </w:pPr>
    <w:rPr>
      <w:lang w:val="en-ZA"/>
    </w:rPr>
    <w:tblPr>
      <w:tblStyleRowBandSize w:val="1"/>
      <w:tblStyleColBandSize w:val="1"/>
      <w:tblBorders>
        <w:top w:val="single" w:sz="4" w:space="0" w:color="F3ABA4" w:themeColor="accent2" w:themeTint="66"/>
        <w:left w:val="single" w:sz="4" w:space="0" w:color="F3ABA4" w:themeColor="accent2" w:themeTint="66"/>
        <w:bottom w:val="single" w:sz="4" w:space="0" w:color="F3ABA4" w:themeColor="accent2" w:themeTint="66"/>
        <w:right w:val="single" w:sz="4" w:space="0" w:color="F3ABA4" w:themeColor="accent2" w:themeTint="66"/>
        <w:insideH w:val="single" w:sz="4" w:space="0" w:color="F3ABA4" w:themeColor="accent2" w:themeTint="66"/>
        <w:insideV w:val="single" w:sz="4" w:space="0" w:color="F3ABA4" w:themeColor="accent2" w:themeTint="66"/>
      </w:tblBorders>
    </w:tblPr>
    <w:tblStylePr w:type="firstRow">
      <w:rPr>
        <w:b/>
        <w:bCs/>
      </w:rPr>
      <w:tblPr/>
      <w:tcPr>
        <w:tcBorders>
          <w:bottom w:val="single" w:sz="12" w:space="0" w:color="EC8277" w:themeColor="accent2" w:themeTint="99"/>
        </w:tcBorders>
      </w:tcPr>
    </w:tblStylePr>
    <w:tblStylePr w:type="lastRow">
      <w:rPr>
        <w:b/>
        <w:bCs/>
      </w:rPr>
      <w:tblPr/>
      <w:tcPr>
        <w:tcBorders>
          <w:top w:val="double" w:sz="2" w:space="0" w:color="EC8277" w:themeColor="accent2" w:themeTint="99"/>
        </w:tcBorders>
      </w:tcPr>
    </w:tblStylePr>
    <w:tblStylePr w:type="firstCol">
      <w:rPr>
        <w:b/>
        <w:bCs/>
      </w:rPr>
    </w:tblStylePr>
    <w:tblStylePr w:type="lastCol">
      <w:rPr>
        <w:b/>
        <w:bCs/>
      </w:rPr>
    </w:tblStylePr>
  </w:style>
  <w:style w:type="paragraph" w:customStyle="1" w:styleId="PwCBullet1Burgundy">
    <w:name w:val="PwC Bullet 1 Burgundy"/>
    <w:basedOn w:val="Normal"/>
    <w:uiPriority w:val="34"/>
    <w:qFormat/>
    <w:rsid w:val="00526769"/>
    <w:pPr>
      <w:numPr>
        <w:numId w:val="3"/>
      </w:numPr>
      <w:tabs>
        <w:tab w:val="left" w:pos="0"/>
        <w:tab w:val="left" w:pos="397"/>
      </w:tabs>
      <w:spacing w:before="60" w:after="60" w:line="240" w:lineRule="auto"/>
    </w:pPr>
    <w:rPr>
      <w:rFonts w:eastAsiaTheme="minorHAnsi" w:cstheme="minorBidi"/>
      <w:color w:val="000000" w:themeColor="text1"/>
      <w:lang w:val="en-GB"/>
    </w:rPr>
  </w:style>
  <w:style w:type="paragraph" w:customStyle="1" w:styleId="BodySubheadline">
    <w:name w:val="Body Subheadline"/>
    <w:basedOn w:val="Normal"/>
    <w:next w:val="Normal"/>
    <w:qFormat/>
    <w:rsid w:val="001252A7"/>
    <w:pPr>
      <w:spacing w:after="0" w:line="230" w:lineRule="exact"/>
    </w:pPr>
    <w:rPr>
      <w:rFonts w:asciiTheme="minorHAnsi" w:eastAsiaTheme="minorHAnsi" w:hAnsiTheme="minorHAnsi" w:cstheme="minorBidi"/>
      <w:b/>
      <w:sz w:val="17"/>
      <w:szCs w:val="17"/>
      <w:lang w:val="en-GB"/>
    </w:rPr>
  </w:style>
  <w:style w:type="table" w:customStyle="1" w:styleId="PWCBasic">
    <w:name w:val="PWC Basic"/>
    <w:basedOn w:val="TableNormal"/>
    <w:uiPriority w:val="99"/>
    <w:rsid w:val="005C2DE9"/>
    <w:pPr>
      <w:spacing w:after="0" w:line="216" w:lineRule="auto"/>
      <w:contextualSpacing/>
    </w:pPr>
    <w:rPr>
      <w:rFonts w:cs="Times New Roman (Body CS)"/>
      <w:sz w:val="17"/>
      <w:szCs w:val="17"/>
      <w:lang w:val="en-GB"/>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CaptionChar">
    <w:name w:val="Caption Char"/>
    <w:link w:val="Caption"/>
    <w:uiPriority w:val="35"/>
    <w:locked/>
    <w:rsid w:val="005C2DE9"/>
    <w:rPr>
      <w:rFonts w:ascii="Georgia" w:eastAsia="Arial" w:hAnsi="Georgia" w:cs="Times New Roman"/>
      <w:bCs/>
      <w:i/>
      <w:sz w:val="20"/>
      <w:szCs w:val="20"/>
      <w:lang w:val="en-ZA"/>
    </w:rPr>
  </w:style>
  <w:style w:type="table" w:customStyle="1" w:styleId="TableGrid1">
    <w:name w:val="Table Grid1"/>
    <w:basedOn w:val="TableNormal"/>
    <w:next w:val="TableGrid"/>
    <w:uiPriority w:val="39"/>
    <w:rsid w:val="006C7DB9"/>
    <w:pPr>
      <w:spacing w:after="0" w:line="240" w:lineRule="auto"/>
    </w:pPr>
    <w:rPr>
      <w:rFonts w:ascii="Univers 45 Light" w:eastAsia="Times New Roman" w:hAnsi="Univers 45 Light" w:cs="Times New Roman"/>
      <w:sz w:val="20"/>
      <w:szCs w:val="20"/>
    </w:rPr>
    <w:tblPr/>
  </w:style>
  <w:style w:type="paragraph" w:styleId="IntenseQuote">
    <w:name w:val="Intense Quote"/>
    <w:basedOn w:val="Normal"/>
    <w:next w:val="Normal"/>
    <w:link w:val="IntenseQuoteChar"/>
    <w:uiPriority w:val="30"/>
    <w:qFormat/>
    <w:rsid w:val="00364660"/>
    <w:pPr>
      <w:pBdr>
        <w:top w:val="single" w:sz="4" w:space="10" w:color="A32020" w:themeColor="accent1"/>
        <w:bottom w:val="single" w:sz="4" w:space="10" w:color="A32020" w:themeColor="accent1"/>
      </w:pBdr>
      <w:spacing w:before="360" w:after="360"/>
      <w:ind w:left="864" w:right="864"/>
      <w:jc w:val="center"/>
    </w:pPr>
    <w:rPr>
      <w:i/>
      <w:iCs/>
      <w:color w:val="A32020" w:themeColor="accent1"/>
    </w:rPr>
  </w:style>
  <w:style w:type="character" w:customStyle="1" w:styleId="IntenseQuoteChar">
    <w:name w:val="Intense Quote Char"/>
    <w:basedOn w:val="DefaultParagraphFont"/>
    <w:link w:val="IntenseQuote"/>
    <w:uiPriority w:val="30"/>
    <w:rsid w:val="00364660"/>
    <w:rPr>
      <w:rFonts w:ascii="Georgia" w:eastAsia="Arial" w:hAnsi="Georgia" w:cs="Times New Roman"/>
      <w:i/>
      <w:iCs/>
      <w:color w:val="A32020" w:themeColor="accent1"/>
      <w:sz w:val="20"/>
      <w:szCs w:val="20"/>
      <w:lang w:val="en-ZA"/>
    </w:rPr>
  </w:style>
  <w:style w:type="character" w:styleId="Strong">
    <w:name w:val="Strong"/>
    <w:basedOn w:val="DefaultParagraphFont"/>
    <w:uiPriority w:val="22"/>
    <w:qFormat/>
    <w:rsid w:val="008C32A7"/>
    <w:rPr>
      <w:b/>
      <w:bCs/>
    </w:rPr>
  </w:style>
  <w:style w:type="paragraph" w:styleId="NormalWeb">
    <w:name w:val="Normal (Web)"/>
    <w:basedOn w:val="Normal"/>
    <w:uiPriority w:val="99"/>
    <w:semiHidden/>
    <w:unhideWhenUsed/>
    <w:rsid w:val="00C73B54"/>
    <w:pPr>
      <w:spacing w:before="100" w:beforeAutospacing="1" w:after="100" w:afterAutospacing="1" w:line="240" w:lineRule="auto"/>
    </w:pPr>
    <w:rPr>
      <w:rFonts w:ascii="Times New Roman" w:eastAsia="Times New Roman" w:hAnsi="Times New Roman"/>
      <w:sz w:val="24"/>
      <w:szCs w:val="24"/>
      <w:lang w:eastAsia="en-ZA"/>
    </w:rPr>
  </w:style>
  <w:style w:type="paragraph" w:styleId="EndnoteText">
    <w:name w:val="endnote text"/>
    <w:basedOn w:val="Normal"/>
    <w:link w:val="EndnoteTextChar"/>
    <w:uiPriority w:val="99"/>
    <w:semiHidden/>
    <w:unhideWhenUsed/>
    <w:rsid w:val="00A4648A"/>
    <w:pPr>
      <w:spacing w:after="0" w:line="240" w:lineRule="auto"/>
    </w:pPr>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A4648A"/>
    <w:rPr>
      <w:sz w:val="20"/>
      <w:szCs w:val="20"/>
      <w:lang w:val="en-ZA"/>
    </w:rPr>
  </w:style>
  <w:style w:type="character" w:styleId="EndnoteReference">
    <w:name w:val="endnote reference"/>
    <w:basedOn w:val="DefaultParagraphFont"/>
    <w:uiPriority w:val="99"/>
    <w:semiHidden/>
    <w:unhideWhenUsed/>
    <w:rsid w:val="00A464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590">
      <w:bodyDiv w:val="1"/>
      <w:marLeft w:val="0"/>
      <w:marRight w:val="0"/>
      <w:marTop w:val="0"/>
      <w:marBottom w:val="0"/>
      <w:divBdr>
        <w:top w:val="none" w:sz="0" w:space="0" w:color="auto"/>
        <w:left w:val="none" w:sz="0" w:space="0" w:color="auto"/>
        <w:bottom w:val="none" w:sz="0" w:space="0" w:color="auto"/>
        <w:right w:val="none" w:sz="0" w:space="0" w:color="auto"/>
      </w:divBdr>
      <w:divsChild>
        <w:div w:id="1206796973">
          <w:marLeft w:val="135"/>
          <w:marRight w:val="135"/>
          <w:marTop w:val="0"/>
          <w:marBottom w:val="90"/>
          <w:divBdr>
            <w:top w:val="none" w:sz="0" w:space="0" w:color="auto"/>
            <w:left w:val="none" w:sz="0" w:space="0" w:color="auto"/>
            <w:bottom w:val="none" w:sz="0" w:space="0" w:color="auto"/>
            <w:right w:val="none" w:sz="0" w:space="0" w:color="auto"/>
          </w:divBdr>
        </w:div>
        <w:div w:id="1635868874">
          <w:marLeft w:val="135"/>
          <w:marRight w:val="135"/>
          <w:marTop w:val="0"/>
          <w:marBottom w:val="90"/>
          <w:divBdr>
            <w:top w:val="none" w:sz="0" w:space="0" w:color="auto"/>
            <w:left w:val="none" w:sz="0" w:space="0" w:color="auto"/>
            <w:bottom w:val="none" w:sz="0" w:space="0" w:color="auto"/>
            <w:right w:val="none" w:sz="0" w:space="0" w:color="auto"/>
          </w:divBdr>
        </w:div>
      </w:divsChild>
    </w:div>
    <w:div w:id="177432503">
      <w:bodyDiv w:val="1"/>
      <w:marLeft w:val="0"/>
      <w:marRight w:val="0"/>
      <w:marTop w:val="0"/>
      <w:marBottom w:val="0"/>
      <w:divBdr>
        <w:top w:val="none" w:sz="0" w:space="0" w:color="auto"/>
        <w:left w:val="none" w:sz="0" w:space="0" w:color="auto"/>
        <w:bottom w:val="none" w:sz="0" w:space="0" w:color="auto"/>
        <w:right w:val="none" w:sz="0" w:space="0" w:color="auto"/>
      </w:divBdr>
    </w:div>
    <w:div w:id="196359287">
      <w:bodyDiv w:val="1"/>
      <w:marLeft w:val="0"/>
      <w:marRight w:val="0"/>
      <w:marTop w:val="0"/>
      <w:marBottom w:val="0"/>
      <w:divBdr>
        <w:top w:val="none" w:sz="0" w:space="0" w:color="auto"/>
        <w:left w:val="none" w:sz="0" w:space="0" w:color="auto"/>
        <w:bottom w:val="none" w:sz="0" w:space="0" w:color="auto"/>
        <w:right w:val="none" w:sz="0" w:space="0" w:color="auto"/>
      </w:divBdr>
    </w:div>
    <w:div w:id="231354642">
      <w:bodyDiv w:val="1"/>
      <w:marLeft w:val="0"/>
      <w:marRight w:val="0"/>
      <w:marTop w:val="0"/>
      <w:marBottom w:val="0"/>
      <w:divBdr>
        <w:top w:val="none" w:sz="0" w:space="0" w:color="auto"/>
        <w:left w:val="none" w:sz="0" w:space="0" w:color="auto"/>
        <w:bottom w:val="none" w:sz="0" w:space="0" w:color="auto"/>
        <w:right w:val="none" w:sz="0" w:space="0" w:color="auto"/>
      </w:divBdr>
    </w:div>
    <w:div w:id="429351856">
      <w:bodyDiv w:val="1"/>
      <w:marLeft w:val="0"/>
      <w:marRight w:val="0"/>
      <w:marTop w:val="0"/>
      <w:marBottom w:val="0"/>
      <w:divBdr>
        <w:top w:val="none" w:sz="0" w:space="0" w:color="auto"/>
        <w:left w:val="none" w:sz="0" w:space="0" w:color="auto"/>
        <w:bottom w:val="none" w:sz="0" w:space="0" w:color="auto"/>
        <w:right w:val="none" w:sz="0" w:space="0" w:color="auto"/>
      </w:divBdr>
    </w:div>
    <w:div w:id="643579460">
      <w:bodyDiv w:val="1"/>
      <w:marLeft w:val="0"/>
      <w:marRight w:val="0"/>
      <w:marTop w:val="0"/>
      <w:marBottom w:val="0"/>
      <w:divBdr>
        <w:top w:val="none" w:sz="0" w:space="0" w:color="auto"/>
        <w:left w:val="none" w:sz="0" w:space="0" w:color="auto"/>
        <w:bottom w:val="none" w:sz="0" w:space="0" w:color="auto"/>
        <w:right w:val="none" w:sz="0" w:space="0" w:color="auto"/>
      </w:divBdr>
    </w:div>
    <w:div w:id="677393416">
      <w:bodyDiv w:val="1"/>
      <w:marLeft w:val="0"/>
      <w:marRight w:val="0"/>
      <w:marTop w:val="0"/>
      <w:marBottom w:val="0"/>
      <w:divBdr>
        <w:top w:val="none" w:sz="0" w:space="0" w:color="auto"/>
        <w:left w:val="none" w:sz="0" w:space="0" w:color="auto"/>
        <w:bottom w:val="none" w:sz="0" w:space="0" w:color="auto"/>
        <w:right w:val="none" w:sz="0" w:space="0" w:color="auto"/>
      </w:divBdr>
    </w:div>
    <w:div w:id="822745435">
      <w:bodyDiv w:val="1"/>
      <w:marLeft w:val="0"/>
      <w:marRight w:val="0"/>
      <w:marTop w:val="0"/>
      <w:marBottom w:val="0"/>
      <w:divBdr>
        <w:top w:val="none" w:sz="0" w:space="0" w:color="auto"/>
        <w:left w:val="none" w:sz="0" w:space="0" w:color="auto"/>
        <w:bottom w:val="none" w:sz="0" w:space="0" w:color="auto"/>
        <w:right w:val="none" w:sz="0" w:space="0" w:color="auto"/>
      </w:divBdr>
    </w:div>
    <w:div w:id="849372668">
      <w:bodyDiv w:val="1"/>
      <w:marLeft w:val="0"/>
      <w:marRight w:val="0"/>
      <w:marTop w:val="0"/>
      <w:marBottom w:val="0"/>
      <w:divBdr>
        <w:top w:val="none" w:sz="0" w:space="0" w:color="auto"/>
        <w:left w:val="none" w:sz="0" w:space="0" w:color="auto"/>
        <w:bottom w:val="none" w:sz="0" w:space="0" w:color="auto"/>
        <w:right w:val="none" w:sz="0" w:space="0" w:color="auto"/>
      </w:divBdr>
    </w:div>
    <w:div w:id="889151466">
      <w:bodyDiv w:val="1"/>
      <w:marLeft w:val="0"/>
      <w:marRight w:val="0"/>
      <w:marTop w:val="0"/>
      <w:marBottom w:val="0"/>
      <w:divBdr>
        <w:top w:val="none" w:sz="0" w:space="0" w:color="auto"/>
        <w:left w:val="none" w:sz="0" w:space="0" w:color="auto"/>
        <w:bottom w:val="none" w:sz="0" w:space="0" w:color="auto"/>
        <w:right w:val="none" w:sz="0" w:space="0" w:color="auto"/>
      </w:divBdr>
    </w:div>
    <w:div w:id="895118977">
      <w:bodyDiv w:val="1"/>
      <w:marLeft w:val="0"/>
      <w:marRight w:val="0"/>
      <w:marTop w:val="0"/>
      <w:marBottom w:val="0"/>
      <w:divBdr>
        <w:top w:val="none" w:sz="0" w:space="0" w:color="auto"/>
        <w:left w:val="none" w:sz="0" w:space="0" w:color="auto"/>
        <w:bottom w:val="none" w:sz="0" w:space="0" w:color="auto"/>
        <w:right w:val="none" w:sz="0" w:space="0" w:color="auto"/>
      </w:divBdr>
    </w:div>
    <w:div w:id="1022169926">
      <w:bodyDiv w:val="1"/>
      <w:marLeft w:val="0"/>
      <w:marRight w:val="0"/>
      <w:marTop w:val="0"/>
      <w:marBottom w:val="0"/>
      <w:divBdr>
        <w:top w:val="none" w:sz="0" w:space="0" w:color="auto"/>
        <w:left w:val="none" w:sz="0" w:space="0" w:color="auto"/>
        <w:bottom w:val="none" w:sz="0" w:space="0" w:color="auto"/>
        <w:right w:val="none" w:sz="0" w:space="0" w:color="auto"/>
      </w:divBdr>
    </w:div>
    <w:div w:id="1024212326">
      <w:bodyDiv w:val="1"/>
      <w:marLeft w:val="0"/>
      <w:marRight w:val="0"/>
      <w:marTop w:val="0"/>
      <w:marBottom w:val="0"/>
      <w:divBdr>
        <w:top w:val="none" w:sz="0" w:space="0" w:color="auto"/>
        <w:left w:val="none" w:sz="0" w:space="0" w:color="auto"/>
        <w:bottom w:val="none" w:sz="0" w:space="0" w:color="auto"/>
        <w:right w:val="none" w:sz="0" w:space="0" w:color="auto"/>
      </w:divBdr>
    </w:div>
    <w:div w:id="1041175339">
      <w:bodyDiv w:val="1"/>
      <w:marLeft w:val="0"/>
      <w:marRight w:val="0"/>
      <w:marTop w:val="0"/>
      <w:marBottom w:val="0"/>
      <w:divBdr>
        <w:top w:val="none" w:sz="0" w:space="0" w:color="auto"/>
        <w:left w:val="none" w:sz="0" w:space="0" w:color="auto"/>
        <w:bottom w:val="none" w:sz="0" w:space="0" w:color="auto"/>
        <w:right w:val="none" w:sz="0" w:space="0" w:color="auto"/>
      </w:divBdr>
    </w:div>
    <w:div w:id="1082068804">
      <w:bodyDiv w:val="1"/>
      <w:marLeft w:val="0"/>
      <w:marRight w:val="0"/>
      <w:marTop w:val="0"/>
      <w:marBottom w:val="0"/>
      <w:divBdr>
        <w:top w:val="none" w:sz="0" w:space="0" w:color="auto"/>
        <w:left w:val="none" w:sz="0" w:space="0" w:color="auto"/>
        <w:bottom w:val="none" w:sz="0" w:space="0" w:color="auto"/>
        <w:right w:val="none" w:sz="0" w:space="0" w:color="auto"/>
      </w:divBdr>
    </w:div>
    <w:div w:id="1083529734">
      <w:bodyDiv w:val="1"/>
      <w:marLeft w:val="0"/>
      <w:marRight w:val="0"/>
      <w:marTop w:val="0"/>
      <w:marBottom w:val="0"/>
      <w:divBdr>
        <w:top w:val="none" w:sz="0" w:space="0" w:color="auto"/>
        <w:left w:val="none" w:sz="0" w:space="0" w:color="auto"/>
        <w:bottom w:val="none" w:sz="0" w:space="0" w:color="auto"/>
        <w:right w:val="none" w:sz="0" w:space="0" w:color="auto"/>
      </w:divBdr>
      <w:divsChild>
        <w:div w:id="1622690426">
          <w:marLeft w:val="60"/>
          <w:marRight w:val="0"/>
          <w:marTop w:val="0"/>
          <w:marBottom w:val="0"/>
          <w:divBdr>
            <w:top w:val="none" w:sz="0" w:space="0" w:color="auto"/>
            <w:left w:val="none" w:sz="0" w:space="0" w:color="auto"/>
            <w:bottom w:val="none" w:sz="0" w:space="0" w:color="auto"/>
            <w:right w:val="none" w:sz="0" w:space="0" w:color="auto"/>
          </w:divBdr>
          <w:divsChild>
            <w:div w:id="1417484606">
              <w:marLeft w:val="0"/>
              <w:marRight w:val="0"/>
              <w:marTop w:val="0"/>
              <w:marBottom w:val="0"/>
              <w:divBdr>
                <w:top w:val="none" w:sz="0" w:space="0" w:color="auto"/>
                <w:left w:val="none" w:sz="0" w:space="0" w:color="auto"/>
                <w:bottom w:val="none" w:sz="0" w:space="0" w:color="auto"/>
                <w:right w:val="none" w:sz="0" w:space="0" w:color="auto"/>
              </w:divBdr>
              <w:divsChild>
                <w:div w:id="20083150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836997848">
          <w:marLeft w:val="0"/>
          <w:marRight w:val="0"/>
          <w:marTop w:val="0"/>
          <w:marBottom w:val="0"/>
          <w:divBdr>
            <w:top w:val="none" w:sz="0" w:space="0" w:color="auto"/>
            <w:left w:val="none" w:sz="0" w:space="0" w:color="auto"/>
            <w:bottom w:val="none" w:sz="0" w:space="0" w:color="auto"/>
            <w:right w:val="none" w:sz="0" w:space="0" w:color="auto"/>
          </w:divBdr>
          <w:divsChild>
            <w:div w:id="1528986452">
              <w:marLeft w:val="0"/>
              <w:marRight w:val="0"/>
              <w:marTop w:val="0"/>
              <w:marBottom w:val="0"/>
              <w:divBdr>
                <w:top w:val="none" w:sz="0" w:space="0" w:color="auto"/>
                <w:left w:val="none" w:sz="0" w:space="0" w:color="auto"/>
                <w:bottom w:val="none" w:sz="0" w:space="0" w:color="auto"/>
                <w:right w:val="none" w:sz="0" w:space="0" w:color="auto"/>
              </w:divBdr>
              <w:divsChild>
                <w:div w:id="952784564">
                  <w:marLeft w:val="0"/>
                  <w:marRight w:val="0"/>
                  <w:marTop w:val="0"/>
                  <w:marBottom w:val="0"/>
                  <w:divBdr>
                    <w:top w:val="none" w:sz="0" w:space="0" w:color="auto"/>
                    <w:left w:val="none" w:sz="0" w:space="0" w:color="auto"/>
                    <w:bottom w:val="none" w:sz="0" w:space="0" w:color="auto"/>
                    <w:right w:val="none" w:sz="0" w:space="0" w:color="auto"/>
                  </w:divBdr>
                  <w:divsChild>
                    <w:div w:id="1458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5953">
      <w:bodyDiv w:val="1"/>
      <w:marLeft w:val="0"/>
      <w:marRight w:val="0"/>
      <w:marTop w:val="0"/>
      <w:marBottom w:val="0"/>
      <w:divBdr>
        <w:top w:val="none" w:sz="0" w:space="0" w:color="auto"/>
        <w:left w:val="none" w:sz="0" w:space="0" w:color="auto"/>
        <w:bottom w:val="none" w:sz="0" w:space="0" w:color="auto"/>
        <w:right w:val="none" w:sz="0" w:space="0" w:color="auto"/>
      </w:divBdr>
    </w:div>
    <w:div w:id="1280181663">
      <w:bodyDiv w:val="1"/>
      <w:marLeft w:val="0"/>
      <w:marRight w:val="0"/>
      <w:marTop w:val="0"/>
      <w:marBottom w:val="0"/>
      <w:divBdr>
        <w:top w:val="none" w:sz="0" w:space="0" w:color="auto"/>
        <w:left w:val="none" w:sz="0" w:space="0" w:color="auto"/>
        <w:bottom w:val="none" w:sz="0" w:space="0" w:color="auto"/>
        <w:right w:val="none" w:sz="0" w:space="0" w:color="auto"/>
      </w:divBdr>
    </w:div>
    <w:div w:id="1401249504">
      <w:bodyDiv w:val="1"/>
      <w:marLeft w:val="0"/>
      <w:marRight w:val="0"/>
      <w:marTop w:val="0"/>
      <w:marBottom w:val="0"/>
      <w:divBdr>
        <w:top w:val="none" w:sz="0" w:space="0" w:color="auto"/>
        <w:left w:val="none" w:sz="0" w:space="0" w:color="auto"/>
        <w:bottom w:val="none" w:sz="0" w:space="0" w:color="auto"/>
        <w:right w:val="none" w:sz="0" w:space="0" w:color="auto"/>
      </w:divBdr>
    </w:div>
    <w:div w:id="1476336417">
      <w:bodyDiv w:val="1"/>
      <w:marLeft w:val="0"/>
      <w:marRight w:val="0"/>
      <w:marTop w:val="0"/>
      <w:marBottom w:val="0"/>
      <w:divBdr>
        <w:top w:val="none" w:sz="0" w:space="0" w:color="auto"/>
        <w:left w:val="none" w:sz="0" w:space="0" w:color="auto"/>
        <w:bottom w:val="none" w:sz="0" w:space="0" w:color="auto"/>
        <w:right w:val="none" w:sz="0" w:space="0" w:color="auto"/>
      </w:divBdr>
    </w:div>
    <w:div w:id="1510178363">
      <w:bodyDiv w:val="1"/>
      <w:marLeft w:val="0"/>
      <w:marRight w:val="0"/>
      <w:marTop w:val="0"/>
      <w:marBottom w:val="0"/>
      <w:divBdr>
        <w:top w:val="none" w:sz="0" w:space="0" w:color="auto"/>
        <w:left w:val="none" w:sz="0" w:space="0" w:color="auto"/>
        <w:bottom w:val="none" w:sz="0" w:space="0" w:color="auto"/>
        <w:right w:val="none" w:sz="0" w:space="0" w:color="auto"/>
      </w:divBdr>
    </w:div>
    <w:div w:id="1557935941">
      <w:bodyDiv w:val="1"/>
      <w:marLeft w:val="0"/>
      <w:marRight w:val="0"/>
      <w:marTop w:val="0"/>
      <w:marBottom w:val="0"/>
      <w:divBdr>
        <w:top w:val="none" w:sz="0" w:space="0" w:color="auto"/>
        <w:left w:val="none" w:sz="0" w:space="0" w:color="auto"/>
        <w:bottom w:val="none" w:sz="0" w:space="0" w:color="auto"/>
        <w:right w:val="none" w:sz="0" w:space="0" w:color="auto"/>
      </w:divBdr>
    </w:div>
    <w:div w:id="1562014777">
      <w:bodyDiv w:val="1"/>
      <w:marLeft w:val="0"/>
      <w:marRight w:val="0"/>
      <w:marTop w:val="0"/>
      <w:marBottom w:val="0"/>
      <w:divBdr>
        <w:top w:val="none" w:sz="0" w:space="0" w:color="auto"/>
        <w:left w:val="none" w:sz="0" w:space="0" w:color="auto"/>
        <w:bottom w:val="none" w:sz="0" w:space="0" w:color="auto"/>
        <w:right w:val="none" w:sz="0" w:space="0" w:color="auto"/>
      </w:divBdr>
    </w:div>
    <w:div w:id="1689943694">
      <w:bodyDiv w:val="1"/>
      <w:marLeft w:val="0"/>
      <w:marRight w:val="0"/>
      <w:marTop w:val="0"/>
      <w:marBottom w:val="0"/>
      <w:divBdr>
        <w:top w:val="none" w:sz="0" w:space="0" w:color="auto"/>
        <w:left w:val="none" w:sz="0" w:space="0" w:color="auto"/>
        <w:bottom w:val="none" w:sz="0" w:space="0" w:color="auto"/>
        <w:right w:val="none" w:sz="0" w:space="0" w:color="auto"/>
      </w:divBdr>
    </w:div>
    <w:div w:id="1748379180">
      <w:bodyDiv w:val="1"/>
      <w:marLeft w:val="0"/>
      <w:marRight w:val="0"/>
      <w:marTop w:val="0"/>
      <w:marBottom w:val="0"/>
      <w:divBdr>
        <w:top w:val="none" w:sz="0" w:space="0" w:color="auto"/>
        <w:left w:val="none" w:sz="0" w:space="0" w:color="auto"/>
        <w:bottom w:val="none" w:sz="0" w:space="0" w:color="auto"/>
        <w:right w:val="none" w:sz="0" w:space="0" w:color="auto"/>
      </w:divBdr>
    </w:div>
    <w:div w:id="1804539382">
      <w:bodyDiv w:val="1"/>
      <w:marLeft w:val="0"/>
      <w:marRight w:val="0"/>
      <w:marTop w:val="0"/>
      <w:marBottom w:val="0"/>
      <w:divBdr>
        <w:top w:val="none" w:sz="0" w:space="0" w:color="auto"/>
        <w:left w:val="none" w:sz="0" w:space="0" w:color="auto"/>
        <w:bottom w:val="none" w:sz="0" w:space="0" w:color="auto"/>
        <w:right w:val="none" w:sz="0" w:space="0" w:color="auto"/>
      </w:divBdr>
    </w:div>
    <w:div w:id="1823891542">
      <w:bodyDiv w:val="1"/>
      <w:marLeft w:val="0"/>
      <w:marRight w:val="0"/>
      <w:marTop w:val="0"/>
      <w:marBottom w:val="0"/>
      <w:divBdr>
        <w:top w:val="none" w:sz="0" w:space="0" w:color="auto"/>
        <w:left w:val="none" w:sz="0" w:space="0" w:color="auto"/>
        <w:bottom w:val="none" w:sz="0" w:space="0" w:color="auto"/>
        <w:right w:val="none" w:sz="0" w:space="0" w:color="auto"/>
      </w:divBdr>
    </w:div>
    <w:div w:id="1906138078">
      <w:bodyDiv w:val="1"/>
      <w:marLeft w:val="0"/>
      <w:marRight w:val="0"/>
      <w:marTop w:val="0"/>
      <w:marBottom w:val="0"/>
      <w:divBdr>
        <w:top w:val="none" w:sz="0" w:space="0" w:color="auto"/>
        <w:left w:val="none" w:sz="0" w:space="0" w:color="auto"/>
        <w:bottom w:val="none" w:sz="0" w:space="0" w:color="auto"/>
        <w:right w:val="none" w:sz="0" w:space="0" w:color="auto"/>
      </w:divBdr>
    </w:div>
    <w:div w:id="20438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hyperlink" Target="http://www.pwc.com/structure" TargetMode="External"/><Relationship Id="rId68" Type="http://schemas.openxmlformats.org/officeDocument/2006/relationships/hyperlink" Target="http://www.pwc.com/"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www.pwc.com/structure"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hyperlink" Target="http://www.pwc.com/" TargetMode="External"/><Relationship Id="rId66" Type="http://schemas.openxmlformats.org/officeDocument/2006/relationships/hyperlink" Target="http://www.pwc.com/"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hyperlink" Target="http://www.pwc.com/structure" TargetMode="External"/><Relationship Id="rId61" Type="http://schemas.openxmlformats.org/officeDocument/2006/relationships/hyperlink" Target="http://www.pwc.com/structure"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hyperlink" Target="http://www.pwc.com/" TargetMode="External"/><Relationship Id="rId65" Type="http://schemas.openxmlformats.org/officeDocument/2006/relationships/hyperlink" Target="http://www.pwc.com/structure"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yperlink" Target="http://www.pwc.com/" TargetMode="External"/><Relationship Id="rId64" Type="http://schemas.openxmlformats.org/officeDocument/2006/relationships/hyperlink" Target="http://www.pwc.com/" TargetMode="External"/><Relationship Id="rId69" Type="http://schemas.openxmlformats.org/officeDocument/2006/relationships/hyperlink" Target="http://www.pwc.com/structure"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emf"/><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yperlink" Target="http://www.pwc.com/structure" TargetMode="External"/><Relationship Id="rId67" Type="http://schemas.openxmlformats.org/officeDocument/2006/relationships/hyperlink" Target="http://www.pwc.com/structure" TargetMode="Externa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hyperlink" Target="http://www.pwc.com/" TargetMode="External"/><Relationship Id="rId70" Type="http://schemas.openxmlformats.org/officeDocument/2006/relationships/hyperlink" Target="http://www.pwc.com/"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zatjhbfprpwn001\Common$\Consulting\Strategy&amp;\06_The%20News\Media%20articles\Ad-hoc\Temperature%20of%20the%20economy\Temperature%20of%20the%20econom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85585067586633"/>
          <c:y val="0.11409456205403969"/>
          <c:w val="0.51572034732980898"/>
          <c:h val="0.715525697655522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67-43E8-9298-30692F72E9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67-43E8-9298-30692F72E9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67-43E8-9298-30692F72E9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67-43E8-9298-30692F72E9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67-43E8-9298-30692F72E9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67-43E8-9298-30692F72E9B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067-43E8-9298-30692F72E9B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067-43E8-9298-30692F72E9B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067-43E8-9298-30692F72E9B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067-43E8-9298-30692F72E9B5}"/>
              </c:ext>
            </c:extLst>
          </c:dPt>
          <c:dLbls>
            <c:dLbl>
              <c:idx val="0"/>
              <c:layout>
                <c:manualLayout>
                  <c:x val="6.761325219743008E-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472291876294367"/>
                      <c:h val="0.16990811638591119"/>
                    </c:manualLayout>
                  </c15:layout>
                </c:ext>
                <c:ext xmlns:c16="http://schemas.microsoft.com/office/drawing/2014/chart" uri="{C3380CC4-5D6E-409C-BE32-E72D297353CC}">
                  <c16:uniqueId val="{00000001-4067-43E8-9298-30692F72E9B5}"/>
                </c:ext>
              </c:extLst>
            </c:dLbl>
            <c:dLbl>
              <c:idx val="1"/>
              <c:layout>
                <c:manualLayout>
                  <c:x val="8.113590263691683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67-43E8-9298-30692F72E9B5}"/>
                </c:ext>
              </c:extLst>
            </c:dLbl>
            <c:dLbl>
              <c:idx val="2"/>
              <c:layout>
                <c:manualLayout>
                  <c:x val="0"/>
                  <c:y val="-3.46693851784236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56304270282645"/>
                      <c:h val="0.14749746205884609"/>
                    </c:manualLayout>
                  </c15:layout>
                </c:ext>
                <c:ext xmlns:c16="http://schemas.microsoft.com/office/drawing/2014/chart" uri="{C3380CC4-5D6E-409C-BE32-E72D297353CC}">
                  <c16:uniqueId val="{00000005-4067-43E8-9298-30692F72E9B5}"/>
                </c:ext>
              </c:extLst>
            </c:dLbl>
            <c:dLbl>
              <c:idx val="3"/>
              <c:layout>
                <c:manualLayout>
                  <c:x val="4.3948613928329952E-2"/>
                  <c:y val="-3.79927288951055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67-43E8-9298-30692F72E9B5}"/>
                </c:ext>
              </c:extLst>
            </c:dLbl>
            <c:dLbl>
              <c:idx val="4"/>
              <c:layout>
                <c:manualLayout>
                  <c:x val="2.3664638269100743E-2"/>
                  <c:y val="6.50055467798531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67-43E8-9298-30692F72E9B5}"/>
                </c:ext>
              </c:extLst>
            </c:dLbl>
            <c:dLbl>
              <c:idx val="5"/>
              <c:layout>
                <c:manualLayout>
                  <c:x val="6.7613252197430695E-2"/>
                  <c:y val="1.14854517611026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67-43E8-9298-30692F72E9B5}"/>
                </c:ext>
              </c:extLst>
            </c:dLbl>
            <c:dLbl>
              <c:idx val="6"/>
              <c:layout>
                <c:manualLayout>
                  <c:x val="4.2258415720347331E-2"/>
                  <c:y val="2.488508107609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612576064908715"/>
                      <c:h val="0.17425570655122932"/>
                    </c:manualLayout>
                  </c15:layout>
                </c:ext>
                <c:ext xmlns:c16="http://schemas.microsoft.com/office/drawing/2014/chart" uri="{C3380CC4-5D6E-409C-BE32-E72D297353CC}">
                  <c16:uniqueId val="{0000000D-4067-43E8-9298-30692F72E9B5}"/>
                </c:ext>
              </c:extLst>
            </c:dLbl>
            <c:dLbl>
              <c:idx val="7"/>
              <c:layout>
                <c:manualLayout>
                  <c:x val="-1.0141987829614604E-2"/>
                  <c:y val="5.63380281690139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67-43E8-9298-30692F72E9B5}"/>
                </c:ext>
              </c:extLst>
            </c:dLbl>
            <c:dLbl>
              <c:idx val="8"/>
              <c:layout>
                <c:manualLayout>
                  <c:x val="-4.0567951318458417E-2"/>
                  <c:y val="8.66738894907908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067-43E8-9298-30692F72E9B5}"/>
                </c:ext>
              </c:extLst>
            </c:dLbl>
            <c:dLbl>
              <c:idx val="9"/>
              <c:layout>
                <c:manualLayout>
                  <c:x val="-6.085192697768766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067-43E8-9298-30692F72E9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Data!$A$66:$A$75</c:f>
              <c:strCache>
                <c:ptCount val="10"/>
                <c:pt idx="0">
                  <c:v>Agriculture, forestry and fishing</c:v>
                </c:pt>
                <c:pt idx="1">
                  <c:v>Mining</c:v>
                </c:pt>
                <c:pt idx="2">
                  <c:v>Manufacturing</c:v>
                </c:pt>
                <c:pt idx="3">
                  <c:v>Electricity, gas and water</c:v>
                </c:pt>
                <c:pt idx="4">
                  <c:v>Construction</c:v>
                </c:pt>
                <c:pt idx="5">
                  <c:v>Trade, catering and accommodation</c:v>
                </c:pt>
                <c:pt idx="6">
                  <c:v>Transport, storage and communication</c:v>
                </c:pt>
                <c:pt idx="7">
                  <c:v>Finance, real estate and business services</c:v>
                </c:pt>
                <c:pt idx="8">
                  <c:v>General government services</c:v>
                </c:pt>
                <c:pt idx="9">
                  <c:v>Personal services</c:v>
                </c:pt>
              </c:strCache>
            </c:strRef>
          </c:cat>
          <c:val>
            <c:numRef>
              <c:f>Data!$C$66:$C$75</c:f>
              <c:numCache>
                <c:formatCode>0.0</c:formatCode>
                <c:ptCount val="10"/>
                <c:pt idx="0">
                  <c:v>1.4697351134636052</c:v>
                </c:pt>
                <c:pt idx="1">
                  <c:v>7.9494491550177901</c:v>
                </c:pt>
                <c:pt idx="2">
                  <c:v>13.855833359373197</c:v>
                </c:pt>
                <c:pt idx="3">
                  <c:v>2.3191327774841688</c:v>
                </c:pt>
                <c:pt idx="4">
                  <c:v>3.7006946529520373</c:v>
                </c:pt>
                <c:pt idx="5">
                  <c:v>16.774924563651162</c:v>
                </c:pt>
                <c:pt idx="6">
                  <c:v>9.7964679077944332</c:v>
                </c:pt>
                <c:pt idx="7">
                  <c:v>22.169795299510493</c:v>
                </c:pt>
                <c:pt idx="8">
                  <c:v>16.326314345065761</c:v>
                </c:pt>
                <c:pt idx="9">
                  <c:v>5.6376528256873506</c:v>
                </c:pt>
              </c:numCache>
            </c:numRef>
          </c:val>
          <c:extLst>
            <c:ext xmlns:c16="http://schemas.microsoft.com/office/drawing/2014/chart" uri="{C3380CC4-5D6E-409C-BE32-E72D297353CC}">
              <c16:uniqueId val="{00000014-4067-43E8-9298-30692F72E9B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trategyand">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Strategyand">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rgbClr val="000000"/>
          </a:solidFill>
        </a:ln>
      </a:spPr>
      <a:bodyPr rtlCol="0" anchor="ctr"/>
      <a:lstStyle>
        <a:defPPr algn="ctr">
          <a:defRPr sz="12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1200" dirty="0" err="1" smtClean="0"/>
        </a:defPPr>
      </a:lstStyle>
    </a:txDef>
  </a:objectDefaults>
  <a:extraClrSchemeLst/>
  <a:custClrLst>
    <a:custClr name="Maroon Tint 1 (70%)">
      <a:srgbClr val="A85B62"/>
    </a:custClr>
    <a:custClr name="Maroon Tint 1 (40%)">
      <a:srgbClr val="CDA1A5"/>
    </a:custClr>
    <a:custClr name="Maroon Tint 1 (20%)">
      <a:srgbClr val="E6D0D2"/>
    </a:custClr>
    <a:custClr name="Burgundy Tint 1 (70%)">
      <a:srgbClr val="BF6363"/>
    </a:custClr>
    <a:custClr name="Burgundy Tint 1 (40%)">
      <a:srgbClr val="DAA6A6"/>
    </a:custClr>
    <a:custClr name="Burgundy Tint 1 (20%)">
      <a:srgbClr val="EDD2D2"/>
    </a:custClr>
    <a:custClr name="Grey Tint 1 (70%)">
      <a:srgbClr val="B6AF99"/>
    </a:custClr>
    <a:custClr name="Grey Tint 1 (40%)">
      <a:srgbClr val="D5D1C5"/>
    </a:custClr>
    <a:custClr name="Grey Tint 1 (20%)">
      <a:srgbClr val="EAE8E2"/>
    </a:custClr>
    <a:custClr name="Solid Yellow">
      <a:srgbClr val="FFB600"/>
    </a:custClr>
    <a:custClr name="Blue Pantone 7461">
      <a:srgbClr val="5571B4"/>
    </a:custClr>
    <a:custClr name="Pantone 369">
      <a:srgbClr val="489A1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CDE21-80EE-4B4C-B236-3B9DD75E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2879</Words>
  <Characters>15405</Characters>
  <Application>Microsoft Office Word</Application>
  <DocSecurity>0</DocSecurity>
  <Lines>496</Lines>
  <Paragraphs>158</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Ntsibande</dc:creator>
  <cp:keywords/>
  <dc:description/>
  <cp:lastModifiedBy>Sanchia Temkin</cp:lastModifiedBy>
  <cp:revision>2</cp:revision>
  <cp:lastPrinted>2019-05-31T13:45:00Z</cp:lastPrinted>
  <dcterms:created xsi:type="dcterms:W3CDTF">2019-06-04T11:34:00Z</dcterms:created>
  <dcterms:modified xsi:type="dcterms:W3CDTF">2019-06-04T11:34:00Z</dcterms:modified>
</cp:coreProperties>
</file>